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F9" w:rsidRDefault="004275F9" w:rsidP="004275F9">
      <w:pPr>
        <w:tabs>
          <w:tab w:val="left" w:pos="4406"/>
        </w:tabs>
      </w:pPr>
      <w:r>
        <w:t>S</w:t>
      </w:r>
      <w:r w:rsidRPr="00816A05">
        <w:rPr>
          <w:b/>
        </w:rPr>
        <w:t>pplementary Table 1</w:t>
      </w:r>
      <w:r>
        <w:t xml:space="preserve">: Read codes to identify each type of dementia diagnosis  </w:t>
      </w:r>
    </w:p>
    <w:tbl>
      <w:tblPr>
        <w:tblW w:w="8804" w:type="dxa"/>
        <w:tblInd w:w="88" w:type="dxa"/>
        <w:tblLook w:val="04A0" w:firstRow="1" w:lastRow="0" w:firstColumn="1" w:lastColumn="0" w:noHBand="0" w:noVBand="1"/>
      </w:tblPr>
      <w:tblGrid>
        <w:gridCol w:w="1339"/>
        <w:gridCol w:w="5620"/>
        <w:gridCol w:w="1845"/>
      </w:tblGrid>
      <w:tr w:rsidR="004275F9" w:rsidRPr="00E35066" w:rsidTr="00F54663">
        <w:trPr>
          <w:trHeight w:val="264"/>
        </w:trPr>
        <w:tc>
          <w:tcPr>
            <w:tcW w:w="1339" w:type="dxa"/>
            <w:tcBorders>
              <w:top w:val="single" w:sz="4" w:space="0" w:color="auto"/>
              <w:left w:val="nil"/>
              <w:bottom w:val="single" w:sz="4" w:space="0" w:color="auto"/>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Read code</w:t>
            </w:r>
          </w:p>
        </w:tc>
        <w:tc>
          <w:tcPr>
            <w:tcW w:w="5620" w:type="dxa"/>
            <w:tcBorders>
              <w:top w:val="single" w:sz="4" w:space="0" w:color="auto"/>
              <w:left w:val="nil"/>
              <w:bottom w:val="single" w:sz="4" w:space="0" w:color="auto"/>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Read term</w:t>
            </w:r>
          </w:p>
        </w:tc>
        <w:tc>
          <w:tcPr>
            <w:tcW w:w="1845" w:type="dxa"/>
            <w:tcBorders>
              <w:top w:val="single" w:sz="4" w:space="0" w:color="auto"/>
              <w:left w:val="nil"/>
              <w:bottom w:val="single" w:sz="4" w:space="0" w:color="auto"/>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N (% of all dementia)</w:t>
            </w:r>
          </w:p>
        </w:tc>
      </w:tr>
      <w:tr w:rsidR="004275F9" w:rsidRPr="00E35066" w:rsidTr="00F54663">
        <w:trPr>
          <w:trHeight w:val="264"/>
        </w:trPr>
        <w:tc>
          <w:tcPr>
            <w:tcW w:w="6959" w:type="dxa"/>
            <w:gridSpan w:val="2"/>
            <w:tcBorders>
              <w:top w:val="single" w:sz="4" w:space="0" w:color="auto"/>
              <w:left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Alzheimer’s  disease/Unspecified dementia</w:t>
            </w:r>
          </w:p>
        </w:tc>
        <w:tc>
          <w:tcPr>
            <w:tcW w:w="1845" w:type="dxa"/>
            <w:tcBorders>
              <w:top w:val="single" w:sz="4" w:space="0" w:color="auto"/>
              <w:left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49161 (75.0%)</w:t>
            </w:r>
          </w:p>
        </w:tc>
      </w:tr>
      <w:tr w:rsidR="004275F9" w:rsidRPr="00E35066" w:rsidTr="00F54663">
        <w:trPr>
          <w:trHeight w:val="264"/>
        </w:trPr>
        <w:tc>
          <w:tcPr>
            <w:tcW w:w="1339" w:type="dxa"/>
            <w:tcBorders>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e00..12</w:t>
            </w:r>
          </w:p>
        </w:tc>
        <w:tc>
          <w:tcPr>
            <w:tcW w:w="5620" w:type="dxa"/>
            <w:tcBorders>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Senile/presenile dementia</w:t>
            </w:r>
          </w:p>
        </w:tc>
        <w:tc>
          <w:tcPr>
            <w:tcW w:w="1845" w:type="dxa"/>
            <w:tcBorders>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12116 (18.5%)</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f110.00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Alzheimer's disease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10194 (15.6%)</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eu02z00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 Unspecified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8206 (12.5%)</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Senile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4179 (6.4%)</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Alzheimer's disease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4105 (6.3%)</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eu02z14</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 Senile dementia NOS</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2720 (4.2%)</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Uncomplicated senile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2086 (3.2%)</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eu00z11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[X]Alzheimer's dementia unspec</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1871 (2.9%)</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1461.00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H/O: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1821 (2.8%)</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eu00z00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Alzheimer's disease, unspecified</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246 (0.4%)</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eu00112</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[X]Senile dementia,Alzheimer's type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243 (0.4%)</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Alzheimer's disease with late onset</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193 (0.3%)</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Presenile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192 (0.3%)</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f110100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Alzheimer's disease with late onset</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159 (0.2%)</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f110000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Alzheimer's disease with early onset</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146 (0.2%)</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e002100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Senile dementia with depression</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119 (0.2%)</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e002000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Senile dementia with paranoia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108 (0.2%)</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Alzheimer's disease with early onset</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74 (0.1%)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e003.00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Senile dementia with delirium</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59 (0.1%)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e001z00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Presenile dementia NOS</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55 (0.1%)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eu02z16</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 Senile dementia, depressed or paranoid type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44 (0.1%)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e002.00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Senile dementia with depressive or paranoid features</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44 (0.1%)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e001200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Presenile dementia with paranoia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38 (0.1%)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e001300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Presenile dementia with depression</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24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eu02z13</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 Primary degenerative dementia NOS</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23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eu04100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[X]Delirium superimposed on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18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eu00011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[X]Presenile dementia,Alzheimer's type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12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eu00113</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[X]Primary degen dementia of Alzheimer's type, senile onset</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12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e001100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Presenile dementia with delirium</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11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eu02z11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 Presenile dementia NOS</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11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e001000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Uncomplicated presenile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10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eu00111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[X]Alzheimer's disease type 1</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8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e002z00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Senile dementia with depressive or paranoid features NOS</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6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eu00012</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[X]Primary degen dementia, Alzheimer's type, presenile onset</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6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fyu3000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[X]Other Alzheimer's disease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eu00013</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[X]Alzheimer's disease type 2</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 (&lt;0.1%)</w:t>
            </w:r>
          </w:p>
        </w:tc>
      </w:tr>
      <w:tr w:rsidR="004275F9" w:rsidRPr="00E35066" w:rsidTr="00F54663">
        <w:trPr>
          <w:trHeight w:val="264"/>
        </w:trPr>
        <w:tc>
          <w:tcPr>
            <w:tcW w:w="6959" w:type="dxa"/>
            <w:gridSpan w:val="2"/>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Vascular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13816 (21.1%)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[X]Vascular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11196 (17.1%)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e004.11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Multi infarct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915 (1.4%)</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e004.00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Arteriosclerotic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435 (0.7%)</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eu01100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[X]Multi-infarct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274 (0.4%)</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eu01.11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[X]Arteriosclerotic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245 (0.4%)</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eu01z00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[X]Vascular dementia, unspecified</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245 (0.4%)</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eu01300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[X]Mixed cortical and subcortical vascular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202 (0.3%)</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e004z00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Arteriosclerotic dementia NOS</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119 (0.2%)</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eu01y00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[X]Other vascular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66 (0.1%)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eu01200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[X]Subcortical vascular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56 (0.1%)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lastRenderedPageBreak/>
              <w:t>eu01000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[X]Vascular dementia of acute onset</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18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e004000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Uncomplicated arteriosclerotic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17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e004300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Arteriosclerotic dementia with depression</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14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e004200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Arteriosclerotic dementia with paranoia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9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eu01111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[X]Predominantly cortical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5 (&lt;0.1%)</w:t>
            </w:r>
          </w:p>
        </w:tc>
      </w:tr>
      <w:tr w:rsidR="004275F9" w:rsidRPr="00E35066" w:rsidTr="00F54663">
        <w:trPr>
          <w:trHeight w:val="264"/>
        </w:trPr>
        <w:tc>
          <w:tcPr>
            <w:tcW w:w="6959" w:type="dxa"/>
            <w:gridSpan w:val="2"/>
            <w:tcBorders>
              <w:top w:val="nil"/>
              <w:left w:val="nil"/>
              <w:bottom w:val="nil"/>
              <w:right w:val="nil"/>
            </w:tcBorders>
            <w:shd w:val="clear" w:color="auto" w:fill="auto"/>
            <w:noWrap/>
            <w:vAlign w:val="bottom"/>
            <w:hideMark/>
          </w:tcPr>
          <w:p w:rsidR="004275F9" w:rsidRPr="003F385C" w:rsidRDefault="004275F9" w:rsidP="00F54663">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Other</w:t>
            </w:r>
            <w:r w:rsidDel="00D71CC0">
              <w:rPr>
                <w:rFonts w:ascii="Arial" w:eastAsia="Times New Roman" w:hAnsi="Arial" w:cs="Arial"/>
                <w:b/>
                <w:sz w:val="20"/>
                <w:szCs w:val="20"/>
                <w:lang w:eastAsia="en-GB"/>
              </w:rPr>
              <w:t xml:space="preserve"> </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2541 (3.9%)</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eu02500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[X]Lewy body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528 (0.8%)</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eu02300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Parkinson's disease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412 (0.6%)</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eu00200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Alzheimer's dis, atypical or mixed type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400 (0.6%)</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e041.00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Dementia in conditions EC</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376 (0.6%)</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f116.00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Lewy body disease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335 (0.5%)</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other diseases classified elsewhere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190 (0.3%)</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e012.11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Alcoholic dementia NOS</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113 (0.2%)</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eu10711</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[X]Alcoholic dementia NOS</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76 (0.1%)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f111.00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Pick's disease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31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eu02200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Huntington's disease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19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eu02y00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other specified diseases classif elsewhere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15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e012.00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Other alcoholic dementia</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14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eu02000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Pick's disease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13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Creutzfeldt-Jakob disease</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12 (&lt;0.1%)</w:t>
            </w:r>
          </w:p>
        </w:tc>
      </w:tr>
      <w:tr w:rsidR="004275F9" w:rsidRPr="00E35066" w:rsidTr="00F54663">
        <w:trPr>
          <w:trHeight w:val="264"/>
        </w:trPr>
        <w:tc>
          <w:tcPr>
            <w:tcW w:w="1339"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e004100</w:t>
            </w:r>
          </w:p>
        </w:tc>
        <w:tc>
          <w:tcPr>
            <w:tcW w:w="5620"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Arteriosclerotic dementia with delirium</w:t>
            </w:r>
          </w:p>
        </w:tc>
        <w:tc>
          <w:tcPr>
            <w:tcW w:w="1845" w:type="dxa"/>
            <w:tcBorders>
              <w:top w:val="nil"/>
              <w:left w:val="nil"/>
              <w:bottom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4 (&lt;0.1%)</w:t>
            </w:r>
          </w:p>
        </w:tc>
      </w:tr>
      <w:tr w:rsidR="004275F9" w:rsidRPr="00E35066" w:rsidTr="00F54663">
        <w:trPr>
          <w:trHeight w:val="264"/>
        </w:trPr>
        <w:tc>
          <w:tcPr>
            <w:tcW w:w="1339" w:type="dxa"/>
            <w:tcBorders>
              <w:top w:val="nil"/>
              <w:left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e02y100</w:t>
            </w:r>
          </w:p>
        </w:tc>
        <w:tc>
          <w:tcPr>
            <w:tcW w:w="5620" w:type="dxa"/>
            <w:tcBorders>
              <w:top w:val="nil"/>
              <w:left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Drug-induced dementia</w:t>
            </w:r>
          </w:p>
        </w:tc>
        <w:tc>
          <w:tcPr>
            <w:tcW w:w="1845" w:type="dxa"/>
            <w:tcBorders>
              <w:top w:val="nil"/>
              <w:left w:val="nil"/>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2 (&lt;0.1%)</w:t>
            </w:r>
          </w:p>
        </w:tc>
      </w:tr>
      <w:tr w:rsidR="004275F9" w:rsidRPr="00E35066" w:rsidTr="00F54663">
        <w:trPr>
          <w:trHeight w:val="264"/>
        </w:trPr>
        <w:tc>
          <w:tcPr>
            <w:tcW w:w="1339" w:type="dxa"/>
            <w:tcBorders>
              <w:top w:val="nil"/>
              <w:left w:val="nil"/>
              <w:bottom w:val="single" w:sz="4" w:space="0" w:color="auto"/>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eu02400</w:t>
            </w:r>
          </w:p>
        </w:tc>
        <w:tc>
          <w:tcPr>
            <w:tcW w:w="5620" w:type="dxa"/>
            <w:tcBorders>
              <w:top w:val="nil"/>
              <w:left w:val="nil"/>
              <w:bottom w:val="single" w:sz="4" w:space="0" w:color="auto"/>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[X]Dementia in human immunodef virus [HIV] disease</w:t>
            </w:r>
          </w:p>
        </w:tc>
        <w:tc>
          <w:tcPr>
            <w:tcW w:w="1845" w:type="dxa"/>
            <w:tcBorders>
              <w:top w:val="nil"/>
              <w:left w:val="nil"/>
              <w:bottom w:val="single" w:sz="4" w:space="0" w:color="auto"/>
              <w:right w:val="nil"/>
            </w:tcBorders>
            <w:shd w:val="clear" w:color="auto" w:fill="auto"/>
            <w:noWrap/>
            <w:vAlign w:val="bottom"/>
            <w:hideMark/>
          </w:tcPr>
          <w:p w:rsidR="004275F9" w:rsidRPr="00E35066" w:rsidRDefault="004275F9" w:rsidP="00F54663">
            <w:pPr>
              <w:spacing w:after="0" w:line="240" w:lineRule="auto"/>
              <w:rPr>
                <w:rFonts w:ascii="Arial" w:eastAsia="Times New Roman" w:hAnsi="Arial" w:cs="Arial"/>
                <w:sz w:val="20"/>
                <w:szCs w:val="20"/>
                <w:lang w:eastAsia="en-GB"/>
              </w:rPr>
            </w:pPr>
            <w:r w:rsidRPr="00E35066">
              <w:rPr>
                <w:rFonts w:ascii="Arial" w:eastAsia="Times New Roman" w:hAnsi="Arial" w:cs="Arial"/>
                <w:sz w:val="20"/>
                <w:szCs w:val="20"/>
                <w:lang w:eastAsia="en-GB"/>
              </w:rPr>
              <w:t>1 (&lt;0.1%)</w:t>
            </w:r>
          </w:p>
        </w:tc>
      </w:tr>
    </w:tbl>
    <w:p w:rsidR="004275F9" w:rsidRDefault="004275F9" w:rsidP="004275F9">
      <w:pPr>
        <w:rPr>
          <w:b/>
        </w:rPr>
        <w:sectPr w:rsidR="004275F9" w:rsidSect="00A502A4">
          <w:pgSz w:w="11906" w:h="16838"/>
          <w:pgMar w:top="1440" w:right="1440" w:bottom="1440" w:left="1440" w:header="708" w:footer="708" w:gutter="0"/>
          <w:cols w:space="708"/>
          <w:docGrid w:linePitch="360"/>
        </w:sectPr>
      </w:pPr>
    </w:p>
    <w:p w:rsidR="004275F9" w:rsidRDefault="004275F9" w:rsidP="004275F9">
      <w:r>
        <w:rPr>
          <w:b/>
        </w:rPr>
        <w:lastRenderedPageBreak/>
        <w:t>Supplementary table 2</w:t>
      </w:r>
      <w:r>
        <w:t>:</w:t>
      </w:r>
      <w:r>
        <w:rPr>
          <w:b/>
        </w:rPr>
        <w:t xml:space="preserve"> </w:t>
      </w:r>
      <w:r>
        <w:t xml:space="preserve">Age and sex adjusted rate ratios per 10mmHg higher long-term average </w:t>
      </w:r>
      <w:r w:rsidRPr="000E6ABC">
        <w:rPr>
          <w:b/>
          <w:u w:val="single"/>
        </w:rPr>
        <w:t>diastolic BP</w:t>
      </w:r>
      <w:r>
        <w:t xml:space="preserve"> for dementia, Alzheimer’s disease and vascular dementia stratified by age-at-risk and time since baseline blood pressure  measurement </w:t>
      </w:r>
    </w:p>
    <w:tbl>
      <w:tblPr>
        <w:tblW w:w="14870" w:type="dxa"/>
        <w:tblInd w:w="108" w:type="dxa"/>
        <w:tblLook w:val="04A0" w:firstRow="1" w:lastRow="0" w:firstColumn="1" w:lastColumn="0" w:noHBand="0" w:noVBand="1"/>
      </w:tblPr>
      <w:tblGrid>
        <w:gridCol w:w="1072"/>
        <w:gridCol w:w="932"/>
        <w:gridCol w:w="1430"/>
        <w:gridCol w:w="2803"/>
        <w:gridCol w:w="393"/>
        <w:gridCol w:w="1059"/>
        <w:gridCol w:w="2694"/>
        <w:gridCol w:w="11"/>
        <w:gridCol w:w="440"/>
        <w:gridCol w:w="11"/>
        <w:gridCol w:w="1589"/>
        <w:gridCol w:w="2410"/>
        <w:gridCol w:w="26"/>
      </w:tblGrid>
      <w:tr w:rsidR="004275F9" w:rsidRPr="0048707D" w:rsidTr="00F54663">
        <w:trPr>
          <w:trHeight w:val="255"/>
        </w:trPr>
        <w:tc>
          <w:tcPr>
            <w:tcW w:w="1072" w:type="dxa"/>
            <w:tcBorders>
              <w:top w:val="single" w:sz="4" w:space="0" w:color="auto"/>
              <w:left w:val="nil"/>
              <w:bottom w:val="nil"/>
              <w:right w:val="nil"/>
            </w:tcBorders>
            <w:shd w:val="clear" w:color="auto" w:fill="auto"/>
            <w:noWrap/>
            <w:vAlign w:val="bottom"/>
            <w:hideMark/>
          </w:tcPr>
          <w:p w:rsidR="004275F9" w:rsidRPr="0048707D" w:rsidRDefault="004275F9" w:rsidP="00F54663">
            <w:pPr>
              <w:spacing w:after="0" w:line="240" w:lineRule="auto"/>
              <w:rPr>
                <w:rFonts w:ascii="Times New Roman" w:eastAsia="Times New Roman" w:hAnsi="Times New Roman" w:cs="Times New Roman"/>
                <w:sz w:val="24"/>
                <w:szCs w:val="24"/>
                <w:lang w:eastAsia="en-GB"/>
              </w:rPr>
            </w:pPr>
          </w:p>
        </w:tc>
        <w:tc>
          <w:tcPr>
            <w:tcW w:w="932" w:type="dxa"/>
            <w:tcBorders>
              <w:top w:val="single" w:sz="4" w:space="0" w:color="auto"/>
              <w:left w:val="nil"/>
              <w:bottom w:val="nil"/>
              <w:right w:val="nil"/>
            </w:tcBorders>
            <w:shd w:val="clear" w:color="auto" w:fill="auto"/>
            <w:noWrap/>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Age at risk</w:t>
            </w:r>
          </w:p>
        </w:tc>
        <w:tc>
          <w:tcPr>
            <w:tcW w:w="4233" w:type="dxa"/>
            <w:gridSpan w:val="2"/>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0-5 years</w:t>
            </w:r>
          </w:p>
        </w:tc>
        <w:tc>
          <w:tcPr>
            <w:tcW w:w="393" w:type="dxa"/>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3764" w:type="dxa"/>
            <w:gridSpan w:val="3"/>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5-10 years</w:t>
            </w:r>
          </w:p>
        </w:tc>
        <w:tc>
          <w:tcPr>
            <w:tcW w:w="451" w:type="dxa"/>
            <w:gridSpan w:val="2"/>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4025" w:type="dxa"/>
            <w:gridSpan w:val="3"/>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10+ years</w:t>
            </w:r>
          </w:p>
        </w:tc>
      </w:tr>
      <w:tr w:rsidR="004275F9" w:rsidRPr="0048707D"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932" w:type="dxa"/>
            <w:tcBorders>
              <w:top w:val="nil"/>
              <w:left w:val="nil"/>
              <w:bottom w:val="nil"/>
              <w:right w:val="nil"/>
            </w:tcBorders>
            <w:shd w:val="clear" w:color="auto" w:fill="auto"/>
            <w:noWrap/>
            <w:hideMark/>
          </w:tcPr>
          <w:p w:rsidR="004275F9" w:rsidRPr="0048707D" w:rsidRDefault="004275F9" w:rsidP="00F54663">
            <w:pPr>
              <w:spacing w:after="0" w:line="240" w:lineRule="auto"/>
              <w:rPr>
                <w:rFonts w:ascii="Times New Roman" w:eastAsia="Times New Roman" w:hAnsi="Times New Roman" w:cs="Times New Roman"/>
                <w:sz w:val="20"/>
                <w:szCs w:val="20"/>
                <w:lang w:eastAsia="en-GB"/>
              </w:rPr>
            </w:pPr>
          </w:p>
        </w:tc>
        <w:tc>
          <w:tcPr>
            <w:tcW w:w="1430" w:type="dxa"/>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Events</w:t>
            </w:r>
          </w:p>
        </w:tc>
        <w:tc>
          <w:tcPr>
            <w:tcW w:w="2803" w:type="dxa"/>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w:t>
            </w:r>
            <w:r w:rsidRPr="0048707D">
              <w:rPr>
                <w:rFonts w:ascii="Arial" w:eastAsia="Times New Roman" w:hAnsi="Arial" w:cs="Arial"/>
                <w:sz w:val="20"/>
                <w:szCs w:val="20"/>
                <w:lang w:eastAsia="en-GB"/>
              </w:rPr>
              <w:t xml:space="preserve"> ratio (95% CI)</w:t>
            </w:r>
          </w:p>
        </w:tc>
        <w:tc>
          <w:tcPr>
            <w:tcW w:w="393" w:type="dxa"/>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059" w:type="dxa"/>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Events</w:t>
            </w:r>
          </w:p>
        </w:tc>
        <w:tc>
          <w:tcPr>
            <w:tcW w:w="2694" w:type="dxa"/>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w:t>
            </w:r>
            <w:r w:rsidRPr="0048707D">
              <w:rPr>
                <w:rFonts w:ascii="Arial" w:eastAsia="Times New Roman" w:hAnsi="Arial" w:cs="Arial"/>
                <w:sz w:val="20"/>
                <w:szCs w:val="20"/>
                <w:lang w:eastAsia="en-GB"/>
              </w:rPr>
              <w:t xml:space="preserve"> ratio (95% CI)</w:t>
            </w:r>
          </w:p>
        </w:tc>
        <w:tc>
          <w:tcPr>
            <w:tcW w:w="451" w:type="dxa"/>
            <w:gridSpan w:val="2"/>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600" w:type="dxa"/>
            <w:gridSpan w:val="2"/>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Events</w:t>
            </w:r>
          </w:p>
        </w:tc>
        <w:tc>
          <w:tcPr>
            <w:tcW w:w="2410" w:type="dxa"/>
            <w:tcBorders>
              <w:top w:val="single" w:sz="4" w:space="0" w:color="auto"/>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w:t>
            </w:r>
            <w:r w:rsidRPr="0048707D">
              <w:rPr>
                <w:rFonts w:ascii="Arial" w:eastAsia="Times New Roman" w:hAnsi="Arial" w:cs="Arial"/>
                <w:sz w:val="20"/>
                <w:szCs w:val="20"/>
                <w:lang w:eastAsia="en-GB"/>
              </w:rPr>
              <w:t xml:space="preserve"> ratio (95% CI)</w:t>
            </w:r>
          </w:p>
        </w:tc>
      </w:tr>
      <w:tr w:rsidR="004275F9" w:rsidRPr="0048707D"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All d</w:t>
            </w:r>
            <w:r w:rsidRPr="0048707D">
              <w:rPr>
                <w:rFonts w:ascii="Arial" w:eastAsia="Times New Roman" w:hAnsi="Arial" w:cs="Arial"/>
                <w:sz w:val="20"/>
                <w:szCs w:val="20"/>
                <w:lang w:eastAsia="en-GB"/>
              </w:rPr>
              <w:t>ementia</w:t>
            </w:r>
          </w:p>
        </w:tc>
        <w:tc>
          <w:tcPr>
            <w:tcW w:w="93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p>
        </w:tc>
        <w:tc>
          <w:tcPr>
            <w:tcW w:w="1430" w:type="dxa"/>
            <w:tcBorders>
              <w:top w:val="single" w:sz="4" w:space="0" w:color="auto"/>
              <w:left w:val="nil"/>
              <w:bottom w:val="nil"/>
              <w:right w:val="nil"/>
            </w:tcBorders>
            <w:shd w:val="clear" w:color="auto" w:fill="auto"/>
            <w:noWrap/>
            <w:hideMark/>
          </w:tcPr>
          <w:p w:rsidR="004275F9" w:rsidRPr="0048707D" w:rsidRDefault="004275F9" w:rsidP="00F54663">
            <w:pPr>
              <w:spacing w:after="0" w:line="240" w:lineRule="auto"/>
              <w:rPr>
                <w:rFonts w:ascii="Times New Roman" w:eastAsia="Times New Roman" w:hAnsi="Times New Roman" w:cs="Times New Roman"/>
                <w:sz w:val="20"/>
                <w:szCs w:val="20"/>
                <w:lang w:eastAsia="en-GB"/>
              </w:rPr>
            </w:pPr>
          </w:p>
        </w:tc>
        <w:tc>
          <w:tcPr>
            <w:tcW w:w="2803" w:type="dxa"/>
            <w:tcBorders>
              <w:top w:val="single" w:sz="4" w:space="0" w:color="auto"/>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393" w:type="dxa"/>
            <w:tcBorders>
              <w:top w:val="single" w:sz="4" w:space="0" w:color="auto"/>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1059" w:type="dxa"/>
            <w:tcBorders>
              <w:top w:val="single" w:sz="4" w:space="0" w:color="auto"/>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2694" w:type="dxa"/>
            <w:tcBorders>
              <w:top w:val="single" w:sz="4" w:space="0" w:color="auto"/>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451" w:type="dxa"/>
            <w:gridSpan w:val="2"/>
            <w:tcBorders>
              <w:top w:val="single" w:sz="4" w:space="0" w:color="auto"/>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1600" w:type="dxa"/>
            <w:gridSpan w:val="2"/>
            <w:tcBorders>
              <w:top w:val="single" w:sz="4" w:space="0" w:color="auto"/>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2410" w:type="dxa"/>
            <w:tcBorders>
              <w:top w:val="single" w:sz="4" w:space="0" w:color="auto"/>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r>
      <w:tr w:rsidR="004275F9" w:rsidRPr="00483F74"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contextualSpacing/>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shd w:val="clear" w:color="auto" w:fill="auto"/>
            <w:noWrap/>
            <w:vAlign w:val="bottom"/>
            <w:hideMark/>
          </w:tcPr>
          <w:p w:rsidR="004275F9" w:rsidRPr="00810F52" w:rsidRDefault="004275F9" w:rsidP="00F54663">
            <w:pPr>
              <w:spacing w:after="0" w:line="240" w:lineRule="auto"/>
              <w:contextualSpacing/>
              <w:jc w:val="center"/>
              <w:rPr>
                <w:rFonts w:ascii="Arial" w:eastAsia="Times New Roman" w:hAnsi="Arial" w:cs="Arial"/>
                <w:sz w:val="20"/>
                <w:szCs w:val="20"/>
                <w:lang w:eastAsia="en-GB"/>
              </w:rPr>
            </w:pPr>
            <w:r w:rsidRPr="00810F52">
              <w:rPr>
                <w:rFonts w:ascii="Arial" w:eastAsia="Times New Roman" w:hAnsi="Arial" w:cs="Arial"/>
                <w:sz w:val="20"/>
                <w:szCs w:val="20"/>
                <w:lang w:eastAsia="en-GB"/>
              </w:rPr>
              <w:t>&lt;70</w:t>
            </w:r>
          </w:p>
        </w:tc>
        <w:tc>
          <w:tcPr>
            <w:tcW w:w="1430"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2245</w:t>
            </w:r>
          </w:p>
        </w:tc>
        <w:tc>
          <w:tcPr>
            <w:tcW w:w="2803"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0.757 (0.689 to 0.831)</w:t>
            </w:r>
          </w:p>
        </w:tc>
        <w:tc>
          <w:tcPr>
            <w:tcW w:w="393" w:type="dxa"/>
            <w:tcBorders>
              <w:top w:val="nil"/>
              <w:left w:val="nil"/>
              <w:bottom w:val="nil"/>
              <w:right w:val="nil"/>
            </w:tcBorders>
            <w:shd w:val="clear" w:color="auto" w:fill="auto"/>
            <w:noWrap/>
            <w:hideMark/>
          </w:tcPr>
          <w:p w:rsidR="004275F9" w:rsidRPr="00483F74" w:rsidRDefault="004275F9" w:rsidP="00F54663">
            <w:pPr>
              <w:spacing w:after="0" w:line="240" w:lineRule="auto"/>
              <w:contextualSpacing/>
              <w:jc w:val="center"/>
              <w:rPr>
                <w:rFonts w:ascii="Arial" w:eastAsia="Times New Roman" w:hAnsi="Arial" w:cs="Arial"/>
                <w:sz w:val="20"/>
                <w:szCs w:val="20"/>
                <w:highlight w:val="yellow"/>
                <w:lang w:eastAsia="en-GB"/>
              </w:rPr>
            </w:pPr>
          </w:p>
        </w:tc>
        <w:tc>
          <w:tcPr>
            <w:tcW w:w="1059"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1762</w:t>
            </w:r>
          </w:p>
        </w:tc>
        <w:tc>
          <w:tcPr>
            <w:tcW w:w="2694"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0.807 (0.727 to 0.895)</w:t>
            </w:r>
          </w:p>
        </w:tc>
        <w:tc>
          <w:tcPr>
            <w:tcW w:w="451" w:type="dxa"/>
            <w:gridSpan w:val="2"/>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p>
        </w:tc>
        <w:tc>
          <w:tcPr>
            <w:tcW w:w="1600" w:type="dxa"/>
            <w:gridSpan w:val="2"/>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1450</w:t>
            </w:r>
          </w:p>
        </w:tc>
        <w:tc>
          <w:tcPr>
            <w:tcW w:w="2410"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1.095 (0.980 to 1.224)</w:t>
            </w:r>
          </w:p>
        </w:tc>
      </w:tr>
      <w:tr w:rsidR="004275F9" w:rsidRPr="00483F74"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3F74" w:rsidRDefault="004275F9" w:rsidP="00F54663">
            <w:pPr>
              <w:spacing w:after="0" w:line="240" w:lineRule="auto"/>
              <w:contextualSpacing/>
              <w:jc w:val="center"/>
              <w:rPr>
                <w:rFonts w:ascii="Arial" w:eastAsia="Times New Roman" w:hAnsi="Arial" w:cs="Arial"/>
                <w:sz w:val="20"/>
                <w:szCs w:val="20"/>
                <w:highlight w:val="yellow"/>
                <w:lang w:eastAsia="en-GB"/>
              </w:rPr>
            </w:pPr>
          </w:p>
        </w:tc>
        <w:tc>
          <w:tcPr>
            <w:tcW w:w="932" w:type="dxa"/>
            <w:tcBorders>
              <w:top w:val="nil"/>
              <w:left w:val="nil"/>
              <w:bottom w:val="nil"/>
              <w:right w:val="nil"/>
            </w:tcBorders>
            <w:shd w:val="clear" w:color="auto" w:fill="auto"/>
            <w:noWrap/>
            <w:vAlign w:val="bottom"/>
            <w:hideMark/>
          </w:tcPr>
          <w:p w:rsidR="004275F9" w:rsidRPr="00810F52" w:rsidRDefault="004275F9" w:rsidP="00F54663">
            <w:pPr>
              <w:spacing w:after="0" w:line="240" w:lineRule="auto"/>
              <w:contextualSpacing/>
              <w:jc w:val="center"/>
              <w:rPr>
                <w:rFonts w:ascii="Arial" w:eastAsia="Times New Roman" w:hAnsi="Arial" w:cs="Arial"/>
                <w:sz w:val="20"/>
                <w:szCs w:val="20"/>
                <w:lang w:eastAsia="en-GB"/>
              </w:rPr>
            </w:pPr>
            <w:r w:rsidRPr="00810F52">
              <w:rPr>
                <w:rFonts w:ascii="Arial" w:eastAsia="Times New Roman" w:hAnsi="Arial" w:cs="Arial"/>
                <w:sz w:val="20"/>
                <w:szCs w:val="20"/>
                <w:lang w:eastAsia="en-GB"/>
              </w:rPr>
              <w:t>70-84</w:t>
            </w:r>
          </w:p>
        </w:tc>
        <w:tc>
          <w:tcPr>
            <w:tcW w:w="1430"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13674</w:t>
            </w:r>
          </w:p>
        </w:tc>
        <w:tc>
          <w:tcPr>
            <w:tcW w:w="2803"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0.807 (0.778 to 0.838)</w:t>
            </w:r>
          </w:p>
        </w:tc>
        <w:tc>
          <w:tcPr>
            <w:tcW w:w="393" w:type="dxa"/>
            <w:tcBorders>
              <w:top w:val="nil"/>
              <w:left w:val="nil"/>
              <w:bottom w:val="nil"/>
              <w:right w:val="nil"/>
            </w:tcBorders>
            <w:shd w:val="clear" w:color="auto" w:fill="auto"/>
            <w:noWrap/>
            <w:hideMark/>
          </w:tcPr>
          <w:p w:rsidR="004275F9" w:rsidRPr="00483F74" w:rsidRDefault="004275F9" w:rsidP="00F54663">
            <w:pPr>
              <w:spacing w:after="0" w:line="240" w:lineRule="auto"/>
              <w:contextualSpacing/>
              <w:jc w:val="center"/>
              <w:rPr>
                <w:rFonts w:ascii="Arial" w:eastAsia="Times New Roman" w:hAnsi="Arial" w:cs="Arial"/>
                <w:sz w:val="20"/>
                <w:szCs w:val="20"/>
                <w:highlight w:val="yellow"/>
                <w:lang w:eastAsia="en-GB"/>
              </w:rPr>
            </w:pPr>
          </w:p>
        </w:tc>
        <w:tc>
          <w:tcPr>
            <w:tcW w:w="1059"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12445</w:t>
            </w:r>
          </w:p>
        </w:tc>
        <w:tc>
          <w:tcPr>
            <w:tcW w:w="2694"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0.875 (0.841 to 0.910)</w:t>
            </w:r>
          </w:p>
        </w:tc>
        <w:tc>
          <w:tcPr>
            <w:tcW w:w="451" w:type="dxa"/>
            <w:gridSpan w:val="2"/>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p>
        </w:tc>
        <w:tc>
          <w:tcPr>
            <w:tcW w:w="1600" w:type="dxa"/>
            <w:gridSpan w:val="2"/>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12125</w:t>
            </w:r>
          </w:p>
        </w:tc>
        <w:tc>
          <w:tcPr>
            <w:tcW w:w="2410"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0.951 (0.913 to 0.990)</w:t>
            </w:r>
          </w:p>
        </w:tc>
      </w:tr>
      <w:tr w:rsidR="004275F9" w:rsidRPr="00483F74"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3F74" w:rsidRDefault="004275F9" w:rsidP="00F54663">
            <w:pPr>
              <w:spacing w:after="0" w:line="240" w:lineRule="auto"/>
              <w:contextualSpacing/>
              <w:jc w:val="center"/>
              <w:rPr>
                <w:rFonts w:ascii="Arial" w:eastAsia="Times New Roman" w:hAnsi="Arial" w:cs="Arial"/>
                <w:sz w:val="20"/>
                <w:szCs w:val="20"/>
                <w:highlight w:val="yellow"/>
                <w:lang w:eastAsia="en-GB"/>
              </w:rPr>
            </w:pPr>
          </w:p>
        </w:tc>
        <w:tc>
          <w:tcPr>
            <w:tcW w:w="932" w:type="dxa"/>
            <w:tcBorders>
              <w:top w:val="nil"/>
              <w:left w:val="nil"/>
              <w:bottom w:val="nil"/>
              <w:right w:val="nil"/>
            </w:tcBorders>
            <w:shd w:val="clear" w:color="auto" w:fill="auto"/>
            <w:noWrap/>
            <w:vAlign w:val="bottom"/>
            <w:hideMark/>
          </w:tcPr>
          <w:p w:rsidR="004275F9" w:rsidRPr="00810F52" w:rsidRDefault="004275F9" w:rsidP="00F54663">
            <w:pPr>
              <w:spacing w:after="0" w:line="240" w:lineRule="auto"/>
              <w:contextualSpacing/>
              <w:jc w:val="center"/>
              <w:rPr>
                <w:rFonts w:ascii="Arial" w:eastAsia="Times New Roman" w:hAnsi="Arial" w:cs="Arial"/>
                <w:sz w:val="20"/>
                <w:szCs w:val="20"/>
                <w:lang w:eastAsia="en-GB"/>
              </w:rPr>
            </w:pPr>
            <w:r w:rsidRPr="00810F52">
              <w:rPr>
                <w:rFonts w:ascii="Arial" w:eastAsia="Times New Roman" w:hAnsi="Arial" w:cs="Arial"/>
                <w:sz w:val="20"/>
                <w:szCs w:val="20"/>
                <w:lang w:eastAsia="en-GB"/>
              </w:rPr>
              <w:t>85+</w:t>
            </w:r>
          </w:p>
        </w:tc>
        <w:tc>
          <w:tcPr>
            <w:tcW w:w="1430"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7651</w:t>
            </w:r>
          </w:p>
        </w:tc>
        <w:tc>
          <w:tcPr>
            <w:tcW w:w="2803"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0.818 (0.780 to 0.858)</w:t>
            </w:r>
          </w:p>
        </w:tc>
        <w:tc>
          <w:tcPr>
            <w:tcW w:w="393" w:type="dxa"/>
            <w:tcBorders>
              <w:top w:val="nil"/>
              <w:left w:val="nil"/>
              <w:bottom w:val="nil"/>
              <w:right w:val="nil"/>
            </w:tcBorders>
            <w:shd w:val="clear" w:color="auto" w:fill="auto"/>
            <w:noWrap/>
            <w:hideMark/>
          </w:tcPr>
          <w:p w:rsidR="004275F9" w:rsidRPr="00483F74" w:rsidRDefault="004275F9" w:rsidP="00F54663">
            <w:pPr>
              <w:spacing w:after="0" w:line="240" w:lineRule="auto"/>
              <w:contextualSpacing/>
              <w:jc w:val="center"/>
              <w:rPr>
                <w:rFonts w:ascii="Arial" w:eastAsia="Times New Roman" w:hAnsi="Arial" w:cs="Arial"/>
                <w:sz w:val="20"/>
                <w:szCs w:val="20"/>
                <w:highlight w:val="yellow"/>
                <w:lang w:eastAsia="en-GB"/>
              </w:rPr>
            </w:pPr>
          </w:p>
        </w:tc>
        <w:tc>
          <w:tcPr>
            <w:tcW w:w="1059"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6602</w:t>
            </w:r>
          </w:p>
        </w:tc>
        <w:tc>
          <w:tcPr>
            <w:tcW w:w="2694"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0.877 (0.832 to 0.925)</w:t>
            </w:r>
          </w:p>
        </w:tc>
        <w:tc>
          <w:tcPr>
            <w:tcW w:w="451" w:type="dxa"/>
            <w:gridSpan w:val="2"/>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p>
        </w:tc>
        <w:tc>
          <w:tcPr>
            <w:tcW w:w="1600" w:type="dxa"/>
            <w:gridSpan w:val="2"/>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7564</w:t>
            </w:r>
          </w:p>
        </w:tc>
        <w:tc>
          <w:tcPr>
            <w:tcW w:w="2410"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0.910 (0.865 to 0.958)</w:t>
            </w:r>
          </w:p>
        </w:tc>
      </w:tr>
      <w:tr w:rsidR="004275F9" w:rsidRPr="0048707D"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3F74" w:rsidRDefault="004275F9" w:rsidP="00F54663">
            <w:pPr>
              <w:spacing w:after="0" w:line="240" w:lineRule="auto"/>
              <w:contextualSpacing/>
              <w:jc w:val="center"/>
              <w:rPr>
                <w:rFonts w:ascii="Arial" w:eastAsia="Times New Roman" w:hAnsi="Arial" w:cs="Arial"/>
                <w:sz w:val="20"/>
                <w:szCs w:val="20"/>
                <w:highlight w:val="yellow"/>
                <w:lang w:eastAsia="en-GB"/>
              </w:rPr>
            </w:pPr>
          </w:p>
        </w:tc>
        <w:tc>
          <w:tcPr>
            <w:tcW w:w="932" w:type="dxa"/>
            <w:tcBorders>
              <w:top w:val="nil"/>
              <w:left w:val="nil"/>
              <w:bottom w:val="nil"/>
              <w:right w:val="nil"/>
            </w:tcBorders>
            <w:shd w:val="clear" w:color="auto" w:fill="auto"/>
            <w:noWrap/>
            <w:vAlign w:val="bottom"/>
            <w:hideMark/>
          </w:tcPr>
          <w:p w:rsidR="004275F9" w:rsidRPr="00810F52" w:rsidRDefault="004275F9" w:rsidP="00F54663">
            <w:pPr>
              <w:spacing w:after="0" w:line="240" w:lineRule="auto"/>
              <w:contextualSpacing/>
              <w:jc w:val="center"/>
              <w:rPr>
                <w:rFonts w:ascii="Arial" w:eastAsia="Times New Roman" w:hAnsi="Arial" w:cs="Arial"/>
                <w:sz w:val="20"/>
                <w:szCs w:val="20"/>
                <w:lang w:eastAsia="en-GB"/>
              </w:rPr>
            </w:pPr>
            <w:r w:rsidRPr="00810F52">
              <w:rPr>
                <w:rFonts w:ascii="Arial" w:eastAsia="Times New Roman" w:hAnsi="Arial" w:cs="Arial"/>
                <w:sz w:val="20"/>
                <w:szCs w:val="20"/>
                <w:lang w:eastAsia="en-GB"/>
              </w:rPr>
              <w:t>Overall</w:t>
            </w:r>
          </w:p>
        </w:tc>
        <w:tc>
          <w:tcPr>
            <w:tcW w:w="1430"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23570</w:t>
            </w:r>
          </w:p>
        </w:tc>
        <w:tc>
          <w:tcPr>
            <w:tcW w:w="2803"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0.806 (0.784 to 0.829)</w:t>
            </w:r>
          </w:p>
        </w:tc>
        <w:tc>
          <w:tcPr>
            <w:tcW w:w="393" w:type="dxa"/>
            <w:tcBorders>
              <w:top w:val="nil"/>
              <w:left w:val="nil"/>
              <w:bottom w:val="nil"/>
              <w:right w:val="nil"/>
            </w:tcBorders>
            <w:shd w:val="clear" w:color="auto" w:fill="auto"/>
            <w:noWrap/>
            <w:hideMark/>
          </w:tcPr>
          <w:p w:rsidR="004275F9" w:rsidRPr="00483F74" w:rsidRDefault="004275F9" w:rsidP="00F54663">
            <w:pPr>
              <w:spacing w:after="0" w:line="240" w:lineRule="auto"/>
              <w:contextualSpacing/>
              <w:jc w:val="center"/>
              <w:rPr>
                <w:rFonts w:ascii="Arial" w:eastAsia="Times New Roman" w:hAnsi="Arial" w:cs="Arial"/>
                <w:sz w:val="20"/>
                <w:szCs w:val="20"/>
                <w:highlight w:val="yellow"/>
                <w:lang w:eastAsia="en-GB"/>
              </w:rPr>
            </w:pPr>
          </w:p>
        </w:tc>
        <w:tc>
          <w:tcPr>
            <w:tcW w:w="1059"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20809</w:t>
            </w:r>
          </w:p>
        </w:tc>
        <w:tc>
          <w:tcPr>
            <w:tcW w:w="2694"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0.871 (0.845 to 0.898)</w:t>
            </w:r>
          </w:p>
        </w:tc>
        <w:tc>
          <w:tcPr>
            <w:tcW w:w="451" w:type="dxa"/>
            <w:gridSpan w:val="2"/>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p>
        </w:tc>
        <w:tc>
          <w:tcPr>
            <w:tcW w:w="1600" w:type="dxa"/>
            <w:gridSpan w:val="2"/>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21139</w:t>
            </w:r>
          </w:p>
        </w:tc>
        <w:tc>
          <w:tcPr>
            <w:tcW w:w="2410" w:type="dxa"/>
            <w:tcBorders>
              <w:top w:val="nil"/>
              <w:left w:val="nil"/>
              <w:bottom w:val="nil"/>
              <w:right w:val="nil"/>
            </w:tcBorders>
            <w:shd w:val="clear" w:color="auto" w:fill="auto"/>
            <w:noWrap/>
            <w:vAlign w:val="bottom"/>
            <w:hideMark/>
          </w:tcPr>
          <w:p w:rsidR="004275F9" w:rsidRDefault="004275F9" w:rsidP="00F54663">
            <w:pPr>
              <w:spacing w:after="0"/>
              <w:contextualSpacing/>
              <w:jc w:val="center"/>
              <w:rPr>
                <w:rFonts w:ascii="Calibri" w:hAnsi="Calibri" w:cs="Calibri"/>
                <w:color w:val="000000"/>
              </w:rPr>
            </w:pPr>
            <w:r>
              <w:rPr>
                <w:rFonts w:ascii="Calibri" w:hAnsi="Calibri" w:cs="Calibri"/>
                <w:color w:val="000000"/>
              </w:rPr>
              <w:t>0.948 (0.919 to 0.977)</w:t>
            </w:r>
          </w:p>
        </w:tc>
      </w:tr>
      <w:tr w:rsidR="004275F9" w:rsidRPr="0048707D" w:rsidTr="00F54663">
        <w:trPr>
          <w:gridAfter w:val="1"/>
          <w:wAfter w:w="26" w:type="dxa"/>
          <w:trHeight w:val="255"/>
        </w:trPr>
        <w:tc>
          <w:tcPr>
            <w:tcW w:w="2004" w:type="dxa"/>
            <w:gridSpan w:val="2"/>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Alzheimer's</w:t>
            </w:r>
            <w:r>
              <w:rPr>
                <w:rFonts w:ascii="Arial" w:eastAsia="Times New Roman" w:hAnsi="Arial" w:cs="Arial"/>
                <w:sz w:val="20"/>
                <w:szCs w:val="20"/>
                <w:lang w:eastAsia="en-GB"/>
              </w:rPr>
              <w:t xml:space="preserve"> disease</w:t>
            </w:r>
          </w:p>
        </w:tc>
        <w:tc>
          <w:tcPr>
            <w:tcW w:w="1430" w:type="dxa"/>
            <w:tcBorders>
              <w:top w:val="nil"/>
              <w:left w:val="nil"/>
              <w:bottom w:val="nil"/>
              <w:right w:val="nil"/>
            </w:tcBorders>
            <w:shd w:val="clear" w:color="auto" w:fill="auto"/>
            <w:noWrap/>
            <w:hideMark/>
          </w:tcPr>
          <w:p w:rsidR="004275F9" w:rsidRPr="0048707D" w:rsidRDefault="004275F9" w:rsidP="00F54663">
            <w:pPr>
              <w:spacing w:after="0" w:line="240" w:lineRule="auto"/>
              <w:rPr>
                <w:rFonts w:ascii="Arial" w:eastAsia="Times New Roman" w:hAnsi="Arial" w:cs="Arial"/>
                <w:sz w:val="20"/>
                <w:szCs w:val="20"/>
                <w:lang w:eastAsia="en-GB"/>
              </w:rPr>
            </w:pPr>
          </w:p>
        </w:tc>
        <w:tc>
          <w:tcPr>
            <w:tcW w:w="280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39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1059"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2694"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451"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1600"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r>
      <w:tr w:rsidR="004275F9" w:rsidRPr="0048707D"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&lt;70</w:t>
            </w:r>
          </w:p>
        </w:tc>
        <w:tc>
          <w:tcPr>
            <w:tcW w:w="143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1703</w:t>
            </w:r>
          </w:p>
        </w:tc>
        <w:tc>
          <w:tcPr>
            <w:tcW w:w="280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0.725 (0.651 to 0.807)</w:t>
            </w:r>
          </w:p>
        </w:tc>
        <w:tc>
          <w:tcPr>
            <w:tcW w:w="39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059"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1308</w:t>
            </w:r>
          </w:p>
        </w:tc>
        <w:tc>
          <w:tcPr>
            <w:tcW w:w="2694"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0.768 (0.680 to 0.868)</w:t>
            </w:r>
          </w:p>
        </w:tc>
        <w:tc>
          <w:tcPr>
            <w:tcW w:w="451"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600"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996</w:t>
            </w:r>
          </w:p>
        </w:tc>
        <w:tc>
          <w:tcPr>
            <w:tcW w:w="241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0.984 (0.859 to 1.127)</w:t>
            </w:r>
          </w:p>
        </w:tc>
      </w:tr>
      <w:tr w:rsidR="004275F9" w:rsidRPr="0048707D"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93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70-84</w:t>
            </w:r>
          </w:p>
        </w:tc>
        <w:tc>
          <w:tcPr>
            <w:tcW w:w="143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10785</w:t>
            </w:r>
          </w:p>
        </w:tc>
        <w:tc>
          <w:tcPr>
            <w:tcW w:w="280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0.797 (0.765 to 0.831)</w:t>
            </w:r>
          </w:p>
        </w:tc>
        <w:tc>
          <w:tcPr>
            <w:tcW w:w="39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059"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9035</w:t>
            </w:r>
          </w:p>
        </w:tc>
        <w:tc>
          <w:tcPr>
            <w:tcW w:w="2694"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0.878 (0.838 to 0.919)</w:t>
            </w:r>
          </w:p>
        </w:tc>
        <w:tc>
          <w:tcPr>
            <w:tcW w:w="451"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600"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8497</w:t>
            </w:r>
          </w:p>
        </w:tc>
        <w:tc>
          <w:tcPr>
            <w:tcW w:w="241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0.912 (0.869 to 0.957)</w:t>
            </w:r>
          </w:p>
        </w:tc>
      </w:tr>
      <w:tr w:rsidR="004275F9" w:rsidRPr="0048707D"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93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85+</w:t>
            </w:r>
          </w:p>
        </w:tc>
        <w:tc>
          <w:tcPr>
            <w:tcW w:w="143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6310</w:t>
            </w:r>
          </w:p>
        </w:tc>
        <w:tc>
          <w:tcPr>
            <w:tcW w:w="280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0.804 (0.763 to 0.847)</w:t>
            </w:r>
          </w:p>
        </w:tc>
        <w:tc>
          <w:tcPr>
            <w:tcW w:w="39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059"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5037</w:t>
            </w:r>
          </w:p>
        </w:tc>
        <w:tc>
          <w:tcPr>
            <w:tcW w:w="2694"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0.843 (0.793 to 0.896)</w:t>
            </w:r>
          </w:p>
        </w:tc>
        <w:tc>
          <w:tcPr>
            <w:tcW w:w="451"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600"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5490</w:t>
            </w:r>
          </w:p>
        </w:tc>
        <w:tc>
          <w:tcPr>
            <w:tcW w:w="241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0.877 (0.826 to 0.931)</w:t>
            </w:r>
          </w:p>
        </w:tc>
      </w:tr>
      <w:tr w:rsidR="004275F9" w:rsidRPr="0048707D"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93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Overall</w:t>
            </w:r>
          </w:p>
        </w:tc>
        <w:tc>
          <w:tcPr>
            <w:tcW w:w="143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18798</w:t>
            </w:r>
          </w:p>
        </w:tc>
        <w:tc>
          <w:tcPr>
            <w:tcW w:w="280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0.792 (0.768 to 0.817)</w:t>
            </w:r>
          </w:p>
        </w:tc>
        <w:tc>
          <w:tcPr>
            <w:tcW w:w="39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059"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15380</w:t>
            </w:r>
          </w:p>
        </w:tc>
        <w:tc>
          <w:tcPr>
            <w:tcW w:w="2694"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0.858 (0.828 to 0.889)</w:t>
            </w:r>
          </w:p>
        </w:tc>
        <w:tc>
          <w:tcPr>
            <w:tcW w:w="451"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600"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14983</w:t>
            </w:r>
          </w:p>
        </w:tc>
        <w:tc>
          <w:tcPr>
            <w:tcW w:w="241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0.905 (0.873 to 0.938)</w:t>
            </w:r>
          </w:p>
        </w:tc>
      </w:tr>
      <w:tr w:rsidR="004275F9" w:rsidRPr="0048707D" w:rsidTr="00F54663">
        <w:trPr>
          <w:gridAfter w:val="1"/>
          <w:wAfter w:w="26" w:type="dxa"/>
          <w:trHeight w:val="255"/>
        </w:trPr>
        <w:tc>
          <w:tcPr>
            <w:tcW w:w="2004" w:type="dxa"/>
            <w:gridSpan w:val="2"/>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Vascular dementia</w:t>
            </w:r>
          </w:p>
        </w:tc>
        <w:tc>
          <w:tcPr>
            <w:tcW w:w="1430" w:type="dxa"/>
            <w:tcBorders>
              <w:top w:val="nil"/>
              <w:left w:val="nil"/>
              <w:bottom w:val="nil"/>
              <w:right w:val="nil"/>
            </w:tcBorders>
            <w:shd w:val="clear" w:color="auto" w:fill="auto"/>
            <w:noWrap/>
            <w:hideMark/>
          </w:tcPr>
          <w:p w:rsidR="004275F9" w:rsidRPr="0048707D" w:rsidRDefault="004275F9" w:rsidP="00F54663">
            <w:pPr>
              <w:spacing w:after="0" w:line="240" w:lineRule="auto"/>
              <w:rPr>
                <w:rFonts w:ascii="Arial" w:eastAsia="Times New Roman" w:hAnsi="Arial" w:cs="Arial"/>
                <w:sz w:val="20"/>
                <w:szCs w:val="20"/>
                <w:lang w:eastAsia="en-GB"/>
              </w:rPr>
            </w:pPr>
          </w:p>
        </w:tc>
        <w:tc>
          <w:tcPr>
            <w:tcW w:w="280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39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1059"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2694"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451"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1600"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241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r>
      <w:tr w:rsidR="004275F9" w:rsidRPr="0048707D"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jc w:val="center"/>
              <w:rPr>
                <w:rFonts w:ascii="Times New Roman" w:eastAsia="Times New Roman" w:hAnsi="Times New Roman" w:cs="Times New Roman"/>
                <w:sz w:val="20"/>
                <w:szCs w:val="20"/>
                <w:lang w:eastAsia="en-GB"/>
              </w:rPr>
            </w:pPr>
          </w:p>
        </w:tc>
        <w:tc>
          <w:tcPr>
            <w:tcW w:w="93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&lt;70</w:t>
            </w:r>
          </w:p>
        </w:tc>
        <w:tc>
          <w:tcPr>
            <w:tcW w:w="143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348</w:t>
            </w:r>
          </w:p>
        </w:tc>
        <w:tc>
          <w:tcPr>
            <w:tcW w:w="280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1.033 (0.819 to 1.303)</w:t>
            </w:r>
          </w:p>
        </w:tc>
        <w:tc>
          <w:tcPr>
            <w:tcW w:w="39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059"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301</w:t>
            </w:r>
          </w:p>
        </w:tc>
        <w:tc>
          <w:tcPr>
            <w:tcW w:w="2694"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0.983 (0.767 to 1.259)</w:t>
            </w:r>
          </w:p>
        </w:tc>
        <w:tc>
          <w:tcPr>
            <w:tcW w:w="451"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600"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314</w:t>
            </w:r>
          </w:p>
        </w:tc>
        <w:tc>
          <w:tcPr>
            <w:tcW w:w="241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1.425 (1.131 to 1.796)</w:t>
            </w:r>
          </w:p>
        </w:tc>
      </w:tr>
      <w:tr w:rsidR="004275F9" w:rsidRPr="0048707D" w:rsidTr="00F54663">
        <w:trPr>
          <w:gridAfter w:val="1"/>
          <w:wAfter w:w="26" w:type="dxa"/>
          <w:trHeight w:val="255"/>
        </w:trPr>
        <w:tc>
          <w:tcPr>
            <w:tcW w:w="107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932" w:type="dxa"/>
            <w:tcBorders>
              <w:top w:val="nil"/>
              <w:left w:val="nil"/>
              <w:bottom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70-84</w:t>
            </w:r>
          </w:p>
        </w:tc>
        <w:tc>
          <w:tcPr>
            <w:tcW w:w="143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2492</w:t>
            </w:r>
          </w:p>
        </w:tc>
        <w:tc>
          <w:tcPr>
            <w:tcW w:w="280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0.876 (0.803 to 0.955)</w:t>
            </w:r>
          </w:p>
        </w:tc>
        <w:tc>
          <w:tcPr>
            <w:tcW w:w="393"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059"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2872</w:t>
            </w:r>
          </w:p>
        </w:tc>
        <w:tc>
          <w:tcPr>
            <w:tcW w:w="2694"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0.896 (0.825 to 0.972)</w:t>
            </w:r>
          </w:p>
        </w:tc>
        <w:tc>
          <w:tcPr>
            <w:tcW w:w="451"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600" w:type="dxa"/>
            <w:gridSpan w:val="2"/>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3015</w:t>
            </w:r>
          </w:p>
        </w:tc>
        <w:tc>
          <w:tcPr>
            <w:tcW w:w="2410" w:type="dxa"/>
            <w:tcBorders>
              <w:top w:val="nil"/>
              <w:left w:val="nil"/>
              <w:bottom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1.061 (0.979 to 1.149)</w:t>
            </w:r>
          </w:p>
        </w:tc>
      </w:tr>
      <w:tr w:rsidR="004275F9" w:rsidRPr="0048707D" w:rsidTr="00F54663">
        <w:trPr>
          <w:gridAfter w:val="1"/>
          <w:wAfter w:w="26" w:type="dxa"/>
          <w:trHeight w:val="255"/>
        </w:trPr>
        <w:tc>
          <w:tcPr>
            <w:tcW w:w="1072" w:type="dxa"/>
            <w:tcBorders>
              <w:top w:val="nil"/>
              <w:left w:val="nil"/>
              <w:right w:val="nil"/>
            </w:tcBorders>
            <w:shd w:val="clear" w:color="auto" w:fill="auto"/>
            <w:noWrap/>
            <w:vAlign w:val="bottom"/>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932" w:type="dxa"/>
            <w:tcBorders>
              <w:top w:val="nil"/>
              <w:left w:val="nil"/>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85+</w:t>
            </w:r>
          </w:p>
        </w:tc>
        <w:tc>
          <w:tcPr>
            <w:tcW w:w="1430" w:type="dxa"/>
            <w:tcBorders>
              <w:top w:val="nil"/>
              <w:left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1210</w:t>
            </w:r>
          </w:p>
        </w:tc>
        <w:tc>
          <w:tcPr>
            <w:tcW w:w="2803" w:type="dxa"/>
            <w:tcBorders>
              <w:top w:val="nil"/>
              <w:left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0.911 (0.807 to 1.027)</w:t>
            </w:r>
          </w:p>
        </w:tc>
        <w:tc>
          <w:tcPr>
            <w:tcW w:w="393" w:type="dxa"/>
            <w:tcBorders>
              <w:top w:val="nil"/>
              <w:left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059" w:type="dxa"/>
            <w:tcBorders>
              <w:top w:val="nil"/>
              <w:left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1415</w:t>
            </w:r>
          </w:p>
        </w:tc>
        <w:tc>
          <w:tcPr>
            <w:tcW w:w="2694" w:type="dxa"/>
            <w:tcBorders>
              <w:top w:val="nil"/>
              <w:left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1.014 (0.905 to 1.137)</w:t>
            </w:r>
          </w:p>
        </w:tc>
        <w:tc>
          <w:tcPr>
            <w:tcW w:w="451" w:type="dxa"/>
            <w:gridSpan w:val="2"/>
            <w:tcBorders>
              <w:top w:val="nil"/>
              <w:left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600" w:type="dxa"/>
            <w:gridSpan w:val="2"/>
            <w:tcBorders>
              <w:top w:val="nil"/>
              <w:left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1849</w:t>
            </w:r>
          </w:p>
        </w:tc>
        <w:tc>
          <w:tcPr>
            <w:tcW w:w="2410" w:type="dxa"/>
            <w:tcBorders>
              <w:top w:val="nil"/>
              <w:left w:val="nil"/>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1.001 (0.904 to 1.109)</w:t>
            </w:r>
          </w:p>
        </w:tc>
      </w:tr>
      <w:tr w:rsidR="004275F9" w:rsidRPr="0048707D" w:rsidTr="00F54663">
        <w:trPr>
          <w:gridAfter w:val="1"/>
          <w:wAfter w:w="26" w:type="dxa"/>
          <w:trHeight w:val="255"/>
        </w:trPr>
        <w:tc>
          <w:tcPr>
            <w:tcW w:w="1072" w:type="dxa"/>
            <w:tcBorders>
              <w:top w:val="nil"/>
              <w:left w:val="nil"/>
              <w:bottom w:val="single" w:sz="4" w:space="0" w:color="auto"/>
              <w:right w:val="nil"/>
            </w:tcBorders>
            <w:shd w:val="clear" w:color="auto" w:fill="auto"/>
            <w:noWrap/>
            <w:vAlign w:val="bottom"/>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932" w:type="dxa"/>
            <w:tcBorders>
              <w:top w:val="nil"/>
              <w:left w:val="nil"/>
              <w:bottom w:val="single" w:sz="4" w:space="0" w:color="auto"/>
              <w:right w:val="nil"/>
            </w:tcBorders>
            <w:shd w:val="clear" w:color="auto" w:fill="auto"/>
            <w:noWrap/>
            <w:vAlign w:val="bottom"/>
            <w:hideMark/>
          </w:tcPr>
          <w:p w:rsidR="004275F9" w:rsidRPr="0048707D" w:rsidRDefault="004275F9" w:rsidP="00F54663">
            <w:pPr>
              <w:spacing w:after="0" w:line="240" w:lineRule="auto"/>
              <w:rPr>
                <w:rFonts w:ascii="Arial" w:eastAsia="Times New Roman" w:hAnsi="Arial" w:cs="Arial"/>
                <w:sz w:val="20"/>
                <w:szCs w:val="20"/>
                <w:lang w:eastAsia="en-GB"/>
              </w:rPr>
            </w:pPr>
            <w:r w:rsidRPr="0048707D">
              <w:rPr>
                <w:rFonts w:ascii="Arial" w:eastAsia="Times New Roman" w:hAnsi="Arial" w:cs="Arial"/>
                <w:sz w:val="20"/>
                <w:szCs w:val="20"/>
                <w:lang w:eastAsia="en-GB"/>
              </w:rPr>
              <w:t>Overall</w:t>
            </w:r>
          </w:p>
        </w:tc>
        <w:tc>
          <w:tcPr>
            <w:tcW w:w="1430" w:type="dxa"/>
            <w:tcBorders>
              <w:top w:val="nil"/>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4050</w:t>
            </w:r>
          </w:p>
        </w:tc>
        <w:tc>
          <w:tcPr>
            <w:tcW w:w="2803" w:type="dxa"/>
            <w:tcBorders>
              <w:top w:val="nil"/>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0.895 (0.837 to 0.958)</w:t>
            </w:r>
          </w:p>
        </w:tc>
        <w:tc>
          <w:tcPr>
            <w:tcW w:w="393" w:type="dxa"/>
            <w:tcBorders>
              <w:top w:val="nil"/>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059" w:type="dxa"/>
            <w:tcBorders>
              <w:top w:val="nil"/>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4588</w:t>
            </w:r>
          </w:p>
        </w:tc>
        <w:tc>
          <w:tcPr>
            <w:tcW w:w="2694" w:type="dxa"/>
            <w:tcBorders>
              <w:top w:val="nil"/>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0.937 (0.878 to 0.999)</w:t>
            </w:r>
          </w:p>
        </w:tc>
        <w:tc>
          <w:tcPr>
            <w:tcW w:w="451" w:type="dxa"/>
            <w:gridSpan w:val="2"/>
            <w:tcBorders>
              <w:top w:val="nil"/>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p>
        </w:tc>
        <w:tc>
          <w:tcPr>
            <w:tcW w:w="1600" w:type="dxa"/>
            <w:gridSpan w:val="2"/>
            <w:tcBorders>
              <w:top w:val="nil"/>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5178</w:t>
            </w:r>
          </w:p>
        </w:tc>
        <w:tc>
          <w:tcPr>
            <w:tcW w:w="2410" w:type="dxa"/>
            <w:tcBorders>
              <w:top w:val="nil"/>
              <w:left w:val="nil"/>
              <w:bottom w:val="single" w:sz="4" w:space="0" w:color="auto"/>
              <w:right w:val="nil"/>
            </w:tcBorders>
            <w:shd w:val="clear" w:color="auto" w:fill="auto"/>
            <w:noWrap/>
            <w:hideMark/>
          </w:tcPr>
          <w:p w:rsidR="004275F9" w:rsidRPr="0048707D" w:rsidRDefault="004275F9" w:rsidP="00F54663">
            <w:pPr>
              <w:spacing w:after="0" w:line="240" w:lineRule="auto"/>
              <w:jc w:val="center"/>
              <w:rPr>
                <w:rFonts w:ascii="Arial" w:eastAsia="Times New Roman" w:hAnsi="Arial" w:cs="Arial"/>
                <w:sz w:val="20"/>
                <w:szCs w:val="20"/>
                <w:lang w:eastAsia="en-GB"/>
              </w:rPr>
            </w:pPr>
            <w:r w:rsidRPr="0048707D">
              <w:rPr>
                <w:rFonts w:ascii="Arial" w:eastAsia="Times New Roman" w:hAnsi="Arial" w:cs="Arial"/>
                <w:sz w:val="20"/>
                <w:szCs w:val="20"/>
                <w:lang w:eastAsia="en-GB"/>
              </w:rPr>
              <w:t>1.061 (0.998 to 1.127)</w:t>
            </w:r>
          </w:p>
        </w:tc>
      </w:tr>
    </w:tbl>
    <w:p w:rsidR="004275F9" w:rsidRDefault="004275F9" w:rsidP="004275F9">
      <w:pPr>
        <w:rPr>
          <w:b/>
        </w:rPr>
      </w:pPr>
    </w:p>
    <w:p w:rsidR="004275F9" w:rsidRDefault="004275F9" w:rsidP="004275F9">
      <w:pPr>
        <w:rPr>
          <w:b/>
        </w:rPr>
      </w:pPr>
    </w:p>
    <w:p w:rsidR="004275F9" w:rsidRDefault="004275F9" w:rsidP="004275F9">
      <w:pPr>
        <w:rPr>
          <w:b/>
        </w:rPr>
        <w:sectPr w:rsidR="004275F9" w:rsidSect="0048707D">
          <w:pgSz w:w="16838" w:h="11906" w:orient="landscape"/>
          <w:pgMar w:top="1440" w:right="1440" w:bottom="1440" w:left="1440" w:header="708" w:footer="708" w:gutter="0"/>
          <w:cols w:space="708"/>
          <w:docGrid w:linePitch="360"/>
        </w:sectPr>
      </w:pPr>
      <w:r>
        <w:rPr>
          <w:b/>
        </w:rPr>
        <w:tab/>
      </w:r>
    </w:p>
    <w:p w:rsidR="004275F9" w:rsidRDefault="004275F9" w:rsidP="004275F9">
      <w:pPr>
        <w:ind w:left="-567"/>
      </w:pPr>
      <w:r>
        <w:rPr>
          <w:b/>
        </w:rPr>
        <w:lastRenderedPageBreak/>
        <w:t xml:space="preserve">Supplementary Table 3: </w:t>
      </w:r>
      <w:r>
        <w:t xml:space="preserve"> Rate ratios of systolic blood pressure with dementia with varying degrees of statistical adjustment in </w:t>
      </w:r>
      <w:r w:rsidRPr="008F24D0">
        <w:t>2</w:t>
      </w:r>
      <w:r>
        <w:t>,</w:t>
      </w:r>
      <w:r w:rsidRPr="008F24D0">
        <w:t>324</w:t>
      </w:r>
      <w:r>
        <w:t>,</w:t>
      </w:r>
      <w:r w:rsidRPr="008F24D0">
        <w:t>605</w:t>
      </w:r>
      <w:r>
        <w:t xml:space="preserve"> patients with complete covariate information</w:t>
      </w:r>
    </w:p>
    <w:tbl>
      <w:tblPr>
        <w:tblpPr w:leftFromText="180" w:rightFromText="180" w:vertAnchor="text" w:horzAnchor="margin" w:tblpX="-459" w:tblpY="44"/>
        <w:tblW w:w="10545" w:type="dxa"/>
        <w:tblLook w:val="04A0" w:firstRow="1" w:lastRow="0" w:firstColumn="1" w:lastColumn="0" w:noHBand="0" w:noVBand="1"/>
      </w:tblPr>
      <w:tblGrid>
        <w:gridCol w:w="609"/>
        <w:gridCol w:w="1189"/>
        <w:gridCol w:w="960"/>
        <w:gridCol w:w="960"/>
        <w:gridCol w:w="2236"/>
        <w:gridCol w:w="2323"/>
        <w:gridCol w:w="2268"/>
      </w:tblGrid>
      <w:tr w:rsidR="004275F9" w:rsidRPr="00836F71" w:rsidTr="00F54663">
        <w:trPr>
          <w:trHeight w:val="510"/>
        </w:trPr>
        <w:tc>
          <w:tcPr>
            <w:tcW w:w="609" w:type="dxa"/>
            <w:tcBorders>
              <w:top w:val="single" w:sz="4" w:space="0" w:color="auto"/>
              <w:left w:val="nil"/>
              <w:bottom w:val="single" w:sz="4" w:space="0" w:color="auto"/>
              <w:right w:val="nil"/>
            </w:tcBorders>
            <w:shd w:val="clear" w:color="auto" w:fill="auto"/>
            <w:noWrap/>
          </w:tcPr>
          <w:p w:rsidR="004275F9" w:rsidRPr="00836F71" w:rsidRDefault="004275F9" w:rsidP="00F54663">
            <w:pPr>
              <w:spacing w:after="0" w:line="240" w:lineRule="auto"/>
              <w:rPr>
                <w:rFonts w:ascii="Times New Roman" w:eastAsia="Times New Roman" w:hAnsi="Times New Roman" w:cs="Times New Roman"/>
                <w:sz w:val="24"/>
                <w:szCs w:val="24"/>
                <w:lang w:eastAsia="en-GB"/>
              </w:rPr>
            </w:pPr>
          </w:p>
        </w:tc>
        <w:tc>
          <w:tcPr>
            <w:tcW w:w="1189" w:type="dxa"/>
            <w:tcBorders>
              <w:top w:val="single" w:sz="4" w:space="0" w:color="auto"/>
              <w:left w:val="nil"/>
              <w:bottom w:val="single" w:sz="4" w:space="0" w:color="auto"/>
              <w:right w:val="nil"/>
            </w:tcBorders>
            <w:shd w:val="clear" w:color="auto" w:fill="auto"/>
            <w:noWrap/>
          </w:tcPr>
          <w:p w:rsidR="004275F9" w:rsidRPr="00836F71" w:rsidRDefault="004275F9" w:rsidP="00F54663">
            <w:pPr>
              <w:spacing w:after="0" w:line="240" w:lineRule="auto"/>
              <w:rPr>
                <w:rFonts w:ascii="Arial" w:eastAsia="Times New Roman" w:hAnsi="Arial" w:cs="Arial"/>
                <w:sz w:val="20"/>
                <w:szCs w:val="20"/>
                <w:lang w:eastAsia="en-GB"/>
              </w:rPr>
            </w:pPr>
          </w:p>
        </w:tc>
        <w:tc>
          <w:tcPr>
            <w:tcW w:w="960" w:type="dxa"/>
            <w:tcBorders>
              <w:top w:val="single" w:sz="4" w:space="0" w:color="auto"/>
              <w:left w:val="nil"/>
              <w:bottom w:val="single" w:sz="4" w:space="0" w:color="auto"/>
              <w:right w:val="nil"/>
            </w:tcBorders>
            <w:shd w:val="clear" w:color="auto" w:fill="auto"/>
            <w:noWrap/>
          </w:tcPr>
          <w:p w:rsidR="004275F9" w:rsidRDefault="004275F9" w:rsidP="00F54663">
            <w:pPr>
              <w:spacing w:after="0" w:line="240" w:lineRule="auto"/>
              <w:rPr>
                <w:rFonts w:ascii="Arial" w:eastAsia="Times New Roman" w:hAnsi="Arial" w:cs="Arial"/>
                <w:sz w:val="20"/>
                <w:szCs w:val="20"/>
                <w:lang w:eastAsia="en-GB"/>
              </w:rPr>
            </w:pPr>
          </w:p>
        </w:tc>
        <w:tc>
          <w:tcPr>
            <w:tcW w:w="960" w:type="dxa"/>
            <w:tcBorders>
              <w:top w:val="single" w:sz="4" w:space="0" w:color="auto"/>
              <w:left w:val="nil"/>
              <w:bottom w:val="single" w:sz="4" w:space="0" w:color="auto"/>
              <w:right w:val="nil"/>
            </w:tcBorders>
            <w:shd w:val="clear" w:color="auto" w:fill="auto"/>
            <w:noWrap/>
          </w:tcPr>
          <w:p w:rsidR="004275F9" w:rsidRPr="00836F71" w:rsidRDefault="004275F9" w:rsidP="00F54663">
            <w:pPr>
              <w:spacing w:after="0" w:line="240" w:lineRule="auto"/>
              <w:rPr>
                <w:rFonts w:ascii="Arial" w:eastAsia="Times New Roman" w:hAnsi="Arial" w:cs="Arial"/>
                <w:sz w:val="20"/>
                <w:szCs w:val="20"/>
                <w:lang w:eastAsia="en-GB"/>
              </w:rPr>
            </w:pPr>
          </w:p>
        </w:tc>
        <w:tc>
          <w:tcPr>
            <w:tcW w:w="6827" w:type="dxa"/>
            <w:gridSpan w:val="3"/>
            <w:tcBorders>
              <w:top w:val="single" w:sz="4" w:space="0" w:color="auto"/>
              <w:left w:val="nil"/>
              <w:bottom w:val="single" w:sz="4" w:space="0" w:color="auto"/>
              <w:right w:val="nil"/>
            </w:tcBorders>
            <w:shd w:val="clear" w:color="auto" w:fill="auto"/>
            <w:noWrap/>
          </w:tcPr>
          <w:p w:rsidR="004275F9"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 ratio (95% CI)</w:t>
            </w:r>
          </w:p>
        </w:tc>
      </w:tr>
      <w:tr w:rsidR="004275F9" w:rsidRPr="00836F71" w:rsidTr="00F54663">
        <w:trPr>
          <w:trHeight w:val="510"/>
        </w:trPr>
        <w:tc>
          <w:tcPr>
            <w:tcW w:w="609" w:type="dxa"/>
            <w:tcBorders>
              <w:top w:val="single" w:sz="4" w:space="0" w:color="auto"/>
              <w:left w:val="nil"/>
              <w:bottom w:val="single" w:sz="4" w:space="0" w:color="auto"/>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4"/>
                <w:szCs w:val="24"/>
                <w:lang w:eastAsia="en-GB"/>
              </w:rPr>
            </w:pPr>
          </w:p>
        </w:tc>
        <w:tc>
          <w:tcPr>
            <w:tcW w:w="1189" w:type="dxa"/>
            <w:tcBorders>
              <w:top w:val="single" w:sz="4" w:space="0" w:color="auto"/>
              <w:left w:val="nil"/>
              <w:bottom w:val="single" w:sz="4" w:space="0" w:color="auto"/>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Period of follow up</w:t>
            </w:r>
          </w:p>
        </w:tc>
        <w:tc>
          <w:tcPr>
            <w:tcW w:w="960" w:type="dxa"/>
            <w:tcBorders>
              <w:top w:val="single" w:sz="4" w:space="0" w:color="auto"/>
              <w:left w:val="nil"/>
              <w:bottom w:val="single" w:sz="4" w:space="0" w:color="auto"/>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w:t>
            </w:r>
            <w:r w:rsidRPr="00836F71">
              <w:rPr>
                <w:rFonts w:ascii="Arial" w:eastAsia="Times New Roman" w:hAnsi="Arial" w:cs="Arial"/>
                <w:sz w:val="20"/>
                <w:szCs w:val="20"/>
                <w:lang w:eastAsia="en-GB"/>
              </w:rPr>
              <w:t>ge</w:t>
            </w:r>
            <w:r>
              <w:rPr>
                <w:rFonts w:ascii="Arial" w:eastAsia="Times New Roman" w:hAnsi="Arial" w:cs="Arial"/>
                <w:sz w:val="20"/>
                <w:szCs w:val="20"/>
                <w:lang w:eastAsia="en-GB"/>
              </w:rPr>
              <w:t xml:space="preserve"> at risk</w:t>
            </w:r>
          </w:p>
        </w:tc>
        <w:tc>
          <w:tcPr>
            <w:tcW w:w="960" w:type="dxa"/>
            <w:tcBorders>
              <w:top w:val="single" w:sz="4" w:space="0" w:color="auto"/>
              <w:left w:val="nil"/>
              <w:bottom w:val="single" w:sz="4" w:space="0" w:color="auto"/>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Events</w:t>
            </w:r>
          </w:p>
        </w:tc>
        <w:tc>
          <w:tcPr>
            <w:tcW w:w="2236" w:type="dxa"/>
            <w:tcBorders>
              <w:top w:val="single" w:sz="4" w:space="0" w:color="auto"/>
              <w:left w:val="nil"/>
              <w:bottom w:val="single" w:sz="4" w:space="0" w:color="auto"/>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Age and sex adjusted</w:t>
            </w:r>
          </w:p>
        </w:tc>
        <w:tc>
          <w:tcPr>
            <w:tcW w:w="2323" w:type="dxa"/>
            <w:tcBorders>
              <w:top w:val="single" w:sz="4" w:space="0" w:color="auto"/>
              <w:left w:val="nil"/>
              <w:bottom w:val="single" w:sz="4" w:space="0" w:color="auto"/>
              <w:right w:val="nil"/>
            </w:tcBorders>
            <w:shd w:val="clear" w:color="auto" w:fill="auto"/>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Age sex and BMI adjusted</w:t>
            </w:r>
          </w:p>
        </w:tc>
        <w:tc>
          <w:tcPr>
            <w:tcW w:w="2268" w:type="dxa"/>
            <w:tcBorders>
              <w:top w:val="single" w:sz="4" w:space="0" w:color="auto"/>
              <w:left w:val="nil"/>
              <w:bottom w:val="single" w:sz="4" w:space="0" w:color="auto"/>
              <w:right w:val="nil"/>
            </w:tcBorders>
            <w:shd w:val="clear" w:color="auto" w:fill="auto"/>
            <w:hideMark/>
          </w:tcPr>
          <w:p w:rsidR="004275F9" w:rsidRPr="00836F71"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Adjusted for 10 additional covariates*</w:t>
            </w:r>
          </w:p>
        </w:tc>
      </w:tr>
      <w:tr w:rsidR="004275F9" w:rsidRPr="00836F71" w:rsidTr="00F54663">
        <w:trPr>
          <w:trHeight w:val="255"/>
        </w:trPr>
        <w:tc>
          <w:tcPr>
            <w:tcW w:w="1798" w:type="dxa"/>
            <w:gridSpan w:val="2"/>
            <w:tcBorders>
              <w:top w:val="single" w:sz="4" w:space="0" w:color="auto"/>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All d</w:t>
            </w:r>
            <w:r w:rsidRPr="00836F71">
              <w:rPr>
                <w:rFonts w:ascii="Arial" w:eastAsia="Times New Roman" w:hAnsi="Arial" w:cs="Arial"/>
                <w:b/>
                <w:bCs/>
                <w:sz w:val="20"/>
                <w:szCs w:val="20"/>
                <w:lang w:eastAsia="en-GB"/>
              </w:rPr>
              <w:t>ementia</w:t>
            </w:r>
          </w:p>
        </w:tc>
        <w:tc>
          <w:tcPr>
            <w:tcW w:w="960" w:type="dxa"/>
            <w:tcBorders>
              <w:top w:val="single" w:sz="4" w:space="0" w:color="auto"/>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b/>
                <w:bCs/>
                <w:sz w:val="20"/>
                <w:szCs w:val="20"/>
                <w:lang w:eastAsia="en-GB"/>
              </w:rPr>
            </w:pPr>
          </w:p>
        </w:tc>
        <w:tc>
          <w:tcPr>
            <w:tcW w:w="960" w:type="dxa"/>
            <w:tcBorders>
              <w:top w:val="single" w:sz="4" w:space="0" w:color="auto"/>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2236" w:type="dxa"/>
            <w:tcBorders>
              <w:top w:val="single" w:sz="4" w:space="0" w:color="auto"/>
              <w:left w:val="nil"/>
              <w:bottom w:val="nil"/>
              <w:right w:val="nil"/>
            </w:tcBorders>
            <w:shd w:val="clear" w:color="auto" w:fill="auto"/>
            <w:noWrap/>
            <w:hideMark/>
          </w:tcPr>
          <w:p w:rsidR="004275F9" w:rsidRPr="00836F71" w:rsidRDefault="004275F9" w:rsidP="00F54663">
            <w:pPr>
              <w:spacing w:after="0" w:line="240" w:lineRule="auto"/>
              <w:jc w:val="center"/>
              <w:rPr>
                <w:rFonts w:ascii="Times New Roman" w:eastAsia="Times New Roman" w:hAnsi="Times New Roman" w:cs="Times New Roman"/>
                <w:sz w:val="20"/>
                <w:szCs w:val="20"/>
                <w:lang w:eastAsia="en-GB"/>
              </w:rPr>
            </w:pPr>
          </w:p>
        </w:tc>
        <w:tc>
          <w:tcPr>
            <w:tcW w:w="2323" w:type="dxa"/>
            <w:tcBorders>
              <w:top w:val="single" w:sz="4" w:space="0" w:color="auto"/>
              <w:left w:val="nil"/>
              <w:bottom w:val="nil"/>
              <w:right w:val="nil"/>
            </w:tcBorders>
            <w:shd w:val="clear" w:color="auto" w:fill="auto"/>
            <w:noWrap/>
            <w:hideMark/>
          </w:tcPr>
          <w:p w:rsidR="004275F9" w:rsidRPr="00836F71" w:rsidRDefault="004275F9" w:rsidP="00F54663">
            <w:pPr>
              <w:spacing w:after="0" w:line="240" w:lineRule="auto"/>
              <w:jc w:val="center"/>
              <w:rPr>
                <w:rFonts w:ascii="Times New Roman" w:eastAsia="Times New Roman" w:hAnsi="Times New Roman" w:cs="Times New Roman"/>
                <w:sz w:val="20"/>
                <w:szCs w:val="20"/>
                <w:lang w:eastAsia="en-GB"/>
              </w:rPr>
            </w:pPr>
          </w:p>
        </w:tc>
        <w:tc>
          <w:tcPr>
            <w:tcW w:w="2268" w:type="dxa"/>
            <w:tcBorders>
              <w:top w:val="single" w:sz="4" w:space="0" w:color="auto"/>
              <w:left w:val="nil"/>
              <w:bottom w:val="nil"/>
              <w:right w:val="nil"/>
            </w:tcBorders>
            <w:shd w:val="clear" w:color="auto" w:fill="auto"/>
            <w:noWrap/>
            <w:hideMark/>
          </w:tcPr>
          <w:p w:rsidR="004275F9" w:rsidRPr="00836F71" w:rsidRDefault="004275F9" w:rsidP="00F54663">
            <w:pPr>
              <w:spacing w:after="0" w:line="240" w:lineRule="auto"/>
              <w:jc w:val="center"/>
              <w:rPr>
                <w:rFonts w:ascii="Times New Roman" w:eastAsia="Times New Roman" w:hAnsi="Times New Roman" w:cs="Times New Roman"/>
                <w:sz w:val="20"/>
                <w:szCs w:val="20"/>
                <w:lang w:eastAsia="en-GB"/>
              </w:rPr>
            </w:pP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0-5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&lt;70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1931</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0.857 (0.812 to 0.905)</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0.902 (0.854 to 0.953)</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0.903 (0.855 to 0.954)</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70-84</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10602</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0.849 (0.831 to 0.868)</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0.870 (0.851 to 0.889)</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0.882 (0.863 to 0.902)</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85+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4676</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0.838 (0.812 to 0.865)</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0.847 (0.821 to 0.875)</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0.855 (0.828 to 0.883)</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Overall</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17209</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0.847 (0.832 to 0.861)</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0.866 (0.852 to 0.881)</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0.878 (0.863 to 0.893)</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5-10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&lt;70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1663</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0.949 (0.895 to 1.005)</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0.974 (0.919 to 1.033)</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0.969 (0.913 to 1.028)</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70-84</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11300</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0.948 (0.928 to 0.968)</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0.963 (0.944 to 0.984)</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0.971 (0.951 to 0.992)</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85+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5304</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0.927 (0.900 to 0.955)</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0.935 (0.908 to 0.963)</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0.942 (0.914 to 0.971)</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Overall</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18267</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0.942 (0.927 to 0.958)</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0.956 (0.941 to 0.972)</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0.964 (0.948 to 0.980)</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10+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&lt;70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1419</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1.059 (0.995 to 1.127)</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1.064 (0.998 to 1.135)</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1.037 (0.972 to 1.106)</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70-84</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11701</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0.993 (0.973 to 1.013)</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0.999 (0.979 to 1.020)</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0.997 (0.976 to 1.018)</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85+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6932</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0.955 (0.930 to 0.980)</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0.962 (0.937 to 0.987)</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0.965 (0.939 to 0.990)</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Overall</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20052</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0.984 (0.969 to 0.999)</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0.991 (0.975 to 1.006)</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0.991 (0.975 to 1.007)</w:t>
            </w:r>
          </w:p>
        </w:tc>
      </w:tr>
      <w:tr w:rsidR="004275F9" w:rsidRPr="00836F71" w:rsidTr="00F54663">
        <w:trPr>
          <w:trHeight w:val="255"/>
        </w:trPr>
        <w:tc>
          <w:tcPr>
            <w:tcW w:w="1798" w:type="dxa"/>
            <w:gridSpan w:val="2"/>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b/>
                <w:bCs/>
                <w:sz w:val="20"/>
                <w:szCs w:val="20"/>
                <w:lang w:eastAsia="en-GB"/>
              </w:rPr>
            </w:pPr>
            <w:r w:rsidRPr="00836F71">
              <w:rPr>
                <w:rFonts w:ascii="Arial" w:eastAsia="Times New Roman" w:hAnsi="Arial" w:cs="Arial"/>
                <w:b/>
                <w:bCs/>
                <w:sz w:val="20"/>
                <w:szCs w:val="20"/>
                <w:lang w:eastAsia="en-GB"/>
              </w:rPr>
              <w:t>Alzheimer</w:t>
            </w:r>
            <w:r>
              <w:rPr>
                <w:rFonts w:ascii="Arial" w:eastAsia="Times New Roman" w:hAnsi="Arial" w:cs="Arial"/>
                <w:b/>
                <w:bCs/>
                <w:sz w:val="20"/>
                <w:szCs w:val="20"/>
                <w:lang w:eastAsia="en-GB"/>
              </w:rPr>
              <w:t>’</w:t>
            </w:r>
            <w:r w:rsidRPr="00836F71">
              <w:rPr>
                <w:rFonts w:ascii="Arial" w:eastAsia="Times New Roman" w:hAnsi="Arial" w:cs="Arial"/>
                <w:b/>
                <w:bCs/>
                <w:sz w:val="20"/>
                <w:szCs w:val="20"/>
                <w:lang w:eastAsia="en-GB"/>
              </w:rPr>
              <w:t>s</w:t>
            </w:r>
            <w:r>
              <w:rPr>
                <w:rFonts w:ascii="Arial" w:eastAsia="Times New Roman" w:hAnsi="Arial" w:cs="Arial"/>
                <w:b/>
                <w:bCs/>
                <w:sz w:val="20"/>
                <w:szCs w:val="20"/>
                <w:lang w:eastAsia="en-GB"/>
              </w:rPr>
              <w:t xml:space="preserve"> disease</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b/>
                <w:bCs/>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Times New Roman" w:eastAsia="Times New Roman" w:hAnsi="Times New Roman" w:cs="Times New Roman"/>
                <w:sz w:val="20"/>
                <w:szCs w:val="20"/>
                <w:lang w:eastAsia="en-GB"/>
              </w:rPr>
            </w:pP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hideMark/>
          </w:tcPr>
          <w:p w:rsidR="004275F9" w:rsidRPr="001673F4" w:rsidRDefault="004275F9" w:rsidP="00F54663">
            <w:pPr>
              <w:spacing w:after="0" w:line="240" w:lineRule="auto"/>
              <w:jc w:val="center"/>
              <w:rPr>
                <w:rFonts w:ascii="Arial" w:eastAsia="Times New Roman" w:hAnsi="Arial" w:cs="Arial"/>
                <w:sz w:val="20"/>
                <w:szCs w:val="20"/>
                <w:lang w:eastAsia="en-GB"/>
              </w:rPr>
            </w:pP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0-5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&lt;70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1449</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0.857 (0.805 to 0.912)</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0.909 (0.854 to 0.968)</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0.909 (0.853 to 0.968)</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70-84</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8216</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0.845 (0.824 to 0.866)</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0.867 (0.846 to 0.889)</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0.873 (0.852 to 0.896)</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85+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3738</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0.829 (0.799 to 0.859)</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0.839 (0.809 to 0.869)</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0.843 (0.813 to 0.874)</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Overall</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13403</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0.841 (0.825 to 0.857)</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0.862 (0.845 to 0.879)</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0.868 (0.851 to 0.885)</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5-10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&lt;70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1231</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0.906 (0.847 to 0.970)</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0.932 (0.869 to 0.998)</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0.936 (0.873 to 1.003)</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70-84</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8157</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0.951 (0.928 to 0.974)</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0.970 (0.946 to 0.994)</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0.973 (0.949 to 0.997)</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85+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3976</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0.918 (0.887 to 0.950)</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0.927 (0.895 to 0.959)</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0.929 (0.897 to 0.961)</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Overall</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13364</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0.938 (0.920 to 0.956)</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0.954 (0.936 to 0.973)</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0.957 (0.939 to 0.976)</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10+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&lt;70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972</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0.975 (0.902 to 1.053)</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0.971 (0.896 to 1.051)</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0.951 (0.877 to 1.030)</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70-84</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8198</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0.963 (0.939 to 0.986)</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0.973 (0.949 to 0.997)</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0.972 (0.948 to 0.997)</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85+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5001</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0.941 (0.912 to 0.970)</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0.950 (0.921 to 0.980)</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0.952 (0.923 to 0.982)</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Overall</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14171</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0.956 (0.938 to 0.974)</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0.966 (0.948 to 0.984)</w:t>
            </w:r>
          </w:p>
        </w:tc>
        <w:tc>
          <w:tcPr>
            <w:tcW w:w="2268" w:type="dxa"/>
            <w:tcBorders>
              <w:top w:val="nil"/>
              <w:left w:val="nil"/>
              <w:bottom w:val="nil"/>
              <w:right w:val="nil"/>
            </w:tcBorders>
            <w:shd w:val="clear" w:color="auto" w:fill="auto"/>
            <w:noWrap/>
            <w:hideMark/>
          </w:tcPr>
          <w:p w:rsidR="004275F9" w:rsidRPr="001673F4" w:rsidRDefault="004275F9" w:rsidP="00F54663">
            <w:pPr>
              <w:spacing w:line="240" w:lineRule="auto"/>
              <w:contextualSpacing/>
              <w:jc w:val="center"/>
              <w:rPr>
                <w:rFonts w:ascii="Arial" w:hAnsi="Arial" w:cs="Arial"/>
                <w:color w:val="000000"/>
                <w:sz w:val="20"/>
                <w:szCs w:val="20"/>
              </w:rPr>
            </w:pPr>
            <w:r w:rsidRPr="001673F4">
              <w:rPr>
                <w:rFonts w:ascii="Arial" w:hAnsi="Arial" w:cs="Arial"/>
                <w:color w:val="000000"/>
                <w:sz w:val="20"/>
                <w:szCs w:val="20"/>
              </w:rPr>
              <w:t>0.967 (0.949 to 0.985)</w:t>
            </w:r>
          </w:p>
        </w:tc>
      </w:tr>
      <w:tr w:rsidR="004275F9" w:rsidRPr="00836F71" w:rsidTr="00F54663">
        <w:trPr>
          <w:trHeight w:val="255"/>
        </w:trPr>
        <w:tc>
          <w:tcPr>
            <w:tcW w:w="1798" w:type="dxa"/>
            <w:gridSpan w:val="2"/>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Vascular</w:t>
            </w:r>
            <w:r w:rsidRPr="00836F71">
              <w:rPr>
                <w:rFonts w:ascii="Arial" w:eastAsia="Times New Roman" w:hAnsi="Arial" w:cs="Arial"/>
                <w:b/>
                <w:bCs/>
                <w:sz w:val="20"/>
                <w:szCs w:val="20"/>
                <w:lang w:eastAsia="en-GB"/>
              </w:rPr>
              <w:t xml:space="preserve"> dementia</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b/>
                <w:bCs/>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Times New Roman" w:eastAsia="Times New Roman" w:hAnsi="Times New Roman" w:cs="Times New Roman"/>
                <w:sz w:val="20"/>
                <w:szCs w:val="20"/>
                <w:lang w:eastAsia="en-GB"/>
              </w:rPr>
            </w:pP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hideMark/>
          </w:tcPr>
          <w:p w:rsidR="004275F9" w:rsidRPr="001673F4" w:rsidRDefault="004275F9" w:rsidP="00F54663">
            <w:pPr>
              <w:spacing w:after="0" w:line="240" w:lineRule="auto"/>
              <w:jc w:val="center"/>
              <w:rPr>
                <w:rFonts w:ascii="Arial" w:eastAsia="Times New Roman" w:hAnsi="Arial" w:cs="Arial"/>
                <w:sz w:val="20"/>
                <w:szCs w:val="20"/>
                <w:lang w:eastAsia="en-GB"/>
              </w:rPr>
            </w:pP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0-5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&lt;70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314</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0.963 (0.844 to 1.100)</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0.968 (0.847 to 1.106)</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0.976 (0.855 to 1.114)</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70-84</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2065</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0.891 (0.847 to 0.937)</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0.907 (0.863 to 0.954)</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0.967 (0.936 to 0.999)</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85+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853</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0.878 (0.814 to 0.948)</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0.884 (0.819 to 0.953)</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0.967 (0.921 to 1.014)</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Overall</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3232</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0.892 (0.857 to 0.929)</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0.906 (0.870 to 0.942)</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0.975 (0.950 to 1.001)</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5-10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&lt;70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289</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1.165 (1.023 to 1.327)</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1.166 (1.022 to 1.330)</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1.120 (0.982 to 1.279)</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70-84</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2646</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0.972 (0.931 to 1.015)</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0.978 (0.937 to 1.021)</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1.003 (0.960 to 1.047)</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85+</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1214</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0.970 (0.912 to 1.033)</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0.975 (0.916 to 1.037)</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1.001 (0.940 to 1.065)</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Overall</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4149</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0.983 (0.950 to 1.018)</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0.988 (0.955 to 1.023)</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1.012 (0.978 to 1.048)</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10+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&lt;70</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311</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1.273 (1.123 to 1.444)</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1.295 (1.139 to 1.472)</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1.235 (1.086 to 1.404)</w:t>
            </w:r>
          </w:p>
        </w:tc>
      </w:tr>
      <w:tr w:rsidR="004275F9" w:rsidRPr="00836F71" w:rsidTr="00F54663">
        <w:trPr>
          <w:trHeight w:val="255"/>
        </w:trPr>
        <w:tc>
          <w:tcPr>
            <w:tcW w:w="60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70-84</w:t>
            </w:r>
          </w:p>
        </w:tc>
        <w:tc>
          <w:tcPr>
            <w:tcW w:w="960" w:type="dxa"/>
            <w:tcBorders>
              <w:top w:val="nil"/>
              <w:left w:val="nil"/>
              <w:bottom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2917</w:t>
            </w:r>
          </w:p>
        </w:tc>
        <w:tc>
          <w:tcPr>
            <w:tcW w:w="2236"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1.095 (1.052 to 1.140)</w:t>
            </w:r>
          </w:p>
        </w:tc>
        <w:tc>
          <w:tcPr>
            <w:tcW w:w="2323" w:type="dxa"/>
            <w:tcBorders>
              <w:top w:val="nil"/>
              <w:left w:val="nil"/>
              <w:bottom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1.092 (1.048 to 1.137)</w:t>
            </w:r>
          </w:p>
        </w:tc>
        <w:tc>
          <w:tcPr>
            <w:tcW w:w="2268" w:type="dxa"/>
            <w:tcBorders>
              <w:top w:val="nil"/>
              <w:left w:val="nil"/>
              <w:bottom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1.087 (1.044 to 1.132)</w:t>
            </w:r>
          </w:p>
        </w:tc>
      </w:tr>
      <w:tr w:rsidR="004275F9" w:rsidRPr="00836F71" w:rsidTr="00F54663">
        <w:trPr>
          <w:trHeight w:val="255"/>
        </w:trPr>
        <w:tc>
          <w:tcPr>
            <w:tcW w:w="609" w:type="dxa"/>
            <w:tcBorders>
              <w:top w:val="nil"/>
              <w:left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85+</w:t>
            </w:r>
          </w:p>
        </w:tc>
        <w:tc>
          <w:tcPr>
            <w:tcW w:w="960" w:type="dxa"/>
            <w:tcBorders>
              <w:top w:val="nil"/>
              <w:left w:val="nil"/>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1722</w:t>
            </w:r>
          </w:p>
        </w:tc>
        <w:tc>
          <w:tcPr>
            <w:tcW w:w="2236" w:type="dxa"/>
            <w:tcBorders>
              <w:top w:val="nil"/>
              <w:left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1.002 (0.951 to 1.056)</w:t>
            </w:r>
          </w:p>
        </w:tc>
        <w:tc>
          <w:tcPr>
            <w:tcW w:w="2323" w:type="dxa"/>
            <w:tcBorders>
              <w:top w:val="nil"/>
              <w:left w:val="nil"/>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1.003 (0.952 to 1.057)</w:t>
            </w:r>
          </w:p>
        </w:tc>
        <w:tc>
          <w:tcPr>
            <w:tcW w:w="2268" w:type="dxa"/>
            <w:tcBorders>
              <w:top w:val="nil"/>
              <w:left w:val="nil"/>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1.009 (0.957 to 1.064)</w:t>
            </w:r>
          </w:p>
        </w:tc>
      </w:tr>
      <w:tr w:rsidR="004275F9" w:rsidRPr="00836F71" w:rsidTr="00F54663">
        <w:trPr>
          <w:trHeight w:val="255"/>
        </w:trPr>
        <w:tc>
          <w:tcPr>
            <w:tcW w:w="609" w:type="dxa"/>
            <w:tcBorders>
              <w:top w:val="nil"/>
              <w:left w:val="nil"/>
              <w:bottom w:val="single" w:sz="4" w:space="0" w:color="auto"/>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p>
        </w:tc>
        <w:tc>
          <w:tcPr>
            <w:tcW w:w="1189" w:type="dxa"/>
            <w:tcBorders>
              <w:top w:val="nil"/>
              <w:left w:val="nil"/>
              <w:bottom w:val="single" w:sz="4" w:space="0" w:color="auto"/>
              <w:right w:val="nil"/>
            </w:tcBorders>
            <w:shd w:val="clear" w:color="auto" w:fill="auto"/>
            <w:noWrap/>
            <w:hideMark/>
          </w:tcPr>
          <w:p w:rsidR="004275F9" w:rsidRPr="00836F71" w:rsidRDefault="004275F9" w:rsidP="00F54663">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single" w:sz="4" w:space="0" w:color="auto"/>
              <w:right w:val="nil"/>
            </w:tcBorders>
            <w:shd w:val="clear" w:color="auto" w:fill="auto"/>
            <w:noWrap/>
            <w:hideMark/>
          </w:tcPr>
          <w:p w:rsidR="004275F9" w:rsidRPr="00836F71" w:rsidRDefault="004275F9" w:rsidP="00F54663">
            <w:pPr>
              <w:spacing w:after="0" w:line="240" w:lineRule="auto"/>
              <w:rPr>
                <w:rFonts w:ascii="Arial" w:eastAsia="Times New Roman" w:hAnsi="Arial" w:cs="Arial"/>
                <w:sz w:val="20"/>
                <w:szCs w:val="20"/>
                <w:lang w:eastAsia="en-GB"/>
              </w:rPr>
            </w:pPr>
            <w:r w:rsidRPr="00836F71">
              <w:rPr>
                <w:rFonts w:ascii="Arial" w:eastAsia="Times New Roman" w:hAnsi="Arial" w:cs="Arial"/>
                <w:sz w:val="20"/>
                <w:szCs w:val="20"/>
                <w:lang w:eastAsia="en-GB"/>
              </w:rPr>
              <w:t>Overall</w:t>
            </w:r>
          </w:p>
        </w:tc>
        <w:tc>
          <w:tcPr>
            <w:tcW w:w="960" w:type="dxa"/>
            <w:tcBorders>
              <w:top w:val="nil"/>
              <w:left w:val="nil"/>
              <w:bottom w:val="single" w:sz="4" w:space="0" w:color="auto"/>
              <w:right w:val="nil"/>
            </w:tcBorders>
            <w:shd w:val="clear" w:color="auto" w:fill="auto"/>
            <w:noWrap/>
            <w:hideMark/>
          </w:tcPr>
          <w:p w:rsidR="004275F9" w:rsidRPr="00836F71" w:rsidRDefault="004275F9" w:rsidP="00F54663">
            <w:pPr>
              <w:spacing w:after="0" w:line="240" w:lineRule="auto"/>
              <w:jc w:val="right"/>
              <w:rPr>
                <w:rFonts w:ascii="Arial" w:eastAsia="Times New Roman" w:hAnsi="Arial" w:cs="Arial"/>
                <w:sz w:val="20"/>
                <w:szCs w:val="20"/>
                <w:lang w:eastAsia="en-GB"/>
              </w:rPr>
            </w:pPr>
            <w:r w:rsidRPr="00836F71">
              <w:rPr>
                <w:rFonts w:ascii="Arial" w:eastAsia="Times New Roman" w:hAnsi="Arial" w:cs="Arial"/>
                <w:sz w:val="20"/>
                <w:szCs w:val="20"/>
                <w:lang w:eastAsia="en-GB"/>
              </w:rPr>
              <w:t>4950</w:t>
            </w:r>
          </w:p>
        </w:tc>
        <w:tc>
          <w:tcPr>
            <w:tcW w:w="2236" w:type="dxa"/>
            <w:tcBorders>
              <w:top w:val="nil"/>
              <w:left w:val="nil"/>
              <w:bottom w:val="single" w:sz="4" w:space="0" w:color="auto"/>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1.071 (1.038 to 1.104)</w:t>
            </w:r>
          </w:p>
        </w:tc>
        <w:tc>
          <w:tcPr>
            <w:tcW w:w="2323" w:type="dxa"/>
            <w:tcBorders>
              <w:top w:val="nil"/>
              <w:left w:val="nil"/>
              <w:bottom w:val="single" w:sz="4" w:space="0" w:color="auto"/>
              <w:right w:val="nil"/>
            </w:tcBorders>
            <w:shd w:val="clear" w:color="auto" w:fill="auto"/>
            <w:noWrap/>
            <w:hideMark/>
          </w:tcPr>
          <w:p w:rsidR="004275F9" w:rsidRPr="00836F71" w:rsidRDefault="004275F9" w:rsidP="00F54663">
            <w:pPr>
              <w:spacing w:after="0" w:line="240" w:lineRule="auto"/>
              <w:jc w:val="center"/>
              <w:rPr>
                <w:rFonts w:ascii="Arial" w:eastAsia="Times New Roman" w:hAnsi="Arial" w:cs="Arial"/>
                <w:sz w:val="20"/>
                <w:szCs w:val="20"/>
                <w:lang w:eastAsia="en-GB"/>
              </w:rPr>
            </w:pPr>
            <w:r w:rsidRPr="00836F71">
              <w:rPr>
                <w:rFonts w:ascii="Arial" w:eastAsia="Times New Roman" w:hAnsi="Arial" w:cs="Arial"/>
                <w:sz w:val="20"/>
                <w:szCs w:val="20"/>
                <w:lang w:eastAsia="en-GB"/>
              </w:rPr>
              <w:t>1.070 (1.037 to 1.103)</w:t>
            </w:r>
          </w:p>
        </w:tc>
        <w:tc>
          <w:tcPr>
            <w:tcW w:w="2268" w:type="dxa"/>
            <w:tcBorders>
              <w:top w:val="nil"/>
              <w:left w:val="nil"/>
              <w:bottom w:val="single" w:sz="4" w:space="0" w:color="auto"/>
              <w:right w:val="nil"/>
            </w:tcBorders>
            <w:shd w:val="clear" w:color="auto" w:fill="auto"/>
            <w:noWrap/>
            <w:hideMark/>
          </w:tcPr>
          <w:p w:rsidR="004275F9" w:rsidRPr="001673F4" w:rsidRDefault="004275F9" w:rsidP="00F54663">
            <w:pPr>
              <w:spacing w:after="0"/>
              <w:contextualSpacing/>
              <w:jc w:val="center"/>
              <w:rPr>
                <w:rFonts w:ascii="Arial" w:hAnsi="Arial" w:cs="Arial"/>
                <w:color w:val="000000"/>
                <w:sz w:val="20"/>
                <w:szCs w:val="20"/>
              </w:rPr>
            </w:pPr>
            <w:r w:rsidRPr="001673F4">
              <w:rPr>
                <w:rFonts w:ascii="Arial" w:hAnsi="Arial" w:cs="Arial"/>
                <w:color w:val="000000"/>
                <w:sz w:val="20"/>
                <w:szCs w:val="20"/>
              </w:rPr>
              <w:t>1.069 (1.037 to 1.103)</w:t>
            </w:r>
          </w:p>
        </w:tc>
      </w:tr>
    </w:tbl>
    <w:p w:rsidR="004275F9" w:rsidRDefault="004275F9" w:rsidP="004275F9">
      <w:pPr>
        <w:rPr>
          <w:sz w:val="16"/>
          <w:szCs w:val="16"/>
        </w:rPr>
        <w:sectPr w:rsidR="004275F9" w:rsidSect="00F20E86">
          <w:pgSz w:w="11906" w:h="16838"/>
          <w:pgMar w:top="1440" w:right="1440" w:bottom="1440" w:left="1440" w:header="708" w:footer="708" w:gutter="0"/>
          <w:cols w:space="708"/>
          <w:docGrid w:linePitch="360"/>
        </w:sectPr>
      </w:pPr>
      <w:r w:rsidRPr="0033038D">
        <w:rPr>
          <w:sz w:val="16"/>
          <w:szCs w:val="16"/>
        </w:rPr>
        <w:t>*Adjusted for age, sex, body mass index, alcohol consumption, socio-economic status</w:t>
      </w:r>
      <w:r>
        <w:rPr>
          <w:sz w:val="16"/>
          <w:szCs w:val="16"/>
        </w:rPr>
        <w:t xml:space="preserve"> (fifths of practice-level Townsend score)</w:t>
      </w:r>
      <w:r w:rsidRPr="0033038D">
        <w:rPr>
          <w:sz w:val="16"/>
          <w:szCs w:val="16"/>
        </w:rPr>
        <w:t xml:space="preserve">, or a history of any of the following: anti-hypertensive or statin use within previous year, stroke, atrial fibrillation, diabetes, heart failure, chronic obstructive pulmonary disease, and diabetes. </w:t>
      </w:r>
    </w:p>
    <w:p w:rsidR="004275F9" w:rsidRPr="000C1089" w:rsidRDefault="004275F9" w:rsidP="004275F9">
      <w:pPr>
        <w:rPr>
          <w:b/>
          <w:u w:val="single"/>
        </w:rPr>
      </w:pPr>
      <w:r>
        <w:rPr>
          <w:b/>
        </w:rPr>
        <w:lastRenderedPageBreak/>
        <w:t xml:space="preserve">Supplementary Table 4: </w:t>
      </w:r>
      <w:r>
        <w:t xml:space="preserve">Rate ratios of </w:t>
      </w:r>
      <w:r w:rsidR="00210D85">
        <w:t>per 10mmHg</w:t>
      </w:r>
      <w:r w:rsidR="0057177D">
        <w:t xml:space="preserve"> </w:t>
      </w:r>
      <w:r w:rsidR="00210D85">
        <w:t xml:space="preserve">higher </w:t>
      </w:r>
      <w:r w:rsidR="0057177D">
        <w:t xml:space="preserve">long-term average </w:t>
      </w:r>
      <w:r>
        <w:t xml:space="preserve">systolic blood pressure with dementia by age-at-risk and time since index measurement </w:t>
      </w:r>
      <w:r w:rsidRPr="000C1089">
        <w:rPr>
          <w:b/>
          <w:u w:val="single"/>
        </w:rPr>
        <w:t>during long-term follow up (&gt;10 years post measurement)</w:t>
      </w:r>
    </w:p>
    <w:tbl>
      <w:tblPr>
        <w:tblW w:w="14743" w:type="dxa"/>
        <w:tblInd w:w="108" w:type="dxa"/>
        <w:tblLook w:val="04A0" w:firstRow="1" w:lastRow="0" w:firstColumn="1" w:lastColumn="0" w:noHBand="0" w:noVBand="1"/>
      </w:tblPr>
      <w:tblGrid>
        <w:gridCol w:w="399"/>
        <w:gridCol w:w="1034"/>
        <w:gridCol w:w="836"/>
        <w:gridCol w:w="2410"/>
        <w:gridCol w:w="319"/>
        <w:gridCol w:w="828"/>
        <w:gridCol w:w="2254"/>
        <w:gridCol w:w="284"/>
        <w:gridCol w:w="828"/>
        <w:gridCol w:w="2291"/>
        <w:gridCol w:w="992"/>
        <w:gridCol w:w="2268"/>
      </w:tblGrid>
      <w:tr w:rsidR="004275F9" w:rsidRPr="00D35D52" w:rsidTr="00F54663">
        <w:trPr>
          <w:trHeight w:val="255"/>
        </w:trPr>
        <w:tc>
          <w:tcPr>
            <w:tcW w:w="399"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rPr>
                <w:rFonts w:ascii="Times New Roman" w:eastAsia="Times New Roman" w:hAnsi="Times New Roman" w:cs="Times New Roman"/>
                <w:sz w:val="24"/>
                <w:szCs w:val="24"/>
                <w:lang w:eastAsia="en-GB"/>
              </w:rPr>
            </w:pPr>
          </w:p>
        </w:tc>
        <w:tc>
          <w:tcPr>
            <w:tcW w:w="1034"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Age at risk</w:t>
            </w:r>
          </w:p>
        </w:tc>
        <w:tc>
          <w:tcPr>
            <w:tcW w:w="3246" w:type="dxa"/>
            <w:gridSpan w:val="2"/>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10-12.5</w:t>
            </w:r>
            <w:r w:rsidRPr="00D35D52">
              <w:rPr>
                <w:rFonts w:ascii="Arial" w:eastAsia="Times New Roman" w:hAnsi="Arial" w:cs="Arial"/>
                <w:sz w:val="20"/>
                <w:szCs w:val="20"/>
                <w:lang w:eastAsia="en-GB"/>
              </w:rPr>
              <w:t xml:space="preserve"> years</w:t>
            </w:r>
          </w:p>
        </w:tc>
        <w:tc>
          <w:tcPr>
            <w:tcW w:w="319"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3082" w:type="dxa"/>
            <w:gridSpan w:val="2"/>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12.5-15 years</w:t>
            </w:r>
          </w:p>
        </w:tc>
        <w:tc>
          <w:tcPr>
            <w:tcW w:w="284"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3119" w:type="dxa"/>
            <w:gridSpan w:val="2"/>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15+ years</w:t>
            </w:r>
          </w:p>
        </w:tc>
        <w:tc>
          <w:tcPr>
            <w:tcW w:w="3260" w:type="dxa"/>
            <w:gridSpan w:val="2"/>
            <w:tcBorders>
              <w:top w:val="single" w:sz="4" w:space="0" w:color="auto"/>
              <w:left w:val="nil"/>
              <w:bottom w:val="single" w:sz="4" w:space="0" w:color="auto"/>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All follow up &gt;10 years</w:t>
            </w:r>
          </w:p>
        </w:tc>
      </w:tr>
      <w:tr w:rsidR="004275F9" w:rsidRPr="00D35D52" w:rsidTr="00F54663">
        <w:trPr>
          <w:trHeight w:val="255"/>
        </w:trPr>
        <w:tc>
          <w:tcPr>
            <w:tcW w:w="399"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rPr>
                <w:rFonts w:ascii="Times New Roman" w:eastAsia="Times New Roman" w:hAnsi="Times New Roman" w:cs="Times New Roman"/>
                <w:sz w:val="20"/>
                <w:szCs w:val="20"/>
                <w:lang w:eastAsia="en-GB"/>
              </w:rPr>
            </w:pPr>
          </w:p>
        </w:tc>
        <w:tc>
          <w:tcPr>
            <w:tcW w:w="836"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Events</w:t>
            </w:r>
          </w:p>
        </w:tc>
        <w:tc>
          <w:tcPr>
            <w:tcW w:w="2410"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w:t>
            </w:r>
            <w:r w:rsidRPr="00D35D52">
              <w:rPr>
                <w:rFonts w:ascii="Arial" w:eastAsia="Times New Roman" w:hAnsi="Arial" w:cs="Arial"/>
                <w:sz w:val="20"/>
                <w:szCs w:val="20"/>
                <w:lang w:eastAsia="en-GB"/>
              </w:rPr>
              <w:t xml:space="preserve"> ratio (95% CI)</w:t>
            </w:r>
          </w:p>
        </w:tc>
        <w:tc>
          <w:tcPr>
            <w:tcW w:w="319"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Events</w:t>
            </w:r>
          </w:p>
        </w:tc>
        <w:tc>
          <w:tcPr>
            <w:tcW w:w="2254"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w:t>
            </w:r>
            <w:r w:rsidRPr="00D35D52">
              <w:rPr>
                <w:rFonts w:ascii="Arial" w:eastAsia="Times New Roman" w:hAnsi="Arial" w:cs="Arial"/>
                <w:sz w:val="20"/>
                <w:szCs w:val="20"/>
                <w:lang w:eastAsia="en-GB"/>
              </w:rPr>
              <w:t xml:space="preserve"> ratio (95% CI)</w:t>
            </w:r>
          </w:p>
        </w:tc>
        <w:tc>
          <w:tcPr>
            <w:tcW w:w="284"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Events</w:t>
            </w:r>
          </w:p>
        </w:tc>
        <w:tc>
          <w:tcPr>
            <w:tcW w:w="2291" w:type="dxa"/>
            <w:tcBorders>
              <w:top w:val="single" w:sz="4" w:space="0" w:color="auto"/>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w:t>
            </w:r>
            <w:r w:rsidRPr="00D35D52">
              <w:rPr>
                <w:rFonts w:ascii="Arial" w:eastAsia="Times New Roman" w:hAnsi="Arial" w:cs="Arial"/>
                <w:sz w:val="20"/>
                <w:szCs w:val="20"/>
                <w:lang w:eastAsia="en-GB"/>
              </w:rPr>
              <w:t xml:space="preserve"> ratio (95% CI)</w:t>
            </w:r>
          </w:p>
        </w:tc>
        <w:tc>
          <w:tcPr>
            <w:tcW w:w="992" w:type="dxa"/>
            <w:tcBorders>
              <w:top w:val="single" w:sz="4" w:space="0" w:color="auto"/>
              <w:left w:val="nil"/>
              <w:bottom w:val="single" w:sz="4" w:space="0" w:color="auto"/>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Events</w:t>
            </w:r>
          </w:p>
        </w:tc>
        <w:tc>
          <w:tcPr>
            <w:tcW w:w="2268" w:type="dxa"/>
            <w:tcBorders>
              <w:top w:val="single" w:sz="4" w:space="0" w:color="auto"/>
              <w:left w:val="nil"/>
              <w:bottom w:val="single" w:sz="4" w:space="0" w:color="auto"/>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 ratio (95% CI)</w:t>
            </w:r>
          </w:p>
        </w:tc>
      </w:tr>
      <w:tr w:rsidR="004275F9" w:rsidRPr="00D35D52" w:rsidTr="00F54663">
        <w:trPr>
          <w:trHeight w:val="255"/>
        </w:trPr>
        <w:tc>
          <w:tcPr>
            <w:tcW w:w="1433" w:type="dxa"/>
            <w:gridSpan w:val="2"/>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All d</w:t>
            </w:r>
            <w:r w:rsidRPr="00D35D52">
              <w:rPr>
                <w:rFonts w:ascii="Arial" w:eastAsia="Times New Roman" w:hAnsi="Arial" w:cs="Arial"/>
                <w:sz w:val="20"/>
                <w:szCs w:val="20"/>
                <w:lang w:eastAsia="en-GB"/>
              </w:rPr>
              <w:t>ementia</w:t>
            </w:r>
          </w:p>
        </w:tc>
        <w:tc>
          <w:tcPr>
            <w:tcW w:w="836"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p>
        </w:tc>
        <w:tc>
          <w:tcPr>
            <w:tcW w:w="2410"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319"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828"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254"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84"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828"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291" w:type="dxa"/>
            <w:tcBorders>
              <w:top w:val="single" w:sz="4" w:space="0" w:color="auto"/>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992" w:type="dxa"/>
            <w:tcBorders>
              <w:top w:val="single" w:sz="4" w:space="0" w:color="auto"/>
              <w:left w:val="nil"/>
              <w:bottom w:val="nil"/>
              <w:right w:val="nil"/>
            </w:tcBorders>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268" w:type="dxa"/>
            <w:tcBorders>
              <w:top w:val="single" w:sz="4" w:space="0" w:color="auto"/>
              <w:left w:val="nil"/>
              <w:bottom w:val="nil"/>
              <w:right w:val="nil"/>
            </w:tcBorders>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&lt;70</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627</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1.070 (0.975 to 1.174)</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394</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1.054 (0.936 to 1.186)</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429</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1.093 (0.973 to 1.228)</w:t>
            </w:r>
          </w:p>
        </w:tc>
        <w:tc>
          <w:tcPr>
            <w:tcW w:w="992"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1450</w:t>
            </w:r>
          </w:p>
        </w:tc>
        <w:tc>
          <w:tcPr>
            <w:tcW w:w="2268"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1.067 (1.003 to 1.134)</w:t>
            </w: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70-84</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4901</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0.994 (0.963 to 1.026)</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3331</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0.992 (0.955 to 1.031)</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3893</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1.016 (0.980 to 1.053)</w:t>
            </w:r>
          </w:p>
        </w:tc>
        <w:tc>
          <w:tcPr>
            <w:tcW w:w="992"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12125</w:t>
            </w:r>
          </w:p>
        </w:tc>
        <w:tc>
          <w:tcPr>
            <w:tcW w:w="2268"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0.995 (0.975 to 1.015)</w:t>
            </w: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85+</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2980</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0.953 (0.916 to 0.991)</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2039</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0.945 (0.901 to 0.992)</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2545</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0.980 (0.939 to 1.023)</w:t>
            </w:r>
          </w:p>
        </w:tc>
        <w:tc>
          <w:tcPr>
            <w:tcW w:w="992"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7564</w:t>
            </w:r>
          </w:p>
        </w:tc>
        <w:tc>
          <w:tcPr>
            <w:tcW w:w="2268"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0.955 (0.931 to 0.979)</w:t>
            </w: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Overall</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8508</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0.984 (0.961 to 1.008)</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5764</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0.980 (0.952 to 1.009)</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6867</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1.006 (0.979 to 1.033)</w:t>
            </w:r>
          </w:p>
        </w:tc>
        <w:tc>
          <w:tcPr>
            <w:tcW w:w="992" w:type="dxa"/>
            <w:tcBorders>
              <w:top w:val="nil"/>
              <w:left w:val="nil"/>
              <w:bottom w:val="nil"/>
              <w:right w:val="nil"/>
            </w:tcBorders>
            <w:vAlign w:val="bottom"/>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Calibri" w:hAnsi="Calibri" w:cs="Calibri"/>
                <w:color w:val="000000"/>
              </w:rPr>
              <w:t>21139</w:t>
            </w:r>
          </w:p>
        </w:tc>
        <w:tc>
          <w:tcPr>
            <w:tcW w:w="2268" w:type="dxa"/>
            <w:tcBorders>
              <w:top w:val="nil"/>
              <w:left w:val="nil"/>
              <w:bottom w:val="nil"/>
              <w:right w:val="nil"/>
            </w:tcBorders>
            <w:vAlign w:val="bottom"/>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Calibri" w:hAnsi="Calibri" w:cs="Calibri"/>
                <w:color w:val="000000"/>
              </w:rPr>
              <w:t>0.984 (0.970 to 0.999)</w:t>
            </w:r>
          </w:p>
        </w:tc>
      </w:tr>
      <w:tr w:rsidR="004275F9" w:rsidRPr="00D35D52" w:rsidTr="00F54663">
        <w:trPr>
          <w:trHeight w:val="255"/>
        </w:trPr>
        <w:tc>
          <w:tcPr>
            <w:tcW w:w="1433" w:type="dxa"/>
            <w:gridSpan w:val="2"/>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Alzheimer's</w:t>
            </w:r>
            <w:r>
              <w:rPr>
                <w:rFonts w:ascii="Arial" w:eastAsia="Times New Roman" w:hAnsi="Arial" w:cs="Arial"/>
                <w:sz w:val="20"/>
                <w:szCs w:val="20"/>
                <w:lang w:eastAsia="en-GB"/>
              </w:rPr>
              <w:t xml:space="preserve"> disease</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992" w:type="dxa"/>
            <w:tcBorders>
              <w:top w:val="nil"/>
              <w:left w:val="nil"/>
              <w:bottom w:val="nil"/>
              <w:right w:val="nil"/>
            </w:tcBorders>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268" w:type="dxa"/>
            <w:tcBorders>
              <w:top w:val="nil"/>
              <w:left w:val="nil"/>
              <w:bottom w:val="nil"/>
              <w:right w:val="nil"/>
            </w:tcBorders>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&lt;70</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430</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0.972 (0.866 to 1.090)</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265</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0.931 (0.801 to 1.081)</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301</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1.061 (0.922 to 1.221)</w:t>
            </w:r>
          </w:p>
        </w:tc>
        <w:tc>
          <w:tcPr>
            <w:tcW w:w="992"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996</w:t>
            </w:r>
          </w:p>
        </w:tc>
        <w:tc>
          <w:tcPr>
            <w:tcW w:w="2268"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0.981 (0.909 to 1.058)</w:t>
            </w: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70-84</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3502</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0.962 (0.926 to 0.999)</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2319</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0.951 (0.908 to 0.996)</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2676</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0.989 (0.946 to 1.033)</w:t>
            </w:r>
          </w:p>
        </w:tc>
        <w:tc>
          <w:tcPr>
            <w:tcW w:w="992"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8497</w:t>
            </w:r>
          </w:p>
        </w:tc>
        <w:tc>
          <w:tcPr>
            <w:tcW w:w="2268"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0.965 (0.942 to 0.988)</w:t>
            </w: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85+</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2199</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0.951 (0.908 to 0.996)</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1509</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0.918 (0.868 to 0.972)</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1782</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0.956 (0.909 to 1.007)</w:t>
            </w:r>
          </w:p>
        </w:tc>
        <w:tc>
          <w:tcPr>
            <w:tcW w:w="992"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5490</w:t>
            </w:r>
          </w:p>
        </w:tc>
        <w:tc>
          <w:tcPr>
            <w:tcW w:w="2268"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0.942 (0.914 to 0.970)</w:t>
            </w: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Overall</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6131</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0.959 (0.932 to 0.986)</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4093</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0.939 (0.907 to 0.973)</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4759</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0.979 (0.947 to 1.011)</w:t>
            </w:r>
          </w:p>
        </w:tc>
        <w:tc>
          <w:tcPr>
            <w:tcW w:w="992" w:type="dxa"/>
            <w:tcBorders>
              <w:top w:val="nil"/>
              <w:left w:val="nil"/>
              <w:bottom w:val="nil"/>
              <w:right w:val="nil"/>
            </w:tcBorders>
            <w:vAlign w:val="bottom"/>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hAnsi="Arial" w:cs="Arial"/>
                <w:sz w:val="20"/>
                <w:szCs w:val="20"/>
              </w:rPr>
              <w:t>14983</w:t>
            </w:r>
          </w:p>
        </w:tc>
        <w:tc>
          <w:tcPr>
            <w:tcW w:w="2268" w:type="dxa"/>
            <w:tcBorders>
              <w:top w:val="nil"/>
              <w:left w:val="nil"/>
              <w:bottom w:val="nil"/>
              <w:right w:val="nil"/>
            </w:tcBorders>
            <w:vAlign w:val="bottom"/>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hAnsi="Arial" w:cs="Arial"/>
                <w:sz w:val="20"/>
                <w:szCs w:val="20"/>
              </w:rPr>
              <w:t>0.957 (0.940 to 0.975)</w:t>
            </w:r>
          </w:p>
        </w:tc>
      </w:tr>
      <w:tr w:rsidR="004275F9" w:rsidRPr="00D35D52" w:rsidTr="00F54663">
        <w:trPr>
          <w:trHeight w:val="255"/>
        </w:trPr>
        <w:tc>
          <w:tcPr>
            <w:tcW w:w="1433" w:type="dxa"/>
            <w:gridSpan w:val="2"/>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Vascluar dementia</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992" w:type="dxa"/>
            <w:tcBorders>
              <w:top w:val="nil"/>
              <w:left w:val="nil"/>
              <w:bottom w:val="nil"/>
              <w:right w:val="nil"/>
            </w:tcBorders>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2268" w:type="dxa"/>
            <w:tcBorders>
              <w:top w:val="nil"/>
              <w:left w:val="nil"/>
              <w:bottom w:val="nil"/>
              <w:right w:val="nil"/>
            </w:tcBorders>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&lt;70</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133</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1.298 (1.075 to 1.569)</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97</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1.301 (1.042 to 1.625)</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84</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1.193 (0.925 to 1.539)</w:t>
            </w:r>
          </w:p>
        </w:tc>
        <w:tc>
          <w:tcPr>
            <w:tcW w:w="992"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314</w:t>
            </w:r>
          </w:p>
        </w:tc>
        <w:tc>
          <w:tcPr>
            <w:tcW w:w="2268"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1.269 (1.120 to 1.438)</w:t>
            </w:r>
          </w:p>
        </w:tc>
      </w:tr>
      <w:tr w:rsidR="004275F9" w:rsidRPr="00D35D52" w:rsidTr="00F54663">
        <w:trPr>
          <w:trHeight w:val="255"/>
        </w:trPr>
        <w:tc>
          <w:tcPr>
            <w:tcW w:w="39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nil"/>
              <w:left w:val="nil"/>
              <w:bottom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70-84</w:t>
            </w:r>
          </w:p>
        </w:tc>
        <w:tc>
          <w:tcPr>
            <w:tcW w:w="836"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1175</w:t>
            </w:r>
          </w:p>
        </w:tc>
        <w:tc>
          <w:tcPr>
            <w:tcW w:w="2410"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1.103 (1.036 to 1.174)</w:t>
            </w:r>
          </w:p>
        </w:tc>
        <w:tc>
          <w:tcPr>
            <w:tcW w:w="319"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836</w:t>
            </w:r>
          </w:p>
        </w:tc>
        <w:tc>
          <w:tcPr>
            <w:tcW w:w="225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1.121 (1.041 to 1.208)</w:t>
            </w:r>
          </w:p>
        </w:tc>
        <w:tc>
          <w:tcPr>
            <w:tcW w:w="284"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1004</w:t>
            </w:r>
          </w:p>
        </w:tc>
        <w:tc>
          <w:tcPr>
            <w:tcW w:w="2291" w:type="dxa"/>
            <w:tcBorders>
              <w:top w:val="nil"/>
              <w:left w:val="nil"/>
              <w:bottom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1.101 (1.027 to 1.180)</w:t>
            </w:r>
          </w:p>
        </w:tc>
        <w:tc>
          <w:tcPr>
            <w:tcW w:w="992"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3015</w:t>
            </w:r>
          </w:p>
        </w:tc>
        <w:tc>
          <w:tcPr>
            <w:tcW w:w="2268" w:type="dxa"/>
            <w:tcBorders>
              <w:top w:val="nil"/>
              <w:left w:val="nil"/>
              <w:bottom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1.095 (1.052 to 1.139)</w:t>
            </w:r>
          </w:p>
        </w:tc>
      </w:tr>
      <w:tr w:rsidR="004275F9" w:rsidRPr="00D35D52" w:rsidTr="00F54663">
        <w:trPr>
          <w:trHeight w:val="255"/>
        </w:trPr>
        <w:tc>
          <w:tcPr>
            <w:tcW w:w="399" w:type="dxa"/>
            <w:tcBorders>
              <w:top w:val="nil"/>
              <w:left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nil"/>
              <w:left w:val="nil"/>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85+</w:t>
            </w:r>
          </w:p>
        </w:tc>
        <w:tc>
          <w:tcPr>
            <w:tcW w:w="836" w:type="dxa"/>
            <w:tcBorders>
              <w:top w:val="nil"/>
              <w:left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712</w:t>
            </w:r>
          </w:p>
        </w:tc>
        <w:tc>
          <w:tcPr>
            <w:tcW w:w="2410" w:type="dxa"/>
            <w:tcBorders>
              <w:top w:val="nil"/>
              <w:left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0.969 (0.893 to 1.051)</w:t>
            </w:r>
          </w:p>
        </w:tc>
        <w:tc>
          <w:tcPr>
            <w:tcW w:w="319" w:type="dxa"/>
            <w:tcBorders>
              <w:top w:val="nil"/>
              <w:left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466</w:t>
            </w:r>
          </w:p>
        </w:tc>
        <w:tc>
          <w:tcPr>
            <w:tcW w:w="2254" w:type="dxa"/>
            <w:tcBorders>
              <w:top w:val="nil"/>
              <w:left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1.038 (0.940 to 1.146)</w:t>
            </w:r>
          </w:p>
        </w:tc>
        <w:tc>
          <w:tcPr>
            <w:tcW w:w="284" w:type="dxa"/>
            <w:tcBorders>
              <w:top w:val="nil"/>
              <w:left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671</w:t>
            </w:r>
          </w:p>
        </w:tc>
        <w:tc>
          <w:tcPr>
            <w:tcW w:w="2291" w:type="dxa"/>
            <w:tcBorders>
              <w:top w:val="nil"/>
              <w:left w:val="nil"/>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1.053 (0.970 to 1.144)</w:t>
            </w:r>
          </w:p>
        </w:tc>
        <w:tc>
          <w:tcPr>
            <w:tcW w:w="992" w:type="dxa"/>
            <w:tcBorders>
              <w:top w:val="nil"/>
              <w:left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1849</w:t>
            </w:r>
          </w:p>
        </w:tc>
        <w:tc>
          <w:tcPr>
            <w:tcW w:w="2268" w:type="dxa"/>
            <w:tcBorders>
              <w:top w:val="nil"/>
              <w:left w:val="nil"/>
              <w:right w:val="nil"/>
            </w:tcBorders>
          </w:tcPr>
          <w:p w:rsidR="004275F9" w:rsidRPr="00D35D52" w:rsidRDefault="004275F9" w:rsidP="00F54663">
            <w:pPr>
              <w:spacing w:after="0" w:line="240" w:lineRule="auto"/>
              <w:jc w:val="center"/>
              <w:rPr>
                <w:rFonts w:ascii="Arial" w:eastAsia="Times New Roman" w:hAnsi="Arial" w:cs="Arial"/>
                <w:sz w:val="20"/>
                <w:szCs w:val="20"/>
                <w:lang w:eastAsia="en-GB"/>
              </w:rPr>
            </w:pPr>
            <w:r w:rsidRPr="00703C68">
              <w:rPr>
                <w:rFonts w:ascii="Arial" w:eastAsia="Times New Roman" w:hAnsi="Arial" w:cs="Arial"/>
                <w:sz w:val="20"/>
                <w:szCs w:val="20"/>
                <w:lang w:eastAsia="en-GB"/>
              </w:rPr>
              <w:t>1.005 (0.956 to 1.057)</w:t>
            </w:r>
          </w:p>
        </w:tc>
      </w:tr>
      <w:tr w:rsidR="004275F9" w:rsidRPr="00D35D52" w:rsidTr="00F54663">
        <w:trPr>
          <w:trHeight w:val="255"/>
        </w:trPr>
        <w:tc>
          <w:tcPr>
            <w:tcW w:w="399"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1034"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rPr>
                <w:rFonts w:ascii="Arial" w:eastAsia="Times New Roman" w:hAnsi="Arial" w:cs="Arial"/>
                <w:sz w:val="20"/>
                <w:szCs w:val="20"/>
                <w:lang w:eastAsia="en-GB"/>
              </w:rPr>
            </w:pPr>
            <w:r w:rsidRPr="00D35D52">
              <w:rPr>
                <w:rFonts w:ascii="Arial" w:eastAsia="Times New Roman" w:hAnsi="Arial" w:cs="Arial"/>
                <w:sz w:val="20"/>
                <w:szCs w:val="20"/>
                <w:lang w:eastAsia="en-GB"/>
              </w:rPr>
              <w:t>Overall</w:t>
            </w:r>
          </w:p>
        </w:tc>
        <w:tc>
          <w:tcPr>
            <w:tcW w:w="836"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2020</w:t>
            </w:r>
          </w:p>
        </w:tc>
        <w:tc>
          <w:tcPr>
            <w:tcW w:w="2410"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1.064 (1.014 to 1.116)</w:t>
            </w:r>
          </w:p>
        </w:tc>
        <w:tc>
          <w:tcPr>
            <w:tcW w:w="319"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1399</w:t>
            </w:r>
          </w:p>
        </w:tc>
        <w:tc>
          <w:tcPr>
            <w:tcW w:w="2254"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1.103 (1.041 to 1.168)</w:t>
            </w:r>
          </w:p>
        </w:tc>
        <w:tc>
          <w:tcPr>
            <w:tcW w:w="284"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p>
        </w:tc>
        <w:tc>
          <w:tcPr>
            <w:tcW w:w="828"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1759</w:t>
            </w:r>
          </w:p>
        </w:tc>
        <w:tc>
          <w:tcPr>
            <w:tcW w:w="2291" w:type="dxa"/>
            <w:tcBorders>
              <w:top w:val="nil"/>
              <w:left w:val="nil"/>
              <w:bottom w:val="single" w:sz="4" w:space="0" w:color="auto"/>
              <w:right w:val="nil"/>
            </w:tcBorders>
            <w:shd w:val="clear" w:color="auto" w:fill="auto"/>
            <w:noWrap/>
            <w:hideMark/>
          </w:tcPr>
          <w:p w:rsidR="004275F9" w:rsidRPr="00D35D52" w:rsidRDefault="004275F9" w:rsidP="00F54663">
            <w:pPr>
              <w:spacing w:after="0" w:line="240" w:lineRule="auto"/>
              <w:jc w:val="center"/>
              <w:rPr>
                <w:rFonts w:ascii="Arial" w:eastAsia="Times New Roman" w:hAnsi="Arial" w:cs="Arial"/>
                <w:sz w:val="20"/>
                <w:szCs w:val="20"/>
                <w:lang w:eastAsia="en-GB"/>
              </w:rPr>
            </w:pPr>
            <w:r w:rsidRPr="00D35D52">
              <w:rPr>
                <w:rFonts w:ascii="Arial" w:eastAsia="Times New Roman" w:hAnsi="Arial" w:cs="Arial"/>
                <w:sz w:val="20"/>
                <w:szCs w:val="20"/>
                <w:lang w:eastAsia="en-GB"/>
              </w:rPr>
              <w:t>1.086 (1.031 to 1.144)</w:t>
            </w:r>
          </w:p>
        </w:tc>
        <w:tc>
          <w:tcPr>
            <w:tcW w:w="992" w:type="dxa"/>
            <w:tcBorders>
              <w:top w:val="nil"/>
              <w:left w:val="nil"/>
              <w:bottom w:val="single" w:sz="4" w:space="0" w:color="auto"/>
              <w:right w:val="nil"/>
            </w:tcBorders>
            <w:vAlign w:val="bottom"/>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hAnsi="Arial" w:cs="Arial"/>
                <w:sz w:val="20"/>
                <w:szCs w:val="20"/>
              </w:rPr>
              <w:t>5178</w:t>
            </w:r>
          </w:p>
        </w:tc>
        <w:tc>
          <w:tcPr>
            <w:tcW w:w="2268" w:type="dxa"/>
            <w:tcBorders>
              <w:top w:val="nil"/>
              <w:left w:val="nil"/>
              <w:bottom w:val="single" w:sz="4" w:space="0" w:color="auto"/>
              <w:right w:val="nil"/>
            </w:tcBorders>
            <w:vAlign w:val="bottom"/>
          </w:tcPr>
          <w:p w:rsidR="004275F9" w:rsidRPr="00D35D52" w:rsidRDefault="004275F9" w:rsidP="00F54663">
            <w:pPr>
              <w:spacing w:after="0" w:line="240" w:lineRule="auto"/>
              <w:jc w:val="center"/>
              <w:rPr>
                <w:rFonts w:ascii="Arial" w:eastAsia="Times New Roman" w:hAnsi="Arial" w:cs="Arial"/>
                <w:sz w:val="20"/>
                <w:szCs w:val="20"/>
                <w:lang w:eastAsia="en-GB"/>
              </w:rPr>
            </w:pPr>
            <w:r>
              <w:rPr>
                <w:rFonts w:ascii="Arial" w:hAnsi="Arial" w:cs="Arial"/>
                <w:sz w:val="20"/>
                <w:szCs w:val="20"/>
              </w:rPr>
              <w:t>1.070 (1.038 to 1.102)</w:t>
            </w:r>
          </w:p>
        </w:tc>
      </w:tr>
    </w:tbl>
    <w:p w:rsidR="004275F9" w:rsidRDefault="004275F9" w:rsidP="004275F9"/>
    <w:p w:rsidR="004275F9" w:rsidRDefault="004275F9" w:rsidP="004275F9"/>
    <w:p w:rsidR="004275F9" w:rsidRDefault="004275F9" w:rsidP="004275F9">
      <w:pPr>
        <w:sectPr w:rsidR="004275F9" w:rsidSect="00F20E86">
          <w:pgSz w:w="16838" w:h="11906" w:orient="landscape"/>
          <w:pgMar w:top="1440" w:right="1440" w:bottom="1440" w:left="1440" w:header="708" w:footer="708" w:gutter="0"/>
          <w:cols w:space="708"/>
          <w:docGrid w:linePitch="360"/>
        </w:sectPr>
      </w:pPr>
    </w:p>
    <w:p w:rsidR="004275F9" w:rsidRDefault="004275F9" w:rsidP="004275F9">
      <w:r>
        <w:rPr>
          <w:b/>
        </w:rPr>
        <w:lastRenderedPageBreak/>
        <w:t xml:space="preserve">Supplementary Table 5: </w:t>
      </w:r>
      <w:r>
        <w:t xml:space="preserve">Age and sex adjusted risk ratios for </w:t>
      </w:r>
      <w:r w:rsidRPr="003F329B">
        <w:rPr>
          <w:b/>
          <w:u w:val="single"/>
        </w:rPr>
        <w:t>death and stroke</w:t>
      </w:r>
      <w:r>
        <w:t xml:space="preserve"> per 10mmHg higher long-term average systolic blood pressure stratified by age-at-risk and time since baseline </w:t>
      </w:r>
      <w:r w:rsidRPr="006B2224">
        <w:t>systolic blood pressure</w:t>
      </w:r>
      <w:r>
        <w:t xml:space="preserve"> measurement</w:t>
      </w:r>
    </w:p>
    <w:tbl>
      <w:tblPr>
        <w:tblW w:w="12755" w:type="dxa"/>
        <w:tblInd w:w="108" w:type="dxa"/>
        <w:tblLook w:val="04A0" w:firstRow="1" w:lastRow="0" w:firstColumn="1" w:lastColumn="0" w:noHBand="0" w:noVBand="1"/>
      </w:tblPr>
      <w:tblGrid>
        <w:gridCol w:w="284"/>
        <w:gridCol w:w="961"/>
        <w:gridCol w:w="884"/>
        <w:gridCol w:w="2168"/>
        <w:gridCol w:w="130"/>
        <w:gridCol w:w="830"/>
        <w:gridCol w:w="130"/>
        <w:gridCol w:w="754"/>
        <w:gridCol w:w="130"/>
        <w:gridCol w:w="2168"/>
        <w:gridCol w:w="130"/>
        <w:gridCol w:w="830"/>
        <w:gridCol w:w="130"/>
        <w:gridCol w:w="754"/>
        <w:gridCol w:w="130"/>
        <w:gridCol w:w="2212"/>
        <w:gridCol w:w="130"/>
      </w:tblGrid>
      <w:tr w:rsidR="004275F9" w:rsidRPr="00A32A78" w:rsidTr="00E42AA4">
        <w:trPr>
          <w:trHeight w:val="255"/>
        </w:trPr>
        <w:tc>
          <w:tcPr>
            <w:tcW w:w="284" w:type="dxa"/>
            <w:tcBorders>
              <w:top w:val="single" w:sz="4" w:space="0" w:color="auto"/>
              <w:left w:val="nil"/>
              <w:bottom w:val="single" w:sz="4" w:space="0" w:color="auto"/>
              <w:right w:val="nil"/>
            </w:tcBorders>
          </w:tcPr>
          <w:p w:rsidR="004275F9" w:rsidRPr="00A32A78" w:rsidRDefault="004275F9" w:rsidP="00F54663">
            <w:pPr>
              <w:spacing w:after="0" w:line="240" w:lineRule="auto"/>
              <w:rPr>
                <w:rFonts w:ascii="Arial" w:eastAsia="Times New Roman" w:hAnsi="Arial" w:cs="Arial"/>
                <w:sz w:val="20"/>
                <w:szCs w:val="20"/>
                <w:lang w:eastAsia="en-GB"/>
              </w:rPr>
            </w:pPr>
          </w:p>
        </w:tc>
        <w:tc>
          <w:tcPr>
            <w:tcW w:w="961" w:type="dxa"/>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Age at risk</w:t>
            </w:r>
          </w:p>
        </w:tc>
        <w:tc>
          <w:tcPr>
            <w:tcW w:w="3182" w:type="dxa"/>
            <w:gridSpan w:val="3"/>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r w:rsidRPr="00A32A78">
              <w:rPr>
                <w:rFonts w:ascii="Arial" w:eastAsia="Times New Roman" w:hAnsi="Arial" w:cs="Arial"/>
                <w:sz w:val="20"/>
                <w:szCs w:val="20"/>
                <w:lang w:eastAsia="en-GB"/>
              </w:rPr>
              <w:t>0-5 years</w:t>
            </w:r>
          </w:p>
        </w:tc>
        <w:tc>
          <w:tcPr>
            <w:tcW w:w="960" w:type="dxa"/>
            <w:gridSpan w:val="2"/>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p>
        </w:tc>
        <w:tc>
          <w:tcPr>
            <w:tcW w:w="3182" w:type="dxa"/>
            <w:gridSpan w:val="4"/>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r w:rsidRPr="00A32A78">
              <w:rPr>
                <w:rFonts w:ascii="Arial" w:eastAsia="Times New Roman" w:hAnsi="Arial" w:cs="Arial"/>
                <w:sz w:val="20"/>
                <w:szCs w:val="20"/>
                <w:lang w:eastAsia="en-GB"/>
              </w:rPr>
              <w:t>5-10 years</w:t>
            </w:r>
          </w:p>
        </w:tc>
        <w:tc>
          <w:tcPr>
            <w:tcW w:w="960" w:type="dxa"/>
            <w:gridSpan w:val="2"/>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p>
        </w:tc>
        <w:tc>
          <w:tcPr>
            <w:tcW w:w="3226" w:type="dxa"/>
            <w:gridSpan w:val="4"/>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r w:rsidRPr="00A32A78">
              <w:rPr>
                <w:rFonts w:ascii="Arial" w:eastAsia="Times New Roman" w:hAnsi="Arial" w:cs="Arial"/>
                <w:sz w:val="20"/>
                <w:szCs w:val="20"/>
                <w:lang w:eastAsia="en-GB"/>
              </w:rPr>
              <w:t>10+ years</w:t>
            </w:r>
          </w:p>
        </w:tc>
      </w:tr>
      <w:tr w:rsidR="004275F9" w:rsidRPr="00A32A78" w:rsidTr="00E42AA4">
        <w:trPr>
          <w:trHeight w:val="255"/>
        </w:trPr>
        <w:tc>
          <w:tcPr>
            <w:tcW w:w="284" w:type="dxa"/>
            <w:tcBorders>
              <w:top w:val="single" w:sz="4" w:space="0" w:color="auto"/>
              <w:left w:val="nil"/>
              <w:bottom w:val="nil"/>
              <w:right w:val="nil"/>
            </w:tcBorders>
          </w:tcPr>
          <w:p w:rsidR="004275F9" w:rsidRPr="00A32A78" w:rsidRDefault="004275F9" w:rsidP="00F54663">
            <w:pPr>
              <w:spacing w:after="0" w:line="240" w:lineRule="auto"/>
              <w:jc w:val="center"/>
              <w:rPr>
                <w:rFonts w:ascii="Arial" w:eastAsia="Times New Roman" w:hAnsi="Arial" w:cs="Arial"/>
                <w:sz w:val="20"/>
                <w:szCs w:val="20"/>
                <w:lang w:eastAsia="en-GB"/>
              </w:rPr>
            </w:pPr>
          </w:p>
        </w:tc>
        <w:tc>
          <w:tcPr>
            <w:tcW w:w="961" w:type="dxa"/>
            <w:tcBorders>
              <w:top w:val="single" w:sz="4" w:space="0" w:color="auto"/>
              <w:left w:val="nil"/>
              <w:bottom w:val="nil"/>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p>
        </w:tc>
        <w:tc>
          <w:tcPr>
            <w:tcW w:w="884" w:type="dxa"/>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r w:rsidRPr="00A32A78">
              <w:rPr>
                <w:rFonts w:ascii="Arial" w:eastAsia="Times New Roman" w:hAnsi="Arial" w:cs="Arial"/>
                <w:sz w:val="20"/>
                <w:szCs w:val="20"/>
                <w:lang w:eastAsia="en-GB"/>
              </w:rPr>
              <w:t>Events</w:t>
            </w:r>
          </w:p>
        </w:tc>
        <w:tc>
          <w:tcPr>
            <w:tcW w:w="2298" w:type="dxa"/>
            <w:gridSpan w:val="2"/>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w:t>
            </w:r>
            <w:r w:rsidRPr="00A32A78">
              <w:rPr>
                <w:rFonts w:ascii="Arial" w:eastAsia="Times New Roman" w:hAnsi="Arial" w:cs="Arial"/>
                <w:sz w:val="20"/>
                <w:szCs w:val="20"/>
                <w:lang w:eastAsia="en-GB"/>
              </w:rPr>
              <w:t xml:space="preserve"> ratio (95% CI)</w:t>
            </w:r>
          </w:p>
        </w:tc>
        <w:tc>
          <w:tcPr>
            <w:tcW w:w="960" w:type="dxa"/>
            <w:gridSpan w:val="2"/>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p>
        </w:tc>
        <w:tc>
          <w:tcPr>
            <w:tcW w:w="884" w:type="dxa"/>
            <w:gridSpan w:val="2"/>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r w:rsidRPr="00A32A78">
              <w:rPr>
                <w:rFonts w:ascii="Arial" w:eastAsia="Times New Roman" w:hAnsi="Arial" w:cs="Arial"/>
                <w:sz w:val="20"/>
                <w:szCs w:val="20"/>
                <w:lang w:eastAsia="en-GB"/>
              </w:rPr>
              <w:t>Events</w:t>
            </w:r>
          </w:p>
        </w:tc>
        <w:tc>
          <w:tcPr>
            <w:tcW w:w="2298" w:type="dxa"/>
            <w:gridSpan w:val="2"/>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w:t>
            </w:r>
            <w:r w:rsidRPr="00A32A78">
              <w:rPr>
                <w:rFonts w:ascii="Arial" w:eastAsia="Times New Roman" w:hAnsi="Arial" w:cs="Arial"/>
                <w:sz w:val="20"/>
                <w:szCs w:val="20"/>
                <w:lang w:eastAsia="en-GB"/>
              </w:rPr>
              <w:t xml:space="preserve"> ratio (95% CI)</w:t>
            </w:r>
          </w:p>
        </w:tc>
        <w:tc>
          <w:tcPr>
            <w:tcW w:w="960" w:type="dxa"/>
            <w:gridSpan w:val="2"/>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p>
        </w:tc>
        <w:tc>
          <w:tcPr>
            <w:tcW w:w="884" w:type="dxa"/>
            <w:gridSpan w:val="2"/>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r w:rsidRPr="00A32A78">
              <w:rPr>
                <w:rFonts w:ascii="Arial" w:eastAsia="Times New Roman" w:hAnsi="Arial" w:cs="Arial"/>
                <w:sz w:val="20"/>
                <w:szCs w:val="20"/>
                <w:lang w:eastAsia="en-GB"/>
              </w:rPr>
              <w:t>Events</w:t>
            </w:r>
          </w:p>
        </w:tc>
        <w:tc>
          <w:tcPr>
            <w:tcW w:w="2342" w:type="dxa"/>
            <w:gridSpan w:val="2"/>
            <w:tcBorders>
              <w:top w:val="single" w:sz="4" w:space="0" w:color="auto"/>
              <w:left w:val="nil"/>
              <w:bottom w:val="single" w:sz="4" w:space="0" w:color="auto"/>
              <w:right w:val="nil"/>
            </w:tcBorders>
            <w:shd w:val="clear" w:color="auto" w:fill="auto"/>
            <w:noWrap/>
            <w:hideMark/>
          </w:tcPr>
          <w:p w:rsidR="004275F9" w:rsidRPr="00A32A78" w:rsidRDefault="004275F9" w:rsidP="00F5466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Rate</w:t>
            </w:r>
            <w:r w:rsidRPr="00A32A78">
              <w:rPr>
                <w:rFonts w:ascii="Arial" w:eastAsia="Times New Roman" w:hAnsi="Arial" w:cs="Arial"/>
                <w:sz w:val="20"/>
                <w:szCs w:val="20"/>
                <w:lang w:eastAsia="en-GB"/>
              </w:rPr>
              <w:t xml:space="preserve"> ratio (95% CI)</w:t>
            </w:r>
          </w:p>
        </w:tc>
      </w:tr>
      <w:tr w:rsidR="004275F9" w:rsidRPr="00A32A78" w:rsidTr="00F54663">
        <w:trPr>
          <w:gridAfter w:val="1"/>
          <w:wAfter w:w="130" w:type="dxa"/>
          <w:trHeight w:val="255"/>
        </w:trPr>
        <w:tc>
          <w:tcPr>
            <w:tcW w:w="4297" w:type="dxa"/>
            <w:gridSpan w:val="4"/>
            <w:tcBorders>
              <w:top w:val="nil"/>
              <w:left w:val="nil"/>
              <w:bottom w:val="nil"/>
              <w:right w:val="nil"/>
            </w:tcBorders>
          </w:tcPr>
          <w:p w:rsidR="004275F9" w:rsidRPr="00A32A78" w:rsidRDefault="004275F9" w:rsidP="00F54663">
            <w:pPr>
              <w:spacing w:after="0" w:line="240" w:lineRule="auto"/>
              <w:rPr>
                <w:rFonts w:ascii="Times New Roman" w:eastAsia="Times New Roman" w:hAnsi="Times New Roman" w:cs="Times New Roman"/>
                <w:sz w:val="20"/>
                <w:szCs w:val="20"/>
                <w:lang w:eastAsia="en-GB"/>
              </w:rPr>
            </w:pPr>
            <w:r>
              <w:rPr>
                <w:rFonts w:ascii="Arial" w:eastAsia="Times New Roman" w:hAnsi="Arial" w:cs="Arial"/>
                <w:b/>
                <w:sz w:val="20"/>
                <w:szCs w:val="20"/>
                <w:lang w:eastAsia="en-GB"/>
              </w:rPr>
              <w:t>Incidence of stroke</w:t>
            </w:r>
          </w:p>
        </w:tc>
        <w:tc>
          <w:tcPr>
            <w:tcW w:w="960"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Times New Roman" w:eastAsia="Times New Roman" w:hAnsi="Times New Roman" w:cs="Times New Roman"/>
                <w:sz w:val="20"/>
                <w:szCs w:val="20"/>
                <w:lang w:eastAsia="en-GB"/>
              </w:rPr>
            </w:pPr>
          </w:p>
        </w:tc>
        <w:tc>
          <w:tcPr>
            <w:tcW w:w="884"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Times New Roman" w:eastAsia="Times New Roman" w:hAnsi="Times New Roman" w:cs="Times New Roman"/>
                <w:sz w:val="20"/>
                <w:szCs w:val="20"/>
                <w:lang w:eastAsia="en-GB"/>
              </w:rPr>
            </w:pPr>
          </w:p>
        </w:tc>
        <w:tc>
          <w:tcPr>
            <w:tcW w:w="2298"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Times New Roman" w:eastAsia="Times New Roman" w:hAnsi="Times New Roman" w:cs="Times New Roman"/>
                <w:sz w:val="20"/>
                <w:szCs w:val="20"/>
                <w:lang w:eastAsia="en-GB"/>
              </w:rPr>
            </w:pPr>
          </w:p>
        </w:tc>
        <w:tc>
          <w:tcPr>
            <w:tcW w:w="960"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Times New Roman" w:eastAsia="Times New Roman" w:hAnsi="Times New Roman" w:cs="Times New Roman"/>
                <w:sz w:val="20"/>
                <w:szCs w:val="20"/>
                <w:lang w:eastAsia="en-GB"/>
              </w:rPr>
            </w:pPr>
          </w:p>
        </w:tc>
        <w:tc>
          <w:tcPr>
            <w:tcW w:w="884"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Times New Roman" w:eastAsia="Times New Roman" w:hAnsi="Times New Roman" w:cs="Times New Roman"/>
                <w:sz w:val="20"/>
                <w:szCs w:val="20"/>
                <w:lang w:eastAsia="en-GB"/>
              </w:rPr>
            </w:pPr>
          </w:p>
        </w:tc>
        <w:tc>
          <w:tcPr>
            <w:tcW w:w="2342"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Times New Roman" w:eastAsia="Times New Roman" w:hAnsi="Times New Roman" w:cs="Times New Roman"/>
                <w:sz w:val="20"/>
                <w:szCs w:val="20"/>
                <w:lang w:eastAsia="en-GB"/>
              </w:rPr>
            </w:pPr>
          </w:p>
        </w:tc>
      </w:tr>
      <w:tr w:rsidR="004275F9" w:rsidRPr="00A32A78" w:rsidTr="00E42AA4">
        <w:trPr>
          <w:trHeight w:val="255"/>
        </w:trPr>
        <w:tc>
          <w:tcPr>
            <w:tcW w:w="284" w:type="dxa"/>
            <w:tcBorders>
              <w:top w:val="nil"/>
              <w:left w:val="nil"/>
              <w:bottom w:val="nil"/>
              <w:right w:val="nil"/>
            </w:tcBorders>
          </w:tcPr>
          <w:p w:rsidR="004275F9" w:rsidRPr="00A32A78" w:rsidRDefault="004275F9" w:rsidP="00F54663">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&lt;70</w:t>
            </w:r>
          </w:p>
        </w:tc>
        <w:tc>
          <w:tcPr>
            <w:tcW w:w="884" w:type="dxa"/>
            <w:tcBorders>
              <w:top w:val="nil"/>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21526</w:t>
            </w:r>
          </w:p>
        </w:tc>
        <w:tc>
          <w:tcPr>
            <w:tcW w:w="2298"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1.376 (1.356 to 1.396)</w:t>
            </w:r>
          </w:p>
        </w:tc>
        <w:tc>
          <w:tcPr>
            <w:tcW w:w="960"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13434</w:t>
            </w:r>
          </w:p>
        </w:tc>
        <w:tc>
          <w:tcPr>
            <w:tcW w:w="2298"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1.299 (1.274 to 1.324)</w:t>
            </w:r>
          </w:p>
        </w:tc>
        <w:tc>
          <w:tcPr>
            <w:tcW w:w="960"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8374</w:t>
            </w:r>
          </w:p>
        </w:tc>
        <w:tc>
          <w:tcPr>
            <w:tcW w:w="2342"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1.281 (1.249 to 1.313)</w:t>
            </w:r>
          </w:p>
        </w:tc>
      </w:tr>
      <w:tr w:rsidR="004275F9" w:rsidRPr="00A32A78" w:rsidTr="00E42AA4">
        <w:trPr>
          <w:trHeight w:val="255"/>
        </w:trPr>
        <w:tc>
          <w:tcPr>
            <w:tcW w:w="284" w:type="dxa"/>
            <w:tcBorders>
              <w:top w:val="nil"/>
              <w:left w:val="nil"/>
              <w:bottom w:val="nil"/>
              <w:right w:val="nil"/>
            </w:tcBorders>
          </w:tcPr>
          <w:p w:rsidR="004275F9" w:rsidRPr="00A32A78" w:rsidRDefault="004275F9" w:rsidP="00F54663">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70-84</w:t>
            </w:r>
          </w:p>
        </w:tc>
        <w:tc>
          <w:tcPr>
            <w:tcW w:w="884" w:type="dxa"/>
            <w:tcBorders>
              <w:top w:val="nil"/>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28052</w:t>
            </w:r>
          </w:p>
        </w:tc>
        <w:tc>
          <w:tcPr>
            <w:tcW w:w="2298"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1.101 (1.088 to 1.115)</w:t>
            </w:r>
          </w:p>
        </w:tc>
        <w:tc>
          <w:tcPr>
            <w:tcW w:w="960"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19062</w:t>
            </w:r>
          </w:p>
        </w:tc>
        <w:tc>
          <w:tcPr>
            <w:tcW w:w="2298"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1.090 (1.073 to 1.107)</w:t>
            </w:r>
          </w:p>
        </w:tc>
        <w:tc>
          <w:tcPr>
            <w:tcW w:w="960"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15612</w:t>
            </w:r>
          </w:p>
        </w:tc>
        <w:tc>
          <w:tcPr>
            <w:tcW w:w="2342"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1.110 (1.091 to 1.130)</w:t>
            </w:r>
          </w:p>
        </w:tc>
      </w:tr>
      <w:tr w:rsidR="004275F9" w:rsidRPr="00A32A78" w:rsidTr="00E42AA4">
        <w:trPr>
          <w:trHeight w:val="255"/>
        </w:trPr>
        <w:tc>
          <w:tcPr>
            <w:tcW w:w="284" w:type="dxa"/>
            <w:tcBorders>
              <w:top w:val="nil"/>
              <w:left w:val="nil"/>
              <w:right w:val="nil"/>
            </w:tcBorders>
          </w:tcPr>
          <w:p w:rsidR="004275F9" w:rsidRPr="00A32A78" w:rsidRDefault="004275F9" w:rsidP="00F54663">
            <w:pPr>
              <w:spacing w:after="0" w:line="240" w:lineRule="auto"/>
              <w:rPr>
                <w:rFonts w:ascii="Arial" w:eastAsia="Times New Roman" w:hAnsi="Arial" w:cs="Arial"/>
                <w:sz w:val="20"/>
                <w:szCs w:val="20"/>
                <w:lang w:eastAsia="en-GB"/>
              </w:rPr>
            </w:pPr>
          </w:p>
        </w:tc>
        <w:tc>
          <w:tcPr>
            <w:tcW w:w="961" w:type="dxa"/>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85+</w:t>
            </w:r>
          </w:p>
        </w:tc>
        <w:tc>
          <w:tcPr>
            <w:tcW w:w="884" w:type="dxa"/>
            <w:tcBorders>
              <w:top w:val="nil"/>
              <w:left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9115</w:t>
            </w:r>
          </w:p>
        </w:tc>
        <w:tc>
          <w:tcPr>
            <w:tcW w:w="2298"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0.984 (0.963 to 1.005)</w:t>
            </w:r>
          </w:p>
        </w:tc>
        <w:tc>
          <w:tcPr>
            <w:tcW w:w="960"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6652</w:t>
            </w:r>
          </w:p>
        </w:tc>
        <w:tc>
          <w:tcPr>
            <w:tcW w:w="2298"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1.027 (1.001 to 1.054)</w:t>
            </w:r>
          </w:p>
        </w:tc>
        <w:tc>
          <w:tcPr>
            <w:tcW w:w="960"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6500</w:t>
            </w:r>
          </w:p>
        </w:tc>
        <w:tc>
          <w:tcPr>
            <w:tcW w:w="2342"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1.062 (1.035 to 1.090)</w:t>
            </w:r>
          </w:p>
        </w:tc>
      </w:tr>
      <w:tr w:rsidR="004275F9" w:rsidRPr="00A32A78" w:rsidTr="00E42AA4">
        <w:trPr>
          <w:trHeight w:val="255"/>
        </w:trPr>
        <w:tc>
          <w:tcPr>
            <w:tcW w:w="284" w:type="dxa"/>
            <w:tcBorders>
              <w:top w:val="nil"/>
              <w:left w:val="nil"/>
              <w:bottom w:val="single" w:sz="4" w:space="0" w:color="auto"/>
              <w:right w:val="nil"/>
            </w:tcBorders>
          </w:tcPr>
          <w:p w:rsidR="004275F9" w:rsidRPr="00A32A78" w:rsidRDefault="004275F9" w:rsidP="00F54663">
            <w:pPr>
              <w:spacing w:after="0" w:line="240" w:lineRule="auto"/>
              <w:rPr>
                <w:rFonts w:ascii="Arial" w:eastAsia="Times New Roman" w:hAnsi="Arial" w:cs="Arial"/>
                <w:sz w:val="20"/>
                <w:szCs w:val="20"/>
                <w:lang w:eastAsia="en-GB"/>
              </w:rPr>
            </w:pPr>
          </w:p>
        </w:tc>
        <w:tc>
          <w:tcPr>
            <w:tcW w:w="961" w:type="dxa"/>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Overall</w:t>
            </w:r>
          </w:p>
        </w:tc>
        <w:tc>
          <w:tcPr>
            <w:tcW w:w="884" w:type="dxa"/>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58693</w:t>
            </w:r>
          </w:p>
        </w:tc>
        <w:tc>
          <w:tcPr>
            <w:tcW w:w="2298"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1.169 (1.159 to 1.179)</w:t>
            </w:r>
          </w:p>
        </w:tc>
        <w:tc>
          <w:tcPr>
            <w:tcW w:w="960"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39148</w:t>
            </w:r>
          </w:p>
        </w:tc>
        <w:tc>
          <w:tcPr>
            <w:tcW w:w="2298"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1.144 (1.132 to 1.157)</w:t>
            </w:r>
          </w:p>
        </w:tc>
        <w:tc>
          <w:tcPr>
            <w:tcW w:w="960"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30486</w:t>
            </w:r>
          </w:p>
        </w:tc>
        <w:tc>
          <w:tcPr>
            <w:tcW w:w="2342"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1.145 (1.131 to 1.159)</w:t>
            </w:r>
          </w:p>
        </w:tc>
      </w:tr>
      <w:tr w:rsidR="004275F9" w:rsidRPr="00A32A78" w:rsidTr="00F54663">
        <w:trPr>
          <w:trHeight w:val="255"/>
        </w:trPr>
        <w:tc>
          <w:tcPr>
            <w:tcW w:w="1245" w:type="dxa"/>
            <w:gridSpan w:val="2"/>
            <w:tcBorders>
              <w:top w:val="nil"/>
              <w:left w:val="nil"/>
              <w:bottom w:val="nil"/>
              <w:right w:val="nil"/>
            </w:tcBorders>
          </w:tcPr>
          <w:p w:rsidR="004275F9" w:rsidRPr="00A32A78" w:rsidRDefault="004275F9" w:rsidP="00F54663">
            <w:pPr>
              <w:spacing w:after="0" w:line="240" w:lineRule="auto"/>
              <w:rPr>
                <w:rFonts w:ascii="Arial" w:eastAsia="Times New Roman" w:hAnsi="Arial" w:cs="Arial"/>
                <w:sz w:val="20"/>
                <w:szCs w:val="20"/>
                <w:lang w:eastAsia="en-GB"/>
              </w:rPr>
            </w:pPr>
            <w:r>
              <w:rPr>
                <w:rFonts w:ascii="Arial" w:eastAsia="Times New Roman" w:hAnsi="Arial" w:cs="Arial"/>
                <w:b/>
                <w:sz w:val="20"/>
                <w:szCs w:val="20"/>
                <w:lang w:eastAsia="en-GB"/>
              </w:rPr>
              <w:t>All-cause d</w:t>
            </w:r>
            <w:r w:rsidRPr="00A32A78">
              <w:rPr>
                <w:rFonts w:ascii="Arial" w:eastAsia="Times New Roman" w:hAnsi="Arial" w:cs="Arial"/>
                <w:b/>
                <w:sz w:val="20"/>
                <w:szCs w:val="20"/>
                <w:lang w:eastAsia="en-GB"/>
              </w:rPr>
              <w:t>eath</w:t>
            </w:r>
          </w:p>
        </w:tc>
        <w:tc>
          <w:tcPr>
            <w:tcW w:w="884" w:type="dxa"/>
            <w:tcBorders>
              <w:top w:val="single" w:sz="4" w:space="0" w:color="auto"/>
              <w:left w:val="nil"/>
              <w:right w:val="nil"/>
            </w:tcBorders>
            <w:shd w:val="clear" w:color="auto" w:fill="auto"/>
            <w:noWrap/>
            <w:vAlign w:val="bottom"/>
          </w:tcPr>
          <w:p w:rsidR="004275F9" w:rsidRPr="00A32A78" w:rsidRDefault="004275F9" w:rsidP="00F54663">
            <w:pPr>
              <w:spacing w:after="0" w:line="240" w:lineRule="auto"/>
              <w:jc w:val="right"/>
              <w:rPr>
                <w:rFonts w:ascii="Arial" w:eastAsia="Times New Roman" w:hAnsi="Arial" w:cs="Arial"/>
                <w:sz w:val="20"/>
                <w:szCs w:val="20"/>
                <w:lang w:eastAsia="en-GB"/>
              </w:rPr>
            </w:pPr>
          </w:p>
        </w:tc>
        <w:tc>
          <w:tcPr>
            <w:tcW w:w="2298" w:type="dxa"/>
            <w:gridSpan w:val="2"/>
            <w:tcBorders>
              <w:top w:val="single" w:sz="4" w:space="0" w:color="auto"/>
              <w:left w:val="nil"/>
              <w:right w:val="nil"/>
            </w:tcBorders>
            <w:shd w:val="clear" w:color="auto" w:fill="auto"/>
            <w:noWrap/>
            <w:vAlign w:val="bottom"/>
          </w:tcPr>
          <w:p w:rsidR="004275F9" w:rsidRPr="00A32A78" w:rsidRDefault="004275F9" w:rsidP="00F54663">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right w:val="nil"/>
            </w:tcBorders>
            <w:shd w:val="clear" w:color="auto" w:fill="auto"/>
            <w:noWrap/>
            <w:vAlign w:val="bottom"/>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single" w:sz="4" w:space="0" w:color="auto"/>
              <w:left w:val="nil"/>
              <w:right w:val="nil"/>
            </w:tcBorders>
            <w:shd w:val="clear" w:color="auto" w:fill="auto"/>
            <w:noWrap/>
            <w:vAlign w:val="bottom"/>
          </w:tcPr>
          <w:p w:rsidR="004275F9" w:rsidRPr="00A32A78" w:rsidRDefault="004275F9" w:rsidP="00F54663">
            <w:pPr>
              <w:spacing w:after="0" w:line="240" w:lineRule="auto"/>
              <w:jc w:val="right"/>
              <w:rPr>
                <w:rFonts w:ascii="Arial" w:eastAsia="Times New Roman" w:hAnsi="Arial" w:cs="Arial"/>
                <w:sz w:val="20"/>
                <w:szCs w:val="20"/>
                <w:lang w:eastAsia="en-GB"/>
              </w:rPr>
            </w:pPr>
          </w:p>
        </w:tc>
        <w:tc>
          <w:tcPr>
            <w:tcW w:w="2298" w:type="dxa"/>
            <w:gridSpan w:val="2"/>
            <w:tcBorders>
              <w:top w:val="single" w:sz="4" w:space="0" w:color="auto"/>
              <w:left w:val="nil"/>
              <w:right w:val="nil"/>
            </w:tcBorders>
            <w:shd w:val="clear" w:color="auto" w:fill="auto"/>
            <w:noWrap/>
            <w:vAlign w:val="bottom"/>
          </w:tcPr>
          <w:p w:rsidR="004275F9" w:rsidRPr="00A32A78" w:rsidRDefault="004275F9" w:rsidP="00F54663">
            <w:pPr>
              <w:spacing w:after="0" w:line="240" w:lineRule="auto"/>
              <w:rPr>
                <w:rFonts w:ascii="Arial" w:eastAsia="Times New Roman" w:hAnsi="Arial" w:cs="Arial"/>
                <w:sz w:val="20"/>
                <w:szCs w:val="20"/>
                <w:lang w:eastAsia="en-GB"/>
              </w:rPr>
            </w:pPr>
          </w:p>
        </w:tc>
        <w:tc>
          <w:tcPr>
            <w:tcW w:w="960" w:type="dxa"/>
            <w:gridSpan w:val="2"/>
            <w:tcBorders>
              <w:top w:val="single" w:sz="4" w:space="0" w:color="auto"/>
              <w:left w:val="nil"/>
              <w:right w:val="nil"/>
            </w:tcBorders>
            <w:shd w:val="clear" w:color="auto" w:fill="auto"/>
            <w:noWrap/>
            <w:vAlign w:val="bottom"/>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single" w:sz="4" w:space="0" w:color="auto"/>
              <w:left w:val="nil"/>
              <w:right w:val="nil"/>
            </w:tcBorders>
            <w:shd w:val="clear" w:color="auto" w:fill="auto"/>
            <w:noWrap/>
            <w:vAlign w:val="bottom"/>
          </w:tcPr>
          <w:p w:rsidR="004275F9" w:rsidRPr="00A32A78" w:rsidRDefault="004275F9" w:rsidP="00F54663">
            <w:pPr>
              <w:spacing w:after="0" w:line="240" w:lineRule="auto"/>
              <w:jc w:val="right"/>
              <w:rPr>
                <w:rFonts w:ascii="Arial" w:eastAsia="Times New Roman" w:hAnsi="Arial" w:cs="Arial"/>
                <w:sz w:val="20"/>
                <w:szCs w:val="20"/>
                <w:lang w:eastAsia="en-GB"/>
              </w:rPr>
            </w:pPr>
          </w:p>
        </w:tc>
        <w:tc>
          <w:tcPr>
            <w:tcW w:w="2342" w:type="dxa"/>
            <w:gridSpan w:val="2"/>
            <w:tcBorders>
              <w:top w:val="single" w:sz="4" w:space="0" w:color="auto"/>
              <w:left w:val="nil"/>
              <w:right w:val="nil"/>
            </w:tcBorders>
            <w:shd w:val="clear" w:color="auto" w:fill="auto"/>
            <w:noWrap/>
            <w:vAlign w:val="bottom"/>
          </w:tcPr>
          <w:p w:rsidR="004275F9" w:rsidRPr="00A32A78" w:rsidRDefault="004275F9" w:rsidP="00F54663">
            <w:pPr>
              <w:spacing w:after="0" w:line="240" w:lineRule="auto"/>
              <w:rPr>
                <w:rFonts w:ascii="Arial" w:eastAsia="Times New Roman" w:hAnsi="Arial" w:cs="Arial"/>
                <w:sz w:val="20"/>
                <w:szCs w:val="20"/>
                <w:lang w:eastAsia="en-GB"/>
              </w:rPr>
            </w:pPr>
          </w:p>
        </w:tc>
      </w:tr>
      <w:tr w:rsidR="004275F9" w:rsidRPr="00A32A78" w:rsidTr="00E42AA4">
        <w:trPr>
          <w:trHeight w:val="255"/>
        </w:trPr>
        <w:tc>
          <w:tcPr>
            <w:tcW w:w="284" w:type="dxa"/>
            <w:tcBorders>
              <w:top w:val="nil"/>
              <w:left w:val="nil"/>
              <w:bottom w:val="nil"/>
              <w:right w:val="nil"/>
            </w:tcBorders>
          </w:tcPr>
          <w:p w:rsidR="004275F9" w:rsidRPr="00A32A78" w:rsidRDefault="004275F9" w:rsidP="00F54663">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&lt;70</w:t>
            </w:r>
          </w:p>
        </w:tc>
        <w:tc>
          <w:tcPr>
            <w:tcW w:w="884" w:type="dxa"/>
            <w:tcBorders>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52290</w:t>
            </w:r>
          </w:p>
        </w:tc>
        <w:tc>
          <w:tcPr>
            <w:tcW w:w="2298" w:type="dxa"/>
            <w:gridSpan w:val="2"/>
            <w:tcBorders>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1.041 (1.030 to 1.051)</w:t>
            </w:r>
          </w:p>
        </w:tc>
        <w:tc>
          <w:tcPr>
            <w:tcW w:w="960" w:type="dxa"/>
            <w:gridSpan w:val="2"/>
            <w:tcBorders>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32164</w:t>
            </w:r>
          </w:p>
        </w:tc>
        <w:tc>
          <w:tcPr>
            <w:tcW w:w="2298" w:type="dxa"/>
            <w:gridSpan w:val="2"/>
            <w:tcBorders>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1.188 (1.173 to 1.203)</w:t>
            </w:r>
          </w:p>
        </w:tc>
        <w:tc>
          <w:tcPr>
            <w:tcW w:w="960" w:type="dxa"/>
            <w:gridSpan w:val="2"/>
            <w:tcBorders>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19291</w:t>
            </w:r>
          </w:p>
        </w:tc>
        <w:tc>
          <w:tcPr>
            <w:tcW w:w="2342" w:type="dxa"/>
            <w:gridSpan w:val="2"/>
            <w:tcBorders>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1.264 (1.244 to 1.285)</w:t>
            </w:r>
          </w:p>
        </w:tc>
      </w:tr>
      <w:tr w:rsidR="004275F9" w:rsidRPr="00A32A78" w:rsidTr="00E42AA4">
        <w:trPr>
          <w:trHeight w:val="255"/>
        </w:trPr>
        <w:tc>
          <w:tcPr>
            <w:tcW w:w="284" w:type="dxa"/>
            <w:tcBorders>
              <w:top w:val="nil"/>
              <w:left w:val="nil"/>
              <w:bottom w:val="nil"/>
              <w:right w:val="nil"/>
            </w:tcBorders>
          </w:tcPr>
          <w:p w:rsidR="004275F9" w:rsidRPr="00A32A78" w:rsidRDefault="004275F9" w:rsidP="00F54663">
            <w:pPr>
              <w:spacing w:after="0" w:line="240" w:lineRule="auto"/>
              <w:rPr>
                <w:rFonts w:ascii="Arial" w:eastAsia="Times New Roman" w:hAnsi="Arial" w:cs="Arial"/>
                <w:sz w:val="20"/>
                <w:szCs w:val="20"/>
                <w:lang w:eastAsia="en-GB"/>
              </w:rPr>
            </w:pPr>
          </w:p>
        </w:tc>
        <w:tc>
          <w:tcPr>
            <w:tcW w:w="961" w:type="dxa"/>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70-84</w:t>
            </w:r>
          </w:p>
        </w:tc>
        <w:tc>
          <w:tcPr>
            <w:tcW w:w="884" w:type="dxa"/>
            <w:tcBorders>
              <w:top w:val="nil"/>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93248</w:t>
            </w:r>
          </w:p>
        </w:tc>
        <w:tc>
          <w:tcPr>
            <w:tcW w:w="2298"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0.859 (0.853 to 0.865)</w:t>
            </w:r>
          </w:p>
        </w:tc>
        <w:tc>
          <w:tcPr>
            <w:tcW w:w="960"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66513</w:t>
            </w:r>
          </w:p>
        </w:tc>
        <w:tc>
          <w:tcPr>
            <w:tcW w:w="2298"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1.040 (1.031 to 1.048)</w:t>
            </w:r>
          </w:p>
        </w:tc>
        <w:tc>
          <w:tcPr>
            <w:tcW w:w="960"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50494</w:t>
            </w:r>
          </w:p>
        </w:tc>
        <w:tc>
          <w:tcPr>
            <w:tcW w:w="2342" w:type="dxa"/>
            <w:gridSpan w:val="2"/>
            <w:tcBorders>
              <w:top w:val="nil"/>
              <w:left w:val="nil"/>
              <w:bottom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1.142 (1.131 to 1.153)</w:t>
            </w:r>
          </w:p>
        </w:tc>
      </w:tr>
      <w:tr w:rsidR="004275F9" w:rsidRPr="00A32A78" w:rsidTr="00E42AA4">
        <w:trPr>
          <w:trHeight w:val="255"/>
        </w:trPr>
        <w:tc>
          <w:tcPr>
            <w:tcW w:w="284" w:type="dxa"/>
            <w:tcBorders>
              <w:top w:val="nil"/>
              <w:left w:val="nil"/>
              <w:right w:val="nil"/>
            </w:tcBorders>
          </w:tcPr>
          <w:p w:rsidR="004275F9" w:rsidRPr="00A32A78" w:rsidRDefault="004275F9" w:rsidP="00F54663">
            <w:pPr>
              <w:spacing w:after="0" w:line="240" w:lineRule="auto"/>
              <w:rPr>
                <w:rFonts w:ascii="Arial" w:eastAsia="Times New Roman" w:hAnsi="Arial" w:cs="Arial"/>
                <w:sz w:val="20"/>
                <w:szCs w:val="20"/>
                <w:lang w:eastAsia="en-GB"/>
              </w:rPr>
            </w:pPr>
          </w:p>
        </w:tc>
        <w:tc>
          <w:tcPr>
            <w:tcW w:w="961" w:type="dxa"/>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85+</w:t>
            </w:r>
          </w:p>
        </w:tc>
        <w:tc>
          <w:tcPr>
            <w:tcW w:w="884" w:type="dxa"/>
            <w:tcBorders>
              <w:top w:val="nil"/>
              <w:left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53711</w:t>
            </w:r>
          </w:p>
        </w:tc>
        <w:tc>
          <w:tcPr>
            <w:tcW w:w="2298"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0.775 (0.767 to 0.782)</w:t>
            </w:r>
          </w:p>
        </w:tc>
        <w:tc>
          <w:tcPr>
            <w:tcW w:w="960"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38468</w:t>
            </w:r>
          </w:p>
        </w:tc>
        <w:tc>
          <w:tcPr>
            <w:tcW w:w="2298"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0.978 (0.967 to 0.988)</w:t>
            </w:r>
          </w:p>
        </w:tc>
        <w:tc>
          <w:tcPr>
            <w:tcW w:w="960"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36726</w:t>
            </w:r>
          </w:p>
        </w:tc>
        <w:tc>
          <w:tcPr>
            <w:tcW w:w="2342" w:type="dxa"/>
            <w:gridSpan w:val="2"/>
            <w:tcBorders>
              <w:top w:val="nil"/>
              <w:left w:val="nil"/>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1.080 (1.068 to 1.092)</w:t>
            </w:r>
          </w:p>
        </w:tc>
      </w:tr>
      <w:tr w:rsidR="004275F9" w:rsidRPr="00A32A78" w:rsidTr="00E42AA4">
        <w:trPr>
          <w:trHeight w:val="255"/>
        </w:trPr>
        <w:tc>
          <w:tcPr>
            <w:tcW w:w="284" w:type="dxa"/>
            <w:tcBorders>
              <w:top w:val="nil"/>
              <w:left w:val="nil"/>
              <w:bottom w:val="single" w:sz="4" w:space="0" w:color="auto"/>
              <w:right w:val="nil"/>
            </w:tcBorders>
          </w:tcPr>
          <w:p w:rsidR="004275F9" w:rsidRPr="00A32A78" w:rsidRDefault="004275F9" w:rsidP="00F54663">
            <w:pPr>
              <w:spacing w:after="0" w:line="240" w:lineRule="auto"/>
              <w:rPr>
                <w:rFonts w:ascii="Arial" w:eastAsia="Times New Roman" w:hAnsi="Arial" w:cs="Arial"/>
                <w:sz w:val="20"/>
                <w:szCs w:val="20"/>
                <w:lang w:eastAsia="en-GB"/>
              </w:rPr>
            </w:pPr>
          </w:p>
        </w:tc>
        <w:tc>
          <w:tcPr>
            <w:tcW w:w="961" w:type="dxa"/>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Overall</w:t>
            </w:r>
          </w:p>
        </w:tc>
        <w:tc>
          <w:tcPr>
            <w:tcW w:w="884" w:type="dxa"/>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199249</w:t>
            </w:r>
          </w:p>
        </w:tc>
        <w:tc>
          <w:tcPr>
            <w:tcW w:w="2298"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0.870 (0.866 to 0.875)</w:t>
            </w:r>
          </w:p>
        </w:tc>
        <w:tc>
          <w:tcPr>
            <w:tcW w:w="960"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137145</w:t>
            </w:r>
          </w:p>
        </w:tc>
        <w:tc>
          <w:tcPr>
            <w:tcW w:w="2298"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1.051 (1.044 to 1.057)</w:t>
            </w:r>
          </w:p>
        </w:tc>
        <w:tc>
          <w:tcPr>
            <w:tcW w:w="960"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p>
        </w:tc>
        <w:tc>
          <w:tcPr>
            <w:tcW w:w="884"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jc w:val="right"/>
              <w:rPr>
                <w:rFonts w:ascii="Arial" w:eastAsia="Times New Roman" w:hAnsi="Arial" w:cs="Arial"/>
                <w:sz w:val="20"/>
                <w:szCs w:val="20"/>
                <w:lang w:eastAsia="en-GB"/>
              </w:rPr>
            </w:pPr>
            <w:r w:rsidRPr="00A32A78">
              <w:rPr>
                <w:rFonts w:ascii="Arial" w:eastAsia="Times New Roman" w:hAnsi="Arial" w:cs="Arial"/>
                <w:sz w:val="20"/>
                <w:szCs w:val="20"/>
                <w:lang w:eastAsia="en-GB"/>
              </w:rPr>
              <w:t>106511</w:t>
            </w:r>
          </w:p>
        </w:tc>
        <w:tc>
          <w:tcPr>
            <w:tcW w:w="2342" w:type="dxa"/>
            <w:gridSpan w:val="2"/>
            <w:tcBorders>
              <w:top w:val="nil"/>
              <w:left w:val="nil"/>
              <w:bottom w:val="single" w:sz="4" w:space="0" w:color="auto"/>
              <w:right w:val="nil"/>
            </w:tcBorders>
            <w:shd w:val="clear" w:color="auto" w:fill="auto"/>
            <w:noWrap/>
            <w:vAlign w:val="bottom"/>
            <w:hideMark/>
          </w:tcPr>
          <w:p w:rsidR="004275F9" w:rsidRPr="00A32A78" w:rsidRDefault="004275F9" w:rsidP="00F54663">
            <w:pPr>
              <w:spacing w:after="0" w:line="240" w:lineRule="auto"/>
              <w:rPr>
                <w:rFonts w:ascii="Arial" w:eastAsia="Times New Roman" w:hAnsi="Arial" w:cs="Arial"/>
                <w:sz w:val="20"/>
                <w:szCs w:val="20"/>
                <w:lang w:eastAsia="en-GB"/>
              </w:rPr>
            </w:pPr>
            <w:r w:rsidRPr="00A32A78">
              <w:rPr>
                <w:rFonts w:ascii="Arial" w:eastAsia="Times New Roman" w:hAnsi="Arial" w:cs="Arial"/>
                <w:sz w:val="20"/>
                <w:szCs w:val="20"/>
                <w:lang w:eastAsia="en-GB"/>
              </w:rPr>
              <w:t>1.139 (1.132 to 1.147)</w:t>
            </w:r>
          </w:p>
        </w:tc>
      </w:tr>
    </w:tbl>
    <w:p w:rsidR="004275F9" w:rsidRDefault="004275F9" w:rsidP="004275F9"/>
    <w:p w:rsidR="004275F9" w:rsidRDefault="004275F9" w:rsidP="004275F9"/>
    <w:p w:rsidR="00210D85" w:rsidRDefault="00210D85" w:rsidP="004275F9"/>
    <w:p w:rsidR="00210D85" w:rsidRDefault="00210D85" w:rsidP="004275F9">
      <w:pPr>
        <w:sectPr w:rsidR="00210D85" w:rsidSect="000C0ABD">
          <w:pgSz w:w="16838" w:h="11906" w:orient="landscape"/>
          <w:pgMar w:top="1440" w:right="1440" w:bottom="1440" w:left="1440" w:header="708" w:footer="708" w:gutter="0"/>
          <w:cols w:space="708"/>
          <w:docGrid w:linePitch="360"/>
        </w:sectPr>
      </w:pPr>
    </w:p>
    <w:p w:rsidR="00210D85" w:rsidRPr="000C1089" w:rsidRDefault="00210D85" w:rsidP="00210D85">
      <w:pPr>
        <w:rPr>
          <w:b/>
          <w:u w:val="single"/>
        </w:rPr>
      </w:pPr>
      <w:r>
        <w:rPr>
          <w:b/>
        </w:rPr>
        <w:lastRenderedPageBreak/>
        <w:t xml:space="preserve">Supplementary Table 6: </w:t>
      </w:r>
      <w:r>
        <w:t xml:space="preserve">Rate ratios of systolic blood pressure with </w:t>
      </w:r>
      <w:r w:rsidR="0057177D">
        <w:t xml:space="preserve">dementia, Alzheimer’s disease and vascular dementia amongst patients aged &lt;60 or &lt;65, restricted to long term follow-up ( &gt;10 years after post-measurement) </w:t>
      </w:r>
    </w:p>
    <w:tbl>
      <w:tblPr>
        <w:tblW w:w="8647" w:type="dxa"/>
        <w:tblLook w:val="04A0" w:firstRow="1" w:lastRow="0" w:firstColumn="1" w:lastColumn="0" w:noHBand="0" w:noVBand="1"/>
      </w:tblPr>
      <w:tblGrid>
        <w:gridCol w:w="3100"/>
        <w:gridCol w:w="1862"/>
        <w:gridCol w:w="1842"/>
        <w:gridCol w:w="1843"/>
      </w:tblGrid>
      <w:tr w:rsidR="00210D85" w:rsidRPr="0001516B" w:rsidTr="00C57A86">
        <w:trPr>
          <w:trHeight w:val="300"/>
        </w:trPr>
        <w:tc>
          <w:tcPr>
            <w:tcW w:w="3100" w:type="dxa"/>
            <w:tcBorders>
              <w:top w:val="single" w:sz="4" w:space="0" w:color="auto"/>
              <w:left w:val="nil"/>
              <w:bottom w:val="nil"/>
              <w:right w:val="nil"/>
            </w:tcBorders>
            <w:shd w:val="clear" w:color="auto" w:fill="auto"/>
            <w:noWrap/>
            <w:hideMark/>
          </w:tcPr>
          <w:p w:rsidR="00210D85" w:rsidRPr="0001516B" w:rsidRDefault="00210D85" w:rsidP="00C57A86">
            <w:pPr>
              <w:spacing w:after="0" w:line="240" w:lineRule="auto"/>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 </w:t>
            </w:r>
          </w:p>
        </w:tc>
        <w:tc>
          <w:tcPr>
            <w:tcW w:w="5547" w:type="dxa"/>
            <w:gridSpan w:val="3"/>
            <w:tcBorders>
              <w:top w:val="single" w:sz="4" w:space="0" w:color="auto"/>
              <w:left w:val="nil"/>
              <w:bottom w:val="single" w:sz="4" w:space="0" w:color="auto"/>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Rate</w:t>
            </w:r>
            <w:r w:rsidRPr="0001516B">
              <w:rPr>
                <w:rFonts w:ascii="Calibri" w:eastAsia="Times New Roman" w:hAnsi="Calibri" w:cs="Times New Roman"/>
                <w:color w:val="000000"/>
                <w:lang w:eastAsia="en-GB"/>
              </w:rPr>
              <w:t xml:space="preserve"> ratio (95% CI)</w:t>
            </w:r>
          </w:p>
        </w:tc>
      </w:tr>
      <w:tr w:rsidR="00210D85" w:rsidRPr="0001516B" w:rsidTr="00C57A86">
        <w:trPr>
          <w:trHeight w:val="780"/>
        </w:trPr>
        <w:tc>
          <w:tcPr>
            <w:tcW w:w="3100" w:type="dxa"/>
            <w:tcBorders>
              <w:top w:val="nil"/>
              <w:left w:val="nil"/>
              <w:bottom w:val="nil"/>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p>
        </w:tc>
        <w:tc>
          <w:tcPr>
            <w:tcW w:w="1862" w:type="dxa"/>
            <w:tcBorders>
              <w:top w:val="nil"/>
              <w:left w:val="nil"/>
              <w:bottom w:val="single" w:sz="4" w:space="0" w:color="auto"/>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Any dementia</w:t>
            </w:r>
          </w:p>
        </w:tc>
        <w:tc>
          <w:tcPr>
            <w:tcW w:w="1842" w:type="dxa"/>
            <w:tcBorders>
              <w:top w:val="nil"/>
              <w:left w:val="nil"/>
              <w:bottom w:val="single" w:sz="4" w:space="0" w:color="auto"/>
              <w:right w:val="nil"/>
            </w:tcBorders>
            <w:shd w:val="clear" w:color="auto" w:fill="auto"/>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Alzheimer's disease</w:t>
            </w:r>
          </w:p>
        </w:tc>
        <w:tc>
          <w:tcPr>
            <w:tcW w:w="1843" w:type="dxa"/>
            <w:tcBorders>
              <w:top w:val="nil"/>
              <w:left w:val="nil"/>
              <w:bottom w:val="single" w:sz="4" w:space="0" w:color="auto"/>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Vascular dementia</w:t>
            </w:r>
          </w:p>
        </w:tc>
      </w:tr>
      <w:tr w:rsidR="00210D85" w:rsidRPr="0001516B" w:rsidTr="00C57A86">
        <w:trPr>
          <w:trHeight w:val="300"/>
        </w:trPr>
        <w:tc>
          <w:tcPr>
            <w:tcW w:w="3100" w:type="dxa"/>
            <w:tcBorders>
              <w:top w:val="nil"/>
              <w:left w:val="nil"/>
              <w:bottom w:val="nil"/>
              <w:right w:val="nil"/>
            </w:tcBorders>
            <w:shd w:val="clear" w:color="auto" w:fill="auto"/>
            <w:noWrap/>
            <w:hideMark/>
          </w:tcPr>
          <w:p w:rsidR="00210D85" w:rsidRPr="0001516B" w:rsidRDefault="00210D85" w:rsidP="00C57A86">
            <w:pPr>
              <w:spacing w:after="0" w:line="240" w:lineRule="auto"/>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Amongst patients aged &lt;60</w:t>
            </w:r>
          </w:p>
        </w:tc>
        <w:tc>
          <w:tcPr>
            <w:tcW w:w="1862" w:type="dxa"/>
            <w:tcBorders>
              <w:top w:val="nil"/>
              <w:left w:val="nil"/>
              <w:bottom w:val="nil"/>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1.09 (0.91,1.31)</w:t>
            </w:r>
          </w:p>
        </w:tc>
        <w:tc>
          <w:tcPr>
            <w:tcW w:w="1842" w:type="dxa"/>
            <w:tcBorders>
              <w:top w:val="nil"/>
              <w:left w:val="nil"/>
              <w:bottom w:val="nil"/>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0.87 (0.69,1.08)</w:t>
            </w:r>
          </w:p>
        </w:tc>
        <w:tc>
          <w:tcPr>
            <w:tcW w:w="1843" w:type="dxa"/>
            <w:tcBorders>
              <w:top w:val="nil"/>
              <w:left w:val="nil"/>
              <w:bottom w:val="nil"/>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1.95 (1.40,2.72)</w:t>
            </w:r>
          </w:p>
        </w:tc>
      </w:tr>
      <w:tr w:rsidR="00210D85" w:rsidRPr="0001516B" w:rsidTr="00C57A86">
        <w:trPr>
          <w:trHeight w:val="315"/>
        </w:trPr>
        <w:tc>
          <w:tcPr>
            <w:tcW w:w="3100" w:type="dxa"/>
            <w:tcBorders>
              <w:top w:val="nil"/>
              <w:left w:val="nil"/>
              <w:bottom w:val="single" w:sz="4" w:space="0" w:color="auto"/>
              <w:right w:val="nil"/>
            </w:tcBorders>
            <w:shd w:val="clear" w:color="auto" w:fill="auto"/>
            <w:noWrap/>
            <w:hideMark/>
          </w:tcPr>
          <w:p w:rsidR="00210D85" w:rsidRPr="0001516B" w:rsidRDefault="00210D85" w:rsidP="00C57A86">
            <w:pPr>
              <w:spacing w:after="0" w:line="240" w:lineRule="auto"/>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Amongst patients aged &lt;65</w:t>
            </w:r>
            <w:r w:rsidR="004453C9">
              <w:rPr>
                <w:rFonts w:ascii="Calibri" w:eastAsia="Times New Roman" w:hAnsi="Calibri" w:cs="Times New Roman"/>
                <w:color w:val="000000"/>
                <w:lang w:eastAsia="en-GB"/>
              </w:rPr>
              <w:t xml:space="preserve"> (including those aged &lt;60)</w:t>
            </w:r>
            <w:bookmarkStart w:id="0" w:name="_GoBack"/>
            <w:bookmarkEnd w:id="0"/>
          </w:p>
        </w:tc>
        <w:tc>
          <w:tcPr>
            <w:tcW w:w="1862" w:type="dxa"/>
            <w:tcBorders>
              <w:top w:val="nil"/>
              <w:left w:val="nil"/>
              <w:bottom w:val="single" w:sz="4" w:space="0" w:color="auto"/>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1.10 (1.00,1.22)</w:t>
            </w:r>
          </w:p>
        </w:tc>
        <w:tc>
          <w:tcPr>
            <w:tcW w:w="1842" w:type="dxa"/>
            <w:tcBorders>
              <w:top w:val="nil"/>
              <w:left w:val="nil"/>
              <w:bottom w:val="single" w:sz="4" w:space="0" w:color="auto"/>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1.00 (0.88,1.13)</w:t>
            </w:r>
          </w:p>
        </w:tc>
        <w:tc>
          <w:tcPr>
            <w:tcW w:w="1843" w:type="dxa"/>
            <w:tcBorders>
              <w:top w:val="nil"/>
              <w:left w:val="nil"/>
              <w:bottom w:val="single" w:sz="4" w:space="0" w:color="auto"/>
              <w:right w:val="nil"/>
            </w:tcBorders>
            <w:shd w:val="clear" w:color="auto" w:fill="auto"/>
            <w:noWrap/>
            <w:hideMark/>
          </w:tcPr>
          <w:p w:rsidR="00210D85" w:rsidRPr="0001516B" w:rsidRDefault="00210D85" w:rsidP="00C57A86">
            <w:pPr>
              <w:spacing w:after="0" w:line="240" w:lineRule="auto"/>
              <w:jc w:val="center"/>
              <w:rPr>
                <w:rFonts w:ascii="Calibri" w:eastAsia="Times New Roman" w:hAnsi="Calibri" w:cs="Times New Roman"/>
                <w:color w:val="000000"/>
                <w:lang w:eastAsia="en-GB"/>
              </w:rPr>
            </w:pPr>
            <w:r w:rsidRPr="0001516B">
              <w:rPr>
                <w:rFonts w:ascii="Calibri" w:eastAsia="Times New Roman" w:hAnsi="Calibri" w:cs="Times New Roman"/>
                <w:color w:val="000000"/>
                <w:lang w:eastAsia="en-GB"/>
              </w:rPr>
              <w:t> 1.42 (1.14,1.77)</w:t>
            </w:r>
          </w:p>
        </w:tc>
      </w:tr>
    </w:tbl>
    <w:p w:rsidR="00210D85" w:rsidRPr="00210D85" w:rsidRDefault="00210D85" w:rsidP="004275F9">
      <w:pPr>
        <w:rPr>
          <w:b/>
        </w:rPr>
        <w:sectPr w:rsidR="00210D85" w:rsidRPr="00210D85" w:rsidSect="000C0ABD">
          <w:pgSz w:w="16838" w:h="11906" w:orient="landscape"/>
          <w:pgMar w:top="1440" w:right="1440" w:bottom="1440" w:left="1440" w:header="708" w:footer="708" w:gutter="0"/>
          <w:cols w:space="708"/>
          <w:docGrid w:linePitch="360"/>
        </w:sectPr>
      </w:pPr>
    </w:p>
    <w:p w:rsidR="004275F9" w:rsidRDefault="004275F9" w:rsidP="004275F9">
      <w:r>
        <w:rPr>
          <w:b/>
        </w:rPr>
        <w:lastRenderedPageBreak/>
        <w:t xml:space="preserve">Supplementary Figure 1: </w:t>
      </w:r>
      <w:r w:rsidRPr="00786569">
        <w:t xml:space="preserve">Age and sex </w:t>
      </w:r>
      <w:r>
        <w:t xml:space="preserve">standardized rates of dementia by long-term average systolic blood pressure </w:t>
      </w:r>
    </w:p>
    <w:p w:rsidR="004275F9" w:rsidRDefault="004275F9" w:rsidP="004275F9">
      <w:r w:rsidRPr="00CE5878">
        <w:rPr>
          <w:noProof/>
          <w:lang w:eastAsia="en-GB"/>
        </w:rPr>
        <w:drawing>
          <wp:inline distT="0" distB="0" distL="0" distR="0" wp14:anchorId="380B10DB" wp14:editId="1B9274CE">
            <wp:extent cx="6168788" cy="4507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65" cy="4515800"/>
                    </a:xfrm>
                    <a:prstGeom prst="rect">
                      <a:avLst/>
                    </a:prstGeom>
                    <a:noFill/>
                    <a:ln>
                      <a:noFill/>
                    </a:ln>
                  </pic:spPr>
                </pic:pic>
              </a:graphicData>
            </a:graphic>
          </wp:inline>
        </w:drawing>
      </w:r>
    </w:p>
    <w:p w:rsidR="004275F9" w:rsidRDefault="004275F9" w:rsidP="004275F9">
      <w:pPr>
        <w:rPr>
          <w:b/>
        </w:rPr>
      </w:pPr>
    </w:p>
    <w:p w:rsidR="004275F9" w:rsidRDefault="004275F9" w:rsidP="004275F9">
      <w:pPr>
        <w:rPr>
          <w:b/>
        </w:rPr>
      </w:pPr>
    </w:p>
    <w:p w:rsidR="004275F9" w:rsidRDefault="004275F9" w:rsidP="004275F9">
      <w:pPr>
        <w:rPr>
          <w:b/>
        </w:rPr>
        <w:sectPr w:rsidR="004275F9" w:rsidSect="000C0ABD">
          <w:pgSz w:w="16838" w:h="11906" w:orient="landscape"/>
          <w:pgMar w:top="1440" w:right="1440" w:bottom="1440" w:left="1440" w:header="708" w:footer="708" w:gutter="0"/>
          <w:cols w:space="708"/>
          <w:docGrid w:linePitch="360"/>
        </w:sectPr>
      </w:pPr>
    </w:p>
    <w:p w:rsidR="004275F9" w:rsidRDefault="004275F9" w:rsidP="004275F9">
      <w:r>
        <w:rPr>
          <w:b/>
        </w:rPr>
        <w:lastRenderedPageBreak/>
        <w:t xml:space="preserve">Supplementary Figure 2: </w:t>
      </w:r>
      <w:r w:rsidRPr="00786569">
        <w:t xml:space="preserve">Age and sex </w:t>
      </w:r>
      <w:r>
        <w:t>standardized rates of dementia by long-term average</w:t>
      </w:r>
      <w:r w:rsidRPr="00483F74">
        <w:rPr>
          <w:b/>
          <w:u w:val="single"/>
        </w:rPr>
        <w:t xml:space="preserve"> diastolic blood pressure</w:t>
      </w:r>
      <w:r>
        <w:t xml:space="preserve"> during the A) the first 5-years after measurement B) 5-10 years after measurement; C) &gt;10 years after measurement</w:t>
      </w:r>
    </w:p>
    <w:p w:rsidR="004275F9" w:rsidRDefault="004275F9" w:rsidP="004275F9"/>
    <w:p w:rsidR="004275F9" w:rsidRDefault="004275F9" w:rsidP="004275F9">
      <w:r>
        <w:rPr>
          <w:noProof/>
          <w:lang w:eastAsia="en-GB"/>
        </w:rPr>
        <w:drawing>
          <wp:inline distT="0" distB="0" distL="0" distR="0" wp14:anchorId="5C97D51B" wp14:editId="47D75795">
            <wp:extent cx="6905297" cy="4849092"/>
            <wp:effectExtent l="0" t="0" r="0" b="0"/>
            <wp:docPr id="5" name="Picture 5" descr="F:\Documents\LSHTM\SBP dementia\output\May17\formatted\DBPdementia_agesexAdj.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s\LSHTM\SBP dementia\output\May17\formatted\DBPdementia_agesexAdj.e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21273" cy="4860311"/>
                    </a:xfrm>
                    <a:prstGeom prst="rect">
                      <a:avLst/>
                    </a:prstGeom>
                    <a:noFill/>
                    <a:ln>
                      <a:noFill/>
                    </a:ln>
                  </pic:spPr>
                </pic:pic>
              </a:graphicData>
            </a:graphic>
          </wp:inline>
        </w:drawing>
      </w:r>
    </w:p>
    <w:p w:rsidR="004275F9" w:rsidRDefault="004275F9" w:rsidP="004275F9">
      <w:r>
        <w:rPr>
          <w:b/>
        </w:rPr>
        <w:lastRenderedPageBreak/>
        <w:t xml:space="preserve">Supplementary Figure 3: </w:t>
      </w:r>
      <w:r w:rsidRPr="00786569">
        <w:t xml:space="preserve">Age and sex </w:t>
      </w:r>
      <w:r>
        <w:t xml:space="preserve">standardized rates </w:t>
      </w:r>
      <w:r w:rsidRPr="00483F74">
        <w:t>of</w:t>
      </w:r>
      <w:r w:rsidRPr="00483F74">
        <w:rPr>
          <w:b/>
          <w:u w:val="single"/>
        </w:rPr>
        <w:t xml:space="preserve"> stroke</w:t>
      </w:r>
      <w:r>
        <w:t xml:space="preserve"> by long-term average systolic blood pressure during the A) the first 5-years after measurement B) 5-10 years after measurement; C) &gt;10 years after measurement</w:t>
      </w:r>
    </w:p>
    <w:p w:rsidR="004275F9" w:rsidRDefault="004275F9" w:rsidP="004275F9">
      <w:r>
        <w:rPr>
          <w:noProof/>
          <w:lang w:eastAsia="en-GB"/>
        </w:rPr>
        <w:drawing>
          <wp:inline distT="0" distB="0" distL="0" distR="0" wp14:anchorId="2B47C2C0" wp14:editId="7B070E7F">
            <wp:extent cx="6896100" cy="4851931"/>
            <wp:effectExtent l="0" t="0" r="0" b="0"/>
            <wp:docPr id="6" name="Picture 6" descr="F:\Documents\LSHTM\SBP dementia\output\May17\formatted\SBPstroke_agesexAdj.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LSHTM\SBP dementia\output\May17\formatted\SBPstroke_agesexAdj.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0966" cy="4869426"/>
                    </a:xfrm>
                    <a:prstGeom prst="rect">
                      <a:avLst/>
                    </a:prstGeom>
                    <a:noFill/>
                    <a:ln>
                      <a:noFill/>
                    </a:ln>
                  </pic:spPr>
                </pic:pic>
              </a:graphicData>
            </a:graphic>
          </wp:inline>
        </w:drawing>
      </w:r>
    </w:p>
    <w:p w:rsidR="004275F9" w:rsidRDefault="004275F9" w:rsidP="004275F9"/>
    <w:p w:rsidR="004275F9" w:rsidRDefault="004275F9" w:rsidP="004275F9">
      <w:pPr>
        <w:sectPr w:rsidR="004275F9" w:rsidSect="000C0ABD">
          <w:pgSz w:w="16838" w:h="11906" w:orient="landscape"/>
          <w:pgMar w:top="1440" w:right="1440" w:bottom="1440" w:left="1440" w:header="708" w:footer="708" w:gutter="0"/>
          <w:cols w:space="708"/>
          <w:docGrid w:linePitch="360"/>
        </w:sectPr>
      </w:pPr>
    </w:p>
    <w:p w:rsidR="004275F9" w:rsidRDefault="004275F9" w:rsidP="004275F9">
      <w:r>
        <w:rPr>
          <w:b/>
        </w:rPr>
        <w:lastRenderedPageBreak/>
        <w:t xml:space="preserve">Supplementary Figure 4: </w:t>
      </w:r>
      <w:r w:rsidRPr="00786569">
        <w:t xml:space="preserve">Age and sex </w:t>
      </w:r>
      <w:r>
        <w:t xml:space="preserve">standardized rates for </w:t>
      </w:r>
      <w:r w:rsidRPr="00483F74">
        <w:rPr>
          <w:b/>
          <w:u w:val="single"/>
        </w:rPr>
        <w:t>all-cause mortality</w:t>
      </w:r>
      <w:r>
        <w:t xml:space="preserve"> by long-term average systolic blood pressure during the A) the first 5-years after measurement B) 5-10 years after measurement; C) &gt;10 years after measurement</w:t>
      </w:r>
    </w:p>
    <w:p w:rsidR="004275F9" w:rsidRDefault="004275F9" w:rsidP="004275F9">
      <w:pPr>
        <w:sectPr w:rsidR="004275F9" w:rsidSect="000C0ABD">
          <w:pgSz w:w="16838" w:h="11906" w:orient="landscape"/>
          <w:pgMar w:top="1440" w:right="1440" w:bottom="1440" w:left="1440" w:header="708" w:footer="708" w:gutter="0"/>
          <w:cols w:space="708"/>
          <w:docGrid w:linePitch="360"/>
        </w:sectPr>
      </w:pPr>
      <w:r>
        <w:rPr>
          <w:noProof/>
          <w:lang w:eastAsia="en-GB"/>
        </w:rPr>
        <w:drawing>
          <wp:inline distT="0" distB="0" distL="0" distR="0" wp14:anchorId="58C41AAB" wp14:editId="763FE7C3">
            <wp:extent cx="7028597" cy="4945152"/>
            <wp:effectExtent l="0" t="0" r="0" b="0"/>
            <wp:docPr id="1" name="Picture 1" descr="F:\Documents\LSHTM\SBP dementia\output\May17\formatted\SBPdeath_agesexAdj.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LSHTM\SBP dementia\output\May17\formatted\SBPdeath_agesexAdj.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3401" cy="4955568"/>
                    </a:xfrm>
                    <a:prstGeom prst="rect">
                      <a:avLst/>
                    </a:prstGeom>
                    <a:noFill/>
                    <a:ln>
                      <a:noFill/>
                    </a:ln>
                  </pic:spPr>
                </pic:pic>
              </a:graphicData>
            </a:graphic>
          </wp:inline>
        </w:drawing>
      </w:r>
    </w:p>
    <w:p w:rsidR="004275F9" w:rsidRDefault="004275F9" w:rsidP="004275F9">
      <w:pPr>
        <w:rPr>
          <w:b/>
        </w:rPr>
      </w:pPr>
      <w:r>
        <w:rPr>
          <w:b/>
        </w:rPr>
        <w:lastRenderedPageBreak/>
        <w:t>Supplementary Appendix</w:t>
      </w:r>
    </w:p>
    <w:p w:rsidR="004275F9" w:rsidRPr="00816A05" w:rsidRDefault="004275F9" w:rsidP="004275F9">
      <w:r>
        <w:t>A: Description of use of repeat measurements</w:t>
      </w:r>
    </w:p>
    <w:p w:rsidR="004275F9" w:rsidRDefault="004275F9" w:rsidP="004275F9">
      <w:r>
        <w:t xml:space="preserve">Measurement error and within-individual variation in blood pressure means that estimated associations between baseline blood pressure measurements and dementia would be under-estimated if the associations were not adjusted for this variability. In order to correct for this bias, commonly known as regression dilution bias, we used repeat measurements of blood pressure taken within the first 5 years of follow up after the index blood pressure measurement. </w:t>
      </w:r>
    </w:p>
    <w:p w:rsidR="004275F9" w:rsidRDefault="004275F9" w:rsidP="004275F9">
      <w:r>
        <w:t xml:space="preserve">We performed a random intercepts regression where repeat blood pressure measurements were the outcome variable, baseline blood pressure was the explanatory variable, and the random intercept was fit for each individual patient. The regression coefficient for baseline blood pressure explains the increase in repeat blood pressure per 1 unit increase in baseline blood pressure and is known as the regression dilution ratio. The inverse of the regression dilution ratio is known as the attenuation factor. </w:t>
      </w:r>
    </w:p>
    <w:p w:rsidR="004275F9" w:rsidRDefault="004275F9" w:rsidP="004275F9">
      <w:r>
        <w:t xml:space="preserve">To estimate the effect of a 10mmHg increase in long-term average levels of blood pressure, we therefore estimated the association between baseline blood pressure and dementia and multiplied the regression coefficient by the attenuation factor. To graphically display the risk of dementia according to long-term average blood pressure measurements, we “shrunk” the mean value within each tenth of baseline blood pressure towards the overall mean blood pressure. This was achieved using the following steps. First, the difference between the mean value amongst all patients and the mean value in each tenth is calculated. Second, this difference is multiplied by the regression dilution ratio. Third, the regression dilution adjusted difference (i.e. the value calculated in the second step) is added to the overall mean blood pressure. </w:t>
      </w:r>
    </w:p>
    <w:p w:rsidR="004275F9" w:rsidRDefault="004275F9" w:rsidP="004275F9">
      <w:pPr>
        <w:rPr>
          <w:b/>
        </w:rPr>
        <w:sectPr w:rsidR="004275F9" w:rsidSect="00E266D6">
          <w:pgSz w:w="11906" w:h="16838"/>
          <w:pgMar w:top="1440" w:right="1440" w:bottom="1440" w:left="1440" w:header="708" w:footer="708" w:gutter="0"/>
          <w:cols w:space="708"/>
          <w:docGrid w:linePitch="360"/>
        </w:sectPr>
      </w:pPr>
    </w:p>
    <w:p w:rsidR="004275F9" w:rsidRDefault="004275F9" w:rsidP="004275F9">
      <w:r>
        <w:rPr>
          <w:b/>
        </w:rPr>
        <w:lastRenderedPageBreak/>
        <w:t xml:space="preserve">B: </w:t>
      </w:r>
      <w:r>
        <w:t>Frailty analyses</w:t>
      </w:r>
    </w:p>
    <w:p w:rsidR="004275F9" w:rsidRPr="002402CD" w:rsidRDefault="004275F9" w:rsidP="004275F9">
      <w:pPr>
        <w:rPr>
          <w:i/>
        </w:rPr>
      </w:pPr>
      <w:r>
        <w:rPr>
          <w:i/>
        </w:rPr>
        <w:t>Methods</w:t>
      </w:r>
    </w:p>
    <w:p w:rsidR="004275F9" w:rsidRDefault="004275F9" w:rsidP="004275F9">
      <w:r>
        <w:t>It is known that s</w:t>
      </w:r>
      <w:r w:rsidRPr="00A570BC">
        <w:t>tudies which assess disorders strongly associated with increasing age can be prone to bias due to selective mortality, particularly where the exposure is associated with mortality risk.</w:t>
      </w:r>
      <w:r>
        <w:t xml:space="preserve"> We were concerned that selective mortality could bias the association between blood pressure (BP) and dementia because high BP is associated with increased mortality risk.</w:t>
      </w:r>
    </w:p>
    <w:p w:rsidR="004275F9" w:rsidRDefault="004275F9" w:rsidP="004275F9">
      <w:r>
        <w:t>Bias can occur when uncontrolled risk factors are associated with both death and dementia, referred to here as “joint frailty” for both conditions. The amount of joint frailty for both conditions is unknown and is not estimable from the data without making additional assumptions. We therefore simulated the results of our study using a range of joint frailties distributions. The aim was to understand the plausible impact of joint frailty on our study findings. The simulation study was conducted as follows:</w:t>
      </w:r>
    </w:p>
    <w:p w:rsidR="004275F9" w:rsidRDefault="004275F9" w:rsidP="004275F9">
      <w:pPr>
        <w:pStyle w:val="ListParagraph"/>
        <w:numPr>
          <w:ilvl w:val="0"/>
          <w:numId w:val="2"/>
        </w:numPr>
      </w:pPr>
      <w:r>
        <w:t xml:space="preserve">2,593,629 million simulated individuals were randomly assigned values for systolic BP, </w:t>
      </w:r>
      <w:r>
        <w:rPr>
          <w:i/>
        </w:rPr>
        <w:t>SBP</w:t>
      </w:r>
      <w:r>
        <w:rPr>
          <w:i/>
          <w:vertAlign w:val="subscript"/>
        </w:rPr>
        <w:t xml:space="preserve">i </w:t>
      </w:r>
      <w:r>
        <w:rPr>
          <w:i/>
        </w:rPr>
        <w:t>,</w:t>
      </w:r>
      <w:r>
        <w:t xml:space="preserve"> using a normal distribution with a mean of 140mmHg and a standard deviation of 10mmHg. This mirrors the distribution of long-term average BP that we observed. </w:t>
      </w:r>
    </w:p>
    <w:p w:rsidR="004275F9" w:rsidRDefault="004275F9" w:rsidP="004275F9">
      <w:pPr>
        <w:pStyle w:val="ListParagraph"/>
        <w:numPr>
          <w:ilvl w:val="0"/>
          <w:numId w:val="2"/>
        </w:numPr>
      </w:pPr>
      <w:r>
        <w:t xml:space="preserve">Each patient entered the simulated dataset at age 40, the minimum age to enter our study; very few deaths occur in the general population before age 40, so any bias caused by interdependence between death and dementia before age 40 will be negligible. </w:t>
      </w:r>
    </w:p>
    <w:p w:rsidR="004275F9" w:rsidRDefault="004275F9" w:rsidP="004275F9">
      <w:pPr>
        <w:pStyle w:val="ListParagraph"/>
        <w:numPr>
          <w:ilvl w:val="0"/>
          <w:numId w:val="2"/>
        </w:numPr>
      </w:pPr>
      <w:r>
        <w:t>Estimated age-specific death rates,</w:t>
      </w:r>
      <w:r w:rsidRPr="006504FE">
        <w:rPr>
          <w:rFonts w:cstheme="minorHAnsi"/>
        </w:rPr>
        <w:t xml:space="preserve"> </w:t>
      </w:r>
      <w:r>
        <w:rPr>
          <w:rFonts w:cstheme="minorHAnsi"/>
        </w:rPr>
        <w:t>λ</w:t>
      </w:r>
      <w:r>
        <w:rPr>
          <w:rFonts w:cstheme="minorHAnsi"/>
          <w:vertAlign w:val="subscript"/>
        </w:rPr>
        <w:t>AGE</w:t>
      </w:r>
      <w:r>
        <w:rPr>
          <w:rFonts w:cstheme="minorHAnsi"/>
        </w:rPr>
        <w:t xml:space="preserve">, were estimated for patients </w:t>
      </w:r>
      <w:r>
        <w:t xml:space="preserve">in 5 year bands from our CPRD dataset. </w:t>
      </w:r>
    </w:p>
    <w:p w:rsidR="004275F9" w:rsidRDefault="004275F9" w:rsidP="004275F9">
      <w:pPr>
        <w:pStyle w:val="ListParagraph"/>
        <w:numPr>
          <w:ilvl w:val="0"/>
          <w:numId w:val="2"/>
        </w:numPr>
      </w:pPr>
      <w:r>
        <w:t xml:space="preserve">Individuals were randomly assigned a frailty term, </w:t>
      </w:r>
      <w:r>
        <w:rPr>
          <w:rFonts w:cstheme="minorHAnsi"/>
        </w:rPr>
        <w:t>ω</w:t>
      </w:r>
      <w:r>
        <w:rPr>
          <w:vertAlign w:val="subscript"/>
        </w:rPr>
        <w:t>i</w:t>
      </w:r>
      <w:r>
        <w:t>, sampled from a truncated* gamma distribution. This term represents a patient’s frailty for both death and dementia. We varied the variance of the frailty distribution to represent a range of plausible scenarios.</w:t>
      </w:r>
      <w:r>
        <w:rPr>
          <w:vertAlign w:val="superscript"/>
        </w:rPr>
        <w:t>+</w:t>
      </w:r>
      <w:r>
        <w:t xml:space="preserve"> </w:t>
      </w:r>
    </w:p>
    <w:p w:rsidR="004275F9" w:rsidRDefault="004275F9" w:rsidP="004275F9">
      <w:pPr>
        <w:pStyle w:val="ListParagraph"/>
        <w:numPr>
          <w:ilvl w:val="0"/>
          <w:numId w:val="2"/>
        </w:numPr>
      </w:pPr>
      <w:r>
        <w:t>A rate ratio of 1.264 per 10mmHg increase is applied to each patient’s age-specific death rate, with the hazard ratio (HR) applied around the mean blood pressure of 140mmHg. This is the rate ratio observed in the real CPRD dataset for death in patients aged &lt;70 who had a systolic BP measurement at least 10 years ago, and is the strongest association of systolic BP with death in our CPRD dataset across all age groups (</w:t>
      </w:r>
      <w:r w:rsidRPr="007A3834">
        <w:rPr>
          <w:b/>
        </w:rPr>
        <w:t>Supplementary Table 4, Supplementary Figure 4</w:t>
      </w:r>
      <w:r>
        <w:t xml:space="preserve">).  A patient’s age specific rate of death is therefore given by: </w:t>
      </w:r>
      <w:r w:rsidRPr="00E15BA2">
        <w:rPr>
          <w:rFonts w:cstheme="minorHAnsi"/>
        </w:rPr>
        <w:t>λ</w:t>
      </w:r>
      <w:r w:rsidRPr="00E15BA2">
        <w:rPr>
          <w:vertAlign w:val="subscript"/>
        </w:rPr>
        <w:t>AGE</w:t>
      </w:r>
      <w:r w:rsidRPr="00E15BA2">
        <w:t>X</w:t>
      </w:r>
      <w:r w:rsidRPr="00E15BA2">
        <w:rPr>
          <w:rFonts w:cstheme="minorHAnsi"/>
        </w:rPr>
        <w:t xml:space="preserve"> </w:t>
      </w:r>
      <w:r>
        <w:rPr>
          <w:rFonts w:cstheme="minorHAnsi"/>
        </w:rPr>
        <w:t>ω</w:t>
      </w:r>
      <w:r>
        <w:rPr>
          <w:vertAlign w:val="subscript"/>
        </w:rPr>
        <w:t>i</w:t>
      </w:r>
      <w:r>
        <w:t>X exp(log(1.264)X(140-SBP</w:t>
      </w:r>
      <w:r>
        <w:rPr>
          <w:vertAlign w:val="subscript"/>
        </w:rPr>
        <w:t>i</w:t>
      </w:r>
      <w:r>
        <w:t>))</w:t>
      </w:r>
    </w:p>
    <w:p w:rsidR="004275F9" w:rsidRDefault="004275F9" w:rsidP="004275F9">
      <w:pPr>
        <w:pStyle w:val="ListParagraph"/>
        <w:numPr>
          <w:ilvl w:val="0"/>
          <w:numId w:val="2"/>
        </w:numPr>
      </w:pPr>
      <w:r>
        <w:t xml:space="preserve">Each individual’s time to death was sampled from an exponential distribution using their age-specific rates of death. </w:t>
      </w:r>
    </w:p>
    <w:p w:rsidR="004275F9" w:rsidRDefault="004275F9" w:rsidP="004275F9">
      <w:pPr>
        <w:pStyle w:val="ListParagraph"/>
        <w:numPr>
          <w:ilvl w:val="0"/>
          <w:numId w:val="2"/>
        </w:numPr>
      </w:pPr>
      <w:r>
        <w:t xml:space="preserve">Estimated dementia rates, </w:t>
      </w:r>
      <w:r>
        <w:rPr>
          <w:rFonts w:cstheme="minorHAnsi"/>
        </w:rPr>
        <w:t>µ</w:t>
      </w:r>
      <w:r>
        <w:rPr>
          <w:rFonts w:cstheme="minorHAnsi"/>
          <w:vertAlign w:val="subscript"/>
        </w:rPr>
        <w:t>AGE</w:t>
      </w:r>
      <w:r>
        <w:rPr>
          <w:rFonts w:cstheme="minorHAnsi"/>
        </w:rPr>
        <w:t xml:space="preserve">, </w:t>
      </w:r>
      <w:r>
        <w:t xml:space="preserve">were calculated in 5-year age bands from our CPRD dataset. A patient’s age specific rate of dementia is therefore:  </w:t>
      </w:r>
      <w:r>
        <w:rPr>
          <w:rFonts w:cstheme="minorHAnsi"/>
        </w:rPr>
        <w:t>µ</w:t>
      </w:r>
      <w:r>
        <w:rPr>
          <w:rFonts w:cstheme="minorHAnsi"/>
          <w:vertAlign w:val="subscript"/>
        </w:rPr>
        <w:t>AGE</w:t>
      </w:r>
      <w:r w:rsidRPr="00E15BA2">
        <w:t xml:space="preserve"> X</w:t>
      </w:r>
      <w:r w:rsidRPr="00E15BA2">
        <w:rPr>
          <w:rFonts w:cstheme="minorHAnsi"/>
        </w:rPr>
        <w:t xml:space="preserve"> </w:t>
      </w:r>
      <w:r>
        <w:rPr>
          <w:rFonts w:cstheme="minorHAnsi"/>
        </w:rPr>
        <w:t>ω</w:t>
      </w:r>
      <w:r>
        <w:rPr>
          <w:vertAlign w:val="subscript"/>
        </w:rPr>
        <w:t>i</w:t>
      </w:r>
      <w:r>
        <w:t xml:space="preserve">. </w:t>
      </w:r>
      <w:r w:rsidRPr="00A73D7A">
        <w:rPr>
          <w:u w:val="single"/>
        </w:rPr>
        <w:t xml:space="preserve">Therefore, there is no direct relationship between </w:t>
      </w:r>
      <w:r>
        <w:rPr>
          <w:u w:val="single"/>
        </w:rPr>
        <w:t>BP</w:t>
      </w:r>
      <w:r w:rsidRPr="00A73D7A">
        <w:rPr>
          <w:u w:val="single"/>
        </w:rPr>
        <w:t xml:space="preserve"> and dementia: an unbiased estimate of the HR for blood pressure on dementia should be 1.00.</w:t>
      </w:r>
      <w:r>
        <w:rPr>
          <w:b/>
        </w:rPr>
        <w:t xml:space="preserve"> </w:t>
      </w:r>
    </w:p>
    <w:p w:rsidR="004275F9" w:rsidRDefault="004275F9" w:rsidP="004275F9">
      <w:pPr>
        <w:pStyle w:val="ListParagraph"/>
        <w:numPr>
          <w:ilvl w:val="0"/>
          <w:numId w:val="2"/>
        </w:numPr>
      </w:pPr>
      <w:r>
        <w:t xml:space="preserve">Each individual’s time to dementia was sampled from an exponential distribution according to their age-specific rate of dementia. </w:t>
      </w:r>
    </w:p>
    <w:p w:rsidR="004275F9" w:rsidRDefault="004275F9" w:rsidP="004275F9">
      <w:pPr>
        <w:pStyle w:val="ListParagraph"/>
        <w:numPr>
          <w:ilvl w:val="0"/>
          <w:numId w:val="2"/>
        </w:numPr>
      </w:pPr>
      <w:r>
        <w:t xml:space="preserve">If time to death is less than time to dementia, the indicator for dementia is set to 0 and follow up is censored at the time to death to replicate the observable data.  </w:t>
      </w:r>
      <w:r>
        <w:tab/>
        <w:t xml:space="preserve"> </w:t>
      </w:r>
    </w:p>
    <w:p w:rsidR="004275F9" w:rsidRDefault="004275F9" w:rsidP="004275F9">
      <w:pPr>
        <w:spacing w:after="0" w:line="240" w:lineRule="auto"/>
        <w:rPr>
          <w:sz w:val="18"/>
          <w:szCs w:val="18"/>
        </w:rPr>
      </w:pPr>
      <w:r w:rsidRPr="00986140">
        <w:rPr>
          <w:sz w:val="18"/>
          <w:szCs w:val="18"/>
        </w:rPr>
        <w:t xml:space="preserve">* We used a truncated </w:t>
      </w:r>
      <w:r>
        <w:rPr>
          <w:sz w:val="18"/>
          <w:szCs w:val="18"/>
        </w:rPr>
        <w:t xml:space="preserve">distribution, truncating at a frailty of 0.2 and 5, </w:t>
      </w:r>
      <w:r w:rsidRPr="00986140">
        <w:rPr>
          <w:sz w:val="18"/>
          <w:szCs w:val="18"/>
        </w:rPr>
        <w:t>because the gamma distribution is</w:t>
      </w:r>
      <w:r>
        <w:rPr>
          <w:sz w:val="18"/>
          <w:szCs w:val="18"/>
        </w:rPr>
        <w:t xml:space="preserve"> highly</w:t>
      </w:r>
      <w:r w:rsidRPr="00986140">
        <w:rPr>
          <w:sz w:val="18"/>
          <w:szCs w:val="18"/>
        </w:rPr>
        <w:t xml:space="preserve"> skew and we wanted to avoid patients with implausibly long times to death.</w:t>
      </w:r>
    </w:p>
    <w:p w:rsidR="004275F9" w:rsidRPr="007C22BF" w:rsidRDefault="004275F9" w:rsidP="004275F9">
      <w:pPr>
        <w:spacing w:after="0" w:line="240" w:lineRule="auto"/>
        <w:rPr>
          <w:sz w:val="18"/>
          <w:szCs w:val="18"/>
        </w:rPr>
        <w:sectPr w:rsidR="004275F9" w:rsidRPr="007C22BF" w:rsidSect="00A73D7A">
          <w:pgSz w:w="11906" w:h="16838"/>
          <w:pgMar w:top="1134" w:right="1440" w:bottom="1276" w:left="1440" w:header="708" w:footer="708" w:gutter="0"/>
          <w:cols w:space="708"/>
          <w:docGrid w:linePitch="360"/>
        </w:sectPr>
      </w:pPr>
      <w:r w:rsidRPr="007C22BF">
        <w:rPr>
          <w:sz w:val="18"/>
          <w:szCs w:val="18"/>
        </w:rPr>
        <w:t xml:space="preserve">+We varied </w:t>
      </w:r>
      <w:r w:rsidRPr="007C22BF">
        <w:rPr>
          <w:rFonts w:cstheme="minorHAnsi"/>
          <w:sz w:val="18"/>
          <w:szCs w:val="18"/>
        </w:rPr>
        <w:t>α</w:t>
      </w:r>
      <w:r w:rsidRPr="007C22BF">
        <w:rPr>
          <w:sz w:val="18"/>
          <w:szCs w:val="18"/>
        </w:rPr>
        <w:t xml:space="preserve"> from 0.2 to1 in steps of 0.2, and sample</w:t>
      </w:r>
      <w:r>
        <w:rPr>
          <w:sz w:val="18"/>
          <w:szCs w:val="18"/>
        </w:rPr>
        <w:t>d</w:t>
      </w:r>
      <w:r w:rsidRPr="007C22BF">
        <w:rPr>
          <w:sz w:val="18"/>
          <w:szCs w:val="18"/>
        </w:rPr>
        <w:t xml:space="preserve"> from Ga(1/</w:t>
      </w:r>
      <w:r w:rsidRPr="007C22BF">
        <w:rPr>
          <w:rFonts w:cstheme="minorHAnsi"/>
          <w:sz w:val="18"/>
          <w:szCs w:val="18"/>
        </w:rPr>
        <w:t>α,α). For no frailty we set ω</w:t>
      </w:r>
      <w:r w:rsidRPr="007C22BF">
        <w:rPr>
          <w:sz w:val="18"/>
          <w:szCs w:val="18"/>
          <w:vertAlign w:val="subscript"/>
        </w:rPr>
        <w:t>i</w:t>
      </w:r>
      <w:r w:rsidRPr="007C22BF">
        <w:rPr>
          <w:sz w:val="18"/>
          <w:szCs w:val="18"/>
        </w:rPr>
        <w:t>=1 for all patients</w:t>
      </w:r>
    </w:p>
    <w:p w:rsidR="004275F9" w:rsidRPr="002402CD" w:rsidRDefault="004275F9" w:rsidP="004275F9">
      <w:pPr>
        <w:spacing w:after="0"/>
        <w:rPr>
          <w:i/>
        </w:rPr>
      </w:pPr>
      <w:r>
        <w:rPr>
          <w:i/>
        </w:rPr>
        <w:lastRenderedPageBreak/>
        <w:t>Results</w:t>
      </w:r>
    </w:p>
    <w:p w:rsidR="004275F9" w:rsidRDefault="004275F9" w:rsidP="004275F9">
      <w:r>
        <w:t xml:space="preserve">To ensure that our simulated data had similar properties to the real CPRD dataset, we plotted Kaplan Meier failure curves for each of dementia and death in both the real CPRD data and the simulated data. The </w:t>
      </w:r>
      <w:r w:rsidRPr="002425F9">
        <w:rPr>
          <w:b/>
        </w:rPr>
        <w:t>Appendix Figure</w:t>
      </w:r>
      <w:r>
        <w:t xml:space="preserve"> shows that the shapes of the Kaplan Meier curves are very similar between CPRD and the simulated data, indicating that the modelled age-specific rates of dementia and death in our simulations are a good approximation of the real CPRD data. </w:t>
      </w:r>
    </w:p>
    <w:p w:rsidR="004275F9" w:rsidRDefault="004275F9" w:rsidP="004275F9">
      <w:r>
        <w:t xml:space="preserve">The </w:t>
      </w:r>
      <w:r w:rsidRPr="002425F9">
        <w:rPr>
          <w:b/>
        </w:rPr>
        <w:t>Appendix Table</w:t>
      </w:r>
      <w:r>
        <w:t xml:space="preserve"> summarises the results of the simulation study. We calculated estimated HRs for dementia per 10mmHg higher SBP in each simulated dataset. To give an intuitive feel of the strength of the frailty that we assumed, we calculated the mean frailty amongst patients by decade of death. Due to the simulation setup, frailty was related multiplicatively to dementia such that a doubling of frailty results in a doubling of the hazard of dementia.  As expected due to the simulation set up, when all individuals had their frailty set to 1 (i.e. no joint frailty), the hazard ratio per 10mmHg higher systolic BP was 1.00 at all ages. In our most extreme scenario, we simulated a frailty variance of 1. With this frailty distribution, patients who died aged 40-50 had a mean frailty of 1.88, compared to 0.38 amongst patients dying aged 90 or older, meaning their hazard of dementia in such patients was nearly </w:t>
      </w:r>
      <w:r>
        <w:rPr>
          <w:u w:val="single"/>
        </w:rPr>
        <w:t xml:space="preserve">5 </w:t>
      </w:r>
      <w:r w:rsidRPr="00902F45">
        <w:rPr>
          <w:u w:val="single"/>
        </w:rPr>
        <w:t>times</w:t>
      </w:r>
      <w:r w:rsidRPr="00394CB2">
        <w:t xml:space="preserve"> higher</w:t>
      </w:r>
      <w:r>
        <w:t xml:space="preserve"> (i.e. 1.88/0.38). We believe that this is a fairly extreme simulated co-dependence between the underlying hazard of dementia and death. Under this scenario, the estimated HR per 10mmHg higher systolic BP for dementia was 0.96 amongst patients aged &lt;70, 0.93 amongst those aged 70-85 and 0.92 amongst patients aged over 85. </w:t>
      </w:r>
    </w:p>
    <w:p w:rsidR="004275F9" w:rsidRDefault="004275F9" w:rsidP="004275F9">
      <w:r w:rsidRPr="00635FF0">
        <w:rPr>
          <w:b/>
        </w:rPr>
        <w:t>Appendix Figure</w:t>
      </w:r>
      <w:r w:rsidRPr="00DC7D80">
        <w:t>: Kaplan</w:t>
      </w:r>
      <w:r>
        <w:t xml:space="preserve"> Meier curves of actual and simulated rates of dementia and death (for simulation with no joint frailty)</w:t>
      </w:r>
    </w:p>
    <w:p w:rsidR="004275F9" w:rsidRDefault="004275F9" w:rsidP="004275F9">
      <w:pPr>
        <w:rPr>
          <w:highlight w:val="yellow"/>
        </w:rPr>
      </w:pPr>
      <w:r>
        <w:rPr>
          <w:noProof/>
          <w:lang w:eastAsia="en-GB"/>
        </w:rPr>
        <w:drawing>
          <wp:inline distT="0" distB="0" distL="0" distR="0" wp14:anchorId="0CAB1549" wp14:editId="1A5C454C">
            <wp:extent cx="5724525" cy="4162425"/>
            <wp:effectExtent l="19050" t="0" r="9525" b="0"/>
            <wp:docPr id="10" name="Picture 2" descr="D:\Documents\LSHTM\SBP dementia\output\May17\frailty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LSHTM\SBP dementia\output\May17\frailty_graph.png"/>
                    <pic:cNvPicPr>
                      <a:picLocks noChangeAspect="1" noChangeArrowheads="1"/>
                    </pic:cNvPicPr>
                  </pic:nvPicPr>
                  <pic:blipFill>
                    <a:blip r:embed="rId9" cstate="print"/>
                    <a:srcRect/>
                    <a:stretch>
                      <a:fillRect/>
                    </a:stretch>
                  </pic:blipFill>
                  <pic:spPr bwMode="auto">
                    <a:xfrm>
                      <a:off x="0" y="0"/>
                      <a:ext cx="5724525" cy="4162425"/>
                    </a:xfrm>
                    <a:prstGeom prst="rect">
                      <a:avLst/>
                    </a:prstGeom>
                    <a:noFill/>
                    <a:ln w="9525">
                      <a:noFill/>
                      <a:miter lim="800000"/>
                      <a:headEnd/>
                      <a:tailEnd/>
                    </a:ln>
                  </pic:spPr>
                </pic:pic>
              </a:graphicData>
            </a:graphic>
          </wp:inline>
        </w:drawing>
      </w:r>
    </w:p>
    <w:p w:rsidR="004275F9" w:rsidRDefault="004275F9" w:rsidP="004275F9">
      <w:pPr>
        <w:rPr>
          <w:highlight w:val="yellow"/>
        </w:rPr>
        <w:sectPr w:rsidR="004275F9" w:rsidSect="00E266D6">
          <w:pgSz w:w="11906" w:h="16838"/>
          <w:pgMar w:top="1440" w:right="1440" w:bottom="1440" w:left="1440" w:header="708" w:footer="708" w:gutter="0"/>
          <w:cols w:space="708"/>
          <w:docGrid w:linePitch="360"/>
        </w:sectPr>
      </w:pPr>
    </w:p>
    <w:p w:rsidR="004275F9" w:rsidRDefault="004275F9" w:rsidP="004275F9">
      <w:pPr>
        <w:ind w:left="-426"/>
      </w:pPr>
      <w:r w:rsidRPr="00377BC5">
        <w:rPr>
          <w:b/>
        </w:rPr>
        <w:lastRenderedPageBreak/>
        <w:t>Appendix Table:</w:t>
      </w:r>
      <w:r>
        <w:t xml:space="preserve"> Comparison of hazard ratios for dementia according to degree of dependence between dementia and death</w:t>
      </w:r>
    </w:p>
    <w:tbl>
      <w:tblPr>
        <w:tblStyle w:val="TableGrid"/>
        <w:tblW w:w="12724" w:type="dxa"/>
        <w:tblInd w:w="-318" w:type="dxa"/>
        <w:tblBorders>
          <w:left w:val="nil"/>
          <w:right w:val="nil"/>
          <w:insideH w:val="nil"/>
          <w:insideV w:val="nil"/>
        </w:tblBorders>
        <w:tblLook w:val="04A0" w:firstRow="1" w:lastRow="0" w:firstColumn="1" w:lastColumn="0" w:noHBand="0" w:noVBand="1"/>
      </w:tblPr>
      <w:tblGrid>
        <w:gridCol w:w="1337"/>
        <w:gridCol w:w="2032"/>
        <w:gridCol w:w="1701"/>
        <w:gridCol w:w="1984"/>
        <w:gridCol w:w="1701"/>
        <w:gridCol w:w="1843"/>
        <w:gridCol w:w="2126"/>
      </w:tblGrid>
      <w:tr w:rsidR="004275F9" w:rsidTr="00F54663">
        <w:tc>
          <w:tcPr>
            <w:tcW w:w="0" w:type="auto"/>
          </w:tcPr>
          <w:p w:rsidR="004275F9" w:rsidRDefault="004275F9" w:rsidP="00F54663"/>
        </w:tc>
        <w:tc>
          <w:tcPr>
            <w:tcW w:w="11387" w:type="dxa"/>
            <w:gridSpan w:val="6"/>
            <w:tcBorders>
              <w:bottom w:val="single" w:sz="4" w:space="0" w:color="auto"/>
            </w:tcBorders>
          </w:tcPr>
          <w:p w:rsidR="004275F9" w:rsidRDefault="004275F9" w:rsidP="00F54663">
            <w:pPr>
              <w:jc w:val="center"/>
            </w:pPr>
            <w:r>
              <w:rPr>
                <w:b/>
              </w:rPr>
              <w:t xml:space="preserve">Increasing joint frailty (co-dependence between death and dementia) from left to right </w:t>
            </w:r>
            <w:r w:rsidRPr="00AF7556">
              <w:rPr>
                <w:b/>
              </w:rPr>
              <w:sym w:font="Wingdings" w:char="F0E0"/>
            </w:r>
          </w:p>
        </w:tc>
      </w:tr>
      <w:tr w:rsidR="004275F9" w:rsidTr="00F54663">
        <w:trPr>
          <w:tblHeader/>
        </w:trPr>
        <w:tc>
          <w:tcPr>
            <w:tcW w:w="1337" w:type="dxa"/>
          </w:tcPr>
          <w:p w:rsidR="004275F9" w:rsidRDefault="004275F9" w:rsidP="00F54663"/>
        </w:tc>
        <w:tc>
          <w:tcPr>
            <w:tcW w:w="2032" w:type="dxa"/>
            <w:tcBorders>
              <w:top w:val="single" w:sz="4" w:space="0" w:color="auto"/>
              <w:bottom w:val="single" w:sz="4" w:space="0" w:color="auto"/>
            </w:tcBorders>
          </w:tcPr>
          <w:p w:rsidR="004275F9" w:rsidRDefault="004275F9" w:rsidP="00F54663">
            <w:pPr>
              <w:jc w:val="center"/>
            </w:pPr>
            <w:r>
              <w:t>No joint frailty</w:t>
            </w:r>
          </w:p>
        </w:tc>
        <w:tc>
          <w:tcPr>
            <w:tcW w:w="1701" w:type="dxa"/>
            <w:tcBorders>
              <w:top w:val="single" w:sz="4" w:space="0" w:color="auto"/>
              <w:bottom w:val="single" w:sz="4" w:space="0" w:color="auto"/>
            </w:tcBorders>
          </w:tcPr>
          <w:p w:rsidR="004275F9" w:rsidRDefault="004275F9" w:rsidP="00F54663">
            <w:pPr>
              <w:jc w:val="center"/>
            </w:pPr>
            <w:r>
              <w:t>Alpha=0.2</w:t>
            </w:r>
          </w:p>
        </w:tc>
        <w:tc>
          <w:tcPr>
            <w:tcW w:w="1984" w:type="dxa"/>
            <w:tcBorders>
              <w:top w:val="single" w:sz="4" w:space="0" w:color="auto"/>
              <w:bottom w:val="single" w:sz="4" w:space="0" w:color="auto"/>
            </w:tcBorders>
          </w:tcPr>
          <w:p w:rsidR="004275F9" w:rsidRDefault="004275F9" w:rsidP="00F54663">
            <w:pPr>
              <w:jc w:val="center"/>
            </w:pPr>
            <w:r>
              <w:t>Alpha=0.4</w:t>
            </w:r>
          </w:p>
        </w:tc>
        <w:tc>
          <w:tcPr>
            <w:tcW w:w="1701" w:type="dxa"/>
            <w:tcBorders>
              <w:top w:val="single" w:sz="4" w:space="0" w:color="auto"/>
              <w:bottom w:val="single" w:sz="4" w:space="0" w:color="auto"/>
            </w:tcBorders>
          </w:tcPr>
          <w:p w:rsidR="004275F9" w:rsidRDefault="004275F9" w:rsidP="00F54663">
            <w:pPr>
              <w:jc w:val="center"/>
            </w:pPr>
            <w:r>
              <w:t>Alpha=0.6</w:t>
            </w:r>
          </w:p>
        </w:tc>
        <w:tc>
          <w:tcPr>
            <w:tcW w:w="1843" w:type="dxa"/>
            <w:tcBorders>
              <w:top w:val="single" w:sz="4" w:space="0" w:color="auto"/>
              <w:bottom w:val="single" w:sz="4" w:space="0" w:color="auto"/>
            </w:tcBorders>
          </w:tcPr>
          <w:p w:rsidR="004275F9" w:rsidRDefault="004275F9" w:rsidP="00F54663">
            <w:pPr>
              <w:jc w:val="center"/>
            </w:pPr>
            <w:r>
              <w:t>Alpha=0.8</w:t>
            </w:r>
          </w:p>
        </w:tc>
        <w:tc>
          <w:tcPr>
            <w:tcW w:w="2126" w:type="dxa"/>
            <w:tcBorders>
              <w:top w:val="single" w:sz="4" w:space="0" w:color="auto"/>
              <w:bottom w:val="single" w:sz="4" w:space="0" w:color="auto"/>
            </w:tcBorders>
          </w:tcPr>
          <w:p w:rsidR="004275F9" w:rsidRDefault="004275F9" w:rsidP="00F54663">
            <w:pPr>
              <w:jc w:val="center"/>
            </w:pPr>
            <w:r>
              <w:t>Alpha=1.0</w:t>
            </w:r>
          </w:p>
        </w:tc>
      </w:tr>
      <w:tr w:rsidR="004275F9" w:rsidTr="00F54663">
        <w:tc>
          <w:tcPr>
            <w:tcW w:w="10598" w:type="dxa"/>
            <w:gridSpan w:val="6"/>
          </w:tcPr>
          <w:p w:rsidR="004275F9" w:rsidRDefault="004275F9" w:rsidP="00F54663">
            <w:r>
              <w:rPr>
                <w:b/>
              </w:rPr>
              <w:t>Estimated hazard ratio per 10mmHg higher long-term average systolic blood pressure (95% CI)</w:t>
            </w:r>
          </w:p>
        </w:tc>
        <w:tc>
          <w:tcPr>
            <w:tcW w:w="2126" w:type="dxa"/>
          </w:tcPr>
          <w:p w:rsidR="004275F9" w:rsidRDefault="004275F9" w:rsidP="00F54663"/>
        </w:tc>
      </w:tr>
      <w:tr w:rsidR="004275F9" w:rsidTr="00F54663">
        <w:tc>
          <w:tcPr>
            <w:tcW w:w="1337" w:type="dxa"/>
          </w:tcPr>
          <w:p w:rsidR="004275F9" w:rsidRDefault="004275F9" w:rsidP="00F54663">
            <w:r>
              <w:t>Aged &lt;70</w:t>
            </w:r>
          </w:p>
        </w:tc>
        <w:tc>
          <w:tcPr>
            <w:tcW w:w="2032" w:type="dxa"/>
          </w:tcPr>
          <w:p w:rsidR="004275F9" w:rsidRDefault="004275F9" w:rsidP="00F54663">
            <w:pPr>
              <w:jc w:val="center"/>
            </w:pPr>
            <w:r>
              <w:t xml:space="preserve">0.999 </w:t>
            </w:r>
          </w:p>
          <w:p w:rsidR="004275F9" w:rsidRDefault="004275F9" w:rsidP="00F54663">
            <w:pPr>
              <w:jc w:val="center"/>
            </w:pPr>
            <w:r>
              <w:t>(0.986 to 1.011)</w:t>
            </w:r>
          </w:p>
        </w:tc>
        <w:tc>
          <w:tcPr>
            <w:tcW w:w="1701" w:type="dxa"/>
          </w:tcPr>
          <w:p w:rsidR="004275F9" w:rsidRDefault="004275F9" w:rsidP="00F54663">
            <w:pPr>
              <w:jc w:val="center"/>
            </w:pPr>
            <w:r>
              <w:t xml:space="preserve">0.988 </w:t>
            </w:r>
          </w:p>
          <w:p w:rsidR="004275F9" w:rsidRDefault="004275F9" w:rsidP="00F54663">
            <w:pPr>
              <w:jc w:val="center"/>
            </w:pPr>
            <w:r>
              <w:t>(0.976 to 1.001)</w:t>
            </w:r>
          </w:p>
        </w:tc>
        <w:tc>
          <w:tcPr>
            <w:tcW w:w="1984" w:type="dxa"/>
          </w:tcPr>
          <w:p w:rsidR="004275F9" w:rsidRDefault="004275F9" w:rsidP="00F54663">
            <w:pPr>
              <w:jc w:val="center"/>
            </w:pPr>
            <w:r>
              <w:t>0.996</w:t>
            </w:r>
          </w:p>
          <w:p w:rsidR="004275F9" w:rsidRDefault="004275F9" w:rsidP="00F54663">
            <w:pPr>
              <w:jc w:val="center"/>
            </w:pPr>
            <w:r>
              <w:t xml:space="preserve"> (0.984 to 1.008)</w:t>
            </w:r>
          </w:p>
        </w:tc>
        <w:tc>
          <w:tcPr>
            <w:tcW w:w="1701" w:type="dxa"/>
          </w:tcPr>
          <w:p w:rsidR="004275F9" w:rsidRDefault="004275F9" w:rsidP="00F54663">
            <w:pPr>
              <w:jc w:val="center"/>
            </w:pPr>
            <w:r>
              <w:t>0.962</w:t>
            </w:r>
          </w:p>
          <w:p w:rsidR="004275F9" w:rsidRDefault="004275F9" w:rsidP="00F54663">
            <w:pPr>
              <w:jc w:val="center"/>
            </w:pPr>
            <w:r>
              <w:t xml:space="preserve"> (0.951 to 0.974)</w:t>
            </w:r>
          </w:p>
        </w:tc>
        <w:tc>
          <w:tcPr>
            <w:tcW w:w="1843" w:type="dxa"/>
          </w:tcPr>
          <w:p w:rsidR="004275F9" w:rsidRDefault="004275F9" w:rsidP="00F54663">
            <w:pPr>
              <w:jc w:val="center"/>
            </w:pPr>
            <w:r>
              <w:t xml:space="preserve">0.982 </w:t>
            </w:r>
          </w:p>
          <w:p w:rsidR="004275F9" w:rsidRDefault="004275F9" w:rsidP="00F54663">
            <w:pPr>
              <w:jc w:val="center"/>
            </w:pPr>
            <w:r>
              <w:t>(0.971 to 0.994)</w:t>
            </w:r>
          </w:p>
        </w:tc>
        <w:tc>
          <w:tcPr>
            <w:tcW w:w="2126" w:type="dxa"/>
          </w:tcPr>
          <w:p w:rsidR="004275F9" w:rsidRDefault="004275F9" w:rsidP="00F54663">
            <w:pPr>
              <w:jc w:val="center"/>
            </w:pPr>
            <w:r>
              <w:t>0.961</w:t>
            </w:r>
          </w:p>
          <w:p w:rsidR="004275F9" w:rsidRDefault="004275F9" w:rsidP="00F54663">
            <w:pPr>
              <w:jc w:val="center"/>
            </w:pPr>
            <w:r>
              <w:t xml:space="preserve"> (0.950 to 0.972)</w:t>
            </w:r>
          </w:p>
        </w:tc>
      </w:tr>
      <w:tr w:rsidR="004275F9" w:rsidTr="00F54663">
        <w:tc>
          <w:tcPr>
            <w:tcW w:w="1337" w:type="dxa"/>
          </w:tcPr>
          <w:p w:rsidR="004275F9" w:rsidRDefault="004275F9" w:rsidP="00F54663">
            <w:r>
              <w:t>Aged 70-85</w:t>
            </w:r>
          </w:p>
        </w:tc>
        <w:tc>
          <w:tcPr>
            <w:tcW w:w="2032" w:type="dxa"/>
          </w:tcPr>
          <w:p w:rsidR="004275F9" w:rsidRDefault="004275F9" w:rsidP="00F54663">
            <w:pPr>
              <w:jc w:val="center"/>
            </w:pPr>
            <w:r>
              <w:t xml:space="preserve">1.000 </w:t>
            </w:r>
          </w:p>
          <w:p w:rsidR="004275F9" w:rsidRDefault="004275F9" w:rsidP="00F54663">
            <w:pPr>
              <w:jc w:val="center"/>
            </w:pPr>
            <w:r>
              <w:t>(0.995 to 1.004)</w:t>
            </w:r>
          </w:p>
        </w:tc>
        <w:tc>
          <w:tcPr>
            <w:tcW w:w="1701" w:type="dxa"/>
          </w:tcPr>
          <w:p w:rsidR="004275F9" w:rsidRDefault="004275F9" w:rsidP="00F54663">
            <w:pPr>
              <w:jc w:val="center"/>
            </w:pPr>
            <w:r>
              <w:t>0.977</w:t>
            </w:r>
          </w:p>
          <w:p w:rsidR="004275F9" w:rsidRDefault="004275F9" w:rsidP="00F54663">
            <w:pPr>
              <w:jc w:val="center"/>
            </w:pPr>
            <w:r>
              <w:t>(0.972 to 0.981)</w:t>
            </w:r>
          </w:p>
        </w:tc>
        <w:tc>
          <w:tcPr>
            <w:tcW w:w="1984" w:type="dxa"/>
          </w:tcPr>
          <w:p w:rsidR="004275F9" w:rsidRDefault="004275F9" w:rsidP="00F54663">
            <w:pPr>
              <w:jc w:val="center"/>
            </w:pPr>
            <w:r>
              <w:t xml:space="preserve">0.958 </w:t>
            </w:r>
          </w:p>
          <w:p w:rsidR="004275F9" w:rsidRDefault="004275F9" w:rsidP="00F54663">
            <w:pPr>
              <w:jc w:val="center"/>
            </w:pPr>
            <w:r>
              <w:t>(0.953 to 0.962)</w:t>
            </w:r>
          </w:p>
        </w:tc>
        <w:tc>
          <w:tcPr>
            <w:tcW w:w="1701" w:type="dxa"/>
          </w:tcPr>
          <w:p w:rsidR="004275F9" w:rsidRDefault="004275F9" w:rsidP="00F54663">
            <w:pPr>
              <w:jc w:val="center"/>
            </w:pPr>
            <w:r>
              <w:t xml:space="preserve">0.948 </w:t>
            </w:r>
          </w:p>
          <w:p w:rsidR="004275F9" w:rsidRDefault="004275F9" w:rsidP="00F54663">
            <w:pPr>
              <w:jc w:val="center"/>
            </w:pPr>
            <w:r>
              <w:t>(0.943 to 0.953)</w:t>
            </w:r>
          </w:p>
        </w:tc>
        <w:tc>
          <w:tcPr>
            <w:tcW w:w="1843" w:type="dxa"/>
          </w:tcPr>
          <w:p w:rsidR="004275F9" w:rsidRDefault="004275F9" w:rsidP="00F54663">
            <w:pPr>
              <w:jc w:val="center"/>
            </w:pPr>
            <w:r>
              <w:t>0.936</w:t>
            </w:r>
          </w:p>
          <w:p w:rsidR="004275F9" w:rsidRDefault="004275F9" w:rsidP="00F54663">
            <w:pPr>
              <w:jc w:val="center"/>
            </w:pPr>
            <w:r>
              <w:t xml:space="preserve"> (0.931 to 0.941)</w:t>
            </w:r>
          </w:p>
        </w:tc>
        <w:tc>
          <w:tcPr>
            <w:tcW w:w="2126" w:type="dxa"/>
          </w:tcPr>
          <w:p w:rsidR="004275F9" w:rsidRDefault="004275F9" w:rsidP="00F54663">
            <w:pPr>
              <w:jc w:val="center"/>
            </w:pPr>
            <w:r>
              <w:t xml:space="preserve">0.930 </w:t>
            </w:r>
          </w:p>
          <w:p w:rsidR="004275F9" w:rsidRDefault="004275F9" w:rsidP="00F54663">
            <w:pPr>
              <w:jc w:val="center"/>
            </w:pPr>
            <w:r>
              <w:t>(0.925 to 0.934)</w:t>
            </w:r>
          </w:p>
        </w:tc>
      </w:tr>
      <w:tr w:rsidR="004275F9" w:rsidTr="00F54663">
        <w:tc>
          <w:tcPr>
            <w:tcW w:w="1337" w:type="dxa"/>
          </w:tcPr>
          <w:p w:rsidR="004275F9" w:rsidRDefault="004275F9" w:rsidP="00F54663">
            <w:r>
              <w:t>Aged &gt;85</w:t>
            </w:r>
          </w:p>
        </w:tc>
        <w:tc>
          <w:tcPr>
            <w:tcW w:w="2032" w:type="dxa"/>
          </w:tcPr>
          <w:p w:rsidR="004275F9" w:rsidRDefault="004275F9" w:rsidP="00F54663">
            <w:pPr>
              <w:jc w:val="center"/>
            </w:pPr>
            <w:r>
              <w:t xml:space="preserve">0.999 </w:t>
            </w:r>
          </w:p>
          <w:p w:rsidR="004275F9" w:rsidRDefault="004275F9" w:rsidP="00F54663">
            <w:pPr>
              <w:jc w:val="center"/>
            </w:pPr>
            <w:r>
              <w:t>(0.993 to 1.004)</w:t>
            </w:r>
          </w:p>
        </w:tc>
        <w:tc>
          <w:tcPr>
            <w:tcW w:w="1701" w:type="dxa"/>
          </w:tcPr>
          <w:p w:rsidR="004275F9" w:rsidRDefault="004275F9" w:rsidP="00F54663">
            <w:pPr>
              <w:jc w:val="center"/>
            </w:pPr>
            <w:r>
              <w:t>0.950</w:t>
            </w:r>
          </w:p>
          <w:p w:rsidR="004275F9" w:rsidRDefault="004275F9" w:rsidP="00F54663">
            <w:pPr>
              <w:jc w:val="center"/>
            </w:pPr>
            <w:r>
              <w:t xml:space="preserve"> (0.945 to 0.956)</w:t>
            </w:r>
          </w:p>
        </w:tc>
        <w:tc>
          <w:tcPr>
            <w:tcW w:w="1984" w:type="dxa"/>
          </w:tcPr>
          <w:p w:rsidR="004275F9" w:rsidRDefault="004275F9" w:rsidP="00F54663">
            <w:pPr>
              <w:jc w:val="center"/>
            </w:pPr>
            <w:r>
              <w:t>0.920</w:t>
            </w:r>
          </w:p>
          <w:p w:rsidR="004275F9" w:rsidRDefault="004275F9" w:rsidP="00F54663">
            <w:pPr>
              <w:jc w:val="center"/>
            </w:pPr>
            <w:r>
              <w:t xml:space="preserve"> (0.915 to 0.926)</w:t>
            </w:r>
          </w:p>
        </w:tc>
        <w:tc>
          <w:tcPr>
            <w:tcW w:w="1701" w:type="dxa"/>
          </w:tcPr>
          <w:p w:rsidR="004275F9" w:rsidRDefault="004275F9" w:rsidP="00F54663">
            <w:pPr>
              <w:jc w:val="center"/>
            </w:pPr>
            <w:r>
              <w:t xml:space="preserve">0.911 </w:t>
            </w:r>
          </w:p>
          <w:p w:rsidR="004275F9" w:rsidRDefault="004275F9" w:rsidP="00F54663">
            <w:pPr>
              <w:jc w:val="center"/>
            </w:pPr>
            <w:r>
              <w:t>(0.905 to 0.916)</w:t>
            </w:r>
          </w:p>
        </w:tc>
        <w:tc>
          <w:tcPr>
            <w:tcW w:w="1843" w:type="dxa"/>
          </w:tcPr>
          <w:p w:rsidR="004275F9" w:rsidRDefault="004275F9" w:rsidP="00F54663">
            <w:pPr>
              <w:jc w:val="center"/>
            </w:pPr>
            <w:r>
              <w:t>0.914</w:t>
            </w:r>
          </w:p>
          <w:p w:rsidR="004275F9" w:rsidRDefault="004275F9" w:rsidP="00F54663">
            <w:pPr>
              <w:jc w:val="center"/>
            </w:pPr>
            <w:r>
              <w:t xml:space="preserve"> (0.908 to 0.919)</w:t>
            </w:r>
          </w:p>
        </w:tc>
        <w:tc>
          <w:tcPr>
            <w:tcW w:w="2126" w:type="dxa"/>
          </w:tcPr>
          <w:p w:rsidR="004275F9" w:rsidRDefault="004275F9" w:rsidP="00F54663">
            <w:pPr>
              <w:jc w:val="center"/>
            </w:pPr>
            <w:r>
              <w:t xml:space="preserve">0.917 </w:t>
            </w:r>
          </w:p>
          <w:p w:rsidR="004275F9" w:rsidRDefault="004275F9" w:rsidP="00F54663">
            <w:pPr>
              <w:jc w:val="center"/>
            </w:pPr>
            <w:r>
              <w:t>(0.911 to 0.923)</w:t>
            </w:r>
          </w:p>
        </w:tc>
      </w:tr>
      <w:tr w:rsidR="004275F9" w:rsidTr="00F54663">
        <w:tc>
          <w:tcPr>
            <w:tcW w:w="12724" w:type="dxa"/>
            <w:gridSpan w:val="7"/>
          </w:tcPr>
          <w:p w:rsidR="004275F9" w:rsidRDefault="004275F9" w:rsidP="00F54663">
            <w:r>
              <w:rPr>
                <w:b/>
              </w:rPr>
              <w:t>Mean frailty for dementia by decade of death</w:t>
            </w:r>
          </w:p>
        </w:tc>
      </w:tr>
      <w:tr w:rsidR="004275F9" w:rsidTr="00F54663">
        <w:tc>
          <w:tcPr>
            <w:tcW w:w="1337" w:type="dxa"/>
          </w:tcPr>
          <w:p w:rsidR="004275F9" w:rsidRDefault="004275F9" w:rsidP="00F54663">
            <w:r>
              <w:t>40-50</w:t>
            </w:r>
          </w:p>
        </w:tc>
        <w:tc>
          <w:tcPr>
            <w:tcW w:w="2032" w:type="dxa"/>
          </w:tcPr>
          <w:p w:rsidR="004275F9" w:rsidRDefault="004275F9" w:rsidP="00F54663">
            <w:pPr>
              <w:jc w:val="center"/>
            </w:pPr>
            <w:r>
              <w:t>1.00</w:t>
            </w:r>
          </w:p>
        </w:tc>
        <w:tc>
          <w:tcPr>
            <w:tcW w:w="1701" w:type="dxa"/>
          </w:tcPr>
          <w:p w:rsidR="004275F9" w:rsidRDefault="004275F9" w:rsidP="00F54663">
            <w:pPr>
              <w:jc w:val="center"/>
            </w:pPr>
            <w:r>
              <w:t>1.19</w:t>
            </w:r>
          </w:p>
        </w:tc>
        <w:tc>
          <w:tcPr>
            <w:tcW w:w="1984" w:type="dxa"/>
          </w:tcPr>
          <w:p w:rsidR="004275F9" w:rsidRDefault="004275F9" w:rsidP="00F54663">
            <w:pPr>
              <w:jc w:val="center"/>
            </w:pPr>
            <w:r>
              <w:t>1.39</w:t>
            </w:r>
          </w:p>
        </w:tc>
        <w:tc>
          <w:tcPr>
            <w:tcW w:w="1701" w:type="dxa"/>
          </w:tcPr>
          <w:p w:rsidR="004275F9" w:rsidRDefault="004275F9" w:rsidP="00F54663">
            <w:pPr>
              <w:jc w:val="center"/>
            </w:pPr>
            <w:r>
              <w:t>1.57</w:t>
            </w:r>
          </w:p>
        </w:tc>
        <w:tc>
          <w:tcPr>
            <w:tcW w:w="1843" w:type="dxa"/>
          </w:tcPr>
          <w:p w:rsidR="004275F9" w:rsidRDefault="004275F9" w:rsidP="00F54663">
            <w:pPr>
              <w:jc w:val="center"/>
            </w:pPr>
            <w:r>
              <w:t>1.73</w:t>
            </w:r>
          </w:p>
        </w:tc>
        <w:tc>
          <w:tcPr>
            <w:tcW w:w="2126" w:type="dxa"/>
          </w:tcPr>
          <w:p w:rsidR="004275F9" w:rsidRDefault="004275F9" w:rsidP="00F54663">
            <w:pPr>
              <w:jc w:val="center"/>
            </w:pPr>
            <w:r>
              <w:t>1.88</w:t>
            </w:r>
          </w:p>
        </w:tc>
      </w:tr>
      <w:tr w:rsidR="004275F9" w:rsidTr="00F54663">
        <w:tc>
          <w:tcPr>
            <w:tcW w:w="1337" w:type="dxa"/>
          </w:tcPr>
          <w:p w:rsidR="004275F9" w:rsidRDefault="004275F9" w:rsidP="00F54663">
            <w:r>
              <w:t>50-60</w:t>
            </w:r>
          </w:p>
        </w:tc>
        <w:tc>
          <w:tcPr>
            <w:tcW w:w="2032" w:type="dxa"/>
          </w:tcPr>
          <w:p w:rsidR="004275F9" w:rsidRDefault="004275F9" w:rsidP="00F54663">
            <w:pPr>
              <w:jc w:val="center"/>
            </w:pPr>
            <w:r>
              <w:t>1.00</w:t>
            </w:r>
          </w:p>
        </w:tc>
        <w:tc>
          <w:tcPr>
            <w:tcW w:w="1701" w:type="dxa"/>
          </w:tcPr>
          <w:p w:rsidR="004275F9" w:rsidRDefault="004275F9" w:rsidP="00F54663">
            <w:pPr>
              <w:jc w:val="center"/>
            </w:pPr>
            <w:r>
              <w:t>1.19</w:t>
            </w:r>
          </w:p>
        </w:tc>
        <w:tc>
          <w:tcPr>
            <w:tcW w:w="1984" w:type="dxa"/>
          </w:tcPr>
          <w:p w:rsidR="004275F9" w:rsidRDefault="004275F9" w:rsidP="00F54663">
            <w:pPr>
              <w:jc w:val="center"/>
            </w:pPr>
            <w:r>
              <w:t>1.37</w:t>
            </w:r>
          </w:p>
        </w:tc>
        <w:tc>
          <w:tcPr>
            <w:tcW w:w="1701" w:type="dxa"/>
          </w:tcPr>
          <w:p w:rsidR="004275F9" w:rsidRDefault="004275F9" w:rsidP="00F54663">
            <w:pPr>
              <w:jc w:val="center"/>
            </w:pPr>
            <w:r>
              <w:t>1.53</w:t>
            </w:r>
          </w:p>
        </w:tc>
        <w:tc>
          <w:tcPr>
            <w:tcW w:w="1843" w:type="dxa"/>
          </w:tcPr>
          <w:p w:rsidR="004275F9" w:rsidRDefault="004275F9" w:rsidP="00F54663">
            <w:pPr>
              <w:jc w:val="center"/>
            </w:pPr>
            <w:r>
              <w:t>1.67</w:t>
            </w:r>
          </w:p>
        </w:tc>
        <w:tc>
          <w:tcPr>
            <w:tcW w:w="2126" w:type="dxa"/>
          </w:tcPr>
          <w:p w:rsidR="004275F9" w:rsidRDefault="004275F9" w:rsidP="00F54663">
            <w:pPr>
              <w:jc w:val="center"/>
            </w:pPr>
            <w:r>
              <w:t>1.79</w:t>
            </w:r>
          </w:p>
        </w:tc>
      </w:tr>
      <w:tr w:rsidR="004275F9" w:rsidTr="00F54663">
        <w:tc>
          <w:tcPr>
            <w:tcW w:w="1337" w:type="dxa"/>
          </w:tcPr>
          <w:p w:rsidR="004275F9" w:rsidRDefault="004275F9" w:rsidP="00F54663">
            <w:r>
              <w:t>60-70</w:t>
            </w:r>
          </w:p>
        </w:tc>
        <w:tc>
          <w:tcPr>
            <w:tcW w:w="2032" w:type="dxa"/>
          </w:tcPr>
          <w:p w:rsidR="004275F9" w:rsidRDefault="004275F9" w:rsidP="00F54663">
            <w:pPr>
              <w:jc w:val="center"/>
            </w:pPr>
            <w:r>
              <w:t>1.00</w:t>
            </w:r>
          </w:p>
        </w:tc>
        <w:tc>
          <w:tcPr>
            <w:tcW w:w="1701" w:type="dxa"/>
          </w:tcPr>
          <w:p w:rsidR="004275F9" w:rsidRDefault="004275F9" w:rsidP="00F54663">
            <w:pPr>
              <w:jc w:val="center"/>
            </w:pPr>
            <w:r>
              <w:t>1.17</w:t>
            </w:r>
          </w:p>
        </w:tc>
        <w:tc>
          <w:tcPr>
            <w:tcW w:w="1984" w:type="dxa"/>
          </w:tcPr>
          <w:p w:rsidR="004275F9" w:rsidRDefault="004275F9" w:rsidP="00F54663">
            <w:pPr>
              <w:jc w:val="center"/>
            </w:pPr>
            <w:r>
              <w:t>1.31</w:t>
            </w:r>
          </w:p>
        </w:tc>
        <w:tc>
          <w:tcPr>
            <w:tcW w:w="1701" w:type="dxa"/>
          </w:tcPr>
          <w:p w:rsidR="004275F9" w:rsidRDefault="004275F9" w:rsidP="00F54663">
            <w:pPr>
              <w:jc w:val="center"/>
            </w:pPr>
            <w:r>
              <w:t>1.44</w:t>
            </w:r>
          </w:p>
        </w:tc>
        <w:tc>
          <w:tcPr>
            <w:tcW w:w="1843" w:type="dxa"/>
          </w:tcPr>
          <w:p w:rsidR="004275F9" w:rsidRDefault="004275F9" w:rsidP="00F54663">
            <w:pPr>
              <w:jc w:val="center"/>
            </w:pPr>
            <w:r>
              <w:t>1.54</w:t>
            </w:r>
          </w:p>
        </w:tc>
        <w:tc>
          <w:tcPr>
            <w:tcW w:w="2126" w:type="dxa"/>
          </w:tcPr>
          <w:p w:rsidR="004275F9" w:rsidRDefault="004275F9" w:rsidP="00F54663">
            <w:pPr>
              <w:jc w:val="center"/>
            </w:pPr>
            <w:r>
              <w:t>1.63</w:t>
            </w:r>
          </w:p>
        </w:tc>
      </w:tr>
      <w:tr w:rsidR="004275F9" w:rsidTr="00F54663">
        <w:tc>
          <w:tcPr>
            <w:tcW w:w="1337" w:type="dxa"/>
          </w:tcPr>
          <w:p w:rsidR="004275F9" w:rsidRDefault="004275F9" w:rsidP="00F54663">
            <w:r>
              <w:t>70-80</w:t>
            </w:r>
          </w:p>
        </w:tc>
        <w:tc>
          <w:tcPr>
            <w:tcW w:w="2032" w:type="dxa"/>
          </w:tcPr>
          <w:p w:rsidR="004275F9" w:rsidRDefault="004275F9" w:rsidP="00F54663">
            <w:pPr>
              <w:jc w:val="center"/>
            </w:pPr>
            <w:r>
              <w:t>1.00</w:t>
            </w:r>
          </w:p>
        </w:tc>
        <w:tc>
          <w:tcPr>
            <w:tcW w:w="1701" w:type="dxa"/>
          </w:tcPr>
          <w:p w:rsidR="004275F9" w:rsidRDefault="004275F9" w:rsidP="00F54663">
            <w:pPr>
              <w:jc w:val="center"/>
            </w:pPr>
            <w:r>
              <w:t>1.11</w:t>
            </w:r>
          </w:p>
        </w:tc>
        <w:tc>
          <w:tcPr>
            <w:tcW w:w="1984" w:type="dxa"/>
          </w:tcPr>
          <w:p w:rsidR="004275F9" w:rsidRDefault="004275F9" w:rsidP="00F54663">
            <w:pPr>
              <w:jc w:val="center"/>
            </w:pPr>
            <w:r>
              <w:t>1.19</w:t>
            </w:r>
          </w:p>
        </w:tc>
        <w:tc>
          <w:tcPr>
            <w:tcW w:w="1701" w:type="dxa"/>
          </w:tcPr>
          <w:p w:rsidR="004275F9" w:rsidRDefault="004275F9" w:rsidP="00F54663">
            <w:pPr>
              <w:jc w:val="center"/>
            </w:pPr>
            <w:r>
              <w:t>1.25</w:t>
            </w:r>
          </w:p>
        </w:tc>
        <w:tc>
          <w:tcPr>
            <w:tcW w:w="1843" w:type="dxa"/>
          </w:tcPr>
          <w:p w:rsidR="004275F9" w:rsidRDefault="004275F9" w:rsidP="00F54663">
            <w:pPr>
              <w:jc w:val="center"/>
            </w:pPr>
            <w:r>
              <w:t>1.28</w:t>
            </w:r>
          </w:p>
        </w:tc>
        <w:tc>
          <w:tcPr>
            <w:tcW w:w="2126" w:type="dxa"/>
          </w:tcPr>
          <w:p w:rsidR="004275F9" w:rsidRDefault="004275F9" w:rsidP="00F54663">
            <w:pPr>
              <w:jc w:val="center"/>
            </w:pPr>
            <w:r>
              <w:t>1.29</w:t>
            </w:r>
          </w:p>
        </w:tc>
      </w:tr>
      <w:tr w:rsidR="004275F9" w:rsidTr="00F54663">
        <w:tc>
          <w:tcPr>
            <w:tcW w:w="1337" w:type="dxa"/>
          </w:tcPr>
          <w:p w:rsidR="004275F9" w:rsidRDefault="004275F9" w:rsidP="00F54663">
            <w:r>
              <w:t>80-90</w:t>
            </w:r>
          </w:p>
        </w:tc>
        <w:tc>
          <w:tcPr>
            <w:tcW w:w="2032" w:type="dxa"/>
          </w:tcPr>
          <w:p w:rsidR="004275F9" w:rsidRDefault="004275F9" w:rsidP="00F54663">
            <w:pPr>
              <w:jc w:val="center"/>
            </w:pPr>
            <w:r>
              <w:t>1.00</w:t>
            </w:r>
          </w:p>
        </w:tc>
        <w:tc>
          <w:tcPr>
            <w:tcW w:w="1701" w:type="dxa"/>
          </w:tcPr>
          <w:p w:rsidR="004275F9" w:rsidRDefault="004275F9" w:rsidP="00F54663">
            <w:pPr>
              <w:jc w:val="center"/>
            </w:pPr>
            <w:r>
              <w:t>0.99</w:t>
            </w:r>
          </w:p>
        </w:tc>
        <w:tc>
          <w:tcPr>
            <w:tcW w:w="1984" w:type="dxa"/>
          </w:tcPr>
          <w:p w:rsidR="004275F9" w:rsidRDefault="004275F9" w:rsidP="00F54663">
            <w:pPr>
              <w:jc w:val="center"/>
            </w:pPr>
            <w:r>
              <w:t>0.96</w:t>
            </w:r>
          </w:p>
        </w:tc>
        <w:tc>
          <w:tcPr>
            <w:tcW w:w="1701" w:type="dxa"/>
          </w:tcPr>
          <w:p w:rsidR="004275F9" w:rsidRDefault="004275F9" w:rsidP="00F54663">
            <w:pPr>
              <w:jc w:val="center"/>
            </w:pPr>
            <w:r>
              <w:t>0.92</w:t>
            </w:r>
          </w:p>
        </w:tc>
        <w:tc>
          <w:tcPr>
            <w:tcW w:w="1843" w:type="dxa"/>
          </w:tcPr>
          <w:p w:rsidR="004275F9" w:rsidRDefault="004275F9" w:rsidP="00F54663">
            <w:pPr>
              <w:jc w:val="center"/>
            </w:pPr>
            <w:r>
              <w:t>0.87</w:t>
            </w:r>
          </w:p>
        </w:tc>
        <w:tc>
          <w:tcPr>
            <w:tcW w:w="2126" w:type="dxa"/>
          </w:tcPr>
          <w:p w:rsidR="004275F9" w:rsidRDefault="004275F9" w:rsidP="00F54663">
            <w:pPr>
              <w:jc w:val="center"/>
            </w:pPr>
            <w:r>
              <w:t>0.82</w:t>
            </w:r>
          </w:p>
        </w:tc>
      </w:tr>
      <w:tr w:rsidR="004275F9" w:rsidTr="00F54663">
        <w:tc>
          <w:tcPr>
            <w:tcW w:w="1337" w:type="dxa"/>
          </w:tcPr>
          <w:p w:rsidR="004275F9" w:rsidRDefault="004275F9" w:rsidP="00F54663">
            <w:r>
              <w:t>90+</w:t>
            </w:r>
          </w:p>
        </w:tc>
        <w:tc>
          <w:tcPr>
            <w:tcW w:w="2032" w:type="dxa"/>
          </w:tcPr>
          <w:p w:rsidR="004275F9" w:rsidRDefault="004275F9" w:rsidP="00F54663">
            <w:pPr>
              <w:jc w:val="center"/>
            </w:pPr>
            <w:r>
              <w:t>1.00</w:t>
            </w:r>
          </w:p>
        </w:tc>
        <w:tc>
          <w:tcPr>
            <w:tcW w:w="1701" w:type="dxa"/>
          </w:tcPr>
          <w:p w:rsidR="004275F9" w:rsidRDefault="004275F9" w:rsidP="00F54663">
            <w:pPr>
              <w:jc w:val="center"/>
            </w:pPr>
            <w:r>
              <w:t>0.75</w:t>
            </w:r>
          </w:p>
        </w:tc>
        <w:tc>
          <w:tcPr>
            <w:tcW w:w="1984" w:type="dxa"/>
          </w:tcPr>
          <w:p w:rsidR="004275F9" w:rsidRDefault="004275F9" w:rsidP="00F54663">
            <w:pPr>
              <w:jc w:val="center"/>
            </w:pPr>
            <w:r>
              <w:t>0.59</w:t>
            </w:r>
          </w:p>
        </w:tc>
        <w:tc>
          <w:tcPr>
            <w:tcW w:w="1701" w:type="dxa"/>
          </w:tcPr>
          <w:p w:rsidR="004275F9" w:rsidRDefault="004275F9" w:rsidP="00F54663">
            <w:pPr>
              <w:jc w:val="center"/>
            </w:pPr>
            <w:r>
              <w:t>0.49</w:t>
            </w:r>
          </w:p>
        </w:tc>
        <w:tc>
          <w:tcPr>
            <w:tcW w:w="1843" w:type="dxa"/>
          </w:tcPr>
          <w:p w:rsidR="004275F9" w:rsidRDefault="004275F9" w:rsidP="00F54663">
            <w:pPr>
              <w:jc w:val="center"/>
            </w:pPr>
            <w:r>
              <w:t>0.43</w:t>
            </w:r>
          </w:p>
        </w:tc>
        <w:tc>
          <w:tcPr>
            <w:tcW w:w="2126" w:type="dxa"/>
          </w:tcPr>
          <w:p w:rsidR="004275F9" w:rsidRDefault="004275F9" w:rsidP="00F54663">
            <w:pPr>
              <w:jc w:val="center"/>
            </w:pPr>
            <w:r>
              <w:t>0.38</w:t>
            </w:r>
          </w:p>
        </w:tc>
      </w:tr>
    </w:tbl>
    <w:p w:rsidR="004275F9" w:rsidRDefault="004275F9" w:rsidP="004275F9"/>
    <w:p w:rsidR="004275F9" w:rsidRDefault="004275F9" w:rsidP="004275F9"/>
    <w:p w:rsidR="00281F95" w:rsidRDefault="00281F95"/>
    <w:sectPr w:rsidR="00281F95" w:rsidSect="009B30D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37D09"/>
    <w:multiLevelType w:val="hybridMultilevel"/>
    <w:tmpl w:val="8E8E4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64D8C"/>
    <w:multiLevelType w:val="hybridMultilevel"/>
    <w:tmpl w:val="955C596C"/>
    <w:lvl w:ilvl="0" w:tplc="815C21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F9"/>
    <w:rsid w:val="000379E8"/>
    <w:rsid w:val="00210D85"/>
    <w:rsid w:val="00281F95"/>
    <w:rsid w:val="004275F9"/>
    <w:rsid w:val="004453C9"/>
    <w:rsid w:val="0057177D"/>
    <w:rsid w:val="00E42AA4"/>
    <w:rsid w:val="00EC2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D12C"/>
  <w15:chartTrackingRefBased/>
  <w15:docId w15:val="{DA81F5CD-B81B-474A-8FD0-7465FBC7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5F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5F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275F9"/>
    <w:rPr>
      <w:sz w:val="16"/>
      <w:szCs w:val="16"/>
    </w:rPr>
  </w:style>
  <w:style w:type="paragraph" w:styleId="CommentText">
    <w:name w:val="annotation text"/>
    <w:basedOn w:val="Normal"/>
    <w:link w:val="CommentTextChar"/>
    <w:uiPriority w:val="99"/>
    <w:semiHidden/>
    <w:unhideWhenUsed/>
    <w:rsid w:val="004275F9"/>
    <w:pPr>
      <w:spacing w:line="240" w:lineRule="auto"/>
    </w:pPr>
    <w:rPr>
      <w:sz w:val="20"/>
      <w:szCs w:val="20"/>
    </w:rPr>
  </w:style>
  <w:style w:type="character" w:customStyle="1" w:styleId="CommentTextChar">
    <w:name w:val="Comment Text Char"/>
    <w:basedOn w:val="DefaultParagraphFont"/>
    <w:link w:val="CommentText"/>
    <w:uiPriority w:val="99"/>
    <w:semiHidden/>
    <w:rsid w:val="004275F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275F9"/>
    <w:rPr>
      <w:b/>
      <w:bCs/>
    </w:rPr>
  </w:style>
  <w:style w:type="character" w:customStyle="1" w:styleId="CommentSubjectChar">
    <w:name w:val="Comment Subject Char"/>
    <w:basedOn w:val="CommentTextChar"/>
    <w:link w:val="CommentSubject"/>
    <w:uiPriority w:val="99"/>
    <w:semiHidden/>
    <w:rsid w:val="004275F9"/>
    <w:rPr>
      <w:rFonts w:eastAsiaTheme="minorEastAsia"/>
      <w:b/>
      <w:bCs/>
      <w:sz w:val="20"/>
      <w:szCs w:val="20"/>
    </w:rPr>
  </w:style>
  <w:style w:type="paragraph" w:styleId="ListParagraph">
    <w:name w:val="List Paragraph"/>
    <w:basedOn w:val="Normal"/>
    <w:uiPriority w:val="34"/>
    <w:qFormat/>
    <w:rsid w:val="004275F9"/>
    <w:pPr>
      <w:ind w:left="720"/>
      <w:contextualSpacing/>
    </w:pPr>
  </w:style>
  <w:style w:type="paragraph" w:styleId="Header">
    <w:name w:val="header"/>
    <w:basedOn w:val="Normal"/>
    <w:link w:val="HeaderChar"/>
    <w:uiPriority w:val="99"/>
    <w:unhideWhenUsed/>
    <w:rsid w:val="00427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5F9"/>
    <w:rPr>
      <w:rFonts w:eastAsiaTheme="minorEastAsia"/>
    </w:rPr>
  </w:style>
  <w:style w:type="paragraph" w:styleId="Footer">
    <w:name w:val="footer"/>
    <w:basedOn w:val="Normal"/>
    <w:link w:val="FooterChar"/>
    <w:uiPriority w:val="99"/>
    <w:unhideWhenUsed/>
    <w:rsid w:val="00427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5F9"/>
    <w:rPr>
      <w:rFonts w:eastAsiaTheme="minorEastAsia"/>
    </w:rPr>
  </w:style>
  <w:style w:type="table" w:styleId="TableGrid">
    <w:name w:val="Table Grid"/>
    <w:basedOn w:val="TableNormal"/>
    <w:uiPriority w:val="59"/>
    <w:rsid w:val="004275F9"/>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4275F9"/>
    <w:rPr>
      <w:color w:val="0000FF"/>
      <w:u w:val="single"/>
    </w:rPr>
  </w:style>
  <w:style w:type="character" w:customStyle="1" w:styleId="ref-journal">
    <w:name w:val="ref-journal"/>
    <w:basedOn w:val="DefaultParagraphFont"/>
    <w:rsid w:val="004275F9"/>
  </w:style>
  <w:style w:type="character" w:customStyle="1" w:styleId="ref-vol">
    <w:name w:val="ref-vol"/>
    <w:basedOn w:val="DefaultParagraphFont"/>
    <w:rsid w:val="004275F9"/>
  </w:style>
  <w:style w:type="paragraph" w:styleId="HTMLPreformatted">
    <w:name w:val="HTML Preformatted"/>
    <w:basedOn w:val="Normal"/>
    <w:link w:val="HTMLPreformattedChar"/>
    <w:uiPriority w:val="99"/>
    <w:semiHidden/>
    <w:unhideWhenUsed/>
    <w:rsid w:val="00427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4275F9"/>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3267</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Gregson</dc:creator>
  <cp:keywords/>
  <dc:description/>
  <cp:lastModifiedBy>John Gregson</cp:lastModifiedBy>
  <cp:revision>6</cp:revision>
  <dcterms:created xsi:type="dcterms:W3CDTF">2018-04-03T13:38:00Z</dcterms:created>
  <dcterms:modified xsi:type="dcterms:W3CDTF">2019-05-14T14:25:00Z</dcterms:modified>
</cp:coreProperties>
</file>