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5500" w:type="dxa"/>
        <w:tblLayout w:type="fixed"/>
        <w:tblLook w:val="04A0" w:firstRow="1" w:lastRow="0" w:firstColumn="1" w:lastColumn="0" w:noHBand="0" w:noVBand="1"/>
      </w:tblPr>
      <w:tblGrid>
        <w:gridCol w:w="1242"/>
        <w:gridCol w:w="1950"/>
        <w:gridCol w:w="539"/>
        <w:gridCol w:w="399"/>
        <w:gridCol w:w="768"/>
        <w:gridCol w:w="974"/>
        <w:gridCol w:w="1140"/>
        <w:gridCol w:w="1031"/>
        <w:gridCol w:w="236"/>
        <w:gridCol w:w="1923"/>
        <w:gridCol w:w="539"/>
        <w:gridCol w:w="1167"/>
        <w:gridCol w:w="974"/>
        <w:gridCol w:w="1175"/>
        <w:gridCol w:w="1443"/>
      </w:tblGrid>
      <w:tr w:rsidR="00836FBB" w:rsidRPr="007D5D3D" w:rsidTr="00C52244">
        <w:trPr>
          <w:trHeight w:hRule="exact" w:val="272"/>
        </w:trPr>
        <w:tc>
          <w:tcPr>
            <w:tcW w:w="15500" w:type="dxa"/>
            <w:gridSpan w:val="15"/>
            <w:tcBorders>
              <w:bottom w:val="single" w:sz="4" w:space="0" w:color="auto"/>
            </w:tcBorders>
          </w:tcPr>
          <w:p w:rsidR="00836FBB" w:rsidRDefault="00836FBB" w:rsidP="00C52244">
            <w:pPr>
              <w:spacing w:line="480" w:lineRule="auto"/>
              <w:rPr>
                <w:rFonts w:asciiTheme="minorHAnsi" w:hAnsiTheme="minorHAnsi" w:cstheme="minorHAnsi"/>
                <w:lang w:val="en-GB"/>
              </w:rPr>
            </w:pPr>
            <w:r w:rsidRPr="003176A0">
              <w:rPr>
                <w:rFonts w:asciiTheme="minorHAnsi" w:hAnsiTheme="minorHAnsi" w:cstheme="minorHAnsi"/>
                <w:lang w:val="en-GB"/>
              </w:rPr>
              <w:t xml:space="preserve">Table 3. Effect of vitamin B12 and folic acid supplementation on haematological parameters. </w:t>
            </w:r>
          </w:p>
          <w:p w:rsidR="009E2785" w:rsidRDefault="009E2785" w:rsidP="00C52244">
            <w:pPr>
              <w:spacing w:line="480" w:lineRule="auto"/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  <w:p w:rsidR="00836FBB" w:rsidRDefault="00836FBB" w:rsidP="00C52244">
            <w:pPr>
              <w:spacing w:line="480" w:lineRule="auto"/>
              <w:rPr>
                <w:rFonts w:asciiTheme="minorHAnsi" w:hAnsiTheme="minorHAnsi" w:cstheme="minorHAnsi"/>
                <w:lang w:val="en-GB"/>
              </w:rPr>
            </w:pPr>
          </w:p>
          <w:p w:rsidR="00836FBB" w:rsidRDefault="00836FBB" w:rsidP="00C52244">
            <w:pPr>
              <w:spacing w:line="480" w:lineRule="auto"/>
              <w:rPr>
                <w:rFonts w:asciiTheme="minorHAnsi" w:hAnsiTheme="minorHAnsi" w:cstheme="minorHAnsi"/>
                <w:lang w:val="en-GB"/>
              </w:rPr>
            </w:pPr>
          </w:p>
          <w:p w:rsidR="00836FBB" w:rsidRPr="003176A0" w:rsidRDefault="00836FBB" w:rsidP="00C52244">
            <w:pPr>
              <w:spacing w:line="480" w:lineRule="auto"/>
            </w:pPr>
          </w:p>
          <w:p w:rsidR="00836FBB" w:rsidRPr="007D5D3D" w:rsidDel="00823051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Vitamin B12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Folic acid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675"/>
        </w:trPr>
        <w:tc>
          <w:tcPr>
            <w:tcW w:w="1242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Outcome</w:t>
            </w:r>
          </w:p>
        </w:tc>
        <w:tc>
          <w:tcPr>
            <w:tcW w:w="1950" w:type="dxa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Mean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Baseline (SD)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Mean 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difference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[95% CI]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Weight (%)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Mean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Baseline (SD)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Mean 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difference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[95% CI]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Weight (%)</w:t>
            </w:r>
          </w:p>
        </w:tc>
      </w:tr>
      <w:tr w:rsidR="00836FBB" w:rsidRPr="007D5D3D" w:rsidTr="00C52244">
        <w:trPr>
          <w:trHeight w:hRule="exact" w:val="5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Dangour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13.9 (1.2)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[-0.26 ; 0.25]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Durga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14.3 (1.1)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-0.07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[-0.18 ; 0.04]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83.2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Favrat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Pathansali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24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13.1 (0.9)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[-0.47 ; 0.47]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4.6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Hvas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137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13.3 (1.3)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0.01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[-0.27 ; 0.29]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41.6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Ntaios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14.0 (1.0)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-0.22 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[-0.51 ; 0.07]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12.3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1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25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12.8 (1.4)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0.20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[-0.65 ; 1.05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4.6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2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26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13.2 (1.5)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-0.62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[-1.97 ; 0.72]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1.9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=0% 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343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[-0.19 ; 0.18]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=0% 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929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-0.09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[-0.19 ; 0.01]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</w:tr>
      <w:tr w:rsidR="00836FBB" w:rsidRPr="007D5D3D" w:rsidTr="00C52244">
        <w:trPr>
          <w:trHeight w:hRule="exact" w:val="5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 w:val="restart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Haematocrit (fraction)</w:t>
            </w: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Dangour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155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0.41 (0.03)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[-0.01 ; 0.01]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77.0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Durga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802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0.44 (0.04)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[-0.01 ; 0]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70.0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Favrat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0.40 (0.04)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0.00 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[-0.01 ; 0.01]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23.0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Pathansali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18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0.40 (0.02)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[-0.01 ; 0.02]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5.6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Hvas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Ntaios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0.42 (0.03)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[-0.01 ; 0]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24.3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1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2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 0%)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[0 ; 0.01]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=0% 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923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0.00 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[-0.01 ; 0]</w:t>
            </w: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</w:tr>
      <w:tr w:rsidR="00836FBB" w:rsidRPr="007D5D3D" w:rsidTr="00C52244">
        <w:trPr>
          <w:trHeight w:hRule="exact" w:val="5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 w:val="restart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MCV (</w:t>
            </w:r>
            <w:proofErr w:type="spellStart"/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fL</w:t>
            </w:r>
            <w:proofErr w:type="spellEnd"/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Dangour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156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88.5 (4.3)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0.46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[-0.47 ; 1.40]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48.0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Durga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802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91.2 (5.1)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-0.31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[-0.80 ; 0.18]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83.1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Favrat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92.1 (7.4)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-0.56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[-2.36 ; 1.25]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12.9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Pathansali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Hvas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137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91.1 (6.3)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-0.21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[-1.24 ; 0.83]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39.1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Ntaios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91.5 (5.1)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-0.67 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[-1.75 ; 0.42]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16.9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1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2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=0% 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338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0.07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[-0.58 ; 0.72]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 0%)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-0.37 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[-0.82 ; 0.08]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</w:tr>
      <w:tr w:rsidR="00836FBB" w:rsidRPr="007D5D3D" w:rsidTr="00C52244">
        <w:trPr>
          <w:trHeight w:hRule="exact" w:val="5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836FBB" w:rsidRPr="007D5D3D" w:rsidDel="00823051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 w:val="restart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RBC (x 10</w:t>
            </w: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en-GB"/>
              </w:rPr>
              <w:t>-12</w:t>
            </w:r>
            <w:r w:rsidRPr="007D5D3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/L)</w:t>
            </w: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Dangour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155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4.6 (0.4)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[-0.08 ; 0.07]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77.1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Durga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802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4.8 (0.4)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[-0.04 ; 0.03]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93.9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Favrat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4.4 (0.5)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0.02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[-0.11; 0.15]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22.9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Pathansali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Hvas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Ntaios</w:t>
            </w:r>
            <w:proofErr w:type="spellEnd"/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4.6 (0.4)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-0.14 </w:t>
            </w: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[-0.28 ; -0.01]</w:t>
            </w: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6.1</w:t>
            </w: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1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Seal 2</w:t>
            </w: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67" w:type="dxa"/>
            <w:gridSpan w:val="2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031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236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67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75" w:type="dxa"/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836FBB" w:rsidRPr="007D5D3D" w:rsidTr="00C52244">
        <w:trPr>
          <w:trHeight w:hRule="exact" w:val="272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 0%)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[-0.06 ; 0.06]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Pooled estimate (I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=72%)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-0.02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[-0.05 ; 0,02]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</w:tr>
      <w:tr w:rsidR="00836FBB" w:rsidRPr="007D5D3D" w:rsidTr="00C52244">
        <w:trPr>
          <w:trHeight w:hRule="exact" w:val="417"/>
        </w:trPr>
        <w:tc>
          <w:tcPr>
            <w:tcW w:w="15500" w:type="dxa"/>
            <w:gridSpan w:val="15"/>
            <w:tcBorders>
              <w:top w:val="single" w:sz="4" w:space="0" w:color="auto"/>
            </w:tcBorders>
          </w:tcPr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Data are presented as the pooled difference in means (95% confidence interval) in the change in outcome parameter between baseline and follow-up (i.e. follow-up minus baseline) between the active treatment group and placebo group. </w:t>
            </w:r>
          </w:p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836FBB" w:rsidRPr="007D5D3D" w:rsidRDefault="00836FBB" w:rsidP="00C52244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79488A" w:rsidRDefault="0079488A"/>
    <w:sectPr w:rsidR="0079488A" w:rsidSect="004E1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B"/>
    <w:rsid w:val="004E1519"/>
    <w:rsid w:val="0079488A"/>
    <w:rsid w:val="00836FBB"/>
    <w:rsid w:val="009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4FE400F0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Smelt, A.F.H. (PHEG)</dc:creator>
  <cp:lastModifiedBy>Smelt, A.F.H. (PHEG)</cp:lastModifiedBy>
  <cp:revision>3</cp:revision>
  <dcterms:created xsi:type="dcterms:W3CDTF">2017-08-18T08:42:00Z</dcterms:created>
  <dcterms:modified xsi:type="dcterms:W3CDTF">2017-08-18T08:45:00Z</dcterms:modified>
</cp:coreProperties>
</file>