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3AD44" w14:textId="77777777" w:rsidR="001E7708" w:rsidRPr="00875ED5" w:rsidRDefault="00FC5C3D">
      <w:pPr>
        <w:rPr>
          <w:b/>
          <w:sz w:val="32"/>
        </w:rPr>
      </w:pPr>
      <w:r w:rsidRPr="00875ED5">
        <w:rPr>
          <w:b/>
          <w:sz w:val="32"/>
        </w:rPr>
        <w:t xml:space="preserve">Social Death </w:t>
      </w:r>
    </w:p>
    <w:p w14:paraId="1757B01E" w14:textId="50B9F5B0" w:rsidR="00FC5C3D" w:rsidRDefault="00D05C66">
      <w:r>
        <w:t>Review for QJM</w:t>
      </w:r>
    </w:p>
    <w:p w14:paraId="776AA146" w14:textId="77777777" w:rsidR="00D05C66" w:rsidRPr="00875ED5" w:rsidRDefault="00D05C66"/>
    <w:p w14:paraId="1A0C3FD3" w14:textId="77777777" w:rsidR="00FC5C3D" w:rsidRPr="00875ED5" w:rsidRDefault="00FC5C3D" w:rsidP="00875ED5">
      <w:pPr>
        <w:spacing w:line="276" w:lineRule="auto"/>
        <w:rPr>
          <w:b/>
          <w:sz w:val="22"/>
          <w:szCs w:val="22"/>
        </w:rPr>
      </w:pPr>
      <w:r w:rsidRPr="00875ED5">
        <w:rPr>
          <w:b/>
          <w:sz w:val="22"/>
          <w:szCs w:val="22"/>
        </w:rPr>
        <w:t>Abstract</w:t>
      </w:r>
    </w:p>
    <w:p w14:paraId="62F93BB8" w14:textId="77777777" w:rsidR="00FC5C3D" w:rsidRPr="00875ED5" w:rsidRDefault="00FC5C3D" w:rsidP="00875ED5">
      <w:pPr>
        <w:spacing w:line="276" w:lineRule="auto"/>
        <w:rPr>
          <w:sz w:val="22"/>
          <w:szCs w:val="22"/>
        </w:rPr>
      </w:pPr>
    </w:p>
    <w:p w14:paraId="43F5FEE8" w14:textId="6DB31AF1" w:rsidR="00875ED5" w:rsidRPr="002557DE" w:rsidRDefault="002557DE" w:rsidP="00875ED5">
      <w:pPr>
        <w:spacing w:line="276" w:lineRule="auto"/>
        <w:rPr>
          <w:b/>
          <w:sz w:val="22"/>
          <w:szCs w:val="22"/>
        </w:rPr>
      </w:pPr>
      <w:r w:rsidRPr="002557DE">
        <w:rPr>
          <w:rFonts w:cs="Times"/>
          <w:sz w:val="22"/>
          <w:szCs w:val="22"/>
          <w:lang w:val="en-US"/>
        </w:rPr>
        <w:t xml:space="preserve">This review will outline </w:t>
      </w:r>
      <w:r w:rsidR="003B6111">
        <w:rPr>
          <w:rFonts w:cs="Times"/>
          <w:sz w:val="22"/>
          <w:szCs w:val="22"/>
          <w:lang w:val="en-US"/>
        </w:rPr>
        <w:t>various ways in which the notion of</w:t>
      </w:r>
      <w:r w:rsidRPr="002557DE">
        <w:rPr>
          <w:rFonts w:cs="Times"/>
          <w:sz w:val="22"/>
          <w:szCs w:val="22"/>
          <w:lang w:val="en-US"/>
        </w:rPr>
        <w:t xml:space="preserve"> 'social death</w:t>
      </w:r>
      <w:r w:rsidR="003B6111">
        <w:rPr>
          <w:rFonts w:cs="Times"/>
          <w:sz w:val="22"/>
          <w:szCs w:val="22"/>
          <w:lang w:val="en-US"/>
        </w:rPr>
        <w:t>’ can be understood,</w:t>
      </w:r>
      <w:r w:rsidRPr="002557DE">
        <w:rPr>
          <w:rFonts w:cs="Times"/>
          <w:sz w:val="22"/>
          <w:szCs w:val="22"/>
          <w:lang w:val="en-US"/>
        </w:rPr>
        <w:t xml:space="preserve"> and how they can</w:t>
      </w:r>
      <w:r w:rsidR="003B6111">
        <w:rPr>
          <w:rFonts w:cs="Times"/>
          <w:sz w:val="22"/>
          <w:szCs w:val="22"/>
          <w:lang w:val="en-US"/>
        </w:rPr>
        <w:t xml:space="preserve"> be</w:t>
      </w:r>
      <w:r w:rsidRPr="002557DE">
        <w:rPr>
          <w:rFonts w:cs="Times"/>
          <w:sz w:val="22"/>
          <w:szCs w:val="22"/>
          <w:lang w:val="en-US"/>
        </w:rPr>
        <w:t xml:space="preserve"> relate</w:t>
      </w:r>
      <w:r w:rsidR="003B6111">
        <w:rPr>
          <w:rFonts w:cs="Times"/>
          <w:sz w:val="22"/>
          <w:szCs w:val="22"/>
          <w:lang w:val="en-US"/>
        </w:rPr>
        <w:t>d</w:t>
      </w:r>
      <w:r w:rsidRPr="002557DE">
        <w:rPr>
          <w:rFonts w:cs="Times"/>
          <w:sz w:val="22"/>
          <w:szCs w:val="22"/>
          <w:lang w:val="en-US"/>
        </w:rPr>
        <w:t xml:space="preserve"> to clinical practice. </w:t>
      </w:r>
      <w:r w:rsidR="003B6111">
        <w:rPr>
          <w:rFonts w:cs="Times"/>
          <w:sz w:val="22"/>
          <w:szCs w:val="22"/>
          <w:lang w:val="en-US"/>
        </w:rPr>
        <w:t xml:space="preserve">The idea of </w:t>
      </w:r>
      <w:r w:rsidRPr="002557DE">
        <w:rPr>
          <w:rFonts w:cs="Times"/>
          <w:sz w:val="22"/>
          <w:szCs w:val="22"/>
          <w:lang w:val="en-US"/>
        </w:rPr>
        <w:t xml:space="preserve">social death </w:t>
      </w:r>
      <w:r w:rsidR="003B6111">
        <w:rPr>
          <w:rFonts w:cs="Times"/>
          <w:sz w:val="22"/>
          <w:szCs w:val="22"/>
          <w:lang w:val="en-US"/>
        </w:rPr>
        <w:t xml:space="preserve">is used to analytically </w:t>
      </w:r>
      <w:r w:rsidRPr="002557DE">
        <w:rPr>
          <w:rFonts w:cs="Times"/>
          <w:sz w:val="22"/>
          <w:szCs w:val="22"/>
          <w:lang w:val="en-US"/>
        </w:rPr>
        <w:t xml:space="preserve">represent how someone </w:t>
      </w:r>
      <w:r w:rsidR="003B6111">
        <w:rPr>
          <w:rFonts w:cs="Times"/>
          <w:sz w:val="22"/>
          <w:szCs w:val="22"/>
          <w:lang w:val="en-US"/>
        </w:rPr>
        <w:t xml:space="preserve">can be </w:t>
      </w:r>
      <w:r w:rsidRPr="002557DE">
        <w:rPr>
          <w:rFonts w:cs="Times"/>
          <w:sz w:val="22"/>
          <w:szCs w:val="22"/>
          <w:lang w:val="en-US"/>
        </w:rPr>
        <w:t xml:space="preserve">identified and treated as if they </w:t>
      </w:r>
      <w:r w:rsidR="00A85496">
        <w:rPr>
          <w:rFonts w:cs="Times"/>
          <w:sz w:val="22"/>
          <w:szCs w:val="22"/>
          <w:lang w:val="en-US"/>
        </w:rPr>
        <w:t>are</w:t>
      </w:r>
      <w:r w:rsidRPr="002557DE">
        <w:rPr>
          <w:rFonts w:cs="Times"/>
          <w:sz w:val="22"/>
          <w:szCs w:val="22"/>
          <w:lang w:val="en-US"/>
        </w:rPr>
        <w:t xml:space="preserve"> ontological</w:t>
      </w:r>
      <w:r w:rsidR="00A85496">
        <w:rPr>
          <w:rFonts w:cs="Times"/>
          <w:sz w:val="22"/>
          <w:szCs w:val="22"/>
          <w:lang w:val="en-US"/>
        </w:rPr>
        <w:t>ly</w:t>
      </w:r>
      <w:r w:rsidRPr="002557DE">
        <w:rPr>
          <w:rFonts w:cs="Times"/>
          <w:sz w:val="22"/>
          <w:szCs w:val="22"/>
          <w:lang w:val="en-US"/>
        </w:rPr>
        <w:t xml:space="preserve"> defici</w:t>
      </w:r>
      <w:r w:rsidR="00A85496">
        <w:rPr>
          <w:rFonts w:cs="Times"/>
          <w:sz w:val="22"/>
          <w:szCs w:val="22"/>
          <w:lang w:val="en-US"/>
        </w:rPr>
        <w:t>en</w:t>
      </w:r>
      <w:r w:rsidRPr="002557DE">
        <w:rPr>
          <w:rFonts w:cs="Times"/>
          <w:sz w:val="22"/>
          <w:szCs w:val="22"/>
          <w:lang w:val="en-US"/>
        </w:rPr>
        <w:t xml:space="preserve">t </w:t>
      </w:r>
      <w:r w:rsidR="00A85496">
        <w:rPr>
          <w:rFonts w:cs="Times"/>
          <w:sz w:val="22"/>
          <w:szCs w:val="22"/>
          <w:lang w:val="en-US"/>
        </w:rPr>
        <w:t>– meaning that they</w:t>
      </w:r>
      <w:r w:rsidRPr="002557DE">
        <w:rPr>
          <w:rFonts w:cs="Times"/>
          <w:sz w:val="22"/>
          <w:szCs w:val="22"/>
          <w:lang w:val="en-US"/>
        </w:rPr>
        <w:t xml:space="preserve"> are </w:t>
      </w:r>
      <w:r w:rsidR="00A85496">
        <w:rPr>
          <w:rFonts w:cs="Times"/>
          <w:sz w:val="22"/>
          <w:szCs w:val="22"/>
          <w:lang w:val="en-US"/>
        </w:rPr>
        <w:t>not seen as being</w:t>
      </w:r>
      <w:r w:rsidRPr="002557DE">
        <w:rPr>
          <w:rFonts w:cs="Times"/>
          <w:sz w:val="22"/>
          <w:szCs w:val="22"/>
          <w:lang w:val="en-US"/>
        </w:rPr>
        <w:t xml:space="preserve"> 'fully human</w:t>
      </w:r>
      <w:r w:rsidR="00A85496">
        <w:rPr>
          <w:rFonts w:cs="Times"/>
          <w:sz w:val="22"/>
          <w:szCs w:val="22"/>
          <w:lang w:val="en-US"/>
        </w:rPr>
        <w:t>.</w:t>
      </w:r>
      <w:r w:rsidRPr="002557DE">
        <w:rPr>
          <w:rFonts w:cs="Times"/>
          <w:sz w:val="22"/>
          <w:szCs w:val="22"/>
          <w:lang w:val="en-US"/>
        </w:rPr>
        <w:t>'</w:t>
      </w:r>
      <w:r w:rsidR="00A85496">
        <w:rPr>
          <w:rFonts w:cs="Times"/>
          <w:sz w:val="22"/>
          <w:szCs w:val="22"/>
          <w:lang w:val="en-US"/>
        </w:rPr>
        <w:t xml:space="preserve"> T</w:t>
      </w:r>
      <w:r w:rsidRPr="002557DE">
        <w:rPr>
          <w:rFonts w:cs="Times"/>
          <w:sz w:val="22"/>
          <w:szCs w:val="22"/>
          <w:lang w:val="en-US"/>
        </w:rPr>
        <w:t>his impacts</w:t>
      </w:r>
      <w:r w:rsidR="00A85496">
        <w:rPr>
          <w:rFonts w:cs="Times"/>
          <w:sz w:val="22"/>
          <w:szCs w:val="22"/>
          <w:lang w:val="en-US"/>
        </w:rPr>
        <w:t xml:space="preserve"> on</w:t>
      </w:r>
      <w:r w:rsidRPr="002557DE">
        <w:rPr>
          <w:rFonts w:cs="Times"/>
          <w:sz w:val="22"/>
          <w:szCs w:val="22"/>
          <w:lang w:val="en-US"/>
        </w:rPr>
        <w:t xml:space="preserve"> their position within society and how they are interacted with. This review will consider </w:t>
      </w:r>
      <w:r w:rsidR="00A85496">
        <w:rPr>
          <w:rFonts w:cs="Times"/>
          <w:sz w:val="22"/>
          <w:szCs w:val="22"/>
          <w:lang w:val="en-US"/>
        </w:rPr>
        <w:t xml:space="preserve">three </w:t>
      </w:r>
      <w:r w:rsidRPr="002557DE">
        <w:rPr>
          <w:rFonts w:cs="Times"/>
          <w:sz w:val="22"/>
          <w:szCs w:val="22"/>
          <w:lang w:val="en-US"/>
        </w:rPr>
        <w:t>examples of social death - often distinguished from physical or biological dea</w:t>
      </w:r>
      <w:r>
        <w:rPr>
          <w:rFonts w:cs="Times"/>
          <w:sz w:val="22"/>
          <w:szCs w:val="22"/>
          <w:lang w:val="en-US"/>
        </w:rPr>
        <w:t xml:space="preserve">th - </w:t>
      </w:r>
      <w:r w:rsidRPr="002557DE">
        <w:rPr>
          <w:rFonts w:cs="Times"/>
          <w:sz w:val="22"/>
          <w:szCs w:val="22"/>
          <w:lang w:val="en-US"/>
        </w:rPr>
        <w:t xml:space="preserve">that </w:t>
      </w:r>
      <w:r w:rsidR="00A85496">
        <w:rPr>
          <w:rFonts w:cs="Times"/>
          <w:sz w:val="22"/>
          <w:szCs w:val="22"/>
          <w:lang w:val="en-US"/>
        </w:rPr>
        <w:t>are important for</w:t>
      </w:r>
      <w:r w:rsidRPr="002557DE">
        <w:rPr>
          <w:rFonts w:cs="Times"/>
          <w:sz w:val="22"/>
          <w:szCs w:val="22"/>
          <w:lang w:val="en-US"/>
        </w:rPr>
        <w:t xml:space="preserve"> clinical practice: </w:t>
      </w:r>
      <w:r w:rsidR="00C14EF4">
        <w:rPr>
          <w:rFonts w:cs="Times"/>
          <w:sz w:val="22"/>
          <w:szCs w:val="22"/>
          <w:lang w:val="en-US"/>
        </w:rPr>
        <w:t xml:space="preserve">loss of agency and identity; </w:t>
      </w:r>
      <w:r w:rsidRPr="002557DE">
        <w:rPr>
          <w:rFonts w:cs="Times"/>
          <w:sz w:val="22"/>
          <w:szCs w:val="22"/>
          <w:lang w:val="en-US"/>
        </w:rPr>
        <w:t>treating people as if they are already dead</w:t>
      </w:r>
      <w:r w:rsidR="00C14EF4">
        <w:rPr>
          <w:rFonts w:cs="Times"/>
          <w:sz w:val="22"/>
          <w:szCs w:val="22"/>
          <w:lang w:val="en-US"/>
        </w:rPr>
        <w:t>;</w:t>
      </w:r>
      <w:r w:rsidRPr="002557DE">
        <w:rPr>
          <w:rFonts w:cs="Times"/>
          <w:sz w:val="22"/>
          <w:szCs w:val="22"/>
          <w:lang w:val="en-US"/>
        </w:rPr>
        <w:t xml:space="preserve"> and, rituals and bereavement. </w:t>
      </w:r>
      <w:proofErr w:type="spellStart"/>
      <w:r w:rsidRPr="002557DE">
        <w:rPr>
          <w:rFonts w:cs="Times"/>
          <w:sz w:val="22"/>
          <w:szCs w:val="22"/>
          <w:lang w:val="en-US"/>
        </w:rPr>
        <w:t>Recognising</w:t>
      </w:r>
      <w:proofErr w:type="spellEnd"/>
      <w:r w:rsidRPr="002557DE">
        <w:rPr>
          <w:rFonts w:cs="Times"/>
          <w:sz w:val="22"/>
          <w:szCs w:val="22"/>
          <w:lang w:val="en-US"/>
        </w:rPr>
        <w:t xml:space="preserve"> that a distinction between social and biological death may not always be helpful, this review will suggest ways in which healthcare practitioners can </w:t>
      </w:r>
      <w:proofErr w:type="spellStart"/>
      <w:r w:rsidRPr="002557DE">
        <w:rPr>
          <w:rFonts w:cs="Times"/>
          <w:sz w:val="22"/>
          <w:szCs w:val="22"/>
          <w:lang w:val="en-US"/>
        </w:rPr>
        <w:t>minimise</w:t>
      </w:r>
      <w:proofErr w:type="spellEnd"/>
      <w:r w:rsidRPr="002557DE">
        <w:rPr>
          <w:rFonts w:cs="Times"/>
          <w:sz w:val="22"/>
          <w:szCs w:val="22"/>
          <w:lang w:val="en-US"/>
        </w:rPr>
        <w:t xml:space="preserve"> the likelihood of inadvertently treating someone as 'socia</w:t>
      </w:r>
      <w:r>
        <w:rPr>
          <w:rFonts w:cs="Times"/>
          <w:sz w:val="22"/>
          <w:szCs w:val="22"/>
          <w:lang w:val="en-US"/>
        </w:rPr>
        <w:t>l</w:t>
      </w:r>
      <w:r w:rsidRPr="002557DE">
        <w:rPr>
          <w:rFonts w:cs="Times"/>
          <w:sz w:val="22"/>
          <w:szCs w:val="22"/>
          <w:lang w:val="en-US"/>
        </w:rPr>
        <w:t>ly dead'.</w:t>
      </w:r>
    </w:p>
    <w:p w14:paraId="4F40F102" w14:textId="77777777" w:rsidR="00875ED5" w:rsidRDefault="00875ED5" w:rsidP="00875ED5">
      <w:pPr>
        <w:spacing w:line="276" w:lineRule="auto"/>
        <w:rPr>
          <w:b/>
          <w:sz w:val="22"/>
          <w:szCs w:val="22"/>
        </w:rPr>
      </w:pPr>
    </w:p>
    <w:p w14:paraId="096AB4B1" w14:textId="77777777" w:rsidR="00875ED5" w:rsidRDefault="00875ED5" w:rsidP="00875ED5">
      <w:pPr>
        <w:spacing w:line="276" w:lineRule="auto"/>
        <w:rPr>
          <w:b/>
          <w:sz w:val="22"/>
          <w:szCs w:val="22"/>
        </w:rPr>
      </w:pPr>
    </w:p>
    <w:p w14:paraId="0E74F948" w14:textId="77777777" w:rsidR="00FC5C3D" w:rsidRPr="00875ED5" w:rsidRDefault="00FC5C3D" w:rsidP="008877D8">
      <w:pPr>
        <w:spacing w:line="276" w:lineRule="auto"/>
        <w:contextualSpacing/>
        <w:rPr>
          <w:b/>
          <w:sz w:val="22"/>
          <w:szCs w:val="22"/>
        </w:rPr>
      </w:pPr>
      <w:r w:rsidRPr="00875ED5">
        <w:rPr>
          <w:b/>
          <w:sz w:val="22"/>
          <w:szCs w:val="22"/>
        </w:rPr>
        <w:t>Introduction</w:t>
      </w:r>
    </w:p>
    <w:p w14:paraId="388C072A" w14:textId="77777777" w:rsidR="00FC5C3D" w:rsidRPr="00875ED5" w:rsidRDefault="00FC5C3D" w:rsidP="008877D8">
      <w:pPr>
        <w:spacing w:line="276" w:lineRule="auto"/>
        <w:contextualSpacing/>
        <w:rPr>
          <w:sz w:val="22"/>
          <w:szCs w:val="22"/>
        </w:rPr>
      </w:pPr>
    </w:p>
    <w:p w14:paraId="4612FE1C" w14:textId="75BD6D45" w:rsidR="00AD309A" w:rsidRPr="00875ED5" w:rsidRDefault="003049D7" w:rsidP="008877D8">
      <w:pPr>
        <w:spacing w:line="276" w:lineRule="auto"/>
        <w:contextualSpacing/>
        <w:rPr>
          <w:sz w:val="22"/>
          <w:szCs w:val="22"/>
        </w:rPr>
      </w:pPr>
      <w:r w:rsidRPr="003049D7">
        <w:rPr>
          <w:sz w:val="22"/>
          <w:szCs w:val="22"/>
        </w:rPr>
        <w:t>Death is considered to be universal, but when and how it is defined can vary.</w:t>
      </w:r>
      <w:r w:rsidR="00FC5C3D" w:rsidRPr="00875ED5">
        <w:rPr>
          <w:sz w:val="22"/>
          <w:szCs w:val="22"/>
        </w:rPr>
        <w:t xml:space="preserve"> </w:t>
      </w:r>
      <w:r w:rsidR="00D05C66">
        <w:rPr>
          <w:sz w:val="22"/>
          <w:szCs w:val="22"/>
        </w:rPr>
        <w:t>S</w:t>
      </w:r>
      <w:r w:rsidR="00FC5C3D" w:rsidRPr="00875ED5">
        <w:rPr>
          <w:sz w:val="22"/>
          <w:szCs w:val="22"/>
        </w:rPr>
        <w:t xml:space="preserve">ocial death </w:t>
      </w:r>
      <w:r w:rsidR="00801569">
        <w:rPr>
          <w:sz w:val="22"/>
          <w:szCs w:val="22"/>
        </w:rPr>
        <w:t>is</w:t>
      </w:r>
      <w:r w:rsidR="00FC5C3D" w:rsidRPr="00875ED5">
        <w:rPr>
          <w:sz w:val="22"/>
          <w:szCs w:val="22"/>
        </w:rPr>
        <w:t xml:space="preserve"> used to describe the ways in which </w:t>
      </w:r>
      <w:r w:rsidR="00E44BD3">
        <w:rPr>
          <w:sz w:val="22"/>
          <w:szCs w:val="22"/>
        </w:rPr>
        <w:t>someone</w:t>
      </w:r>
      <w:r w:rsidR="00FC5C3D" w:rsidRPr="00875ED5">
        <w:rPr>
          <w:sz w:val="22"/>
          <w:szCs w:val="22"/>
        </w:rPr>
        <w:t xml:space="preserve"> is treated as if they were dead or non-existent</w:t>
      </w:r>
      <w:r w:rsidR="003927AE">
        <w:rPr>
          <w:sz w:val="22"/>
          <w:szCs w:val="22"/>
        </w:rPr>
        <w:t xml:space="preserve">. </w:t>
      </w:r>
      <w:r>
        <w:rPr>
          <w:sz w:val="22"/>
          <w:szCs w:val="22"/>
        </w:rPr>
        <w:t>Social death is distinguished</w:t>
      </w:r>
      <w:r w:rsidR="003927AE">
        <w:rPr>
          <w:sz w:val="22"/>
          <w:szCs w:val="22"/>
        </w:rPr>
        <w:t xml:space="preserve"> from biological or physical death</w:t>
      </w:r>
      <w:r>
        <w:rPr>
          <w:sz w:val="22"/>
          <w:szCs w:val="22"/>
        </w:rPr>
        <w:t>:</w:t>
      </w:r>
      <w:r w:rsidR="000B17A5" w:rsidRPr="00875ED5">
        <w:rPr>
          <w:sz w:val="22"/>
          <w:szCs w:val="22"/>
        </w:rPr>
        <w:t xml:space="preserve"> when the body is considered to </w:t>
      </w:r>
      <w:r w:rsidR="003927AE">
        <w:rPr>
          <w:sz w:val="22"/>
          <w:szCs w:val="22"/>
        </w:rPr>
        <w:t>have died and ceased functioning for life</w:t>
      </w:r>
      <w:r w:rsidR="00FC5C3D" w:rsidRPr="00875ED5">
        <w:rPr>
          <w:sz w:val="22"/>
          <w:szCs w:val="22"/>
        </w:rPr>
        <w:t xml:space="preserve">. </w:t>
      </w:r>
      <w:r>
        <w:rPr>
          <w:rFonts w:cs="Times New Roman"/>
          <w:sz w:val="22"/>
          <w:szCs w:val="22"/>
        </w:rPr>
        <w:t xml:space="preserve">Social death can occur before or after physical death. </w:t>
      </w:r>
      <w:r w:rsidR="00AD309A" w:rsidRPr="00875ED5">
        <w:rPr>
          <w:sz w:val="22"/>
          <w:szCs w:val="22"/>
        </w:rPr>
        <w:t>There have been sev</w:t>
      </w:r>
      <w:r w:rsidR="000B17A5" w:rsidRPr="00875ED5">
        <w:rPr>
          <w:sz w:val="22"/>
          <w:szCs w:val="22"/>
        </w:rPr>
        <w:t xml:space="preserve">eral studies that </w:t>
      </w:r>
      <w:r w:rsidR="00801569">
        <w:rPr>
          <w:sz w:val="22"/>
          <w:szCs w:val="22"/>
        </w:rPr>
        <w:t>use</w:t>
      </w:r>
      <w:r w:rsidR="000B17A5" w:rsidRPr="00875ED5">
        <w:rPr>
          <w:sz w:val="22"/>
          <w:szCs w:val="22"/>
        </w:rPr>
        <w:t xml:space="preserve"> the concept of social death </w:t>
      </w:r>
      <w:r w:rsidR="00AD309A" w:rsidRPr="00875ED5">
        <w:rPr>
          <w:sz w:val="22"/>
          <w:szCs w:val="22"/>
        </w:rPr>
        <w:t xml:space="preserve">to reflect on how </w:t>
      </w:r>
      <w:r w:rsidR="002557DE">
        <w:rPr>
          <w:sz w:val="22"/>
          <w:szCs w:val="22"/>
        </w:rPr>
        <w:t xml:space="preserve">people </w:t>
      </w:r>
      <w:r w:rsidR="001948CD">
        <w:rPr>
          <w:sz w:val="22"/>
          <w:szCs w:val="22"/>
        </w:rPr>
        <w:t>can</w:t>
      </w:r>
      <w:r w:rsidR="002557DE">
        <w:rPr>
          <w:sz w:val="22"/>
          <w:szCs w:val="22"/>
        </w:rPr>
        <w:t xml:space="preserve"> be treated as if they are already dead</w:t>
      </w:r>
      <w:r w:rsidR="001948CD" w:rsidRPr="001948CD">
        <w:rPr>
          <w:sz w:val="22"/>
          <w:szCs w:val="22"/>
        </w:rPr>
        <w:t xml:space="preserve"> </w:t>
      </w:r>
      <w:r w:rsidR="001948CD">
        <w:rPr>
          <w:sz w:val="22"/>
          <w:szCs w:val="22"/>
        </w:rPr>
        <w:t>within clinical and social care settings</w:t>
      </w:r>
      <w:r w:rsidR="003927AE">
        <w:rPr>
          <w:sz w:val="22"/>
          <w:szCs w:val="22"/>
        </w:rPr>
        <w:t xml:space="preserve">. This has </w:t>
      </w:r>
      <w:r w:rsidR="002557DE">
        <w:rPr>
          <w:sz w:val="22"/>
          <w:szCs w:val="22"/>
        </w:rPr>
        <w:t xml:space="preserve">consequences for the kinds of treatment and care </w:t>
      </w:r>
      <w:r w:rsidR="00396CCB">
        <w:rPr>
          <w:sz w:val="22"/>
          <w:szCs w:val="22"/>
        </w:rPr>
        <w:t>provided</w:t>
      </w:r>
      <w:r w:rsidR="002557DE">
        <w:rPr>
          <w:sz w:val="22"/>
          <w:szCs w:val="22"/>
        </w:rPr>
        <w:t xml:space="preserve">. </w:t>
      </w:r>
      <w:r w:rsidR="00AD309A" w:rsidRPr="00875ED5">
        <w:rPr>
          <w:sz w:val="22"/>
          <w:szCs w:val="22"/>
        </w:rPr>
        <w:t xml:space="preserve">This article </w:t>
      </w:r>
      <w:r w:rsidR="00396CCB">
        <w:rPr>
          <w:sz w:val="22"/>
          <w:szCs w:val="22"/>
        </w:rPr>
        <w:t>is</w:t>
      </w:r>
      <w:r w:rsidR="00AD309A" w:rsidRPr="00875ED5">
        <w:rPr>
          <w:sz w:val="22"/>
          <w:szCs w:val="22"/>
        </w:rPr>
        <w:t xml:space="preserve"> a review of the concept of social death</w:t>
      </w:r>
      <w:r w:rsidR="003927AE">
        <w:rPr>
          <w:sz w:val="22"/>
          <w:szCs w:val="22"/>
        </w:rPr>
        <w:t xml:space="preserve"> and </w:t>
      </w:r>
      <w:r w:rsidR="00396CCB">
        <w:rPr>
          <w:sz w:val="22"/>
          <w:szCs w:val="22"/>
        </w:rPr>
        <w:t>outlines</w:t>
      </w:r>
      <w:r w:rsidR="00AD309A" w:rsidRPr="00875ED5">
        <w:rPr>
          <w:sz w:val="22"/>
          <w:szCs w:val="22"/>
        </w:rPr>
        <w:t xml:space="preserve"> several examples </w:t>
      </w:r>
      <w:r w:rsidR="00396CCB">
        <w:rPr>
          <w:sz w:val="22"/>
          <w:szCs w:val="22"/>
        </w:rPr>
        <w:t>r</w:t>
      </w:r>
      <w:r w:rsidR="00AD309A" w:rsidRPr="00875ED5">
        <w:rPr>
          <w:sz w:val="22"/>
          <w:szCs w:val="22"/>
        </w:rPr>
        <w:t xml:space="preserve">elevant to clinical practice. </w:t>
      </w:r>
    </w:p>
    <w:p w14:paraId="61AB6065" w14:textId="77777777" w:rsidR="00AD309A" w:rsidRPr="00875ED5" w:rsidRDefault="00AD309A" w:rsidP="008877D8">
      <w:pPr>
        <w:spacing w:line="276" w:lineRule="auto"/>
        <w:contextualSpacing/>
        <w:rPr>
          <w:sz w:val="22"/>
          <w:szCs w:val="22"/>
        </w:rPr>
      </w:pPr>
    </w:p>
    <w:p w14:paraId="069DF5EF" w14:textId="77777777" w:rsidR="00AD309A" w:rsidRPr="00875ED5" w:rsidRDefault="00AD309A" w:rsidP="008877D8">
      <w:pPr>
        <w:spacing w:line="276" w:lineRule="auto"/>
        <w:contextualSpacing/>
        <w:rPr>
          <w:b/>
          <w:sz w:val="22"/>
          <w:szCs w:val="22"/>
        </w:rPr>
      </w:pPr>
      <w:r w:rsidRPr="00875ED5">
        <w:rPr>
          <w:b/>
          <w:sz w:val="22"/>
          <w:szCs w:val="22"/>
        </w:rPr>
        <w:t>Definitions of social death</w:t>
      </w:r>
    </w:p>
    <w:p w14:paraId="74F0933C" w14:textId="77777777" w:rsidR="00AD309A" w:rsidRPr="00875ED5" w:rsidRDefault="00AD309A" w:rsidP="008877D8">
      <w:pPr>
        <w:spacing w:line="276" w:lineRule="auto"/>
        <w:contextualSpacing/>
        <w:rPr>
          <w:sz w:val="22"/>
          <w:szCs w:val="22"/>
        </w:rPr>
      </w:pPr>
    </w:p>
    <w:p w14:paraId="19F1DB23" w14:textId="6409505E" w:rsidR="00CE2D9D" w:rsidRDefault="00AD309A" w:rsidP="008877D8">
      <w:pPr>
        <w:spacing w:line="276" w:lineRule="auto"/>
        <w:contextualSpacing/>
        <w:rPr>
          <w:rFonts w:cs="Times New Roman"/>
          <w:sz w:val="22"/>
          <w:szCs w:val="22"/>
        </w:rPr>
      </w:pPr>
      <w:r w:rsidRPr="00875ED5">
        <w:rPr>
          <w:rFonts w:cs="Times New Roman"/>
          <w:sz w:val="22"/>
          <w:szCs w:val="22"/>
        </w:rPr>
        <w:t xml:space="preserve">The idea of social death crops </w:t>
      </w:r>
      <w:r w:rsidR="00D01881">
        <w:rPr>
          <w:rFonts w:cs="Times New Roman"/>
          <w:sz w:val="22"/>
          <w:szCs w:val="22"/>
        </w:rPr>
        <w:t xml:space="preserve">is used </w:t>
      </w:r>
      <w:r w:rsidRPr="00875ED5">
        <w:rPr>
          <w:rFonts w:cs="Times New Roman"/>
          <w:sz w:val="22"/>
          <w:szCs w:val="22"/>
        </w:rPr>
        <w:t>to refer to a wide variety of situations from experiences of illness and dying, to responses to grief, to how sub-sections of the population are treated differently.</w:t>
      </w:r>
      <w:r w:rsidR="00565E1A">
        <w:rPr>
          <w:rFonts w:cs="Times New Roman"/>
          <w:sz w:val="22"/>
          <w:szCs w:val="22"/>
        </w:rPr>
        <w:t xml:space="preserve"> </w:t>
      </w:r>
      <w:r w:rsidR="00565E1A">
        <w:rPr>
          <w:rFonts w:cs="Times New Roman"/>
          <w:sz w:val="22"/>
          <w:szCs w:val="22"/>
        </w:rPr>
        <w:fldChar w:fldCharType="begin" w:fldLock="1"/>
      </w:r>
      <w:r w:rsidR="00565E1A">
        <w:rPr>
          <w:rFonts w:cs="Times New Roman"/>
          <w:sz w:val="22"/>
          <w:szCs w:val="22"/>
        </w:rPr>
        <w:instrText>ADDIN CSL_CITATION { "citationItems" : [ { "id" : "ITEM-1", "itemData" : { "author" : [ { "dropping-particle" : "", "family" : "Sweeting", "given" : "Helen N", "non-dropping-particle" : "", "parse-names" : false, "suffix" : "" }, { "dropping-particle" : "", "family" : "Gilhooly", "given" : "Mary L M", "non-dropping-particle" : "", "parse-names" : false, "suffix" : "" } ], "container-title" : "Omega: Journal of Death and Dying", "id" : "ITEM-1", "issue" : "4", "issued" : { "date-parts" : [ [ "1992" ] ] }, "page" : "251-269", "title" : "Doctor, Am I Dead? A Review of Social Death in Modern Societies", "type" : "article-journal", "volume" : "24" }, "uris" : [ "http://www.mendeley.com/documents/?uuid=dba91d7a-82d7-4d7c-9f12-ede536fedd36" ] }, { "id" : "ITEM-2", "itemData" : { "DOI" : "10.1111/j.1467-954X.1992.tb03385.x", "ISSN" : "00380261", "author" : [ { "dropping-particle" : "", "family" : "Mulkay", "given" : "Michael", "non-dropping-particle" : "", "parse-names" : false, "suffix" : "" } ], "container-title" : "The Sociological Review", "id" : "ITEM-2", "issue" : "S1", "issued" : { "date-parts" : [ [ "1992", "5", "9" ] ] }, "page" : "31-49", "title" : "Social death in Britain*", "type" : "article-journal", "volume" : "40" }, "uris" : [ "http://www.mendeley.com/documents/?uuid=0dc3de86-a59c-4cf5-9bac-daedae959d6a" ] }, { "id" : "ITEM-3", "itemData" : { "DOI" : "10.1111/j.1527-2001.2003.tb00779.x", "ISSN" : "08875367", "author" : [ { "dropping-particle" : "", "family" : "Card", "given" : "Claudia", "non-dropping-particle" : "", "parse-names" : false, "suffix" : "" } ], "container-title" : "Hypatia", "id" : "ITEM-3", "issue" : "1", "issued" : { "date-parts" : [ [ "2003", "2", "27" ] ] }, "page" : "63-79", "title" : "Genocide and Social Death", "type" : "article-journal", "volume" : "18" }, "uris" : [ "http://www.mendeley.com/documents/?uuid=510e6432-cbb2-4b36-a085-b8783bd7b515" ] } ], "mendeley" : { "formattedCitation" : "&lt;sup&gt;1\u20133&lt;/sup&gt;", "plainTextFormattedCitation" : "1\u20133", "previouslyFormattedCitation" : "&lt;sup&gt;1\u20133&lt;/sup&gt;" }, "properties" : { "noteIndex" : 0 }, "schema" : "https://github.com/citation-style-language/schema/raw/master/csl-citation.json" }</w:instrText>
      </w:r>
      <w:r w:rsidR="00565E1A">
        <w:rPr>
          <w:rFonts w:cs="Times New Roman"/>
          <w:sz w:val="22"/>
          <w:szCs w:val="22"/>
        </w:rPr>
        <w:fldChar w:fldCharType="separate"/>
      </w:r>
      <w:r w:rsidR="00565E1A" w:rsidRPr="00565E1A">
        <w:rPr>
          <w:rFonts w:cs="Times New Roman"/>
          <w:noProof/>
          <w:sz w:val="22"/>
          <w:szCs w:val="22"/>
          <w:vertAlign w:val="superscript"/>
        </w:rPr>
        <w:t>1–3</w:t>
      </w:r>
      <w:r w:rsidR="00565E1A">
        <w:rPr>
          <w:rFonts w:cs="Times New Roman"/>
          <w:sz w:val="22"/>
          <w:szCs w:val="22"/>
        </w:rPr>
        <w:fldChar w:fldCharType="end"/>
      </w:r>
      <w:r w:rsidRPr="00875ED5">
        <w:rPr>
          <w:rFonts w:cs="Times New Roman"/>
          <w:sz w:val="22"/>
          <w:szCs w:val="22"/>
        </w:rPr>
        <w:t xml:space="preserve"> </w:t>
      </w:r>
      <w:proofErr w:type="spellStart"/>
      <w:r w:rsidR="00565E1A">
        <w:rPr>
          <w:rFonts w:cs="Times New Roman"/>
          <w:sz w:val="22"/>
          <w:szCs w:val="22"/>
        </w:rPr>
        <w:t>Kr</w:t>
      </w:r>
      <w:r w:rsidR="00565E1A">
        <w:rPr>
          <w:rFonts w:ascii="Cambria" w:hAnsi="Cambria" w:cs="Times New Roman"/>
          <w:sz w:val="22"/>
          <w:szCs w:val="22"/>
        </w:rPr>
        <w:t>á</w:t>
      </w:r>
      <w:r w:rsidR="00565E1A">
        <w:rPr>
          <w:rFonts w:cs="Times New Roman"/>
          <w:sz w:val="22"/>
          <w:szCs w:val="22"/>
        </w:rPr>
        <w:t>lov</w:t>
      </w:r>
      <w:r w:rsidR="00565E1A">
        <w:rPr>
          <w:rFonts w:ascii="Cambria" w:hAnsi="Cambria" w:cs="Times New Roman"/>
          <w:sz w:val="22"/>
          <w:szCs w:val="22"/>
        </w:rPr>
        <w:t>á</w:t>
      </w:r>
      <w:proofErr w:type="spellEnd"/>
      <w:r w:rsidR="008E6265" w:rsidRPr="00875ED5">
        <w:rPr>
          <w:rFonts w:cs="Times New Roman"/>
          <w:sz w:val="22"/>
          <w:szCs w:val="22"/>
        </w:rPr>
        <w:t xml:space="preserve"> has identified three characteristics often found in definitions of social death</w:t>
      </w:r>
      <w:r w:rsidR="001948CD">
        <w:rPr>
          <w:rFonts w:cs="Times New Roman"/>
          <w:sz w:val="22"/>
          <w:szCs w:val="22"/>
        </w:rPr>
        <w:t>, each of which</w:t>
      </w:r>
      <w:r w:rsidR="008E6265" w:rsidRPr="00875ED5">
        <w:rPr>
          <w:rFonts w:cs="Times New Roman"/>
          <w:sz w:val="22"/>
          <w:szCs w:val="22"/>
        </w:rPr>
        <w:t xml:space="preserve"> suggest</w:t>
      </w:r>
      <w:r w:rsidR="001948CD">
        <w:rPr>
          <w:rFonts w:cs="Times New Roman"/>
          <w:sz w:val="22"/>
          <w:szCs w:val="22"/>
        </w:rPr>
        <w:t>s</w:t>
      </w:r>
      <w:r w:rsidR="008E6265" w:rsidRPr="00875ED5">
        <w:rPr>
          <w:rFonts w:cs="Times New Roman"/>
          <w:sz w:val="22"/>
          <w:szCs w:val="22"/>
        </w:rPr>
        <w:t xml:space="preserve"> that the concept represents compromised well-being</w:t>
      </w:r>
      <w:r w:rsidR="001948CD">
        <w:rPr>
          <w:rFonts w:cs="Times New Roman"/>
          <w:sz w:val="22"/>
          <w:szCs w:val="22"/>
        </w:rPr>
        <w:t>. These are</w:t>
      </w:r>
      <w:r w:rsidR="008E6265" w:rsidRPr="00875ED5">
        <w:rPr>
          <w:rFonts w:cs="Times New Roman"/>
          <w:sz w:val="22"/>
          <w:szCs w:val="22"/>
        </w:rPr>
        <w:t>: a loss of social identity</w:t>
      </w:r>
      <w:r w:rsidR="001948CD">
        <w:rPr>
          <w:rFonts w:cs="Times New Roman"/>
          <w:sz w:val="22"/>
          <w:szCs w:val="22"/>
        </w:rPr>
        <w:t>;</w:t>
      </w:r>
      <w:r w:rsidR="008E6265" w:rsidRPr="00875ED5">
        <w:rPr>
          <w:rFonts w:cs="Times New Roman"/>
          <w:sz w:val="22"/>
          <w:szCs w:val="22"/>
        </w:rPr>
        <w:t xml:space="preserve"> a loss of social connectedness</w:t>
      </w:r>
      <w:r w:rsidR="001948CD">
        <w:rPr>
          <w:rFonts w:cs="Times New Roman"/>
          <w:sz w:val="22"/>
          <w:szCs w:val="22"/>
        </w:rPr>
        <w:t>;</w:t>
      </w:r>
      <w:r w:rsidR="008E6265" w:rsidRPr="00875ED5">
        <w:rPr>
          <w:rFonts w:cs="Times New Roman"/>
          <w:sz w:val="22"/>
          <w:szCs w:val="22"/>
        </w:rPr>
        <w:t xml:space="preserve"> and losses associated with disintegration of the </w:t>
      </w:r>
      <w:proofErr w:type="spellStart"/>
      <w:r w:rsidR="008E6265" w:rsidRPr="00875ED5">
        <w:rPr>
          <w:rFonts w:cs="Times New Roman"/>
          <w:sz w:val="22"/>
          <w:szCs w:val="22"/>
        </w:rPr>
        <w:t>body.</w:t>
      </w:r>
      <w:r w:rsidR="00565E1A">
        <w:rPr>
          <w:rFonts w:cs="Times New Roman"/>
          <w:sz w:val="22"/>
          <w:szCs w:val="22"/>
        </w:rPr>
        <w:fldChar w:fldCharType="begin" w:fldLock="1"/>
      </w:r>
      <w:r w:rsidR="00BC0421">
        <w:rPr>
          <w:rFonts w:cs="Times New Roman"/>
          <w:sz w:val="22"/>
          <w:szCs w:val="22"/>
        </w:rPr>
        <w:instrText>ADDIN CSL_CITATION { "citationItems" : [ { "id" : "ITEM-1", "itemData" : { "abstract" : "Social death is on many occasions used too broadly by academics in several different disciplines, creating ambiguity around its application. Conceptual clarification is needed, not least because of the importance of the empirical topics to which the concept has been applied, such as genocide, slavery and dementia. Analysis of repeatedly occurring structural similarities in diverse studies of social death reveals three underlying notions: a loss of social identity, a loss of social connectedness and losses associated with disintegration of the body. The article concludes firstly, that social death is a multifaceted phenomenon with a single conceptual framework; secondly, that in order to preserve the concept's theoretical potential it should only be used for the most extreme circumstances whereby most or all of the key facets are severely compromised and/or lost; thirdly, that social death might be usefully seen as the opposite of well-being, so that well-being and social death each clarify the meaning of ...", "author" : [ { "dropping-particle" : "", "family" : "Kr\u00e1lov\u00e1", "given" : "Jana", "non-dropping-particle" : "", "parse-names" : false, "suffix" : "" } ], "container-title" : "Contemporary Social Science", "id" : "ITEM-1", "issue" : "3", "issued" : { "date-parts" : [ [ "2015", "12", "9" ] ] }, "language" : "en", "page" : "235-248", "publisher" : "Routledge", "title" : "What is social death?", "type" : "article-journal", "volume" : "10" }, "uris" : [ "http://www.mendeley.com/documents/?uuid=834a3f72-dfdf-40a7-b4a4-dc6f88f8a9b7" ] } ], "mendeley" : { "formattedCitation" : "&lt;sup&gt;4&lt;/sup&gt;", "plainTextFormattedCitation" : "4", "previouslyFormattedCitation" : "&lt;sup&gt;4&lt;/sup&gt;" }, "properties" : { "noteIndex" : 0 }, "schema" : "https://github.com/citation-style-language/schema/raw/master/csl-citation.json" }</w:instrText>
      </w:r>
      <w:r w:rsidR="00565E1A">
        <w:rPr>
          <w:rFonts w:cs="Times New Roman"/>
          <w:sz w:val="22"/>
          <w:szCs w:val="22"/>
        </w:rPr>
        <w:fldChar w:fldCharType="separate"/>
      </w:r>
      <w:r w:rsidR="00565E1A" w:rsidRPr="00565E1A">
        <w:rPr>
          <w:rFonts w:cs="Times New Roman"/>
          <w:noProof/>
          <w:sz w:val="22"/>
          <w:szCs w:val="22"/>
          <w:vertAlign w:val="superscript"/>
        </w:rPr>
        <w:t>4</w:t>
      </w:r>
      <w:proofErr w:type="spellEnd"/>
      <w:r w:rsidR="00565E1A">
        <w:rPr>
          <w:rFonts w:cs="Times New Roman"/>
          <w:sz w:val="22"/>
          <w:szCs w:val="22"/>
        </w:rPr>
        <w:fldChar w:fldCharType="end"/>
      </w:r>
      <w:r w:rsidR="008E6265" w:rsidRPr="00875ED5">
        <w:rPr>
          <w:rFonts w:cs="Times New Roman"/>
          <w:sz w:val="22"/>
          <w:szCs w:val="22"/>
        </w:rPr>
        <w:t xml:space="preserve"> </w:t>
      </w:r>
      <w:r w:rsidR="001948CD">
        <w:rPr>
          <w:rFonts w:cs="Times New Roman"/>
          <w:sz w:val="22"/>
          <w:szCs w:val="22"/>
        </w:rPr>
        <w:t xml:space="preserve">Rather than necessarily being a clearly defined event, </w:t>
      </w:r>
      <w:r w:rsidR="00194BEF">
        <w:rPr>
          <w:rFonts w:cs="Times New Roman"/>
          <w:sz w:val="22"/>
          <w:szCs w:val="22"/>
        </w:rPr>
        <w:t xml:space="preserve">Norwood </w:t>
      </w:r>
      <w:r w:rsidR="001948CD">
        <w:rPr>
          <w:rFonts w:cs="Times New Roman"/>
          <w:sz w:val="22"/>
          <w:szCs w:val="22"/>
        </w:rPr>
        <w:t>considers</w:t>
      </w:r>
      <w:r w:rsidR="00194BEF">
        <w:rPr>
          <w:rFonts w:cs="Times New Roman"/>
          <w:sz w:val="22"/>
          <w:szCs w:val="22"/>
        </w:rPr>
        <w:t xml:space="preserve"> social death as a series of losses</w:t>
      </w:r>
      <w:r w:rsidR="003927AE">
        <w:rPr>
          <w:rFonts w:cs="Times New Roman"/>
          <w:sz w:val="22"/>
          <w:szCs w:val="22"/>
        </w:rPr>
        <w:t>.</w:t>
      </w:r>
      <w:r w:rsidR="003927AE">
        <w:rPr>
          <w:rFonts w:cs="Times New Roman"/>
          <w:sz w:val="22"/>
          <w:szCs w:val="22"/>
        </w:rPr>
        <w:fldChar w:fldCharType="begin" w:fldLock="1"/>
      </w:r>
      <w:r w:rsidR="00637FF5">
        <w:rPr>
          <w:rFonts w:cs="Times New Roman"/>
          <w:sz w:val="22"/>
          <w:szCs w:val="22"/>
        </w:rPr>
        <w:instrText>ADDIN CSL_CITATION { "citationItems" : [ { "id" : "ITEM-1", "itemData" : { "author" : [ { "dropping-particle" : "", "family" : "Norwood", "given" : "Frances", "non-dropping-particle" : "", "parse-names" : false, "suffix" : "" } ], "id" : "ITEM-1", "issued" : { "date-parts" : [ [ "2009" ] ] }, "number-of-pages" : "293", "publisher" : "Carolina Academic Press", "publisher-place" : "Durham, NC", "title" : "The Maintenance of Life: Preventing Social Death through Euthanasia Talk and End-of-Life Care - Lessons from the Netherlands", "type" : "book" }, "uris" : [ "http://www.mendeley.com/documents/?uuid=e96216d2-3a87-49c0-8425-21b06146e3a3" ] } ], "mendeley" : { "formattedCitation" : "&lt;sup&gt;5&lt;/sup&gt;", "plainTextFormattedCitation" : "5", "previouslyFormattedCitation" : "&lt;sup&gt;5&lt;/sup&gt;" }, "properties" : { "noteIndex" : 0 }, "schema" : "https://github.com/citation-style-language/schema/raw/master/csl-citation.json" }</w:instrText>
      </w:r>
      <w:r w:rsidR="003927AE">
        <w:rPr>
          <w:rFonts w:cs="Times New Roman"/>
          <w:sz w:val="22"/>
          <w:szCs w:val="22"/>
        </w:rPr>
        <w:fldChar w:fldCharType="separate"/>
      </w:r>
      <w:r w:rsidR="003927AE" w:rsidRPr="002557DE">
        <w:rPr>
          <w:rFonts w:cs="Times New Roman"/>
          <w:noProof/>
          <w:sz w:val="22"/>
          <w:szCs w:val="22"/>
          <w:vertAlign w:val="superscript"/>
        </w:rPr>
        <w:t>5</w:t>
      </w:r>
      <w:r w:rsidR="003927AE">
        <w:rPr>
          <w:rFonts w:cs="Times New Roman"/>
          <w:sz w:val="22"/>
          <w:szCs w:val="22"/>
        </w:rPr>
        <w:fldChar w:fldCharType="end"/>
      </w:r>
      <w:r w:rsidR="003927AE">
        <w:rPr>
          <w:rFonts w:cs="Times New Roman"/>
          <w:sz w:val="22"/>
          <w:szCs w:val="22"/>
        </w:rPr>
        <w:t xml:space="preserve"> For example: </w:t>
      </w:r>
      <w:r w:rsidR="00194BEF">
        <w:rPr>
          <w:rFonts w:cs="Times New Roman"/>
          <w:sz w:val="22"/>
          <w:szCs w:val="22"/>
        </w:rPr>
        <w:t xml:space="preserve">loss </w:t>
      </w:r>
      <w:r w:rsidR="001948CD">
        <w:rPr>
          <w:rFonts w:cs="Times New Roman"/>
          <w:sz w:val="22"/>
          <w:szCs w:val="22"/>
        </w:rPr>
        <w:t>of</w:t>
      </w:r>
      <w:r w:rsidR="00194BEF">
        <w:rPr>
          <w:rFonts w:cs="Times New Roman"/>
          <w:sz w:val="22"/>
          <w:szCs w:val="22"/>
        </w:rPr>
        <w:t xml:space="preserve"> identity</w:t>
      </w:r>
      <w:r w:rsidR="003927AE">
        <w:rPr>
          <w:rFonts w:cs="Times New Roman"/>
          <w:sz w:val="22"/>
          <w:szCs w:val="22"/>
        </w:rPr>
        <w:t>;</w:t>
      </w:r>
      <w:r w:rsidR="00194BEF">
        <w:rPr>
          <w:rFonts w:cs="Times New Roman"/>
          <w:sz w:val="22"/>
          <w:szCs w:val="22"/>
        </w:rPr>
        <w:t xml:space="preserve"> </w:t>
      </w:r>
      <w:r w:rsidR="001948CD">
        <w:rPr>
          <w:rFonts w:cs="Times New Roman"/>
          <w:sz w:val="22"/>
          <w:szCs w:val="22"/>
        </w:rPr>
        <w:t xml:space="preserve">loss of </w:t>
      </w:r>
      <w:r w:rsidR="00194BEF">
        <w:rPr>
          <w:rFonts w:cs="Times New Roman"/>
          <w:sz w:val="22"/>
          <w:szCs w:val="22"/>
        </w:rPr>
        <w:t xml:space="preserve">ability to </w:t>
      </w:r>
      <w:r w:rsidR="001948CD">
        <w:rPr>
          <w:rFonts w:cs="Times New Roman"/>
          <w:sz w:val="22"/>
          <w:szCs w:val="22"/>
        </w:rPr>
        <w:t>take</w:t>
      </w:r>
      <w:r w:rsidR="00194BEF">
        <w:rPr>
          <w:rFonts w:cs="Times New Roman"/>
          <w:sz w:val="22"/>
          <w:szCs w:val="22"/>
        </w:rPr>
        <w:t xml:space="preserve"> part </w:t>
      </w:r>
      <w:r w:rsidR="001948CD">
        <w:rPr>
          <w:rFonts w:cs="Times New Roman"/>
          <w:sz w:val="22"/>
          <w:szCs w:val="22"/>
        </w:rPr>
        <w:t>in</w:t>
      </w:r>
      <w:r w:rsidR="00194BEF">
        <w:rPr>
          <w:rFonts w:cs="Times New Roman"/>
          <w:sz w:val="22"/>
          <w:szCs w:val="22"/>
        </w:rPr>
        <w:t xml:space="preserve"> daily activities</w:t>
      </w:r>
      <w:r w:rsidR="003927AE">
        <w:rPr>
          <w:rFonts w:cs="Times New Roman"/>
          <w:sz w:val="22"/>
          <w:szCs w:val="22"/>
        </w:rPr>
        <w:t xml:space="preserve">; </w:t>
      </w:r>
      <w:r w:rsidR="00194BEF">
        <w:rPr>
          <w:rFonts w:cs="Times New Roman"/>
          <w:sz w:val="22"/>
          <w:szCs w:val="22"/>
        </w:rPr>
        <w:t>and</w:t>
      </w:r>
      <w:r w:rsidR="001948CD">
        <w:rPr>
          <w:rFonts w:cs="Times New Roman"/>
          <w:sz w:val="22"/>
          <w:szCs w:val="22"/>
        </w:rPr>
        <w:t xml:space="preserve"> loss of</w:t>
      </w:r>
      <w:r w:rsidR="00194BEF">
        <w:rPr>
          <w:rFonts w:cs="Times New Roman"/>
          <w:sz w:val="22"/>
          <w:szCs w:val="22"/>
        </w:rPr>
        <w:t xml:space="preserve"> social relationships</w:t>
      </w:r>
      <w:r w:rsidR="003927AE">
        <w:rPr>
          <w:rFonts w:cs="Times New Roman"/>
          <w:sz w:val="22"/>
          <w:szCs w:val="22"/>
        </w:rPr>
        <w:t>. Cumulatively, these losses can</w:t>
      </w:r>
      <w:r w:rsidR="00194BEF">
        <w:rPr>
          <w:rFonts w:cs="Times New Roman"/>
          <w:sz w:val="22"/>
          <w:szCs w:val="22"/>
        </w:rPr>
        <w:t xml:space="preserve"> result in a</w:t>
      </w:r>
      <w:r w:rsidR="001948CD">
        <w:rPr>
          <w:rFonts w:cs="Times New Roman"/>
          <w:sz w:val="22"/>
          <w:szCs w:val="22"/>
        </w:rPr>
        <w:t>n individual becoming</w:t>
      </w:r>
      <w:r w:rsidR="00194BEF">
        <w:rPr>
          <w:rFonts w:cs="Times New Roman"/>
          <w:sz w:val="22"/>
          <w:szCs w:val="22"/>
        </w:rPr>
        <w:t xml:space="preserve"> </w:t>
      </w:r>
      <w:r w:rsidR="002557DE">
        <w:rPr>
          <w:rFonts w:cs="Times New Roman"/>
          <w:sz w:val="22"/>
          <w:szCs w:val="22"/>
        </w:rPr>
        <w:t>disconnect</w:t>
      </w:r>
      <w:r w:rsidR="001948CD">
        <w:rPr>
          <w:rFonts w:cs="Times New Roman"/>
          <w:sz w:val="22"/>
          <w:szCs w:val="22"/>
        </w:rPr>
        <w:t>ed</w:t>
      </w:r>
      <w:r w:rsidR="002557DE">
        <w:rPr>
          <w:rFonts w:cs="Times New Roman"/>
          <w:sz w:val="22"/>
          <w:szCs w:val="22"/>
        </w:rPr>
        <w:t xml:space="preserve"> from social life</w:t>
      </w:r>
      <w:r w:rsidR="00194BEF">
        <w:rPr>
          <w:rFonts w:cs="Times New Roman"/>
          <w:sz w:val="22"/>
          <w:szCs w:val="22"/>
        </w:rPr>
        <w:t>.</w:t>
      </w:r>
      <w:r w:rsidR="001948CD">
        <w:rPr>
          <w:rFonts w:cs="Times New Roman"/>
          <w:sz w:val="22"/>
          <w:szCs w:val="22"/>
        </w:rPr>
        <w:t xml:space="preserve"> </w:t>
      </w:r>
    </w:p>
    <w:p w14:paraId="6CDCA930" w14:textId="77777777" w:rsidR="00CE2D9D" w:rsidRDefault="00CE2D9D" w:rsidP="008877D8">
      <w:pPr>
        <w:spacing w:line="276" w:lineRule="auto"/>
        <w:contextualSpacing/>
        <w:rPr>
          <w:rFonts w:cs="Times New Roman"/>
          <w:sz w:val="22"/>
          <w:szCs w:val="22"/>
        </w:rPr>
      </w:pPr>
    </w:p>
    <w:p w14:paraId="4C4D5497" w14:textId="26156974" w:rsidR="00AD309A" w:rsidRPr="00875ED5" w:rsidRDefault="008E6265" w:rsidP="008877D8">
      <w:pPr>
        <w:spacing w:line="276" w:lineRule="auto"/>
        <w:contextualSpacing/>
        <w:rPr>
          <w:rFonts w:cs="Times New Roman"/>
          <w:sz w:val="22"/>
          <w:szCs w:val="22"/>
        </w:rPr>
      </w:pPr>
      <w:r w:rsidRPr="00875ED5">
        <w:rPr>
          <w:rFonts w:cs="Times New Roman"/>
          <w:sz w:val="22"/>
          <w:szCs w:val="22"/>
        </w:rPr>
        <w:lastRenderedPageBreak/>
        <w:t>Although the concept is present in</w:t>
      </w:r>
      <w:r w:rsidR="00AD309A" w:rsidRPr="00875ED5">
        <w:rPr>
          <w:rFonts w:cs="Times New Roman"/>
          <w:sz w:val="22"/>
          <w:szCs w:val="22"/>
        </w:rPr>
        <w:t xml:space="preserve"> a diverse range of contexts, </w:t>
      </w:r>
      <w:r w:rsidR="00C14EF4" w:rsidRPr="00875ED5">
        <w:rPr>
          <w:rFonts w:cs="Times New Roman"/>
          <w:sz w:val="22"/>
          <w:szCs w:val="22"/>
        </w:rPr>
        <w:t>a</w:t>
      </w:r>
      <w:r w:rsidR="00AD309A" w:rsidRPr="00875ED5">
        <w:rPr>
          <w:rFonts w:cs="Times New Roman"/>
          <w:sz w:val="22"/>
          <w:szCs w:val="22"/>
        </w:rPr>
        <w:t xml:space="preserve"> unifying feature </w:t>
      </w:r>
      <w:r w:rsidR="00680D76">
        <w:rPr>
          <w:rFonts w:cs="Times New Roman"/>
          <w:sz w:val="22"/>
          <w:szCs w:val="22"/>
        </w:rPr>
        <w:t xml:space="preserve">is that it is </w:t>
      </w:r>
      <w:r w:rsidRPr="00875ED5">
        <w:rPr>
          <w:rFonts w:cs="Times New Roman"/>
          <w:sz w:val="22"/>
          <w:szCs w:val="22"/>
        </w:rPr>
        <w:t>used to comment</w:t>
      </w:r>
      <w:r w:rsidR="004A0B30" w:rsidRPr="00875ED5">
        <w:rPr>
          <w:rFonts w:cs="Times New Roman"/>
          <w:sz w:val="22"/>
          <w:szCs w:val="22"/>
        </w:rPr>
        <w:t xml:space="preserve"> </w:t>
      </w:r>
      <w:r w:rsidR="00AD309A" w:rsidRPr="00875ED5">
        <w:rPr>
          <w:rFonts w:cs="Times New Roman"/>
          <w:sz w:val="22"/>
          <w:szCs w:val="22"/>
        </w:rPr>
        <w:t xml:space="preserve">on </w:t>
      </w:r>
      <w:r w:rsidR="00A91CBD">
        <w:rPr>
          <w:rFonts w:cs="Times New Roman"/>
          <w:sz w:val="22"/>
          <w:szCs w:val="22"/>
        </w:rPr>
        <w:t>the way</w:t>
      </w:r>
      <w:r w:rsidR="00A91CBD" w:rsidRPr="00875ED5">
        <w:rPr>
          <w:rFonts w:cs="Times New Roman"/>
          <w:sz w:val="22"/>
          <w:szCs w:val="22"/>
        </w:rPr>
        <w:t xml:space="preserve"> </w:t>
      </w:r>
      <w:r w:rsidR="00AD309A" w:rsidRPr="00875ED5">
        <w:rPr>
          <w:rFonts w:cs="Times New Roman"/>
          <w:sz w:val="22"/>
          <w:szCs w:val="22"/>
        </w:rPr>
        <w:t xml:space="preserve">people may be regarded as if they are something other than human or no longer a person. </w:t>
      </w:r>
      <w:r w:rsidR="00953A90">
        <w:rPr>
          <w:rFonts w:cs="Times New Roman"/>
          <w:sz w:val="22"/>
          <w:szCs w:val="22"/>
        </w:rPr>
        <w:t>Being perceived as such manifests itself in not being</w:t>
      </w:r>
      <w:r w:rsidR="00801569">
        <w:rPr>
          <w:rFonts w:cs="Times New Roman"/>
          <w:sz w:val="22"/>
          <w:szCs w:val="22"/>
        </w:rPr>
        <w:t xml:space="preserve"> - </w:t>
      </w:r>
      <w:r w:rsidR="00953A90">
        <w:rPr>
          <w:rFonts w:cs="Times New Roman"/>
          <w:sz w:val="22"/>
          <w:szCs w:val="22"/>
        </w:rPr>
        <w:t xml:space="preserve"> either directly or indirectly</w:t>
      </w:r>
      <w:r w:rsidR="00801569">
        <w:rPr>
          <w:rFonts w:cs="Times New Roman"/>
          <w:sz w:val="22"/>
          <w:szCs w:val="22"/>
        </w:rPr>
        <w:t xml:space="preserve"> </w:t>
      </w:r>
      <w:proofErr w:type="gramStart"/>
      <w:r w:rsidR="00801569">
        <w:rPr>
          <w:rFonts w:cs="Times New Roman"/>
          <w:sz w:val="22"/>
          <w:szCs w:val="22"/>
        </w:rPr>
        <w:t xml:space="preserve">- </w:t>
      </w:r>
      <w:r w:rsidR="00953A90">
        <w:rPr>
          <w:rFonts w:cs="Times New Roman"/>
          <w:sz w:val="22"/>
          <w:szCs w:val="22"/>
        </w:rPr>
        <w:t xml:space="preserve"> treated</w:t>
      </w:r>
      <w:proofErr w:type="gramEnd"/>
      <w:r w:rsidR="00953A90">
        <w:rPr>
          <w:rFonts w:cs="Times New Roman"/>
          <w:sz w:val="22"/>
          <w:szCs w:val="22"/>
        </w:rPr>
        <w:t xml:space="preserve"> as a person and being denied the rights of a person. </w:t>
      </w:r>
      <w:r w:rsidR="00AD309A" w:rsidRPr="00875ED5">
        <w:rPr>
          <w:rFonts w:cs="Times New Roman"/>
          <w:sz w:val="22"/>
          <w:szCs w:val="22"/>
        </w:rPr>
        <w:t xml:space="preserve">Below </w:t>
      </w:r>
      <w:r w:rsidR="00801569">
        <w:rPr>
          <w:rFonts w:cs="Times New Roman"/>
          <w:sz w:val="22"/>
          <w:szCs w:val="22"/>
        </w:rPr>
        <w:t>are</w:t>
      </w:r>
      <w:r w:rsidR="00AD309A" w:rsidRPr="00875ED5">
        <w:rPr>
          <w:rFonts w:cs="Times New Roman"/>
          <w:sz w:val="22"/>
          <w:szCs w:val="22"/>
        </w:rPr>
        <w:t xml:space="preserve"> a few examples of how the concept of social death has been used </w:t>
      </w:r>
      <w:r w:rsidR="004A0B30" w:rsidRPr="00875ED5">
        <w:rPr>
          <w:rFonts w:cs="Times New Roman"/>
          <w:sz w:val="22"/>
          <w:szCs w:val="22"/>
        </w:rPr>
        <w:t xml:space="preserve">analytically to demonstrate, and in some cases problematize, </w:t>
      </w:r>
      <w:r w:rsidR="00AD309A" w:rsidRPr="00875ED5">
        <w:rPr>
          <w:rFonts w:cs="Times New Roman"/>
          <w:sz w:val="22"/>
          <w:szCs w:val="22"/>
        </w:rPr>
        <w:t>the ways in which people are treated different</w:t>
      </w:r>
      <w:r w:rsidR="004A0B30" w:rsidRPr="00875ED5">
        <w:rPr>
          <w:rFonts w:cs="Times New Roman"/>
          <w:sz w:val="22"/>
          <w:szCs w:val="22"/>
        </w:rPr>
        <w:t>ly either before</w:t>
      </w:r>
      <w:r w:rsidR="00875ED5">
        <w:rPr>
          <w:rFonts w:cs="Times New Roman"/>
          <w:sz w:val="22"/>
          <w:szCs w:val="22"/>
        </w:rPr>
        <w:t xml:space="preserve"> or after physical death</w:t>
      </w:r>
      <w:r w:rsidR="003927AE">
        <w:rPr>
          <w:rFonts w:cs="Times New Roman"/>
          <w:sz w:val="22"/>
          <w:szCs w:val="22"/>
        </w:rPr>
        <w:t xml:space="preserve">. </w:t>
      </w:r>
    </w:p>
    <w:p w14:paraId="4DB2FEFE" w14:textId="77777777" w:rsidR="004A0B30" w:rsidRPr="00875ED5" w:rsidRDefault="004A0B30" w:rsidP="008877D8">
      <w:pPr>
        <w:spacing w:line="276" w:lineRule="auto"/>
        <w:contextualSpacing/>
        <w:rPr>
          <w:rFonts w:cs="Times New Roman"/>
          <w:sz w:val="22"/>
          <w:szCs w:val="22"/>
        </w:rPr>
      </w:pPr>
    </w:p>
    <w:p w14:paraId="66ED43D1" w14:textId="77777777" w:rsidR="00376216" w:rsidRPr="00875ED5" w:rsidRDefault="00376216" w:rsidP="008877D8">
      <w:pPr>
        <w:spacing w:line="276" w:lineRule="auto"/>
        <w:contextualSpacing/>
        <w:rPr>
          <w:rFonts w:cs="Times New Roman"/>
          <w:b/>
          <w:sz w:val="22"/>
          <w:szCs w:val="22"/>
        </w:rPr>
      </w:pPr>
      <w:r w:rsidRPr="00875ED5">
        <w:rPr>
          <w:rFonts w:cs="Times New Roman"/>
          <w:b/>
          <w:sz w:val="22"/>
          <w:szCs w:val="22"/>
        </w:rPr>
        <w:t>Social death before physical death</w:t>
      </w:r>
    </w:p>
    <w:p w14:paraId="523ED4B3" w14:textId="77777777" w:rsidR="002664F2" w:rsidRDefault="002664F2" w:rsidP="008877D8">
      <w:pPr>
        <w:spacing w:line="276" w:lineRule="auto"/>
        <w:contextualSpacing/>
        <w:rPr>
          <w:rFonts w:cs="Times New Roman"/>
          <w:sz w:val="22"/>
          <w:szCs w:val="22"/>
        </w:rPr>
      </w:pPr>
    </w:p>
    <w:p w14:paraId="1909B75B" w14:textId="04DC9A99" w:rsidR="008E6265" w:rsidRDefault="00953A90" w:rsidP="008877D8">
      <w:pPr>
        <w:spacing w:line="276" w:lineRule="auto"/>
        <w:contextualSpacing/>
        <w:rPr>
          <w:rFonts w:cs="Times New Roman"/>
          <w:sz w:val="22"/>
          <w:szCs w:val="22"/>
        </w:rPr>
      </w:pPr>
      <w:r w:rsidRPr="00875ED5">
        <w:rPr>
          <w:rFonts w:cs="Times New Roman"/>
          <w:sz w:val="22"/>
          <w:szCs w:val="22"/>
        </w:rPr>
        <w:t xml:space="preserve">Sweeting and Gilhooly </w:t>
      </w:r>
      <w:r w:rsidR="00D01881">
        <w:rPr>
          <w:rFonts w:cs="Times New Roman"/>
          <w:sz w:val="22"/>
          <w:szCs w:val="22"/>
        </w:rPr>
        <w:t>view</w:t>
      </w:r>
      <w:r>
        <w:rPr>
          <w:rFonts w:cs="Times New Roman"/>
          <w:sz w:val="22"/>
          <w:szCs w:val="22"/>
        </w:rPr>
        <w:t xml:space="preserve"> </w:t>
      </w:r>
      <w:r w:rsidRPr="00875ED5">
        <w:rPr>
          <w:rFonts w:cs="Times New Roman"/>
          <w:sz w:val="22"/>
          <w:szCs w:val="22"/>
        </w:rPr>
        <w:t>dementia as an illustrative example of social death</w:t>
      </w:r>
      <w:r>
        <w:rPr>
          <w:rFonts w:cs="Times New Roman"/>
          <w:sz w:val="22"/>
          <w:szCs w:val="22"/>
        </w:rPr>
        <w:t>.</w:t>
      </w:r>
      <w:r w:rsidRPr="00953A90">
        <w:rPr>
          <w:rFonts w:cs="Times New Roman"/>
          <w:sz w:val="22"/>
          <w:szCs w:val="22"/>
        </w:rPr>
        <w:t xml:space="preserve"> </w:t>
      </w:r>
      <w:r>
        <w:rPr>
          <w:rFonts w:cs="Times New Roman"/>
          <w:sz w:val="22"/>
          <w:szCs w:val="22"/>
        </w:rPr>
        <w:fldChar w:fldCharType="begin" w:fldLock="1"/>
      </w:r>
      <w:r w:rsidR="00BC0421">
        <w:rPr>
          <w:rFonts w:cs="Times New Roman"/>
          <w:sz w:val="22"/>
          <w:szCs w:val="22"/>
        </w:rPr>
        <w:instrText>ADDIN CSL_CITATION { "citationItems" : [ { "id" : "ITEM-1", "itemData" : { "author" : [ { "dropping-particle" : "", "family" : "Sweeting", "given" : "Helen N", "non-dropping-particle" : "", "parse-names" : false, "suffix" : "" }, { "dropping-particle" : "", "family" : "Gilhooly", "given" : "Mary L M", "non-dropping-particle" : "", "parse-names" : false, "suffix" : "" } ], "container-title" : "Sociology of Health &amp; Illness", "id" : "ITEM-1", "issue" : "1", "issued" : { "date-parts" : [ [ "1997" ] ] }, "page" : "93-117", "title" : "Dementia and the phenomenon of social death", "type" : "article-journal", "volume" : "19" }, "uris" : [ "http://www.mendeley.com/documents/?uuid=be861be0-6a44-45f8-a1e2-a758358c4945" ] } ], "mendeley" : { "formattedCitation" : "&lt;sup&gt;6&lt;/sup&gt;", "plainTextFormattedCitation" : "6", "previouslyFormattedCitation" : "&lt;sup&gt;6&lt;/sup&gt;" }, "properties" : { "noteIndex" : 0 }, "schema" : "https://github.com/citation-style-language/schema/raw/master/csl-citation.json" }</w:instrText>
      </w:r>
      <w:r>
        <w:rPr>
          <w:rFonts w:cs="Times New Roman"/>
          <w:sz w:val="22"/>
          <w:szCs w:val="22"/>
        </w:rPr>
        <w:fldChar w:fldCharType="separate"/>
      </w:r>
      <w:r w:rsidR="004662B4" w:rsidRPr="004662B4">
        <w:rPr>
          <w:rFonts w:cs="Times New Roman"/>
          <w:noProof/>
          <w:sz w:val="22"/>
          <w:szCs w:val="22"/>
          <w:vertAlign w:val="superscript"/>
        </w:rPr>
        <w:t>6</w:t>
      </w:r>
      <w:r>
        <w:rPr>
          <w:rFonts w:cs="Times New Roman"/>
          <w:sz w:val="22"/>
          <w:szCs w:val="22"/>
        </w:rPr>
        <w:fldChar w:fldCharType="end"/>
      </w:r>
      <w:r>
        <w:rPr>
          <w:rFonts w:cs="Times New Roman"/>
          <w:sz w:val="22"/>
          <w:szCs w:val="22"/>
        </w:rPr>
        <w:t xml:space="preserve"> </w:t>
      </w:r>
      <w:r w:rsidR="00801569">
        <w:rPr>
          <w:rFonts w:cs="Times New Roman"/>
          <w:sz w:val="22"/>
          <w:szCs w:val="22"/>
        </w:rPr>
        <w:t>They</w:t>
      </w:r>
      <w:r w:rsidRPr="00875ED5">
        <w:rPr>
          <w:rFonts w:cs="Times New Roman"/>
          <w:sz w:val="22"/>
          <w:szCs w:val="22"/>
        </w:rPr>
        <w:t xml:space="preserve"> argue </w:t>
      </w:r>
      <w:r>
        <w:rPr>
          <w:rFonts w:cs="Times New Roman"/>
          <w:sz w:val="22"/>
          <w:szCs w:val="22"/>
        </w:rPr>
        <w:t>that those suffering from</w:t>
      </w:r>
      <w:r w:rsidRPr="00875ED5">
        <w:rPr>
          <w:rFonts w:cs="Times New Roman"/>
          <w:sz w:val="22"/>
          <w:szCs w:val="22"/>
        </w:rPr>
        <w:t xml:space="preserve"> dementia have already </w:t>
      </w:r>
      <w:r>
        <w:rPr>
          <w:rFonts w:cs="Times New Roman"/>
          <w:sz w:val="22"/>
          <w:szCs w:val="22"/>
        </w:rPr>
        <w:t>undergone</w:t>
      </w:r>
      <w:r w:rsidRPr="00875ED5">
        <w:rPr>
          <w:rFonts w:cs="Times New Roman"/>
          <w:sz w:val="22"/>
          <w:szCs w:val="22"/>
        </w:rPr>
        <w:t xml:space="preserve"> a loss of personhood</w:t>
      </w:r>
      <w:r>
        <w:rPr>
          <w:rFonts w:cs="Times New Roman"/>
          <w:sz w:val="22"/>
          <w:szCs w:val="22"/>
        </w:rPr>
        <w:t xml:space="preserve"> as a result of their condition. Additionally, since most are elderly, people presume them to be nearing death</w:t>
      </w:r>
      <w:r w:rsidR="002664F2">
        <w:rPr>
          <w:rFonts w:cs="Times New Roman"/>
          <w:sz w:val="22"/>
          <w:szCs w:val="22"/>
        </w:rPr>
        <w:t>. This makes it easier</w:t>
      </w:r>
      <w:r>
        <w:rPr>
          <w:rFonts w:cs="Times New Roman"/>
          <w:sz w:val="22"/>
          <w:szCs w:val="22"/>
        </w:rPr>
        <w:t xml:space="preserve"> for others to perceive people with dementia as socially dead.  </w:t>
      </w:r>
      <w:r w:rsidR="004662B4">
        <w:rPr>
          <w:rFonts w:cs="Times New Roman"/>
          <w:sz w:val="22"/>
          <w:szCs w:val="22"/>
        </w:rPr>
        <w:t>They</w:t>
      </w:r>
      <w:r>
        <w:rPr>
          <w:rFonts w:cs="Times New Roman"/>
          <w:sz w:val="22"/>
          <w:szCs w:val="22"/>
        </w:rPr>
        <w:t xml:space="preserve"> studied this by </w:t>
      </w:r>
      <w:r w:rsidR="003C0C7B" w:rsidRPr="00875ED5">
        <w:rPr>
          <w:rFonts w:cs="Times New Roman"/>
          <w:sz w:val="22"/>
          <w:szCs w:val="22"/>
        </w:rPr>
        <w:t>asking caregivers about the extent to which they considered the person to be ‘as good as’ dead</w:t>
      </w:r>
      <w:r>
        <w:rPr>
          <w:rFonts w:cs="Times New Roman"/>
          <w:sz w:val="22"/>
          <w:szCs w:val="22"/>
        </w:rPr>
        <w:t xml:space="preserve"> and </w:t>
      </w:r>
      <w:r w:rsidR="00565E1A">
        <w:rPr>
          <w:rFonts w:cs="Times New Roman"/>
          <w:sz w:val="22"/>
          <w:szCs w:val="22"/>
        </w:rPr>
        <w:t>if their life was worthwhile</w:t>
      </w:r>
      <w:r w:rsidR="003C0C7B" w:rsidRPr="00875ED5">
        <w:rPr>
          <w:rFonts w:cs="Times New Roman"/>
          <w:sz w:val="22"/>
          <w:szCs w:val="22"/>
        </w:rPr>
        <w:t>. They also noted behaviours</w:t>
      </w:r>
      <w:r w:rsidR="009A4503">
        <w:rPr>
          <w:rFonts w:cs="Times New Roman"/>
          <w:sz w:val="22"/>
          <w:szCs w:val="22"/>
        </w:rPr>
        <w:t xml:space="preserve"> that suggested discounting the</w:t>
      </w:r>
      <w:r w:rsidR="003C0C7B" w:rsidRPr="00875ED5">
        <w:rPr>
          <w:rFonts w:cs="Times New Roman"/>
          <w:sz w:val="22"/>
          <w:szCs w:val="22"/>
        </w:rPr>
        <w:t xml:space="preserve"> person with dementia in social terms, inc</w:t>
      </w:r>
      <w:r w:rsidR="00911BA4" w:rsidRPr="00875ED5">
        <w:rPr>
          <w:rFonts w:cs="Times New Roman"/>
          <w:sz w:val="22"/>
          <w:szCs w:val="22"/>
        </w:rPr>
        <w:t>luding not being acknowledged during</w:t>
      </w:r>
      <w:r w:rsidR="003C0C7B" w:rsidRPr="00875ED5">
        <w:rPr>
          <w:rFonts w:cs="Times New Roman"/>
          <w:sz w:val="22"/>
          <w:szCs w:val="22"/>
        </w:rPr>
        <w:t xml:space="preserve"> group interactions. </w:t>
      </w:r>
      <w:r w:rsidR="00680D76">
        <w:rPr>
          <w:rFonts w:cs="Times New Roman"/>
          <w:sz w:val="22"/>
          <w:szCs w:val="22"/>
        </w:rPr>
        <w:t>Other</w:t>
      </w:r>
      <w:r w:rsidR="00D05C66">
        <w:rPr>
          <w:rFonts w:cs="Times New Roman"/>
          <w:sz w:val="22"/>
          <w:szCs w:val="22"/>
        </w:rPr>
        <w:t>s</w:t>
      </w:r>
      <w:r w:rsidR="00680D76">
        <w:rPr>
          <w:rFonts w:cs="Times New Roman"/>
          <w:sz w:val="22"/>
          <w:szCs w:val="22"/>
        </w:rPr>
        <w:t xml:space="preserve"> have extended t</w:t>
      </w:r>
      <w:r w:rsidR="00C55C65">
        <w:rPr>
          <w:rFonts w:cs="Times New Roman"/>
          <w:sz w:val="22"/>
          <w:szCs w:val="22"/>
        </w:rPr>
        <w:t xml:space="preserve">his research </w:t>
      </w:r>
      <w:r w:rsidR="003C0C7B" w:rsidRPr="00875ED5">
        <w:rPr>
          <w:rFonts w:cs="Times New Roman"/>
          <w:sz w:val="22"/>
          <w:szCs w:val="22"/>
        </w:rPr>
        <w:t xml:space="preserve">to discuss how people living in </w:t>
      </w:r>
      <w:r w:rsidR="00E34B8A" w:rsidRPr="00875ED5">
        <w:rPr>
          <w:rFonts w:cs="Times New Roman"/>
          <w:sz w:val="22"/>
          <w:szCs w:val="22"/>
        </w:rPr>
        <w:t xml:space="preserve">institutions </w:t>
      </w:r>
      <w:r w:rsidR="003C0C7B" w:rsidRPr="00875ED5">
        <w:rPr>
          <w:rFonts w:cs="Times New Roman"/>
          <w:sz w:val="22"/>
          <w:szCs w:val="22"/>
        </w:rPr>
        <w:t xml:space="preserve">may experience social death as they </w:t>
      </w:r>
      <w:r w:rsidR="000615AE">
        <w:rPr>
          <w:rFonts w:cs="Times New Roman"/>
          <w:sz w:val="22"/>
          <w:szCs w:val="22"/>
        </w:rPr>
        <w:t>become</w:t>
      </w:r>
      <w:r w:rsidR="000615AE" w:rsidRPr="00875ED5">
        <w:rPr>
          <w:rFonts w:cs="Times New Roman"/>
          <w:sz w:val="22"/>
          <w:szCs w:val="22"/>
        </w:rPr>
        <w:t xml:space="preserve"> </w:t>
      </w:r>
      <w:r w:rsidR="003C0C7B" w:rsidRPr="00875ED5">
        <w:rPr>
          <w:rFonts w:cs="Times New Roman"/>
          <w:sz w:val="22"/>
          <w:szCs w:val="22"/>
        </w:rPr>
        <w:t>distanced from their previous social lives and relationships</w:t>
      </w:r>
      <w:r w:rsidR="00C12FB7" w:rsidRPr="00875ED5">
        <w:rPr>
          <w:rFonts w:cs="Times New Roman"/>
          <w:sz w:val="22"/>
          <w:szCs w:val="22"/>
        </w:rPr>
        <w:t xml:space="preserve">, </w:t>
      </w:r>
      <w:r w:rsidR="00680D76" w:rsidRPr="00875ED5">
        <w:rPr>
          <w:rFonts w:cs="Times New Roman"/>
          <w:sz w:val="22"/>
          <w:szCs w:val="22"/>
        </w:rPr>
        <w:t>t</w:t>
      </w:r>
      <w:r w:rsidR="00680D76">
        <w:rPr>
          <w:rFonts w:cs="Times New Roman"/>
          <w:sz w:val="22"/>
          <w:szCs w:val="22"/>
        </w:rPr>
        <w:t>ogether with</w:t>
      </w:r>
      <w:r w:rsidR="000615AE">
        <w:rPr>
          <w:rFonts w:cs="Times New Roman"/>
          <w:sz w:val="22"/>
          <w:szCs w:val="22"/>
        </w:rPr>
        <w:t xml:space="preserve"> </w:t>
      </w:r>
      <w:r w:rsidR="00C12FB7" w:rsidRPr="00875ED5">
        <w:rPr>
          <w:rFonts w:cs="Times New Roman"/>
          <w:sz w:val="22"/>
          <w:szCs w:val="22"/>
        </w:rPr>
        <w:t xml:space="preserve">the isolating and de-personalising activities in care </w:t>
      </w:r>
      <w:proofErr w:type="spellStart"/>
      <w:r w:rsidR="00C12FB7" w:rsidRPr="00875ED5">
        <w:rPr>
          <w:rFonts w:cs="Times New Roman"/>
          <w:sz w:val="22"/>
          <w:szCs w:val="22"/>
        </w:rPr>
        <w:t>homes</w:t>
      </w:r>
      <w:r w:rsidR="003C0C7B" w:rsidRPr="00875ED5">
        <w:rPr>
          <w:rFonts w:cs="Times New Roman"/>
          <w:sz w:val="22"/>
          <w:szCs w:val="22"/>
        </w:rPr>
        <w:t>.</w:t>
      </w:r>
      <w:r w:rsidR="009A4503">
        <w:rPr>
          <w:rFonts w:cs="Times New Roman"/>
          <w:sz w:val="22"/>
          <w:szCs w:val="22"/>
        </w:rPr>
        <w:fldChar w:fldCharType="begin" w:fldLock="1"/>
      </w:r>
      <w:r w:rsidR="00BC0421">
        <w:rPr>
          <w:rFonts w:cs="Times New Roman"/>
          <w:sz w:val="22"/>
          <w:szCs w:val="22"/>
        </w:rPr>
        <w:instrText>ADDIN CSL_CITATION { "citationItems" : [ { "id" : "ITEM-1", "itemData" : { "author" : [ { "dropping-particle" : "", "family" : "Froggatt", "given" : "K", "non-dropping-particle" : "", "parse-names" : false, "suffix" : "" } ], "container-title" : "Ageing and Society", "id" : "ITEM-1", "issue" : "3", "issued" : { "date-parts" : [ [ "2001" ] ] }, "page" : "319-332", "title" : "Life and death in English nursing homes: sequestration or transition?", "type" : "article-journal", "volume" : "21" }, "uris" : [ "http://www.mendeley.com/documents/?uuid=e91a3139-2c26-4a74-9270-0d188dca7363" ] } ], "mendeley" : { "formattedCitation" : "&lt;sup&gt;7&lt;/sup&gt;", "plainTextFormattedCitation" : "7", "previouslyFormattedCitation" : "&lt;sup&gt;7&lt;/sup&gt;" }, "properties" : { "noteIndex" : 0 }, "schema" : "https://github.com/citation-style-language/schema/raw/master/csl-citation.json" }</w:instrText>
      </w:r>
      <w:r w:rsidR="009A4503">
        <w:rPr>
          <w:rFonts w:cs="Times New Roman"/>
          <w:sz w:val="22"/>
          <w:szCs w:val="22"/>
        </w:rPr>
        <w:fldChar w:fldCharType="separate"/>
      </w:r>
      <w:r w:rsidR="004662B4" w:rsidRPr="004662B4">
        <w:rPr>
          <w:rFonts w:cs="Times New Roman"/>
          <w:noProof/>
          <w:sz w:val="22"/>
          <w:szCs w:val="22"/>
          <w:vertAlign w:val="superscript"/>
        </w:rPr>
        <w:t>7</w:t>
      </w:r>
      <w:proofErr w:type="spellEnd"/>
      <w:r w:rsidR="009A4503">
        <w:rPr>
          <w:rFonts w:cs="Times New Roman"/>
          <w:sz w:val="22"/>
          <w:szCs w:val="22"/>
        </w:rPr>
        <w:fldChar w:fldCharType="end"/>
      </w:r>
      <w:r w:rsidR="003C0C7B" w:rsidRPr="00875ED5">
        <w:rPr>
          <w:rFonts w:cs="Times New Roman"/>
          <w:sz w:val="22"/>
          <w:szCs w:val="22"/>
        </w:rPr>
        <w:t xml:space="preserve"> </w:t>
      </w:r>
      <w:r w:rsidR="00C12FB7" w:rsidRPr="00875ED5">
        <w:rPr>
          <w:rFonts w:cs="Times New Roman"/>
          <w:sz w:val="22"/>
          <w:szCs w:val="22"/>
        </w:rPr>
        <w:t>In many of these</w:t>
      </w:r>
      <w:r w:rsidR="002664F2">
        <w:rPr>
          <w:rFonts w:cs="Times New Roman"/>
          <w:sz w:val="22"/>
          <w:szCs w:val="22"/>
        </w:rPr>
        <w:t xml:space="preserve"> studies</w:t>
      </w:r>
      <w:r w:rsidR="00C12FB7" w:rsidRPr="00875ED5">
        <w:rPr>
          <w:rFonts w:cs="Times New Roman"/>
          <w:sz w:val="22"/>
          <w:szCs w:val="22"/>
        </w:rPr>
        <w:t xml:space="preserve">, social death </w:t>
      </w:r>
      <w:r w:rsidR="00984510">
        <w:rPr>
          <w:rFonts w:cs="Times New Roman"/>
          <w:sz w:val="22"/>
          <w:szCs w:val="22"/>
        </w:rPr>
        <w:t xml:space="preserve">involves the loss of identity and personal agency. </w:t>
      </w:r>
      <w:r w:rsidR="002664F2">
        <w:rPr>
          <w:rFonts w:cs="Times New Roman"/>
          <w:sz w:val="22"/>
          <w:szCs w:val="22"/>
        </w:rPr>
        <w:t>Here</w:t>
      </w:r>
      <w:r w:rsidR="0080478A">
        <w:rPr>
          <w:rFonts w:cs="Times New Roman"/>
          <w:sz w:val="22"/>
          <w:szCs w:val="22"/>
        </w:rPr>
        <w:t>, a</w:t>
      </w:r>
      <w:r w:rsidR="00C55C65">
        <w:rPr>
          <w:rFonts w:cs="Times New Roman"/>
          <w:sz w:val="22"/>
          <w:szCs w:val="22"/>
        </w:rPr>
        <w:t>gency is the ability to act ind</w:t>
      </w:r>
      <w:r w:rsidR="00326EA1">
        <w:rPr>
          <w:rFonts w:cs="Times New Roman"/>
          <w:sz w:val="22"/>
          <w:szCs w:val="22"/>
        </w:rPr>
        <w:t>ependently</w:t>
      </w:r>
      <w:r w:rsidR="00C55C65">
        <w:rPr>
          <w:rFonts w:cs="Times New Roman"/>
          <w:sz w:val="22"/>
          <w:szCs w:val="22"/>
        </w:rPr>
        <w:t xml:space="preserve"> </w:t>
      </w:r>
      <w:r w:rsidR="00326EA1">
        <w:rPr>
          <w:rFonts w:cs="Times New Roman"/>
          <w:sz w:val="22"/>
          <w:szCs w:val="22"/>
        </w:rPr>
        <w:t>and to influence the outside world or others, or to resist interventions by others. These losses</w:t>
      </w:r>
      <w:r w:rsidR="00680D76">
        <w:rPr>
          <w:rFonts w:cs="Times New Roman"/>
          <w:sz w:val="22"/>
          <w:szCs w:val="22"/>
        </w:rPr>
        <w:t>,</w:t>
      </w:r>
      <w:r w:rsidR="00326EA1">
        <w:rPr>
          <w:rFonts w:cs="Times New Roman"/>
          <w:sz w:val="22"/>
          <w:szCs w:val="22"/>
        </w:rPr>
        <w:t xml:space="preserve"> and </w:t>
      </w:r>
      <w:r w:rsidR="00984510">
        <w:rPr>
          <w:rFonts w:cs="Times New Roman"/>
          <w:sz w:val="22"/>
          <w:szCs w:val="22"/>
        </w:rPr>
        <w:t xml:space="preserve">associated </w:t>
      </w:r>
      <w:r w:rsidR="00326EA1">
        <w:rPr>
          <w:rFonts w:cs="Times New Roman"/>
          <w:sz w:val="22"/>
          <w:szCs w:val="22"/>
        </w:rPr>
        <w:t>social death</w:t>
      </w:r>
      <w:r w:rsidR="00680D76">
        <w:rPr>
          <w:rFonts w:cs="Times New Roman"/>
          <w:sz w:val="22"/>
          <w:szCs w:val="22"/>
        </w:rPr>
        <w:t>,</w:t>
      </w:r>
      <w:r w:rsidR="00326EA1">
        <w:rPr>
          <w:rFonts w:cs="Times New Roman"/>
          <w:sz w:val="22"/>
          <w:szCs w:val="22"/>
        </w:rPr>
        <w:t xml:space="preserve"> can be upsetting and painful for all involved</w:t>
      </w:r>
      <w:r w:rsidR="002664F2">
        <w:rPr>
          <w:rFonts w:cs="Times New Roman"/>
          <w:sz w:val="22"/>
          <w:szCs w:val="22"/>
        </w:rPr>
        <w:t xml:space="preserve">, including </w:t>
      </w:r>
      <w:r w:rsidR="00326EA1">
        <w:rPr>
          <w:rFonts w:cs="Times New Roman"/>
          <w:sz w:val="22"/>
          <w:szCs w:val="22"/>
        </w:rPr>
        <w:t xml:space="preserve">the family and caregivers who witness and may </w:t>
      </w:r>
      <w:r w:rsidR="002664F2">
        <w:rPr>
          <w:rFonts w:cs="Times New Roman"/>
          <w:sz w:val="22"/>
          <w:szCs w:val="22"/>
        </w:rPr>
        <w:t>contribute</w:t>
      </w:r>
      <w:r w:rsidR="00326EA1">
        <w:rPr>
          <w:rFonts w:cs="Times New Roman"/>
          <w:sz w:val="22"/>
          <w:szCs w:val="22"/>
        </w:rPr>
        <w:t xml:space="preserve"> </w:t>
      </w:r>
      <w:r w:rsidR="00F521F7">
        <w:rPr>
          <w:rFonts w:cs="Times New Roman"/>
          <w:sz w:val="22"/>
          <w:szCs w:val="22"/>
        </w:rPr>
        <w:t>to</w:t>
      </w:r>
      <w:r w:rsidR="00326EA1">
        <w:rPr>
          <w:rFonts w:cs="Times New Roman"/>
          <w:sz w:val="22"/>
          <w:szCs w:val="22"/>
        </w:rPr>
        <w:t xml:space="preserve"> this </w:t>
      </w:r>
      <w:proofErr w:type="spellStart"/>
      <w:r w:rsidR="00565E1A">
        <w:rPr>
          <w:rFonts w:cs="Times New Roman"/>
          <w:sz w:val="22"/>
          <w:szCs w:val="22"/>
        </w:rPr>
        <w:t>separation</w:t>
      </w:r>
      <w:r w:rsidR="00783BFA" w:rsidRPr="00875ED5">
        <w:rPr>
          <w:rFonts w:cs="Times New Roman"/>
          <w:sz w:val="22"/>
          <w:szCs w:val="22"/>
        </w:rPr>
        <w:t>.</w:t>
      </w:r>
      <w:r w:rsidR="00565E1A">
        <w:rPr>
          <w:rFonts w:cs="Times New Roman"/>
          <w:sz w:val="22"/>
          <w:szCs w:val="22"/>
        </w:rPr>
        <w:fldChar w:fldCharType="begin" w:fldLock="1"/>
      </w:r>
      <w:r w:rsidR="00BC0421">
        <w:rPr>
          <w:rFonts w:cs="Times New Roman"/>
          <w:sz w:val="22"/>
          <w:szCs w:val="22"/>
        </w:rPr>
        <w:instrText>ADDIN CSL_CITATION { "citationItems" : [ { "id" : "ITEM-1", "itemData" : { "ISBN" : "0470518588", "abstract" : "This evidence-based text brings together the theory and practice of palliative care. It examines at all aspects of palliative care i.e. psycho social, spiritual and physical in a highly practical way. The evidence base for cancer care has been developed within the Hospice Movement over the past 50 years and, in the main, it transfers across to patients dying of diseases other than cancer. The book addresses the palliative needs of any patient with any disease in any care setting, which gives it a generic approach. This is in line with current government directives. Contributions to care and treatment are considered in a multidisciplinary and complementary way.", "author" : [ { "dropping-particle" : "", "family" : "Buckley", "given" : "Jenny", "non-dropping-particle" : "", "parse-names" : false, "suffix" : "" } ], "id" : "ITEM-1", "issued" : { "date-parts" : [ [ "2008" ] ] }, "number-of-pages" : "348", "publisher" : "John Wiley &amp; Sons", "publisher-place" : "Hoboken, New Jersey", "title" : "Palliative Care: An Integrated Approach", "type" : "book" }, "uris" : [ "http://www.mendeley.com/documents/?uuid=8c095d67-8a41-4920-9977-2bdc482f962b" ] } ], "mendeley" : { "formattedCitation" : "&lt;sup&gt;8&lt;/sup&gt;", "plainTextFormattedCitation" : "8", "previouslyFormattedCitation" : "&lt;sup&gt;8&lt;/sup&gt;" }, "properties" : { "noteIndex" : 0 }, "schema" : "https://github.com/citation-style-language/schema/raw/master/csl-citation.json" }</w:instrText>
      </w:r>
      <w:r w:rsidR="00565E1A">
        <w:rPr>
          <w:rFonts w:cs="Times New Roman"/>
          <w:sz w:val="22"/>
          <w:szCs w:val="22"/>
        </w:rPr>
        <w:fldChar w:fldCharType="separate"/>
      </w:r>
      <w:r w:rsidR="004662B4" w:rsidRPr="004662B4">
        <w:rPr>
          <w:rFonts w:cs="Times New Roman"/>
          <w:noProof/>
          <w:sz w:val="22"/>
          <w:szCs w:val="22"/>
          <w:vertAlign w:val="superscript"/>
        </w:rPr>
        <w:t>8</w:t>
      </w:r>
      <w:proofErr w:type="spellEnd"/>
      <w:r w:rsidR="00565E1A">
        <w:rPr>
          <w:rFonts w:cs="Times New Roman"/>
          <w:sz w:val="22"/>
          <w:szCs w:val="22"/>
        </w:rPr>
        <w:fldChar w:fldCharType="end"/>
      </w:r>
      <w:r w:rsidR="00783BFA" w:rsidRPr="00875ED5">
        <w:rPr>
          <w:rFonts w:cs="Times New Roman"/>
          <w:sz w:val="22"/>
          <w:szCs w:val="22"/>
        </w:rPr>
        <w:t xml:space="preserve"> </w:t>
      </w:r>
    </w:p>
    <w:p w14:paraId="4F4C2AE1" w14:textId="77777777" w:rsidR="00326EA1" w:rsidRDefault="00326EA1" w:rsidP="008877D8">
      <w:pPr>
        <w:spacing w:line="276" w:lineRule="auto"/>
        <w:contextualSpacing/>
        <w:rPr>
          <w:rFonts w:cs="Times New Roman"/>
          <w:sz w:val="22"/>
          <w:szCs w:val="22"/>
        </w:rPr>
      </w:pPr>
    </w:p>
    <w:p w14:paraId="3BB86007" w14:textId="0F12A420" w:rsidR="00326EA1" w:rsidRPr="00875ED5" w:rsidRDefault="00326EA1" w:rsidP="00326EA1">
      <w:pPr>
        <w:spacing w:line="276" w:lineRule="auto"/>
        <w:contextualSpacing/>
        <w:rPr>
          <w:rFonts w:cs="Times New Roman"/>
          <w:sz w:val="22"/>
          <w:szCs w:val="22"/>
        </w:rPr>
      </w:pPr>
      <w:proofErr w:type="spellStart"/>
      <w:r w:rsidRPr="00875ED5">
        <w:rPr>
          <w:rFonts w:cs="Times New Roman"/>
          <w:sz w:val="22"/>
          <w:szCs w:val="22"/>
        </w:rPr>
        <w:t>Sudnow</w:t>
      </w:r>
      <w:proofErr w:type="spellEnd"/>
      <w:r w:rsidRPr="00875ED5">
        <w:rPr>
          <w:rFonts w:cs="Times New Roman"/>
          <w:sz w:val="22"/>
          <w:szCs w:val="22"/>
        </w:rPr>
        <w:t xml:space="preserve"> defined social death as </w:t>
      </w:r>
      <w:r w:rsidR="00984510">
        <w:rPr>
          <w:rFonts w:cs="Times New Roman"/>
          <w:sz w:val="22"/>
          <w:szCs w:val="22"/>
        </w:rPr>
        <w:t>treating the patient as a corpse</w:t>
      </w:r>
      <w:r w:rsidR="00D05C66">
        <w:rPr>
          <w:rFonts w:cs="Times New Roman"/>
          <w:sz w:val="22"/>
          <w:szCs w:val="22"/>
        </w:rPr>
        <w:t>,</w:t>
      </w:r>
      <w:r w:rsidR="00984510">
        <w:rPr>
          <w:rFonts w:cs="Times New Roman"/>
          <w:sz w:val="22"/>
          <w:szCs w:val="22"/>
        </w:rPr>
        <w:t xml:space="preserve"> </w:t>
      </w:r>
      <w:r w:rsidRPr="00875ED5">
        <w:rPr>
          <w:rFonts w:cs="Times New Roman"/>
          <w:sz w:val="22"/>
          <w:szCs w:val="22"/>
        </w:rPr>
        <w:t xml:space="preserve">although </w:t>
      </w:r>
      <w:r w:rsidR="00F521F7">
        <w:rPr>
          <w:rFonts w:cs="Times New Roman"/>
          <w:sz w:val="22"/>
          <w:szCs w:val="22"/>
        </w:rPr>
        <w:t>their</w:t>
      </w:r>
      <w:r w:rsidRPr="00875ED5">
        <w:rPr>
          <w:rFonts w:cs="Times New Roman"/>
          <w:sz w:val="22"/>
          <w:szCs w:val="22"/>
        </w:rPr>
        <w:t xml:space="preserve"> body may still be physiologically </w:t>
      </w:r>
      <w:proofErr w:type="spellStart"/>
      <w:r w:rsidRPr="00875ED5">
        <w:rPr>
          <w:rFonts w:cs="Times New Roman"/>
          <w:sz w:val="22"/>
          <w:szCs w:val="22"/>
        </w:rPr>
        <w:t>functioning.</w:t>
      </w:r>
      <w:r>
        <w:rPr>
          <w:rFonts w:cs="Times New Roman"/>
          <w:sz w:val="22"/>
          <w:szCs w:val="22"/>
        </w:rPr>
        <w:fldChar w:fldCharType="begin" w:fldLock="1"/>
      </w:r>
      <w:r w:rsidR="00BC0421">
        <w:rPr>
          <w:rFonts w:cs="Times New Roman"/>
          <w:sz w:val="22"/>
          <w:szCs w:val="22"/>
        </w:rPr>
        <w:instrText>ADDIN CSL_CITATION { "citationItems" : [ { "id" : "ITEM-1", "itemData" : { "author" : [ { "dropping-particle" : "", "family" : "Sudnow", "given" : "D", "non-dropping-particle" : "", "parse-names" : false, "suffix" : "" } ], "id" : "ITEM-1", "issued" : { "date-parts" : [ [ "1967" ] ] }, "publisher" : "Prentice-Hall", "publisher-place" : "Upper Saddle River, NJ", "title" : "Passing On: The Social Organization of Dying", "type" : "book" }, "uris" : [ "http://www.mendeley.com/documents/?uuid=7c4dac86-a852-4338-8e56-ce011581d6d5" ] } ], "mendeley" : { "formattedCitation" : "&lt;sup&gt;9&lt;/sup&gt;", "plainTextFormattedCitation" : "9", "previouslyFormattedCitation" : "&lt;sup&gt;9&lt;/sup&gt;" }, "properties" : { "noteIndex" : 0 }, "schema" : "https://github.com/citation-style-language/schema/raw/master/csl-citation.json" }</w:instrText>
      </w:r>
      <w:r>
        <w:rPr>
          <w:rFonts w:cs="Times New Roman"/>
          <w:sz w:val="22"/>
          <w:szCs w:val="22"/>
        </w:rPr>
        <w:fldChar w:fldCharType="separate"/>
      </w:r>
      <w:r w:rsidR="004662B4" w:rsidRPr="004662B4">
        <w:rPr>
          <w:rFonts w:cs="Times New Roman"/>
          <w:noProof/>
          <w:sz w:val="22"/>
          <w:szCs w:val="22"/>
          <w:vertAlign w:val="superscript"/>
        </w:rPr>
        <w:t>9</w:t>
      </w:r>
      <w:proofErr w:type="spellEnd"/>
      <w:r>
        <w:rPr>
          <w:rFonts w:cs="Times New Roman"/>
          <w:sz w:val="22"/>
          <w:szCs w:val="22"/>
        </w:rPr>
        <w:fldChar w:fldCharType="end"/>
      </w:r>
      <w:r w:rsidRPr="00875ED5">
        <w:rPr>
          <w:rFonts w:cs="Times New Roman"/>
          <w:sz w:val="22"/>
          <w:szCs w:val="22"/>
        </w:rPr>
        <w:t xml:space="preserve"> </w:t>
      </w:r>
      <w:r w:rsidR="00D05C66">
        <w:rPr>
          <w:rFonts w:cs="Times New Roman"/>
          <w:sz w:val="22"/>
          <w:szCs w:val="22"/>
        </w:rPr>
        <w:t xml:space="preserve">His analysis is based on observations of the </w:t>
      </w:r>
      <w:r w:rsidR="00D05C66" w:rsidRPr="00875ED5">
        <w:rPr>
          <w:rFonts w:cs="Times New Roman"/>
          <w:sz w:val="22"/>
          <w:szCs w:val="22"/>
        </w:rPr>
        <w:t>phasing out of the at</w:t>
      </w:r>
      <w:r w:rsidR="00D05C66">
        <w:rPr>
          <w:rFonts w:cs="Times New Roman"/>
          <w:sz w:val="22"/>
          <w:szCs w:val="22"/>
        </w:rPr>
        <w:t xml:space="preserve">tention given to dying patients. This occurred when healthcare professional’s perceived the patient to have less social viability, and pre-empted the patient’s death. </w:t>
      </w:r>
      <w:r w:rsidR="00D05C66" w:rsidRPr="00875ED5">
        <w:rPr>
          <w:rFonts w:cs="Times New Roman"/>
          <w:sz w:val="22"/>
          <w:szCs w:val="22"/>
        </w:rPr>
        <w:t>F</w:t>
      </w:r>
      <w:r w:rsidR="00D05C66">
        <w:rPr>
          <w:rFonts w:cs="Times New Roman"/>
          <w:sz w:val="22"/>
          <w:szCs w:val="22"/>
        </w:rPr>
        <w:t xml:space="preserve">or example, </w:t>
      </w:r>
      <w:r w:rsidR="00D05C66" w:rsidRPr="00875ED5">
        <w:rPr>
          <w:rFonts w:cs="Times New Roman"/>
          <w:sz w:val="22"/>
          <w:szCs w:val="22"/>
        </w:rPr>
        <w:t>autopsy permits were filed and obtained from relatives before</w:t>
      </w:r>
      <w:r w:rsidR="00D05C66">
        <w:rPr>
          <w:rFonts w:cs="Times New Roman"/>
          <w:sz w:val="22"/>
          <w:szCs w:val="22"/>
        </w:rPr>
        <w:t xml:space="preserve"> elderly patients died</w:t>
      </w:r>
      <w:r w:rsidR="00D05C66" w:rsidRPr="00875ED5">
        <w:rPr>
          <w:rFonts w:cs="Times New Roman"/>
          <w:sz w:val="22"/>
          <w:szCs w:val="22"/>
        </w:rPr>
        <w:t xml:space="preserve">. </w:t>
      </w:r>
      <w:r w:rsidR="00C95A40">
        <w:rPr>
          <w:rFonts w:cs="Times New Roman"/>
          <w:sz w:val="22"/>
          <w:szCs w:val="22"/>
        </w:rPr>
        <w:t xml:space="preserve">For </w:t>
      </w:r>
      <w:proofErr w:type="spellStart"/>
      <w:r w:rsidR="00C95A40">
        <w:rPr>
          <w:rFonts w:cs="Times New Roman"/>
          <w:sz w:val="22"/>
          <w:szCs w:val="22"/>
        </w:rPr>
        <w:t>Sudnow</w:t>
      </w:r>
      <w:proofErr w:type="spellEnd"/>
      <w:r w:rsidR="00C95A40">
        <w:rPr>
          <w:rFonts w:cs="Times New Roman"/>
          <w:sz w:val="22"/>
          <w:szCs w:val="22"/>
        </w:rPr>
        <w:t>, social death</w:t>
      </w:r>
      <w:r w:rsidR="00C95A40" w:rsidRPr="00875ED5">
        <w:rPr>
          <w:rFonts w:cs="Times New Roman"/>
          <w:sz w:val="22"/>
          <w:szCs w:val="22"/>
        </w:rPr>
        <w:t xml:space="preserve"> is not just about an asocia</w:t>
      </w:r>
      <w:r w:rsidR="00F521F7">
        <w:rPr>
          <w:rFonts w:cs="Times New Roman"/>
          <w:sz w:val="22"/>
          <w:szCs w:val="22"/>
        </w:rPr>
        <w:t xml:space="preserve">l treatment of the person per se. It is also about </w:t>
      </w:r>
      <w:r w:rsidR="00C95A40" w:rsidRPr="00875ED5">
        <w:rPr>
          <w:rFonts w:cs="Times New Roman"/>
          <w:sz w:val="22"/>
          <w:szCs w:val="22"/>
        </w:rPr>
        <w:t xml:space="preserve">the increasing importance of </w:t>
      </w:r>
      <w:r w:rsidR="00C95A40" w:rsidRPr="00DF7BDF">
        <w:rPr>
          <w:rFonts w:cs="Times New Roman"/>
          <w:sz w:val="22"/>
          <w:szCs w:val="22"/>
        </w:rPr>
        <w:t>the body</w:t>
      </w:r>
      <w:r w:rsidR="00C95A40" w:rsidRPr="00875ED5">
        <w:rPr>
          <w:rFonts w:cs="Times New Roman"/>
          <w:sz w:val="22"/>
          <w:szCs w:val="22"/>
        </w:rPr>
        <w:t xml:space="preserve"> as the focal object in how the patient is discussed and how the dying process is managed. </w:t>
      </w:r>
      <w:r w:rsidR="00F521F7">
        <w:rPr>
          <w:rFonts w:cs="Times New Roman"/>
          <w:sz w:val="22"/>
          <w:szCs w:val="22"/>
        </w:rPr>
        <w:t>His work</w:t>
      </w:r>
      <w:r w:rsidR="00C95A40" w:rsidRPr="00875ED5">
        <w:rPr>
          <w:rFonts w:cs="Times New Roman"/>
          <w:sz w:val="22"/>
          <w:szCs w:val="22"/>
        </w:rPr>
        <w:t xml:space="preserve"> outline</w:t>
      </w:r>
      <w:r w:rsidR="00F521F7">
        <w:rPr>
          <w:rFonts w:cs="Times New Roman"/>
          <w:sz w:val="22"/>
          <w:szCs w:val="22"/>
        </w:rPr>
        <w:t>s</w:t>
      </w:r>
      <w:r w:rsidR="00C95A40" w:rsidRPr="00875ED5">
        <w:rPr>
          <w:rFonts w:cs="Times New Roman"/>
          <w:sz w:val="22"/>
          <w:szCs w:val="22"/>
        </w:rPr>
        <w:t xml:space="preserve"> the practices</w:t>
      </w:r>
      <w:r w:rsidR="002664F2">
        <w:rPr>
          <w:rFonts w:cs="Times New Roman"/>
          <w:sz w:val="22"/>
          <w:szCs w:val="22"/>
        </w:rPr>
        <w:t xml:space="preserve"> </w:t>
      </w:r>
      <w:r w:rsidR="00C95A40" w:rsidRPr="00875ED5">
        <w:rPr>
          <w:rFonts w:cs="Times New Roman"/>
          <w:sz w:val="22"/>
          <w:szCs w:val="22"/>
        </w:rPr>
        <w:t xml:space="preserve">that mark how socially relative attributes of the person ceased to be operative in </w:t>
      </w:r>
      <w:r w:rsidR="00D05C66">
        <w:rPr>
          <w:rFonts w:cs="Times New Roman"/>
          <w:sz w:val="22"/>
          <w:szCs w:val="22"/>
        </w:rPr>
        <w:t>how</w:t>
      </w:r>
      <w:r w:rsidR="00C95A40">
        <w:rPr>
          <w:rFonts w:cs="Times New Roman"/>
          <w:sz w:val="22"/>
          <w:szCs w:val="22"/>
        </w:rPr>
        <w:t xml:space="preserve"> professionals</w:t>
      </w:r>
      <w:r w:rsidR="00C95A40" w:rsidRPr="00875ED5">
        <w:rPr>
          <w:rFonts w:cs="Times New Roman"/>
          <w:sz w:val="22"/>
          <w:szCs w:val="22"/>
        </w:rPr>
        <w:t xml:space="preserve"> interacted with patients. </w:t>
      </w:r>
    </w:p>
    <w:p w14:paraId="2017AE9E" w14:textId="77777777" w:rsidR="00C95A40" w:rsidRDefault="00C95A40" w:rsidP="008877D8">
      <w:pPr>
        <w:spacing w:line="276" w:lineRule="auto"/>
        <w:contextualSpacing/>
        <w:rPr>
          <w:rFonts w:cs="Times New Roman"/>
          <w:sz w:val="22"/>
          <w:szCs w:val="22"/>
        </w:rPr>
      </w:pPr>
    </w:p>
    <w:p w14:paraId="360341D5" w14:textId="7DD73FCC" w:rsidR="0043132D" w:rsidRPr="00875ED5" w:rsidRDefault="0043132D" w:rsidP="008877D8">
      <w:pPr>
        <w:spacing w:line="276" w:lineRule="auto"/>
        <w:contextualSpacing/>
        <w:rPr>
          <w:rFonts w:cs="Times New Roman"/>
          <w:sz w:val="22"/>
          <w:szCs w:val="22"/>
        </w:rPr>
      </w:pPr>
      <w:r w:rsidRPr="00875ED5">
        <w:rPr>
          <w:rFonts w:cs="Times New Roman"/>
          <w:sz w:val="22"/>
          <w:szCs w:val="22"/>
        </w:rPr>
        <w:t xml:space="preserve">Lock suggests that the risk of experiencing social death before physical death is that </w:t>
      </w:r>
      <w:r w:rsidR="00D05C66">
        <w:rPr>
          <w:rFonts w:cs="Times New Roman"/>
          <w:sz w:val="22"/>
          <w:szCs w:val="22"/>
        </w:rPr>
        <w:t>someone</w:t>
      </w:r>
      <w:r w:rsidRPr="00875ED5">
        <w:rPr>
          <w:rFonts w:cs="Times New Roman"/>
          <w:sz w:val="22"/>
          <w:szCs w:val="22"/>
        </w:rPr>
        <w:t xml:space="preserve"> may </w:t>
      </w:r>
      <w:r w:rsidR="000615AE">
        <w:rPr>
          <w:rFonts w:cs="Times New Roman"/>
          <w:sz w:val="22"/>
          <w:szCs w:val="22"/>
        </w:rPr>
        <w:t>undergo</w:t>
      </w:r>
      <w:r w:rsidR="000615AE" w:rsidRPr="00875ED5">
        <w:rPr>
          <w:rFonts w:cs="Times New Roman"/>
          <w:sz w:val="22"/>
          <w:szCs w:val="22"/>
        </w:rPr>
        <w:t xml:space="preserve"> </w:t>
      </w:r>
      <w:r w:rsidRPr="00875ED5">
        <w:rPr>
          <w:rFonts w:cs="Times New Roman"/>
          <w:sz w:val="22"/>
          <w:szCs w:val="22"/>
        </w:rPr>
        <w:t xml:space="preserve">a loss of moral </w:t>
      </w:r>
      <w:proofErr w:type="spellStart"/>
      <w:r w:rsidRPr="00875ED5">
        <w:rPr>
          <w:rFonts w:cs="Times New Roman"/>
          <w:sz w:val="22"/>
          <w:szCs w:val="22"/>
        </w:rPr>
        <w:t>entitlement.</w:t>
      </w:r>
      <w:r w:rsidR="00565E1A">
        <w:rPr>
          <w:rFonts w:cs="Times New Roman"/>
          <w:sz w:val="22"/>
          <w:szCs w:val="22"/>
        </w:rPr>
        <w:fldChar w:fldCharType="begin" w:fldLock="1"/>
      </w:r>
      <w:r w:rsidR="00BC0421">
        <w:rPr>
          <w:rFonts w:cs="Times New Roman"/>
          <w:sz w:val="22"/>
          <w:szCs w:val="22"/>
        </w:rPr>
        <w:instrText>ADDIN CSL_CITATION { "citationItems" : [ { "id" : "ITEM-1", "itemData" : { "author" : [ { "dropping-particle" : "", "family" : "Lock", "given" : "M", "non-dropping-particle" : "", "parse-names" : false, "suffix" : "" } ], "id" : "ITEM-1", "issued" : { "date-parts" : [ [ "2002" ] ] }, "publisher" : "University of California Press", "publisher-place" : "Berkeley", "title" : "Twice Dead: Organ Transplants and the Reinvention of Death", "type" : "book" }, "uris" : [ "http://www.mendeley.com/documents/?uuid=1ba52e3d-5296-450d-b46b-3120cdac6c85" ] } ], "mendeley" : { "formattedCitation" : "&lt;sup&gt;10&lt;/sup&gt;", "plainTextFormattedCitation" : "10", "previouslyFormattedCitation" : "&lt;sup&gt;10&lt;/sup&gt;" }, "properties" : { "noteIndex" : 0 }, "schema" : "https://github.com/citation-style-language/schema/raw/master/csl-citation.json" }</w:instrText>
      </w:r>
      <w:r w:rsidR="00565E1A">
        <w:rPr>
          <w:rFonts w:cs="Times New Roman"/>
          <w:sz w:val="22"/>
          <w:szCs w:val="22"/>
        </w:rPr>
        <w:fldChar w:fldCharType="separate"/>
      </w:r>
      <w:r w:rsidR="004662B4" w:rsidRPr="004662B4">
        <w:rPr>
          <w:rFonts w:cs="Times New Roman"/>
          <w:noProof/>
          <w:sz w:val="22"/>
          <w:szCs w:val="22"/>
          <w:vertAlign w:val="superscript"/>
        </w:rPr>
        <w:t>10</w:t>
      </w:r>
      <w:proofErr w:type="spellEnd"/>
      <w:r w:rsidR="00565E1A">
        <w:rPr>
          <w:rFonts w:cs="Times New Roman"/>
          <w:sz w:val="22"/>
          <w:szCs w:val="22"/>
        </w:rPr>
        <w:fldChar w:fldCharType="end"/>
      </w:r>
      <w:r w:rsidRPr="00875ED5">
        <w:rPr>
          <w:rFonts w:cs="Times New Roman"/>
          <w:sz w:val="22"/>
          <w:szCs w:val="22"/>
        </w:rPr>
        <w:t xml:space="preserve"> </w:t>
      </w:r>
      <w:r w:rsidR="00984510">
        <w:rPr>
          <w:rFonts w:cs="Times New Roman"/>
          <w:sz w:val="22"/>
          <w:szCs w:val="22"/>
        </w:rPr>
        <w:t xml:space="preserve">This </w:t>
      </w:r>
      <w:r w:rsidR="00801569">
        <w:rPr>
          <w:rFonts w:cs="Times New Roman"/>
          <w:sz w:val="22"/>
          <w:szCs w:val="22"/>
        </w:rPr>
        <w:t>concern was formulated during</w:t>
      </w:r>
      <w:r w:rsidR="00984510">
        <w:rPr>
          <w:rFonts w:cs="Times New Roman"/>
          <w:sz w:val="22"/>
          <w:szCs w:val="22"/>
        </w:rPr>
        <w:t xml:space="preserve"> her work about brain death </w:t>
      </w:r>
      <w:r w:rsidR="006D2696">
        <w:rPr>
          <w:rFonts w:cs="Times New Roman"/>
          <w:sz w:val="22"/>
          <w:szCs w:val="22"/>
        </w:rPr>
        <w:t xml:space="preserve">and how people in various stages of unconsciousness may be treated as dead or alive in different cultures. A more commonplace example can be found in </w:t>
      </w:r>
      <w:r w:rsidR="008877D8">
        <w:rPr>
          <w:rFonts w:cs="Times New Roman"/>
          <w:sz w:val="22"/>
          <w:szCs w:val="22"/>
        </w:rPr>
        <w:t>cardiopulmonary resuscitation (CPR)</w:t>
      </w:r>
      <w:r w:rsidR="00801569">
        <w:rPr>
          <w:rFonts w:cs="Times New Roman"/>
          <w:sz w:val="22"/>
          <w:szCs w:val="22"/>
        </w:rPr>
        <w:t xml:space="preserve"> research</w:t>
      </w:r>
      <w:r w:rsidR="006D2696">
        <w:rPr>
          <w:rFonts w:cs="Times New Roman"/>
          <w:sz w:val="22"/>
          <w:szCs w:val="22"/>
        </w:rPr>
        <w:t>. Studies have</w:t>
      </w:r>
      <w:r w:rsidR="008877D8">
        <w:rPr>
          <w:rFonts w:cs="Times New Roman"/>
          <w:sz w:val="22"/>
          <w:szCs w:val="22"/>
        </w:rPr>
        <w:t xml:space="preserve"> </w:t>
      </w:r>
      <w:r w:rsidRPr="00875ED5">
        <w:rPr>
          <w:rFonts w:cs="Times New Roman"/>
          <w:sz w:val="22"/>
          <w:szCs w:val="22"/>
        </w:rPr>
        <w:t>demonstrate</w:t>
      </w:r>
      <w:r w:rsidR="006D2696">
        <w:rPr>
          <w:rFonts w:cs="Times New Roman"/>
          <w:sz w:val="22"/>
          <w:szCs w:val="22"/>
        </w:rPr>
        <w:t>d</w:t>
      </w:r>
      <w:r w:rsidRPr="00875ED5">
        <w:rPr>
          <w:rFonts w:cs="Times New Roman"/>
          <w:sz w:val="22"/>
          <w:szCs w:val="22"/>
        </w:rPr>
        <w:t xml:space="preserve"> the ways in the perceived social value of a patient influences </w:t>
      </w:r>
      <w:r w:rsidR="00565E1A" w:rsidRPr="00875ED5">
        <w:rPr>
          <w:rFonts w:cs="Times New Roman"/>
          <w:sz w:val="22"/>
          <w:szCs w:val="22"/>
        </w:rPr>
        <w:t>clinician’s</w:t>
      </w:r>
      <w:r w:rsidRPr="00875ED5">
        <w:rPr>
          <w:rFonts w:cs="Times New Roman"/>
          <w:sz w:val="22"/>
          <w:szCs w:val="22"/>
        </w:rPr>
        <w:t xml:space="preserve"> deci</w:t>
      </w:r>
      <w:r w:rsidR="008877D8">
        <w:rPr>
          <w:rFonts w:cs="Times New Roman"/>
          <w:sz w:val="22"/>
          <w:szCs w:val="22"/>
        </w:rPr>
        <w:t>sions to resuscitate, regardless</w:t>
      </w:r>
      <w:r w:rsidRPr="00875ED5">
        <w:rPr>
          <w:rFonts w:cs="Times New Roman"/>
          <w:sz w:val="22"/>
          <w:szCs w:val="22"/>
        </w:rPr>
        <w:t xml:space="preserve"> of </w:t>
      </w:r>
      <w:r w:rsidR="008877D8">
        <w:rPr>
          <w:rFonts w:cs="Times New Roman"/>
          <w:sz w:val="22"/>
          <w:szCs w:val="22"/>
        </w:rPr>
        <w:t xml:space="preserve">the patient’s likely </w:t>
      </w:r>
      <w:r w:rsidRPr="00875ED5">
        <w:rPr>
          <w:rFonts w:cs="Times New Roman"/>
          <w:sz w:val="22"/>
          <w:szCs w:val="22"/>
        </w:rPr>
        <w:t xml:space="preserve">survivability of the </w:t>
      </w:r>
      <w:proofErr w:type="spellStart"/>
      <w:r w:rsidR="00565E1A">
        <w:rPr>
          <w:rFonts w:cs="Times New Roman"/>
          <w:sz w:val="22"/>
          <w:szCs w:val="22"/>
        </w:rPr>
        <w:t>intervention</w:t>
      </w:r>
      <w:r w:rsidRPr="00875ED5">
        <w:rPr>
          <w:rFonts w:cs="Times New Roman"/>
          <w:sz w:val="22"/>
          <w:szCs w:val="22"/>
        </w:rPr>
        <w:t>.</w:t>
      </w:r>
      <w:r w:rsidR="00565E1A">
        <w:rPr>
          <w:rFonts w:cs="Times New Roman"/>
          <w:sz w:val="22"/>
          <w:szCs w:val="22"/>
        </w:rPr>
        <w:fldChar w:fldCharType="begin" w:fldLock="1"/>
      </w:r>
      <w:r w:rsidR="00BC0421">
        <w:rPr>
          <w:rFonts w:cs="Times New Roman"/>
          <w:sz w:val="22"/>
          <w:szCs w:val="22"/>
        </w:rPr>
        <w:instrText>ADDIN CSL_CITATION { "citationItems" : [ { "id" : "ITEM-1", "itemData" : { "author" : [ { "dropping-particle" : "", "family" : "Timmermans", "given" : "Stefan", "non-dropping-particle" : "", "parse-names" : false, "suffix" : "" } ], "container-title" : "The Sociological Quarterly", "id" : "ITEM-1", "issue" : "3", "issued" : { "date-parts" : [ [ "1998" ] ] }, "page" : "453-472", "title" : "Social Death as Self-Fulfilling Prophecy: David Sudnow's \"Passing On\" Revisited", "type" : "article-journal", "volume" : "39" }, "uris" : [ "http://www.mendeley.com/documents/?uuid=348142d8-8146-4a35-8207-68be47d17943" ] } ], "mendeley" : { "formattedCitation" : "&lt;sup&gt;11&lt;/sup&gt;", "plainTextFormattedCitation" : "11", "previouslyFormattedCitation" : "&lt;sup&gt;11&lt;/sup&gt;" }, "properties" : { "noteIndex" : 0 }, "schema" : "https://github.com/citation-style-language/schema/raw/master/csl-citation.json" }</w:instrText>
      </w:r>
      <w:r w:rsidR="00565E1A">
        <w:rPr>
          <w:rFonts w:cs="Times New Roman"/>
          <w:sz w:val="22"/>
          <w:szCs w:val="22"/>
        </w:rPr>
        <w:fldChar w:fldCharType="separate"/>
      </w:r>
      <w:r w:rsidR="004662B4" w:rsidRPr="004662B4">
        <w:rPr>
          <w:rFonts w:cs="Times New Roman"/>
          <w:noProof/>
          <w:sz w:val="22"/>
          <w:szCs w:val="22"/>
          <w:vertAlign w:val="superscript"/>
        </w:rPr>
        <w:t>11</w:t>
      </w:r>
      <w:proofErr w:type="spellEnd"/>
      <w:r w:rsidR="00565E1A">
        <w:rPr>
          <w:rFonts w:cs="Times New Roman"/>
          <w:sz w:val="22"/>
          <w:szCs w:val="22"/>
        </w:rPr>
        <w:fldChar w:fldCharType="end"/>
      </w:r>
      <w:r w:rsidRPr="00875ED5">
        <w:rPr>
          <w:rFonts w:cs="Times New Roman"/>
          <w:sz w:val="22"/>
          <w:szCs w:val="22"/>
        </w:rPr>
        <w:t xml:space="preserve"> Therefore, a patient</w:t>
      </w:r>
      <w:r w:rsidR="008877D8">
        <w:rPr>
          <w:rFonts w:cs="Times New Roman"/>
          <w:sz w:val="22"/>
          <w:szCs w:val="22"/>
        </w:rPr>
        <w:t xml:space="preserve"> considered to be socially </w:t>
      </w:r>
      <w:r w:rsidR="00801569">
        <w:rPr>
          <w:rFonts w:cs="Times New Roman"/>
          <w:sz w:val="22"/>
          <w:szCs w:val="22"/>
        </w:rPr>
        <w:t>‘</w:t>
      </w:r>
      <w:r w:rsidR="002664F2">
        <w:rPr>
          <w:rFonts w:cs="Times New Roman"/>
          <w:sz w:val="22"/>
          <w:szCs w:val="22"/>
        </w:rPr>
        <w:t xml:space="preserve">as good as </w:t>
      </w:r>
      <w:r w:rsidR="008877D8">
        <w:rPr>
          <w:rFonts w:cs="Times New Roman"/>
          <w:sz w:val="22"/>
          <w:szCs w:val="22"/>
        </w:rPr>
        <w:t>dead</w:t>
      </w:r>
      <w:r w:rsidR="00801569">
        <w:rPr>
          <w:rFonts w:cs="Times New Roman"/>
          <w:sz w:val="22"/>
          <w:szCs w:val="22"/>
        </w:rPr>
        <w:t>’</w:t>
      </w:r>
      <w:r w:rsidRPr="00875ED5">
        <w:rPr>
          <w:rFonts w:cs="Times New Roman"/>
          <w:sz w:val="22"/>
          <w:szCs w:val="22"/>
        </w:rPr>
        <w:t xml:space="preserve"> is unlikely to receive the same treatment as a patient who is considered to still actively be part of other people’s lives and to have a </w:t>
      </w:r>
      <w:r w:rsidRPr="00875ED5">
        <w:rPr>
          <w:rFonts w:cs="Times New Roman"/>
          <w:sz w:val="22"/>
          <w:szCs w:val="22"/>
        </w:rPr>
        <w:lastRenderedPageBreak/>
        <w:t>viable social identity</w:t>
      </w:r>
      <w:r w:rsidR="002664F2">
        <w:rPr>
          <w:rFonts w:cs="Times New Roman"/>
          <w:sz w:val="22"/>
          <w:szCs w:val="22"/>
        </w:rPr>
        <w:t xml:space="preserve">. This is </w:t>
      </w:r>
      <w:r w:rsidRPr="00875ED5">
        <w:rPr>
          <w:rFonts w:cs="Times New Roman"/>
          <w:sz w:val="22"/>
          <w:szCs w:val="22"/>
        </w:rPr>
        <w:t>even if they have the same physical condition</w:t>
      </w:r>
      <w:r w:rsidR="008877D8">
        <w:rPr>
          <w:rFonts w:cs="Times New Roman"/>
          <w:sz w:val="22"/>
          <w:szCs w:val="22"/>
        </w:rPr>
        <w:t xml:space="preserve"> and likelihood to be</w:t>
      </w:r>
      <w:r w:rsidR="002664F2">
        <w:rPr>
          <w:rFonts w:cs="Times New Roman"/>
          <w:sz w:val="22"/>
          <w:szCs w:val="22"/>
        </w:rPr>
        <w:t xml:space="preserve"> successfully</w:t>
      </w:r>
      <w:r w:rsidR="008877D8">
        <w:rPr>
          <w:rFonts w:cs="Times New Roman"/>
          <w:sz w:val="22"/>
          <w:szCs w:val="22"/>
        </w:rPr>
        <w:t xml:space="preserve"> resuscitated</w:t>
      </w:r>
      <w:r w:rsidRPr="00875ED5">
        <w:rPr>
          <w:rFonts w:cs="Times New Roman"/>
          <w:sz w:val="22"/>
          <w:szCs w:val="22"/>
        </w:rPr>
        <w:t xml:space="preserve">. </w:t>
      </w:r>
      <w:r w:rsidR="008877D8">
        <w:rPr>
          <w:rFonts w:cs="Times New Roman"/>
          <w:sz w:val="22"/>
          <w:szCs w:val="22"/>
        </w:rPr>
        <w:t xml:space="preserve">Importantly, these differences </w:t>
      </w:r>
      <w:r w:rsidR="000615AE">
        <w:rPr>
          <w:rFonts w:cs="Times New Roman"/>
          <w:sz w:val="22"/>
          <w:szCs w:val="22"/>
        </w:rPr>
        <w:t>do</w:t>
      </w:r>
      <w:r w:rsidR="008877D8">
        <w:rPr>
          <w:rFonts w:cs="Times New Roman"/>
          <w:sz w:val="22"/>
          <w:szCs w:val="22"/>
        </w:rPr>
        <w:t xml:space="preserve"> not </w:t>
      </w:r>
      <w:r w:rsidR="006D2696">
        <w:rPr>
          <w:rFonts w:cs="Times New Roman"/>
          <w:sz w:val="22"/>
          <w:szCs w:val="22"/>
        </w:rPr>
        <w:t xml:space="preserve">necessarily </w:t>
      </w:r>
      <w:r w:rsidR="000615AE">
        <w:rPr>
          <w:rFonts w:cs="Times New Roman"/>
          <w:sz w:val="22"/>
          <w:szCs w:val="22"/>
        </w:rPr>
        <w:t xml:space="preserve">result from the ageism of </w:t>
      </w:r>
      <w:r w:rsidR="006D2696">
        <w:rPr>
          <w:rFonts w:cs="Times New Roman"/>
          <w:sz w:val="22"/>
          <w:szCs w:val="22"/>
        </w:rPr>
        <w:t>healthcare professionals</w:t>
      </w:r>
      <w:r w:rsidR="008877D8">
        <w:rPr>
          <w:rFonts w:cs="Times New Roman"/>
          <w:sz w:val="22"/>
          <w:szCs w:val="22"/>
        </w:rPr>
        <w:t>, for example, but because the</w:t>
      </w:r>
      <w:r w:rsidR="007B3B5F">
        <w:rPr>
          <w:rFonts w:cs="Times New Roman"/>
          <w:sz w:val="22"/>
          <w:szCs w:val="22"/>
        </w:rPr>
        <w:t>y</w:t>
      </w:r>
      <w:r w:rsidR="008877D8">
        <w:rPr>
          <w:rFonts w:cs="Times New Roman"/>
          <w:sz w:val="22"/>
          <w:szCs w:val="22"/>
        </w:rPr>
        <w:t xml:space="preserve"> work within systems that support such decisions. The concern then is th</w:t>
      </w:r>
      <w:r w:rsidR="007B3B5F">
        <w:rPr>
          <w:rFonts w:cs="Times New Roman"/>
          <w:sz w:val="22"/>
          <w:szCs w:val="22"/>
        </w:rPr>
        <w:t>at</w:t>
      </w:r>
      <w:r w:rsidR="008877D8">
        <w:rPr>
          <w:rFonts w:cs="Times New Roman"/>
          <w:sz w:val="22"/>
          <w:szCs w:val="22"/>
        </w:rPr>
        <w:t xml:space="preserve"> inequality can be perpetuated through perceiving patients as having experienced social death prior to physical death. </w:t>
      </w:r>
    </w:p>
    <w:p w14:paraId="6BAC4C56" w14:textId="77777777" w:rsidR="0043132D" w:rsidRPr="00875ED5" w:rsidRDefault="0043132D" w:rsidP="008877D8">
      <w:pPr>
        <w:spacing w:line="276" w:lineRule="auto"/>
        <w:contextualSpacing/>
        <w:rPr>
          <w:rFonts w:cs="Times New Roman"/>
          <w:sz w:val="22"/>
          <w:szCs w:val="22"/>
        </w:rPr>
      </w:pPr>
    </w:p>
    <w:p w14:paraId="480B883F" w14:textId="6C4AF05E" w:rsidR="003C0C7B" w:rsidRPr="00875ED5" w:rsidRDefault="008877D8" w:rsidP="008877D8">
      <w:pPr>
        <w:spacing w:line="276" w:lineRule="auto"/>
        <w:contextualSpacing/>
        <w:rPr>
          <w:rFonts w:cs="Times New Roman"/>
          <w:sz w:val="22"/>
          <w:szCs w:val="22"/>
        </w:rPr>
      </w:pPr>
      <w:r>
        <w:rPr>
          <w:rFonts w:cs="Times New Roman"/>
          <w:sz w:val="22"/>
          <w:szCs w:val="22"/>
        </w:rPr>
        <w:t xml:space="preserve">In the above examples, someone experiences social death based on the perceptions and actions of others that create and maintain </w:t>
      </w:r>
      <w:r w:rsidR="007B3B5F">
        <w:rPr>
          <w:rFonts w:cs="Times New Roman"/>
          <w:sz w:val="22"/>
          <w:szCs w:val="22"/>
        </w:rPr>
        <w:t>their</w:t>
      </w:r>
      <w:r>
        <w:rPr>
          <w:rFonts w:cs="Times New Roman"/>
          <w:sz w:val="22"/>
          <w:szCs w:val="22"/>
        </w:rPr>
        <w:t xml:space="preserve"> disconnection from social relationships and activities. However, s</w:t>
      </w:r>
      <w:r w:rsidR="008E6265" w:rsidRPr="00875ED5">
        <w:rPr>
          <w:rFonts w:cs="Times New Roman"/>
          <w:sz w:val="22"/>
          <w:szCs w:val="22"/>
        </w:rPr>
        <w:t xml:space="preserve">ocial death is not always the result of action by others. </w:t>
      </w:r>
      <w:r w:rsidR="00E34B8A" w:rsidRPr="00875ED5">
        <w:rPr>
          <w:rFonts w:cs="Times New Roman"/>
          <w:sz w:val="22"/>
          <w:szCs w:val="22"/>
        </w:rPr>
        <w:t xml:space="preserve">Lawton suggests that patients with terminal conditions in hospices may actively turn away from life, thereby choosing to have a </w:t>
      </w:r>
      <w:r w:rsidR="00376216" w:rsidRPr="00875ED5">
        <w:rPr>
          <w:rFonts w:cs="Times New Roman"/>
          <w:sz w:val="22"/>
          <w:szCs w:val="22"/>
        </w:rPr>
        <w:t xml:space="preserve">form of </w:t>
      </w:r>
      <w:r w:rsidR="00E34B8A" w:rsidRPr="00875ED5">
        <w:rPr>
          <w:rFonts w:cs="Times New Roman"/>
          <w:sz w:val="22"/>
          <w:szCs w:val="22"/>
        </w:rPr>
        <w:t>social death</w:t>
      </w:r>
      <w:r w:rsidR="00376216" w:rsidRPr="00875ED5">
        <w:rPr>
          <w:rFonts w:cs="Times New Roman"/>
          <w:sz w:val="22"/>
          <w:szCs w:val="22"/>
        </w:rPr>
        <w:t xml:space="preserve"> prior to their physical </w:t>
      </w:r>
      <w:proofErr w:type="spellStart"/>
      <w:r w:rsidR="00376216" w:rsidRPr="00875ED5">
        <w:rPr>
          <w:rFonts w:cs="Times New Roman"/>
          <w:sz w:val="22"/>
          <w:szCs w:val="22"/>
        </w:rPr>
        <w:t>death</w:t>
      </w:r>
      <w:r w:rsidR="00E34B8A" w:rsidRPr="00875ED5">
        <w:rPr>
          <w:rFonts w:cs="Times New Roman"/>
          <w:sz w:val="22"/>
          <w:szCs w:val="22"/>
        </w:rPr>
        <w:t>.</w:t>
      </w:r>
      <w:r w:rsidR="00565E1A">
        <w:rPr>
          <w:rFonts w:cs="Times New Roman"/>
          <w:sz w:val="22"/>
          <w:szCs w:val="22"/>
        </w:rPr>
        <w:fldChar w:fldCharType="begin" w:fldLock="1"/>
      </w:r>
      <w:r w:rsidR="00BC0421">
        <w:rPr>
          <w:rFonts w:cs="Times New Roman"/>
          <w:sz w:val="22"/>
          <w:szCs w:val="22"/>
        </w:rPr>
        <w:instrText>ADDIN CSL_CITATION { "citationItems" : [ { "id" : "ITEM-1", "itemData" : { "author" : [ { "dropping-particle" : "", "family" : "Lawton", "given" : "Julia", "non-dropping-particle" : "", "parse-names" : false, "suffix" : "" } ], "id" : "ITEM-1", "issued" : { "date-parts" : [ [ "2000" ] ] }, "publisher" : "Routledge", "publisher-place" : "London", "title" : "The Dying Process: Patients' experiences of palliative care", "type" : "book" }, "uris" : [ "http://www.mendeley.com/documents/?uuid=de519403-4a7f-42b3-880c-29905b1c77c4" ] } ], "mendeley" : { "formattedCitation" : "&lt;sup&gt;12&lt;/sup&gt;", "plainTextFormattedCitation" : "12", "previouslyFormattedCitation" : "&lt;sup&gt;12&lt;/sup&gt;" }, "properties" : { "noteIndex" : 0 }, "schema" : "https://github.com/citation-style-language/schema/raw/master/csl-citation.json" }</w:instrText>
      </w:r>
      <w:r w:rsidR="00565E1A">
        <w:rPr>
          <w:rFonts w:cs="Times New Roman"/>
          <w:sz w:val="22"/>
          <w:szCs w:val="22"/>
        </w:rPr>
        <w:fldChar w:fldCharType="separate"/>
      </w:r>
      <w:r w:rsidR="004662B4" w:rsidRPr="004662B4">
        <w:rPr>
          <w:rFonts w:cs="Times New Roman"/>
          <w:noProof/>
          <w:sz w:val="22"/>
          <w:szCs w:val="22"/>
          <w:vertAlign w:val="superscript"/>
        </w:rPr>
        <w:t>12</w:t>
      </w:r>
      <w:proofErr w:type="spellEnd"/>
      <w:r w:rsidR="00565E1A">
        <w:rPr>
          <w:rFonts w:cs="Times New Roman"/>
          <w:sz w:val="22"/>
          <w:szCs w:val="22"/>
        </w:rPr>
        <w:fldChar w:fldCharType="end"/>
      </w:r>
      <w:r w:rsidR="008E6265" w:rsidRPr="00875ED5">
        <w:rPr>
          <w:rFonts w:cs="Times New Roman"/>
          <w:sz w:val="22"/>
          <w:szCs w:val="22"/>
        </w:rPr>
        <w:t xml:space="preserve"> Similarly, Caswell and O’Connor describe how people may isolate themselve</w:t>
      </w:r>
      <w:r w:rsidR="00565E1A">
        <w:rPr>
          <w:rFonts w:cs="Times New Roman"/>
          <w:sz w:val="22"/>
          <w:szCs w:val="22"/>
        </w:rPr>
        <w:t xml:space="preserve">s prior to death and die </w:t>
      </w:r>
      <w:proofErr w:type="spellStart"/>
      <w:r w:rsidR="00565E1A">
        <w:rPr>
          <w:rFonts w:cs="Times New Roman"/>
          <w:sz w:val="22"/>
          <w:szCs w:val="22"/>
        </w:rPr>
        <w:t>alone</w:t>
      </w:r>
      <w:r w:rsidR="008E6265" w:rsidRPr="00875ED5">
        <w:rPr>
          <w:rFonts w:cs="Times New Roman"/>
          <w:sz w:val="22"/>
          <w:szCs w:val="22"/>
        </w:rPr>
        <w:t>.</w:t>
      </w:r>
      <w:r w:rsidR="00565E1A">
        <w:rPr>
          <w:rFonts w:cs="Times New Roman"/>
          <w:sz w:val="22"/>
          <w:szCs w:val="22"/>
        </w:rPr>
        <w:fldChar w:fldCharType="begin" w:fldLock="1"/>
      </w:r>
      <w:r w:rsidR="00BC0421">
        <w:rPr>
          <w:rFonts w:cs="Times New Roman"/>
          <w:sz w:val="22"/>
          <w:szCs w:val="22"/>
        </w:rPr>
        <w:instrText>ADDIN CSL_CITATION { "citationItems" : [ { "id" : "ITEM-1", "itemData" : { "DOI" : "10.1080/21582041.2015.1114663", "ISSN" : "2158-2041", "abstract" : "Each year, a number of bodies are found of people who have died alone at home and whose absence from daily life has not been noticed. Media reports tend to cast either these individuals as deviant, or wider society as having abandoned them to a lonely death. This paper proposes an alternative view, one in which some individuals choose to withdraw from society and enter a period of social death prior to their biological deaths. They may then be subject to a renewed social life after death, brought about through post-death social processes. The paper begins by laying out the background to the pilot study on which it draws, before discussing some of the methodological and ethical issues involved in carrying out such research. A case study is then presented as a focus for a discussion of the possible role of agency and choice within the context of social death.", "author" : [ { "dropping-particle" : "", "family" : "Caswell", "given" : "Glenys", "non-dropping-particle" : "", "parse-names" : false, "suffix" : "" }, { "dropping-particle" : "", "family" : "O'Connor", "given" : "M\u00f3rna", "non-dropping-particle" : "", "parse-names" : false, "suffix" : "" } ], "container-title" : "Contemporary Social Science", "id" : "ITEM-1", "issue" : "3", "issued" : { "date-parts" : [ [ "2015", "11", "20" ] ] }, "language" : "en", "page" : "249-261", "publisher" : "Routledge", "title" : "Agency in the context of social death: dying alone at home", "type" : "article-journal", "volume" : "10" }, "uris" : [ "http://www.mendeley.com/documents/?uuid=d4566da1-8cc9-4444-a9f9-2ed0148acd46" ] } ], "mendeley" : { "formattedCitation" : "&lt;sup&gt;13&lt;/sup&gt;", "plainTextFormattedCitation" : "13", "previouslyFormattedCitation" : "&lt;sup&gt;13&lt;/sup&gt;" }, "properties" : { "noteIndex" : 0 }, "schema" : "https://github.com/citation-style-language/schema/raw/master/csl-citation.json" }</w:instrText>
      </w:r>
      <w:r w:rsidR="00565E1A">
        <w:rPr>
          <w:rFonts w:cs="Times New Roman"/>
          <w:sz w:val="22"/>
          <w:szCs w:val="22"/>
        </w:rPr>
        <w:fldChar w:fldCharType="separate"/>
      </w:r>
      <w:proofErr w:type="gramStart"/>
      <w:r w:rsidR="004662B4" w:rsidRPr="004662B4">
        <w:rPr>
          <w:rFonts w:cs="Times New Roman"/>
          <w:noProof/>
          <w:sz w:val="22"/>
          <w:szCs w:val="22"/>
          <w:vertAlign w:val="superscript"/>
        </w:rPr>
        <w:t>13</w:t>
      </w:r>
      <w:proofErr w:type="spellEnd"/>
      <w:r w:rsidR="00565E1A">
        <w:rPr>
          <w:rFonts w:cs="Times New Roman"/>
          <w:sz w:val="22"/>
          <w:szCs w:val="22"/>
        </w:rPr>
        <w:fldChar w:fldCharType="end"/>
      </w:r>
      <w:r w:rsidR="008E6265" w:rsidRPr="00875ED5">
        <w:rPr>
          <w:rFonts w:cs="Times New Roman"/>
          <w:sz w:val="22"/>
          <w:szCs w:val="22"/>
        </w:rPr>
        <w:t xml:space="preserve"> These actions are often </w:t>
      </w:r>
      <w:r w:rsidR="00565E1A">
        <w:rPr>
          <w:rFonts w:cs="Times New Roman"/>
          <w:sz w:val="22"/>
          <w:szCs w:val="22"/>
        </w:rPr>
        <w:t>viewed negatively within societies that portray</w:t>
      </w:r>
      <w:r w:rsidR="008E6265" w:rsidRPr="00875ED5">
        <w:rPr>
          <w:rFonts w:cs="Times New Roman"/>
          <w:sz w:val="22"/>
          <w:szCs w:val="22"/>
        </w:rPr>
        <w:t xml:space="preserve"> a good death as one where people are su</w:t>
      </w:r>
      <w:r w:rsidR="00565E1A">
        <w:rPr>
          <w:rFonts w:cs="Times New Roman"/>
          <w:sz w:val="22"/>
          <w:szCs w:val="22"/>
        </w:rPr>
        <w:t>rrounded by family and friends</w:t>
      </w:r>
      <w:proofErr w:type="gramEnd"/>
      <w:r w:rsidR="00DC70D2">
        <w:rPr>
          <w:rFonts w:cs="Times New Roman"/>
          <w:sz w:val="22"/>
          <w:szCs w:val="22"/>
        </w:rPr>
        <w:t>. Nevertheless</w:t>
      </w:r>
      <w:r w:rsidR="008E6265" w:rsidRPr="00875ED5">
        <w:rPr>
          <w:rFonts w:cs="Times New Roman"/>
          <w:sz w:val="22"/>
          <w:szCs w:val="22"/>
        </w:rPr>
        <w:t>, these examples are illustrative of social deaths where isolation ma</w:t>
      </w:r>
      <w:r w:rsidR="00DC70D2">
        <w:rPr>
          <w:rFonts w:cs="Times New Roman"/>
          <w:sz w:val="22"/>
          <w:szCs w:val="22"/>
        </w:rPr>
        <w:t>y occur but agency is not lost</w:t>
      </w:r>
      <w:r w:rsidR="00F521F7">
        <w:rPr>
          <w:rFonts w:cs="Times New Roman"/>
          <w:sz w:val="22"/>
          <w:szCs w:val="22"/>
        </w:rPr>
        <w:t>. This challenges</w:t>
      </w:r>
      <w:r w:rsidR="00DC70D2">
        <w:rPr>
          <w:rFonts w:cs="Times New Roman"/>
          <w:sz w:val="22"/>
          <w:szCs w:val="22"/>
        </w:rPr>
        <w:t xml:space="preserve"> the conceptualisation of social death as a loss of agency or personal identity. </w:t>
      </w:r>
    </w:p>
    <w:p w14:paraId="7D76B3B2" w14:textId="77777777" w:rsidR="003C0C7B" w:rsidRPr="00875ED5" w:rsidRDefault="003C0C7B" w:rsidP="008877D8">
      <w:pPr>
        <w:spacing w:line="276" w:lineRule="auto"/>
        <w:contextualSpacing/>
        <w:rPr>
          <w:rFonts w:cs="Times New Roman"/>
          <w:sz w:val="22"/>
          <w:szCs w:val="22"/>
        </w:rPr>
      </w:pPr>
    </w:p>
    <w:p w14:paraId="3750FBBE" w14:textId="77777777" w:rsidR="004A0B30" w:rsidRPr="00875ED5" w:rsidRDefault="004A0B30" w:rsidP="008877D8">
      <w:pPr>
        <w:spacing w:line="276" w:lineRule="auto"/>
        <w:contextualSpacing/>
        <w:rPr>
          <w:rFonts w:cs="Times New Roman"/>
          <w:sz w:val="22"/>
          <w:szCs w:val="22"/>
        </w:rPr>
      </w:pPr>
    </w:p>
    <w:p w14:paraId="1469B930" w14:textId="0E7E5E5B" w:rsidR="00376216" w:rsidRPr="00875ED5" w:rsidRDefault="00376216" w:rsidP="008877D8">
      <w:pPr>
        <w:spacing w:line="276" w:lineRule="auto"/>
        <w:contextualSpacing/>
        <w:rPr>
          <w:rFonts w:cs="Times New Roman"/>
          <w:b/>
          <w:sz w:val="22"/>
          <w:szCs w:val="22"/>
        </w:rPr>
      </w:pPr>
      <w:r w:rsidRPr="00875ED5">
        <w:rPr>
          <w:rFonts w:cs="Times New Roman"/>
          <w:b/>
          <w:sz w:val="22"/>
          <w:szCs w:val="22"/>
        </w:rPr>
        <w:t>Social death after physical death</w:t>
      </w:r>
      <w:r w:rsidR="00565E1A">
        <w:rPr>
          <w:rFonts w:cs="Times New Roman"/>
          <w:b/>
          <w:sz w:val="22"/>
          <w:szCs w:val="22"/>
        </w:rPr>
        <w:t xml:space="preserve"> </w:t>
      </w:r>
    </w:p>
    <w:p w14:paraId="76E33D59" w14:textId="77777777" w:rsidR="00984510" w:rsidRDefault="00984510" w:rsidP="008877D8">
      <w:pPr>
        <w:spacing w:line="276" w:lineRule="auto"/>
        <w:contextualSpacing/>
        <w:rPr>
          <w:rFonts w:cs="Times New Roman"/>
          <w:sz w:val="22"/>
          <w:szCs w:val="22"/>
        </w:rPr>
      </w:pPr>
    </w:p>
    <w:p w14:paraId="0476CB01" w14:textId="6872564A" w:rsidR="00565E1A" w:rsidRDefault="006747E6" w:rsidP="008877D8">
      <w:pPr>
        <w:spacing w:line="276" w:lineRule="auto"/>
        <w:contextualSpacing/>
        <w:rPr>
          <w:rFonts w:cs="Times New Roman"/>
          <w:sz w:val="22"/>
          <w:szCs w:val="22"/>
        </w:rPr>
      </w:pPr>
      <w:r w:rsidRPr="00875ED5">
        <w:rPr>
          <w:rFonts w:cs="Times New Roman"/>
          <w:sz w:val="22"/>
          <w:szCs w:val="22"/>
        </w:rPr>
        <w:t xml:space="preserve">Social death can also occur after physical death. An example frequently provided in </w:t>
      </w:r>
      <w:r w:rsidR="00D05C66">
        <w:rPr>
          <w:rFonts w:cs="Times New Roman"/>
          <w:sz w:val="22"/>
          <w:szCs w:val="22"/>
        </w:rPr>
        <w:t>research</w:t>
      </w:r>
      <w:bookmarkStart w:id="0" w:name="_GoBack"/>
      <w:bookmarkEnd w:id="0"/>
      <w:r w:rsidRPr="00875ED5">
        <w:rPr>
          <w:rFonts w:cs="Times New Roman"/>
          <w:sz w:val="22"/>
          <w:szCs w:val="22"/>
        </w:rPr>
        <w:t xml:space="preserve"> involves funerary practices that ritualistically mark the transition of the deceased person from the realm of </w:t>
      </w:r>
      <w:r w:rsidR="00801569">
        <w:rPr>
          <w:rFonts w:cs="Times New Roman"/>
          <w:sz w:val="22"/>
          <w:szCs w:val="22"/>
        </w:rPr>
        <w:t xml:space="preserve">the living to that of the </w:t>
      </w:r>
      <w:proofErr w:type="spellStart"/>
      <w:r w:rsidR="00801569">
        <w:rPr>
          <w:rFonts w:cs="Times New Roman"/>
          <w:sz w:val="22"/>
          <w:szCs w:val="22"/>
        </w:rPr>
        <w:t>ancestors</w:t>
      </w:r>
      <w:r w:rsidRPr="00875ED5">
        <w:rPr>
          <w:rFonts w:cs="Times New Roman"/>
          <w:sz w:val="22"/>
          <w:szCs w:val="22"/>
        </w:rPr>
        <w:t>.</w:t>
      </w:r>
      <w:r w:rsidR="00565E1A">
        <w:rPr>
          <w:rFonts w:cs="Times New Roman"/>
          <w:sz w:val="22"/>
          <w:szCs w:val="22"/>
        </w:rPr>
        <w:fldChar w:fldCharType="begin" w:fldLock="1"/>
      </w:r>
      <w:r w:rsidR="00BC0421">
        <w:rPr>
          <w:rFonts w:cs="Times New Roman"/>
          <w:sz w:val="22"/>
          <w:szCs w:val="22"/>
        </w:rPr>
        <w:instrText>ADDIN CSL_CITATION { "citationItems" : [ { "id" : "ITEM-1", "itemData" : { "author" : [ { "dropping-particle" : "", "family" : "Bloch", "given" : "M", "non-dropping-particle" : "", "parse-names" : false, "suffix" : "" }, { "dropping-particle" : "", "family" : "Parry", "given" : "J", "non-dropping-particle" : "", "parse-names" : false, "suffix" : "" } ], "id" : "ITEM-1", "issued" : { "date-parts" : [ [ "1982" ] ] }, "publisher" : "Cambridge University Press", "publisher-place" : "Cambridge", "title" : "Death and the Regeneration of Life", "type" : "article" }, "uris" : [ "http://www.mendeley.com/documents/?uuid=701f4ca2-bec3-421d-a7a6-79ff837860eb" ] } ], "mendeley" : { "formattedCitation" : "&lt;sup&gt;14&lt;/sup&gt;", "plainTextFormattedCitation" : "14", "previouslyFormattedCitation" : "&lt;sup&gt;14&lt;/sup&gt;" }, "properties" : { "noteIndex" : 0 }, "schema" : "https://github.com/citation-style-language/schema/raw/master/csl-citation.json" }</w:instrText>
      </w:r>
      <w:r w:rsidR="00565E1A">
        <w:rPr>
          <w:rFonts w:cs="Times New Roman"/>
          <w:sz w:val="22"/>
          <w:szCs w:val="22"/>
        </w:rPr>
        <w:fldChar w:fldCharType="separate"/>
      </w:r>
      <w:r w:rsidR="004662B4" w:rsidRPr="004662B4">
        <w:rPr>
          <w:rFonts w:cs="Times New Roman"/>
          <w:noProof/>
          <w:sz w:val="22"/>
          <w:szCs w:val="22"/>
          <w:vertAlign w:val="superscript"/>
        </w:rPr>
        <w:t>14</w:t>
      </w:r>
      <w:proofErr w:type="spellEnd"/>
      <w:r w:rsidR="00565E1A">
        <w:rPr>
          <w:rFonts w:cs="Times New Roman"/>
          <w:sz w:val="22"/>
          <w:szCs w:val="22"/>
        </w:rPr>
        <w:fldChar w:fldCharType="end"/>
      </w:r>
      <w:r w:rsidRPr="00875ED5">
        <w:rPr>
          <w:rFonts w:cs="Times New Roman"/>
          <w:sz w:val="22"/>
          <w:szCs w:val="22"/>
        </w:rPr>
        <w:t xml:space="preserve"> </w:t>
      </w:r>
      <w:r w:rsidR="00115791" w:rsidRPr="00875ED5">
        <w:rPr>
          <w:rFonts w:cs="Times New Roman"/>
          <w:sz w:val="22"/>
          <w:szCs w:val="22"/>
        </w:rPr>
        <w:t>These rituals may be beneficial for the bereaved and he</w:t>
      </w:r>
      <w:r w:rsidR="004C3008">
        <w:rPr>
          <w:rFonts w:cs="Times New Roman"/>
          <w:sz w:val="22"/>
          <w:szCs w:val="22"/>
        </w:rPr>
        <w:t>lp make meaning from the death</w:t>
      </w:r>
      <w:r w:rsidR="00115791" w:rsidRPr="00875ED5">
        <w:rPr>
          <w:rFonts w:cs="Times New Roman"/>
          <w:sz w:val="22"/>
          <w:szCs w:val="22"/>
        </w:rPr>
        <w:t xml:space="preserve">. </w:t>
      </w:r>
    </w:p>
    <w:p w14:paraId="03B624D0" w14:textId="77777777" w:rsidR="00565E1A" w:rsidRDefault="00565E1A" w:rsidP="008877D8">
      <w:pPr>
        <w:spacing w:line="276" w:lineRule="auto"/>
        <w:contextualSpacing/>
        <w:rPr>
          <w:rFonts w:cs="Times New Roman"/>
          <w:sz w:val="22"/>
          <w:szCs w:val="22"/>
        </w:rPr>
      </w:pPr>
    </w:p>
    <w:p w14:paraId="74B35E4A" w14:textId="7EB31FAC" w:rsidR="006747E6" w:rsidRDefault="00F521F7" w:rsidP="008877D8">
      <w:pPr>
        <w:spacing w:line="276" w:lineRule="auto"/>
        <w:contextualSpacing/>
        <w:rPr>
          <w:rFonts w:cs="Times New Roman"/>
          <w:sz w:val="22"/>
          <w:szCs w:val="22"/>
        </w:rPr>
      </w:pPr>
      <w:r>
        <w:rPr>
          <w:rFonts w:cs="Times New Roman"/>
          <w:sz w:val="22"/>
          <w:szCs w:val="22"/>
        </w:rPr>
        <w:t>S</w:t>
      </w:r>
      <w:r w:rsidR="00115791" w:rsidRPr="00875ED5">
        <w:rPr>
          <w:rFonts w:cs="Times New Roman"/>
          <w:sz w:val="22"/>
          <w:szCs w:val="22"/>
        </w:rPr>
        <w:t xml:space="preserve">ome bereaved people may seek to keep the ‘dead alive’ through acts that preserve the </w:t>
      </w:r>
      <w:r w:rsidR="00DC70D2">
        <w:rPr>
          <w:rFonts w:cs="Times New Roman"/>
          <w:sz w:val="22"/>
          <w:szCs w:val="22"/>
        </w:rPr>
        <w:t>identity of the deceased person. T</w:t>
      </w:r>
      <w:r w:rsidR="00115791" w:rsidRPr="00875ED5">
        <w:rPr>
          <w:rFonts w:cs="Times New Roman"/>
          <w:sz w:val="22"/>
          <w:szCs w:val="22"/>
        </w:rPr>
        <w:t xml:space="preserve">his is </w:t>
      </w:r>
      <w:r w:rsidR="00DC70D2">
        <w:rPr>
          <w:rFonts w:cs="Times New Roman"/>
          <w:sz w:val="22"/>
          <w:szCs w:val="22"/>
        </w:rPr>
        <w:t>termed continuing bonds</w:t>
      </w:r>
      <w:r w:rsidR="004C3008">
        <w:rPr>
          <w:rFonts w:cs="Times New Roman"/>
          <w:sz w:val="22"/>
          <w:szCs w:val="22"/>
        </w:rPr>
        <w:t xml:space="preserve">, </w:t>
      </w:r>
      <w:r w:rsidR="002664F2">
        <w:rPr>
          <w:rFonts w:cs="Times New Roman"/>
          <w:sz w:val="22"/>
          <w:szCs w:val="22"/>
        </w:rPr>
        <w:t>and can be</w:t>
      </w:r>
      <w:r w:rsidR="004C3008">
        <w:rPr>
          <w:rFonts w:cs="Times New Roman"/>
          <w:sz w:val="22"/>
          <w:szCs w:val="22"/>
        </w:rPr>
        <w:t xml:space="preserve"> considered </w:t>
      </w:r>
      <w:r w:rsidR="002664F2">
        <w:rPr>
          <w:rFonts w:cs="Times New Roman"/>
          <w:sz w:val="22"/>
          <w:szCs w:val="22"/>
        </w:rPr>
        <w:t>as</w:t>
      </w:r>
      <w:r w:rsidR="004C3008">
        <w:rPr>
          <w:rFonts w:cs="Times New Roman"/>
          <w:sz w:val="22"/>
          <w:szCs w:val="22"/>
        </w:rPr>
        <w:t xml:space="preserve"> part of the grieving process as well as a potential risk factor for complicated </w:t>
      </w:r>
      <w:proofErr w:type="spellStart"/>
      <w:r w:rsidR="004C3008">
        <w:rPr>
          <w:rFonts w:cs="Times New Roman"/>
          <w:sz w:val="22"/>
          <w:szCs w:val="22"/>
        </w:rPr>
        <w:t>grief</w:t>
      </w:r>
      <w:r w:rsidR="00DC70D2">
        <w:rPr>
          <w:rFonts w:cs="Times New Roman"/>
          <w:sz w:val="22"/>
          <w:szCs w:val="22"/>
        </w:rPr>
        <w:t>.</w:t>
      </w:r>
      <w:r w:rsidR="004C3008">
        <w:rPr>
          <w:rFonts w:cs="Times New Roman"/>
          <w:sz w:val="22"/>
          <w:szCs w:val="22"/>
        </w:rPr>
        <w:fldChar w:fldCharType="begin" w:fldLock="1"/>
      </w:r>
      <w:r w:rsidR="00BC0421">
        <w:rPr>
          <w:rFonts w:cs="Times New Roman"/>
          <w:sz w:val="22"/>
          <w:szCs w:val="22"/>
        </w:rPr>
        <w:instrText>ADDIN CSL_CITATION { "citationItems" : [ { "id" : "ITEM-1", "itemData" : { "author" : [ { "dropping-particle" : "", "family" : "Unruh", "given" : "David R", "non-dropping-particle" : "", "parse-names" : false, "suffix" : "" } ], "container-title" : "Social Problems", "id" : "ITEM-1", "issue" : "3", "issued" : { "date-parts" : [ [ "1983" ] ] }, "page" : "340-351", "title" : "Death and Personal History: Strategies of Identity Preservation", "type" : "article-journal", "volume" : "30" }, "uris" : [ "http://www.mendeley.com/documents/?uuid=cc6d85db-8a39-4fbe-9cd6-d832cb4d0be4" ] } ], "mendeley" : { "formattedCitation" : "&lt;sup&gt;15&lt;/sup&gt;", "plainTextFormattedCitation" : "15", "previouslyFormattedCitation" : "&lt;sup&gt;15&lt;/sup&gt;" }, "properties" : { "noteIndex" : 0 }, "schema" : "https://github.com/citation-style-language/schema/raw/master/csl-citation.json" }</w:instrText>
      </w:r>
      <w:r w:rsidR="004C3008">
        <w:rPr>
          <w:rFonts w:cs="Times New Roman"/>
          <w:sz w:val="22"/>
          <w:szCs w:val="22"/>
        </w:rPr>
        <w:fldChar w:fldCharType="separate"/>
      </w:r>
      <w:r w:rsidR="004662B4" w:rsidRPr="004662B4">
        <w:rPr>
          <w:rFonts w:cs="Times New Roman"/>
          <w:noProof/>
          <w:sz w:val="22"/>
          <w:szCs w:val="22"/>
          <w:vertAlign w:val="superscript"/>
        </w:rPr>
        <w:t>15</w:t>
      </w:r>
      <w:proofErr w:type="spellEnd"/>
      <w:r w:rsidR="004C3008">
        <w:rPr>
          <w:rFonts w:cs="Times New Roman"/>
          <w:sz w:val="22"/>
          <w:szCs w:val="22"/>
        </w:rPr>
        <w:fldChar w:fldCharType="end"/>
      </w:r>
      <w:r w:rsidR="00115791" w:rsidRPr="00875ED5">
        <w:rPr>
          <w:rFonts w:cs="Times New Roman"/>
          <w:sz w:val="22"/>
          <w:szCs w:val="22"/>
        </w:rPr>
        <w:t xml:space="preserve"> </w:t>
      </w:r>
      <w:r w:rsidR="00984510">
        <w:rPr>
          <w:rFonts w:cs="Times New Roman"/>
          <w:sz w:val="22"/>
          <w:szCs w:val="22"/>
        </w:rPr>
        <w:t>Examples include</w:t>
      </w:r>
      <w:r w:rsidR="00115791" w:rsidRPr="00875ED5">
        <w:rPr>
          <w:rFonts w:cs="Times New Roman"/>
          <w:sz w:val="22"/>
          <w:szCs w:val="22"/>
        </w:rPr>
        <w:t xml:space="preserve"> continu</w:t>
      </w:r>
      <w:r w:rsidR="00984510">
        <w:rPr>
          <w:rFonts w:cs="Times New Roman"/>
          <w:sz w:val="22"/>
          <w:szCs w:val="22"/>
        </w:rPr>
        <w:t>ing</w:t>
      </w:r>
      <w:r w:rsidR="00115791" w:rsidRPr="00875ED5">
        <w:rPr>
          <w:rFonts w:cs="Times New Roman"/>
          <w:sz w:val="22"/>
          <w:szCs w:val="22"/>
        </w:rPr>
        <w:t xml:space="preserve"> to </w:t>
      </w:r>
      <w:r w:rsidR="00DC70D2">
        <w:rPr>
          <w:rFonts w:cs="Times New Roman"/>
          <w:sz w:val="22"/>
          <w:szCs w:val="22"/>
        </w:rPr>
        <w:t>visit and interact with the deceased</w:t>
      </w:r>
      <w:r w:rsidR="006D2696">
        <w:rPr>
          <w:rFonts w:cs="Times New Roman"/>
          <w:sz w:val="22"/>
          <w:szCs w:val="22"/>
        </w:rPr>
        <w:t>’s</w:t>
      </w:r>
      <w:r w:rsidR="00DC70D2">
        <w:rPr>
          <w:rFonts w:cs="Times New Roman"/>
          <w:sz w:val="22"/>
          <w:szCs w:val="22"/>
        </w:rPr>
        <w:t xml:space="preserve"> social media profile or keep objects belonging to the deceased in prominent places within the </w:t>
      </w:r>
      <w:proofErr w:type="spellStart"/>
      <w:r w:rsidR="00DC70D2">
        <w:rPr>
          <w:rFonts w:cs="Times New Roman"/>
          <w:sz w:val="22"/>
          <w:szCs w:val="22"/>
        </w:rPr>
        <w:t>home</w:t>
      </w:r>
      <w:r w:rsidR="004C3008">
        <w:rPr>
          <w:rFonts w:cs="Times New Roman"/>
          <w:sz w:val="22"/>
          <w:szCs w:val="22"/>
        </w:rPr>
        <w:t>.</w:t>
      </w:r>
      <w:r w:rsidR="004C3008">
        <w:rPr>
          <w:rFonts w:cs="Times New Roman"/>
          <w:sz w:val="22"/>
          <w:szCs w:val="22"/>
        </w:rPr>
        <w:fldChar w:fldCharType="begin" w:fldLock="1"/>
      </w:r>
      <w:r w:rsidR="00BC0421">
        <w:rPr>
          <w:rFonts w:cs="Times New Roman"/>
          <w:sz w:val="22"/>
          <w:szCs w:val="22"/>
        </w:rPr>
        <w:instrText>ADDIN CSL_CITATION { "citationItems" : [ { "id" : "ITEM-1", "itemData" : { "DOI" : "10.1111/j.1467-9655.2009.01570.x", "ISSN" : "13590987", "author" : [ { "dropping-particle" : "", "family" : "Miller", "given" : "Daniel", "non-dropping-particle" : "", "parse-names" : false, "suffix" : "" }, { "dropping-particle" : "", "family" : "Parrott", "given" : "Fiona", "non-dropping-particle" : "", "parse-names" : false, "suffix" : "" } ], "container-title" : "Journal of the Royal Anthropological Institute", "id" : "ITEM-1", "issue" : "3", "issued" : { "date-parts" : [ [ "2009", "9" ] ] }, "page" : "502-519", "title" : "Loss and material culture in South London", "type" : "article-journal", "volume" : "15" }, "uris" : [ "http://www.mendeley.com/documents/?uuid=cf9fdb78-76c1-496f-80d0-d1261055358b" ] }, { "id" : "ITEM-2", "itemData" : { "DOI" : "10.2190/OM.64.4.a", "ISSN" : "0030-2228", "author" : [ { "dropping-particle" : "", "family" : "Walter", "given" : "T.", "non-dropping-particle" : "", "parse-names" : false, "suffix" : "" }, { "dropping-particle" : "", "family" : "Hourizi", "given" : "R.", "non-dropping-particle" : "", "parse-names" : false, "suffix" : "" }, { "dropping-particle" : "", "family" : "Moncur", "given" : "W.", "non-dropping-particle" : "", "parse-names" : false, "suffix" : "" }, { "dropping-particle" : "", "family" : "Pitsillides", "given" : "S.", "non-dropping-particle" : "", "parse-names" : false, "suffix" : "" } ], "container-title" : "OMEGA - Journal of Death and Dying", "id" : "ITEM-2", "issue" : "4", "issued" : { "date-parts" : [ [ "2012", "6", "1" ] ] }, "language" : "en", "page" : "275-302", "publisher" : "SAGE Publications", "title" : "Does the Internet Change How We Die and Mourn? Overview and Analysis", "type" : "article-journal", "volume" : "64" }, "uris" : [ "http://www.mendeley.com/documents/?uuid=b8d2c115-0d6f-40e8-8b8a-9b639f23560a" ] } ], "mendeley" : { "formattedCitation" : "&lt;sup&gt;16,17&lt;/sup&gt;", "plainTextFormattedCitation" : "16,17", "previouslyFormattedCitation" : "&lt;sup&gt;16,17&lt;/sup&gt;" }, "properties" : { "noteIndex" : 0 }, "schema" : "https://github.com/citation-style-language/schema/raw/master/csl-citation.json" }</w:instrText>
      </w:r>
      <w:r w:rsidR="004C3008">
        <w:rPr>
          <w:rFonts w:cs="Times New Roman"/>
          <w:sz w:val="22"/>
          <w:szCs w:val="22"/>
        </w:rPr>
        <w:fldChar w:fldCharType="separate"/>
      </w:r>
      <w:r w:rsidR="004662B4" w:rsidRPr="004662B4">
        <w:rPr>
          <w:rFonts w:cs="Times New Roman"/>
          <w:noProof/>
          <w:sz w:val="22"/>
          <w:szCs w:val="22"/>
          <w:vertAlign w:val="superscript"/>
        </w:rPr>
        <w:t>16,17</w:t>
      </w:r>
      <w:proofErr w:type="spellEnd"/>
      <w:r w:rsidR="004C3008">
        <w:rPr>
          <w:rFonts w:cs="Times New Roman"/>
          <w:sz w:val="22"/>
          <w:szCs w:val="22"/>
        </w:rPr>
        <w:fldChar w:fldCharType="end"/>
      </w:r>
      <w:r w:rsidR="004C3008">
        <w:rPr>
          <w:rFonts w:cs="Times New Roman"/>
          <w:sz w:val="22"/>
          <w:szCs w:val="22"/>
        </w:rPr>
        <w:t xml:space="preserve"> </w:t>
      </w:r>
      <w:r>
        <w:rPr>
          <w:rFonts w:cs="Times New Roman"/>
          <w:sz w:val="22"/>
          <w:szCs w:val="22"/>
        </w:rPr>
        <w:t>Similarly, p</w:t>
      </w:r>
      <w:r w:rsidR="00EF0529">
        <w:rPr>
          <w:rFonts w:cs="Times New Roman"/>
          <w:sz w:val="22"/>
          <w:szCs w:val="22"/>
        </w:rPr>
        <w:t>eople who experience disenfranchised grief</w:t>
      </w:r>
      <w:r w:rsidR="00F26BB2">
        <w:rPr>
          <w:rFonts w:cs="Times New Roman"/>
          <w:sz w:val="22"/>
          <w:szCs w:val="22"/>
        </w:rPr>
        <w:t xml:space="preserve"> may seek to make their loss real, for instance, through the creation of memorials. For example, perinatal losses may not be considered the death of a person by some, and families can sense a lack of appropriate recognition of the social death and their loss without such </w:t>
      </w:r>
      <w:proofErr w:type="spellStart"/>
      <w:r w:rsidR="00F26BB2">
        <w:rPr>
          <w:rFonts w:cs="Times New Roman"/>
          <w:sz w:val="22"/>
          <w:szCs w:val="22"/>
        </w:rPr>
        <w:t>markers.</w:t>
      </w:r>
      <w:r w:rsidR="004E342B">
        <w:rPr>
          <w:rFonts w:cs="Times New Roman"/>
          <w:sz w:val="22"/>
          <w:szCs w:val="22"/>
        </w:rPr>
        <w:fldChar w:fldCharType="begin" w:fldLock="1"/>
      </w:r>
      <w:r w:rsidR="00BC0421">
        <w:rPr>
          <w:rFonts w:cs="Times New Roman"/>
          <w:sz w:val="22"/>
          <w:szCs w:val="22"/>
        </w:rPr>
        <w:instrText>ADDIN CSL_CITATION { "citationItems" : [ { "id" : "ITEM-1", "itemData" : { "ISBN" : "1409472418", "abstract" : "The study of human reproduction has focused on reproductive \u2018success\u2019 and on the struggle to achieve this, rather than on the much more common experience of \u2018failure\u2019, or reproductive loss. Drawing on the latest research from The UK and Europe, The United States, Australia and Africa, this volume examines the experience of reproductive loss in its widest sense to include termination of pregnancy, miscarriage, stillbirth, perinatal and infant death, as well as - more broadly - the loss of desired normative experiences such as that associated with infertility, assisted reproduction and the medicalisation of 'high risk' pregnancy and birth.Exploring the commonalities, as well as issues of difference and diversity, Understanding Reproductive Loss presents international work from a variety of multi-disciplinary perspectives and will appeal to sociologists, anthropologists and other social scientists with interests in medicine, health, the body, death studies and gender.", "author" : [ { "dropping-particle" : "", "family" : "Komaromy", "given" : "Carol", "non-dropping-particle" : "", "parse-names" : false, "suffix" : "" }, { "dropping-particle" : "", "family" : "Earle", "given" : "Sarah", "non-dropping-particle" : "", "parse-names" : false, "suffix" : "" }, { "dropping-particle" : "", "family" : "Layne", "given" : "Linda", "non-dropping-particle" : "", "parse-names" : false, "suffix" : "" } ], "editor" : [ { "dropping-particle" : "", "family" : "Komaromy", "given" : "Carol", "non-dropping-particle" : "", "parse-names" : false, "suffix" : "" }, { "dropping-particle" : "", "family" : "Earle", "given" : "Sarah", "non-dropping-particle" : "", "parse-names" : false, "suffix" : "" }, { "dropping-particle" : "", "family" : "Layne", "given" : "Linda", "non-dropping-particle" : "", "parse-names" : false, "suffix" : "" } ], "id" : "ITEM-1", "issued" : { "date-parts" : [ [ "2013" ] ] }, "number-of-pages" : "238", "publisher" : "Ashgate Publishing, Ltd.", "publisher-place" : "London", "title" : "Understanding Reproductive Loss: Perspectives on Life, Death and Fertility", "type" : "book" }, "uris" : [ "http://www.mendeley.com/documents/?uuid=071bb3ab-fd75-4c44-b732-c9a0960790a6" ] } ], "mendeley" : { "formattedCitation" : "&lt;sup&gt;18&lt;/sup&gt;", "plainTextFormattedCitation" : "18", "previouslyFormattedCitation" : "&lt;sup&gt;18&lt;/sup&gt;" }, "properties" : { "noteIndex" : 0 }, "schema" : "https://github.com/citation-style-language/schema/raw/master/csl-citation.json" }</w:instrText>
      </w:r>
      <w:r w:rsidR="004E342B">
        <w:rPr>
          <w:rFonts w:cs="Times New Roman"/>
          <w:sz w:val="22"/>
          <w:szCs w:val="22"/>
        </w:rPr>
        <w:fldChar w:fldCharType="separate"/>
      </w:r>
      <w:r w:rsidR="004662B4" w:rsidRPr="004662B4">
        <w:rPr>
          <w:rFonts w:cs="Times New Roman"/>
          <w:noProof/>
          <w:sz w:val="22"/>
          <w:szCs w:val="22"/>
          <w:vertAlign w:val="superscript"/>
        </w:rPr>
        <w:t>18</w:t>
      </w:r>
      <w:proofErr w:type="spellEnd"/>
      <w:r w:rsidR="004E342B">
        <w:rPr>
          <w:rFonts w:cs="Times New Roman"/>
          <w:sz w:val="22"/>
          <w:szCs w:val="22"/>
        </w:rPr>
        <w:fldChar w:fldCharType="end"/>
      </w:r>
      <w:r w:rsidR="00F26BB2">
        <w:rPr>
          <w:rFonts w:cs="Times New Roman"/>
          <w:sz w:val="22"/>
          <w:szCs w:val="22"/>
        </w:rPr>
        <w:t xml:space="preserve"> </w:t>
      </w:r>
      <w:r>
        <w:rPr>
          <w:rFonts w:cs="Times New Roman"/>
          <w:sz w:val="22"/>
          <w:szCs w:val="22"/>
        </w:rPr>
        <w:t>Collectively, t</w:t>
      </w:r>
      <w:r w:rsidR="00DC70D2">
        <w:rPr>
          <w:rFonts w:cs="Times New Roman"/>
          <w:sz w:val="22"/>
          <w:szCs w:val="22"/>
        </w:rPr>
        <w:t>hese kinds of actions have lead to the suggestion that s</w:t>
      </w:r>
      <w:r w:rsidR="00115791" w:rsidRPr="00875ED5">
        <w:rPr>
          <w:rFonts w:cs="Times New Roman"/>
          <w:sz w:val="22"/>
          <w:szCs w:val="22"/>
        </w:rPr>
        <w:t>ocial death may not oc</w:t>
      </w:r>
      <w:r>
        <w:rPr>
          <w:rFonts w:cs="Times New Roman"/>
          <w:sz w:val="22"/>
          <w:szCs w:val="22"/>
        </w:rPr>
        <w:t>cur until someone is forgotten</w:t>
      </w:r>
      <w:r w:rsidR="00DC70D2">
        <w:rPr>
          <w:rFonts w:cs="Times New Roman"/>
          <w:sz w:val="22"/>
          <w:szCs w:val="22"/>
        </w:rPr>
        <w:t xml:space="preserve">. It </w:t>
      </w:r>
      <w:r w:rsidR="00565E1A">
        <w:rPr>
          <w:rFonts w:cs="Times New Roman"/>
          <w:sz w:val="22"/>
          <w:szCs w:val="22"/>
        </w:rPr>
        <w:t xml:space="preserve">may </w:t>
      </w:r>
      <w:r w:rsidR="00DC70D2">
        <w:rPr>
          <w:rFonts w:cs="Times New Roman"/>
          <w:sz w:val="22"/>
          <w:szCs w:val="22"/>
        </w:rPr>
        <w:t xml:space="preserve">not be clear when this happens and it can be a gradual process. </w:t>
      </w:r>
    </w:p>
    <w:p w14:paraId="6ECE1AC2" w14:textId="77777777" w:rsidR="009A4503" w:rsidRDefault="009A4503" w:rsidP="008877D8">
      <w:pPr>
        <w:spacing w:line="276" w:lineRule="auto"/>
        <w:contextualSpacing/>
        <w:rPr>
          <w:rFonts w:cs="Times New Roman"/>
          <w:sz w:val="22"/>
          <w:szCs w:val="22"/>
        </w:rPr>
      </w:pPr>
    </w:p>
    <w:p w14:paraId="73E583ED" w14:textId="10911C5E" w:rsidR="009A4503" w:rsidRPr="00875ED5" w:rsidRDefault="004332EB" w:rsidP="008877D8">
      <w:pPr>
        <w:spacing w:line="276" w:lineRule="auto"/>
        <w:contextualSpacing/>
        <w:rPr>
          <w:rFonts w:cs="Times New Roman"/>
          <w:sz w:val="22"/>
          <w:szCs w:val="22"/>
        </w:rPr>
      </w:pPr>
      <w:r>
        <w:rPr>
          <w:rFonts w:cs="Times New Roman"/>
          <w:sz w:val="22"/>
          <w:szCs w:val="22"/>
        </w:rPr>
        <w:t>Finally</w:t>
      </w:r>
      <w:r w:rsidR="009A4503">
        <w:rPr>
          <w:rFonts w:cs="Times New Roman"/>
          <w:sz w:val="22"/>
          <w:szCs w:val="22"/>
        </w:rPr>
        <w:t xml:space="preserve">, bereaved people may experience their own kind of social death </w:t>
      </w:r>
      <w:r w:rsidR="00396CCB">
        <w:rPr>
          <w:rFonts w:cs="Times New Roman"/>
          <w:sz w:val="22"/>
          <w:szCs w:val="22"/>
        </w:rPr>
        <w:t>resulting from</w:t>
      </w:r>
      <w:r w:rsidR="009A4503">
        <w:rPr>
          <w:rFonts w:cs="Times New Roman"/>
          <w:sz w:val="22"/>
          <w:szCs w:val="22"/>
        </w:rPr>
        <w:t xml:space="preserve"> isolation caused by caring for someone as they were dying and/or stigma attached to grief in different </w:t>
      </w:r>
      <w:proofErr w:type="spellStart"/>
      <w:r w:rsidR="009A4503">
        <w:rPr>
          <w:rFonts w:cs="Times New Roman"/>
          <w:sz w:val="22"/>
          <w:szCs w:val="22"/>
        </w:rPr>
        <w:t>cultures.</w:t>
      </w:r>
      <w:r w:rsidR="009A4503">
        <w:rPr>
          <w:rFonts w:cs="Times New Roman"/>
          <w:sz w:val="22"/>
          <w:szCs w:val="22"/>
        </w:rPr>
        <w:fldChar w:fldCharType="begin" w:fldLock="1"/>
      </w:r>
      <w:r w:rsidR="00BC0421">
        <w:rPr>
          <w:rFonts w:cs="Times New Roman"/>
          <w:sz w:val="22"/>
          <w:szCs w:val="22"/>
        </w:rPr>
        <w:instrText>ADDIN CSL_CITATION { "citationItems" : [ { "id" : "ITEM-1", "itemData" : { "DOI" : "10.1016/j.socscimed.2007.04.002", "ISSN" : "0277-9536", "PMID" : "17509743", "abstract" : "Incontinence is a discrediting and stigmatising condition for those who experience it, as it signifies a person who is lacking in self-control. For their carers, the very nature of undertaking 'dirty work' signifies a low status and low paid job. Those health care professionals higher in status and financial reward put distance between themselves and bodywork, especially bodywork that deals with bodily decay. However, little is known or has been highlighted about the social consequences that living with and dealing with incontinence can have on informal carers. In this paper we examine the notion of dirty work and 'unbounded' bodies in the role of informal carers. Through qualitative interviews with carers of stroke survivors the negative social consequences of dealing with incontinence for both the survivor and the carer are explored. We also examine the strategies employed by carers and stroke survivors in order to manage the symptom in an attempt to prove the adult status of the survivor and to protect both the identity of the survivor and the carer. The embarrassment of leakage and the moral danger of odour can lead some carers and survivors to make decisions that can isolate both within the confines of their home. In this sense the very meaning of home is transformed into an isolated and marginalised space.", "author" : [ { "dropping-particle" : "", "family" : "Brittain", "given" : "Katherine R", "non-dropping-particle" : "", "parse-names" : false, "suffix" : "" }, { "dropping-particle" : "", "family" : "Shaw", "given" : "Chris", "non-dropping-particle" : "", "parse-names" : false, "suffix" : "" } ], "container-title" : "Social science &amp; medicine (1982)", "id" : "ITEM-1", "issue" : "6", "issued" : { "date-parts" : [ [ "2007", "9" ] ] }, "page" : "1274-83", "title" : "The social consequences of living with and dealing with incontinence--a carers perspective.", "type" : "article-journal", "volume" : "65" }, "uris" : [ "http://www.mendeley.com/documents/?uuid=4305da3e-93d8-42b5-89dc-6dce6626d0a6" ] }, { "id" : "ITEM-2", "itemData" : { "DOI" : "10.1111/j.1467-954X.1992.tb03385.x", "ISSN" : "00380261", "author" : [ { "dropping-particle" : "", "family" : "Mulkay", "given" : "Michael", "non-dropping-particle" : "", "parse-names" : false, "suffix" : "" } ], "container-title" : "The Sociological Review", "id" : "ITEM-2", "issue" : "S1", "issued" : { "date-parts" : [ [ "1992", "5", "9" ] ] }, "page" : "31-49", "title" : "Social death in Britain*", "type" : "article-journal", "volume" : "40" }, "uris" : [ "http://www.mendeley.com/documents/?uuid=0dc3de86-a59c-4cf5-9bac-daedae959d6a" ] } ], "mendeley" : { "formattedCitation" : "&lt;sup&gt;2,19&lt;/sup&gt;", "plainTextFormattedCitation" : "2,19", "previouslyFormattedCitation" : "&lt;sup&gt;2,19&lt;/sup&gt;" }, "properties" : { "noteIndex" : 0 }, "schema" : "https://github.com/citation-style-language/schema/raw/master/csl-citation.json" }</w:instrText>
      </w:r>
      <w:r w:rsidR="009A4503">
        <w:rPr>
          <w:rFonts w:cs="Times New Roman"/>
          <w:sz w:val="22"/>
          <w:szCs w:val="22"/>
        </w:rPr>
        <w:fldChar w:fldCharType="separate"/>
      </w:r>
      <w:r w:rsidR="004662B4" w:rsidRPr="004662B4">
        <w:rPr>
          <w:rFonts w:cs="Times New Roman"/>
          <w:noProof/>
          <w:sz w:val="22"/>
          <w:szCs w:val="22"/>
          <w:vertAlign w:val="superscript"/>
        </w:rPr>
        <w:t>2,19</w:t>
      </w:r>
      <w:proofErr w:type="spellEnd"/>
      <w:r w:rsidR="009A4503">
        <w:rPr>
          <w:rFonts w:cs="Times New Roman"/>
          <w:sz w:val="22"/>
          <w:szCs w:val="22"/>
        </w:rPr>
        <w:fldChar w:fldCharType="end"/>
      </w:r>
      <w:r w:rsidR="009A4503">
        <w:rPr>
          <w:rFonts w:cs="Times New Roman"/>
          <w:sz w:val="22"/>
          <w:szCs w:val="22"/>
        </w:rPr>
        <w:t xml:space="preserve"> </w:t>
      </w:r>
      <w:r w:rsidR="0080478A">
        <w:rPr>
          <w:rFonts w:cs="Times New Roman"/>
          <w:sz w:val="22"/>
          <w:szCs w:val="22"/>
        </w:rPr>
        <w:t>Bereaved people may also feel isolated as health and social care professional contact dimi</w:t>
      </w:r>
      <w:r w:rsidR="00BC0421">
        <w:rPr>
          <w:rFonts w:cs="Times New Roman"/>
          <w:sz w:val="22"/>
          <w:szCs w:val="22"/>
        </w:rPr>
        <w:t>nishes after someone has died.</w:t>
      </w:r>
      <w:r w:rsidR="0080478A">
        <w:rPr>
          <w:rFonts w:cs="Times New Roman"/>
          <w:sz w:val="22"/>
          <w:szCs w:val="22"/>
        </w:rPr>
        <w:t xml:space="preserve"> In addition to the loss of social activity, they may experience a loss of identity and role. </w:t>
      </w:r>
      <w:r w:rsidR="00BC0421">
        <w:rPr>
          <w:rFonts w:cs="Times New Roman"/>
          <w:sz w:val="22"/>
          <w:szCs w:val="22"/>
        </w:rPr>
        <w:fldChar w:fldCharType="begin" w:fldLock="1"/>
      </w:r>
      <w:r w:rsidR="00BC0421">
        <w:rPr>
          <w:rFonts w:cs="Times New Roman"/>
          <w:sz w:val="22"/>
          <w:szCs w:val="22"/>
        </w:rPr>
        <w:instrText>ADDIN CSL_CITATION { "citationItems" : [ { "id" : "ITEM-1", "itemData" : { "DOI" : "10.1300/J009v29n02_17", "ISBN" : "Social Work with Groups, Vol. 29, No. 2-3, 2006: pp. 259\u2013278", "ISSN" : "0160-9513", "abstract" : "SUMMARY This paper describes how a time-limited, closed bereavement support group for spouses and significant others was developed at a large, urban cancer center that had not had any formalized bereavement program for some time. This group was created in an attempt to reach out to people who were experiencing the appropriately difficult responses to grief after the loss of a loved one. This paper presents lessons and \u201cbest practices\u201d derived from this experience, suggests standards for pre-group planning, and offers a glimpse of how a bereavement group can be especially beneficial to spouses within the first year of loss.", "author" : [ { "dropping-particle" : "", "family" : "Schneider", "given" : "Rachel M.", "non-dropping-particle" : "", "parse-names" : false, "suffix" : "" } ], "container-title" : "Social Work With Groups", "id" : "ITEM-1", "issue" : "2-3", "issued" : { "date-parts" : [ [ "2006", "10", "17" ] ] }, "language" : "en", "page" : "259-278", "publisher" : "Taylor &amp; Francis Group", "title" : "Group Bereavement Support for Spouses Who Are Grieving the Loss of a Partner to Cancer", "type" : "article-journal", "volume" : "29" }, "uris" : [ "http://www.mendeley.com/documents/?uuid=320691f2-be17-4bba-a8ab-de46adaf45b1" ] } ], "mendeley" : { "formattedCitation" : "&lt;sup&gt;20&lt;/sup&gt;", "plainTextFormattedCitation" : "20", "previouslyFormattedCitation" : "&lt;sup&gt;20&lt;/sup&gt;" }, "properties" : { "noteIndex" : 0 }, "schema" : "https://github.com/citation-style-language/schema/raw/master/csl-citation.json" }</w:instrText>
      </w:r>
      <w:r w:rsidR="00BC0421">
        <w:rPr>
          <w:rFonts w:cs="Times New Roman"/>
          <w:sz w:val="22"/>
          <w:szCs w:val="22"/>
        </w:rPr>
        <w:fldChar w:fldCharType="separate"/>
      </w:r>
      <w:r w:rsidR="00BC0421" w:rsidRPr="00BC0421">
        <w:rPr>
          <w:rFonts w:cs="Times New Roman"/>
          <w:noProof/>
          <w:sz w:val="22"/>
          <w:szCs w:val="22"/>
          <w:vertAlign w:val="superscript"/>
        </w:rPr>
        <w:t>20</w:t>
      </w:r>
      <w:r w:rsidR="00BC0421">
        <w:rPr>
          <w:rFonts w:cs="Times New Roman"/>
          <w:sz w:val="22"/>
          <w:szCs w:val="22"/>
        </w:rPr>
        <w:fldChar w:fldCharType="end"/>
      </w:r>
      <w:r w:rsidR="00BC0421">
        <w:rPr>
          <w:rFonts w:cs="Times New Roman"/>
          <w:sz w:val="22"/>
          <w:szCs w:val="22"/>
        </w:rPr>
        <w:t xml:space="preserve"> </w:t>
      </w:r>
      <w:r w:rsidR="0080478A">
        <w:rPr>
          <w:rFonts w:cs="Times New Roman"/>
          <w:sz w:val="22"/>
          <w:szCs w:val="22"/>
        </w:rPr>
        <w:t>The permanency</w:t>
      </w:r>
      <w:r w:rsidR="00F521F7">
        <w:rPr>
          <w:rFonts w:cs="Times New Roman"/>
          <w:sz w:val="22"/>
          <w:szCs w:val="22"/>
        </w:rPr>
        <w:t xml:space="preserve"> and significance</w:t>
      </w:r>
      <w:r w:rsidR="0080478A">
        <w:rPr>
          <w:rFonts w:cs="Times New Roman"/>
          <w:sz w:val="22"/>
          <w:szCs w:val="22"/>
        </w:rPr>
        <w:t xml:space="preserve"> of this varies across individuals, relationships, and cultures. Professionals </w:t>
      </w:r>
      <w:r w:rsidR="0080478A">
        <w:rPr>
          <w:rFonts w:cs="Times New Roman"/>
          <w:sz w:val="22"/>
          <w:szCs w:val="22"/>
        </w:rPr>
        <w:lastRenderedPageBreak/>
        <w:t xml:space="preserve">can be mindful of how they manage the transition and reduction of contact after someone has died. </w:t>
      </w:r>
    </w:p>
    <w:p w14:paraId="20354495" w14:textId="77777777" w:rsidR="006747E6" w:rsidRPr="00875ED5" w:rsidRDefault="006747E6" w:rsidP="008877D8">
      <w:pPr>
        <w:spacing w:line="276" w:lineRule="auto"/>
        <w:contextualSpacing/>
        <w:rPr>
          <w:rFonts w:cs="Times New Roman"/>
          <w:sz w:val="22"/>
          <w:szCs w:val="22"/>
        </w:rPr>
      </w:pPr>
    </w:p>
    <w:p w14:paraId="5CF486ED" w14:textId="77777777" w:rsidR="00376216" w:rsidRPr="00875ED5" w:rsidRDefault="00376216" w:rsidP="008877D8">
      <w:pPr>
        <w:spacing w:line="276" w:lineRule="auto"/>
        <w:contextualSpacing/>
        <w:rPr>
          <w:rFonts w:cs="Times New Roman"/>
          <w:sz w:val="22"/>
          <w:szCs w:val="22"/>
        </w:rPr>
      </w:pPr>
    </w:p>
    <w:p w14:paraId="2BE9189A" w14:textId="77777777" w:rsidR="00376216" w:rsidRPr="00875ED5" w:rsidRDefault="00376216" w:rsidP="008877D8">
      <w:pPr>
        <w:spacing w:line="276" w:lineRule="auto"/>
        <w:contextualSpacing/>
        <w:rPr>
          <w:rFonts w:cs="Times New Roman"/>
          <w:b/>
          <w:sz w:val="22"/>
          <w:szCs w:val="22"/>
        </w:rPr>
      </w:pPr>
      <w:r w:rsidRPr="00875ED5">
        <w:rPr>
          <w:rFonts w:cs="Times New Roman"/>
          <w:b/>
          <w:sz w:val="22"/>
          <w:szCs w:val="22"/>
        </w:rPr>
        <w:t>Discussion</w:t>
      </w:r>
    </w:p>
    <w:p w14:paraId="484F7FE2" w14:textId="661611A7" w:rsidR="00183342" w:rsidRPr="00875ED5" w:rsidRDefault="0080478A" w:rsidP="008877D8">
      <w:pPr>
        <w:spacing w:line="276" w:lineRule="auto"/>
        <w:contextualSpacing/>
        <w:rPr>
          <w:rFonts w:cs="Times New Roman"/>
          <w:sz w:val="22"/>
          <w:szCs w:val="22"/>
        </w:rPr>
      </w:pPr>
      <w:r>
        <w:rPr>
          <w:rFonts w:cs="Times New Roman"/>
          <w:sz w:val="22"/>
          <w:szCs w:val="22"/>
        </w:rPr>
        <w:t>D</w:t>
      </w:r>
      <w:r w:rsidR="003715B0">
        <w:rPr>
          <w:rFonts w:cs="Times New Roman"/>
          <w:sz w:val="22"/>
          <w:szCs w:val="22"/>
        </w:rPr>
        <w:t xml:space="preserve">istinguishing </w:t>
      </w:r>
      <w:r w:rsidR="007B3B5F">
        <w:rPr>
          <w:rFonts w:cs="Times New Roman"/>
          <w:sz w:val="22"/>
          <w:szCs w:val="22"/>
        </w:rPr>
        <w:t xml:space="preserve">between </w:t>
      </w:r>
      <w:r w:rsidR="00D77F4A" w:rsidRPr="00875ED5">
        <w:rPr>
          <w:rFonts w:cs="Times New Roman"/>
          <w:sz w:val="22"/>
          <w:szCs w:val="22"/>
        </w:rPr>
        <w:t xml:space="preserve">social death from </w:t>
      </w:r>
      <w:r w:rsidR="00EF05A9">
        <w:rPr>
          <w:rFonts w:cs="Times New Roman"/>
          <w:sz w:val="22"/>
          <w:szCs w:val="22"/>
        </w:rPr>
        <w:t xml:space="preserve">physical death </w:t>
      </w:r>
      <w:r w:rsidR="00D77F4A" w:rsidRPr="00875ED5">
        <w:rPr>
          <w:rFonts w:cs="Times New Roman"/>
          <w:sz w:val="22"/>
          <w:szCs w:val="22"/>
        </w:rPr>
        <w:t>enables</w:t>
      </w:r>
      <w:r w:rsidR="00EF05A9">
        <w:rPr>
          <w:rFonts w:cs="Times New Roman"/>
          <w:sz w:val="22"/>
          <w:szCs w:val="22"/>
        </w:rPr>
        <w:t xml:space="preserve"> a form of</w:t>
      </w:r>
      <w:r w:rsidR="00D77F4A" w:rsidRPr="00875ED5">
        <w:rPr>
          <w:rFonts w:cs="Times New Roman"/>
          <w:sz w:val="22"/>
          <w:szCs w:val="22"/>
        </w:rPr>
        <w:t xml:space="preserve"> analysis that identifies the ways in which people may or may not be treated as persons, have their agency acknowledged, or be considered </w:t>
      </w:r>
      <w:r w:rsidR="00EF05A9">
        <w:rPr>
          <w:rFonts w:cs="Times New Roman"/>
          <w:sz w:val="22"/>
          <w:szCs w:val="22"/>
        </w:rPr>
        <w:t xml:space="preserve">an </w:t>
      </w:r>
      <w:r w:rsidR="00D77F4A" w:rsidRPr="00875ED5">
        <w:rPr>
          <w:rFonts w:cs="Times New Roman"/>
          <w:sz w:val="22"/>
          <w:szCs w:val="22"/>
        </w:rPr>
        <w:t xml:space="preserve">active </w:t>
      </w:r>
      <w:r w:rsidR="00EF05A9">
        <w:rPr>
          <w:rFonts w:cs="Times New Roman"/>
          <w:sz w:val="22"/>
          <w:szCs w:val="22"/>
        </w:rPr>
        <w:t>participant in</w:t>
      </w:r>
      <w:r w:rsidR="00D77F4A" w:rsidRPr="00875ED5">
        <w:rPr>
          <w:rFonts w:cs="Times New Roman"/>
          <w:sz w:val="22"/>
          <w:szCs w:val="22"/>
        </w:rPr>
        <w:t xml:space="preserve"> social relationships. </w:t>
      </w:r>
      <w:r w:rsidR="00183342" w:rsidRPr="00875ED5">
        <w:rPr>
          <w:rFonts w:cs="Times New Roman"/>
          <w:sz w:val="22"/>
          <w:szCs w:val="22"/>
        </w:rPr>
        <w:t>From a clinical perspective, being sensitive to the ways in which social death may occur can keep one attune</w:t>
      </w:r>
      <w:r w:rsidR="00EF05A9">
        <w:rPr>
          <w:rFonts w:cs="Times New Roman"/>
          <w:sz w:val="22"/>
          <w:szCs w:val="22"/>
        </w:rPr>
        <w:t>d</w:t>
      </w:r>
      <w:r w:rsidR="00183342" w:rsidRPr="00875ED5">
        <w:rPr>
          <w:rFonts w:cs="Times New Roman"/>
          <w:sz w:val="22"/>
          <w:szCs w:val="22"/>
        </w:rPr>
        <w:t xml:space="preserve"> to how perceptions of</w:t>
      </w:r>
      <w:r w:rsidR="00EF05A9">
        <w:rPr>
          <w:rFonts w:cs="Times New Roman"/>
          <w:sz w:val="22"/>
          <w:szCs w:val="22"/>
        </w:rPr>
        <w:t xml:space="preserve"> and</w:t>
      </w:r>
      <w:r w:rsidR="00183342" w:rsidRPr="00875ED5">
        <w:rPr>
          <w:rFonts w:cs="Times New Roman"/>
          <w:sz w:val="22"/>
          <w:szCs w:val="22"/>
        </w:rPr>
        <w:t xml:space="preserve"> </w:t>
      </w:r>
      <w:r w:rsidR="00EF05A9" w:rsidRPr="00875ED5">
        <w:rPr>
          <w:rFonts w:cs="Times New Roman"/>
          <w:sz w:val="22"/>
          <w:szCs w:val="22"/>
        </w:rPr>
        <w:t xml:space="preserve">changes in interactions with </w:t>
      </w:r>
      <w:r w:rsidR="00183342" w:rsidRPr="00875ED5">
        <w:rPr>
          <w:rFonts w:cs="Times New Roman"/>
          <w:sz w:val="22"/>
          <w:szCs w:val="22"/>
        </w:rPr>
        <w:t xml:space="preserve">patients can (often inadvertently) result in treating them differently and </w:t>
      </w:r>
      <w:r w:rsidR="00EF05A9">
        <w:rPr>
          <w:rFonts w:cs="Times New Roman"/>
          <w:sz w:val="22"/>
          <w:szCs w:val="22"/>
        </w:rPr>
        <w:t>may place</w:t>
      </w:r>
      <w:r w:rsidR="007620B1">
        <w:rPr>
          <w:rFonts w:cs="Times New Roman"/>
          <w:sz w:val="22"/>
          <w:szCs w:val="22"/>
        </w:rPr>
        <w:t xml:space="preserve"> their moral entitlement to treatment and care</w:t>
      </w:r>
      <w:r w:rsidR="00EF05A9">
        <w:rPr>
          <w:rFonts w:cs="Times New Roman"/>
          <w:sz w:val="22"/>
          <w:szCs w:val="22"/>
        </w:rPr>
        <w:t xml:space="preserve"> at risk</w:t>
      </w:r>
      <w:r w:rsidR="007620B1">
        <w:rPr>
          <w:rFonts w:cs="Times New Roman"/>
          <w:sz w:val="22"/>
          <w:szCs w:val="22"/>
        </w:rPr>
        <w:t xml:space="preserve">. </w:t>
      </w:r>
    </w:p>
    <w:p w14:paraId="21E02878" w14:textId="77777777" w:rsidR="00183342" w:rsidRPr="00875ED5" w:rsidRDefault="00183342" w:rsidP="008877D8">
      <w:pPr>
        <w:spacing w:line="276" w:lineRule="auto"/>
        <w:contextualSpacing/>
        <w:rPr>
          <w:rFonts w:cs="Times New Roman"/>
          <w:sz w:val="22"/>
          <w:szCs w:val="22"/>
        </w:rPr>
      </w:pPr>
    </w:p>
    <w:p w14:paraId="0D36A5C7" w14:textId="433EFC81" w:rsidR="00396CCB" w:rsidRDefault="00EF05A9" w:rsidP="008877D8">
      <w:pPr>
        <w:spacing w:line="276" w:lineRule="auto"/>
        <w:contextualSpacing/>
        <w:rPr>
          <w:rFonts w:cs="Times New Roman"/>
          <w:sz w:val="22"/>
          <w:szCs w:val="22"/>
        </w:rPr>
      </w:pPr>
      <w:r w:rsidRPr="00875ED5">
        <w:rPr>
          <w:rFonts w:cs="Times New Roman"/>
          <w:sz w:val="22"/>
          <w:szCs w:val="22"/>
        </w:rPr>
        <w:t xml:space="preserve">Goffman noted that </w:t>
      </w:r>
      <w:r>
        <w:rPr>
          <w:rFonts w:cs="Times New Roman"/>
          <w:sz w:val="22"/>
          <w:szCs w:val="22"/>
        </w:rPr>
        <w:t>healthcare professionals</w:t>
      </w:r>
      <w:r w:rsidRPr="00875ED5">
        <w:rPr>
          <w:rFonts w:cs="Times New Roman"/>
          <w:sz w:val="22"/>
          <w:szCs w:val="22"/>
        </w:rPr>
        <w:t xml:space="preserve"> would </w:t>
      </w:r>
      <w:r>
        <w:rPr>
          <w:rFonts w:cs="Times New Roman"/>
          <w:sz w:val="22"/>
          <w:szCs w:val="22"/>
        </w:rPr>
        <w:t xml:space="preserve">often </w:t>
      </w:r>
      <w:r w:rsidRPr="00875ED5">
        <w:rPr>
          <w:rFonts w:cs="Times New Roman"/>
          <w:sz w:val="22"/>
          <w:szCs w:val="22"/>
        </w:rPr>
        <w:t>speak</w:t>
      </w:r>
      <w:r w:rsidR="000528D1">
        <w:rPr>
          <w:rFonts w:cs="Times New Roman"/>
          <w:sz w:val="22"/>
          <w:szCs w:val="22"/>
        </w:rPr>
        <w:t xml:space="preserve"> to each other</w:t>
      </w:r>
      <w:r w:rsidRPr="00875ED5">
        <w:rPr>
          <w:rFonts w:cs="Times New Roman"/>
          <w:sz w:val="22"/>
          <w:szCs w:val="22"/>
        </w:rPr>
        <w:t xml:space="preserve"> about patients as if </w:t>
      </w:r>
      <w:r w:rsidR="00396CCB">
        <w:rPr>
          <w:rFonts w:cs="Times New Roman"/>
          <w:sz w:val="22"/>
          <w:szCs w:val="22"/>
        </w:rPr>
        <w:t>they</w:t>
      </w:r>
      <w:r w:rsidRPr="00875ED5">
        <w:rPr>
          <w:rFonts w:cs="Times New Roman"/>
          <w:sz w:val="22"/>
          <w:szCs w:val="22"/>
        </w:rPr>
        <w:t xml:space="preserve"> were inanimate objects</w:t>
      </w:r>
      <w:r>
        <w:rPr>
          <w:rFonts w:cs="Times New Roman"/>
          <w:sz w:val="22"/>
          <w:szCs w:val="22"/>
        </w:rPr>
        <w:t>,</w:t>
      </w:r>
      <w:r w:rsidRPr="00875ED5">
        <w:rPr>
          <w:rFonts w:cs="Times New Roman"/>
          <w:sz w:val="22"/>
          <w:szCs w:val="22"/>
        </w:rPr>
        <w:t xml:space="preserve"> </w:t>
      </w:r>
      <w:r w:rsidR="000528D1">
        <w:rPr>
          <w:rFonts w:cs="Times New Roman"/>
          <w:sz w:val="22"/>
          <w:szCs w:val="22"/>
        </w:rPr>
        <w:t>even if they were present during the conversation</w:t>
      </w:r>
      <w:r w:rsidR="0080478A">
        <w:rPr>
          <w:rFonts w:cs="Times New Roman"/>
          <w:sz w:val="22"/>
          <w:szCs w:val="22"/>
        </w:rPr>
        <w:t>. He considered this as treating patients</w:t>
      </w:r>
      <w:r>
        <w:rPr>
          <w:rFonts w:cs="Times New Roman"/>
          <w:sz w:val="22"/>
          <w:szCs w:val="22"/>
        </w:rPr>
        <w:t xml:space="preserve"> as non-</w:t>
      </w:r>
      <w:proofErr w:type="spellStart"/>
      <w:r>
        <w:rPr>
          <w:rFonts w:cs="Times New Roman"/>
          <w:sz w:val="22"/>
          <w:szCs w:val="22"/>
        </w:rPr>
        <w:t>persons</w:t>
      </w:r>
      <w:r w:rsidRPr="00875ED5">
        <w:rPr>
          <w:rFonts w:cs="Times New Roman"/>
          <w:sz w:val="22"/>
          <w:szCs w:val="22"/>
        </w:rPr>
        <w:t>.</w:t>
      </w:r>
      <w:r>
        <w:rPr>
          <w:rFonts w:cs="Times New Roman"/>
          <w:sz w:val="22"/>
          <w:szCs w:val="22"/>
        </w:rPr>
        <w:fldChar w:fldCharType="begin" w:fldLock="1"/>
      </w:r>
      <w:r w:rsidR="00BC0421">
        <w:rPr>
          <w:rFonts w:cs="Times New Roman"/>
          <w:sz w:val="22"/>
          <w:szCs w:val="22"/>
        </w:rPr>
        <w:instrText>ADDIN CSL_CITATION { "citationItems" : [ { "id" : "ITEM-1", "itemData" : { "author" : [ { "dropping-particle" : "", "family" : "Goffman", "given" : "Erving", "non-dropping-particle" : "", "parse-names" : false, "suffix" : "" } ], "id" : "ITEM-1", "issued" : { "date-parts" : [ [ "1963" ] ] }, "publisher" : "Prentice-Hall", "publisher-place" : "Englewood Cliffs, NJ", "title" : "Stigma: Notes on the Management of Spoiled Identity", "type" : "book" }, "uris" : [ "http://www.mendeley.com/documents/?uuid=452c0522-347d-4b6f-8064-e060f0097ff8" ] } ], "mendeley" : { "formattedCitation" : "&lt;sup&gt;21&lt;/sup&gt;", "plainTextFormattedCitation" : "21", "previouslyFormattedCitation" : "&lt;sup&gt;21&lt;/sup&gt;" }, "properties" : { "noteIndex" : 0 }, "schema" : "https://github.com/citation-style-language/schema/raw/master/csl-citation.json" }</w:instrText>
      </w:r>
      <w:r>
        <w:rPr>
          <w:rFonts w:cs="Times New Roman"/>
          <w:sz w:val="22"/>
          <w:szCs w:val="22"/>
        </w:rPr>
        <w:fldChar w:fldCharType="separate"/>
      </w:r>
      <w:r w:rsidR="00BC0421" w:rsidRPr="00BC0421">
        <w:rPr>
          <w:rFonts w:cs="Times New Roman"/>
          <w:noProof/>
          <w:sz w:val="22"/>
          <w:szCs w:val="22"/>
          <w:vertAlign w:val="superscript"/>
        </w:rPr>
        <w:t>21</w:t>
      </w:r>
      <w:proofErr w:type="spellEnd"/>
      <w:r>
        <w:rPr>
          <w:rFonts w:cs="Times New Roman"/>
          <w:sz w:val="22"/>
          <w:szCs w:val="22"/>
        </w:rPr>
        <w:fldChar w:fldCharType="end"/>
      </w:r>
      <w:r>
        <w:rPr>
          <w:rFonts w:cs="Times New Roman"/>
          <w:sz w:val="22"/>
          <w:szCs w:val="22"/>
        </w:rPr>
        <w:t xml:space="preserve"> Given that the clinical and scientific discourse of healthcare requires professionals </w:t>
      </w:r>
      <w:r w:rsidR="00801569">
        <w:rPr>
          <w:rFonts w:cs="Times New Roman"/>
          <w:sz w:val="22"/>
          <w:szCs w:val="22"/>
        </w:rPr>
        <w:t xml:space="preserve">to </w:t>
      </w:r>
      <w:r>
        <w:rPr>
          <w:rFonts w:cs="Times New Roman"/>
          <w:sz w:val="22"/>
          <w:szCs w:val="22"/>
        </w:rPr>
        <w:t xml:space="preserve">objectify patients to a certain degree, there is a need to ensure this does not result in their dehumanisation. </w:t>
      </w:r>
      <w:r w:rsidR="000528D1">
        <w:rPr>
          <w:rFonts w:cs="Times New Roman"/>
          <w:sz w:val="22"/>
          <w:szCs w:val="22"/>
        </w:rPr>
        <w:t>H</w:t>
      </w:r>
      <w:r w:rsidR="000528D1" w:rsidRPr="00875ED5">
        <w:rPr>
          <w:rFonts w:cs="Times New Roman"/>
          <w:sz w:val="22"/>
          <w:szCs w:val="22"/>
        </w:rPr>
        <w:t xml:space="preserve">ealthcare professionals can avoid treating patients as if they are </w:t>
      </w:r>
      <w:r w:rsidR="000528D1">
        <w:rPr>
          <w:rFonts w:cs="Times New Roman"/>
          <w:sz w:val="22"/>
          <w:szCs w:val="22"/>
        </w:rPr>
        <w:t>(</w:t>
      </w:r>
      <w:r w:rsidR="000528D1" w:rsidRPr="00875ED5">
        <w:rPr>
          <w:rFonts w:cs="Times New Roman"/>
          <w:sz w:val="22"/>
          <w:szCs w:val="22"/>
        </w:rPr>
        <w:t>socially</w:t>
      </w:r>
      <w:r w:rsidR="000528D1">
        <w:rPr>
          <w:rFonts w:cs="Times New Roman"/>
          <w:sz w:val="22"/>
          <w:szCs w:val="22"/>
        </w:rPr>
        <w:t>)</w:t>
      </w:r>
      <w:r w:rsidR="000528D1" w:rsidRPr="00875ED5">
        <w:rPr>
          <w:rFonts w:cs="Times New Roman"/>
          <w:sz w:val="22"/>
          <w:szCs w:val="22"/>
        </w:rPr>
        <w:t xml:space="preserve"> dead </w:t>
      </w:r>
      <w:r w:rsidR="000528D1">
        <w:rPr>
          <w:rFonts w:cs="Times New Roman"/>
          <w:sz w:val="22"/>
          <w:szCs w:val="22"/>
        </w:rPr>
        <w:t>through being</w:t>
      </w:r>
      <w:r w:rsidR="000528D1" w:rsidRPr="00875ED5">
        <w:rPr>
          <w:rFonts w:cs="Times New Roman"/>
          <w:sz w:val="22"/>
          <w:szCs w:val="22"/>
        </w:rPr>
        <w:t xml:space="preserve"> </w:t>
      </w:r>
      <w:r w:rsidR="00396CCB">
        <w:rPr>
          <w:rFonts w:cs="Times New Roman"/>
          <w:sz w:val="22"/>
          <w:szCs w:val="22"/>
        </w:rPr>
        <w:t>reflexive about</w:t>
      </w:r>
      <w:r w:rsidR="000528D1" w:rsidRPr="00875ED5">
        <w:rPr>
          <w:rFonts w:cs="Times New Roman"/>
          <w:sz w:val="22"/>
          <w:szCs w:val="22"/>
        </w:rPr>
        <w:t xml:space="preserve"> how they talk about patients</w:t>
      </w:r>
      <w:r w:rsidR="0080478A">
        <w:rPr>
          <w:rFonts w:cs="Times New Roman"/>
          <w:sz w:val="22"/>
          <w:szCs w:val="22"/>
        </w:rPr>
        <w:t xml:space="preserve">. </w:t>
      </w:r>
      <w:r w:rsidR="000528D1" w:rsidRPr="00875ED5">
        <w:rPr>
          <w:rFonts w:cs="Times New Roman"/>
          <w:sz w:val="22"/>
          <w:szCs w:val="22"/>
        </w:rPr>
        <w:t xml:space="preserve"> </w:t>
      </w:r>
    </w:p>
    <w:p w14:paraId="1B1360C0" w14:textId="77777777" w:rsidR="00396CCB" w:rsidRDefault="00396CCB" w:rsidP="008877D8">
      <w:pPr>
        <w:spacing w:line="276" w:lineRule="auto"/>
        <w:contextualSpacing/>
        <w:rPr>
          <w:rFonts w:cs="Times New Roman"/>
          <w:sz w:val="22"/>
          <w:szCs w:val="22"/>
        </w:rPr>
      </w:pPr>
    </w:p>
    <w:p w14:paraId="2CD10C37" w14:textId="2D21C95C" w:rsidR="00183342" w:rsidRPr="00875ED5" w:rsidRDefault="00183342" w:rsidP="008877D8">
      <w:pPr>
        <w:spacing w:line="276" w:lineRule="auto"/>
        <w:contextualSpacing/>
        <w:rPr>
          <w:rFonts w:cs="Times New Roman"/>
          <w:sz w:val="22"/>
          <w:szCs w:val="22"/>
        </w:rPr>
      </w:pPr>
      <w:r w:rsidRPr="00875ED5">
        <w:rPr>
          <w:rFonts w:cs="Times New Roman"/>
          <w:sz w:val="22"/>
          <w:szCs w:val="22"/>
        </w:rPr>
        <w:t>Within end</w:t>
      </w:r>
      <w:r w:rsidR="0080478A">
        <w:rPr>
          <w:rFonts w:cs="Times New Roman"/>
          <w:sz w:val="22"/>
          <w:szCs w:val="22"/>
        </w:rPr>
        <w:t>-</w:t>
      </w:r>
      <w:r w:rsidRPr="00875ED5">
        <w:rPr>
          <w:rFonts w:cs="Times New Roman"/>
          <w:sz w:val="22"/>
          <w:szCs w:val="22"/>
        </w:rPr>
        <w:t>of life</w:t>
      </w:r>
      <w:r w:rsidR="0080478A">
        <w:rPr>
          <w:rFonts w:cs="Times New Roman"/>
          <w:sz w:val="22"/>
          <w:szCs w:val="22"/>
        </w:rPr>
        <w:t>-</w:t>
      </w:r>
      <w:r w:rsidRPr="00875ED5">
        <w:rPr>
          <w:rFonts w:cs="Times New Roman"/>
          <w:sz w:val="22"/>
          <w:szCs w:val="22"/>
        </w:rPr>
        <w:t xml:space="preserve">care policy, one suggestion for preventing social death before physical death is to promote the </w:t>
      </w:r>
      <w:r w:rsidR="0080478A">
        <w:rPr>
          <w:rFonts w:cs="Times New Roman"/>
          <w:sz w:val="22"/>
          <w:szCs w:val="22"/>
        </w:rPr>
        <w:t>person’s agency, particularly i</w:t>
      </w:r>
      <w:r w:rsidR="00B80CDE">
        <w:rPr>
          <w:rFonts w:cs="Times New Roman"/>
          <w:sz w:val="22"/>
          <w:szCs w:val="22"/>
        </w:rPr>
        <w:t>f they may lose the ability to do this in the future</w:t>
      </w:r>
      <w:r w:rsidR="0080478A">
        <w:rPr>
          <w:rFonts w:cs="Times New Roman"/>
          <w:sz w:val="22"/>
          <w:szCs w:val="22"/>
        </w:rPr>
        <w:t>.</w:t>
      </w:r>
      <w:r w:rsidR="00B80CDE" w:rsidRPr="00B80CDE">
        <w:rPr>
          <w:rFonts w:cs="Times New Roman"/>
          <w:sz w:val="22"/>
          <w:szCs w:val="22"/>
        </w:rPr>
        <w:t xml:space="preserve"> </w:t>
      </w:r>
      <w:r w:rsidR="00B80CDE">
        <w:rPr>
          <w:rFonts w:cs="Times New Roman"/>
          <w:sz w:val="22"/>
          <w:szCs w:val="22"/>
        </w:rPr>
        <w:fldChar w:fldCharType="begin" w:fldLock="1"/>
      </w:r>
      <w:r w:rsidR="00BC0421">
        <w:rPr>
          <w:rFonts w:cs="Times New Roman"/>
          <w:sz w:val="22"/>
          <w:szCs w:val="22"/>
        </w:rPr>
        <w:instrText>ADDIN CSL_CITATION { "citationItems" : [ { "id" : "ITEM-1", "itemData" : { "DOI" : "10.1080/21582041.2015.1109799", "ISSN" : "2158-2041", "abstract" : "Social death denotes a loss of personhood. The concept of social death is engaged with in English end-of-life care policy that sees social death before physical death as a problem. Policy-makers posit that dying persons are likely to be subject to a social death prior to their physical death unless they play an active and aware role in planning their death, facilitated through communication and access to services. Such a view foregrounds a vision of agency and does not address Sudnow's critique of how care of the dying focuses on the body.", "author" : [ { "dropping-particle" : "", "family" : "Borgstrom", "given" : "Erica", "non-dropping-particle" : "", "parse-names" : false, "suffix" : "" } ], "container-title" : "Contemporary Social Science", "id" : "ITEM-1", "issued" : { "date-parts" : [ [ "2015", "11", "17" ] ] }, "language" : "en", "page" : "1-12", "publisher" : "Routledge", "title" : "Social death in end-of-life care policy", "type" : "article-journal" }, "uris" : [ "http://www.mendeley.com/documents/?uuid=11fa9793-8143-48a6-8860-c36220a4c18f" ] } ], "mendeley" : { "formattedCitation" : "&lt;sup&gt;22&lt;/sup&gt;", "plainTextFormattedCitation" : "22", "previouslyFormattedCitation" : "&lt;sup&gt;22&lt;/sup&gt;" }, "properties" : { "noteIndex" : 0 }, "schema" : "https://github.com/citation-style-language/schema/raw/master/csl-citation.json" }</w:instrText>
      </w:r>
      <w:r w:rsidR="00B80CDE">
        <w:rPr>
          <w:rFonts w:cs="Times New Roman"/>
          <w:sz w:val="22"/>
          <w:szCs w:val="22"/>
        </w:rPr>
        <w:fldChar w:fldCharType="separate"/>
      </w:r>
      <w:r w:rsidR="00BC0421" w:rsidRPr="00BC0421">
        <w:rPr>
          <w:rFonts w:cs="Times New Roman"/>
          <w:noProof/>
          <w:sz w:val="22"/>
          <w:szCs w:val="22"/>
          <w:vertAlign w:val="superscript"/>
        </w:rPr>
        <w:t>22</w:t>
      </w:r>
      <w:r w:rsidR="00B80CDE">
        <w:rPr>
          <w:rFonts w:cs="Times New Roman"/>
          <w:sz w:val="22"/>
          <w:szCs w:val="22"/>
        </w:rPr>
        <w:fldChar w:fldCharType="end"/>
      </w:r>
      <w:r w:rsidR="00B80CDE" w:rsidRPr="00875ED5">
        <w:rPr>
          <w:rFonts w:cs="Times New Roman"/>
          <w:sz w:val="22"/>
          <w:szCs w:val="22"/>
        </w:rPr>
        <w:t xml:space="preserve"> </w:t>
      </w:r>
      <w:r w:rsidR="0080478A">
        <w:rPr>
          <w:rFonts w:cs="Times New Roman"/>
          <w:sz w:val="22"/>
          <w:szCs w:val="22"/>
        </w:rPr>
        <w:t>This can be done through</w:t>
      </w:r>
      <w:r w:rsidR="00B80CDE">
        <w:rPr>
          <w:rFonts w:cs="Times New Roman"/>
          <w:sz w:val="22"/>
          <w:szCs w:val="22"/>
        </w:rPr>
        <w:t>:</w:t>
      </w:r>
      <w:r w:rsidR="0080478A">
        <w:rPr>
          <w:rFonts w:cs="Times New Roman"/>
          <w:sz w:val="22"/>
          <w:szCs w:val="22"/>
        </w:rPr>
        <w:t xml:space="preserve"> the </w:t>
      </w:r>
      <w:r w:rsidRPr="00875ED5">
        <w:rPr>
          <w:rFonts w:cs="Times New Roman"/>
          <w:sz w:val="22"/>
          <w:szCs w:val="22"/>
        </w:rPr>
        <w:t>use of advance care planning</w:t>
      </w:r>
      <w:r w:rsidR="00B80CDE">
        <w:rPr>
          <w:rFonts w:cs="Times New Roman"/>
          <w:sz w:val="22"/>
          <w:szCs w:val="22"/>
        </w:rPr>
        <w:t>;</w:t>
      </w:r>
      <w:r w:rsidRPr="00875ED5">
        <w:rPr>
          <w:rFonts w:cs="Times New Roman"/>
          <w:sz w:val="22"/>
          <w:szCs w:val="22"/>
        </w:rPr>
        <w:t xml:space="preserve"> </w:t>
      </w:r>
      <w:r w:rsidR="00EF05A9">
        <w:rPr>
          <w:rFonts w:cs="Times New Roman"/>
          <w:sz w:val="22"/>
          <w:szCs w:val="22"/>
        </w:rPr>
        <w:t>increase</w:t>
      </w:r>
      <w:r w:rsidR="00B80CDE">
        <w:rPr>
          <w:rFonts w:cs="Times New Roman"/>
          <w:sz w:val="22"/>
          <w:szCs w:val="22"/>
        </w:rPr>
        <w:t>d</w:t>
      </w:r>
      <w:r w:rsidR="00EF05A9">
        <w:rPr>
          <w:rFonts w:cs="Times New Roman"/>
          <w:sz w:val="22"/>
          <w:szCs w:val="22"/>
        </w:rPr>
        <w:t xml:space="preserve"> </w:t>
      </w:r>
      <w:r w:rsidRPr="00875ED5">
        <w:rPr>
          <w:rFonts w:cs="Times New Roman"/>
          <w:sz w:val="22"/>
          <w:szCs w:val="22"/>
        </w:rPr>
        <w:t xml:space="preserve">opportunities </w:t>
      </w:r>
      <w:r w:rsidR="00EF05A9">
        <w:rPr>
          <w:rFonts w:cs="Times New Roman"/>
          <w:sz w:val="22"/>
          <w:szCs w:val="22"/>
        </w:rPr>
        <w:t>for</w:t>
      </w:r>
      <w:r w:rsidR="00EF05A9" w:rsidRPr="00875ED5">
        <w:rPr>
          <w:rFonts w:cs="Times New Roman"/>
          <w:sz w:val="22"/>
          <w:szCs w:val="22"/>
        </w:rPr>
        <w:t xml:space="preserve"> </w:t>
      </w:r>
      <w:r w:rsidRPr="00875ED5">
        <w:rPr>
          <w:rFonts w:cs="Times New Roman"/>
          <w:sz w:val="22"/>
          <w:szCs w:val="22"/>
        </w:rPr>
        <w:t xml:space="preserve">patients </w:t>
      </w:r>
      <w:r w:rsidR="00EF05A9">
        <w:rPr>
          <w:rFonts w:cs="Times New Roman"/>
          <w:sz w:val="22"/>
          <w:szCs w:val="22"/>
        </w:rPr>
        <w:t>to</w:t>
      </w:r>
      <w:r w:rsidRPr="00875ED5">
        <w:rPr>
          <w:rFonts w:cs="Times New Roman"/>
          <w:sz w:val="22"/>
          <w:szCs w:val="22"/>
        </w:rPr>
        <w:t xml:space="preserve"> exp</w:t>
      </w:r>
      <w:r w:rsidR="00565E1A">
        <w:rPr>
          <w:rFonts w:cs="Times New Roman"/>
          <w:sz w:val="22"/>
          <w:szCs w:val="22"/>
        </w:rPr>
        <w:t>ress their identity</w:t>
      </w:r>
      <w:r w:rsidR="00B80CDE">
        <w:rPr>
          <w:rFonts w:cs="Times New Roman"/>
          <w:sz w:val="22"/>
          <w:szCs w:val="22"/>
        </w:rPr>
        <w:t>;</w:t>
      </w:r>
      <w:r w:rsidR="000528D1">
        <w:rPr>
          <w:rFonts w:cs="Times New Roman"/>
          <w:sz w:val="22"/>
          <w:szCs w:val="22"/>
        </w:rPr>
        <w:t xml:space="preserve"> and </w:t>
      </w:r>
      <w:r w:rsidR="0080478A">
        <w:rPr>
          <w:rFonts w:cs="Times New Roman"/>
          <w:sz w:val="22"/>
          <w:szCs w:val="22"/>
        </w:rPr>
        <w:t xml:space="preserve">acknowledging </w:t>
      </w:r>
      <w:r w:rsidR="000528D1">
        <w:rPr>
          <w:rFonts w:cs="Times New Roman"/>
          <w:sz w:val="22"/>
          <w:szCs w:val="22"/>
        </w:rPr>
        <w:t xml:space="preserve">their views </w:t>
      </w:r>
      <w:r w:rsidR="0080478A">
        <w:rPr>
          <w:rFonts w:cs="Times New Roman"/>
          <w:sz w:val="22"/>
          <w:szCs w:val="22"/>
        </w:rPr>
        <w:t>in</w:t>
      </w:r>
      <w:r w:rsidR="000528D1">
        <w:rPr>
          <w:rFonts w:cs="Times New Roman"/>
          <w:sz w:val="22"/>
          <w:szCs w:val="22"/>
        </w:rPr>
        <w:t xml:space="preserve"> discussions with and between healthcare professionals</w:t>
      </w:r>
      <w:r w:rsidRPr="00875ED5">
        <w:rPr>
          <w:rFonts w:cs="Times New Roman"/>
          <w:sz w:val="22"/>
          <w:szCs w:val="22"/>
        </w:rPr>
        <w:t xml:space="preserve">. </w:t>
      </w:r>
      <w:r w:rsidR="00B80CDE">
        <w:rPr>
          <w:rFonts w:cs="Times New Roman"/>
          <w:sz w:val="22"/>
          <w:szCs w:val="22"/>
        </w:rPr>
        <w:t xml:space="preserve">Such approaches place value in a person’s perceived presence and social identity. </w:t>
      </w:r>
    </w:p>
    <w:p w14:paraId="656B5290" w14:textId="77777777" w:rsidR="00E92A53" w:rsidRPr="00875ED5" w:rsidRDefault="00E92A53" w:rsidP="008877D8">
      <w:pPr>
        <w:spacing w:line="276" w:lineRule="auto"/>
        <w:contextualSpacing/>
        <w:rPr>
          <w:rFonts w:cs="Times New Roman"/>
          <w:sz w:val="22"/>
          <w:szCs w:val="22"/>
        </w:rPr>
      </w:pPr>
    </w:p>
    <w:p w14:paraId="2014868E" w14:textId="3F9A073F" w:rsidR="00E92A53" w:rsidRPr="00875ED5" w:rsidRDefault="00396CCB" w:rsidP="008877D8">
      <w:pPr>
        <w:spacing w:line="276" w:lineRule="auto"/>
        <w:contextualSpacing/>
        <w:rPr>
          <w:rFonts w:cs="Times New Roman"/>
          <w:sz w:val="22"/>
          <w:szCs w:val="22"/>
        </w:rPr>
      </w:pPr>
      <w:r>
        <w:rPr>
          <w:rFonts w:cs="Times New Roman"/>
          <w:sz w:val="22"/>
          <w:szCs w:val="22"/>
        </w:rPr>
        <w:t>W</w:t>
      </w:r>
      <w:r w:rsidR="000B17A5" w:rsidRPr="00875ED5">
        <w:rPr>
          <w:rFonts w:cs="Times New Roman"/>
          <w:sz w:val="22"/>
          <w:szCs w:val="22"/>
        </w:rPr>
        <w:t>here social death represents an emphasis on the body,</w:t>
      </w:r>
      <w:r w:rsidR="001245C4">
        <w:rPr>
          <w:rFonts w:cs="Times New Roman"/>
          <w:sz w:val="22"/>
          <w:szCs w:val="22"/>
        </w:rPr>
        <w:t xml:space="preserve"> it is important that</w:t>
      </w:r>
      <w:r w:rsidR="000B17A5" w:rsidRPr="00875ED5">
        <w:rPr>
          <w:rFonts w:cs="Times New Roman"/>
          <w:sz w:val="22"/>
          <w:szCs w:val="22"/>
        </w:rPr>
        <w:t xml:space="preserve"> those working with and caring for people and their bodies </w:t>
      </w:r>
      <w:r w:rsidR="00680D76">
        <w:rPr>
          <w:rFonts w:cs="Times New Roman"/>
          <w:sz w:val="22"/>
          <w:szCs w:val="22"/>
        </w:rPr>
        <w:t>think about how</w:t>
      </w:r>
      <w:r w:rsidR="000B17A5" w:rsidRPr="00875ED5">
        <w:rPr>
          <w:rFonts w:cs="Times New Roman"/>
          <w:sz w:val="22"/>
          <w:szCs w:val="22"/>
        </w:rPr>
        <w:t xml:space="preserve"> their interactions </w:t>
      </w:r>
      <w:r w:rsidR="001245C4">
        <w:rPr>
          <w:rFonts w:cs="Times New Roman"/>
          <w:sz w:val="22"/>
          <w:szCs w:val="22"/>
        </w:rPr>
        <w:t>might enable</w:t>
      </w:r>
      <w:r w:rsidR="001245C4" w:rsidRPr="00875ED5">
        <w:rPr>
          <w:rFonts w:cs="Times New Roman"/>
          <w:sz w:val="22"/>
          <w:szCs w:val="22"/>
        </w:rPr>
        <w:t xml:space="preserve"> social death</w:t>
      </w:r>
      <w:r w:rsidR="00B80CDE">
        <w:rPr>
          <w:rFonts w:cs="Times New Roman"/>
          <w:sz w:val="22"/>
          <w:szCs w:val="22"/>
        </w:rPr>
        <w:t>. This can happen</w:t>
      </w:r>
      <w:r w:rsidR="00C14EF4">
        <w:rPr>
          <w:rFonts w:cs="Times New Roman"/>
          <w:sz w:val="22"/>
          <w:szCs w:val="22"/>
        </w:rPr>
        <w:t>,</w:t>
      </w:r>
      <w:r w:rsidR="001245C4" w:rsidRPr="00875ED5">
        <w:rPr>
          <w:rFonts w:cs="Times New Roman"/>
          <w:sz w:val="22"/>
          <w:szCs w:val="22"/>
        </w:rPr>
        <w:t xml:space="preserve"> </w:t>
      </w:r>
      <w:r w:rsidR="001245C4">
        <w:rPr>
          <w:rFonts w:cs="Times New Roman"/>
          <w:sz w:val="22"/>
          <w:szCs w:val="22"/>
        </w:rPr>
        <w:t>for example,</w:t>
      </w:r>
      <w:r w:rsidR="00783BFA" w:rsidRPr="00875ED5">
        <w:rPr>
          <w:rFonts w:cs="Times New Roman"/>
          <w:sz w:val="22"/>
          <w:szCs w:val="22"/>
        </w:rPr>
        <w:t xml:space="preserve"> </w:t>
      </w:r>
      <w:r w:rsidR="00B80CDE">
        <w:rPr>
          <w:rFonts w:cs="Times New Roman"/>
          <w:sz w:val="22"/>
          <w:szCs w:val="22"/>
        </w:rPr>
        <w:t xml:space="preserve">by </w:t>
      </w:r>
      <w:r w:rsidR="00783BFA" w:rsidRPr="00875ED5">
        <w:rPr>
          <w:rFonts w:cs="Times New Roman"/>
          <w:sz w:val="22"/>
          <w:szCs w:val="22"/>
        </w:rPr>
        <w:t>over-emphasis</w:t>
      </w:r>
      <w:r w:rsidR="00B80CDE">
        <w:rPr>
          <w:rFonts w:cs="Times New Roman"/>
          <w:sz w:val="22"/>
          <w:szCs w:val="22"/>
        </w:rPr>
        <w:t>ing</w:t>
      </w:r>
      <w:r w:rsidR="00783BFA" w:rsidRPr="00875ED5">
        <w:rPr>
          <w:rFonts w:cs="Times New Roman"/>
          <w:sz w:val="22"/>
          <w:szCs w:val="22"/>
        </w:rPr>
        <w:t xml:space="preserve"> disease management. Sampson et al. suggest that alternative therapies</w:t>
      </w:r>
      <w:r w:rsidR="00AA1A51">
        <w:rPr>
          <w:rFonts w:cs="Times New Roman"/>
          <w:sz w:val="22"/>
          <w:szCs w:val="22"/>
        </w:rPr>
        <w:t xml:space="preserve"> </w:t>
      </w:r>
      <w:r w:rsidR="00783BFA" w:rsidRPr="00875ED5">
        <w:rPr>
          <w:rFonts w:cs="Times New Roman"/>
          <w:sz w:val="22"/>
          <w:szCs w:val="22"/>
        </w:rPr>
        <w:t xml:space="preserve">provided as palliative care may help people feel like they are treated as a </w:t>
      </w:r>
      <w:proofErr w:type="spellStart"/>
      <w:r w:rsidR="00783BFA" w:rsidRPr="00875ED5">
        <w:rPr>
          <w:rFonts w:cs="Times New Roman"/>
          <w:sz w:val="22"/>
          <w:szCs w:val="22"/>
        </w:rPr>
        <w:t>person</w:t>
      </w:r>
      <w:r w:rsidR="00AA1A51">
        <w:rPr>
          <w:rFonts w:cs="Times New Roman"/>
          <w:sz w:val="22"/>
          <w:szCs w:val="22"/>
        </w:rPr>
        <w:t>.</w:t>
      </w:r>
      <w:r w:rsidR="00AA1A51">
        <w:rPr>
          <w:rFonts w:cs="Times New Roman"/>
          <w:sz w:val="22"/>
          <w:szCs w:val="22"/>
        </w:rPr>
        <w:fldChar w:fldCharType="begin" w:fldLock="1"/>
      </w:r>
      <w:r w:rsidR="00BC0421">
        <w:rPr>
          <w:rFonts w:cs="Times New Roman"/>
          <w:sz w:val="22"/>
          <w:szCs w:val="22"/>
        </w:rPr>
        <w:instrText>ADDIN CSL_CITATION { "citationItems" : [ { "id" : "ITEM-1", "itemData" : { "DOI" : "10.1136/bmjspcare-2013-000551", "ISSN" : "2045-4368", "PMID" : "24644204", "abstract" : "OBJECTIVES: The meaning that patients and carers attribute to their experience of palliative care is fundamental to the provision, practice and evaluation of optimal care. This analysis aims to establish contemporary key practices and priorities from the perspective of patients and carers.\n\nMETHODS: Thematic analysis was applied to 594 anonymised free text responses from patients and carers documenting their experiences of palliative care.\n\nRESULTS: The emotional experience of care is the most significant aspect documented by patients and carers. It refers to the process of care in key domains of respect, renewal, refuge and restorative care. Patients and carers described care as either enabling or directly provided. The emotional experience of care was not confined to psychosocial need and constituted a core practice drawing on professional expertise and interpersonal skills, some of which may be taken for granted by staff themselves.\n\nCONCLUSIONS: The emotional experience of care is examined as a practice rather than a topic, acknowledging that patients and carers documented the performance of care and the resulting impact in a variety of situations. The emotional experience of care comprises key aspects of contextual care facilitating autonomy and connectedness. It is embedded in relationships mediated by communication and tenor of care. The perspective of patients and carers places the emotional experience of palliative care centrally. This has implications for future service evaluation and the incorporation of this skill-based outcome alongside more traditional outcome measures such as the amelioration of physical symptoms.", "author" : [ { "dropping-particle" : "", "family" : "Sampson", "given" : "Cathy", "non-dropping-particle" : "", "parse-names" : false, "suffix" : "" }, { "dropping-particle" : "", "family" : "Finlay", "given" : "Ilora", "non-dropping-particle" : "", "parse-names" : false, "suffix" : "" }, { "dropping-particle" : "", "family" : "Byrne", "given" : "Anthony", "non-dropping-particle" : "", "parse-names" : false, "suffix" : "" }, { "dropping-particle" : "", "family" : "Snow", "given" : "Veronica", "non-dropping-particle" : "", "parse-names" : false, "suffix" : "" }, { "dropping-particle" : "", "family" : "Nelson", "given" : "Annmarie", "non-dropping-particle" : "", "parse-names" : false, "suffix" : "" } ], "container-title" : "BMJ supportive &amp; palliative care", "id" : "ITEM-1", "issue" : "3", "issued" : { "date-parts" : [ [ "2014", "9", "1" ] ] }, "page" : "291-8", "title" : "The practice of palliative care from the perspective of patients and carers.", "type" : "article-journal", "volume" : "4" }, "uris" : [ "http://www.mendeley.com/documents/?uuid=9e4164d7-9f14-48aa-80a1-759be45f49ca" ] } ], "mendeley" : { "formattedCitation" : "&lt;sup&gt;23&lt;/sup&gt;", "plainTextFormattedCitation" : "23", "previouslyFormattedCitation" : "&lt;sup&gt;23&lt;/sup&gt;" }, "properties" : { "noteIndex" : 0 }, "schema" : "https://github.com/citation-style-language/schema/raw/master/csl-citation.json" }</w:instrText>
      </w:r>
      <w:r w:rsidR="00AA1A51">
        <w:rPr>
          <w:rFonts w:cs="Times New Roman"/>
          <w:sz w:val="22"/>
          <w:szCs w:val="22"/>
        </w:rPr>
        <w:fldChar w:fldCharType="separate"/>
      </w:r>
      <w:r w:rsidR="00BC0421" w:rsidRPr="00BC0421">
        <w:rPr>
          <w:rFonts w:cs="Times New Roman"/>
          <w:noProof/>
          <w:sz w:val="22"/>
          <w:szCs w:val="22"/>
          <w:vertAlign w:val="superscript"/>
        </w:rPr>
        <w:t>23</w:t>
      </w:r>
      <w:proofErr w:type="spellEnd"/>
      <w:r w:rsidR="00AA1A51">
        <w:rPr>
          <w:rFonts w:cs="Times New Roman"/>
          <w:sz w:val="22"/>
          <w:szCs w:val="22"/>
        </w:rPr>
        <w:fldChar w:fldCharType="end"/>
      </w:r>
      <w:proofErr w:type="gramStart"/>
      <w:r w:rsidR="00AA1A51" w:rsidRPr="00875ED5">
        <w:rPr>
          <w:rFonts w:cs="Times New Roman"/>
          <w:sz w:val="22"/>
          <w:szCs w:val="22"/>
        </w:rPr>
        <w:t xml:space="preserve">  </w:t>
      </w:r>
      <w:r w:rsidR="00AA1A51">
        <w:rPr>
          <w:rFonts w:cs="Times New Roman"/>
          <w:sz w:val="22"/>
          <w:szCs w:val="22"/>
        </w:rPr>
        <w:t>This</w:t>
      </w:r>
      <w:proofErr w:type="gramEnd"/>
      <w:r w:rsidR="00AA1A51">
        <w:rPr>
          <w:rFonts w:cs="Times New Roman"/>
          <w:sz w:val="22"/>
          <w:szCs w:val="22"/>
        </w:rPr>
        <w:t xml:space="preserve"> is because they minimise the emphasis on disease and view the body as a site of respect. Such </w:t>
      </w:r>
      <w:r w:rsidR="00783BFA" w:rsidRPr="00875ED5">
        <w:rPr>
          <w:rFonts w:cs="Times New Roman"/>
          <w:sz w:val="22"/>
          <w:szCs w:val="22"/>
        </w:rPr>
        <w:t xml:space="preserve">interactions may </w:t>
      </w:r>
      <w:r w:rsidR="007620B1">
        <w:rPr>
          <w:rFonts w:cs="Times New Roman"/>
          <w:sz w:val="22"/>
          <w:szCs w:val="22"/>
        </w:rPr>
        <w:t>be restorative for the patient</w:t>
      </w:r>
      <w:r w:rsidR="00AA1A51">
        <w:rPr>
          <w:rFonts w:cs="Times New Roman"/>
          <w:sz w:val="22"/>
          <w:szCs w:val="22"/>
        </w:rPr>
        <w:t xml:space="preserve"> by focusing on their well-being</w:t>
      </w:r>
      <w:r w:rsidR="00783BFA" w:rsidRPr="00875ED5">
        <w:rPr>
          <w:rFonts w:cs="Times New Roman"/>
          <w:sz w:val="22"/>
          <w:szCs w:val="22"/>
        </w:rPr>
        <w:t xml:space="preserve">. </w:t>
      </w:r>
      <w:r w:rsidR="00AA1A51">
        <w:rPr>
          <w:rFonts w:cs="Times New Roman"/>
          <w:sz w:val="22"/>
          <w:szCs w:val="22"/>
        </w:rPr>
        <w:t xml:space="preserve">Consequently, handling the body in ways that are perceived to maintain dignity and one’s personhood can be helpful when there is a risk of social death. </w:t>
      </w:r>
    </w:p>
    <w:p w14:paraId="0D499072" w14:textId="77777777" w:rsidR="00183342" w:rsidRPr="00875ED5" w:rsidRDefault="00183342" w:rsidP="008877D8">
      <w:pPr>
        <w:spacing w:line="276" w:lineRule="auto"/>
        <w:contextualSpacing/>
        <w:rPr>
          <w:rFonts w:cs="Times New Roman"/>
          <w:sz w:val="22"/>
          <w:szCs w:val="22"/>
        </w:rPr>
      </w:pPr>
    </w:p>
    <w:p w14:paraId="13AB537C" w14:textId="326787EC" w:rsidR="00D77F4A" w:rsidRPr="00875ED5" w:rsidRDefault="00396CCB" w:rsidP="008877D8">
      <w:pPr>
        <w:spacing w:line="276" w:lineRule="auto"/>
        <w:contextualSpacing/>
        <w:rPr>
          <w:rFonts w:cs="Times New Roman"/>
          <w:sz w:val="22"/>
          <w:szCs w:val="22"/>
        </w:rPr>
      </w:pPr>
      <w:r>
        <w:rPr>
          <w:rFonts w:cs="Times New Roman"/>
          <w:sz w:val="22"/>
          <w:szCs w:val="22"/>
        </w:rPr>
        <w:t>T</w:t>
      </w:r>
      <w:r w:rsidR="00D77F4A" w:rsidRPr="00875ED5">
        <w:rPr>
          <w:rFonts w:cs="Times New Roman"/>
          <w:sz w:val="22"/>
          <w:szCs w:val="22"/>
        </w:rPr>
        <w:t>he concept</w:t>
      </w:r>
      <w:r w:rsidR="00183342" w:rsidRPr="00875ED5">
        <w:rPr>
          <w:rFonts w:cs="Times New Roman"/>
          <w:sz w:val="22"/>
          <w:szCs w:val="22"/>
        </w:rPr>
        <w:t xml:space="preserve"> of social death</w:t>
      </w:r>
      <w:r w:rsidR="00D77F4A" w:rsidRPr="00875ED5">
        <w:rPr>
          <w:rFonts w:cs="Times New Roman"/>
          <w:sz w:val="22"/>
          <w:szCs w:val="22"/>
        </w:rPr>
        <w:t xml:space="preserve"> </w:t>
      </w:r>
      <w:r w:rsidR="001245C4">
        <w:rPr>
          <w:rFonts w:cs="Times New Roman"/>
          <w:sz w:val="22"/>
          <w:szCs w:val="22"/>
        </w:rPr>
        <w:t>is not without</w:t>
      </w:r>
      <w:r w:rsidR="00D77F4A" w:rsidRPr="00875ED5">
        <w:rPr>
          <w:rFonts w:cs="Times New Roman"/>
          <w:sz w:val="22"/>
          <w:szCs w:val="22"/>
        </w:rPr>
        <w:t xml:space="preserve"> criticism, not least becaus</w:t>
      </w:r>
      <w:r w:rsidR="00982996">
        <w:rPr>
          <w:rFonts w:cs="Times New Roman"/>
          <w:sz w:val="22"/>
          <w:szCs w:val="22"/>
        </w:rPr>
        <w:t xml:space="preserve">e of the variation in its </w:t>
      </w:r>
      <w:proofErr w:type="spellStart"/>
      <w:r w:rsidR="00982996">
        <w:rPr>
          <w:rFonts w:cs="Times New Roman"/>
          <w:sz w:val="22"/>
          <w:szCs w:val="22"/>
        </w:rPr>
        <w:t>uses</w:t>
      </w:r>
      <w:r w:rsidR="00D77F4A" w:rsidRPr="00875ED5">
        <w:rPr>
          <w:rFonts w:cs="Times New Roman"/>
          <w:sz w:val="22"/>
          <w:szCs w:val="22"/>
        </w:rPr>
        <w:t>.</w:t>
      </w:r>
      <w:r w:rsidR="00982996">
        <w:rPr>
          <w:rFonts w:cs="Times New Roman"/>
          <w:sz w:val="22"/>
          <w:szCs w:val="22"/>
        </w:rPr>
        <w:fldChar w:fldCharType="begin" w:fldLock="1"/>
      </w:r>
      <w:r w:rsidR="00BC0421">
        <w:rPr>
          <w:rFonts w:cs="Times New Roman"/>
          <w:sz w:val="22"/>
          <w:szCs w:val="22"/>
        </w:rPr>
        <w:instrText>ADDIN CSL_CITATION { "citationItems" : [ { "id" : "ITEM-1", "itemData" : { "abstract" : "Social death is on many occasions used too broadly by academics in several different disciplines, creating ambiguity around its application. Conceptual clarification is needed, not least because of the importance of the empirical topics to which the concept has been applied, such as genocide, slavery and dementia. Analysis of repeatedly occurring structural similarities in diverse studies of social death reveals three underlying notions: a loss of social identity, a loss of social connectedness and losses associated with disintegration of the body. The article concludes firstly, that social death is a multifaceted phenomenon with a single conceptual framework; secondly, that in order to preserve the concept's theoretical potential it should only be used for the most extreme circumstances whereby most or all of the key facets are severely compromised and/or lost; thirdly, that social death might be usefully seen as the opposite of well-being, so that well-being and social death each clarify the meaning of ...", "author" : [ { "dropping-particle" : "", "family" : "Kr\u00e1lov\u00e1", "given" : "Jana", "non-dropping-particle" : "", "parse-names" : false, "suffix" : "" } ], "container-title" : "Contemporary Social Science", "id" : "ITEM-1", "issue" : "3", "issued" : { "date-parts" : [ [ "2015", "12", "9" ] ] }, "language" : "en", "page" : "235-248", "publisher" : "Routledge", "title" : "What is social death?", "type" : "article-journal", "volume" : "10" }, "uris" : [ "http://www.mendeley.com/documents/?uuid=834a3f72-dfdf-40a7-b4a4-dc6f88f8a9b7" ] } ], "mendeley" : { "formattedCitation" : "&lt;sup&gt;4&lt;/sup&gt;", "plainTextFormattedCitation" : "4", "previouslyFormattedCitation" : "&lt;sup&gt;4&lt;/sup&gt;" }, "properties" : { "noteIndex" : 0 }, "schema" : "https://github.com/citation-style-language/schema/raw/master/csl-citation.json" }</w:instrText>
      </w:r>
      <w:r w:rsidR="00982996">
        <w:rPr>
          <w:rFonts w:cs="Times New Roman"/>
          <w:sz w:val="22"/>
          <w:szCs w:val="22"/>
        </w:rPr>
        <w:fldChar w:fldCharType="separate"/>
      </w:r>
      <w:r w:rsidR="00982996" w:rsidRPr="00982996">
        <w:rPr>
          <w:rFonts w:cs="Times New Roman"/>
          <w:noProof/>
          <w:sz w:val="22"/>
          <w:szCs w:val="22"/>
          <w:vertAlign w:val="superscript"/>
        </w:rPr>
        <w:t>4</w:t>
      </w:r>
      <w:proofErr w:type="spellEnd"/>
      <w:r w:rsidR="00982996">
        <w:rPr>
          <w:rFonts w:cs="Times New Roman"/>
          <w:sz w:val="22"/>
          <w:szCs w:val="22"/>
        </w:rPr>
        <w:fldChar w:fldCharType="end"/>
      </w:r>
      <w:r w:rsidR="00D77F4A" w:rsidRPr="00875ED5">
        <w:rPr>
          <w:rFonts w:cs="Times New Roman"/>
          <w:sz w:val="22"/>
          <w:szCs w:val="22"/>
        </w:rPr>
        <w:t xml:space="preserve"> </w:t>
      </w:r>
      <w:r w:rsidR="00183342" w:rsidRPr="00875ED5">
        <w:rPr>
          <w:rFonts w:cs="Times New Roman"/>
          <w:sz w:val="22"/>
          <w:szCs w:val="22"/>
        </w:rPr>
        <w:t>U</w:t>
      </w:r>
      <w:r w:rsidR="008D7B2B" w:rsidRPr="00875ED5">
        <w:rPr>
          <w:rFonts w:cs="Times New Roman"/>
          <w:sz w:val="22"/>
          <w:szCs w:val="22"/>
        </w:rPr>
        <w:t xml:space="preserve">sing the concept can reinforce mind/body distinctions that perceive the loss of one’s cognitive abilities or bodily integration as more or less important than the other, and that a loss of either can result in the loss of personhood, social identity, and/or social relationships. </w:t>
      </w:r>
      <w:r w:rsidR="00183342" w:rsidRPr="00875ED5">
        <w:rPr>
          <w:rFonts w:cs="Times New Roman"/>
          <w:sz w:val="22"/>
          <w:szCs w:val="22"/>
        </w:rPr>
        <w:t xml:space="preserve">Moreover, the emphasis on agency that is prevalent in many of the definitions and responses to social death </w:t>
      </w:r>
      <w:r w:rsidR="007620B1">
        <w:rPr>
          <w:rFonts w:cs="Times New Roman"/>
          <w:sz w:val="22"/>
          <w:szCs w:val="22"/>
        </w:rPr>
        <w:t>presume that agency is a key feature of personhood</w:t>
      </w:r>
      <w:r>
        <w:rPr>
          <w:rFonts w:cs="Times New Roman"/>
          <w:sz w:val="22"/>
          <w:szCs w:val="22"/>
        </w:rPr>
        <w:t>. This</w:t>
      </w:r>
      <w:r w:rsidR="004332EB">
        <w:rPr>
          <w:rFonts w:cs="Times New Roman"/>
          <w:sz w:val="22"/>
          <w:szCs w:val="22"/>
        </w:rPr>
        <w:t xml:space="preserve"> can be a problematic stance and limited view of personhood. </w:t>
      </w:r>
    </w:p>
    <w:p w14:paraId="2EAE70B9" w14:textId="006743B5" w:rsidR="00D77F4A" w:rsidRPr="00875ED5" w:rsidRDefault="00D77F4A" w:rsidP="008877D8">
      <w:pPr>
        <w:spacing w:line="276" w:lineRule="auto"/>
        <w:contextualSpacing/>
        <w:rPr>
          <w:rFonts w:cs="Times New Roman"/>
          <w:sz w:val="22"/>
          <w:szCs w:val="22"/>
        </w:rPr>
      </w:pPr>
    </w:p>
    <w:p w14:paraId="149D35B2" w14:textId="11AA37FE" w:rsidR="000B17A5" w:rsidRPr="00875ED5" w:rsidRDefault="00E87DAE" w:rsidP="008877D8">
      <w:pPr>
        <w:spacing w:line="276" w:lineRule="auto"/>
        <w:contextualSpacing/>
        <w:rPr>
          <w:rFonts w:cs="Times New Roman"/>
          <w:sz w:val="22"/>
          <w:szCs w:val="22"/>
        </w:rPr>
      </w:pPr>
      <w:r>
        <w:rPr>
          <w:rFonts w:cs="Times New Roman"/>
          <w:sz w:val="22"/>
          <w:szCs w:val="22"/>
        </w:rPr>
        <w:lastRenderedPageBreak/>
        <w:t xml:space="preserve">There may be a tendency to think that an ideal death is one in which social </w:t>
      </w:r>
      <w:r w:rsidR="00396CCB">
        <w:rPr>
          <w:rFonts w:cs="Times New Roman"/>
          <w:sz w:val="22"/>
          <w:szCs w:val="22"/>
        </w:rPr>
        <w:t xml:space="preserve">and physical </w:t>
      </w:r>
      <w:r>
        <w:rPr>
          <w:rFonts w:cs="Times New Roman"/>
          <w:sz w:val="22"/>
          <w:szCs w:val="22"/>
        </w:rPr>
        <w:t xml:space="preserve">death occur </w:t>
      </w:r>
      <w:proofErr w:type="spellStart"/>
      <w:r>
        <w:rPr>
          <w:rFonts w:cs="Times New Roman"/>
          <w:sz w:val="22"/>
          <w:szCs w:val="22"/>
        </w:rPr>
        <w:t>simultaneously.</w:t>
      </w:r>
      <w:r w:rsidR="00637FF5">
        <w:rPr>
          <w:rFonts w:cs="Times New Roman"/>
          <w:sz w:val="22"/>
          <w:szCs w:val="22"/>
        </w:rPr>
        <w:fldChar w:fldCharType="begin" w:fldLock="1"/>
      </w:r>
      <w:r w:rsidR="00BC0421">
        <w:rPr>
          <w:rFonts w:cs="Times New Roman"/>
          <w:sz w:val="22"/>
          <w:szCs w:val="22"/>
        </w:rPr>
        <w:instrText>ADDIN CSL_CITATION { "citationItems" : [ { "id" : "ITEM-1", "itemData" : { "ISBN" : "1409472884", "abstract" : "Departing from a persisting current in Western thought, which conceives of time in the abstract, and often reflects upon death as occupying a space at life's margins, this book begins from position that it is in fact through the material and perishable world that we experience time. As such, it is with death and our encounters with it, that form the basis of human conceptions of time.Presenting rich, interdisciplinary empirical studies of death rituals and practices across the globe, from the US and Europe, Asia, The Middle East, Australasia and Africa, Taming Time, Timing Death explores the manner in which social technologies and rituals have been and are implemented to avoid, delay or embrace death, or communicate with the dead, thus informing and manifesting humans' understanding of time. It will therefore be of interest to scholars and students of anthropology, philosophy, sociology and social theory, human geography and religion.", "author" : [ { "dropping-particle" : "", "family" : "Christensen", "given" : "Dorthe Refslund", "non-dropping-particle" : "", "parse-names" : false, "suffix" : "" }, { "dropping-particle" : "", "family" : "Willerslev", "given" : "Rane", "non-dropping-particle" : "", "parse-names" : false, "suffix" : "" } ], "editor" : [ { "dropping-particle" : "", "family" : "Christensen", "given" : "Dorthe Refslund", "non-dropping-particle" : "", "parse-names" : false, "suffix" : "" }, { "dropping-particle" : "", "family" : "Willerslev", "given" : "Rane", "non-dropping-particle" : "", "parse-names" : false, "suffix" : "" } ], "id" : "ITEM-1", "issued" : { "date-parts" : [ [ "2013" ] ] }, "number-of-pages" : "286", "publisher" : "Ashgate Publishing, Ltd.", "publisher-place" : "London", "title" : "Taming Time, Timing Death: Social Technologies and Ritual", "type" : "book" }, "uris" : [ "http://www.mendeley.com/documents/?uuid=5bab8061-c016-41b4-affc-03e4edeea339" ] } ], "mendeley" : { "formattedCitation" : "&lt;sup&gt;24&lt;/sup&gt;", "plainTextFormattedCitation" : "24", "previouslyFormattedCitation" : "&lt;sup&gt;24&lt;/sup&gt;" }, "properties" : { "noteIndex" : 0 }, "schema" : "https://github.com/citation-style-language/schema/raw/master/csl-citation.json" }</w:instrText>
      </w:r>
      <w:r w:rsidR="00637FF5">
        <w:rPr>
          <w:rFonts w:cs="Times New Roman"/>
          <w:sz w:val="22"/>
          <w:szCs w:val="22"/>
        </w:rPr>
        <w:fldChar w:fldCharType="separate"/>
      </w:r>
      <w:r w:rsidR="00BC0421" w:rsidRPr="00BC0421">
        <w:rPr>
          <w:rFonts w:cs="Times New Roman"/>
          <w:noProof/>
          <w:sz w:val="22"/>
          <w:szCs w:val="22"/>
          <w:vertAlign w:val="superscript"/>
        </w:rPr>
        <w:t>24</w:t>
      </w:r>
      <w:proofErr w:type="spellEnd"/>
      <w:r w:rsidR="00637FF5">
        <w:rPr>
          <w:rFonts w:cs="Times New Roman"/>
          <w:sz w:val="22"/>
          <w:szCs w:val="22"/>
        </w:rPr>
        <w:fldChar w:fldCharType="end"/>
      </w:r>
      <w:r w:rsidRPr="00E87DAE">
        <w:rPr>
          <w:rFonts w:cs="Times New Roman"/>
          <w:sz w:val="22"/>
          <w:szCs w:val="22"/>
        </w:rPr>
        <w:t xml:space="preserve"> </w:t>
      </w:r>
      <w:r w:rsidR="001245C4">
        <w:rPr>
          <w:rFonts w:cs="Times New Roman"/>
          <w:sz w:val="22"/>
          <w:szCs w:val="22"/>
        </w:rPr>
        <w:t>M</w:t>
      </w:r>
      <w:r w:rsidR="004332EB">
        <w:rPr>
          <w:rFonts w:cs="Times New Roman"/>
          <w:sz w:val="22"/>
          <w:szCs w:val="22"/>
        </w:rPr>
        <w:t xml:space="preserve">ost of those </w:t>
      </w:r>
      <w:r w:rsidR="001245C4">
        <w:rPr>
          <w:rFonts w:cs="Times New Roman"/>
          <w:sz w:val="22"/>
          <w:szCs w:val="22"/>
        </w:rPr>
        <w:t>who make use of</w:t>
      </w:r>
      <w:r w:rsidR="004332EB">
        <w:rPr>
          <w:rFonts w:cs="Times New Roman"/>
          <w:sz w:val="22"/>
          <w:szCs w:val="22"/>
        </w:rPr>
        <w:t xml:space="preserve"> the concept of social death do so because they </w:t>
      </w:r>
      <w:r w:rsidR="001245C4">
        <w:rPr>
          <w:rFonts w:cs="Times New Roman"/>
          <w:sz w:val="22"/>
          <w:szCs w:val="22"/>
        </w:rPr>
        <w:t xml:space="preserve">recognise that </w:t>
      </w:r>
      <w:r w:rsidR="00C14EF4">
        <w:rPr>
          <w:rFonts w:cs="Times New Roman"/>
          <w:sz w:val="22"/>
          <w:szCs w:val="22"/>
        </w:rPr>
        <w:t xml:space="preserve">it </w:t>
      </w:r>
      <w:r w:rsidR="001245C4">
        <w:rPr>
          <w:rFonts w:cs="Times New Roman"/>
          <w:sz w:val="22"/>
          <w:szCs w:val="22"/>
        </w:rPr>
        <w:t xml:space="preserve">can be </w:t>
      </w:r>
      <w:r w:rsidR="00956484">
        <w:rPr>
          <w:rFonts w:cs="Times New Roman"/>
          <w:sz w:val="22"/>
          <w:szCs w:val="22"/>
        </w:rPr>
        <w:t xml:space="preserve">distinct </w:t>
      </w:r>
      <w:r w:rsidR="00C14EF4">
        <w:rPr>
          <w:rFonts w:cs="Times New Roman"/>
          <w:sz w:val="22"/>
          <w:szCs w:val="22"/>
        </w:rPr>
        <w:t>process</w:t>
      </w:r>
      <w:r>
        <w:rPr>
          <w:rFonts w:cs="Times New Roman"/>
          <w:sz w:val="22"/>
          <w:szCs w:val="22"/>
        </w:rPr>
        <w:t>, even if it is not always clear when either form of death actually occurs</w:t>
      </w:r>
      <w:r w:rsidR="00956484">
        <w:rPr>
          <w:rFonts w:cs="Times New Roman"/>
          <w:sz w:val="22"/>
          <w:szCs w:val="22"/>
        </w:rPr>
        <w:t xml:space="preserve">. </w:t>
      </w:r>
      <w:r>
        <w:rPr>
          <w:rFonts w:cs="Times New Roman"/>
          <w:sz w:val="22"/>
          <w:szCs w:val="22"/>
        </w:rPr>
        <w:t xml:space="preserve"> If</w:t>
      </w:r>
      <w:r w:rsidR="004332EB">
        <w:rPr>
          <w:rFonts w:cs="Times New Roman"/>
          <w:sz w:val="22"/>
          <w:szCs w:val="22"/>
        </w:rPr>
        <w:t xml:space="preserve"> we take mortuary rituals into account, </w:t>
      </w:r>
      <w:r w:rsidR="00956484">
        <w:rPr>
          <w:rFonts w:cs="Times New Roman"/>
          <w:sz w:val="22"/>
          <w:szCs w:val="22"/>
        </w:rPr>
        <w:t xml:space="preserve">it is </w:t>
      </w:r>
      <w:r w:rsidR="004332EB">
        <w:rPr>
          <w:rFonts w:cs="Times New Roman"/>
          <w:sz w:val="22"/>
          <w:szCs w:val="22"/>
        </w:rPr>
        <w:t>rare</w:t>
      </w:r>
      <w:r w:rsidR="00956484">
        <w:rPr>
          <w:rFonts w:cs="Times New Roman"/>
          <w:sz w:val="22"/>
          <w:szCs w:val="22"/>
        </w:rPr>
        <w:t xml:space="preserve"> that</w:t>
      </w:r>
      <w:r w:rsidR="004332EB">
        <w:rPr>
          <w:rFonts w:cs="Times New Roman"/>
          <w:sz w:val="22"/>
          <w:szCs w:val="22"/>
        </w:rPr>
        <w:t xml:space="preserve"> both</w:t>
      </w:r>
      <w:r w:rsidR="00956484">
        <w:rPr>
          <w:rFonts w:cs="Times New Roman"/>
          <w:sz w:val="22"/>
          <w:szCs w:val="22"/>
        </w:rPr>
        <w:t xml:space="preserve"> occur</w:t>
      </w:r>
      <w:r w:rsidR="004332EB">
        <w:rPr>
          <w:rFonts w:cs="Times New Roman"/>
          <w:sz w:val="22"/>
          <w:szCs w:val="22"/>
        </w:rPr>
        <w:t xml:space="preserve"> at </w:t>
      </w:r>
      <w:proofErr w:type="spellStart"/>
      <w:r w:rsidR="004332EB">
        <w:rPr>
          <w:rFonts w:cs="Times New Roman"/>
          <w:sz w:val="22"/>
          <w:szCs w:val="22"/>
        </w:rPr>
        <w:t>once.</w:t>
      </w:r>
      <w:r w:rsidR="004332EB">
        <w:rPr>
          <w:rFonts w:cs="Times New Roman"/>
          <w:sz w:val="22"/>
          <w:szCs w:val="22"/>
        </w:rPr>
        <w:fldChar w:fldCharType="begin" w:fldLock="1"/>
      </w:r>
      <w:r w:rsidR="00BC0421">
        <w:rPr>
          <w:rFonts w:cs="Times New Roman"/>
          <w:sz w:val="22"/>
          <w:szCs w:val="22"/>
        </w:rPr>
        <w:instrText>ADDIN CSL_CITATION { "citationItems" : [ { "id" : "ITEM-1", "itemData" : { "author" : [ { "dropping-particle" : "", "family" : "Bloch", "given" : "M", "non-dropping-particle" : "", "parse-names" : false, "suffix" : "" }, { "dropping-particle" : "", "family" : "Parry", "given" : "J", "non-dropping-particle" : "", "parse-names" : false, "suffix" : "" } ], "id" : "ITEM-1", "issued" : { "date-parts" : [ [ "1982" ] ] }, "publisher" : "Cambridge University Press", "publisher-place" : "Cambridge", "title" : "Death and the Regeneration of Life", "type" : "article" }, "uris" : [ "http://www.mendeley.com/documents/?uuid=701f4ca2-bec3-421d-a7a6-79ff837860eb" ] } ], "mendeley" : { "formattedCitation" : "&lt;sup&gt;14&lt;/sup&gt;", "plainTextFormattedCitation" : "14", "previouslyFormattedCitation" : "&lt;sup&gt;14&lt;/sup&gt;" }, "properties" : { "noteIndex" : 0 }, "schema" : "https://github.com/citation-style-language/schema/raw/master/csl-citation.json" }</w:instrText>
      </w:r>
      <w:r w:rsidR="004332EB">
        <w:rPr>
          <w:rFonts w:cs="Times New Roman"/>
          <w:sz w:val="22"/>
          <w:szCs w:val="22"/>
        </w:rPr>
        <w:fldChar w:fldCharType="separate"/>
      </w:r>
      <w:r w:rsidR="004662B4" w:rsidRPr="004662B4">
        <w:rPr>
          <w:rFonts w:cs="Times New Roman"/>
          <w:noProof/>
          <w:sz w:val="22"/>
          <w:szCs w:val="22"/>
          <w:vertAlign w:val="superscript"/>
        </w:rPr>
        <w:t>14</w:t>
      </w:r>
      <w:proofErr w:type="spellEnd"/>
      <w:r w:rsidR="004332EB">
        <w:rPr>
          <w:rFonts w:cs="Times New Roman"/>
          <w:sz w:val="22"/>
          <w:szCs w:val="22"/>
        </w:rPr>
        <w:fldChar w:fldCharType="end"/>
      </w:r>
      <w:r w:rsidR="004332EB">
        <w:rPr>
          <w:rFonts w:cs="Times New Roman"/>
          <w:sz w:val="22"/>
          <w:szCs w:val="22"/>
        </w:rPr>
        <w:t xml:space="preserve"> Therefore, social death can occur either before or after death, but making this distinction is not always helpful</w:t>
      </w:r>
      <w:r>
        <w:rPr>
          <w:rFonts w:cs="Times New Roman"/>
          <w:sz w:val="22"/>
          <w:szCs w:val="22"/>
        </w:rPr>
        <w:t>.</w:t>
      </w:r>
      <w:r w:rsidR="004332EB">
        <w:rPr>
          <w:rFonts w:cs="Times New Roman"/>
          <w:sz w:val="22"/>
          <w:szCs w:val="22"/>
        </w:rPr>
        <w:t xml:space="preserve"> </w:t>
      </w:r>
      <w:r>
        <w:rPr>
          <w:rFonts w:cs="Times New Roman"/>
          <w:sz w:val="22"/>
          <w:szCs w:val="22"/>
        </w:rPr>
        <w:t>I</w:t>
      </w:r>
      <w:r w:rsidR="000B17A5" w:rsidRPr="00875ED5">
        <w:rPr>
          <w:rFonts w:cs="Times New Roman"/>
          <w:sz w:val="22"/>
          <w:szCs w:val="22"/>
        </w:rPr>
        <w:t>t is important to remember that someone may be treated as socially dead by some parties whilst at the same time be considered as alive and socially active for others</w:t>
      </w:r>
      <w:r>
        <w:rPr>
          <w:rFonts w:cs="Times New Roman"/>
          <w:sz w:val="22"/>
          <w:szCs w:val="22"/>
        </w:rPr>
        <w:t>.</w:t>
      </w:r>
      <w:r w:rsidR="004332EB">
        <w:rPr>
          <w:rFonts w:cs="Times New Roman"/>
          <w:sz w:val="22"/>
          <w:szCs w:val="22"/>
        </w:rPr>
        <w:fldChar w:fldCharType="begin" w:fldLock="1"/>
      </w:r>
      <w:r w:rsidR="004E342B">
        <w:rPr>
          <w:rFonts w:cs="Times New Roman"/>
          <w:sz w:val="22"/>
          <w:szCs w:val="22"/>
        </w:rPr>
        <w:instrText>ADDIN CSL_CITATION { "citationItems" : [ { "id" : "ITEM-1", "itemData" : { "DOI" : "10.1111/j.1467-954X.1992.tb03385.x", "ISSN" : "00380261", "author" : [ { "dropping-particle" : "", "family" : "Mulkay", "given" : "Michael", "non-dropping-particle" : "", "parse-names" : false, "suffix" : "" } ], "container-title" : "The Sociological Review", "id" : "ITEM-1", "issue" : "S1", "issued" : { "date-parts" : [ [ "1992", "5", "9" ] ] }, "page" : "31-49", "title" : "Social death in Britain*", "type" : "article-journal", "volume" : "40" }, "uris" : [ "http://www.mendeley.com/documents/?uuid=0dc3de86-a59c-4cf5-9bac-daedae959d6a" ] } ], "mendeley" : { "formattedCitation" : "&lt;sup&gt;2&lt;/sup&gt;", "plainTextFormattedCitation" : "2", "previouslyFormattedCitation" : "&lt;sup&gt;2&lt;/sup&gt;" }, "properties" : { "noteIndex" : 0 }, "schema" : "https://github.com/citation-style-language/schema/raw/master/csl-citation.json" }</w:instrText>
      </w:r>
      <w:r w:rsidR="004332EB">
        <w:rPr>
          <w:rFonts w:cs="Times New Roman"/>
          <w:sz w:val="22"/>
          <w:szCs w:val="22"/>
        </w:rPr>
        <w:fldChar w:fldCharType="separate"/>
      </w:r>
      <w:r w:rsidR="00637FF5" w:rsidRPr="00637FF5">
        <w:rPr>
          <w:rFonts w:cs="Times New Roman"/>
          <w:noProof/>
          <w:sz w:val="22"/>
          <w:szCs w:val="22"/>
          <w:vertAlign w:val="superscript"/>
        </w:rPr>
        <w:t>2</w:t>
      </w:r>
      <w:r w:rsidR="004332EB">
        <w:rPr>
          <w:rFonts w:cs="Times New Roman"/>
          <w:sz w:val="22"/>
          <w:szCs w:val="22"/>
        </w:rPr>
        <w:fldChar w:fldCharType="end"/>
      </w:r>
      <w:r w:rsidR="000B17A5" w:rsidRPr="00875ED5">
        <w:rPr>
          <w:rFonts w:cs="Times New Roman"/>
          <w:sz w:val="22"/>
          <w:szCs w:val="22"/>
        </w:rPr>
        <w:t xml:space="preserve"> </w:t>
      </w:r>
      <w:r>
        <w:rPr>
          <w:rFonts w:cs="Times New Roman"/>
          <w:sz w:val="22"/>
          <w:szCs w:val="22"/>
        </w:rPr>
        <w:t>T</w:t>
      </w:r>
      <w:r w:rsidR="004332EB">
        <w:rPr>
          <w:rFonts w:cs="Times New Roman"/>
          <w:sz w:val="22"/>
          <w:szCs w:val="22"/>
        </w:rPr>
        <w:t xml:space="preserve">hose who do so may not intend to create or maintain the social death of another person. </w:t>
      </w:r>
      <w:r>
        <w:rPr>
          <w:rFonts w:cs="Times New Roman"/>
          <w:sz w:val="22"/>
          <w:szCs w:val="22"/>
        </w:rPr>
        <w:t xml:space="preserve">Nevertheless, treating someone as if they are dead before their own physical death can have significant consequences for the kinds of social interaction they are part of and care they receive. </w:t>
      </w:r>
    </w:p>
    <w:p w14:paraId="001A4707" w14:textId="77777777" w:rsidR="000B17A5" w:rsidRPr="00875ED5" w:rsidRDefault="000B17A5" w:rsidP="00875ED5">
      <w:pPr>
        <w:spacing w:line="276" w:lineRule="auto"/>
        <w:rPr>
          <w:rFonts w:cs="Times New Roman"/>
          <w:sz w:val="22"/>
          <w:szCs w:val="22"/>
        </w:rPr>
      </w:pPr>
    </w:p>
    <w:p w14:paraId="073EE98F" w14:textId="77777777" w:rsidR="00AD309A" w:rsidRPr="00875ED5" w:rsidRDefault="00AD309A" w:rsidP="00875ED5">
      <w:pPr>
        <w:spacing w:line="276" w:lineRule="auto"/>
        <w:rPr>
          <w:rFonts w:cs="Times New Roman"/>
          <w:sz w:val="22"/>
          <w:szCs w:val="22"/>
        </w:rPr>
      </w:pPr>
    </w:p>
    <w:p w14:paraId="55240CF0" w14:textId="77777777" w:rsidR="00183342" w:rsidRDefault="00183342" w:rsidP="00875ED5">
      <w:pPr>
        <w:spacing w:line="276" w:lineRule="auto"/>
        <w:rPr>
          <w:i/>
          <w:sz w:val="22"/>
          <w:szCs w:val="22"/>
        </w:rPr>
      </w:pPr>
    </w:p>
    <w:p w14:paraId="66B172AB" w14:textId="6E3C7A29" w:rsidR="00857687" w:rsidRPr="00961218" w:rsidRDefault="00857687" w:rsidP="00875ED5">
      <w:pPr>
        <w:spacing w:line="276" w:lineRule="auto"/>
        <w:rPr>
          <w:b/>
          <w:sz w:val="22"/>
          <w:szCs w:val="22"/>
        </w:rPr>
      </w:pPr>
      <w:r w:rsidRPr="00961218">
        <w:rPr>
          <w:b/>
          <w:sz w:val="22"/>
          <w:szCs w:val="22"/>
        </w:rPr>
        <w:t>References</w:t>
      </w:r>
      <w:r w:rsidR="00956484" w:rsidRPr="00961218">
        <w:rPr>
          <w:b/>
          <w:sz w:val="22"/>
          <w:szCs w:val="22"/>
        </w:rPr>
        <w:t>:</w:t>
      </w:r>
    </w:p>
    <w:p w14:paraId="67F17560" w14:textId="6D92E9FF" w:rsidR="00BC0421" w:rsidRPr="00BC0421" w:rsidRDefault="00857687" w:rsidP="00BC0421">
      <w:pPr>
        <w:widowControl w:val="0"/>
        <w:autoSpaceDE w:val="0"/>
        <w:autoSpaceDN w:val="0"/>
        <w:adjustRightInd w:val="0"/>
        <w:ind w:left="640" w:hanging="640"/>
        <w:rPr>
          <w:rFonts w:ascii="Cambria" w:hAnsi="Cambria"/>
          <w:noProof/>
          <w:sz w:val="22"/>
          <w:lang w:val="en-US"/>
        </w:rPr>
      </w:pPr>
      <w:r>
        <w:rPr>
          <w:sz w:val="22"/>
          <w:szCs w:val="22"/>
        </w:rPr>
        <w:fldChar w:fldCharType="begin" w:fldLock="1"/>
      </w:r>
      <w:r>
        <w:rPr>
          <w:sz w:val="22"/>
          <w:szCs w:val="22"/>
        </w:rPr>
        <w:instrText xml:space="preserve">ADDIN Mendeley Bibliography CSL_BIBLIOGRAPHY </w:instrText>
      </w:r>
      <w:r>
        <w:rPr>
          <w:sz w:val="22"/>
          <w:szCs w:val="22"/>
        </w:rPr>
        <w:fldChar w:fldCharType="separate"/>
      </w:r>
      <w:r w:rsidR="00BC0421" w:rsidRPr="00BC0421">
        <w:rPr>
          <w:rFonts w:ascii="Cambria" w:hAnsi="Cambria"/>
          <w:noProof/>
          <w:sz w:val="22"/>
          <w:lang w:val="en-US"/>
        </w:rPr>
        <w:t xml:space="preserve">1. </w:t>
      </w:r>
      <w:r w:rsidR="00BC0421" w:rsidRPr="00BC0421">
        <w:rPr>
          <w:rFonts w:ascii="Cambria" w:hAnsi="Cambria"/>
          <w:noProof/>
          <w:sz w:val="22"/>
          <w:lang w:val="en-US"/>
        </w:rPr>
        <w:tab/>
        <w:t xml:space="preserve">Sweeting HN, Gilhooly MLM. Doctor, Am I Dead? A Review of Social Death in Modern Societies. </w:t>
      </w:r>
      <w:r w:rsidR="00BC0421" w:rsidRPr="00BC0421">
        <w:rPr>
          <w:rFonts w:ascii="Cambria" w:hAnsi="Cambria"/>
          <w:i/>
          <w:iCs/>
          <w:noProof/>
          <w:sz w:val="22"/>
          <w:lang w:val="en-US"/>
        </w:rPr>
        <w:t>Omega J Death Dying</w:t>
      </w:r>
      <w:r w:rsidR="00BC0421" w:rsidRPr="00BC0421">
        <w:rPr>
          <w:rFonts w:ascii="Cambria" w:hAnsi="Cambria"/>
          <w:noProof/>
          <w:sz w:val="22"/>
          <w:lang w:val="en-US"/>
        </w:rPr>
        <w:t>. 1992;24(4):251-269.</w:t>
      </w:r>
    </w:p>
    <w:p w14:paraId="3530D026" w14:textId="77777777" w:rsidR="00BC0421" w:rsidRPr="00BC0421" w:rsidRDefault="00BC0421" w:rsidP="00BC0421">
      <w:pPr>
        <w:widowControl w:val="0"/>
        <w:autoSpaceDE w:val="0"/>
        <w:autoSpaceDN w:val="0"/>
        <w:adjustRightInd w:val="0"/>
        <w:ind w:left="640" w:hanging="640"/>
        <w:rPr>
          <w:rFonts w:ascii="Cambria" w:hAnsi="Cambria"/>
          <w:noProof/>
          <w:sz w:val="22"/>
          <w:lang w:val="en-US"/>
        </w:rPr>
      </w:pPr>
      <w:r w:rsidRPr="00BC0421">
        <w:rPr>
          <w:rFonts w:ascii="Cambria" w:hAnsi="Cambria"/>
          <w:noProof/>
          <w:sz w:val="22"/>
          <w:lang w:val="en-US"/>
        </w:rPr>
        <w:t xml:space="preserve">2. </w:t>
      </w:r>
      <w:r w:rsidRPr="00BC0421">
        <w:rPr>
          <w:rFonts w:ascii="Cambria" w:hAnsi="Cambria"/>
          <w:noProof/>
          <w:sz w:val="22"/>
          <w:lang w:val="en-US"/>
        </w:rPr>
        <w:tab/>
        <w:t xml:space="preserve">Mulkay M. Social death in Britain*. </w:t>
      </w:r>
      <w:r w:rsidRPr="00BC0421">
        <w:rPr>
          <w:rFonts w:ascii="Cambria" w:hAnsi="Cambria"/>
          <w:i/>
          <w:iCs/>
          <w:noProof/>
          <w:sz w:val="22"/>
          <w:lang w:val="en-US"/>
        </w:rPr>
        <w:t>Sociol Rev</w:t>
      </w:r>
      <w:r w:rsidRPr="00BC0421">
        <w:rPr>
          <w:rFonts w:ascii="Cambria" w:hAnsi="Cambria"/>
          <w:noProof/>
          <w:sz w:val="22"/>
          <w:lang w:val="en-US"/>
        </w:rPr>
        <w:t>. 1992;40(S1):31-49. doi:10.1111/j.1467-954X.1992.tb03385.x.</w:t>
      </w:r>
    </w:p>
    <w:p w14:paraId="2CAE0757" w14:textId="77777777" w:rsidR="00BC0421" w:rsidRPr="00BC0421" w:rsidRDefault="00BC0421" w:rsidP="00BC0421">
      <w:pPr>
        <w:widowControl w:val="0"/>
        <w:autoSpaceDE w:val="0"/>
        <w:autoSpaceDN w:val="0"/>
        <w:adjustRightInd w:val="0"/>
        <w:ind w:left="640" w:hanging="640"/>
        <w:rPr>
          <w:rFonts w:ascii="Cambria" w:hAnsi="Cambria"/>
          <w:noProof/>
          <w:sz w:val="22"/>
          <w:lang w:val="en-US"/>
        </w:rPr>
      </w:pPr>
      <w:r w:rsidRPr="00BC0421">
        <w:rPr>
          <w:rFonts w:ascii="Cambria" w:hAnsi="Cambria"/>
          <w:noProof/>
          <w:sz w:val="22"/>
          <w:lang w:val="en-US"/>
        </w:rPr>
        <w:t xml:space="preserve">3. </w:t>
      </w:r>
      <w:r w:rsidRPr="00BC0421">
        <w:rPr>
          <w:rFonts w:ascii="Cambria" w:hAnsi="Cambria"/>
          <w:noProof/>
          <w:sz w:val="22"/>
          <w:lang w:val="en-US"/>
        </w:rPr>
        <w:tab/>
        <w:t xml:space="preserve">Card C. Genocide and Social Death. </w:t>
      </w:r>
      <w:r w:rsidRPr="00BC0421">
        <w:rPr>
          <w:rFonts w:ascii="Cambria" w:hAnsi="Cambria"/>
          <w:i/>
          <w:iCs/>
          <w:noProof/>
          <w:sz w:val="22"/>
          <w:lang w:val="en-US"/>
        </w:rPr>
        <w:t>Hypatia</w:t>
      </w:r>
      <w:r w:rsidRPr="00BC0421">
        <w:rPr>
          <w:rFonts w:ascii="Cambria" w:hAnsi="Cambria"/>
          <w:noProof/>
          <w:sz w:val="22"/>
          <w:lang w:val="en-US"/>
        </w:rPr>
        <w:t>. 2003;18(1):63-79. doi:10.1111/j.1527-2001.2003.tb00779.x.</w:t>
      </w:r>
    </w:p>
    <w:p w14:paraId="2B5C5DAA" w14:textId="680208B3" w:rsidR="00BC0421" w:rsidRPr="00BC0421" w:rsidRDefault="00BC0421" w:rsidP="00BC0421">
      <w:pPr>
        <w:widowControl w:val="0"/>
        <w:autoSpaceDE w:val="0"/>
        <w:autoSpaceDN w:val="0"/>
        <w:adjustRightInd w:val="0"/>
        <w:ind w:left="640" w:hanging="640"/>
        <w:rPr>
          <w:rFonts w:ascii="Cambria" w:hAnsi="Cambria"/>
          <w:noProof/>
          <w:sz w:val="22"/>
          <w:lang w:val="en-US"/>
        </w:rPr>
      </w:pPr>
      <w:r w:rsidRPr="00BC0421">
        <w:rPr>
          <w:rFonts w:ascii="Cambria" w:hAnsi="Cambria"/>
          <w:noProof/>
          <w:sz w:val="22"/>
          <w:lang w:val="en-US"/>
        </w:rPr>
        <w:t xml:space="preserve">4. </w:t>
      </w:r>
      <w:r w:rsidRPr="00BC0421">
        <w:rPr>
          <w:rFonts w:ascii="Cambria" w:hAnsi="Cambria"/>
          <w:noProof/>
          <w:sz w:val="22"/>
          <w:lang w:val="en-US"/>
        </w:rPr>
        <w:tab/>
        <w:t xml:space="preserve">Králová J. What is social death? </w:t>
      </w:r>
      <w:r w:rsidRPr="00BC0421">
        <w:rPr>
          <w:rFonts w:ascii="Cambria" w:hAnsi="Cambria"/>
          <w:i/>
          <w:iCs/>
          <w:noProof/>
          <w:sz w:val="22"/>
          <w:lang w:val="en-US"/>
        </w:rPr>
        <w:t>Contemp Soc Sci</w:t>
      </w:r>
      <w:r w:rsidRPr="00BC0421">
        <w:rPr>
          <w:rFonts w:ascii="Cambria" w:hAnsi="Cambria"/>
          <w:noProof/>
          <w:sz w:val="22"/>
          <w:lang w:val="en-US"/>
        </w:rPr>
        <w:t xml:space="preserve">. 2015;10(3):235-248. </w:t>
      </w:r>
    </w:p>
    <w:p w14:paraId="1181FA0F" w14:textId="77777777" w:rsidR="00BC0421" w:rsidRPr="00BC0421" w:rsidRDefault="00BC0421" w:rsidP="00BC0421">
      <w:pPr>
        <w:widowControl w:val="0"/>
        <w:autoSpaceDE w:val="0"/>
        <w:autoSpaceDN w:val="0"/>
        <w:adjustRightInd w:val="0"/>
        <w:ind w:left="640" w:hanging="640"/>
        <w:rPr>
          <w:rFonts w:ascii="Cambria" w:hAnsi="Cambria"/>
          <w:noProof/>
          <w:sz w:val="22"/>
          <w:lang w:val="en-US"/>
        </w:rPr>
      </w:pPr>
      <w:r w:rsidRPr="00BC0421">
        <w:rPr>
          <w:rFonts w:ascii="Cambria" w:hAnsi="Cambria"/>
          <w:noProof/>
          <w:sz w:val="22"/>
          <w:lang w:val="en-US"/>
        </w:rPr>
        <w:t xml:space="preserve">5. </w:t>
      </w:r>
      <w:r w:rsidRPr="00BC0421">
        <w:rPr>
          <w:rFonts w:ascii="Cambria" w:hAnsi="Cambria"/>
          <w:noProof/>
          <w:sz w:val="22"/>
          <w:lang w:val="en-US"/>
        </w:rPr>
        <w:tab/>
        <w:t xml:space="preserve">Norwood F. </w:t>
      </w:r>
      <w:r w:rsidRPr="00BC0421">
        <w:rPr>
          <w:rFonts w:ascii="Cambria" w:hAnsi="Cambria"/>
          <w:i/>
          <w:iCs/>
          <w:noProof/>
          <w:sz w:val="22"/>
          <w:lang w:val="en-US"/>
        </w:rPr>
        <w:t>The Maintenance of Life: Preventing Social Death through Euthanasia Talk and End-of-Life Care - Lessons from the Netherlands</w:t>
      </w:r>
      <w:r w:rsidRPr="00BC0421">
        <w:rPr>
          <w:rFonts w:ascii="Cambria" w:hAnsi="Cambria"/>
          <w:noProof/>
          <w:sz w:val="22"/>
          <w:lang w:val="en-US"/>
        </w:rPr>
        <w:t>. Durham, NC: Carolina Academic Press; 2009.</w:t>
      </w:r>
    </w:p>
    <w:p w14:paraId="4262C6E0" w14:textId="77777777" w:rsidR="00BC0421" w:rsidRPr="00BC0421" w:rsidRDefault="00BC0421" w:rsidP="00BC0421">
      <w:pPr>
        <w:widowControl w:val="0"/>
        <w:autoSpaceDE w:val="0"/>
        <w:autoSpaceDN w:val="0"/>
        <w:adjustRightInd w:val="0"/>
        <w:ind w:left="640" w:hanging="640"/>
        <w:rPr>
          <w:rFonts w:ascii="Cambria" w:hAnsi="Cambria"/>
          <w:noProof/>
          <w:sz w:val="22"/>
          <w:lang w:val="en-US"/>
        </w:rPr>
      </w:pPr>
      <w:r w:rsidRPr="00BC0421">
        <w:rPr>
          <w:rFonts w:ascii="Cambria" w:hAnsi="Cambria"/>
          <w:noProof/>
          <w:sz w:val="22"/>
          <w:lang w:val="en-US"/>
        </w:rPr>
        <w:t xml:space="preserve">6. </w:t>
      </w:r>
      <w:r w:rsidRPr="00BC0421">
        <w:rPr>
          <w:rFonts w:ascii="Cambria" w:hAnsi="Cambria"/>
          <w:noProof/>
          <w:sz w:val="22"/>
          <w:lang w:val="en-US"/>
        </w:rPr>
        <w:tab/>
        <w:t xml:space="preserve">Sweeting HN, Gilhooly MLM. Dementia and the phenomenon of social death. </w:t>
      </w:r>
      <w:r w:rsidRPr="00BC0421">
        <w:rPr>
          <w:rFonts w:ascii="Cambria" w:hAnsi="Cambria"/>
          <w:i/>
          <w:iCs/>
          <w:noProof/>
          <w:sz w:val="22"/>
          <w:lang w:val="en-US"/>
        </w:rPr>
        <w:t>Sociol Health Illn</w:t>
      </w:r>
      <w:r w:rsidRPr="00BC0421">
        <w:rPr>
          <w:rFonts w:ascii="Cambria" w:hAnsi="Cambria"/>
          <w:noProof/>
          <w:sz w:val="22"/>
          <w:lang w:val="en-US"/>
        </w:rPr>
        <w:t>. 1997;19(1):93-117.</w:t>
      </w:r>
    </w:p>
    <w:p w14:paraId="62744668" w14:textId="77777777" w:rsidR="00BC0421" w:rsidRPr="00BC0421" w:rsidRDefault="00BC0421" w:rsidP="00BC0421">
      <w:pPr>
        <w:widowControl w:val="0"/>
        <w:autoSpaceDE w:val="0"/>
        <w:autoSpaceDN w:val="0"/>
        <w:adjustRightInd w:val="0"/>
        <w:ind w:left="640" w:hanging="640"/>
        <w:rPr>
          <w:rFonts w:ascii="Cambria" w:hAnsi="Cambria"/>
          <w:noProof/>
          <w:sz w:val="22"/>
          <w:lang w:val="en-US"/>
        </w:rPr>
      </w:pPr>
      <w:r w:rsidRPr="00BC0421">
        <w:rPr>
          <w:rFonts w:ascii="Cambria" w:hAnsi="Cambria"/>
          <w:noProof/>
          <w:sz w:val="22"/>
          <w:lang w:val="en-US"/>
        </w:rPr>
        <w:t xml:space="preserve">7. </w:t>
      </w:r>
      <w:r w:rsidRPr="00BC0421">
        <w:rPr>
          <w:rFonts w:ascii="Cambria" w:hAnsi="Cambria"/>
          <w:noProof/>
          <w:sz w:val="22"/>
          <w:lang w:val="en-US"/>
        </w:rPr>
        <w:tab/>
        <w:t xml:space="preserve">Froggatt K. Life and death in English nursing homes: sequestration or transition? </w:t>
      </w:r>
      <w:r w:rsidRPr="00BC0421">
        <w:rPr>
          <w:rFonts w:ascii="Cambria" w:hAnsi="Cambria"/>
          <w:i/>
          <w:iCs/>
          <w:noProof/>
          <w:sz w:val="22"/>
          <w:lang w:val="en-US"/>
        </w:rPr>
        <w:t>Ageing Soc</w:t>
      </w:r>
      <w:r w:rsidRPr="00BC0421">
        <w:rPr>
          <w:rFonts w:ascii="Cambria" w:hAnsi="Cambria"/>
          <w:noProof/>
          <w:sz w:val="22"/>
          <w:lang w:val="en-US"/>
        </w:rPr>
        <w:t>. 2001;21(3):319-332.</w:t>
      </w:r>
    </w:p>
    <w:p w14:paraId="21BDE51E" w14:textId="3114B802" w:rsidR="00BC0421" w:rsidRPr="00BC0421" w:rsidRDefault="00BC0421" w:rsidP="00BC0421">
      <w:pPr>
        <w:widowControl w:val="0"/>
        <w:autoSpaceDE w:val="0"/>
        <w:autoSpaceDN w:val="0"/>
        <w:adjustRightInd w:val="0"/>
        <w:ind w:left="640" w:hanging="640"/>
        <w:rPr>
          <w:rFonts w:ascii="Cambria" w:hAnsi="Cambria"/>
          <w:noProof/>
          <w:sz w:val="22"/>
          <w:lang w:val="en-US"/>
        </w:rPr>
      </w:pPr>
      <w:r w:rsidRPr="00BC0421">
        <w:rPr>
          <w:rFonts w:ascii="Cambria" w:hAnsi="Cambria"/>
          <w:noProof/>
          <w:sz w:val="22"/>
          <w:lang w:val="en-US"/>
        </w:rPr>
        <w:t xml:space="preserve">8. </w:t>
      </w:r>
      <w:r w:rsidRPr="00BC0421">
        <w:rPr>
          <w:rFonts w:ascii="Cambria" w:hAnsi="Cambria"/>
          <w:noProof/>
          <w:sz w:val="22"/>
          <w:lang w:val="en-US"/>
        </w:rPr>
        <w:tab/>
        <w:t xml:space="preserve">Buckley J. </w:t>
      </w:r>
      <w:r w:rsidRPr="00BC0421">
        <w:rPr>
          <w:rFonts w:ascii="Cambria" w:hAnsi="Cambria"/>
          <w:i/>
          <w:iCs/>
          <w:noProof/>
          <w:sz w:val="22"/>
          <w:lang w:val="en-US"/>
        </w:rPr>
        <w:t>Palliative Care: An Integrated Approach</w:t>
      </w:r>
      <w:r w:rsidRPr="00BC0421">
        <w:rPr>
          <w:rFonts w:ascii="Cambria" w:hAnsi="Cambria"/>
          <w:noProof/>
          <w:sz w:val="22"/>
          <w:lang w:val="en-US"/>
        </w:rPr>
        <w:t xml:space="preserve">. Hoboken, New Jersey: John Wiley &amp; Sons; 2008. </w:t>
      </w:r>
    </w:p>
    <w:p w14:paraId="0D0B6181" w14:textId="77777777" w:rsidR="00BC0421" w:rsidRPr="00BC0421" w:rsidRDefault="00BC0421" w:rsidP="00BC0421">
      <w:pPr>
        <w:widowControl w:val="0"/>
        <w:autoSpaceDE w:val="0"/>
        <w:autoSpaceDN w:val="0"/>
        <w:adjustRightInd w:val="0"/>
        <w:ind w:left="640" w:hanging="640"/>
        <w:rPr>
          <w:rFonts w:ascii="Cambria" w:hAnsi="Cambria"/>
          <w:noProof/>
          <w:sz w:val="22"/>
          <w:lang w:val="en-US"/>
        </w:rPr>
      </w:pPr>
      <w:r w:rsidRPr="00BC0421">
        <w:rPr>
          <w:rFonts w:ascii="Cambria" w:hAnsi="Cambria"/>
          <w:noProof/>
          <w:sz w:val="22"/>
          <w:lang w:val="en-US"/>
        </w:rPr>
        <w:t xml:space="preserve">9. </w:t>
      </w:r>
      <w:r w:rsidRPr="00BC0421">
        <w:rPr>
          <w:rFonts w:ascii="Cambria" w:hAnsi="Cambria"/>
          <w:noProof/>
          <w:sz w:val="22"/>
          <w:lang w:val="en-US"/>
        </w:rPr>
        <w:tab/>
        <w:t xml:space="preserve">Sudnow D. </w:t>
      </w:r>
      <w:r w:rsidRPr="00BC0421">
        <w:rPr>
          <w:rFonts w:ascii="Cambria" w:hAnsi="Cambria"/>
          <w:i/>
          <w:iCs/>
          <w:noProof/>
          <w:sz w:val="22"/>
          <w:lang w:val="en-US"/>
        </w:rPr>
        <w:t>Passing On: The Social Organization of Dying</w:t>
      </w:r>
      <w:r w:rsidRPr="00BC0421">
        <w:rPr>
          <w:rFonts w:ascii="Cambria" w:hAnsi="Cambria"/>
          <w:noProof/>
          <w:sz w:val="22"/>
          <w:lang w:val="en-US"/>
        </w:rPr>
        <w:t>. Upper Saddle River, NJ: Prentice-Hall; 1967.</w:t>
      </w:r>
    </w:p>
    <w:p w14:paraId="08A84EC9" w14:textId="77777777" w:rsidR="00BC0421" w:rsidRPr="00BC0421" w:rsidRDefault="00BC0421" w:rsidP="00BC0421">
      <w:pPr>
        <w:widowControl w:val="0"/>
        <w:autoSpaceDE w:val="0"/>
        <w:autoSpaceDN w:val="0"/>
        <w:adjustRightInd w:val="0"/>
        <w:ind w:left="640" w:hanging="640"/>
        <w:rPr>
          <w:rFonts w:ascii="Cambria" w:hAnsi="Cambria"/>
          <w:noProof/>
          <w:sz w:val="22"/>
          <w:lang w:val="en-US"/>
        </w:rPr>
      </w:pPr>
      <w:r w:rsidRPr="00BC0421">
        <w:rPr>
          <w:rFonts w:ascii="Cambria" w:hAnsi="Cambria"/>
          <w:noProof/>
          <w:sz w:val="22"/>
          <w:lang w:val="en-US"/>
        </w:rPr>
        <w:t xml:space="preserve">10. </w:t>
      </w:r>
      <w:r w:rsidRPr="00BC0421">
        <w:rPr>
          <w:rFonts w:ascii="Cambria" w:hAnsi="Cambria"/>
          <w:noProof/>
          <w:sz w:val="22"/>
          <w:lang w:val="en-US"/>
        </w:rPr>
        <w:tab/>
        <w:t xml:space="preserve">Lock M. </w:t>
      </w:r>
      <w:r w:rsidRPr="00BC0421">
        <w:rPr>
          <w:rFonts w:ascii="Cambria" w:hAnsi="Cambria"/>
          <w:i/>
          <w:iCs/>
          <w:noProof/>
          <w:sz w:val="22"/>
          <w:lang w:val="en-US"/>
        </w:rPr>
        <w:t>Twice Dead: Organ Transplants and the Reinvention of Death</w:t>
      </w:r>
      <w:r w:rsidRPr="00BC0421">
        <w:rPr>
          <w:rFonts w:ascii="Cambria" w:hAnsi="Cambria"/>
          <w:noProof/>
          <w:sz w:val="22"/>
          <w:lang w:val="en-US"/>
        </w:rPr>
        <w:t>. Berkeley: University of California Press; 2002.</w:t>
      </w:r>
    </w:p>
    <w:p w14:paraId="3BE31BFC" w14:textId="77777777" w:rsidR="00BC0421" w:rsidRPr="00BC0421" w:rsidRDefault="00BC0421" w:rsidP="00BC0421">
      <w:pPr>
        <w:widowControl w:val="0"/>
        <w:autoSpaceDE w:val="0"/>
        <w:autoSpaceDN w:val="0"/>
        <w:adjustRightInd w:val="0"/>
        <w:ind w:left="640" w:hanging="640"/>
        <w:rPr>
          <w:rFonts w:ascii="Cambria" w:hAnsi="Cambria"/>
          <w:noProof/>
          <w:sz w:val="22"/>
          <w:lang w:val="en-US"/>
        </w:rPr>
      </w:pPr>
      <w:r w:rsidRPr="00BC0421">
        <w:rPr>
          <w:rFonts w:ascii="Cambria" w:hAnsi="Cambria"/>
          <w:noProof/>
          <w:sz w:val="22"/>
          <w:lang w:val="en-US"/>
        </w:rPr>
        <w:t xml:space="preserve">11. </w:t>
      </w:r>
      <w:r w:rsidRPr="00BC0421">
        <w:rPr>
          <w:rFonts w:ascii="Cambria" w:hAnsi="Cambria"/>
          <w:noProof/>
          <w:sz w:val="22"/>
          <w:lang w:val="en-US"/>
        </w:rPr>
        <w:tab/>
        <w:t xml:space="preserve">Timmermans S. Social Death as Self-Fulfilling Prophecy: David Sudnow’s “Passing </w:t>
      </w:r>
      <w:r w:rsidRPr="00BC0421">
        <w:rPr>
          <w:rFonts w:ascii="Cambria" w:hAnsi="Cambria"/>
          <w:noProof/>
          <w:sz w:val="22"/>
          <w:lang w:val="en-US"/>
        </w:rPr>
        <w:lastRenderedPageBreak/>
        <w:t xml:space="preserve">On” Revisited. </w:t>
      </w:r>
      <w:r w:rsidRPr="00BC0421">
        <w:rPr>
          <w:rFonts w:ascii="Cambria" w:hAnsi="Cambria"/>
          <w:i/>
          <w:iCs/>
          <w:noProof/>
          <w:sz w:val="22"/>
          <w:lang w:val="en-US"/>
        </w:rPr>
        <w:t>Sociol Q</w:t>
      </w:r>
      <w:r w:rsidRPr="00BC0421">
        <w:rPr>
          <w:rFonts w:ascii="Cambria" w:hAnsi="Cambria"/>
          <w:noProof/>
          <w:sz w:val="22"/>
          <w:lang w:val="en-US"/>
        </w:rPr>
        <w:t>. 1998;39(3):453-472.</w:t>
      </w:r>
    </w:p>
    <w:p w14:paraId="12B55769" w14:textId="77777777" w:rsidR="00BC0421" w:rsidRPr="00BC0421" w:rsidRDefault="00BC0421" w:rsidP="00BC0421">
      <w:pPr>
        <w:widowControl w:val="0"/>
        <w:autoSpaceDE w:val="0"/>
        <w:autoSpaceDN w:val="0"/>
        <w:adjustRightInd w:val="0"/>
        <w:ind w:left="640" w:hanging="640"/>
        <w:rPr>
          <w:rFonts w:ascii="Cambria" w:hAnsi="Cambria"/>
          <w:noProof/>
          <w:sz w:val="22"/>
          <w:lang w:val="en-US"/>
        </w:rPr>
      </w:pPr>
      <w:r w:rsidRPr="00BC0421">
        <w:rPr>
          <w:rFonts w:ascii="Cambria" w:hAnsi="Cambria"/>
          <w:noProof/>
          <w:sz w:val="22"/>
          <w:lang w:val="en-US"/>
        </w:rPr>
        <w:t xml:space="preserve">12. </w:t>
      </w:r>
      <w:r w:rsidRPr="00BC0421">
        <w:rPr>
          <w:rFonts w:ascii="Cambria" w:hAnsi="Cambria"/>
          <w:noProof/>
          <w:sz w:val="22"/>
          <w:lang w:val="en-US"/>
        </w:rPr>
        <w:tab/>
        <w:t xml:space="preserve">Lawton J. </w:t>
      </w:r>
      <w:r w:rsidRPr="00BC0421">
        <w:rPr>
          <w:rFonts w:ascii="Cambria" w:hAnsi="Cambria"/>
          <w:i/>
          <w:iCs/>
          <w:noProof/>
          <w:sz w:val="22"/>
          <w:lang w:val="en-US"/>
        </w:rPr>
        <w:t>The Dying Process: Patients’ Experiences of Palliative Care</w:t>
      </w:r>
      <w:r w:rsidRPr="00BC0421">
        <w:rPr>
          <w:rFonts w:ascii="Cambria" w:hAnsi="Cambria"/>
          <w:noProof/>
          <w:sz w:val="22"/>
          <w:lang w:val="en-US"/>
        </w:rPr>
        <w:t>. London: Routledge; 2000.</w:t>
      </w:r>
    </w:p>
    <w:p w14:paraId="51E707D9" w14:textId="77777777" w:rsidR="00BC0421" w:rsidRPr="00BC0421" w:rsidRDefault="00BC0421" w:rsidP="00BC0421">
      <w:pPr>
        <w:widowControl w:val="0"/>
        <w:autoSpaceDE w:val="0"/>
        <w:autoSpaceDN w:val="0"/>
        <w:adjustRightInd w:val="0"/>
        <w:ind w:left="640" w:hanging="640"/>
        <w:rPr>
          <w:rFonts w:ascii="Cambria" w:hAnsi="Cambria"/>
          <w:noProof/>
          <w:sz w:val="22"/>
          <w:lang w:val="en-US"/>
        </w:rPr>
      </w:pPr>
      <w:r w:rsidRPr="00BC0421">
        <w:rPr>
          <w:rFonts w:ascii="Cambria" w:hAnsi="Cambria"/>
          <w:noProof/>
          <w:sz w:val="22"/>
          <w:lang w:val="en-US"/>
        </w:rPr>
        <w:t xml:space="preserve">13. </w:t>
      </w:r>
      <w:r w:rsidRPr="00BC0421">
        <w:rPr>
          <w:rFonts w:ascii="Cambria" w:hAnsi="Cambria"/>
          <w:noProof/>
          <w:sz w:val="22"/>
          <w:lang w:val="en-US"/>
        </w:rPr>
        <w:tab/>
        <w:t xml:space="preserve">Caswell G, O’Connor M. Agency in the context of social death: dying alone at home. </w:t>
      </w:r>
      <w:r w:rsidRPr="00BC0421">
        <w:rPr>
          <w:rFonts w:ascii="Cambria" w:hAnsi="Cambria"/>
          <w:i/>
          <w:iCs/>
          <w:noProof/>
          <w:sz w:val="22"/>
          <w:lang w:val="en-US"/>
        </w:rPr>
        <w:t>Contemp Soc Sci</w:t>
      </w:r>
      <w:r w:rsidRPr="00BC0421">
        <w:rPr>
          <w:rFonts w:ascii="Cambria" w:hAnsi="Cambria"/>
          <w:noProof/>
          <w:sz w:val="22"/>
          <w:lang w:val="en-US"/>
        </w:rPr>
        <w:t>. 2015;10(3):249-261. doi:10.1080/21582041.2015.1114663.</w:t>
      </w:r>
    </w:p>
    <w:p w14:paraId="2724EC38" w14:textId="77777777" w:rsidR="00BC0421" w:rsidRPr="00BC0421" w:rsidRDefault="00BC0421" w:rsidP="00BC0421">
      <w:pPr>
        <w:widowControl w:val="0"/>
        <w:autoSpaceDE w:val="0"/>
        <w:autoSpaceDN w:val="0"/>
        <w:adjustRightInd w:val="0"/>
        <w:ind w:left="640" w:hanging="640"/>
        <w:rPr>
          <w:rFonts w:ascii="Cambria" w:hAnsi="Cambria"/>
          <w:noProof/>
          <w:sz w:val="22"/>
          <w:lang w:val="en-US"/>
        </w:rPr>
      </w:pPr>
      <w:r w:rsidRPr="00BC0421">
        <w:rPr>
          <w:rFonts w:ascii="Cambria" w:hAnsi="Cambria"/>
          <w:noProof/>
          <w:sz w:val="22"/>
          <w:lang w:val="en-US"/>
        </w:rPr>
        <w:t xml:space="preserve">14. </w:t>
      </w:r>
      <w:r w:rsidRPr="00BC0421">
        <w:rPr>
          <w:rFonts w:ascii="Cambria" w:hAnsi="Cambria"/>
          <w:noProof/>
          <w:sz w:val="22"/>
          <w:lang w:val="en-US"/>
        </w:rPr>
        <w:tab/>
        <w:t>Bloch M, Parry J. Death and the Regeneration of Life. 1982.</w:t>
      </w:r>
    </w:p>
    <w:p w14:paraId="4E86F8C2" w14:textId="77777777" w:rsidR="00BC0421" w:rsidRPr="00BC0421" w:rsidRDefault="00BC0421" w:rsidP="00BC0421">
      <w:pPr>
        <w:widowControl w:val="0"/>
        <w:autoSpaceDE w:val="0"/>
        <w:autoSpaceDN w:val="0"/>
        <w:adjustRightInd w:val="0"/>
        <w:ind w:left="640" w:hanging="640"/>
        <w:rPr>
          <w:rFonts w:ascii="Cambria" w:hAnsi="Cambria"/>
          <w:noProof/>
          <w:sz w:val="22"/>
          <w:lang w:val="en-US"/>
        </w:rPr>
      </w:pPr>
      <w:r w:rsidRPr="00BC0421">
        <w:rPr>
          <w:rFonts w:ascii="Cambria" w:hAnsi="Cambria"/>
          <w:noProof/>
          <w:sz w:val="22"/>
          <w:lang w:val="en-US"/>
        </w:rPr>
        <w:t xml:space="preserve">15. </w:t>
      </w:r>
      <w:r w:rsidRPr="00BC0421">
        <w:rPr>
          <w:rFonts w:ascii="Cambria" w:hAnsi="Cambria"/>
          <w:noProof/>
          <w:sz w:val="22"/>
          <w:lang w:val="en-US"/>
        </w:rPr>
        <w:tab/>
        <w:t xml:space="preserve">Unruh DR. Death and Personal History: Strategies of Identity Preservation. </w:t>
      </w:r>
      <w:r w:rsidRPr="00BC0421">
        <w:rPr>
          <w:rFonts w:ascii="Cambria" w:hAnsi="Cambria"/>
          <w:i/>
          <w:iCs/>
          <w:noProof/>
          <w:sz w:val="22"/>
          <w:lang w:val="en-US"/>
        </w:rPr>
        <w:t>Soc Probl</w:t>
      </w:r>
      <w:r w:rsidRPr="00BC0421">
        <w:rPr>
          <w:rFonts w:ascii="Cambria" w:hAnsi="Cambria"/>
          <w:noProof/>
          <w:sz w:val="22"/>
          <w:lang w:val="en-US"/>
        </w:rPr>
        <w:t>. 1983;30(3):340-351.</w:t>
      </w:r>
    </w:p>
    <w:p w14:paraId="2B021134" w14:textId="77777777" w:rsidR="00BC0421" w:rsidRPr="00BC0421" w:rsidRDefault="00BC0421" w:rsidP="00BC0421">
      <w:pPr>
        <w:widowControl w:val="0"/>
        <w:autoSpaceDE w:val="0"/>
        <w:autoSpaceDN w:val="0"/>
        <w:adjustRightInd w:val="0"/>
        <w:ind w:left="640" w:hanging="640"/>
        <w:rPr>
          <w:rFonts w:ascii="Cambria" w:hAnsi="Cambria"/>
          <w:noProof/>
          <w:sz w:val="22"/>
          <w:lang w:val="en-US"/>
        </w:rPr>
      </w:pPr>
      <w:r w:rsidRPr="00BC0421">
        <w:rPr>
          <w:rFonts w:ascii="Cambria" w:hAnsi="Cambria"/>
          <w:noProof/>
          <w:sz w:val="22"/>
          <w:lang w:val="en-US"/>
        </w:rPr>
        <w:t xml:space="preserve">16. </w:t>
      </w:r>
      <w:r w:rsidRPr="00BC0421">
        <w:rPr>
          <w:rFonts w:ascii="Cambria" w:hAnsi="Cambria"/>
          <w:noProof/>
          <w:sz w:val="22"/>
          <w:lang w:val="en-US"/>
        </w:rPr>
        <w:tab/>
        <w:t xml:space="preserve">Miller D, Parrott F. Loss and material culture in South London. </w:t>
      </w:r>
      <w:r w:rsidRPr="00BC0421">
        <w:rPr>
          <w:rFonts w:ascii="Cambria" w:hAnsi="Cambria"/>
          <w:i/>
          <w:iCs/>
          <w:noProof/>
          <w:sz w:val="22"/>
          <w:lang w:val="en-US"/>
        </w:rPr>
        <w:t>J R Anthropol Inst</w:t>
      </w:r>
      <w:r w:rsidRPr="00BC0421">
        <w:rPr>
          <w:rFonts w:ascii="Cambria" w:hAnsi="Cambria"/>
          <w:noProof/>
          <w:sz w:val="22"/>
          <w:lang w:val="en-US"/>
        </w:rPr>
        <w:t>. 2009;15(3):502-519. doi:10.1111/j.1467-9655.2009.01570.x.</w:t>
      </w:r>
    </w:p>
    <w:p w14:paraId="095AD2DB" w14:textId="77777777" w:rsidR="00BC0421" w:rsidRPr="00BC0421" w:rsidRDefault="00BC0421" w:rsidP="00BC0421">
      <w:pPr>
        <w:widowControl w:val="0"/>
        <w:autoSpaceDE w:val="0"/>
        <w:autoSpaceDN w:val="0"/>
        <w:adjustRightInd w:val="0"/>
        <w:ind w:left="640" w:hanging="640"/>
        <w:rPr>
          <w:rFonts w:ascii="Cambria" w:hAnsi="Cambria"/>
          <w:noProof/>
          <w:sz w:val="22"/>
          <w:lang w:val="en-US"/>
        </w:rPr>
      </w:pPr>
      <w:r w:rsidRPr="00BC0421">
        <w:rPr>
          <w:rFonts w:ascii="Cambria" w:hAnsi="Cambria"/>
          <w:noProof/>
          <w:sz w:val="22"/>
          <w:lang w:val="en-US"/>
        </w:rPr>
        <w:t xml:space="preserve">17. </w:t>
      </w:r>
      <w:r w:rsidRPr="00BC0421">
        <w:rPr>
          <w:rFonts w:ascii="Cambria" w:hAnsi="Cambria"/>
          <w:noProof/>
          <w:sz w:val="22"/>
          <w:lang w:val="en-US"/>
        </w:rPr>
        <w:tab/>
        <w:t xml:space="preserve">Walter T, Hourizi R, Moncur W, Pitsillides S. Does the Internet Change How We Die and Mourn? Overview and Analysis. </w:t>
      </w:r>
      <w:r w:rsidRPr="00BC0421">
        <w:rPr>
          <w:rFonts w:ascii="Cambria" w:hAnsi="Cambria"/>
          <w:i/>
          <w:iCs/>
          <w:noProof/>
          <w:sz w:val="22"/>
          <w:lang w:val="en-US"/>
        </w:rPr>
        <w:t>OMEGA - J Death Dying</w:t>
      </w:r>
      <w:r w:rsidRPr="00BC0421">
        <w:rPr>
          <w:rFonts w:ascii="Cambria" w:hAnsi="Cambria"/>
          <w:noProof/>
          <w:sz w:val="22"/>
          <w:lang w:val="en-US"/>
        </w:rPr>
        <w:t>. 2012;64(4):275-302. doi:10.2190/OM.64.4.a.</w:t>
      </w:r>
    </w:p>
    <w:p w14:paraId="7C57E2AA" w14:textId="7F8753E5" w:rsidR="00BC0421" w:rsidRPr="00BC0421" w:rsidRDefault="00BC0421" w:rsidP="00BC0421">
      <w:pPr>
        <w:widowControl w:val="0"/>
        <w:autoSpaceDE w:val="0"/>
        <w:autoSpaceDN w:val="0"/>
        <w:adjustRightInd w:val="0"/>
        <w:ind w:left="640" w:hanging="640"/>
        <w:rPr>
          <w:rFonts w:ascii="Cambria" w:hAnsi="Cambria"/>
          <w:noProof/>
          <w:sz w:val="22"/>
          <w:lang w:val="en-US"/>
        </w:rPr>
      </w:pPr>
      <w:r w:rsidRPr="00BC0421">
        <w:rPr>
          <w:rFonts w:ascii="Cambria" w:hAnsi="Cambria"/>
          <w:noProof/>
          <w:sz w:val="22"/>
          <w:lang w:val="en-US"/>
        </w:rPr>
        <w:t xml:space="preserve">18. </w:t>
      </w:r>
      <w:r w:rsidRPr="00BC0421">
        <w:rPr>
          <w:rFonts w:ascii="Cambria" w:hAnsi="Cambria"/>
          <w:noProof/>
          <w:sz w:val="22"/>
          <w:lang w:val="en-US"/>
        </w:rPr>
        <w:tab/>
        <w:t xml:space="preserve">Komaromy C, Earle S, Layne L. </w:t>
      </w:r>
      <w:r w:rsidRPr="00BC0421">
        <w:rPr>
          <w:rFonts w:ascii="Cambria" w:hAnsi="Cambria"/>
          <w:i/>
          <w:iCs/>
          <w:noProof/>
          <w:sz w:val="22"/>
          <w:lang w:val="en-US"/>
        </w:rPr>
        <w:t>Understanding Reproductive Loss: Perspectives on Life, Death and Fertility</w:t>
      </w:r>
      <w:r w:rsidRPr="00BC0421">
        <w:rPr>
          <w:rFonts w:ascii="Cambria" w:hAnsi="Cambria"/>
          <w:noProof/>
          <w:sz w:val="22"/>
          <w:lang w:val="en-US"/>
        </w:rPr>
        <w:t xml:space="preserve">. London: Ashgate Publishing, Ltd.; 2013. </w:t>
      </w:r>
    </w:p>
    <w:p w14:paraId="529F7C0F" w14:textId="77777777" w:rsidR="00BC0421" w:rsidRPr="00BC0421" w:rsidRDefault="00BC0421" w:rsidP="00BC0421">
      <w:pPr>
        <w:widowControl w:val="0"/>
        <w:autoSpaceDE w:val="0"/>
        <w:autoSpaceDN w:val="0"/>
        <w:adjustRightInd w:val="0"/>
        <w:ind w:left="640" w:hanging="640"/>
        <w:rPr>
          <w:rFonts w:ascii="Cambria" w:hAnsi="Cambria"/>
          <w:noProof/>
          <w:sz w:val="22"/>
          <w:lang w:val="en-US"/>
        </w:rPr>
      </w:pPr>
      <w:r w:rsidRPr="00BC0421">
        <w:rPr>
          <w:rFonts w:ascii="Cambria" w:hAnsi="Cambria"/>
          <w:noProof/>
          <w:sz w:val="22"/>
          <w:lang w:val="en-US"/>
        </w:rPr>
        <w:t xml:space="preserve">19. </w:t>
      </w:r>
      <w:r w:rsidRPr="00BC0421">
        <w:rPr>
          <w:rFonts w:ascii="Cambria" w:hAnsi="Cambria"/>
          <w:noProof/>
          <w:sz w:val="22"/>
          <w:lang w:val="en-US"/>
        </w:rPr>
        <w:tab/>
        <w:t xml:space="preserve">Brittain KR, Shaw C. The social consequences of living with and dealing with incontinence--a carers perspective. </w:t>
      </w:r>
      <w:r w:rsidRPr="00BC0421">
        <w:rPr>
          <w:rFonts w:ascii="Cambria" w:hAnsi="Cambria"/>
          <w:i/>
          <w:iCs/>
          <w:noProof/>
          <w:sz w:val="22"/>
          <w:lang w:val="en-US"/>
        </w:rPr>
        <w:t>Soc Sci Med</w:t>
      </w:r>
      <w:r w:rsidRPr="00BC0421">
        <w:rPr>
          <w:rFonts w:ascii="Cambria" w:hAnsi="Cambria"/>
          <w:noProof/>
          <w:sz w:val="22"/>
          <w:lang w:val="en-US"/>
        </w:rPr>
        <w:t>. 2007;65(6):1274-1283. doi:10.1016/j.socscimed.2007.04.002.</w:t>
      </w:r>
    </w:p>
    <w:p w14:paraId="4B671F4B" w14:textId="77777777" w:rsidR="00BC0421" w:rsidRPr="00BC0421" w:rsidRDefault="00BC0421" w:rsidP="00BC0421">
      <w:pPr>
        <w:widowControl w:val="0"/>
        <w:autoSpaceDE w:val="0"/>
        <w:autoSpaceDN w:val="0"/>
        <w:adjustRightInd w:val="0"/>
        <w:ind w:left="640" w:hanging="640"/>
        <w:rPr>
          <w:rFonts w:ascii="Cambria" w:hAnsi="Cambria"/>
          <w:noProof/>
          <w:sz w:val="22"/>
          <w:lang w:val="en-US"/>
        </w:rPr>
      </w:pPr>
      <w:r w:rsidRPr="00BC0421">
        <w:rPr>
          <w:rFonts w:ascii="Cambria" w:hAnsi="Cambria"/>
          <w:noProof/>
          <w:sz w:val="22"/>
          <w:lang w:val="en-US"/>
        </w:rPr>
        <w:t xml:space="preserve">20. </w:t>
      </w:r>
      <w:r w:rsidRPr="00BC0421">
        <w:rPr>
          <w:rFonts w:ascii="Cambria" w:hAnsi="Cambria"/>
          <w:noProof/>
          <w:sz w:val="22"/>
          <w:lang w:val="en-US"/>
        </w:rPr>
        <w:tab/>
        <w:t xml:space="preserve">Schneider RM. Group Bereavement Support for Spouses Who Are Grieving the Loss of a Partner to Cancer. </w:t>
      </w:r>
      <w:r w:rsidRPr="00BC0421">
        <w:rPr>
          <w:rFonts w:ascii="Cambria" w:hAnsi="Cambria"/>
          <w:i/>
          <w:iCs/>
          <w:noProof/>
          <w:sz w:val="22"/>
          <w:lang w:val="en-US"/>
        </w:rPr>
        <w:t>Soc Work Groups</w:t>
      </w:r>
      <w:r w:rsidRPr="00BC0421">
        <w:rPr>
          <w:rFonts w:ascii="Cambria" w:hAnsi="Cambria"/>
          <w:noProof/>
          <w:sz w:val="22"/>
          <w:lang w:val="en-US"/>
        </w:rPr>
        <w:t>. 2006;29(2-3):259-278. doi:10.1300/J009v29n02_17.</w:t>
      </w:r>
    </w:p>
    <w:p w14:paraId="4E2863E6" w14:textId="77777777" w:rsidR="00BC0421" w:rsidRPr="00BC0421" w:rsidRDefault="00BC0421" w:rsidP="00BC0421">
      <w:pPr>
        <w:widowControl w:val="0"/>
        <w:autoSpaceDE w:val="0"/>
        <w:autoSpaceDN w:val="0"/>
        <w:adjustRightInd w:val="0"/>
        <w:ind w:left="640" w:hanging="640"/>
        <w:rPr>
          <w:rFonts w:ascii="Cambria" w:hAnsi="Cambria"/>
          <w:noProof/>
          <w:sz w:val="22"/>
          <w:lang w:val="en-US"/>
        </w:rPr>
      </w:pPr>
      <w:r w:rsidRPr="00BC0421">
        <w:rPr>
          <w:rFonts w:ascii="Cambria" w:hAnsi="Cambria"/>
          <w:noProof/>
          <w:sz w:val="22"/>
          <w:lang w:val="en-US"/>
        </w:rPr>
        <w:t xml:space="preserve">21. </w:t>
      </w:r>
      <w:r w:rsidRPr="00BC0421">
        <w:rPr>
          <w:rFonts w:ascii="Cambria" w:hAnsi="Cambria"/>
          <w:noProof/>
          <w:sz w:val="22"/>
          <w:lang w:val="en-US"/>
        </w:rPr>
        <w:tab/>
        <w:t xml:space="preserve">Goffman E. </w:t>
      </w:r>
      <w:r w:rsidRPr="00BC0421">
        <w:rPr>
          <w:rFonts w:ascii="Cambria" w:hAnsi="Cambria"/>
          <w:i/>
          <w:iCs/>
          <w:noProof/>
          <w:sz w:val="22"/>
          <w:lang w:val="en-US"/>
        </w:rPr>
        <w:t>Stigma: Notes on the Management of Spoiled Identity</w:t>
      </w:r>
      <w:r w:rsidRPr="00BC0421">
        <w:rPr>
          <w:rFonts w:ascii="Cambria" w:hAnsi="Cambria"/>
          <w:noProof/>
          <w:sz w:val="22"/>
          <w:lang w:val="en-US"/>
        </w:rPr>
        <w:t>. Englewood Cliffs, NJ: Prentice-Hall; 1963.</w:t>
      </w:r>
    </w:p>
    <w:p w14:paraId="7E8D5EB8" w14:textId="77777777" w:rsidR="00BC0421" w:rsidRPr="00BC0421" w:rsidRDefault="00BC0421" w:rsidP="00BC0421">
      <w:pPr>
        <w:widowControl w:val="0"/>
        <w:autoSpaceDE w:val="0"/>
        <w:autoSpaceDN w:val="0"/>
        <w:adjustRightInd w:val="0"/>
        <w:ind w:left="640" w:hanging="640"/>
        <w:rPr>
          <w:rFonts w:ascii="Cambria" w:hAnsi="Cambria"/>
          <w:noProof/>
          <w:sz w:val="22"/>
          <w:lang w:val="en-US"/>
        </w:rPr>
      </w:pPr>
      <w:r w:rsidRPr="00BC0421">
        <w:rPr>
          <w:rFonts w:ascii="Cambria" w:hAnsi="Cambria"/>
          <w:noProof/>
          <w:sz w:val="22"/>
          <w:lang w:val="en-US"/>
        </w:rPr>
        <w:t xml:space="preserve">22. </w:t>
      </w:r>
      <w:r w:rsidRPr="00BC0421">
        <w:rPr>
          <w:rFonts w:ascii="Cambria" w:hAnsi="Cambria"/>
          <w:noProof/>
          <w:sz w:val="22"/>
          <w:lang w:val="en-US"/>
        </w:rPr>
        <w:tab/>
        <w:t xml:space="preserve">Borgstrom E. Social death in end-of-life care policy. </w:t>
      </w:r>
      <w:r w:rsidRPr="00BC0421">
        <w:rPr>
          <w:rFonts w:ascii="Cambria" w:hAnsi="Cambria"/>
          <w:i/>
          <w:iCs/>
          <w:noProof/>
          <w:sz w:val="22"/>
          <w:lang w:val="en-US"/>
        </w:rPr>
        <w:t>Contemp Soc Sci</w:t>
      </w:r>
      <w:r w:rsidRPr="00BC0421">
        <w:rPr>
          <w:rFonts w:ascii="Cambria" w:hAnsi="Cambria"/>
          <w:noProof/>
          <w:sz w:val="22"/>
          <w:lang w:val="en-US"/>
        </w:rPr>
        <w:t>. November 2015:1-12. doi:10.1080/21582041.2015.1109799.</w:t>
      </w:r>
    </w:p>
    <w:p w14:paraId="1077B5D4" w14:textId="77777777" w:rsidR="00BC0421" w:rsidRPr="00BC0421" w:rsidRDefault="00BC0421" w:rsidP="00BC0421">
      <w:pPr>
        <w:widowControl w:val="0"/>
        <w:autoSpaceDE w:val="0"/>
        <w:autoSpaceDN w:val="0"/>
        <w:adjustRightInd w:val="0"/>
        <w:ind w:left="640" w:hanging="640"/>
        <w:rPr>
          <w:rFonts w:ascii="Cambria" w:hAnsi="Cambria"/>
          <w:noProof/>
          <w:sz w:val="22"/>
          <w:lang w:val="en-US"/>
        </w:rPr>
      </w:pPr>
      <w:r w:rsidRPr="00BC0421">
        <w:rPr>
          <w:rFonts w:ascii="Cambria" w:hAnsi="Cambria"/>
          <w:noProof/>
          <w:sz w:val="22"/>
          <w:lang w:val="en-US"/>
        </w:rPr>
        <w:t xml:space="preserve">23. </w:t>
      </w:r>
      <w:r w:rsidRPr="00BC0421">
        <w:rPr>
          <w:rFonts w:ascii="Cambria" w:hAnsi="Cambria"/>
          <w:noProof/>
          <w:sz w:val="22"/>
          <w:lang w:val="en-US"/>
        </w:rPr>
        <w:tab/>
        <w:t xml:space="preserve">Sampson C, Finlay I, Byrne A, Snow V, Nelson A. The practice of palliative care from the perspective of patients and carers. </w:t>
      </w:r>
      <w:r w:rsidRPr="00BC0421">
        <w:rPr>
          <w:rFonts w:ascii="Cambria" w:hAnsi="Cambria"/>
          <w:i/>
          <w:iCs/>
          <w:noProof/>
          <w:sz w:val="22"/>
          <w:lang w:val="en-US"/>
        </w:rPr>
        <w:t>BMJ Support Palliat Care</w:t>
      </w:r>
      <w:r w:rsidRPr="00BC0421">
        <w:rPr>
          <w:rFonts w:ascii="Cambria" w:hAnsi="Cambria"/>
          <w:noProof/>
          <w:sz w:val="22"/>
          <w:lang w:val="en-US"/>
        </w:rPr>
        <w:t>. 2014;4(3):291-298. doi:10.1136/bmjspcare-2013-000551.</w:t>
      </w:r>
    </w:p>
    <w:p w14:paraId="5B873897" w14:textId="2A94F6F3" w:rsidR="00BC0421" w:rsidRPr="00BC0421" w:rsidRDefault="00BC0421" w:rsidP="00BC0421">
      <w:pPr>
        <w:widowControl w:val="0"/>
        <w:autoSpaceDE w:val="0"/>
        <w:autoSpaceDN w:val="0"/>
        <w:adjustRightInd w:val="0"/>
        <w:ind w:left="640" w:hanging="640"/>
        <w:rPr>
          <w:rFonts w:ascii="Cambria" w:hAnsi="Cambria"/>
          <w:noProof/>
          <w:sz w:val="22"/>
        </w:rPr>
      </w:pPr>
      <w:r w:rsidRPr="00BC0421">
        <w:rPr>
          <w:rFonts w:ascii="Cambria" w:hAnsi="Cambria"/>
          <w:noProof/>
          <w:sz w:val="22"/>
          <w:lang w:val="en-US"/>
        </w:rPr>
        <w:t xml:space="preserve">24. </w:t>
      </w:r>
      <w:r w:rsidRPr="00BC0421">
        <w:rPr>
          <w:rFonts w:ascii="Cambria" w:hAnsi="Cambria"/>
          <w:noProof/>
          <w:sz w:val="22"/>
          <w:lang w:val="en-US"/>
        </w:rPr>
        <w:tab/>
        <w:t xml:space="preserve">Christensen DR, Willerslev R. </w:t>
      </w:r>
      <w:r w:rsidRPr="00BC0421">
        <w:rPr>
          <w:rFonts w:ascii="Cambria" w:hAnsi="Cambria"/>
          <w:i/>
          <w:iCs/>
          <w:noProof/>
          <w:sz w:val="22"/>
          <w:lang w:val="en-US"/>
        </w:rPr>
        <w:t>Taming Time, Timing Death: Social Technologies and Ritual</w:t>
      </w:r>
      <w:r w:rsidRPr="00BC0421">
        <w:rPr>
          <w:rFonts w:ascii="Cambria" w:hAnsi="Cambria"/>
          <w:noProof/>
          <w:sz w:val="22"/>
          <w:lang w:val="en-US"/>
        </w:rPr>
        <w:t xml:space="preserve">. London: Ashgate Publishing, Ltd.; 2013. </w:t>
      </w:r>
    </w:p>
    <w:p w14:paraId="408905D4" w14:textId="48D62474" w:rsidR="00857687" w:rsidRPr="00857687" w:rsidRDefault="00857687" w:rsidP="00BC0421">
      <w:pPr>
        <w:widowControl w:val="0"/>
        <w:autoSpaceDE w:val="0"/>
        <w:autoSpaceDN w:val="0"/>
        <w:adjustRightInd w:val="0"/>
        <w:ind w:left="640" w:hanging="640"/>
        <w:rPr>
          <w:sz w:val="22"/>
          <w:szCs w:val="22"/>
        </w:rPr>
      </w:pPr>
      <w:r>
        <w:rPr>
          <w:sz w:val="22"/>
          <w:szCs w:val="22"/>
        </w:rPr>
        <w:fldChar w:fldCharType="end"/>
      </w:r>
    </w:p>
    <w:sectPr w:rsidR="00857687" w:rsidRPr="00857687" w:rsidSect="003927AE">
      <w:footerReference w:type="even" r:id="rId8"/>
      <w:footerReference w:type="default" r:id="rId9"/>
      <w:pgSz w:w="11900" w:h="1682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FE7C5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1215C" w14:textId="77777777" w:rsidR="00801569" w:rsidRDefault="00801569" w:rsidP="00875ED5">
      <w:r>
        <w:separator/>
      </w:r>
    </w:p>
  </w:endnote>
  <w:endnote w:type="continuationSeparator" w:id="0">
    <w:p w14:paraId="1F9717C0" w14:textId="77777777" w:rsidR="00801569" w:rsidRDefault="00801569" w:rsidP="00875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A8BD5" w14:textId="77777777" w:rsidR="00801569" w:rsidRDefault="00801569" w:rsidP="00565E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0BA0F5" w14:textId="77777777" w:rsidR="00801569" w:rsidRDefault="00801569" w:rsidP="00875ED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0ABA6" w14:textId="77777777" w:rsidR="00801569" w:rsidRDefault="00801569" w:rsidP="00565E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5C66">
      <w:rPr>
        <w:rStyle w:val="PageNumber"/>
        <w:noProof/>
      </w:rPr>
      <w:t>3</w:t>
    </w:r>
    <w:r>
      <w:rPr>
        <w:rStyle w:val="PageNumber"/>
      </w:rPr>
      <w:fldChar w:fldCharType="end"/>
    </w:r>
  </w:p>
  <w:p w14:paraId="7830887A" w14:textId="77777777" w:rsidR="00801569" w:rsidRDefault="00801569" w:rsidP="00875ED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3493F" w14:textId="77777777" w:rsidR="00801569" w:rsidRDefault="00801569" w:rsidP="00875ED5">
      <w:r>
        <w:separator/>
      </w:r>
    </w:p>
  </w:footnote>
  <w:footnote w:type="continuationSeparator" w:id="0">
    <w:p w14:paraId="3A5B9568" w14:textId="77777777" w:rsidR="00801569" w:rsidRDefault="00801569" w:rsidP="00875ED5">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a Borgstrom">
    <w15:presenceInfo w15:providerId="None" w15:userId="Erica Borgstr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C3D"/>
    <w:rsid w:val="000528D1"/>
    <w:rsid w:val="000615AE"/>
    <w:rsid w:val="00074956"/>
    <w:rsid w:val="000B17A5"/>
    <w:rsid w:val="000C5EB9"/>
    <w:rsid w:val="00115791"/>
    <w:rsid w:val="001245C4"/>
    <w:rsid w:val="00183342"/>
    <w:rsid w:val="001948CD"/>
    <w:rsid w:val="00194BEF"/>
    <w:rsid w:val="001E7708"/>
    <w:rsid w:val="001F13AD"/>
    <w:rsid w:val="002557DE"/>
    <w:rsid w:val="002664F2"/>
    <w:rsid w:val="002928DA"/>
    <w:rsid w:val="003049D7"/>
    <w:rsid w:val="00326EA1"/>
    <w:rsid w:val="003715B0"/>
    <w:rsid w:val="00376216"/>
    <w:rsid w:val="003927AE"/>
    <w:rsid w:val="00394561"/>
    <w:rsid w:val="00396CCB"/>
    <w:rsid w:val="003B6111"/>
    <w:rsid w:val="003C0C7B"/>
    <w:rsid w:val="0043132D"/>
    <w:rsid w:val="004332EB"/>
    <w:rsid w:val="004662B4"/>
    <w:rsid w:val="004A0B30"/>
    <w:rsid w:val="004C3008"/>
    <w:rsid w:val="004E342B"/>
    <w:rsid w:val="004E73CC"/>
    <w:rsid w:val="00565E1A"/>
    <w:rsid w:val="005B1B91"/>
    <w:rsid w:val="005E13A0"/>
    <w:rsid w:val="00637FF5"/>
    <w:rsid w:val="006747E6"/>
    <w:rsid w:val="00680D76"/>
    <w:rsid w:val="006D2696"/>
    <w:rsid w:val="00734EAB"/>
    <w:rsid w:val="00743946"/>
    <w:rsid w:val="007620B1"/>
    <w:rsid w:val="00783BFA"/>
    <w:rsid w:val="007966EE"/>
    <w:rsid w:val="007B3B5F"/>
    <w:rsid w:val="00801569"/>
    <w:rsid w:val="0080478A"/>
    <w:rsid w:val="00857687"/>
    <w:rsid w:val="0086267E"/>
    <w:rsid w:val="00875ED5"/>
    <w:rsid w:val="0087723C"/>
    <w:rsid w:val="008877D8"/>
    <w:rsid w:val="00897346"/>
    <w:rsid w:val="008D7B2B"/>
    <w:rsid w:val="008E33C7"/>
    <w:rsid w:val="008E6265"/>
    <w:rsid w:val="00911BA4"/>
    <w:rsid w:val="00953A90"/>
    <w:rsid w:val="00956484"/>
    <w:rsid w:val="00961218"/>
    <w:rsid w:val="00982996"/>
    <w:rsid w:val="00984510"/>
    <w:rsid w:val="009A4503"/>
    <w:rsid w:val="00A13559"/>
    <w:rsid w:val="00A75A1E"/>
    <w:rsid w:val="00A85496"/>
    <w:rsid w:val="00A91CBD"/>
    <w:rsid w:val="00AA1A51"/>
    <w:rsid w:val="00AA7970"/>
    <w:rsid w:val="00AD309A"/>
    <w:rsid w:val="00B80CDE"/>
    <w:rsid w:val="00BC0421"/>
    <w:rsid w:val="00C12FB7"/>
    <w:rsid w:val="00C14EF4"/>
    <w:rsid w:val="00C55C65"/>
    <w:rsid w:val="00C95A40"/>
    <w:rsid w:val="00C965AB"/>
    <w:rsid w:val="00CE2D9D"/>
    <w:rsid w:val="00D01881"/>
    <w:rsid w:val="00D05C66"/>
    <w:rsid w:val="00D77F4A"/>
    <w:rsid w:val="00DC4558"/>
    <w:rsid w:val="00DC70D2"/>
    <w:rsid w:val="00DF7BDF"/>
    <w:rsid w:val="00E34B8A"/>
    <w:rsid w:val="00E44BD3"/>
    <w:rsid w:val="00E87DAE"/>
    <w:rsid w:val="00E92A53"/>
    <w:rsid w:val="00EF0529"/>
    <w:rsid w:val="00EF05A9"/>
    <w:rsid w:val="00F26BB2"/>
    <w:rsid w:val="00F521F7"/>
    <w:rsid w:val="00F75221"/>
    <w:rsid w:val="00FC5C3D"/>
    <w:rsid w:val="00FF08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7185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D309A"/>
    <w:rPr>
      <w:sz w:val="16"/>
      <w:szCs w:val="16"/>
    </w:rPr>
  </w:style>
  <w:style w:type="paragraph" w:styleId="CommentText">
    <w:name w:val="annotation text"/>
    <w:basedOn w:val="Normal"/>
    <w:link w:val="CommentTextChar"/>
    <w:uiPriority w:val="99"/>
    <w:semiHidden/>
    <w:unhideWhenUsed/>
    <w:rsid w:val="00AD309A"/>
    <w:pPr>
      <w:spacing w:after="200"/>
    </w:pPr>
    <w:rPr>
      <w:rFonts w:eastAsiaTheme="minorHAnsi"/>
      <w:sz w:val="20"/>
      <w:szCs w:val="20"/>
    </w:rPr>
  </w:style>
  <w:style w:type="character" w:customStyle="1" w:styleId="CommentTextChar">
    <w:name w:val="Comment Text Char"/>
    <w:basedOn w:val="DefaultParagraphFont"/>
    <w:link w:val="CommentText"/>
    <w:uiPriority w:val="99"/>
    <w:semiHidden/>
    <w:rsid w:val="00AD309A"/>
    <w:rPr>
      <w:rFonts w:eastAsiaTheme="minorHAnsi"/>
      <w:sz w:val="20"/>
      <w:szCs w:val="20"/>
    </w:rPr>
  </w:style>
  <w:style w:type="paragraph" w:styleId="BalloonText">
    <w:name w:val="Balloon Text"/>
    <w:basedOn w:val="Normal"/>
    <w:link w:val="BalloonTextChar"/>
    <w:uiPriority w:val="99"/>
    <w:semiHidden/>
    <w:unhideWhenUsed/>
    <w:rsid w:val="00AD309A"/>
    <w:rPr>
      <w:rFonts w:ascii="Lucida Grande" w:hAnsi="Lucida Grande"/>
      <w:sz w:val="18"/>
      <w:szCs w:val="18"/>
    </w:rPr>
  </w:style>
  <w:style w:type="character" w:customStyle="1" w:styleId="BalloonTextChar">
    <w:name w:val="Balloon Text Char"/>
    <w:basedOn w:val="DefaultParagraphFont"/>
    <w:link w:val="BalloonText"/>
    <w:uiPriority w:val="99"/>
    <w:semiHidden/>
    <w:rsid w:val="00AD309A"/>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AD309A"/>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AD309A"/>
    <w:rPr>
      <w:rFonts w:eastAsiaTheme="minorHAnsi"/>
      <w:b/>
      <w:bCs/>
      <w:sz w:val="20"/>
      <w:szCs w:val="20"/>
    </w:rPr>
  </w:style>
  <w:style w:type="paragraph" w:styleId="Footer">
    <w:name w:val="footer"/>
    <w:basedOn w:val="Normal"/>
    <w:link w:val="FooterChar"/>
    <w:uiPriority w:val="99"/>
    <w:unhideWhenUsed/>
    <w:rsid w:val="00875ED5"/>
    <w:pPr>
      <w:tabs>
        <w:tab w:val="center" w:pos="4320"/>
        <w:tab w:val="right" w:pos="8640"/>
      </w:tabs>
    </w:pPr>
  </w:style>
  <w:style w:type="character" w:customStyle="1" w:styleId="FooterChar">
    <w:name w:val="Footer Char"/>
    <w:basedOn w:val="DefaultParagraphFont"/>
    <w:link w:val="Footer"/>
    <w:uiPriority w:val="99"/>
    <w:rsid w:val="00875ED5"/>
  </w:style>
  <w:style w:type="character" w:styleId="PageNumber">
    <w:name w:val="page number"/>
    <w:basedOn w:val="DefaultParagraphFont"/>
    <w:uiPriority w:val="99"/>
    <w:semiHidden/>
    <w:unhideWhenUsed/>
    <w:rsid w:val="00875ED5"/>
  </w:style>
  <w:style w:type="paragraph" w:styleId="Revision">
    <w:name w:val="Revision"/>
    <w:hidden/>
    <w:uiPriority w:val="99"/>
    <w:semiHidden/>
    <w:rsid w:val="000615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D309A"/>
    <w:rPr>
      <w:sz w:val="16"/>
      <w:szCs w:val="16"/>
    </w:rPr>
  </w:style>
  <w:style w:type="paragraph" w:styleId="CommentText">
    <w:name w:val="annotation text"/>
    <w:basedOn w:val="Normal"/>
    <w:link w:val="CommentTextChar"/>
    <w:uiPriority w:val="99"/>
    <w:semiHidden/>
    <w:unhideWhenUsed/>
    <w:rsid w:val="00AD309A"/>
    <w:pPr>
      <w:spacing w:after="200"/>
    </w:pPr>
    <w:rPr>
      <w:rFonts w:eastAsiaTheme="minorHAnsi"/>
      <w:sz w:val="20"/>
      <w:szCs w:val="20"/>
    </w:rPr>
  </w:style>
  <w:style w:type="character" w:customStyle="1" w:styleId="CommentTextChar">
    <w:name w:val="Comment Text Char"/>
    <w:basedOn w:val="DefaultParagraphFont"/>
    <w:link w:val="CommentText"/>
    <w:uiPriority w:val="99"/>
    <w:semiHidden/>
    <w:rsid w:val="00AD309A"/>
    <w:rPr>
      <w:rFonts w:eastAsiaTheme="minorHAnsi"/>
      <w:sz w:val="20"/>
      <w:szCs w:val="20"/>
    </w:rPr>
  </w:style>
  <w:style w:type="paragraph" w:styleId="BalloonText">
    <w:name w:val="Balloon Text"/>
    <w:basedOn w:val="Normal"/>
    <w:link w:val="BalloonTextChar"/>
    <w:uiPriority w:val="99"/>
    <w:semiHidden/>
    <w:unhideWhenUsed/>
    <w:rsid w:val="00AD309A"/>
    <w:rPr>
      <w:rFonts w:ascii="Lucida Grande" w:hAnsi="Lucida Grande"/>
      <w:sz w:val="18"/>
      <w:szCs w:val="18"/>
    </w:rPr>
  </w:style>
  <w:style w:type="character" w:customStyle="1" w:styleId="BalloonTextChar">
    <w:name w:val="Balloon Text Char"/>
    <w:basedOn w:val="DefaultParagraphFont"/>
    <w:link w:val="BalloonText"/>
    <w:uiPriority w:val="99"/>
    <w:semiHidden/>
    <w:rsid w:val="00AD309A"/>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AD309A"/>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AD309A"/>
    <w:rPr>
      <w:rFonts w:eastAsiaTheme="minorHAnsi"/>
      <w:b/>
      <w:bCs/>
      <w:sz w:val="20"/>
      <w:szCs w:val="20"/>
    </w:rPr>
  </w:style>
  <w:style w:type="paragraph" w:styleId="Footer">
    <w:name w:val="footer"/>
    <w:basedOn w:val="Normal"/>
    <w:link w:val="FooterChar"/>
    <w:uiPriority w:val="99"/>
    <w:unhideWhenUsed/>
    <w:rsid w:val="00875ED5"/>
    <w:pPr>
      <w:tabs>
        <w:tab w:val="center" w:pos="4320"/>
        <w:tab w:val="right" w:pos="8640"/>
      </w:tabs>
    </w:pPr>
  </w:style>
  <w:style w:type="character" w:customStyle="1" w:styleId="FooterChar">
    <w:name w:val="Footer Char"/>
    <w:basedOn w:val="DefaultParagraphFont"/>
    <w:link w:val="Footer"/>
    <w:uiPriority w:val="99"/>
    <w:rsid w:val="00875ED5"/>
  </w:style>
  <w:style w:type="character" w:styleId="PageNumber">
    <w:name w:val="page number"/>
    <w:basedOn w:val="DefaultParagraphFont"/>
    <w:uiPriority w:val="99"/>
    <w:semiHidden/>
    <w:unhideWhenUsed/>
    <w:rsid w:val="00875ED5"/>
  </w:style>
  <w:style w:type="paragraph" w:styleId="Revision">
    <w:name w:val="Revision"/>
    <w:hidden/>
    <w:uiPriority w:val="99"/>
    <w:semiHidden/>
    <w:rsid w:val="00061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0205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01C1F-99E6-964F-914D-87FD962BB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8000</Words>
  <Characters>45606</Characters>
  <Application>Microsoft Macintosh Word</Application>
  <DocSecurity>0</DocSecurity>
  <Lines>380</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Seruset Borgstrom</dc:creator>
  <cp:keywords/>
  <dc:description/>
  <cp:lastModifiedBy>Erica Seruset Borgstrom</cp:lastModifiedBy>
  <cp:revision>2</cp:revision>
  <cp:lastPrinted>2016-04-04T13:46:00Z</cp:lastPrinted>
  <dcterms:created xsi:type="dcterms:W3CDTF">2016-05-03T14:32:00Z</dcterms:created>
  <dcterms:modified xsi:type="dcterms:W3CDTF">2016-05-03T14:32:00Z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dr.borgstrom@gmail.com@www.mendeley.com</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