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F1" w:rsidRPr="008E510B" w:rsidRDefault="00F067F1" w:rsidP="00CD3621">
      <w:pPr>
        <w:widowControl w:val="0"/>
        <w:autoSpaceDE w:val="0"/>
        <w:autoSpaceDN w:val="0"/>
        <w:adjustRightInd w:val="0"/>
        <w:rPr>
          <w:rFonts w:cs="Times New Roman"/>
          <w:b/>
          <w:bCs/>
          <w:szCs w:val="24"/>
        </w:rPr>
      </w:pPr>
      <w:r w:rsidRPr="008E510B">
        <w:rPr>
          <w:rFonts w:cs="Times New Roman"/>
          <w:b/>
          <w:bCs/>
          <w:szCs w:val="24"/>
        </w:rPr>
        <w:t xml:space="preserve">Quality maternity care for every woman, everywhere: A call to action </w:t>
      </w:r>
    </w:p>
    <w:p w:rsidR="00F067F1" w:rsidRPr="008E510B" w:rsidRDefault="00F067F1" w:rsidP="005C5B12">
      <w:pPr>
        <w:widowControl w:val="0"/>
        <w:autoSpaceDE w:val="0"/>
        <w:autoSpaceDN w:val="0"/>
        <w:adjustRightInd w:val="0"/>
        <w:rPr>
          <w:rFonts w:cs="Times New Roman"/>
          <w:bCs/>
          <w:szCs w:val="24"/>
        </w:rPr>
      </w:pPr>
      <w:r w:rsidRPr="008E510B">
        <w:rPr>
          <w:rFonts w:cs="Times New Roman"/>
          <w:bCs/>
          <w:szCs w:val="24"/>
        </w:rPr>
        <w:t>Marge Koblinsky PhD, Cheryl A. Moyer PhD, Clara Calvert PhD, James Campbell MPH, Oona M.R. Campbell PhD, Andrea B. Feigl PhD, Wendy J. Graham DPhil, Laurel Hatt PhD, Steve Hodgins DrPH, Zoe Matthews PhD, Lori McDougall MSc, Allisyn C. Moran PhD, Allyala K. Nandakumar PhD, and Ana Langer MD</w:t>
      </w:r>
    </w:p>
    <w:p w:rsidR="00F067F1" w:rsidRPr="008E510B" w:rsidRDefault="00F067F1" w:rsidP="00CD3621">
      <w:pPr>
        <w:widowControl w:val="0"/>
        <w:autoSpaceDE w:val="0"/>
        <w:autoSpaceDN w:val="0"/>
        <w:adjustRightInd w:val="0"/>
        <w:rPr>
          <w:rFonts w:cs="Times New Roman"/>
          <w:b/>
          <w:bCs/>
          <w:szCs w:val="24"/>
        </w:rPr>
      </w:pPr>
      <w:r w:rsidRPr="008E510B">
        <w:rPr>
          <w:rFonts w:cs="Times New Roman"/>
          <w:b/>
          <w:bCs/>
          <w:szCs w:val="24"/>
        </w:rPr>
        <w:t xml:space="preserve">Affiliations: </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M Koblinsky, PhD – Maternal and Child Health, HIDN, USAID</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 xml:space="preserve">CA Moyer, PhD - </w:t>
      </w:r>
      <w:r w:rsidRPr="008E510B">
        <w:rPr>
          <w:rFonts w:cs="Times New Roman"/>
          <w:szCs w:val="24"/>
        </w:rPr>
        <w:t>Departments of Learning Health Sciences and Obstetrics and Gynecology; Global REACH, University of Michigan Medical School, Michigan</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C Calvert, PhD – London School of Hygiene and Tropical Medicine, London</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J Campbell, MPH – Health Workforce, World Health Organization, Geneva</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Professor O M R Campbell, PhD – London School of Hygiene and Tropical Medicine, London</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A B Feigl, PhD - Abt Associates Inc., Bethesda, MD USA</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Professor W Graham, DPhil - London School of Hygiene and Tropical Medicine, London</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L Hatt, PhD – Abt Associates Inc., Bethesda, MD USA</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S Hodgins, DrPH – Saving Newborn Lives, Save the Children, Washington DC</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Professor Z Matthews, PhD – Department of Social Statistics and Demography, University of Southampton, Southampton</w:t>
      </w:r>
    </w:p>
    <w:p w:rsidR="00F067F1" w:rsidRPr="008E510B" w:rsidRDefault="00F067F1" w:rsidP="005C5B12">
      <w:pPr>
        <w:widowControl w:val="0"/>
        <w:autoSpaceDE w:val="0"/>
        <w:autoSpaceDN w:val="0"/>
        <w:adjustRightInd w:val="0"/>
        <w:rPr>
          <w:rFonts w:cs="Times New Roman"/>
          <w:bCs/>
          <w:szCs w:val="24"/>
        </w:rPr>
      </w:pPr>
      <w:r w:rsidRPr="008E510B">
        <w:rPr>
          <w:rFonts w:cs="Times New Roman"/>
          <w:bCs/>
          <w:szCs w:val="24"/>
        </w:rPr>
        <w:t>L McDougall, MSc – Partnership for Maternal Newborn and Child Health</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A C Moran, PhD – Maternal and Child Health, HIDN, USAID</w:t>
      </w:r>
    </w:p>
    <w:p w:rsidR="00F067F1" w:rsidRPr="008E510B" w:rsidRDefault="00F067F1" w:rsidP="00CD3621">
      <w:pPr>
        <w:widowControl w:val="0"/>
        <w:autoSpaceDE w:val="0"/>
        <w:autoSpaceDN w:val="0"/>
        <w:adjustRightInd w:val="0"/>
        <w:rPr>
          <w:rFonts w:cs="Times New Roman"/>
          <w:bCs/>
          <w:szCs w:val="24"/>
        </w:rPr>
      </w:pPr>
      <w:r w:rsidRPr="008E510B">
        <w:rPr>
          <w:rFonts w:cs="Times New Roman"/>
          <w:bCs/>
          <w:szCs w:val="24"/>
        </w:rPr>
        <w:t xml:space="preserve">A Nandakumar, PhD – Office of Health Systems, USAID, Washington DC </w:t>
      </w:r>
    </w:p>
    <w:p w:rsidR="00F067F1" w:rsidRPr="008E510B" w:rsidRDefault="00F067F1" w:rsidP="00CD3621">
      <w:pPr>
        <w:autoSpaceDE w:val="0"/>
        <w:autoSpaceDN w:val="0"/>
        <w:adjustRightInd w:val="0"/>
        <w:spacing w:after="0"/>
        <w:rPr>
          <w:rFonts w:eastAsiaTheme="minorEastAsia" w:cs="Times New Roman"/>
          <w:szCs w:val="24"/>
          <w:lang w:val="en-GB"/>
        </w:rPr>
      </w:pPr>
      <w:r w:rsidRPr="008E510B">
        <w:rPr>
          <w:rFonts w:cs="Times New Roman"/>
          <w:bCs/>
          <w:szCs w:val="24"/>
        </w:rPr>
        <w:t xml:space="preserve">Professor A Langer, MD - </w:t>
      </w:r>
      <w:r w:rsidRPr="008E510B">
        <w:rPr>
          <w:rFonts w:eastAsiaTheme="minorEastAsia" w:cs="Times New Roman"/>
          <w:szCs w:val="24"/>
          <w:lang w:val="en-GB"/>
        </w:rPr>
        <w:t xml:space="preserve">Maternal Health Task Force, Women and Health Initiative, Harvard T.H. Chan School of Public Health, Boston </w:t>
      </w:r>
    </w:p>
    <w:p w:rsidR="00F067F1" w:rsidRPr="008E510B" w:rsidRDefault="00F067F1" w:rsidP="00CD3621">
      <w:pPr>
        <w:autoSpaceDE w:val="0"/>
        <w:autoSpaceDN w:val="0"/>
        <w:adjustRightInd w:val="0"/>
        <w:spacing w:after="0"/>
        <w:rPr>
          <w:rFonts w:eastAsiaTheme="minorEastAsia" w:cs="Times New Roman"/>
          <w:szCs w:val="24"/>
          <w:lang w:val="en-GB"/>
        </w:rPr>
      </w:pPr>
    </w:p>
    <w:p w:rsidR="00F067F1" w:rsidRPr="008E510B" w:rsidRDefault="00F067F1" w:rsidP="00CD3621">
      <w:pPr>
        <w:autoSpaceDE w:val="0"/>
        <w:autoSpaceDN w:val="0"/>
        <w:adjustRightInd w:val="0"/>
        <w:spacing w:after="0"/>
        <w:rPr>
          <w:rFonts w:eastAsiaTheme="minorEastAsia" w:cs="Times New Roman"/>
          <w:b/>
          <w:szCs w:val="24"/>
          <w:lang w:val="en-GB"/>
        </w:rPr>
      </w:pPr>
      <w:r w:rsidRPr="008E510B">
        <w:rPr>
          <w:rFonts w:eastAsiaTheme="minorEastAsia" w:cs="Times New Roman"/>
          <w:b/>
          <w:szCs w:val="24"/>
          <w:lang w:val="en-GB"/>
        </w:rPr>
        <w:t xml:space="preserve">Corresponding author: </w:t>
      </w:r>
      <w:r w:rsidRPr="008E510B">
        <w:rPr>
          <w:rFonts w:eastAsiaTheme="minorEastAsia" w:cs="Times New Roman"/>
          <w:szCs w:val="24"/>
          <w:lang w:val="en-GB"/>
        </w:rPr>
        <w:t>Dr Marjorie Koblinsky – mkoblinsky@gmail.com</w:t>
      </w:r>
    </w:p>
    <w:p w:rsidR="00F067F1" w:rsidRPr="008E510B" w:rsidRDefault="00F067F1" w:rsidP="00CD3621">
      <w:pPr>
        <w:autoSpaceDE w:val="0"/>
        <w:autoSpaceDN w:val="0"/>
        <w:adjustRightInd w:val="0"/>
        <w:spacing w:after="0"/>
        <w:rPr>
          <w:rFonts w:eastAsiaTheme="minorEastAsia" w:cs="Times New Roman"/>
          <w:szCs w:val="24"/>
          <w:lang w:val="en-GB"/>
        </w:rPr>
      </w:pPr>
    </w:p>
    <w:p w:rsidR="00F067F1" w:rsidRPr="008E510B" w:rsidRDefault="00F067F1" w:rsidP="00CD3621">
      <w:pPr>
        <w:autoSpaceDE w:val="0"/>
        <w:autoSpaceDN w:val="0"/>
        <w:adjustRightInd w:val="0"/>
        <w:spacing w:after="0"/>
        <w:rPr>
          <w:rFonts w:eastAsiaTheme="minorEastAsia" w:cs="Times New Roman"/>
          <w:b/>
          <w:szCs w:val="24"/>
          <w:lang w:val="en-GB"/>
        </w:rPr>
      </w:pPr>
      <w:r w:rsidRPr="008E510B">
        <w:rPr>
          <w:rFonts w:eastAsiaTheme="minorEastAsia" w:cs="Times New Roman"/>
          <w:b/>
          <w:szCs w:val="24"/>
          <w:lang w:val="en-GB"/>
        </w:rPr>
        <w:t>Conflict of interest statement:</w:t>
      </w:r>
    </w:p>
    <w:p w:rsidR="00F067F1" w:rsidRPr="008E510B" w:rsidRDefault="00F067F1" w:rsidP="00CD3621">
      <w:pPr>
        <w:spacing w:after="0"/>
        <w:rPr>
          <w:rFonts w:cs="Times New Roman"/>
          <w:bCs/>
          <w:szCs w:val="24"/>
        </w:rPr>
      </w:pPr>
      <w:r w:rsidRPr="008E510B">
        <w:rPr>
          <w:rFonts w:eastAsiaTheme="minorEastAsia" w:cs="Times New Roman"/>
          <w:szCs w:val="24"/>
        </w:rPr>
        <w:t xml:space="preserve">The authors have no conflict of interest. </w:t>
      </w:r>
      <w:r w:rsidRPr="008E510B">
        <w:rPr>
          <w:rFonts w:cs="Times New Roman"/>
          <w:bCs/>
          <w:szCs w:val="24"/>
        </w:rPr>
        <w:br w:type="page"/>
      </w:r>
    </w:p>
    <w:p w:rsidR="00F067F1" w:rsidRPr="008E510B" w:rsidRDefault="00F067F1" w:rsidP="00274FCC">
      <w:pPr>
        <w:rPr>
          <w:rFonts w:cs="Times New Roman"/>
          <w:b/>
          <w:szCs w:val="24"/>
        </w:rPr>
      </w:pPr>
      <w:r w:rsidRPr="008E510B">
        <w:rPr>
          <w:rFonts w:cs="Times New Roman"/>
          <w:b/>
          <w:szCs w:val="24"/>
        </w:rPr>
        <w:lastRenderedPageBreak/>
        <w:t>Authors’ contributions</w:t>
      </w:r>
    </w:p>
    <w:p w:rsidR="00F067F1" w:rsidRPr="008E510B" w:rsidRDefault="00F067F1" w:rsidP="00062EF9">
      <w:pPr>
        <w:rPr>
          <w:rFonts w:cs="Times New Roman"/>
          <w:b/>
          <w:szCs w:val="24"/>
        </w:rPr>
      </w:pPr>
      <w:r w:rsidRPr="008E510B">
        <w:rPr>
          <w:rFonts w:cs="Times New Roman"/>
          <w:szCs w:val="24"/>
        </w:rPr>
        <w:t>MK conceptualized the paper and worked closely with CAM, SH, AL, AF, LH, NK, ACM, CC and OMRC on the first draft. CAM provided valuable editorial and technical inputs; LM helped with conceptualization of the priorities and editorial support; and OMRC and CC provided continuous support, both editorial and technical. All authors (</w:t>
      </w:r>
      <w:r w:rsidRPr="008E510B">
        <w:rPr>
          <w:rFonts w:cs="Times New Roman"/>
          <w:bCs/>
          <w:szCs w:val="24"/>
        </w:rPr>
        <w:t xml:space="preserve">MK, CAM, CC, JC, OMRC, ABF, WJG, LH, SH, ZM, LM, ACM, AKN, and AL) </w:t>
      </w:r>
      <w:r w:rsidRPr="008E510B">
        <w:rPr>
          <w:rFonts w:cs="Times New Roman"/>
          <w:szCs w:val="24"/>
        </w:rPr>
        <w:t>contributed draft sections of the paper, provided input to its overall direction and content, and reviewed each draft of the paper.</w:t>
      </w:r>
    </w:p>
    <w:p w:rsidR="00F067F1" w:rsidRPr="008E510B" w:rsidRDefault="00F067F1" w:rsidP="00274FCC">
      <w:pPr>
        <w:rPr>
          <w:rFonts w:cs="Times New Roman"/>
          <w:b/>
          <w:szCs w:val="24"/>
        </w:rPr>
      </w:pPr>
      <w:r w:rsidRPr="008E510B">
        <w:rPr>
          <w:rFonts w:cs="Times New Roman"/>
          <w:b/>
          <w:szCs w:val="24"/>
        </w:rPr>
        <w:t>Acknowledgements</w:t>
      </w:r>
    </w:p>
    <w:p w:rsidR="00F067F1" w:rsidRPr="008E510B" w:rsidRDefault="00F067F1" w:rsidP="00F039BB">
      <w:pPr>
        <w:widowControl w:val="0"/>
        <w:autoSpaceDE w:val="0"/>
        <w:autoSpaceDN w:val="0"/>
        <w:adjustRightInd w:val="0"/>
        <w:rPr>
          <w:rFonts w:cs="Times New Roman"/>
          <w:bCs/>
          <w:szCs w:val="24"/>
        </w:rPr>
      </w:pPr>
      <w:r w:rsidRPr="008E510B">
        <w:rPr>
          <w:rFonts w:cs="Times New Roman"/>
          <w:szCs w:val="24"/>
        </w:rPr>
        <w:t xml:space="preserve">The authors would like to acknowledge Frank Anderson, Linda Bartlett, Neal Brandes, Asha George, Amanda Glassman, April Harding, Alain LaBrique, Margaret Kruk, David Milestone, Judith Moore, Lisa Nichols, Saiqa Panjsheri, Tom Pullum, Jim Ricca, Pamela Riley, Jeff Smith, Mary Ellen Stanton, and Ann Starrs for their insights that initiated the drafting of the paper. We thank Giorgio Cometto, Giorgia Gon, </w:t>
      </w:r>
      <w:r w:rsidRPr="008E510B">
        <w:rPr>
          <w:rFonts w:cs="Times New Roman"/>
          <w:bCs/>
          <w:szCs w:val="24"/>
        </w:rPr>
        <w:t>Rima Jolivet, Emily Hillman, Corrine W. Ruktanonchai, Malay Mridha, and Samiksha Singh who assisted with specific inquiries or figures. W</w:t>
      </w:r>
      <w:r w:rsidRPr="008E510B">
        <w:rPr>
          <w:rFonts w:cs="Times New Roman"/>
          <w:szCs w:val="24"/>
        </w:rPr>
        <w:t>e are grateful for the grounding for the paper contributed by</w:t>
      </w:r>
      <w:r>
        <w:rPr>
          <w:rFonts w:cs="Times New Roman"/>
          <w:szCs w:val="24"/>
        </w:rPr>
        <w:t xml:space="preserve"> </w:t>
      </w:r>
      <w:r w:rsidRPr="008E510B">
        <w:rPr>
          <w:rFonts w:cs="Times New Roman"/>
          <w:szCs w:val="24"/>
        </w:rPr>
        <w:t>the Series lead authors. Finally, we thank the anonymous reviewers for their useful comments.</w:t>
      </w:r>
    </w:p>
    <w:p w:rsidR="00F067F1" w:rsidRPr="008E510B" w:rsidRDefault="00F067F1" w:rsidP="00274FCC">
      <w:pPr>
        <w:rPr>
          <w:rFonts w:cs="Times New Roman"/>
          <w:b/>
          <w:szCs w:val="24"/>
        </w:rPr>
      </w:pPr>
      <w:r w:rsidRPr="008E510B">
        <w:rPr>
          <w:rFonts w:cs="Times New Roman"/>
          <w:b/>
          <w:szCs w:val="24"/>
        </w:rPr>
        <w:t>Funding</w:t>
      </w:r>
    </w:p>
    <w:p w:rsidR="00F067F1" w:rsidRPr="008E510B" w:rsidRDefault="00F067F1" w:rsidP="00274FCC">
      <w:pPr>
        <w:rPr>
          <w:rFonts w:cs="Times New Roman"/>
          <w:szCs w:val="24"/>
        </w:rPr>
      </w:pPr>
      <w:r w:rsidRPr="008E510B">
        <w:rPr>
          <w:rFonts w:cs="Times New Roman"/>
          <w:szCs w:val="24"/>
        </w:rPr>
        <w:t xml:space="preserve">Funding for the paper was provided by the MacArthur Foundation, the Bill and Melinda Gates Foundation, the USAID, and from MCSP. The funders did not have any role in the development or writing of the paper. </w:t>
      </w:r>
    </w:p>
    <w:p w:rsidR="00F067F1" w:rsidRPr="008E510B" w:rsidRDefault="00F067F1" w:rsidP="00274FCC">
      <w:pPr>
        <w:rPr>
          <w:rFonts w:cs="Times New Roman"/>
          <w:szCs w:val="24"/>
        </w:rPr>
      </w:pPr>
      <w:r w:rsidRPr="008E510B">
        <w:rPr>
          <w:rFonts w:cs="Times New Roman"/>
          <w:szCs w:val="24"/>
        </w:rPr>
        <w:t>Key words: maternal morbidity, maternal mortality, universal coverage, quality of care, advocacy, implementation research, indicators, human resources, financing, adolescent, humanitarian and conflict setting, newborn, stillbirth</w:t>
      </w:r>
    </w:p>
    <w:p w:rsidR="00F067F1" w:rsidRPr="008E510B" w:rsidRDefault="00F067F1">
      <w:pPr>
        <w:spacing w:after="0" w:line="240" w:lineRule="auto"/>
        <w:rPr>
          <w:rFonts w:cs="Times New Roman"/>
          <w:szCs w:val="24"/>
        </w:rPr>
      </w:pPr>
      <w:r w:rsidRPr="008E510B">
        <w:rPr>
          <w:rFonts w:cs="Times New Roman"/>
          <w:szCs w:val="24"/>
        </w:rPr>
        <w:br w:type="page"/>
      </w:r>
    </w:p>
    <w:p w:rsidR="00F067F1" w:rsidRPr="008E510B" w:rsidRDefault="00F067F1" w:rsidP="00274FCC">
      <w:pPr>
        <w:rPr>
          <w:rFonts w:cs="Times New Roman"/>
          <w:szCs w:val="24"/>
        </w:rPr>
      </w:pPr>
    </w:p>
    <w:p w:rsidR="00F067F1" w:rsidRPr="008E510B" w:rsidRDefault="00F067F1" w:rsidP="00062EF9">
      <w:pPr>
        <w:widowControl w:val="0"/>
        <w:autoSpaceDE w:val="0"/>
        <w:autoSpaceDN w:val="0"/>
        <w:adjustRightInd w:val="0"/>
        <w:spacing w:after="0"/>
        <w:rPr>
          <w:rFonts w:cs="Times New Roman"/>
          <w:szCs w:val="24"/>
        </w:rPr>
      </w:pPr>
      <w:r w:rsidRPr="008E510B">
        <w:rPr>
          <w:rFonts w:cs="Times New Roman"/>
          <w:b/>
          <w:szCs w:val="24"/>
        </w:rPr>
        <w:t>Abstract:</w:t>
      </w:r>
      <w:r w:rsidRPr="008E510B">
        <w:rPr>
          <w:rFonts w:cs="Times New Roman"/>
          <w:szCs w:val="24"/>
        </w:rPr>
        <w:t xml:space="preserve"> (</w:t>
      </w:r>
      <w:r>
        <w:rPr>
          <w:rFonts w:cs="Times New Roman"/>
          <w:szCs w:val="24"/>
        </w:rPr>
        <w:t>391</w:t>
      </w:r>
      <w:r w:rsidRPr="008E510B">
        <w:rPr>
          <w:rFonts w:cs="Times New Roman"/>
          <w:szCs w:val="24"/>
        </w:rPr>
        <w:t xml:space="preserve"> words)</w:t>
      </w:r>
    </w:p>
    <w:p w:rsidR="00F067F1" w:rsidRPr="008E510B" w:rsidRDefault="00F067F1" w:rsidP="00062EF9">
      <w:pPr>
        <w:spacing w:before="100" w:beforeAutospacing="1" w:after="100" w:afterAutospacing="1" w:line="240" w:lineRule="auto"/>
        <w:contextualSpacing/>
        <w:rPr>
          <w:rFonts w:eastAsia="Times New Roman" w:cs="Times New Roman"/>
          <w:szCs w:val="24"/>
          <w:lang w:val="en-GB" w:eastAsia="en-GB"/>
        </w:rPr>
      </w:pPr>
    </w:p>
    <w:p w:rsidR="00F067F1" w:rsidRPr="008E510B" w:rsidRDefault="00F067F1" w:rsidP="00EE26BE">
      <w:pPr>
        <w:widowControl w:val="0"/>
        <w:autoSpaceDE w:val="0"/>
        <w:autoSpaceDN w:val="0"/>
        <w:adjustRightInd w:val="0"/>
        <w:spacing w:after="0"/>
        <w:rPr>
          <w:rFonts w:eastAsiaTheme="minorEastAsia" w:cs="Times New Roman"/>
          <w:szCs w:val="24"/>
        </w:rPr>
      </w:pPr>
      <w:r w:rsidRPr="008E510B">
        <w:rPr>
          <w:rFonts w:eastAsiaTheme="minorEastAsia" w:cs="Times New Roman"/>
          <w:szCs w:val="24"/>
        </w:rPr>
        <w:t>Millennium Development Goal (MDG) 5, with its target of reducing maternal mortality by 75%, was not achieved. High numbers of maternal and newborn deaths and morbidities persist in spite of progress in the utilization of maternity services. This mismatch between burden and coverage exposes a crucial gap in quality of care. In parallel, there are millions of pregnant women and adolescents who are outside the health system –</w:t>
      </w:r>
      <w:r w:rsidRPr="008E510B">
        <w:rPr>
          <w:rFonts w:eastAsiaTheme="minorEastAsia" w:cs="Times New Roman"/>
          <w:i/>
          <w:iCs/>
          <w:szCs w:val="24"/>
        </w:rPr>
        <w:t xml:space="preserve"> left behind</w:t>
      </w:r>
      <w:r w:rsidRPr="008E510B">
        <w:rPr>
          <w:rFonts w:eastAsiaTheme="minorEastAsia" w:cs="Times New Roman"/>
          <w:szCs w:val="24"/>
        </w:rPr>
        <w:t xml:space="preserve"> from the progress in coverage. </w:t>
      </w:r>
      <w:r w:rsidRPr="00580877">
        <w:rPr>
          <w:rFonts w:eastAsiaTheme="minorEastAsia" w:cs="Times New Roman"/>
          <w:szCs w:val="24"/>
        </w:rPr>
        <w:t xml:space="preserve">This vulnerable population faces multiple challenges arising from their individual circumstances. </w:t>
      </w:r>
      <w:r w:rsidRPr="00580877">
        <w:rPr>
          <w:rFonts w:cs="Times New Roman"/>
          <w:szCs w:val="24"/>
        </w:rPr>
        <w:t xml:space="preserve">To improve maternal health requires action on two parallel streams: ensuring the quality of maternal health care for all women and girls, and secondly, guaranteeing access to care for those left behind—the most vulnerable. </w:t>
      </w:r>
      <w:r w:rsidRPr="00580877">
        <w:rPr>
          <w:rFonts w:eastAsiaTheme="minorEastAsia" w:cs="Times New Roman"/>
          <w:szCs w:val="24"/>
        </w:rPr>
        <w:t>P</w:t>
      </w:r>
      <w:r w:rsidRPr="008E510B">
        <w:rPr>
          <w:rFonts w:eastAsiaTheme="minorEastAsia" w:cs="Times New Roman"/>
          <w:szCs w:val="24"/>
        </w:rPr>
        <w:t xml:space="preserve">oor quality care and inaccessible care exist everywhere, affecting </w:t>
      </w:r>
      <w:r>
        <w:rPr>
          <w:rFonts w:eastAsiaTheme="minorEastAsia" w:cs="Times New Roman"/>
          <w:szCs w:val="24"/>
        </w:rPr>
        <w:t>women</w:t>
      </w:r>
      <w:r w:rsidRPr="008E510B">
        <w:rPr>
          <w:rFonts w:eastAsiaTheme="minorEastAsia" w:cs="Times New Roman"/>
          <w:szCs w:val="24"/>
        </w:rPr>
        <w:t xml:space="preserve"> in all countries, whether, middle or high-income.</w:t>
      </w:r>
    </w:p>
    <w:p w:rsidR="00F067F1" w:rsidRPr="008E510B" w:rsidRDefault="00F067F1" w:rsidP="00EE26BE">
      <w:pPr>
        <w:widowControl w:val="0"/>
        <w:autoSpaceDE w:val="0"/>
        <w:autoSpaceDN w:val="0"/>
        <w:adjustRightInd w:val="0"/>
        <w:spacing w:after="0"/>
        <w:rPr>
          <w:rFonts w:eastAsiaTheme="minorEastAsia" w:cs="Times New Roman"/>
          <w:szCs w:val="24"/>
        </w:rPr>
      </w:pPr>
      <w:r w:rsidRPr="008E510B">
        <w:rPr>
          <w:rFonts w:eastAsiaTheme="minorEastAsia" w:cs="Times New Roman"/>
          <w:szCs w:val="24"/>
        </w:rPr>
        <w:t> </w:t>
      </w:r>
    </w:p>
    <w:p w:rsidR="00F067F1" w:rsidRPr="008E510B" w:rsidRDefault="00F067F1" w:rsidP="000916F6">
      <w:pPr>
        <w:widowControl w:val="0"/>
        <w:autoSpaceDE w:val="0"/>
        <w:autoSpaceDN w:val="0"/>
        <w:adjustRightInd w:val="0"/>
        <w:spacing w:after="0"/>
        <w:rPr>
          <w:rFonts w:eastAsiaTheme="minorEastAsia" w:cs="Times New Roman"/>
          <w:szCs w:val="24"/>
        </w:rPr>
      </w:pPr>
      <w:r w:rsidRPr="008E510B">
        <w:rPr>
          <w:rFonts w:eastAsiaTheme="minorEastAsia" w:cs="Times New Roman"/>
          <w:szCs w:val="24"/>
        </w:rPr>
        <w:t xml:space="preserve">As the final article in a series </w:t>
      </w:r>
      <w:r w:rsidRPr="006949FE">
        <w:rPr>
          <w:rFonts w:eastAsiaTheme="minorEastAsia" w:cs="Times New Roman"/>
          <w:szCs w:val="24"/>
        </w:rPr>
        <w:t xml:space="preserve">of </w:t>
      </w:r>
      <w:r w:rsidRPr="00EF0E39">
        <w:rPr>
          <w:rFonts w:eastAsiaTheme="minorEastAsia" w:cs="Times New Roman"/>
          <w:szCs w:val="24"/>
        </w:rPr>
        <w:t>six</w:t>
      </w:r>
      <w:r w:rsidRPr="008E510B">
        <w:rPr>
          <w:rFonts w:eastAsiaTheme="minorEastAsia" w:cs="Times New Roman"/>
          <w:szCs w:val="24"/>
        </w:rPr>
        <w:t xml:space="preserve"> papers focused on maternal health, this paper highlights some of the most pressing issues in maternal health and asks the following questions: What steps can we take in the next five years to catalyze action toward achieving the Sustainable Development Goal target of less than 70 maternal deaths per 100,000 live births by 2030, with no single country exceeding 140? What steps can we take to ensure that high quality maternal health care is prioritized for every woman and girl everywhere, supporting the vision of the </w:t>
      </w:r>
      <w:r w:rsidRPr="008E510B">
        <w:rPr>
          <w:rFonts w:eastAsiaTheme="minorEastAsia" w:cs="Times New Roman"/>
          <w:i/>
          <w:iCs/>
          <w:szCs w:val="24"/>
        </w:rPr>
        <w:t>Global Strategy for Women’s, Children’s and Adolescent Health</w:t>
      </w:r>
      <w:r w:rsidRPr="008E510B">
        <w:rPr>
          <w:rFonts w:eastAsiaTheme="minorEastAsia" w:cs="Times New Roman"/>
          <w:szCs w:val="24"/>
        </w:rPr>
        <w:t xml:space="preserve">? </w:t>
      </w:r>
    </w:p>
    <w:p w:rsidR="00F067F1" w:rsidRPr="008E510B" w:rsidRDefault="00F067F1" w:rsidP="00EE26BE">
      <w:pPr>
        <w:widowControl w:val="0"/>
        <w:autoSpaceDE w:val="0"/>
        <w:autoSpaceDN w:val="0"/>
        <w:adjustRightInd w:val="0"/>
        <w:spacing w:after="0"/>
        <w:rPr>
          <w:rFonts w:eastAsiaTheme="minorEastAsia" w:cs="Times New Roman"/>
          <w:szCs w:val="24"/>
        </w:rPr>
      </w:pPr>
    </w:p>
    <w:p w:rsidR="00F067F1" w:rsidRPr="008E510B" w:rsidRDefault="00F067F1" w:rsidP="00EE26BE">
      <w:pPr>
        <w:widowControl w:val="0"/>
        <w:autoSpaceDE w:val="0"/>
        <w:autoSpaceDN w:val="0"/>
        <w:adjustRightInd w:val="0"/>
        <w:spacing w:after="0"/>
        <w:rPr>
          <w:rFonts w:eastAsiaTheme="minorEastAsia" w:cs="Times New Roman"/>
          <w:szCs w:val="24"/>
        </w:rPr>
      </w:pPr>
      <w:r w:rsidRPr="008E510B">
        <w:rPr>
          <w:rFonts w:eastAsiaTheme="minorEastAsia" w:cs="Times New Roman"/>
          <w:szCs w:val="24"/>
        </w:rPr>
        <w:t>This paper calls on all stakeholders to work together in securing a healthy, prosperous future for every woman, everywhere. National and local governments must be supported by development partners, civil society and the private sector in leading efforts to improve maternal</w:t>
      </w:r>
      <w:r>
        <w:rPr>
          <w:rFonts w:eastAsiaTheme="minorEastAsia" w:cs="Times New Roman"/>
          <w:szCs w:val="24"/>
        </w:rPr>
        <w:t>-perinatal</w:t>
      </w:r>
      <w:r w:rsidRPr="008E510B">
        <w:rPr>
          <w:rFonts w:eastAsiaTheme="minorEastAsia" w:cs="Times New Roman"/>
          <w:szCs w:val="24"/>
        </w:rPr>
        <w:t xml:space="preserve"> health. This means dedicating needed policies and resources, and sustaining implementation to address the many factors influencing maternal healthcare provision and use. Drawing on the findings of this series, the following priority actions emerge for all partners:</w:t>
      </w:r>
    </w:p>
    <w:p w:rsidR="00F067F1" w:rsidRPr="008E510B" w:rsidRDefault="00F067F1" w:rsidP="00EE26BE">
      <w:pPr>
        <w:widowControl w:val="0"/>
        <w:autoSpaceDE w:val="0"/>
        <w:autoSpaceDN w:val="0"/>
        <w:adjustRightInd w:val="0"/>
        <w:spacing w:after="0"/>
        <w:rPr>
          <w:rFonts w:eastAsiaTheme="minorEastAsia" w:cs="Times New Roman"/>
          <w:szCs w:val="24"/>
        </w:rPr>
      </w:pPr>
      <w:r w:rsidRPr="008E510B">
        <w:rPr>
          <w:rFonts w:eastAsiaTheme="minorEastAsia" w:cs="Times New Roman"/>
          <w:szCs w:val="24"/>
        </w:rPr>
        <w:t> </w:t>
      </w:r>
    </w:p>
    <w:p w:rsidR="00F067F1" w:rsidRPr="008E510B" w:rsidRDefault="00F067F1" w:rsidP="00EE26BE">
      <w:pPr>
        <w:widowControl w:val="0"/>
        <w:autoSpaceDE w:val="0"/>
        <w:autoSpaceDN w:val="0"/>
        <w:adjustRightInd w:val="0"/>
        <w:spacing w:after="0"/>
        <w:rPr>
          <w:rFonts w:eastAsiaTheme="minorEastAsia" w:cs="Times New Roman"/>
          <w:szCs w:val="24"/>
        </w:rPr>
      </w:pPr>
      <w:r w:rsidRPr="008E510B">
        <w:rPr>
          <w:rFonts w:eastAsiaTheme="minorEastAsia" w:cs="Times New Roman"/>
          <w:b/>
          <w:bCs/>
          <w:szCs w:val="24"/>
        </w:rPr>
        <w:t xml:space="preserve">Priority 1: </w:t>
      </w:r>
      <w:r w:rsidRPr="008E510B">
        <w:rPr>
          <w:rFonts w:cs="Times New Roman"/>
          <w:szCs w:val="24"/>
        </w:rPr>
        <w:t>Prioritie quality maternal health services that respond to the local specificities of need</w:t>
      </w:r>
      <w:r>
        <w:rPr>
          <w:rFonts w:cs="Times New Roman"/>
          <w:szCs w:val="24"/>
        </w:rPr>
        <w:t>,</w:t>
      </w:r>
      <w:r w:rsidRPr="008E510B">
        <w:rPr>
          <w:rFonts w:cs="Times New Roman"/>
          <w:szCs w:val="24"/>
        </w:rPr>
        <w:t xml:space="preserve"> and meet emerging challenges</w:t>
      </w:r>
    </w:p>
    <w:p w:rsidR="00F067F1" w:rsidRPr="0048115C" w:rsidRDefault="00F067F1" w:rsidP="00580877">
      <w:pPr>
        <w:widowControl w:val="0"/>
        <w:autoSpaceDE w:val="0"/>
        <w:autoSpaceDN w:val="0"/>
        <w:adjustRightInd w:val="0"/>
        <w:spacing w:after="0"/>
      </w:pPr>
      <w:r w:rsidRPr="003A1B4F">
        <w:rPr>
          <w:rFonts w:cs="Times New Roman"/>
          <w:b/>
          <w:szCs w:val="24"/>
        </w:rPr>
        <w:t>Priority 2:</w:t>
      </w:r>
      <w:r w:rsidRPr="00CF0FDB">
        <w:rPr>
          <w:rFonts w:cs="Times New Roman"/>
          <w:szCs w:val="24"/>
        </w:rPr>
        <w:t xml:space="preserve"> Promote equity through universal coverage of quality maternal health services, including for the most vulnerable women</w:t>
      </w:r>
    </w:p>
    <w:p w:rsidR="00F067F1" w:rsidRPr="00CF0FDB" w:rsidRDefault="00F067F1" w:rsidP="000D1437">
      <w:pPr>
        <w:spacing w:after="0" w:line="240" w:lineRule="auto"/>
        <w:rPr>
          <w:rFonts w:cs="Times New Roman"/>
          <w:szCs w:val="24"/>
        </w:rPr>
      </w:pPr>
      <w:r w:rsidRPr="00D83BB5">
        <w:rPr>
          <w:rFonts w:cs="Times New Roman"/>
          <w:b/>
          <w:szCs w:val="24"/>
        </w:rPr>
        <w:t>Priority 3:</w:t>
      </w:r>
      <w:r w:rsidRPr="00CF0FDB">
        <w:rPr>
          <w:rFonts w:cs="Times New Roman"/>
          <w:szCs w:val="24"/>
        </w:rPr>
        <w:t xml:space="preserve"> Increase the resilience and strength of health systems by optimizing the health workforce and improving facility capability</w:t>
      </w:r>
    </w:p>
    <w:p w:rsidR="00F067F1" w:rsidRPr="00580877" w:rsidRDefault="00F067F1" w:rsidP="00EE26BE">
      <w:pPr>
        <w:widowControl w:val="0"/>
        <w:autoSpaceDE w:val="0"/>
        <w:autoSpaceDN w:val="0"/>
        <w:adjustRightInd w:val="0"/>
        <w:spacing w:after="0"/>
        <w:rPr>
          <w:rFonts w:eastAsiaTheme="minorEastAsia" w:cs="Times New Roman"/>
          <w:bCs/>
          <w:szCs w:val="24"/>
        </w:rPr>
      </w:pPr>
      <w:r w:rsidRPr="00CF0FDB">
        <w:rPr>
          <w:rFonts w:eastAsiaTheme="minorEastAsia" w:cs="Times New Roman"/>
          <w:b/>
          <w:bCs/>
          <w:szCs w:val="24"/>
        </w:rPr>
        <w:t>Priority 4:</w:t>
      </w:r>
      <w:r w:rsidRPr="00580877">
        <w:rPr>
          <w:rFonts w:eastAsiaTheme="minorEastAsia" w:cs="Times New Roman"/>
          <w:bCs/>
          <w:szCs w:val="24"/>
        </w:rPr>
        <w:t xml:space="preserve"> Guarantee sustainable financing for maternal</w:t>
      </w:r>
      <w:r>
        <w:rPr>
          <w:rFonts w:eastAsiaTheme="minorEastAsia" w:cs="Times New Roman"/>
          <w:bCs/>
          <w:szCs w:val="24"/>
        </w:rPr>
        <w:t>-perinatal</w:t>
      </w:r>
      <w:r w:rsidRPr="00580877">
        <w:rPr>
          <w:rFonts w:eastAsiaTheme="minorEastAsia" w:cs="Times New Roman"/>
          <w:bCs/>
          <w:szCs w:val="24"/>
        </w:rPr>
        <w:t xml:space="preserve"> health</w:t>
      </w:r>
    </w:p>
    <w:p w:rsidR="00F067F1" w:rsidRPr="00580877" w:rsidRDefault="00F067F1" w:rsidP="00CD3621">
      <w:pPr>
        <w:widowControl w:val="0"/>
        <w:autoSpaceDE w:val="0"/>
        <w:autoSpaceDN w:val="0"/>
        <w:adjustRightInd w:val="0"/>
        <w:spacing w:after="0"/>
        <w:rPr>
          <w:rFonts w:eastAsiaTheme="minorEastAsia" w:cs="Times New Roman"/>
          <w:bCs/>
          <w:szCs w:val="24"/>
        </w:rPr>
      </w:pPr>
      <w:r w:rsidRPr="00CF0FDB">
        <w:rPr>
          <w:rFonts w:eastAsiaTheme="minorEastAsia" w:cs="Times New Roman"/>
          <w:b/>
          <w:bCs/>
          <w:szCs w:val="24"/>
        </w:rPr>
        <w:t>Priority 5:</w:t>
      </w:r>
      <w:r w:rsidRPr="00580877">
        <w:rPr>
          <w:rFonts w:eastAsiaTheme="minorEastAsia" w:cs="Times New Roman"/>
          <w:bCs/>
          <w:szCs w:val="24"/>
        </w:rPr>
        <w:t xml:space="preserve"> Accelerate progress through evidence, advocacy, and accountability.</w:t>
      </w:r>
    </w:p>
    <w:p w:rsidR="00F067F1" w:rsidRPr="008E510B" w:rsidRDefault="00F067F1" w:rsidP="00353E60">
      <w:pPr>
        <w:pStyle w:val="CommentText"/>
      </w:pPr>
      <w:r w:rsidRPr="008E510B">
        <w:rPr>
          <w:rFonts w:cs="Times New Roman"/>
          <w:sz w:val="24"/>
          <w:szCs w:val="24"/>
        </w:rPr>
        <w:br w:type="page"/>
      </w:r>
      <w:r w:rsidRPr="00EF0E39">
        <w:rPr>
          <w:b/>
          <w:sz w:val="24"/>
        </w:rPr>
        <w:lastRenderedPageBreak/>
        <w:t>Introduction</w:t>
      </w:r>
      <w:r w:rsidRPr="008E510B">
        <w:t xml:space="preserve"> (</w:t>
      </w:r>
      <w:r>
        <w:t>6182</w:t>
      </w:r>
      <w:r w:rsidRPr="008E510B">
        <w:t xml:space="preserve"> words)</w:t>
      </w:r>
    </w:p>
    <w:p w:rsidR="00F067F1" w:rsidRPr="008E510B" w:rsidRDefault="00F067F1" w:rsidP="00D83BB5">
      <w:pPr>
        <w:pStyle w:val="Heading1"/>
        <w:shd w:val="clear" w:color="auto" w:fill="FFFFFF"/>
        <w:spacing w:before="0"/>
        <w:textAlignment w:val="baseline"/>
        <w:rPr>
          <w:rFonts w:eastAsia="Times New Roman" w:cs="Times New Roman"/>
          <w:b w:val="0"/>
          <w:color w:val="333333"/>
          <w:szCs w:val="24"/>
          <w:u w:val="none"/>
          <w:bdr w:val="none" w:sz="0" w:space="0" w:color="auto" w:frame="1"/>
        </w:rPr>
      </w:pPr>
      <w:r w:rsidRPr="008E510B">
        <w:rPr>
          <w:rFonts w:cs="Times New Roman"/>
          <w:b w:val="0"/>
          <w:szCs w:val="24"/>
          <w:u w:val="none"/>
        </w:rPr>
        <w:t>Globally, the maternal mortality ratio (MMR) nearly halved between 1990 and 2015. Progress, however, was patchy, with only nine countries with an initial MMR greater than 100 achieving Millennium Development Goal 5a target of 75% reduction.</w:t>
      </w:r>
      <w:r w:rsidRPr="008E510B">
        <w:rPr>
          <w:rFonts w:cs="Times New Roman"/>
          <w:b w:val="0"/>
          <w:noProof/>
          <w:szCs w:val="24"/>
          <w:u w:val="none"/>
          <w:vertAlign w:val="superscript"/>
        </w:rPr>
        <w:t>1</w:t>
      </w:r>
      <w:r w:rsidRPr="008E510B">
        <w:rPr>
          <w:rFonts w:cs="Times New Roman"/>
          <w:b w:val="0"/>
          <w:szCs w:val="24"/>
          <w:u w:val="none"/>
        </w:rPr>
        <w:t xml:space="preserve"> Twenty-six countries made “no progress”, and in 12 countries – including the United States –MMRs increased.</w:t>
      </w:r>
      <w:r w:rsidRPr="008E510B">
        <w:rPr>
          <w:rFonts w:cs="Times New Roman"/>
          <w:b w:val="0"/>
          <w:noProof/>
          <w:szCs w:val="24"/>
          <w:u w:val="none"/>
          <w:vertAlign w:val="superscript"/>
        </w:rPr>
        <w:t>1</w:t>
      </w:r>
      <w:r w:rsidRPr="008E510B">
        <w:rPr>
          <w:rFonts w:cs="Times New Roman"/>
          <w:b w:val="0"/>
          <w:szCs w:val="24"/>
          <w:u w:val="none"/>
        </w:rPr>
        <w:t xml:space="preserve"> A woman’s lifetime risk of dying as a result of pregnancy and childbirth remains more than 100 times higher in sub-Saharan Africa than in high-income countries (HICs).</w:t>
      </w:r>
      <w:r w:rsidRPr="008E510B">
        <w:rPr>
          <w:rFonts w:cs="Times New Roman"/>
          <w:b w:val="0"/>
          <w:noProof/>
          <w:szCs w:val="24"/>
          <w:u w:val="none"/>
          <w:vertAlign w:val="superscript"/>
        </w:rPr>
        <w:t>1</w:t>
      </w:r>
      <w:r w:rsidRPr="008E510B">
        <w:rPr>
          <w:rFonts w:cs="Times New Roman"/>
          <w:b w:val="0"/>
          <w:szCs w:val="24"/>
          <w:u w:val="none"/>
        </w:rPr>
        <w:t xml:space="preserve"> Newborn deaths have also declined at a slower rate than those of older infants and children, and stillbirths remain </w:t>
      </w:r>
      <w:r w:rsidRPr="00D83BB5">
        <w:rPr>
          <w:rFonts w:cs="Times New Roman"/>
          <w:b w:val="0"/>
          <w:szCs w:val="24"/>
          <w:u w:val="none"/>
        </w:rPr>
        <w:t>high.</w:t>
      </w:r>
      <w:r w:rsidRPr="0017191C">
        <w:rPr>
          <w:rFonts w:cs="Times New Roman"/>
          <w:b w:val="0"/>
          <w:noProof/>
          <w:szCs w:val="24"/>
          <w:u w:val="none"/>
          <w:vertAlign w:val="superscript"/>
        </w:rPr>
        <w:t>2-4</w:t>
      </w:r>
    </w:p>
    <w:p w:rsidR="00F067F1" w:rsidRPr="008E510B" w:rsidRDefault="00F067F1" w:rsidP="00D83BB5">
      <w:pPr>
        <w:pStyle w:val="ListParagraph"/>
        <w:spacing w:after="0"/>
        <w:ind w:left="0"/>
        <w:rPr>
          <w:rFonts w:cs="Times New Roman"/>
          <w:szCs w:val="24"/>
        </w:rPr>
      </w:pPr>
    </w:p>
    <w:p w:rsidR="00F067F1" w:rsidRPr="008E510B" w:rsidRDefault="00F067F1" w:rsidP="00D83BB5">
      <w:pPr>
        <w:pStyle w:val="ListParagraph"/>
        <w:spacing w:after="0"/>
        <w:ind w:left="0"/>
        <w:rPr>
          <w:rFonts w:cs="Times New Roman"/>
          <w:szCs w:val="24"/>
        </w:rPr>
      </w:pPr>
      <w:r w:rsidRPr="008E510B">
        <w:rPr>
          <w:rFonts w:cs="Times New Roman"/>
          <w:szCs w:val="24"/>
        </w:rPr>
        <w:t>Yet maternity service utilization has increased significantly in the 10 years since the 2006 Lancet Maternal Health Series: globally, three-quarters of women now deliver with a skilled birth attendant (SBA) and two-thirds receive at least four antenatal care (ANC) visits.</w:t>
      </w:r>
      <w:r w:rsidRPr="00FF525B">
        <w:rPr>
          <w:rFonts w:cs="Times New Roman"/>
          <w:noProof/>
          <w:szCs w:val="24"/>
          <w:vertAlign w:val="superscript"/>
        </w:rPr>
        <w:t>5, 6</w:t>
      </w:r>
      <w:r w:rsidRPr="008E510B">
        <w:rPr>
          <w:rFonts w:cs="Times New Roman"/>
          <w:szCs w:val="24"/>
        </w:rPr>
        <w:t xml:space="preserve"> This mismatch between burden and coverage exposes a crucial gap in quality of care. Millions of women receive services that are delayed, inadequate, unnecessary or harmful,</w:t>
      </w:r>
      <w:r w:rsidRPr="0017191C">
        <w:rPr>
          <w:rFonts w:cs="Times New Roman"/>
          <w:noProof/>
          <w:szCs w:val="24"/>
          <w:vertAlign w:val="superscript"/>
        </w:rPr>
        <w:t>7-9</w:t>
      </w:r>
      <w:r w:rsidRPr="008E510B">
        <w:rPr>
          <w:rFonts w:cs="Times New Roman"/>
          <w:szCs w:val="24"/>
        </w:rPr>
        <w:t xml:space="preserve"> minimizing the opportunity for</w:t>
      </w:r>
      <w:r>
        <w:rPr>
          <w:rFonts w:cs="Times New Roman"/>
          <w:szCs w:val="24"/>
        </w:rPr>
        <w:t xml:space="preserve"> </w:t>
      </w:r>
      <w:r w:rsidRPr="008E510B">
        <w:rPr>
          <w:rFonts w:cs="Times New Roman"/>
          <w:szCs w:val="24"/>
        </w:rPr>
        <w:t>health gains for both mothers and babies.</w:t>
      </w:r>
    </w:p>
    <w:p w:rsidR="00F067F1" w:rsidRPr="008E510B" w:rsidRDefault="00F067F1" w:rsidP="00D83BB5">
      <w:pPr>
        <w:pStyle w:val="ListParagraph"/>
        <w:spacing w:after="0"/>
        <w:ind w:left="0"/>
        <w:rPr>
          <w:rFonts w:cs="Times New Roman"/>
          <w:szCs w:val="24"/>
        </w:rPr>
      </w:pPr>
    </w:p>
    <w:p w:rsidR="00F067F1" w:rsidRPr="008E510B" w:rsidRDefault="00F067F1" w:rsidP="00D83BB5">
      <w:pPr>
        <w:pStyle w:val="ListParagraph"/>
        <w:spacing w:after="0"/>
        <w:ind w:left="0"/>
        <w:rPr>
          <w:rFonts w:cs="Times New Roman"/>
          <w:szCs w:val="24"/>
        </w:rPr>
      </w:pPr>
      <w:r w:rsidRPr="008E510B">
        <w:rPr>
          <w:rFonts w:cs="Times New Roman"/>
          <w:szCs w:val="24"/>
        </w:rPr>
        <w:t xml:space="preserve">In parallel to the women accessing services but receiving poor quality care, millions of women and </w:t>
      </w:r>
      <w:r>
        <w:rPr>
          <w:rFonts w:cs="Times New Roman"/>
          <w:szCs w:val="24"/>
        </w:rPr>
        <w:t>adolescents</w:t>
      </w:r>
      <w:r w:rsidRPr="008E510B">
        <w:rPr>
          <w:rFonts w:cs="Times New Roman"/>
          <w:szCs w:val="24"/>
        </w:rPr>
        <w:t xml:space="preserve"> who undertake their journey through pregnancy and childbirth outside the health system</w:t>
      </w:r>
      <w:r w:rsidRPr="008E510B">
        <w:rPr>
          <w:rFonts w:cs="Times New Roman"/>
          <w:i/>
          <w:szCs w:val="24"/>
        </w:rPr>
        <w:t xml:space="preserve"> </w:t>
      </w:r>
      <w:r w:rsidRPr="008E510B">
        <w:rPr>
          <w:rFonts w:cs="Times New Roman"/>
          <w:szCs w:val="24"/>
        </w:rPr>
        <w:t>are</w:t>
      </w:r>
      <w:r w:rsidRPr="008E510B">
        <w:rPr>
          <w:rFonts w:cs="Times New Roman"/>
          <w:i/>
          <w:szCs w:val="24"/>
        </w:rPr>
        <w:t xml:space="preserve"> left behind</w:t>
      </w:r>
      <w:r w:rsidRPr="008E510B">
        <w:rPr>
          <w:rFonts w:cs="Times New Roman"/>
          <w:szCs w:val="24"/>
        </w:rPr>
        <w:t xml:space="preserve"> from the progress in coverage. They represent a vulnerable population facing multiple challenges arising from their individual circumstances. Statistics show </w:t>
      </w:r>
      <w:r>
        <w:rPr>
          <w:rFonts w:cs="Times New Roman"/>
          <w:szCs w:val="24"/>
        </w:rPr>
        <w:t xml:space="preserve">a </w:t>
      </w:r>
      <w:r w:rsidRPr="008E510B">
        <w:rPr>
          <w:rFonts w:cs="Times New Roman"/>
          <w:szCs w:val="24"/>
        </w:rPr>
        <w:t>growing divergence within and between countries in</w:t>
      </w:r>
      <w:r>
        <w:rPr>
          <w:rFonts w:cs="Times New Roman"/>
          <w:szCs w:val="24"/>
        </w:rPr>
        <w:t xml:space="preserve"> coverage of maternity services for </w:t>
      </w:r>
      <w:r w:rsidRPr="008E510B">
        <w:rPr>
          <w:rFonts w:cs="Times New Roman"/>
          <w:szCs w:val="24"/>
        </w:rPr>
        <w:t>women , mirrored by a doubling of the gap in levels of maternal mortality between the best and worst perform</w:t>
      </w:r>
      <w:r>
        <w:rPr>
          <w:rFonts w:cs="Times New Roman"/>
          <w:szCs w:val="24"/>
        </w:rPr>
        <w:t>ing countries</w:t>
      </w:r>
      <w:r w:rsidRPr="008E510B">
        <w:rPr>
          <w:rFonts w:cs="Times New Roman"/>
          <w:szCs w:val="24"/>
        </w:rPr>
        <w:t xml:space="preserve"> in the past 20 years.</w:t>
      </w:r>
      <w:r w:rsidRPr="0017191C">
        <w:rPr>
          <w:rFonts w:cs="Times New Roman"/>
          <w:noProof/>
          <w:szCs w:val="24"/>
          <w:vertAlign w:val="superscript"/>
        </w:rPr>
        <w:t>10</w:t>
      </w:r>
      <w:r w:rsidRPr="008E510B">
        <w:rPr>
          <w:rFonts w:cs="Times New Roman"/>
          <w:szCs w:val="24"/>
        </w:rPr>
        <w:t xml:space="preserve"> </w:t>
      </w:r>
    </w:p>
    <w:p w:rsidR="00F067F1" w:rsidRPr="008E510B" w:rsidRDefault="00F067F1" w:rsidP="00B17556">
      <w:pPr>
        <w:pStyle w:val="ListParagraph"/>
        <w:ind w:left="0"/>
        <w:rPr>
          <w:rFonts w:cs="Times New Roman"/>
          <w:szCs w:val="24"/>
        </w:rPr>
      </w:pPr>
    </w:p>
    <w:p w:rsidR="00F067F1" w:rsidRPr="008E510B" w:rsidRDefault="00F067F1" w:rsidP="004A34BE">
      <w:pPr>
        <w:pStyle w:val="ListParagraph"/>
        <w:ind w:left="0"/>
        <w:rPr>
          <w:rFonts w:eastAsiaTheme="minorEastAsia" w:cs="Times New Roman"/>
          <w:szCs w:val="24"/>
        </w:rPr>
      </w:pPr>
      <w:r w:rsidRPr="008E510B">
        <w:rPr>
          <w:rFonts w:cs="Times New Roman"/>
          <w:szCs w:val="24"/>
        </w:rPr>
        <w:t>The dual streams of poor quality or inaccessible care co-exist everywhere – a universality that spans low-, middle- and high-income countries, including fragile and conflict-affected nations</w:t>
      </w:r>
      <w:r>
        <w:rPr>
          <w:rFonts w:cs="Times New Roman"/>
          <w:szCs w:val="24"/>
        </w:rPr>
        <w:t>,</w:t>
      </w:r>
      <w:r w:rsidRPr="008E510B">
        <w:rPr>
          <w:rFonts w:cs="Times New Roman"/>
          <w:szCs w:val="24"/>
        </w:rPr>
        <w:t xml:space="preserve"> and those considered economically and politically stable. Every woman, everywhere, has a right to access quality maternity services, and the benefits of such access extend to </w:t>
      </w:r>
      <w:r>
        <w:rPr>
          <w:rFonts w:cs="Times New Roman"/>
          <w:szCs w:val="24"/>
        </w:rPr>
        <w:t xml:space="preserve">the fetus, </w:t>
      </w:r>
      <w:r w:rsidRPr="008E510B">
        <w:rPr>
          <w:rFonts w:eastAsiaTheme="minorEastAsia" w:cs="Times New Roman"/>
          <w:szCs w:val="24"/>
        </w:rPr>
        <w:t>newborns, children and adolescents.</w:t>
      </w:r>
      <w:r w:rsidRPr="008E510B" w:rsidDel="00FB3A7E">
        <w:rPr>
          <w:rFonts w:cs="Times New Roman"/>
          <w:szCs w:val="24"/>
        </w:rPr>
        <w:t xml:space="preserve"> </w:t>
      </w:r>
      <w:r w:rsidRPr="008E510B">
        <w:rPr>
          <w:rFonts w:eastAsiaTheme="minorEastAsia" w:cs="Times New Roman"/>
          <w:szCs w:val="24"/>
        </w:rPr>
        <w:t>Effectively addressing maternal health requires integrated programming that appreciates these inextricable linkages</w:t>
      </w:r>
      <w:r>
        <w:rPr>
          <w:rFonts w:eastAsiaTheme="minorEastAsia" w:cs="Times New Roman"/>
          <w:szCs w:val="24"/>
        </w:rPr>
        <w:t>, and connections</w:t>
      </w:r>
      <w:r w:rsidRPr="008E510B">
        <w:rPr>
          <w:rFonts w:eastAsiaTheme="minorEastAsia" w:cs="Times New Roman"/>
          <w:szCs w:val="24"/>
        </w:rPr>
        <w:t xml:space="preserve"> with the broader social and political context in which women live</w:t>
      </w:r>
      <w:r>
        <w:rPr>
          <w:rFonts w:eastAsiaTheme="minorEastAsia" w:cs="Times New Roman"/>
          <w:szCs w:val="24"/>
        </w:rPr>
        <w:t xml:space="preserve"> (See Supplemental Figure 1)</w:t>
      </w:r>
      <w:r w:rsidRPr="008E510B">
        <w:rPr>
          <w:rFonts w:eastAsiaTheme="minorEastAsia" w:cs="Times New Roman"/>
          <w:szCs w:val="24"/>
        </w:rPr>
        <w:t xml:space="preserve">. The breadth and complexity of such linkages </w:t>
      </w:r>
      <w:r>
        <w:rPr>
          <w:rFonts w:eastAsiaTheme="minorEastAsia" w:cs="Times New Roman"/>
          <w:szCs w:val="24"/>
        </w:rPr>
        <w:t>are</w:t>
      </w:r>
      <w:r w:rsidRPr="008E510B">
        <w:rPr>
          <w:rFonts w:eastAsiaTheme="minorEastAsia" w:cs="Times New Roman"/>
          <w:szCs w:val="24"/>
        </w:rPr>
        <w:t xml:space="preserve"> reflected across </w:t>
      </w:r>
      <w:r>
        <w:rPr>
          <w:rFonts w:eastAsiaTheme="minorEastAsia" w:cs="Times New Roman"/>
          <w:szCs w:val="24"/>
        </w:rPr>
        <w:t xml:space="preserve">the </w:t>
      </w:r>
      <w:r w:rsidRPr="008E510B">
        <w:rPr>
          <w:rFonts w:eastAsiaTheme="minorEastAsia" w:cs="Times New Roman"/>
          <w:szCs w:val="24"/>
        </w:rPr>
        <w:t xml:space="preserve">Lancet </w:t>
      </w:r>
      <w:r>
        <w:rPr>
          <w:rFonts w:eastAsiaTheme="minorEastAsia" w:cs="Times New Roman"/>
          <w:szCs w:val="24"/>
        </w:rPr>
        <w:t xml:space="preserve">or other </w:t>
      </w:r>
      <w:r w:rsidRPr="008E510B">
        <w:rPr>
          <w:rFonts w:eastAsiaTheme="minorEastAsia" w:cs="Times New Roman"/>
          <w:szCs w:val="24"/>
        </w:rPr>
        <w:t xml:space="preserve">series </w:t>
      </w:r>
      <w:r>
        <w:rPr>
          <w:rFonts w:eastAsiaTheme="minorEastAsia" w:cs="Times New Roman"/>
          <w:szCs w:val="24"/>
        </w:rPr>
        <w:t xml:space="preserve">on </w:t>
      </w:r>
      <w:r w:rsidRPr="008E510B">
        <w:rPr>
          <w:rFonts w:eastAsiaTheme="minorEastAsia" w:cs="Times New Roman"/>
          <w:szCs w:val="24"/>
        </w:rPr>
        <w:t>stillbirth</w:t>
      </w:r>
      <w:r>
        <w:rPr>
          <w:rFonts w:eastAsiaTheme="minorEastAsia" w:cs="Times New Roman"/>
          <w:szCs w:val="24"/>
        </w:rPr>
        <w:t>s</w:t>
      </w:r>
      <w:r w:rsidRPr="008E510B">
        <w:rPr>
          <w:rFonts w:eastAsiaTheme="minorEastAsia" w:cs="Times New Roman"/>
          <w:szCs w:val="24"/>
        </w:rPr>
        <w:t>, newborn</w:t>
      </w:r>
      <w:r>
        <w:rPr>
          <w:rFonts w:eastAsiaTheme="minorEastAsia" w:cs="Times New Roman"/>
          <w:szCs w:val="24"/>
        </w:rPr>
        <w:t>s</w:t>
      </w:r>
      <w:r w:rsidRPr="008E510B">
        <w:rPr>
          <w:rFonts w:eastAsiaTheme="minorEastAsia" w:cs="Times New Roman"/>
          <w:szCs w:val="24"/>
        </w:rPr>
        <w:t>, midwifery, and adolescent health</w:t>
      </w:r>
      <w:r>
        <w:rPr>
          <w:rFonts w:eastAsiaTheme="minorEastAsia" w:cs="Times New Roman"/>
          <w:szCs w:val="24"/>
        </w:rPr>
        <w:t>, among others.</w:t>
      </w:r>
      <w:r w:rsidRPr="008E510B">
        <w:rPr>
          <w:rFonts w:eastAsiaTheme="minorEastAsia" w:cs="Times New Roman"/>
          <w:szCs w:val="24"/>
        </w:rPr>
        <w:t xml:space="preserve"> </w:t>
      </w:r>
    </w:p>
    <w:p w:rsidR="00F067F1" w:rsidRPr="008E510B" w:rsidRDefault="00F067F1" w:rsidP="004A34BE">
      <w:pPr>
        <w:pStyle w:val="ListParagraph"/>
        <w:ind w:left="0"/>
        <w:rPr>
          <w:rFonts w:eastAsiaTheme="minorEastAsia" w:cs="Times New Roman"/>
          <w:szCs w:val="24"/>
        </w:rPr>
      </w:pPr>
    </w:p>
    <w:p w:rsidR="00F067F1" w:rsidRPr="008E510B" w:rsidRDefault="00F067F1" w:rsidP="003905B1">
      <w:pPr>
        <w:pStyle w:val="ListParagraph"/>
        <w:ind w:left="0"/>
        <w:rPr>
          <w:rFonts w:eastAsiaTheme="minorEastAsia" w:cs="Times New Roman"/>
          <w:szCs w:val="24"/>
        </w:rPr>
      </w:pPr>
      <w:r w:rsidRPr="008E510B">
        <w:rPr>
          <w:rFonts w:eastAsiaTheme="minorEastAsia" w:cs="Times New Roman"/>
          <w:szCs w:val="24"/>
        </w:rPr>
        <w:t xml:space="preserve">As the final article in a series of </w:t>
      </w:r>
      <w:r w:rsidRPr="0067307A">
        <w:rPr>
          <w:rFonts w:eastAsiaTheme="minorEastAsia" w:cs="Times New Roman"/>
          <w:szCs w:val="24"/>
        </w:rPr>
        <w:t>six</w:t>
      </w:r>
      <w:r w:rsidRPr="008E510B">
        <w:rPr>
          <w:rFonts w:eastAsiaTheme="minorEastAsia" w:cs="Times New Roman"/>
          <w:szCs w:val="24"/>
        </w:rPr>
        <w:t xml:space="preserve"> papers focused on maternal health, this paper highlights the most pressing issues in maternal health and asks t</w:t>
      </w:r>
      <w:r>
        <w:rPr>
          <w:rFonts w:eastAsiaTheme="minorEastAsia" w:cs="Times New Roman"/>
          <w:szCs w:val="24"/>
        </w:rPr>
        <w:t>wo</w:t>
      </w:r>
      <w:r w:rsidRPr="008E510B">
        <w:rPr>
          <w:rFonts w:eastAsiaTheme="minorEastAsia" w:cs="Times New Roman"/>
          <w:szCs w:val="24"/>
        </w:rPr>
        <w:t xml:space="preserve"> questions: </w:t>
      </w:r>
      <w:r w:rsidRPr="008E510B">
        <w:rPr>
          <w:rFonts w:cs="Times New Roman"/>
          <w:szCs w:val="24"/>
        </w:rPr>
        <w:t>In the next five years, how can we catalyze action to achiev</w:t>
      </w:r>
      <w:r>
        <w:rPr>
          <w:rFonts w:cs="Times New Roman"/>
          <w:szCs w:val="24"/>
        </w:rPr>
        <w:t>e</w:t>
      </w:r>
      <w:r w:rsidRPr="008E510B">
        <w:rPr>
          <w:rFonts w:cs="Times New Roman"/>
          <w:szCs w:val="24"/>
        </w:rPr>
        <w:t xml:space="preserve"> the Sustainable Development Goal (SDG) target of a global MMR </w:t>
      </w:r>
      <w:r>
        <w:rPr>
          <w:rFonts w:cs="Times New Roman"/>
          <w:szCs w:val="24"/>
        </w:rPr>
        <w:t>below</w:t>
      </w:r>
      <w:r w:rsidRPr="008E510B">
        <w:rPr>
          <w:rFonts w:cs="Times New Roman"/>
          <w:szCs w:val="24"/>
        </w:rPr>
        <w:t xml:space="preserve"> 70 maternal deaths per 100,000 live births by 2030, with no single country having an MMR greater than 140? </w:t>
      </w:r>
      <w:r w:rsidRPr="008E510B">
        <w:rPr>
          <w:rFonts w:eastAsiaTheme="minorEastAsia" w:cs="Times New Roman"/>
          <w:szCs w:val="24"/>
        </w:rPr>
        <w:t>What steps can we take to ensure that high quality maternal health care is prioritized for every woman</w:t>
      </w:r>
      <w:r>
        <w:rPr>
          <w:rFonts w:eastAsiaTheme="minorEastAsia" w:cs="Times New Roman"/>
          <w:szCs w:val="24"/>
        </w:rPr>
        <w:t xml:space="preserve"> (including adolescents) and baby</w:t>
      </w:r>
      <w:r w:rsidRPr="008E510B">
        <w:rPr>
          <w:rFonts w:eastAsiaTheme="minorEastAsia" w:cs="Times New Roman"/>
          <w:szCs w:val="24"/>
        </w:rPr>
        <w:t xml:space="preserve"> everywhere, supporting the vision of the </w:t>
      </w:r>
      <w:r w:rsidRPr="008E510B">
        <w:rPr>
          <w:rFonts w:eastAsiaTheme="minorEastAsia" w:cs="Times New Roman"/>
          <w:i/>
          <w:iCs/>
          <w:szCs w:val="24"/>
        </w:rPr>
        <w:t>Global Strategy for Women’s, Children’s and Adolescent Health</w:t>
      </w:r>
      <w:r w:rsidRPr="008E510B">
        <w:rPr>
          <w:rFonts w:eastAsiaTheme="minorEastAsia" w:cs="Times New Roman"/>
          <w:szCs w:val="24"/>
        </w:rPr>
        <w:t>?</w:t>
      </w:r>
    </w:p>
    <w:p w:rsidR="00F067F1" w:rsidRPr="008E510B" w:rsidRDefault="00F067F1" w:rsidP="00340F3F">
      <w:pPr>
        <w:pStyle w:val="ListParagraph"/>
        <w:ind w:left="0"/>
        <w:rPr>
          <w:rFonts w:eastAsiaTheme="minorEastAsia" w:cs="Times New Roman"/>
          <w:szCs w:val="24"/>
        </w:rPr>
      </w:pPr>
    </w:p>
    <w:p w:rsidR="00F067F1" w:rsidRPr="008E510B" w:rsidRDefault="00F067F1" w:rsidP="00340F3F">
      <w:pPr>
        <w:pStyle w:val="ListParagraph"/>
        <w:ind w:left="0"/>
        <w:rPr>
          <w:rFonts w:eastAsiaTheme="minorEastAsia" w:cs="Times New Roman"/>
          <w:szCs w:val="24"/>
        </w:rPr>
      </w:pPr>
      <w:r>
        <w:rPr>
          <w:rFonts w:eastAsiaTheme="minorEastAsia" w:cs="Times New Roman"/>
          <w:szCs w:val="24"/>
        </w:rPr>
        <w:t>We consulted</w:t>
      </w:r>
      <w:r w:rsidRPr="008E510B">
        <w:rPr>
          <w:rFonts w:eastAsiaTheme="minorEastAsia" w:cs="Times New Roman"/>
          <w:szCs w:val="24"/>
        </w:rPr>
        <w:t xml:space="preserve"> expert</w:t>
      </w:r>
      <w:r>
        <w:rPr>
          <w:rFonts w:eastAsiaTheme="minorEastAsia" w:cs="Times New Roman"/>
          <w:szCs w:val="24"/>
        </w:rPr>
        <w:t>s</w:t>
      </w:r>
      <w:r w:rsidRPr="008E510B">
        <w:rPr>
          <w:rFonts w:eastAsiaTheme="minorEastAsia" w:cs="Times New Roman"/>
          <w:szCs w:val="24"/>
        </w:rPr>
        <w:t>, review</w:t>
      </w:r>
      <w:r>
        <w:rPr>
          <w:rFonts w:eastAsiaTheme="minorEastAsia" w:cs="Times New Roman"/>
          <w:szCs w:val="24"/>
        </w:rPr>
        <w:t xml:space="preserve">ed the </w:t>
      </w:r>
      <w:r w:rsidRPr="008E510B">
        <w:rPr>
          <w:rFonts w:eastAsiaTheme="minorEastAsia" w:cs="Times New Roman"/>
          <w:szCs w:val="24"/>
        </w:rPr>
        <w:t>literature, and careful</w:t>
      </w:r>
      <w:r>
        <w:rPr>
          <w:rFonts w:eastAsiaTheme="minorEastAsia" w:cs="Times New Roman"/>
          <w:szCs w:val="24"/>
        </w:rPr>
        <w:t>ly</w:t>
      </w:r>
      <w:r w:rsidRPr="008E510B">
        <w:rPr>
          <w:rFonts w:eastAsiaTheme="minorEastAsia" w:cs="Times New Roman"/>
          <w:szCs w:val="24"/>
        </w:rPr>
        <w:t xml:space="preserve"> analy</w:t>
      </w:r>
      <w:r>
        <w:rPr>
          <w:rFonts w:eastAsiaTheme="minorEastAsia" w:cs="Times New Roman"/>
          <w:szCs w:val="24"/>
        </w:rPr>
        <w:t>zed</w:t>
      </w:r>
      <w:r w:rsidRPr="008E510B">
        <w:rPr>
          <w:rFonts w:eastAsiaTheme="minorEastAsia" w:cs="Times New Roman"/>
          <w:szCs w:val="24"/>
        </w:rPr>
        <w:t xml:space="preserve"> the five papers of this Series</w:t>
      </w:r>
      <w:r>
        <w:rPr>
          <w:rFonts w:eastAsiaTheme="minorEastAsia" w:cs="Times New Roman"/>
          <w:szCs w:val="24"/>
        </w:rPr>
        <w:t>;</w:t>
      </w:r>
      <w:r w:rsidRPr="008E510B">
        <w:rPr>
          <w:rFonts w:eastAsiaTheme="minorEastAsia" w:cs="Times New Roman"/>
          <w:szCs w:val="24"/>
        </w:rPr>
        <w:t xml:space="preserve"> our overall </w:t>
      </w:r>
      <w:r>
        <w:rPr>
          <w:rFonts w:eastAsiaTheme="minorEastAsia" w:cs="Times New Roman"/>
          <w:szCs w:val="24"/>
        </w:rPr>
        <w:t>themes</w:t>
      </w:r>
      <w:r w:rsidRPr="008E510B">
        <w:rPr>
          <w:rFonts w:eastAsiaTheme="minorEastAsia" w:cs="Times New Roman"/>
          <w:szCs w:val="24"/>
        </w:rPr>
        <w:t xml:space="preserve"> are </w:t>
      </w:r>
      <w:r>
        <w:rPr>
          <w:rFonts w:eastAsiaTheme="minorEastAsia" w:cs="Times New Roman"/>
          <w:szCs w:val="24"/>
        </w:rPr>
        <w:t>that</w:t>
      </w:r>
      <w:r w:rsidRPr="008E510B">
        <w:rPr>
          <w:rFonts w:eastAsiaTheme="minorEastAsia" w:cs="Times New Roman"/>
          <w:szCs w:val="24"/>
        </w:rPr>
        <w:t xml:space="preserve"> </w:t>
      </w:r>
      <w:r>
        <w:rPr>
          <w:rFonts w:eastAsiaTheme="minorEastAsia" w:cs="Times New Roman"/>
          <w:szCs w:val="24"/>
        </w:rPr>
        <w:t>t</w:t>
      </w:r>
      <w:r w:rsidRPr="008E510B">
        <w:rPr>
          <w:rFonts w:eastAsiaTheme="minorEastAsia" w:cs="Times New Roman"/>
          <w:szCs w:val="24"/>
        </w:rPr>
        <w:t xml:space="preserve">o improve maternal health we must ensure the quality of maternal health care for all women and </w:t>
      </w:r>
      <w:r>
        <w:rPr>
          <w:rFonts w:eastAsiaTheme="minorEastAsia" w:cs="Times New Roman"/>
          <w:szCs w:val="24"/>
        </w:rPr>
        <w:t>adolescents</w:t>
      </w:r>
      <w:r w:rsidRPr="008E510B">
        <w:rPr>
          <w:rFonts w:eastAsiaTheme="minorEastAsia" w:cs="Times New Roman"/>
          <w:szCs w:val="24"/>
        </w:rPr>
        <w:t>, and guarantee access to care for those left behind, the most vulnerable. These two themes underlie the priority areas for action</w:t>
      </w:r>
      <w:r>
        <w:rPr>
          <w:rFonts w:eastAsiaTheme="minorEastAsia" w:cs="Times New Roman"/>
          <w:szCs w:val="24"/>
        </w:rPr>
        <w:t xml:space="preserve"> in Box 1</w:t>
      </w:r>
      <w:r w:rsidRPr="008E510B">
        <w:rPr>
          <w:rFonts w:eastAsiaTheme="minorEastAsia" w:cs="Times New Roman"/>
          <w:szCs w:val="24"/>
        </w:rPr>
        <w:t>:</w:t>
      </w:r>
    </w:p>
    <w:p w:rsidR="00F067F1" w:rsidRPr="008E510B" w:rsidRDefault="00F067F1" w:rsidP="00CE7100">
      <w:pPr>
        <w:pStyle w:val="Heading1"/>
      </w:pPr>
      <w:r w:rsidRPr="008E510B">
        <w:t>Priority 1: Prioritise quality maternal health services that respond to the local specificities of need</w:t>
      </w:r>
      <w:r>
        <w:t>,</w:t>
      </w:r>
      <w:r w:rsidRPr="008E510B">
        <w:t xml:space="preserve"> and meet emerging challenges</w:t>
      </w:r>
    </w:p>
    <w:p w:rsidR="00F067F1" w:rsidRPr="008E510B" w:rsidRDefault="00F067F1" w:rsidP="00166072">
      <w:pPr>
        <w:pStyle w:val="Heading2"/>
        <w:rPr>
          <w:rFonts w:cs="Times New Roman"/>
          <w:szCs w:val="24"/>
        </w:rPr>
      </w:pPr>
      <w:r w:rsidRPr="008E510B">
        <w:rPr>
          <w:rFonts w:cs="Times New Roman"/>
          <w:szCs w:val="24"/>
        </w:rPr>
        <w:t>Priority Action 1.1: Ensure timely, equitable, respectful, evidence-based and safe maternal</w:t>
      </w:r>
      <w:r>
        <w:rPr>
          <w:rFonts w:cs="Times New Roman"/>
          <w:szCs w:val="24"/>
        </w:rPr>
        <w:t>-perinatal</w:t>
      </w:r>
      <w:r w:rsidRPr="008E510B">
        <w:rPr>
          <w:rFonts w:cs="Times New Roman"/>
          <w:szCs w:val="24"/>
        </w:rPr>
        <w:t xml:space="preserve"> health care, delivered through context-appropriate implementation strategies </w:t>
      </w:r>
    </w:p>
    <w:p w:rsidR="00F067F1" w:rsidRPr="00D068B9" w:rsidRDefault="00F067F1" w:rsidP="00014173">
      <w:pPr>
        <w:rPr>
          <w:rFonts w:eastAsiaTheme="minorEastAsia" w:cs="Times New Roman"/>
          <w:szCs w:val="24"/>
        </w:rPr>
      </w:pPr>
      <w:r w:rsidRPr="00D068B9">
        <w:rPr>
          <w:rFonts w:eastAsiaTheme="minorEastAsia" w:cs="Times New Roman"/>
          <w:szCs w:val="24"/>
        </w:rPr>
        <w:t>Prevention of unwanted or poorly timed pregnancy is the first step: ensuring access to modern contraceptives for all women and adolescents, everywhere, could reduce maternal deaths by an estimated 29%.</w:t>
      </w:r>
      <w:r w:rsidRPr="0017191C">
        <w:rPr>
          <w:rFonts w:eastAsiaTheme="minorEastAsia" w:cs="Times New Roman"/>
          <w:noProof/>
          <w:szCs w:val="24"/>
          <w:vertAlign w:val="superscript"/>
        </w:rPr>
        <w:t>11</w:t>
      </w:r>
      <w:r w:rsidRPr="00D068B9">
        <w:rPr>
          <w:rFonts w:eastAsiaTheme="minorEastAsia" w:cs="Times New Roman"/>
          <w:szCs w:val="24"/>
        </w:rPr>
        <w:t xml:space="preserve"> In 2015, 12% of women had unmet need for contraceptives,</w:t>
      </w:r>
      <w:r w:rsidRPr="0017191C">
        <w:rPr>
          <w:rFonts w:eastAsiaTheme="minorEastAsia" w:cs="Times New Roman"/>
          <w:noProof/>
          <w:szCs w:val="24"/>
          <w:vertAlign w:val="superscript"/>
        </w:rPr>
        <w:t>12</w:t>
      </w:r>
      <w:r w:rsidRPr="00D068B9">
        <w:rPr>
          <w:rFonts w:eastAsiaTheme="minorEastAsia" w:cs="Times New Roman"/>
          <w:szCs w:val="24"/>
        </w:rPr>
        <w:t> and approximately 7.9% of maternal deaths were attributed to unsafe abortion.</w:t>
      </w:r>
      <w:r w:rsidRPr="0017191C">
        <w:rPr>
          <w:rFonts w:eastAsiaTheme="minorEastAsia" w:cs="Times New Roman"/>
          <w:noProof/>
          <w:szCs w:val="24"/>
          <w:vertAlign w:val="superscript"/>
        </w:rPr>
        <w:t>13</w:t>
      </w:r>
      <w:r w:rsidRPr="00D068B9">
        <w:rPr>
          <w:rFonts w:eastAsiaTheme="minorEastAsia" w:cs="Times New Roman"/>
          <w:szCs w:val="24"/>
        </w:rPr>
        <w:t xml:space="preserve"> Safe abortion services are also important.</w:t>
      </w:r>
    </w:p>
    <w:p w:rsidR="00F067F1" w:rsidRPr="008E510B" w:rsidRDefault="00F067F1" w:rsidP="005512D3">
      <w:pPr>
        <w:rPr>
          <w:rFonts w:eastAsiaTheme="minorEastAsia" w:cs="Times New Roman"/>
          <w:szCs w:val="24"/>
        </w:rPr>
      </w:pPr>
      <w:r>
        <w:rPr>
          <w:rFonts w:cs="Times New Roman"/>
          <w:szCs w:val="24"/>
        </w:rPr>
        <w:t xml:space="preserve">For pregnant women continuing to term, </w:t>
      </w:r>
      <w:r w:rsidRPr="008E510B">
        <w:rPr>
          <w:rFonts w:cs="Times New Roman"/>
          <w:szCs w:val="24"/>
        </w:rPr>
        <w:t>Souza’s obstetric transition</w:t>
      </w:r>
      <w:r w:rsidRPr="0017191C">
        <w:rPr>
          <w:rFonts w:cs="Times New Roman"/>
          <w:noProof/>
          <w:szCs w:val="24"/>
          <w:vertAlign w:val="superscript"/>
        </w:rPr>
        <w:t>14</w:t>
      </w:r>
      <w:r w:rsidRPr="008E510B">
        <w:rPr>
          <w:rFonts w:cs="Times New Roman"/>
          <w:szCs w:val="24"/>
        </w:rPr>
        <w:t xml:space="preserve"> </w:t>
      </w:r>
      <w:r>
        <w:rPr>
          <w:rFonts w:cs="Times New Roman"/>
          <w:szCs w:val="24"/>
        </w:rPr>
        <w:t xml:space="preserve">extends </w:t>
      </w:r>
      <w:r w:rsidRPr="008E510B">
        <w:rPr>
          <w:rFonts w:cs="Times New Roman"/>
          <w:szCs w:val="24"/>
        </w:rPr>
        <w:t xml:space="preserve">the </w:t>
      </w:r>
      <w:r>
        <w:rPr>
          <w:rFonts w:cs="Times New Roman"/>
          <w:szCs w:val="24"/>
        </w:rPr>
        <w:t xml:space="preserve">concept of the demographic and </w:t>
      </w:r>
      <w:r w:rsidRPr="008E510B">
        <w:rPr>
          <w:rFonts w:cs="Times New Roman"/>
          <w:szCs w:val="24"/>
        </w:rPr>
        <w:t>epidemiological transition</w:t>
      </w:r>
      <w:r>
        <w:rPr>
          <w:rFonts w:cs="Times New Roman"/>
          <w:szCs w:val="24"/>
        </w:rPr>
        <w:t>s</w:t>
      </w:r>
      <w:r w:rsidRPr="008E510B">
        <w:rPr>
          <w:rFonts w:cs="Times New Roman"/>
          <w:szCs w:val="24"/>
        </w:rPr>
        <w:t xml:space="preserve"> to maternal health</w:t>
      </w:r>
      <w:r>
        <w:rPr>
          <w:rFonts w:cs="Times New Roman"/>
          <w:szCs w:val="24"/>
        </w:rPr>
        <w:t>, and</w:t>
      </w:r>
      <w:r w:rsidRPr="008E510B">
        <w:rPr>
          <w:rFonts w:cs="Times New Roman"/>
          <w:szCs w:val="24"/>
        </w:rPr>
        <w:t xml:space="preserve"> helps </w:t>
      </w:r>
      <w:r>
        <w:rPr>
          <w:rFonts w:cs="Times New Roman"/>
          <w:szCs w:val="24"/>
        </w:rPr>
        <w:t xml:space="preserve">stage </w:t>
      </w:r>
      <w:r w:rsidRPr="008E510B">
        <w:rPr>
          <w:rFonts w:cs="Times New Roman"/>
          <w:szCs w:val="24"/>
        </w:rPr>
        <w:t>appropriate intervention priorities. Table 1</w:t>
      </w:r>
      <w:r>
        <w:rPr>
          <w:rFonts w:cs="Times New Roman"/>
          <w:szCs w:val="24"/>
        </w:rPr>
        <w:t xml:space="preserve"> presents</w:t>
      </w:r>
      <w:r w:rsidRPr="008E510B">
        <w:rPr>
          <w:rFonts w:cs="Times New Roman"/>
          <w:szCs w:val="24"/>
        </w:rPr>
        <w:t xml:space="preserve"> </w:t>
      </w:r>
      <w:r>
        <w:rPr>
          <w:rFonts w:cs="Times New Roman"/>
          <w:szCs w:val="24"/>
        </w:rPr>
        <w:t xml:space="preserve">settings in </w:t>
      </w:r>
      <w:r w:rsidRPr="008E510B">
        <w:rPr>
          <w:rFonts w:cs="Times New Roman"/>
          <w:szCs w:val="24"/>
        </w:rPr>
        <w:t>five phases</w:t>
      </w:r>
      <w:r>
        <w:rPr>
          <w:rFonts w:cs="Times New Roman"/>
          <w:szCs w:val="24"/>
        </w:rPr>
        <w:t xml:space="preserve"> </w:t>
      </w:r>
      <w:r w:rsidRPr="008E510B">
        <w:rPr>
          <w:rFonts w:cs="Times New Roman"/>
          <w:szCs w:val="24"/>
        </w:rPr>
        <w:t>from high fertility and maternal mortality</w:t>
      </w:r>
      <w:r>
        <w:rPr>
          <w:rFonts w:cs="Times New Roman"/>
          <w:szCs w:val="24"/>
        </w:rPr>
        <w:t>,</w:t>
      </w:r>
      <w:r w:rsidRPr="008E510B">
        <w:rPr>
          <w:rFonts w:cs="Times New Roman"/>
          <w:szCs w:val="24"/>
        </w:rPr>
        <w:t xml:space="preserve"> to low fertility and mortality. Across settings</w:t>
      </w:r>
      <w:r>
        <w:rPr>
          <w:rFonts w:cs="Times New Roman"/>
          <w:szCs w:val="24"/>
        </w:rPr>
        <w:t xml:space="preserve"> </w:t>
      </w:r>
      <w:r w:rsidRPr="008E510B">
        <w:rPr>
          <w:rFonts w:cs="Times New Roman"/>
          <w:szCs w:val="24"/>
        </w:rPr>
        <w:t>corresponding to stages I-III (MMR&gt;70), gaps in access remain, and direct causes of maternal death predominate although indirect causes</w:t>
      </w:r>
      <w:r>
        <w:rPr>
          <w:rFonts w:cs="Times New Roman"/>
          <w:szCs w:val="24"/>
        </w:rPr>
        <w:t>, particularly infections, may be</w:t>
      </w:r>
      <w:r w:rsidRPr="008E510B">
        <w:rPr>
          <w:rFonts w:cs="Times New Roman"/>
          <w:szCs w:val="24"/>
        </w:rPr>
        <w:t xml:space="preserve"> </w:t>
      </w:r>
      <w:r>
        <w:rPr>
          <w:rFonts w:cs="Times New Roman"/>
          <w:szCs w:val="24"/>
        </w:rPr>
        <w:t>present</w:t>
      </w:r>
      <w:r w:rsidRPr="008E510B">
        <w:rPr>
          <w:rFonts w:cs="Times New Roman"/>
          <w:szCs w:val="24"/>
        </w:rPr>
        <w:t>. In stages IV and V with MMRs&lt;70</w:t>
      </w:r>
      <w:r>
        <w:rPr>
          <w:rFonts w:cs="Times New Roman"/>
          <w:szCs w:val="24"/>
        </w:rPr>
        <w:t>,</w:t>
      </w:r>
      <w:r w:rsidRPr="008E510B">
        <w:rPr>
          <w:rFonts w:cs="Times New Roman"/>
          <w:szCs w:val="24"/>
        </w:rPr>
        <w:t xml:space="preserve"> nearly all women access services</w:t>
      </w:r>
      <w:r>
        <w:rPr>
          <w:rFonts w:cs="Times New Roman"/>
          <w:szCs w:val="24"/>
        </w:rPr>
        <w:t>,</w:t>
      </w:r>
      <w:r w:rsidRPr="008E510B">
        <w:rPr>
          <w:rFonts w:cs="Times New Roman"/>
          <w:szCs w:val="24"/>
        </w:rPr>
        <w:t xml:space="preserve"> and indirect causes of death are substantial.</w:t>
      </w:r>
      <w:r>
        <w:rPr>
          <w:rFonts w:cs="Times New Roman"/>
          <w:szCs w:val="24"/>
        </w:rPr>
        <w:t xml:space="preserve"> </w:t>
      </w:r>
      <w:r w:rsidRPr="008E510B">
        <w:rPr>
          <w:rFonts w:cs="Times New Roman"/>
          <w:szCs w:val="24"/>
        </w:rPr>
        <w:t>In all stages, “effective quality coverage” is the goal: the right care</w:t>
      </w:r>
      <w:r>
        <w:rPr>
          <w:rFonts w:cs="Times New Roman"/>
          <w:szCs w:val="24"/>
        </w:rPr>
        <w:t>,</w:t>
      </w:r>
      <w:r w:rsidRPr="008E510B">
        <w:rPr>
          <w:rFonts w:cs="Times New Roman"/>
          <w:szCs w:val="24"/>
        </w:rPr>
        <w:t xml:space="preserve"> tailored to the local burden of illness</w:t>
      </w:r>
      <w:r>
        <w:rPr>
          <w:rFonts w:cs="Times New Roman"/>
          <w:szCs w:val="24"/>
        </w:rPr>
        <w:t>,</w:t>
      </w:r>
      <w:r w:rsidRPr="008E510B">
        <w:rPr>
          <w:rFonts w:cs="Times New Roman"/>
          <w:szCs w:val="24"/>
        </w:rPr>
        <w:t xml:space="preserve"> received by the right </w:t>
      </w:r>
      <w:r>
        <w:rPr>
          <w:rFonts w:cs="Times New Roman"/>
          <w:szCs w:val="24"/>
        </w:rPr>
        <w:t>women</w:t>
      </w:r>
      <w:r w:rsidRPr="008E510B">
        <w:rPr>
          <w:rFonts w:cs="Times New Roman"/>
          <w:szCs w:val="24"/>
        </w:rPr>
        <w:t xml:space="preserve"> at the right time</w:t>
      </w:r>
      <w:r>
        <w:rPr>
          <w:rFonts w:cs="Times New Roman"/>
          <w:szCs w:val="24"/>
        </w:rPr>
        <w:t>,</w:t>
      </w:r>
      <w:r w:rsidRPr="008E510B">
        <w:rPr>
          <w:rFonts w:cs="Times New Roman"/>
          <w:szCs w:val="24"/>
        </w:rPr>
        <w:t xml:space="preserve"> in a respectful manner.</w:t>
      </w:r>
      <w:r w:rsidRPr="00FF525B">
        <w:rPr>
          <w:rFonts w:cs="Times New Roman"/>
          <w:noProof/>
          <w:szCs w:val="24"/>
          <w:vertAlign w:val="superscript"/>
        </w:rPr>
        <w:t>8, 10</w:t>
      </w:r>
      <w:r w:rsidRPr="008E510B">
        <w:rPr>
          <w:rFonts w:cs="Times New Roman"/>
          <w:szCs w:val="24"/>
        </w:rPr>
        <w:t xml:space="preserve"> </w:t>
      </w:r>
    </w:p>
    <w:p w:rsidR="00F067F1" w:rsidRPr="008E510B" w:rsidRDefault="00F067F1" w:rsidP="005512D3">
      <w:pPr>
        <w:rPr>
          <w:rFonts w:cs="Times New Roman"/>
          <w:szCs w:val="24"/>
        </w:rPr>
      </w:pPr>
      <w:r w:rsidRPr="008E510B">
        <w:rPr>
          <w:rFonts w:cs="Times New Roman"/>
          <w:szCs w:val="24"/>
        </w:rPr>
        <w:t>Where women reach maternity care services, timeliness, quality and over-intervention need to be addressed.</w:t>
      </w:r>
      <w:r w:rsidRPr="00FF525B">
        <w:rPr>
          <w:rFonts w:cs="Times New Roman"/>
          <w:noProof/>
          <w:szCs w:val="24"/>
          <w:vertAlign w:val="superscript"/>
        </w:rPr>
        <w:t>7, 9</w:t>
      </w:r>
      <w:r w:rsidRPr="008E510B">
        <w:rPr>
          <w:rFonts w:cs="Times New Roman"/>
          <w:szCs w:val="24"/>
        </w:rPr>
        <w:t xml:space="preserve"> </w:t>
      </w:r>
      <w:r>
        <w:rPr>
          <w:rFonts w:cs="Times New Roman"/>
          <w:szCs w:val="24"/>
        </w:rPr>
        <w:t>H</w:t>
      </w:r>
      <w:r w:rsidRPr="008E510B">
        <w:rPr>
          <w:rFonts w:cs="Times New Roman"/>
          <w:szCs w:val="24"/>
        </w:rPr>
        <w:t>igh effective coverage of known interventions</w:t>
      </w:r>
      <w:r>
        <w:rPr>
          <w:rFonts w:cs="Times New Roman"/>
          <w:szCs w:val="24"/>
        </w:rPr>
        <w:t>, particularly for vulnerable populations</w:t>
      </w:r>
      <w:r w:rsidRPr="008E510B">
        <w:rPr>
          <w:rFonts w:cs="Times New Roman"/>
          <w:szCs w:val="24"/>
        </w:rPr>
        <w:t xml:space="preserve"> </w:t>
      </w:r>
      <w:r>
        <w:rPr>
          <w:rFonts w:cs="Times New Roman"/>
          <w:szCs w:val="24"/>
        </w:rPr>
        <w:t>(Figure 1)</w:t>
      </w:r>
      <w:r w:rsidRPr="008E510B">
        <w:rPr>
          <w:rFonts w:cs="Times New Roman"/>
          <w:szCs w:val="24"/>
        </w:rPr>
        <w:t xml:space="preserve"> e.g. use of appropriate uterotonic drugs for prevention of postpartum hemorrhage,</w:t>
      </w:r>
      <w:r w:rsidRPr="0017191C">
        <w:rPr>
          <w:rFonts w:cs="Times New Roman"/>
          <w:noProof/>
          <w:szCs w:val="24"/>
          <w:vertAlign w:val="superscript"/>
        </w:rPr>
        <w:t>15</w:t>
      </w:r>
      <w:r w:rsidRPr="008E510B">
        <w:rPr>
          <w:rFonts w:cs="Times New Roman"/>
          <w:szCs w:val="24"/>
        </w:rPr>
        <w:t xml:space="preserve"> antibiotics for sepsis, and preventive interventions for anemia</w:t>
      </w:r>
      <w:r w:rsidRPr="0017191C">
        <w:rPr>
          <w:rFonts w:cs="Times New Roman"/>
          <w:noProof/>
          <w:szCs w:val="24"/>
          <w:vertAlign w:val="superscript"/>
        </w:rPr>
        <w:t>16</w:t>
      </w:r>
      <w:r w:rsidRPr="008E510B">
        <w:rPr>
          <w:rFonts w:cs="Times New Roman"/>
          <w:szCs w:val="24"/>
        </w:rPr>
        <w:t>), could dramatically decrease maternal deaths</w:t>
      </w:r>
      <w:r w:rsidRPr="00FF525B">
        <w:rPr>
          <w:rFonts w:cs="Times New Roman"/>
          <w:noProof/>
          <w:szCs w:val="24"/>
          <w:vertAlign w:val="superscript"/>
        </w:rPr>
        <w:t>17, 18</w:t>
      </w:r>
      <w:r w:rsidRPr="008E510B">
        <w:rPr>
          <w:rFonts w:cs="Times New Roman"/>
          <w:szCs w:val="24"/>
          <w:vertAlign w:val="superscript"/>
        </w:rPr>
        <w:t>,</w:t>
      </w:r>
      <w:r w:rsidRPr="0017191C">
        <w:rPr>
          <w:rFonts w:cs="Times New Roman"/>
          <w:noProof/>
          <w:szCs w:val="24"/>
          <w:vertAlign w:val="superscript"/>
        </w:rPr>
        <w:t>19</w:t>
      </w:r>
      <w:r w:rsidRPr="008E510B">
        <w:rPr>
          <w:rFonts w:eastAsiaTheme="minorEastAsia" w:cs="Times New Roman"/>
          <w:color w:val="000000" w:themeColor="text1"/>
          <w:szCs w:val="24"/>
        </w:rPr>
        <w:t xml:space="preserve"> and improve</w:t>
      </w:r>
      <w:r w:rsidRPr="008E510B">
        <w:rPr>
          <w:rFonts w:cs="Times New Roman"/>
          <w:szCs w:val="24"/>
        </w:rPr>
        <w:t xml:space="preserve"> </w:t>
      </w:r>
      <w:r>
        <w:rPr>
          <w:rFonts w:cs="Times New Roman"/>
          <w:szCs w:val="24"/>
        </w:rPr>
        <w:t>perinatal</w:t>
      </w:r>
      <w:r w:rsidRPr="008E510B">
        <w:rPr>
          <w:rFonts w:eastAsiaTheme="minorEastAsia" w:cs="Times New Roman"/>
          <w:color w:val="000000" w:themeColor="text1"/>
          <w:szCs w:val="24"/>
        </w:rPr>
        <w:t xml:space="preserve"> outcomes .</w:t>
      </w:r>
      <w:r w:rsidRPr="0017191C">
        <w:rPr>
          <w:rFonts w:eastAsiaTheme="minorEastAsia" w:cs="Times New Roman"/>
          <w:noProof/>
          <w:color w:val="000000" w:themeColor="text1"/>
          <w:szCs w:val="24"/>
          <w:vertAlign w:val="superscript"/>
        </w:rPr>
        <w:t>20</w:t>
      </w:r>
      <w:r>
        <w:rPr>
          <w:rFonts w:cs="Times New Roman"/>
          <w:szCs w:val="24"/>
        </w:rPr>
        <w:t xml:space="preserve"> </w:t>
      </w:r>
      <w:r w:rsidRPr="008E510B">
        <w:rPr>
          <w:rFonts w:cs="Times New Roman"/>
          <w:szCs w:val="24"/>
        </w:rPr>
        <w:t>In later stages of the obstetric transition, routine labor augmentation</w:t>
      </w:r>
      <w:r w:rsidRPr="0017191C">
        <w:rPr>
          <w:rFonts w:cs="Times New Roman"/>
          <w:noProof/>
          <w:szCs w:val="24"/>
          <w:vertAlign w:val="superscript"/>
        </w:rPr>
        <w:t>21</w:t>
      </w:r>
      <w:r w:rsidRPr="008E510B">
        <w:rPr>
          <w:rFonts w:cs="Times New Roman"/>
          <w:szCs w:val="24"/>
        </w:rPr>
        <w:t xml:space="preserve"> and excessive caesarean delivery</w:t>
      </w:r>
      <w:r w:rsidRPr="0017191C">
        <w:rPr>
          <w:rFonts w:cs="Times New Roman"/>
          <w:noProof/>
          <w:szCs w:val="24"/>
          <w:vertAlign w:val="superscript"/>
        </w:rPr>
        <w:t>22-25</w:t>
      </w:r>
      <w:r w:rsidRPr="008E510B">
        <w:rPr>
          <w:rFonts w:cs="Times New Roman"/>
          <w:szCs w:val="24"/>
        </w:rPr>
        <w:t xml:space="preserve"> emerge as negative unintended consequences of wide access to facility delivery.</w:t>
      </w:r>
      <w:r w:rsidRPr="00FF525B">
        <w:rPr>
          <w:rFonts w:cs="Times New Roman"/>
          <w:noProof/>
          <w:szCs w:val="24"/>
          <w:vertAlign w:val="superscript"/>
        </w:rPr>
        <w:t>7, 9</w:t>
      </w:r>
      <w:r w:rsidRPr="008E510B">
        <w:rPr>
          <w:rFonts w:cs="Times New Roman"/>
          <w:szCs w:val="24"/>
        </w:rPr>
        <w:t xml:space="preserve"> An effective national strategy </w:t>
      </w:r>
      <w:r>
        <w:rPr>
          <w:rFonts w:cs="Times New Roman"/>
          <w:szCs w:val="24"/>
        </w:rPr>
        <w:t xml:space="preserve">should also attend </w:t>
      </w:r>
      <w:r w:rsidRPr="008E510B">
        <w:rPr>
          <w:rFonts w:cs="Times New Roman"/>
          <w:szCs w:val="24"/>
        </w:rPr>
        <w:t>to iatrogenic outcomes arising from poor quality care and over-intervention.</w:t>
      </w:r>
      <w:r w:rsidRPr="00FF525B">
        <w:rPr>
          <w:rFonts w:cs="Times New Roman"/>
          <w:noProof/>
          <w:szCs w:val="24"/>
          <w:vertAlign w:val="superscript"/>
        </w:rPr>
        <w:t>7, 9</w:t>
      </w:r>
      <w:r w:rsidRPr="008E510B">
        <w:rPr>
          <w:rFonts w:cs="Times New Roman"/>
          <w:szCs w:val="24"/>
        </w:rPr>
        <w:t xml:space="preserve"> </w:t>
      </w:r>
    </w:p>
    <w:p w:rsidR="00F067F1" w:rsidRPr="008E510B" w:rsidRDefault="00F067F1" w:rsidP="0067307A">
      <w:pPr>
        <w:widowControl w:val="0"/>
        <w:autoSpaceDE w:val="0"/>
        <w:autoSpaceDN w:val="0"/>
        <w:adjustRightInd w:val="0"/>
        <w:spacing w:after="0"/>
        <w:rPr>
          <w:rFonts w:cs="Times New Roman"/>
          <w:szCs w:val="24"/>
        </w:rPr>
      </w:pPr>
      <w:r w:rsidRPr="008E510B">
        <w:rPr>
          <w:rFonts w:cs="Times New Roman"/>
          <w:szCs w:val="24"/>
        </w:rPr>
        <w:t>There</w:t>
      </w:r>
      <w:r>
        <w:rPr>
          <w:rFonts w:cs="Times New Roman"/>
          <w:szCs w:val="24"/>
        </w:rPr>
        <w:t xml:space="preserve"> are </w:t>
      </w:r>
      <w:r w:rsidRPr="008E510B">
        <w:rPr>
          <w:rFonts w:cs="Times New Roman"/>
          <w:szCs w:val="24"/>
        </w:rPr>
        <w:t>sound recommend</w:t>
      </w:r>
      <w:r>
        <w:rPr>
          <w:rFonts w:cs="Times New Roman"/>
          <w:szCs w:val="24"/>
        </w:rPr>
        <w:t xml:space="preserve">ations on the </w:t>
      </w:r>
      <w:r w:rsidRPr="008E510B">
        <w:rPr>
          <w:rFonts w:cs="Times New Roman"/>
          <w:szCs w:val="24"/>
        </w:rPr>
        <w:t>content of care and guidelines for implementation throughout the pregnancy-post-partum continuum.</w:t>
      </w:r>
      <w:r w:rsidRPr="00FF525B">
        <w:rPr>
          <w:rFonts w:cs="Times New Roman"/>
          <w:noProof/>
          <w:szCs w:val="24"/>
          <w:vertAlign w:val="superscript"/>
        </w:rPr>
        <w:t>7-9, 26, 27</w:t>
      </w:r>
      <w:r w:rsidRPr="008E510B">
        <w:rPr>
          <w:rFonts w:cs="Times New Roman"/>
          <w:szCs w:val="24"/>
        </w:rPr>
        <w:t xml:space="preserve"> Adherence to high-quality clinical practice guidelines, when combined with simulation-based training, </w:t>
      </w:r>
      <w:r>
        <w:rPr>
          <w:rFonts w:cs="Times New Roman"/>
          <w:szCs w:val="24"/>
        </w:rPr>
        <w:t xml:space="preserve">can </w:t>
      </w:r>
      <w:r w:rsidRPr="008E510B">
        <w:rPr>
          <w:rFonts w:cs="Times New Roman"/>
          <w:szCs w:val="24"/>
        </w:rPr>
        <w:t>improve providers</w:t>
      </w:r>
      <w:r>
        <w:rPr>
          <w:rFonts w:cs="Times New Roman"/>
          <w:szCs w:val="24"/>
        </w:rPr>
        <w:t>’</w:t>
      </w:r>
      <w:r w:rsidRPr="008E510B">
        <w:rPr>
          <w:rFonts w:cs="Times New Roman"/>
          <w:szCs w:val="24"/>
        </w:rPr>
        <w:t xml:space="preserve"> knowledge, clinical </w:t>
      </w:r>
      <w:r w:rsidRPr="008E510B">
        <w:rPr>
          <w:rFonts w:eastAsiaTheme="minorEastAsia" w:cs="Times New Roman"/>
          <w:color w:val="000000" w:themeColor="text1"/>
          <w:szCs w:val="24"/>
        </w:rPr>
        <w:t>skills, attitudes</w:t>
      </w:r>
      <w:r w:rsidRPr="0017191C">
        <w:rPr>
          <w:rFonts w:eastAsiaTheme="minorEastAsia" w:cs="Times New Roman"/>
          <w:noProof/>
          <w:color w:val="000000" w:themeColor="text1"/>
          <w:szCs w:val="24"/>
          <w:vertAlign w:val="superscript"/>
        </w:rPr>
        <w:t>28</w:t>
      </w:r>
      <w:r w:rsidRPr="008E510B">
        <w:rPr>
          <w:rFonts w:eastAsiaTheme="minorEastAsia" w:cs="Times New Roman"/>
          <w:color w:val="000000" w:themeColor="text1"/>
          <w:szCs w:val="24"/>
        </w:rPr>
        <w:t xml:space="preserve"> and </w:t>
      </w:r>
      <w:r>
        <w:rPr>
          <w:rFonts w:eastAsiaTheme="minorEastAsia" w:cs="Times New Roman"/>
          <w:color w:val="000000" w:themeColor="text1"/>
          <w:szCs w:val="24"/>
        </w:rPr>
        <w:t>women</w:t>
      </w:r>
      <w:r w:rsidRPr="008E510B">
        <w:rPr>
          <w:rFonts w:eastAsiaTheme="minorEastAsia" w:cs="Times New Roman"/>
          <w:color w:val="000000" w:themeColor="text1"/>
          <w:szCs w:val="24"/>
        </w:rPr>
        <w:t xml:space="preserve">-centered </w:t>
      </w:r>
      <w:r>
        <w:rPr>
          <w:rFonts w:eastAsiaTheme="minorEastAsia" w:cs="Times New Roman"/>
          <w:color w:val="000000" w:themeColor="text1"/>
          <w:szCs w:val="24"/>
        </w:rPr>
        <w:t>approaches</w:t>
      </w:r>
      <w:r w:rsidRPr="008E510B">
        <w:rPr>
          <w:rFonts w:eastAsiaTheme="minorEastAsia" w:cs="Times New Roman"/>
          <w:color w:val="000000" w:themeColor="text1"/>
          <w:szCs w:val="24"/>
        </w:rPr>
        <w:t>.</w:t>
      </w:r>
      <w:r w:rsidRPr="0017191C">
        <w:rPr>
          <w:rFonts w:eastAsiaTheme="minorEastAsia" w:cs="Times New Roman"/>
          <w:noProof/>
          <w:color w:val="000000" w:themeColor="text1"/>
          <w:szCs w:val="24"/>
          <w:vertAlign w:val="superscript"/>
        </w:rPr>
        <w:t>29</w:t>
      </w:r>
      <w:r>
        <w:rPr>
          <w:rFonts w:eastAsiaTheme="minorEastAsia" w:cs="Times New Roman"/>
          <w:color w:val="000000" w:themeColor="text1"/>
          <w:szCs w:val="24"/>
          <w:vertAlign w:val="superscript"/>
        </w:rPr>
        <w:t>,</w:t>
      </w:r>
      <w:r w:rsidRPr="0017191C">
        <w:rPr>
          <w:rFonts w:cs="Times New Roman"/>
          <w:noProof/>
          <w:szCs w:val="24"/>
          <w:vertAlign w:val="superscript"/>
        </w:rPr>
        <w:t>30</w:t>
      </w:r>
      <w:r w:rsidRPr="008E510B">
        <w:rPr>
          <w:rFonts w:cs="Times New Roman"/>
          <w:szCs w:val="24"/>
        </w:rPr>
        <w:t xml:space="preserve"> </w:t>
      </w:r>
    </w:p>
    <w:p w:rsidR="00F067F1" w:rsidRPr="008E510B" w:rsidRDefault="00F067F1" w:rsidP="00165005">
      <w:pPr>
        <w:autoSpaceDE w:val="0"/>
        <w:autoSpaceDN w:val="0"/>
        <w:adjustRightInd w:val="0"/>
        <w:spacing w:after="0"/>
        <w:rPr>
          <w:rFonts w:cs="Times New Roman"/>
          <w:szCs w:val="24"/>
        </w:rPr>
      </w:pPr>
    </w:p>
    <w:p w:rsidR="00F067F1" w:rsidRPr="008E510B" w:rsidRDefault="00F067F1" w:rsidP="00B65280">
      <w:pPr>
        <w:rPr>
          <w:rFonts w:cs="Times New Roman"/>
          <w:szCs w:val="24"/>
        </w:rPr>
      </w:pPr>
      <w:r w:rsidRPr="008E510B">
        <w:rPr>
          <w:rFonts w:cs="Times New Roman"/>
          <w:szCs w:val="24"/>
        </w:rPr>
        <w:t xml:space="preserve">While global recommendations for the content of care </w:t>
      </w:r>
      <w:r>
        <w:rPr>
          <w:rFonts w:cs="Times New Roman"/>
          <w:szCs w:val="24"/>
        </w:rPr>
        <w:t xml:space="preserve">are </w:t>
      </w:r>
      <w:r w:rsidRPr="008E510B">
        <w:rPr>
          <w:rFonts w:cs="Times New Roman"/>
          <w:szCs w:val="24"/>
        </w:rPr>
        <w:t xml:space="preserve">valuable, it is </w:t>
      </w:r>
      <w:r>
        <w:rPr>
          <w:rFonts w:cs="Times New Roman"/>
          <w:szCs w:val="24"/>
        </w:rPr>
        <w:t>in</w:t>
      </w:r>
      <w:r w:rsidRPr="008E510B">
        <w:rPr>
          <w:rFonts w:cs="Times New Roman"/>
          <w:szCs w:val="24"/>
        </w:rPr>
        <w:t xml:space="preserve">appropriate to </w:t>
      </w:r>
      <w:r>
        <w:rPr>
          <w:rFonts w:cs="Times New Roman"/>
          <w:szCs w:val="24"/>
        </w:rPr>
        <w:t xml:space="preserve">make </w:t>
      </w:r>
      <w:r w:rsidRPr="008E510B">
        <w:rPr>
          <w:rFonts w:cs="Times New Roman"/>
          <w:szCs w:val="24"/>
        </w:rPr>
        <w:t>standardized global prescriptions for implementation strategies.</w:t>
      </w:r>
      <w:r w:rsidRPr="0017191C">
        <w:rPr>
          <w:rFonts w:cs="Times New Roman"/>
          <w:noProof/>
          <w:szCs w:val="24"/>
          <w:vertAlign w:val="superscript"/>
        </w:rPr>
        <w:t>8</w:t>
      </w:r>
      <w:r w:rsidRPr="008E510B">
        <w:rPr>
          <w:rFonts w:cs="Times New Roman"/>
          <w:szCs w:val="24"/>
        </w:rPr>
        <w:t xml:space="preserve"> Both health systems and maternity care models vary within and between countries, </w:t>
      </w:r>
      <w:r>
        <w:rPr>
          <w:rFonts w:cs="Times New Roman"/>
          <w:szCs w:val="24"/>
        </w:rPr>
        <w:t xml:space="preserve">so </w:t>
      </w:r>
      <w:r w:rsidRPr="008E510B">
        <w:rPr>
          <w:rFonts w:cs="Times New Roman"/>
          <w:szCs w:val="24"/>
        </w:rPr>
        <w:t xml:space="preserve">there is no simple “one-size-fits-all” solution. Providing maternity care in a given setting is, in part, a function of available resources and existing infrastructure, including the private sector, human resources, </w:t>
      </w:r>
      <w:r>
        <w:rPr>
          <w:rFonts w:cs="Times New Roman"/>
          <w:szCs w:val="24"/>
        </w:rPr>
        <w:t xml:space="preserve">financing, </w:t>
      </w:r>
      <w:r w:rsidRPr="008E510B">
        <w:rPr>
          <w:rFonts w:cs="Times New Roman"/>
          <w:szCs w:val="24"/>
        </w:rPr>
        <w:t>and factors such as geography, population density, facility density and capability, and distance between peripheral and referral centers.</w:t>
      </w:r>
      <w:r w:rsidRPr="0017191C">
        <w:rPr>
          <w:rFonts w:cs="Times New Roman"/>
          <w:noProof/>
          <w:szCs w:val="24"/>
          <w:vertAlign w:val="superscript"/>
        </w:rPr>
        <w:t>8</w:t>
      </w:r>
      <w:r w:rsidRPr="008E510B">
        <w:rPr>
          <w:rFonts w:cs="Times New Roman"/>
          <w:szCs w:val="24"/>
        </w:rPr>
        <w:t xml:space="preserve"> Even so, we know that countries with the best outcomes</w:t>
      </w:r>
      <w:r>
        <w:rPr>
          <w:rFonts w:cs="Times New Roman"/>
          <w:szCs w:val="24"/>
        </w:rPr>
        <w:t>,</w:t>
      </w:r>
      <w:r w:rsidRPr="008E510B">
        <w:rPr>
          <w:rFonts w:cs="Times New Roman"/>
          <w:szCs w:val="24"/>
        </w:rPr>
        <w:t xml:space="preserve"> lowest clinical intervention rates, and lowest costs have integrated midwifery-led care through different models including: team-based care in maternity wards, </w:t>
      </w:r>
      <w:r>
        <w:rPr>
          <w:rFonts w:cs="Times New Roman"/>
          <w:szCs w:val="24"/>
        </w:rPr>
        <w:t xml:space="preserve">alongside midwifery-led </w:t>
      </w:r>
      <w:r w:rsidRPr="008E510B">
        <w:rPr>
          <w:rFonts w:cs="Times New Roman"/>
          <w:szCs w:val="24"/>
        </w:rPr>
        <w:t xml:space="preserve">units </w:t>
      </w:r>
      <w:r>
        <w:rPr>
          <w:rFonts w:cs="Times New Roman"/>
          <w:szCs w:val="24"/>
        </w:rPr>
        <w:t xml:space="preserve">(low risk units </w:t>
      </w:r>
      <w:r w:rsidRPr="008E510B">
        <w:rPr>
          <w:rFonts w:cs="Times New Roman"/>
          <w:szCs w:val="24"/>
        </w:rPr>
        <w:t>alongside full-scope maternity hospitals</w:t>
      </w:r>
      <w:r>
        <w:rPr>
          <w:rFonts w:cs="Times New Roman"/>
          <w:szCs w:val="24"/>
        </w:rPr>
        <w:t xml:space="preserve">), </w:t>
      </w:r>
      <w:r w:rsidRPr="008E510B">
        <w:rPr>
          <w:rFonts w:cs="Times New Roman"/>
          <w:szCs w:val="24"/>
        </w:rPr>
        <w:t>freestanding</w:t>
      </w:r>
      <w:r>
        <w:rPr>
          <w:rFonts w:cs="Times New Roman"/>
          <w:szCs w:val="24"/>
        </w:rPr>
        <w:t xml:space="preserve"> midwifery-led units, and </w:t>
      </w:r>
      <w:r w:rsidRPr="008E510B">
        <w:rPr>
          <w:rFonts w:cs="Times New Roman"/>
          <w:szCs w:val="24"/>
        </w:rPr>
        <w:t>home-based midwifery.</w:t>
      </w:r>
      <w:r w:rsidRPr="0017191C">
        <w:rPr>
          <w:rFonts w:cs="Times New Roman"/>
          <w:noProof/>
          <w:szCs w:val="24"/>
          <w:vertAlign w:val="superscript"/>
        </w:rPr>
        <w:t>9</w:t>
      </w:r>
    </w:p>
    <w:p w:rsidR="00F067F1" w:rsidRPr="008E510B" w:rsidRDefault="00F067F1" w:rsidP="00853572">
      <w:pPr>
        <w:rPr>
          <w:rFonts w:cs="Times New Roman"/>
          <w:szCs w:val="24"/>
        </w:rPr>
      </w:pPr>
      <w:r w:rsidRPr="008E510B">
        <w:rPr>
          <w:rFonts w:cs="Times New Roman"/>
          <w:szCs w:val="24"/>
        </w:rPr>
        <w:t>Despite the diversity in</w:t>
      </w:r>
      <w:r>
        <w:rPr>
          <w:rFonts w:cs="Times New Roman"/>
          <w:szCs w:val="24"/>
        </w:rPr>
        <w:t xml:space="preserve"> models of </w:t>
      </w:r>
      <w:r w:rsidRPr="008E510B">
        <w:rPr>
          <w:rFonts w:cs="Times New Roman"/>
          <w:szCs w:val="24"/>
        </w:rPr>
        <w:t>provi</w:t>
      </w:r>
      <w:r>
        <w:rPr>
          <w:rFonts w:cs="Times New Roman"/>
          <w:szCs w:val="24"/>
        </w:rPr>
        <w:t xml:space="preserve">ding </w:t>
      </w:r>
      <w:r w:rsidRPr="008E510B">
        <w:rPr>
          <w:rFonts w:cs="Times New Roman"/>
          <w:szCs w:val="24"/>
        </w:rPr>
        <w:t>care, the starting point is the same for all countries</w:t>
      </w:r>
      <w:r>
        <w:rPr>
          <w:rFonts w:cs="Times New Roman"/>
          <w:szCs w:val="24"/>
        </w:rPr>
        <w:t>:</w:t>
      </w:r>
      <w:r w:rsidRPr="008E510B">
        <w:rPr>
          <w:rFonts w:cs="Times New Roman"/>
          <w:szCs w:val="24"/>
        </w:rPr>
        <w:t xml:space="preserve"> ensur</w:t>
      </w:r>
      <w:r>
        <w:rPr>
          <w:rFonts w:cs="Times New Roman"/>
          <w:szCs w:val="24"/>
        </w:rPr>
        <w:t>ing</w:t>
      </w:r>
      <w:r w:rsidRPr="008E510B">
        <w:rPr>
          <w:rFonts w:cs="Times New Roman"/>
          <w:szCs w:val="24"/>
        </w:rPr>
        <w:t xml:space="preserve"> that every woman, everywhere, delivers in a safe environment. We believe each country needs a clear national statement of what care needs to be provided to pregnant women, what constitutes routine care for uncomplicated deliveries, what mechanisms are required to respond on a timely basis </w:t>
      </w:r>
      <w:r>
        <w:rPr>
          <w:rFonts w:cs="Times New Roman"/>
          <w:szCs w:val="24"/>
        </w:rPr>
        <w:t>to</w:t>
      </w:r>
      <w:r w:rsidRPr="008E510B">
        <w:rPr>
          <w:rFonts w:cs="Times New Roman"/>
          <w:szCs w:val="24"/>
        </w:rPr>
        <w:t xml:space="preserve"> complicated deliveries, including referral linkages</w:t>
      </w:r>
      <w:r>
        <w:rPr>
          <w:rFonts w:cs="Times New Roman"/>
          <w:szCs w:val="24"/>
        </w:rPr>
        <w:t>. Countries then need</w:t>
      </w:r>
      <w:r w:rsidRPr="008E510B">
        <w:rPr>
          <w:rFonts w:cs="Times New Roman"/>
          <w:szCs w:val="24"/>
        </w:rPr>
        <w:t xml:space="preserve"> to critically compare this with their present situation using tools such as facility </w:t>
      </w:r>
      <w:r>
        <w:rPr>
          <w:rFonts w:cs="Times New Roman"/>
          <w:szCs w:val="24"/>
        </w:rPr>
        <w:t xml:space="preserve">and population-based </w:t>
      </w:r>
      <w:r w:rsidRPr="008E510B">
        <w:rPr>
          <w:rFonts w:cs="Times New Roman"/>
          <w:szCs w:val="24"/>
        </w:rPr>
        <w:t xml:space="preserve">surveys, or routine information systems. See Supplementary Figure </w:t>
      </w:r>
      <w:r>
        <w:rPr>
          <w:rFonts w:cs="Times New Roman"/>
          <w:szCs w:val="24"/>
        </w:rPr>
        <w:t>2</w:t>
      </w:r>
      <w:r w:rsidRPr="008E510B">
        <w:rPr>
          <w:rFonts w:cs="Times New Roman"/>
          <w:szCs w:val="24"/>
        </w:rPr>
        <w:t xml:space="preserve"> for priority actions to improve facility capabilities.</w:t>
      </w:r>
    </w:p>
    <w:p w:rsidR="00F067F1" w:rsidRPr="008E510B" w:rsidRDefault="00F067F1" w:rsidP="00166072">
      <w:pPr>
        <w:pStyle w:val="Heading2"/>
        <w:rPr>
          <w:rFonts w:cs="Times New Roman"/>
          <w:szCs w:val="24"/>
        </w:rPr>
      </w:pPr>
      <w:r w:rsidRPr="008E510B">
        <w:rPr>
          <w:rFonts w:cs="Times New Roman"/>
          <w:szCs w:val="24"/>
        </w:rPr>
        <w:t>Priority Action 1.2: Build linkages within and between maternal</w:t>
      </w:r>
      <w:r>
        <w:rPr>
          <w:rFonts w:cs="Times New Roman"/>
          <w:szCs w:val="24"/>
        </w:rPr>
        <w:t>-perinatal</w:t>
      </w:r>
      <w:r w:rsidRPr="008E510B">
        <w:rPr>
          <w:rFonts w:cs="Times New Roman"/>
          <w:szCs w:val="24"/>
        </w:rPr>
        <w:t xml:space="preserve"> and other health care services to address the increasing diversity of the burden of poor maternal health</w:t>
      </w:r>
    </w:p>
    <w:p w:rsidR="00F067F1" w:rsidRPr="008E510B" w:rsidRDefault="00F067F1" w:rsidP="00853572">
      <w:pPr>
        <w:rPr>
          <w:rFonts w:eastAsia="Times New Roman" w:cs="Times New Roman"/>
          <w:szCs w:val="24"/>
        </w:rPr>
      </w:pPr>
      <w:r>
        <w:rPr>
          <w:rFonts w:eastAsia="Times New Roman" w:cs="Times New Roman"/>
          <w:szCs w:val="24"/>
        </w:rPr>
        <w:t>E</w:t>
      </w:r>
      <w:r w:rsidRPr="008E510B">
        <w:rPr>
          <w:rFonts w:eastAsia="Times New Roman" w:cs="Times New Roman"/>
          <w:szCs w:val="24"/>
        </w:rPr>
        <w:t xml:space="preserve">ffective </w:t>
      </w:r>
      <w:r>
        <w:rPr>
          <w:rFonts w:eastAsia="Times New Roman" w:cs="Times New Roman"/>
          <w:szCs w:val="24"/>
        </w:rPr>
        <w:t xml:space="preserve">clinical </w:t>
      </w:r>
      <w:r w:rsidRPr="008E510B">
        <w:rPr>
          <w:rFonts w:eastAsia="Times New Roman" w:cs="Times New Roman"/>
          <w:szCs w:val="24"/>
        </w:rPr>
        <w:t xml:space="preserve">interventions for direct causes of maternal death are well-known </w:t>
      </w:r>
      <w:r>
        <w:rPr>
          <w:rFonts w:eastAsia="Times New Roman" w:cs="Times New Roman"/>
          <w:szCs w:val="24"/>
        </w:rPr>
        <w:t>(Figure 1),</w:t>
      </w:r>
      <w:r w:rsidRPr="008E510B">
        <w:rPr>
          <w:rFonts w:eastAsia="Times New Roman" w:cs="Times New Roman"/>
          <w:szCs w:val="24"/>
        </w:rPr>
        <w:t xml:space="preserve"> </w:t>
      </w:r>
      <w:r>
        <w:rPr>
          <w:rFonts w:eastAsia="Times New Roman" w:cs="Times New Roman"/>
          <w:szCs w:val="24"/>
        </w:rPr>
        <w:t xml:space="preserve">but </w:t>
      </w:r>
      <w:r w:rsidRPr="008E510B">
        <w:rPr>
          <w:rFonts w:eastAsia="Times New Roman" w:cs="Times New Roman"/>
          <w:szCs w:val="24"/>
        </w:rPr>
        <w:t>achieving better outcomes globally also requires address</w:t>
      </w:r>
      <w:r>
        <w:rPr>
          <w:rFonts w:eastAsia="Times New Roman" w:cs="Times New Roman"/>
          <w:szCs w:val="24"/>
        </w:rPr>
        <w:t>ing</w:t>
      </w:r>
      <w:r w:rsidRPr="008E510B">
        <w:rPr>
          <w:rFonts w:eastAsia="Times New Roman" w:cs="Times New Roman"/>
          <w:szCs w:val="24"/>
        </w:rPr>
        <w:t xml:space="preserve"> the increasing burden of indirect causes of maternal morbidity and mortality.</w:t>
      </w:r>
      <w:r w:rsidRPr="0017191C">
        <w:rPr>
          <w:rFonts w:eastAsia="Times New Roman" w:cs="Times New Roman"/>
          <w:noProof/>
          <w:szCs w:val="24"/>
          <w:vertAlign w:val="superscript"/>
        </w:rPr>
        <w:t>10</w:t>
      </w:r>
      <w:r w:rsidRPr="008E510B">
        <w:rPr>
          <w:rFonts w:eastAsia="Times New Roman" w:cs="Times New Roman"/>
          <w:szCs w:val="24"/>
        </w:rPr>
        <w:t xml:space="preserve"> This involves </w:t>
      </w:r>
      <w:r>
        <w:rPr>
          <w:rFonts w:eastAsia="Times New Roman" w:cs="Times New Roman"/>
          <w:szCs w:val="24"/>
        </w:rPr>
        <w:t xml:space="preserve">clarity on interventions, and </w:t>
      </w:r>
      <w:r w:rsidRPr="008E510B">
        <w:rPr>
          <w:rFonts w:eastAsia="Times New Roman" w:cs="Times New Roman"/>
          <w:szCs w:val="24"/>
        </w:rPr>
        <w:t xml:space="preserve">integration with other facets of the health system, from </w:t>
      </w:r>
      <w:r>
        <w:rPr>
          <w:rFonts w:eastAsia="Times New Roman" w:cs="Times New Roman"/>
          <w:szCs w:val="24"/>
        </w:rPr>
        <w:t xml:space="preserve">prevention, to </w:t>
      </w:r>
      <w:r w:rsidRPr="008E510B">
        <w:rPr>
          <w:rFonts w:eastAsia="Times New Roman" w:cs="Times New Roman"/>
          <w:szCs w:val="24"/>
        </w:rPr>
        <w:t>primary care</w:t>
      </w:r>
      <w:r>
        <w:rPr>
          <w:rFonts w:eastAsia="Times New Roman" w:cs="Times New Roman"/>
          <w:szCs w:val="24"/>
        </w:rPr>
        <w:t>,</w:t>
      </w:r>
      <w:r w:rsidRPr="008E510B">
        <w:rPr>
          <w:rFonts w:eastAsia="Times New Roman" w:cs="Times New Roman"/>
          <w:szCs w:val="24"/>
        </w:rPr>
        <w:t xml:space="preserve"> to </w:t>
      </w:r>
      <w:r>
        <w:rPr>
          <w:rFonts w:eastAsia="Times New Roman" w:cs="Times New Roman"/>
          <w:szCs w:val="24"/>
        </w:rPr>
        <w:t>tertiary-</w:t>
      </w:r>
      <w:r w:rsidRPr="008E510B">
        <w:rPr>
          <w:rFonts w:eastAsia="Times New Roman" w:cs="Times New Roman"/>
          <w:szCs w:val="24"/>
        </w:rPr>
        <w:t xml:space="preserve">facility networks. </w:t>
      </w:r>
    </w:p>
    <w:p w:rsidR="00F067F1" w:rsidRPr="008E510B" w:rsidRDefault="00F067F1" w:rsidP="00853572">
      <w:pPr>
        <w:rPr>
          <w:rFonts w:eastAsia="Times New Roman" w:cs="Times New Roman"/>
          <w:szCs w:val="24"/>
        </w:rPr>
      </w:pPr>
      <w:r w:rsidRPr="008E510B">
        <w:rPr>
          <w:rFonts w:eastAsia="Times New Roman" w:cs="Times New Roman"/>
          <w:szCs w:val="24"/>
        </w:rPr>
        <w:t>In sub-Saharan Africa, infectious diseases, such as malaria and HIV, tak</w:t>
      </w:r>
      <w:r>
        <w:rPr>
          <w:rFonts w:eastAsia="Times New Roman" w:cs="Times New Roman"/>
          <w:szCs w:val="24"/>
        </w:rPr>
        <w:t>e</w:t>
      </w:r>
      <w:r w:rsidRPr="008E510B">
        <w:rPr>
          <w:rFonts w:eastAsia="Times New Roman" w:cs="Times New Roman"/>
          <w:szCs w:val="24"/>
        </w:rPr>
        <w:t xml:space="preserve"> their toll on maternal health, </w:t>
      </w:r>
      <w:r>
        <w:rPr>
          <w:rFonts w:eastAsia="Times New Roman" w:cs="Times New Roman"/>
          <w:szCs w:val="24"/>
        </w:rPr>
        <w:t xml:space="preserve">and </w:t>
      </w:r>
      <w:r w:rsidRPr="008E510B">
        <w:rPr>
          <w:rFonts w:eastAsia="Times New Roman" w:cs="Times New Roman"/>
          <w:szCs w:val="24"/>
        </w:rPr>
        <w:t>contribut</w:t>
      </w:r>
      <w:r>
        <w:rPr>
          <w:rFonts w:eastAsia="Times New Roman" w:cs="Times New Roman"/>
          <w:szCs w:val="24"/>
        </w:rPr>
        <w:t xml:space="preserve">e </w:t>
      </w:r>
      <w:r w:rsidRPr="008E510B">
        <w:rPr>
          <w:rFonts w:eastAsia="Times New Roman" w:cs="Times New Roman"/>
          <w:szCs w:val="24"/>
        </w:rPr>
        <w:t xml:space="preserve">to the burden of </w:t>
      </w:r>
      <w:r>
        <w:rPr>
          <w:rFonts w:eastAsia="Times New Roman" w:cs="Times New Roman"/>
          <w:szCs w:val="24"/>
        </w:rPr>
        <w:t xml:space="preserve">perinatal </w:t>
      </w:r>
      <w:r w:rsidRPr="008E510B">
        <w:rPr>
          <w:rFonts w:eastAsia="Times New Roman" w:cs="Times New Roman"/>
          <w:szCs w:val="24"/>
        </w:rPr>
        <w:t>deaths.</w:t>
      </w:r>
      <w:r w:rsidRPr="00FF525B">
        <w:rPr>
          <w:rFonts w:eastAsia="Times New Roman" w:cs="Times New Roman"/>
          <w:noProof/>
          <w:szCs w:val="24"/>
          <w:vertAlign w:val="superscript"/>
        </w:rPr>
        <w:t>18, 31-33</w:t>
      </w:r>
      <w:r w:rsidRPr="008E510B">
        <w:rPr>
          <w:rFonts w:eastAsia="Times New Roman" w:cs="Times New Roman"/>
          <w:szCs w:val="24"/>
        </w:rPr>
        <w:t xml:space="preserve"> </w:t>
      </w:r>
      <w:r w:rsidRPr="008E510B">
        <w:rPr>
          <w:rFonts w:cs="Times New Roman"/>
          <w:szCs w:val="24"/>
        </w:rPr>
        <w:t xml:space="preserve">In settings with </w:t>
      </w:r>
      <w:r>
        <w:rPr>
          <w:rFonts w:cs="Times New Roman"/>
          <w:szCs w:val="24"/>
        </w:rPr>
        <w:t xml:space="preserve">fewer </w:t>
      </w:r>
      <w:r w:rsidRPr="008E510B">
        <w:rPr>
          <w:rFonts w:cs="Times New Roman"/>
          <w:szCs w:val="24"/>
        </w:rPr>
        <w:t>of these infectious diseases</w:t>
      </w:r>
      <w:r>
        <w:rPr>
          <w:rFonts w:cs="Times New Roman"/>
          <w:szCs w:val="24"/>
        </w:rPr>
        <w:t>,</w:t>
      </w:r>
      <w:r w:rsidRPr="008E510B">
        <w:rPr>
          <w:rFonts w:cs="Times New Roman"/>
          <w:szCs w:val="24"/>
        </w:rPr>
        <w:t xml:space="preserve"> or fewer deaths due to traditional direct causes, non-communicable diseases (NCDs) and mental health </w:t>
      </w:r>
      <w:r>
        <w:rPr>
          <w:rFonts w:cs="Times New Roman"/>
          <w:szCs w:val="24"/>
        </w:rPr>
        <w:t>become</w:t>
      </w:r>
      <w:r w:rsidRPr="008E510B">
        <w:rPr>
          <w:rFonts w:cs="Times New Roman"/>
          <w:szCs w:val="24"/>
        </w:rPr>
        <w:t xml:space="preserve"> more prominent, </w:t>
      </w:r>
      <w:r>
        <w:rPr>
          <w:rFonts w:cs="Times New Roman"/>
          <w:szCs w:val="24"/>
        </w:rPr>
        <w:t xml:space="preserve">often </w:t>
      </w:r>
      <w:r w:rsidRPr="008E510B">
        <w:rPr>
          <w:rFonts w:cs="Times New Roman"/>
          <w:szCs w:val="24"/>
        </w:rPr>
        <w:t xml:space="preserve">related to </w:t>
      </w:r>
      <w:r>
        <w:rPr>
          <w:rFonts w:cs="Times New Roman"/>
          <w:szCs w:val="24"/>
        </w:rPr>
        <w:t>older-</w:t>
      </w:r>
      <w:r w:rsidRPr="008E510B">
        <w:rPr>
          <w:rFonts w:cs="Times New Roman"/>
          <w:szCs w:val="24"/>
        </w:rPr>
        <w:t>ag</w:t>
      </w:r>
      <w:r>
        <w:rPr>
          <w:rFonts w:cs="Times New Roman"/>
          <w:szCs w:val="24"/>
        </w:rPr>
        <w:t>e</w:t>
      </w:r>
      <w:r w:rsidRPr="008E510B">
        <w:rPr>
          <w:rFonts w:cs="Times New Roman"/>
          <w:szCs w:val="24"/>
        </w:rPr>
        <w:t xml:space="preserve"> mothers and obesity.</w:t>
      </w:r>
      <w:r w:rsidRPr="00FF525B">
        <w:rPr>
          <w:rFonts w:cs="Times New Roman"/>
          <w:noProof/>
          <w:szCs w:val="24"/>
          <w:vertAlign w:val="superscript"/>
        </w:rPr>
        <w:t>9, 10, 34</w:t>
      </w:r>
      <w:hyperlink w:anchor="_ENREF_18" w:tooltip="GBD Risk Factors Collaborators, 2015 #19" w:history="1"/>
      <w:r w:rsidRPr="008E510B">
        <w:rPr>
          <w:rFonts w:cs="Times New Roman"/>
          <w:szCs w:val="24"/>
        </w:rPr>
        <w:t xml:space="preserve"> </w:t>
      </w:r>
    </w:p>
    <w:p w:rsidR="00F067F1" w:rsidRPr="008E510B" w:rsidRDefault="00F067F1" w:rsidP="00853572">
      <w:pPr>
        <w:rPr>
          <w:rFonts w:cs="Times New Roman"/>
          <w:szCs w:val="24"/>
        </w:rPr>
      </w:pPr>
      <w:r w:rsidRPr="008E510B">
        <w:rPr>
          <w:rFonts w:eastAsia="Times New Roman" w:cs="Times New Roman"/>
          <w:szCs w:val="24"/>
        </w:rPr>
        <w:t xml:space="preserve">In </w:t>
      </w:r>
      <w:r>
        <w:rPr>
          <w:rFonts w:eastAsia="Times New Roman" w:cs="Times New Roman"/>
          <w:szCs w:val="24"/>
        </w:rPr>
        <w:t>such</w:t>
      </w:r>
      <w:r w:rsidRPr="008E510B">
        <w:rPr>
          <w:rFonts w:eastAsia="Times New Roman" w:cs="Times New Roman"/>
          <w:szCs w:val="24"/>
        </w:rPr>
        <w:t xml:space="preserve"> contexts, </w:t>
      </w:r>
      <w:r>
        <w:rPr>
          <w:rFonts w:eastAsia="Times New Roman" w:cs="Times New Roman"/>
          <w:szCs w:val="24"/>
        </w:rPr>
        <w:t xml:space="preserve">if prevention is unsuccessful, </w:t>
      </w:r>
      <w:r w:rsidRPr="008E510B">
        <w:rPr>
          <w:rFonts w:eastAsia="Times New Roman" w:cs="Times New Roman"/>
          <w:szCs w:val="24"/>
        </w:rPr>
        <w:t xml:space="preserve">effectiveness of maternity services will increasingly </w:t>
      </w:r>
      <w:r>
        <w:rPr>
          <w:rFonts w:eastAsia="Times New Roman" w:cs="Times New Roman"/>
          <w:szCs w:val="24"/>
        </w:rPr>
        <w:t xml:space="preserve">require integration </w:t>
      </w:r>
      <w:r w:rsidRPr="008E510B">
        <w:rPr>
          <w:rFonts w:eastAsia="Times New Roman" w:cs="Times New Roman"/>
          <w:szCs w:val="24"/>
        </w:rPr>
        <w:t>across health care services</w:t>
      </w:r>
      <w:r>
        <w:rPr>
          <w:rFonts w:eastAsia="Times New Roman" w:cs="Times New Roman"/>
          <w:szCs w:val="24"/>
        </w:rPr>
        <w:t>,</w:t>
      </w:r>
      <w:r w:rsidRPr="008E510B">
        <w:rPr>
          <w:rFonts w:eastAsia="Times New Roman" w:cs="Times New Roman"/>
          <w:szCs w:val="24"/>
        </w:rPr>
        <w:t xml:space="preserve"> and linkages between levels of care. </w:t>
      </w:r>
      <w:r w:rsidRPr="008E510B">
        <w:rPr>
          <w:rFonts w:cs="Times New Roman"/>
          <w:szCs w:val="24"/>
        </w:rPr>
        <w:t>What this approach look</w:t>
      </w:r>
      <w:r>
        <w:rPr>
          <w:rFonts w:cs="Times New Roman"/>
          <w:szCs w:val="24"/>
        </w:rPr>
        <w:t>s</w:t>
      </w:r>
      <w:r w:rsidRPr="008E510B">
        <w:rPr>
          <w:rFonts w:cs="Times New Roman"/>
          <w:szCs w:val="24"/>
        </w:rPr>
        <w:t xml:space="preserve"> like will vary by context. In low-income, high-burden settings, some of these services are unavailable, and funding and programming silos fragment </w:t>
      </w:r>
      <w:r>
        <w:rPr>
          <w:rFonts w:cs="Times New Roman"/>
          <w:szCs w:val="24"/>
        </w:rPr>
        <w:t>others</w:t>
      </w:r>
      <w:r w:rsidRPr="008E510B">
        <w:rPr>
          <w:rFonts w:cs="Times New Roman"/>
          <w:szCs w:val="24"/>
        </w:rPr>
        <w:t xml:space="preserve">: HIV/AIDS, tuberculosis and malaria resources </w:t>
      </w:r>
      <w:r>
        <w:rPr>
          <w:rFonts w:cs="Times New Roman"/>
          <w:szCs w:val="24"/>
        </w:rPr>
        <w:t xml:space="preserve">should be required to </w:t>
      </w:r>
      <w:r w:rsidRPr="008E510B">
        <w:rPr>
          <w:rFonts w:cs="Times New Roman"/>
          <w:szCs w:val="24"/>
        </w:rPr>
        <w:t>effectively link with maternity services.</w:t>
      </w:r>
      <w:r w:rsidRPr="0017191C">
        <w:rPr>
          <w:rFonts w:cs="Times New Roman"/>
          <w:noProof/>
          <w:szCs w:val="24"/>
          <w:vertAlign w:val="superscript"/>
        </w:rPr>
        <w:t>35</w:t>
      </w:r>
      <w:r w:rsidRPr="008E510B">
        <w:rPr>
          <w:rFonts w:cs="Times New Roman"/>
          <w:szCs w:val="24"/>
        </w:rPr>
        <w:t xml:space="preserve"> </w:t>
      </w:r>
    </w:p>
    <w:p w:rsidR="00F067F1" w:rsidRPr="008E510B" w:rsidRDefault="00F067F1" w:rsidP="00C34CE4">
      <w:pPr>
        <w:rPr>
          <w:rFonts w:cs="Times New Roman"/>
          <w:szCs w:val="24"/>
        </w:rPr>
      </w:pPr>
      <w:r w:rsidRPr="008E510B">
        <w:rPr>
          <w:rFonts w:cs="Times New Roman"/>
          <w:szCs w:val="24"/>
        </w:rPr>
        <w:t>A substantial patient-safety literature identifies movement between services as a critical point when care breaks down. For example, anti-retroviral therapy protocols for HIV+ women identified via ANC screening were adapted to require fewer visits to ensure high coverage of prevention of mother-to-child transmission in the limited time-window before delivery.</w:t>
      </w:r>
      <w:r w:rsidRPr="0017191C">
        <w:rPr>
          <w:rFonts w:cs="Times New Roman"/>
          <w:noProof/>
          <w:szCs w:val="24"/>
          <w:vertAlign w:val="superscript"/>
        </w:rPr>
        <w:t>36</w:t>
      </w:r>
      <w:r w:rsidRPr="008E510B">
        <w:rPr>
          <w:rFonts w:cs="Times New Roman"/>
          <w:szCs w:val="24"/>
        </w:rPr>
        <w:t xml:space="preserve"> Reduc</w:t>
      </w:r>
      <w:r>
        <w:rPr>
          <w:rFonts w:cs="Times New Roman"/>
          <w:szCs w:val="24"/>
        </w:rPr>
        <w:t>ing</w:t>
      </w:r>
      <w:r w:rsidRPr="008E510B">
        <w:rPr>
          <w:rFonts w:cs="Times New Roman"/>
          <w:szCs w:val="24"/>
        </w:rPr>
        <w:t xml:space="preserve"> maternal </w:t>
      </w:r>
      <w:r>
        <w:rPr>
          <w:rFonts w:cs="Times New Roman"/>
          <w:szCs w:val="24"/>
        </w:rPr>
        <w:t xml:space="preserve">and perinatal </w:t>
      </w:r>
      <w:r w:rsidRPr="008E510B">
        <w:rPr>
          <w:rFonts w:cs="Times New Roman"/>
          <w:szCs w:val="24"/>
        </w:rPr>
        <w:t>deaths attributable to eclampsia/ pre-eclampsia requires</w:t>
      </w:r>
      <w:r>
        <w:rPr>
          <w:rFonts w:cs="Times New Roman"/>
          <w:szCs w:val="24"/>
        </w:rPr>
        <w:t xml:space="preserve"> </w:t>
      </w:r>
      <w:r w:rsidRPr="008E510B">
        <w:rPr>
          <w:rFonts w:cs="Times New Roman"/>
          <w:szCs w:val="24"/>
        </w:rPr>
        <w:t>functional linkages between antenatal care and hospital-based services.</w:t>
      </w:r>
      <w:r w:rsidRPr="0017191C">
        <w:rPr>
          <w:rFonts w:cs="Times New Roman"/>
          <w:noProof/>
          <w:szCs w:val="24"/>
          <w:vertAlign w:val="superscript"/>
        </w:rPr>
        <w:t>37</w:t>
      </w:r>
      <w:r w:rsidRPr="008E510B">
        <w:rPr>
          <w:rFonts w:cs="Times New Roman"/>
          <w:szCs w:val="24"/>
        </w:rPr>
        <w:t xml:space="preserve"> </w:t>
      </w:r>
      <w:r>
        <w:rPr>
          <w:rFonts w:cs="Times New Roman"/>
          <w:szCs w:val="24"/>
        </w:rPr>
        <w:t>T</w:t>
      </w:r>
      <w:r w:rsidRPr="008E510B">
        <w:rPr>
          <w:rFonts w:cs="Times New Roman"/>
          <w:szCs w:val="24"/>
        </w:rPr>
        <w:t>he call-to-action for the Lancet Stillbirth series,</w:t>
      </w:r>
      <w:r>
        <w:rPr>
          <w:rFonts w:cs="Times New Roman"/>
          <w:szCs w:val="24"/>
        </w:rPr>
        <w:t xml:space="preserve"> echoes</w:t>
      </w:r>
      <w:r w:rsidRPr="008E510B">
        <w:rPr>
          <w:rFonts w:cs="Times New Roman"/>
          <w:szCs w:val="24"/>
        </w:rPr>
        <w:t xml:space="preserve"> the importance of coherent integrated action across services to improve maternal, newborn and stillbirth outcomes.</w:t>
      </w:r>
      <w:r w:rsidRPr="0017191C">
        <w:rPr>
          <w:rFonts w:cs="Times New Roman"/>
          <w:noProof/>
          <w:szCs w:val="24"/>
          <w:vertAlign w:val="superscript"/>
        </w:rPr>
        <w:t>4</w:t>
      </w:r>
      <w:r w:rsidRPr="008E510B">
        <w:rPr>
          <w:rFonts w:cs="Times New Roman"/>
          <w:szCs w:val="24"/>
        </w:rPr>
        <w:t xml:space="preserve"> </w:t>
      </w:r>
      <w:r>
        <w:rPr>
          <w:rFonts w:cs="Times New Roman"/>
          <w:szCs w:val="24"/>
        </w:rPr>
        <w:t xml:space="preserve">Innovative interventions (e.g. new screening tests, high-tech medicine and telemedicine) can provide solutions but also pose challenges for maintaining equity, particularly when costly. </w:t>
      </w:r>
    </w:p>
    <w:p w:rsidR="00F067F1" w:rsidRPr="008A51E3" w:rsidRDefault="00F067F1" w:rsidP="00BD0D26">
      <w:pPr>
        <w:spacing w:after="0"/>
        <w:rPr>
          <w:rFonts w:cs="Times New Roman"/>
          <w:szCs w:val="24"/>
        </w:rPr>
      </w:pPr>
      <w:r w:rsidRPr="008E510B">
        <w:rPr>
          <w:rFonts w:cs="Times New Roman"/>
          <w:szCs w:val="24"/>
        </w:rPr>
        <w:t xml:space="preserve">Local empirical studies are needed to collect basic descriptive data </w:t>
      </w:r>
      <w:r>
        <w:rPr>
          <w:rFonts w:cs="Times New Roman"/>
          <w:szCs w:val="24"/>
        </w:rPr>
        <w:t>on</w:t>
      </w:r>
      <w:r w:rsidRPr="008E510B">
        <w:rPr>
          <w:rFonts w:cs="Times New Roman"/>
          <w:szCs w:val="24"/>
        </w:rPr>
        <w:t xml:space="preserve"> approaches for integrating maternal health care and services for NCDs, infectious diseases, </w:t>
      </w:r>
      <w:r>
        <w:rPr>
          <w:rFonts w:cs="Times New Roman"/>
          <w:szCs w:val="24"/>
        </w:rPr>
        <w:t>mal</w:t>
      </w:r>
      <w:r w:rsidRPr="008E510B">
        <w:rPr>
          <w:rFonts w:cs="Times New Roman"/>
          <w:szCs w:val="24"/>
        </w:rPr>
        <w:t>nutrition and mental health. Implications on staff workload, skill mix and service quality</w:t>
      </w:r>
      <w:r>
        <w:rPr>
          <w:rFonts w:cs="Times New Roman"/>
          <w:szCs w:val="24"/>
        </w:rPr>
        <w:t xml:space="preserve"> of </w:t>
      </w:r>
      <w:r w:rsidRPr="008E510B">
        <w:rPr>
          <w:rFonts w:cs="Times New Roman"/>
          <w:szCs w:val="24"/>
        </w:rPr>
        <w:t>midwives but also of laboratory technicians,</w:t>
      </w:r>
      <w:r>
        <w:rPr>
          <w:rFonts w:cs="Times New Roman"/>
          <w:szCs w:val="24"/>
        </w:rPr>
        <w:t xml:space="preserve"> anesthetists, </w:t>
      </w:r>
      <w:r w:rsidRPr="008E510B">
        <w:rPr>
          <w:rFonts w:cs="Times New Roman"/>
          <w:szCs w:val="24"/>
        </w:rPr>
        <w:t xml:space="preserve">community health workers and supply chain managers, among others, also need </w:t>
      </w:r>
      <w:r>
        <w:rPr>
          <w:rFonts w:cs="Times New Roman"/>
          <w:szCs w:val="24"/>
        </w:rPr>
        <w:t>assessing to understand the implications for woman</w:t>
      </w:r>
      <w:r w:rsidRPr="008E510B">
        <w:rPr>
          <w:rFonts w:cs="Times New Roman"/>
          <w:szCs w:val="24"/>
        </w:rPr>
        <w:t>-centred care. Pre-service training curricula need to be strengthened to ensure health workers’ skills in manag</w:t>
      </w:r>
      <w:r>
        <w:rPr>
          <w:rFonts w:cs="Times New Roman"/>
          <w:szCs w:val="24"/>
        </w:rPr>
        <w:t>ing</w:t>
      </w:r>
      <w:r w:rsidRPr="008E510B">
        <w:rPr>
          <w:rFonts w:cs="Times New Roman"/>
          <w:szCs w:val="24"/>
        </w:rPr>
        <w:t xml:space="preserve"> women with co-morbidities, and that clinical practice guidelines are available and followed.</w:t>
      </w:r>
      <w:r w:rsidRPr="008E510B">
        <w:rPr>
          <w:rFonts w:cs="Times New Roman"/>
          <w:szCs w:val="24"/>
          <w:vertAlign w:val="superscript"/>
        </w:rPr>
        <w:t xml:space="preserve">2 </w:t>
      </w:r>
      <w:r w:rsidRPr="008E510B">
        <w:rPr>
          <w:rFonts w:cs="Times New Roman"/>
          <w:szCs w:val="24"/>
        </w:rPr>
        <w:t xml:space="preserve">Essential drug lists will need to be expanded to include those for indirect morbidities. </w:t>
      </w:r>
    </w:p>
    <w:p w:rsidR="00F067F1" w:rsidRPr="00BD0D26" w:rsidRDefault="00F067F1" w:rsidP="008A51E3">
      <w:pPr>
        <w:pStyle w:val="Heading1"/>
        <w:rPr>
          <w:rFonts w:cs="Times New Roman"/>
          <w:szCs w:val="24"/>
        </w:rPr>
      </w:pPr>
      <w:r w:rsidRPr="008B0153">
        <w:t>Priority 2: Promote equity through universal coverage of quality maternal health services, including for the most vulnerable women</w:t>
      </w:r>
    </w:p>
    <w:p w:rsidR="00F067F1" w:rsidRPr="00F55CBF" w:rsidRDefault="00F067F1" w:rsidP="00BD0D26">
      <w:pPr>
        <w:widowControl w:val="0"/>
        <w:autoSpaceDE w:val="0"/>
        <w:autoSpaceDN w:val="0"/>
        <w:adjustRightInd w:val="0"/>
        <w:spacing w:after="0"/>
        <w:rPr>
          <w:rFonts w:cs="Times New Roman"/>
          <w:szCs w:val="24"/>
          <w:highlight w:val="yellow"/>
          <w:u w:color="262626"/>
        </w:rPr>
      </w:pPr>
      <w:r w:rsidRPr="00BD0D26">
        <w:rPr>
          <w:rFonts w:cs="Times New Roman"/>
          <w:szCs w:val="24"/>
          <w:u w:color="262626"/>
        </w:rPr>
        <w:t>Women everywhere fail to seek care for numerous reasons, including socio-cultural factors such as gender inequality, location due to remoteness or conflict, and financial constraints</w:t>
      </w:r>
      <w:r w:rsidRPr="00F55CBF">
        <w:rPr>
          <w:rFonts w:cs="Times New Roman"/>
          <w:szCs w:val="24"/>
          <w:u w:color="262626"/>
        </w:rPr>
        <w:t>.</w:t>
      </w:r>
      <w:r w:rsidRPr="00FF525B">
        <w:rPr>
          <w:rFonts w:cs="Times New Roman"/>
          <w:noProof/>
          <w:szCs w:val="24"/>
          <w:u w:color="262626"/>
          <w:vertAlign w:val="superscript"/>
        </w:rPr>
        <w:t>38-44</w:t>
      </w:r>
      <w:hyperlink w:anchor="_ENREF_38" w:tooltip="Laski, 2015 #134" w:history="1"/>
      <w:r w:rsidRPr="00BD0D26">
        <w:rPr>
          <w:rFonts w:cs="Times New Roman"/>
          <w:szCs w:val="24"/>
          <w:u w:color="262626"/>
        </w:rPr>
        <w:t xml:space="preserve"> These three major access barriers require immediate priority attention. </w:t>
      </w:r>
    </w:p>
    <w:p w:rsidR="00F067F1" w:rsidRPr="00BD0D26" w:rsidRDefault="00F067F1" w:rsidP="00BD0D26">
      <w:pPr>
        <w:widowControl w:val="0"/>
        <w:autoSpaceDE w:val="0"/>
        <w:autoSpaceDN w:val="0"/>
        <w:adjustRightInd w:val="0"/>
        <w:spacing w:after="0"/>
        <w:rPr>
          <w:rFonts w:cs="Times New Roman"/>
          <w:szCs w:val="24"/>
          <w:u w:color="262626"/>
        </w:rPr>
      </w:pPr>
    </w:p>
    <w:p w:rsidR="00F067F1" w:rsidRPr="00BD0D26" w:rsidRDefault="00F067F1" w:rsidP="008E510B">
      <w:pPr>
        <w:widowControl w:val="0"/>
        <w:autoSpaceDE w:val="0"/>
        <w:autoSpaceDN w:val="0"/>
        <w:adjustRightInd w:val="0"/>
        <w:rPr>
          <w:rFonts w:cs="Times New Roman"/>
          <w:szCs w:val="24"/>
          <w:u w:color="262626"/>
        </w:rPr>
      </w:pPr>
      <w:r w:rsidRPr="00BD0D26">
        <w:rPr>
          <w:rFonts w:cs="Times New Roman"/>
          <w:szCs w:val="24"/>
        </w:rPr>
        <w:t>Gender inequality reflects power imbalances between men and women both within the household and in the wider societal context</w:t>
      </w:r>
      <w:r w:rsidRPr="00FF525B">
        <w:rPr>
          <w:rFonts w:cs="Times New Roman"/>
          <w:noProof/>
          <w:szCs w:val="24"/>
          <w:vertAlign w:val="superscript"/>
        </w:rPr>
        <w:t>45</w:t>
      </w:r>
      <w:r>
        <w:t xml:space="preserve"> </w:t>
      </w:r>
      <w:r w:rsidRPr="00BD0D26">
        <w:rPr>
          <w:rFonts w:cs="Times New Roman"/>
          <w:szCs w:val="24"/>
        </w:rPr>
        <w:t>and is both defined and perpetuated by socio-cultural norms.</w:t>
      </w:r>
    </w:p>
    <w:p w:rsidR="00F067F1" w:rsidRDefault="00F067F1" w:rsidP="0017191C">
      <w:pPr>
        <w:widowControl w:val="0"/>
        <w:autoSpaceDE w:val="0"/>
        <w:autoSpaceDN w:val="0"/>
        <w:adjustRightInd w:val="0"/>
        <w:spacing w:after="0"/>
        <w:rPr>
          <w:rFonts w:cs="Times New Roman"/>
          <w:szCs w:val="24"/>
          <w:u w:color="262626"/>
        </w:rPr>
      </w:pPr>
      <w:r w:rsidRPr="00BD0D26">
        <w:rPr>
          <w:rFonts w:cs="Times New Roman"/>
          <w:szCs w:val="24"/>
        </w:rPr>
        <w:t xml:space="preserve">Documented to varying degrees </w:t>
      </w:r>
      <w:r w:rsidRPr="00BD0D26">
        <w:rPr>
          <w:rFonts w:cs="Times New Roman"/>
          <w:szCs w:val="24"/>
          <w:u w:color="262626"/>
        </w:rPr>
        <w:t>in every country around the world,</w:t>
      </w:r>
      <w:r w:rsidRPr="00FF525B">
        <w:rPr>
          <w:rFonts w:cs="Times New Roman"/>
          <w:noProof/>
          <w:szCs w:val="24"/>
          <w:u w:color="262626"/>
          <w:vertAlign w:val="superscript"/>
        </w:rPr>
        <w:t>46</w:t>
      </w:r>
      <w:r w:rsidRPr="00BD0D26">
        <w:rPr>
          <w:rFonts w:cs="Times New Roman"/>
          <w:szCs w:val="24"/>
          <w:u w:color="262626"/>
        </w:rPr>
        <w:t xml:space="preserve"> </w:t>
      </w:r>
      <w:r w:rsidRPr="00BD0D26">
        <w:rPr>
          <w:rFonts w:cs="Times New Roman"/>
          <w:szCs w:val="24"/>
        </w:rPr>
        <w:t xml:space="preserve">gender disparities </w:t>
      </w:r>
      <w:r w:rsidRPr="00BD0D26">
        <w:rPr>
          <w:rFonts w:cs="Times New Roman"/>
          <w:szCs w:val="24"/>
          <w:u w:color="262626"/>
        </w:rPr>
        <w:t>affect women and maternal health through pathways directly</w:t>
      </w:r>
      <w:r w:rsidRPr="00FF525B">
        <w:rPr>
          <w:rFonts w:cs="Times New Roman"/>
          <w:noProof/>
          <w:szCs w:val="24"/>
          <w:u w:color="262626"/>
          <w:vertAlign w:val="superscript"/>
        </w:rPr>
        <w:t>47</w:t>
      </w:r>
      <w:r w:rsidRPr="00BD0D26">
        <w:rPr>
          <w:rFonts w:cs="Times New Roman"/>
          <w:szCs w:val="24"/>
          <w:u w:color="262626"/>
        </w:rPr>
        <w:t xml:space="preserve"> (early marriage and childbearing, decision making about care seeking, costs of care, types of care sought) and indirectly</w:t>
      </w:r>
      <w:r w:rsidRPr="00FF525B">
        <w:rPr>
          <w:rFonts w:cs="Times New Roman"/>
          <w:noProof/>
          <w:szCs w:val="24"/>
          <w:u w:color="262626"/>
          <w:vertAlign w:val="superscript"/>
        </w:rPr>
        <w:t>48</w:t>
      </w:r>
      <w:r w:rsidRPr="00D62AD0">
        <w:rPr>
          <w:rFonts w:cs="Times New Roman"/>
          <w:szCs w:val="24"/>
          <w:u w:color="262626"/>
          <w:vertAlign w:val="superscript"/>
        </w:rPr>
        <w:t>,</w:t>
      </w:r>
      <w:r w:rsidRPr="00FF525B">
        <w:rPr>
          <w:rFonts w:cs="Times New Roman"/>
          <w:noProof/>
          <w:szCs w:val="24"/>
          <w:u w:color="262626"/>
          <w:vertAlign w:val="superscript"/>
        </w:rPr>
        <w:t>49</w:t>
      </w:r>
      <w:r w:rsidRPr="00BD0D26">
        <w:rPr>
          <w:rFonts w:cs="Times New Roman"/>
          <w:szCs w:val="24"/>
          <w:u w:color="262626"/>
        </w:rPr>
        <w:t xml:space="preserve"> (e.g., education, availability of food). Gender-based violence, one of the most extreme forms of discrimination against women, increases during pregnancy and directly affects maternal and perinatal health.</w:t>
      </w:r>
      <w:r w:rsidRPr="00FF525B">
        <w:rPr>
          <w:rFonts w:cs="Times New Roman"/>
          <w:noProof/>
          <w:szCs w:val="24"/>
          <w:u w:color="262626"/>
          <w:vertAlign w:val="superscript"/>
        </w:rPr>
        <w:t>48</w:t>
      </w:r>
      <w:r>
        <w:rPr>
          <w:rFonts w:cs="Times New Roman"/>
          <w:szCs w:val="24"/>
          <w:u w:color="262626"/>
        </w:rPr>
        <w:t xml:space="preserve"> </w:t>
      </w:r>
      <w:r w:rsidRPr="00BD0D26">
        <w:rPr>
          <w:rFonts w:cs="Times New Roman"/>
          <w:szCs w:val="24"/>
          <w:u w:color="262626"/>
        </w:rPr>
        <w:t>Gender inequality can also affect health-care providers, many of whom are women.</w:t>
      </w:r>
      <w:r w:rsidRPr="00FF525B">
        <w:rPr>
          <w:rFonts w:cs="Times New Roman"/>
          <w:noProof/>
          <w:szCs w:val="24"/>
          <w:u w:color="262626"/>
          <w:vertAlign w:val="superscript"/>
        </w:rPr>
        <w:t>50</w:t>
      </w:r>
      <w:r>
        <w:rPr>
          <w:rFonts w:cs="Times New Roman"/>
          <w:szCs w:val="24"/>
          <w:u w:color="262626"/>
        </w:rPr>
        <w:t xml:space="preserve"> </w:t>
      </w:r>
    </w:p>
    <w:p w:rsidR="00F067F1" w:rsidRPr="00BD0D26" w:rsidRDefault="00F067F1" w:rsidP="0017191C">
      <w:pPr>
        <w:widowControl w:val="0"/>
        <w:autoSpaceDE w:val="0"/>
        <w:autoSpaceDN w:val="0"/>
        <w:adjustRightInd w:val="0"/>
        <w:spacing w:after="0"/>
        <w:rPr>
          <w:rFonts w:ascii="Arial" w:hAnsi="Arial" w:cs="Arial"/>
          <w:sz w:val="22"/>
        </w:rPr>
      </w:pPr>
    </w:p>
    <w:p w:rsidR="00F067F1" w:rsidRPr="00BD0D26" w:rsidRDefault="00F067F1" w:rsidP="008E510B">
      <w:pPr>
        <w:widowControl w:val="0"/>
        <w:autoSpaceDE w:val="0"/>
        <w:autoSpaceDN w:val="0"/>
        <w:adjustRightInd w:val="0"/>
        <w:rPr>
          <w:rFonts w:eastAsia="Times New Roman" w:cs="Times New Roman"/>
          <w:szCs w:val="24"/>
          <w:shd w:val="clear" w:color="auto" w:fill="FFFFFF"/>
        </w:rPr>
      </w:pPr>
      <w:r w:rsidRPr="00BD0D26">
        <w:rPr>
          <w:rFonts w:cs="Times New Roman"/>
          <w:szCs w:val="24"/>
        </w:rPr>
        <w:t>Solutions to gender inequality include access to basic information about maternal, perinatal and reproductive health and care seeking targeted at women, families, communities and providers and a commitment to</w:t>
      </w:r>
      <w:r>
        <w:rPr>
          <w:rFonts w:cs="Times New Roman"/>
          <w:szCs w:val="24"/>
        </w:rPr>
        <w:t xml:space="preserve"> </w:t>
      </w:r>
      <w:r w:rsidRPr="00BD0D26">
        <w:rPr>
          <w:rFonts w:cs="Times New Roman"/>
          <w:szCs w:val="24"/>
        </w:rPr>
        <w:t>humanized services.</w:t>
      </w:r>
      <w:r w:rsidRPr="00FF525B">
        <w:rPr>
          <w:rFonts w:cs="Times New Roman"/>
          <w:noProof/>
          <w:szCs w:val="24"/>
          <w:vertAlign w:val="superscript"/>
        </w:rPr>
        <w:t>51</w:t>
      </w:r>
      <w:r>
        <w:rPr>
          <w:rFonts w:cs="Times New Roman"/>
          <w:szCs w:val="24"/>
        </w:rPr>
        <w:t xml:space="preserve"> </w:t>
      </w:r>
      <w:r w:rsidRPr="00BD0D26">
        <w:rPr>
          <w:rFonts w:cs="Times New Roman"/>
          <w:szCs w:val="24"/>
        </w:rPr>
        <w:t>The roles of men and influential family members, such as mothers-in-law, are key and need to be addressed, to enable women to make informed care choices.</w:t>
      </w:r>
      <w:r>
        <w:rPr>
          <w:rFonts w:cs="Times New Roman"/>
          <w:szCs w:val="24"/>
        </w:rPr>
        <w:t xml:space="preserve"> </w:t>
      </w:r>
      <w:r w:rsidRPr="00BD0D26">
        <w:rPr>
          <w:rFonts w:cs="Times New Roman"/>
          <w:szCs w:val="24"/>
        </w:rPr>
        <w:t>On a limited scale, appropriate mes</w:t>
      </w:r>
      <w:r w:rsidRPr="00BD0D26">
        <w:rPr>
          <w:rFonts w:cs="Times New Roman"/>
          <w:szCs w:val="24"/>
        </w:rPr>
        <w:softHyphen/>
        <w:t>sages shared through mass media, interpersonal counseling, and women’s groups</w:t>
      </w:r>
      <w:r w:rsidRPr="00BD0D26" w:rsidDel="00A95C8F">
        <w:rPr>
          <w:rFonts w:cs="Times New Roman"/>
          <w:szCs w:val="24"/>
        </w:rPr>
        <w:t xml:space="preserve"> </w:t>
      </w:r>
      <w:r w:rsidRPr="00BD0D26">
        <w:rPr>
          <w:rFonts w:cs="Times New Roman"/>
          <w:szCs w:val="24"/>
        </w:rPr>
        <w:t>have improved use of facilities for birth, referral for complications, and reduced maternal morbidities, stillbirths and perinatal mortality.</w:t>
      </w:r>
      <w:r w:rsidRPr="00FF525B">
        <w:rPr>
          <w:rFonts w:cs="Times New Roman"/>
          <w:noProof/>
          <w:szCs w:val="24"/>
          <w:vertAlign w:val="superscript"/>
        </w:rPr>
        <w:t>52-56</w:t>
      </w:r>
      <w:r w:rsidRPr="00BD0D26">
        <w:rPr>
          <w:rFonts w:cs="Times New Roman"/>
          <w:szCs w:val="24"/>
        </w:rPr>
        <w:t xml:space="preserve"> Messages are more effective when involving problem solving</w:t>
      </w:r>
      <w:r w:rsidRPr="00FF525B">
        <w:rPr>
          <w:rFonts w:cs="Times New Roman"/>
          <w:noProof/>
          <w:szCs w:val="24"/>
          <w:vertAlign w:val="superscript"/>
        </w:rPr>
        <w:t>57, 58</w:t>
      </w:r>
      <w:r w:rsidRPr="00BD0D26">
        <w:rPr>
          <w:rFonts w:cs="Times New Roman"/>
          <w:szCs w:val="24"/>
        </w:rPr>
        <w:t xml:space="preserve"> and participatory community engagement.</w:t>
      </w:r>
      <w:r w:rsidRPr="00FF525B">
        <w:rPr>
          <w:rFonts w:cs="Times New Roman"/>
          <w:noProof/>
          <w:szCs w:val="24"/>
          <w:vertAlign w:val="superscript"/>
        </w:rPr>
        <w:t>59</w:t>
      </w:r>
      <w:r w:rsidRPr="00BD0D26">
        <w:rPr>
          <w:rFonts w:cs="Times New Roman"/>
          <w:szCs w:val="24"/>
          <w:vertAlign w:val="superscript"/>
        </w:rPr>
        <w:t>,</w:t>
      </w:r>
      <w:r w:rsidRPr="00FF525B">
        <w:rPr>
          <w:rFonts w:cs="Times New Roman"/>
          <w:noProof/>
          <w:szCs w:val="24"/>
          <w:vertAlign w:val="superscript"/>
        </w:rPr>
        <w:t>57, 60</w:t>
      </w:r>
      <w:r w:rsidRPr="00BD0D26">
        <w:rPr>
          <w:rFonts w:cs="Times New Roman"/>
          <w:szCs w:val="24"/>
          <w:u w:color="262626"/>
        </w:rPr>
        <w:t xml:space="preserve"> Some programs focused on education, employment, and autonomy for women and girls have also shown effectiveness in improving utilization of maternal health services</w:t>
      </w:r>
      <w:r w:rsidRPr="00BD0D26">
        <w:rPr>
          <w:rFonts w:cs="Times New Roman"/>
          <w:szCs w:val="24"/>
        </w:rPr>
        <w:t>.</w:t>
      </w:r>
      <w:r w:rsidRPr="00FF525B">
        <w:rPr>
          <w:rFonts w:cs="Times New Roman"/>
          <w:noProof/>
          <w:szCs w:val="24"/>
          <w:vertAlign w:val="superscript"/>
        </w:rPr>
        <w:t>45</w:t>
      </w:r>
      <w:r>
        <w:rPr>
          <w:rFonts w:cs="Times New Roman"/>
          <w:szCs w:val="24"/>
        </w:rPr>
        <w:t xml:space="preserve"> </w:t>
      </w:r>
    </w:p>
    <w:p w:rsidR="00F067F1" w:rsidRPr="00BD0D26" w:rsidRDefault="00F067F1" w:rsidP="008E510B">
      <w:pPr>
        <w:spacing w:after="0"/>
        <w:rPr>
          <w:rFonts w:cs="Times New Roman"/>
          <w:szCs w:val="24"/>
        </w:rPr>
      </w:pPr>
      <w:r w:rsidRPr="00BD0D26">
        <w:rPr>
          <w:rFonts w:cs="Times New Roman"/>
          <w:szCs w:val="24"/>
          <w:u w:color="262626"/>
        </w:rPr>
        <w:t>Women living in remote areas or in areas of humanitarian crises face other challenges.</w:t>
      </w:r>
      <w:r w:rsidRPr="00FF525B">
        <w:rPr>
          <w:rFonts w:cs="Times New Roman"/>
          <w:noProof/>
          <w:szCs w:val="24"/>
          <w:u w:color="262626"/>
          <w:vertAlign w:val="superscript"/>
        </w:rPr>
        <w:t>38</w:t>
      </w:r>
      <w:r w:rsidRPr="00BD0D26">
        <w:rPr>
          <w:rFonts w:cs="Times New Roman"/>
          <w:szCs w:val="24"/>
          <w:u w:color="262626"/>
        </w:rPr>
        <w:t xml:space="preserve"> </w:t>
      </w:r>
      <w:r w:rsidRPr="00BD0D26">
        <w:rPr>
          <w:rFonts w:cs="Times New Roman"/>
          <w:szCs w:val="24"/>
        </w:rPr>
        <w:t>Rural residence brings the obvious barrier of greater distance to hospitals. Solutions to improve access may include linking women to delivery services during antenatal care, providing maternity waiting homes to bring women closer to services before labour begins, and improved, subsidized transport, including for emergencies.</w:t>
      </w:r>
      <w:r w:rsidRPr="00BD0D26">
        <w:rPr>
          <w:rFonts w:cs="Times New Roman"/>
          <w:szCs w:val="24"/>
          <w:vertAlign w:val="superscript"/>
        </w:rPr>
        <w:t>3</w:t>
      </w:r>
    </w:p>
    <w:p w:rsidR="00F067F1" w:rsidRPr="00BD0D26" w:rsidRDefault="00F067F1" w:rsidP="008E510B">
      <w:pPr>
        <w:spacing w:after="0"/>
        <w:rPr>
          <w:rFonts w:cs="Times New Roman"/>
          <w:szCs w:val="24"/>
        </w:rPr>
      </w:pPr>
    </w:p>
    <w:p w:rsidR="00F067F1" w:rsidRPr="00BD0D26" w:rsidRDefault="00F067F1" w:rsidP="008E510B">
      <w:pPr>
        <w:spacing w:after="0"/>
        <w:rPr>
          <w:rFonts w:cs="Times New Roman"/>
          <w:szCs w:val="24"/>
          <w:u w:color="262626"/>
        </w:rPr>
      </w:pPr>
      <w:r w:rsidRPr="00BD0D26">
        <w:rPr>
          <w:rFonts w:cs="Times New Roman"/>
          <w:szCs w:val="24"/>
        </w:rPr>
        <w:t>Women in areas of humanitarian crises are among the super-vulnerable populations of fragile states.</w:t>
      </w:r>
      <w:r>
        <w:rPr>
          <w:rFonts w:cs="Times New Roman"/>
          <w:i/>
          <w:szCs w:val="24"/>
        </w:rPr>
        <w:t xml:space="preserve"> </w:t>
      </w:r>
      <w:r w:rsidRPr="00BD0D26">
        <w:rPr>
          <w:rFonts w:eastAsiaTheme="minorEastAsia" w:cs="Times New Roman"/>
          <w:szCs w:val="24"/>
        </w:rPr>
        <w:t>Sixteen</w:t>
      </w:r>
      <w:r w:rsidRPr="00FF525B">
        <w:rPr>
          <w:rFonts w:eastAsiaTheme="minorEastAsia" w:cs="Times New Roman"/>
          <w:noProof/>
          <w:szCs w:val="24"/>
          <w:vertAlign w:val="superscript"/>
        </w:rPr>
        <w:t>47</w:t>
      </w:r>
      <w:r w:rsidRPr="00BD0D26">
        <w:rPr>
          <w:rFonts w:eastAsiaTheme="minorEastAsia" w:cs="Times New Roman"/>
          <w:szCs w:val="24"/>
        </w:rPr>
        <w:t xml:space="preserve"> countries are in the high alert category of the Fragile States Index, and in nine, over a third of women reside in conflict areas. Many have high </w:t>
      </w:r>
      <w:r w:rsidRPr="00BD0D26">
        <w:rPr>
          <w:rFonts w:cs="Times New Roman"/>
          <w:szCs w:val="24"/>
        </w:rPr>
        <w:t>MMRs: 60% were either seriously or moderately off target for MDG5.</w:t>
      </w:r>
      <w:r w:rsidRPr="00FF525B">
        <w:rPr>
          <w:rFonts w:cs="Times New Roman"/>
          <w:noProof/>
          <w:szCs w:val="24"/>
          <w:vertAlign w:val="superscript"/>
        </w:rPr>
        <w:t>61</w:t>
      </w:r>
      <w:r w:rsidRPr="00BD0D26">
        <w:rPr>
          <w:rFonts w:cs="Times New Roman"/>
          <w:szCs w:val="24"/>
        </w:rPr>
        <w:t xml:space="preserve"> High f</w:t>
      </w:r>
      <w:r w:rsidRPr="00BD0D26">
        <w:rPr>
          <w:rFonts w:eastAsiaTheme="minorEastAsia" w:cs="Times New Roman"/>
          <w:szCs w:val="24"/>
        </w:rPr>
        <w:t>ertility and unwanted pregnancies are typically common, particularly among adolescents, often caused by sexual violence inflicted as a weapon of war.</w:t>
      </w:r>
      <w:r w:rsidRPr="00FF525B">
        <w:rPr>
          <w:rFonts w:eastAsiaTheme="minorEastAsia" w:cs="Times New Roman"/>
          <w:noProof/>
          <w:szCs w:val="24"/>
          <w:vertAlign w:val="superscript"/>
        </w:rPr>
        <w:t>62</w:t>
      </w:r>
      <w:r w:rsidRPr="00BD0D26">
        <w:rPr>
          <w:rFonts w:eastAsia="Times New Roman" w:cs="Times New Roman"/>
          <w:szCs w:val="24"/>
          <w:shd w:val="clear" w:color="auto" w:fill="FFFFFF"/>
          <w:lang w:val="en-GB"/>
        </w:rPr>
        <w:t xml:space="preserve"> </w:t>
      </w:r>
    </w:p>
    <w:p w:rsidR="00F067F1" w:rsidRPr="00BD0D26" w:rsidRDefault="00F067F1" w:rsidP="008E510B">
      <w:pPr>
        <w:spacing w:after="0"/>
        <w:rPr>
          <w:rFonts w:cs="Times New Roman"/>
          <w:szCs w:val="24"/>
          <w:u w:color="262626"/>
        </w:rPr>
      </w:pPr>
    </w:p>
    <w:p w:rsidR="00F067F1" w:rsidRPr="00BD0D26" w:rsidRDefault="00F067F1" w:rsidP="008E510B">
      <w:pPr>
        <w:spacing w:after="0"/>
        <w:rPr>
          <w:rFonts w:cs="Times New Roman"/>
          <w:szCs w:val="24"/>
        </w:rPr>
      </w:pPr>
      <w:r w:rsidRPr="00BD0D26">
        <w:rPr>
          <w:rFonts w:eastAsiaTheme="minorEastAsia" w:cs="Times New Roman"/>
          <w:szCs w:val="24"/>
        </w:rPr>
        <w:t>In spite of increased need, maternal and reproductive health resources for even basic services such as family planning, obstetric emergencies, and comprehensive abortion care are limited or nonexistent during humanitarian crises, especially in countries with pre-existing weak health systems.</w:t>
      </w:r>
      <w:r w:rsidRPr="00FF525B">
        <w:rPr>
          <w:rFonts w:eastAsiaTheme="minorEastAsia" w:cs="Times New Roman"/>
          <w:noProof/>
          <w:szCs w:val="24"/>
          <w:vertAlign w:val="superscript"/>
        </w:rPr>
        <w:t>63</w:t>
      </w:r>
      <w:r w:rsidRPr="00BD0D26">
        <w:rPr>
          <w:rFonts w:eastAsiaTheme="minorEastAsia" w:cs="Times New Roman"/>
          <w:szCs w:val="24"/>
        </w:rPr>
        <w:t xml:space="preserve"> For example, in the Ebola epidemic, maternal and infant mortality, already high before the outbreak, increased significantly during the crisis.</w:t>
      </w:r>
      <w:r w:rsidRPr="00FF525B">
        <w:rPr>
          <w:rFonts w:eastAsiaTheme="minorEastAsia" w:cs="Times New Roman"/>
          <w:noProof/>
          <w:szCs w:val="24"/>
          <w:vertAlign w:val="superscript"/>
        </w:rPr>
        <w:t>64</w:t>
      </w:r>
      <w:r w:rsidRPr="00BD0D26">
        <w:rPr>
          <w:rFonts w:eastAsiaTheme="minorEastAsia" w:cs="Times New Roman"/>
          <w:szCs w:val="24"/>
        </w:rPr>
        <w:t xml:space="preserve"> Ensuring access and availability of these basic services is necessary everywhere, including in areas with humanitarian crises.. </w:t>
      </w:r>
    </w:p>
    <w:p w:rsidR="00F067F1" w:rsidRPr="00BD0D26" w:rsidRDefault="00F067F1" w:rsidP="008E510B">
      <w:pPr>
        <w:spacing w:after="0"/>
        <w:rPr>
          <w:rFonts w:cs="Times New Roman"/>
          <w:szCs w:val="24"/>
        </w:rPr>
      </w:pPr>
    </w:p>
    <w:p w:rsidR="00F067F1" w:rsidRPr="00BD0D26" w:rsidRDefault="00F067F1" w:rsidP="008E510B">
      <w:pPr>
        <w:spacing w:after="0"/>
        <w:rPr>
          <w:rFonts w:cs="Times New Roman"/>
          <w:szCs w:val="24"/>
        </w:rPr>
      </w:pPr>
      <w:r w:rsidRPr="00BD0D26">
        <w:rPr>
          <w:rFonts w:cs="Times New Roman"/>
          <w:szCs w:val="24"/>
        </w:rPr>
        <w:t xml:space="preserve">Financial constraints underlie much of the poor access to maternal health services in all settings. </w:t>
      </w:r>
      <w:r w:rsidRPr="00FF525B">
        <w:rPr>
          <w:rFonts w:cs="Times New Roman"/>
          <w:noProof/>
          <w:szCs w:val="24"/>
          <w:vertAlign w:val="superscript"/>
        </w:rPr>
        <w:t>42-44</w:t>
      </w:r>
      <w:r w:rsidRPr="00BD0D26">
        <w:rPr>
          <w:rFonts w:cs="Times New Roman"/>
          <w:szCs w:val="24"/>
        </w:rPr>
        <w:t xml:space="preserve"> Poor sub-populations in LMICs still face catastrophic expenditures due to emergency obstetric care. In parts of Mali, for example, more than 50% of households needing emergency obstetric care incurred catastrophic expenditures.</w:t>
      </w:r>
      <w:r w:rsidRPr="00FF525B">
        <w:rPr>
          <w:rFonts w:cs="Times New Roman"/>
          <w:noProof/>
          <w:szCs w:val="24"/>
          <w:vertAlign w:val="superscript"/>
        </w:rPr>
        <w:t>65</w:t>
      </w:r>
      <w:r w:rsidRPr="00BD0D26">
        <w:rPr>
          <w:rFonts w:cs="Times New Roman"/>
          <w:szCs w:val="24"/>
        </w:rPr>
        <w:t xml:space="preserve"> Establishing large pre-payment and risk-pooling mechanisms, that reduce reliance on out-of-pocket spending, curb catastrophic health expenditures in the near- and long-term. A recent systematic review showed health insurance is positively correlated with the use of maternal health services, although the effects on quality-of-care and health outcomes remains inconclusive.</w:t>
      </w:r>
      <w:r w:rsidRPr="00FF525B">
        <w:rPr>
          <w:rFonts w:cs="Times New Roman"/>
          <w:noProof/>
          <w:szCs w:val="24"/>
          <w:vertAlign w:val="superscript"/>
        </w:rPr>
        <w:t>66</w:t>
      </w:r>
      <w:r w:rsidRPr="00BD0D26">
        <w:rPr>
          <w:rFonts w:cs="Times New Roman"/>
          <w:szCs w:val="24"/>
        </w:rPr>
        <w:t xml:space="preserve"> Other financing instruments can also be deployed to promote access: cash transfers, microcredit, vouchers, and user fee removal.</w:t>
      </w:r>
      <w:r w:rsidRPr="00FF525B">
        <w:rPr>
          <w:rFonts w:cs="Times New Roman"/>
          <w:noProof/>
          <w:szCs w:val="24"/>
          <w:vertAlign w:val="superscript"/>
        </w:rPr>
        <w:t>67-69</w:t>
      </w:r>
      <w:r w:rsidRPr="00BD0D26">
        <w:rPr>
          <w:rFonts w:cs="Times New Roman"/>
          <w:szCs w:val="24"/>
        </w:rPr>
        <w:t xml:space="preserve"> To support free healthcare policies, however, additional investment in pay and recruitment, commodities, and infrastructure may be needed, including staff pay increases for more demanding workloads.</w:t>
      </w:r>
      <w:r w:rsidRPr="00BD0D26">
        <w:rPr>
          <w:rFonts w:cs="Times New Roman"/>
          <w:szCs w:val="24"/>
          <w:vertAlign w:val="superscript"/>
        </w:rPr>
        <w:t>87,98,122</w:t>
      </w:r>
      <w:r w:rsidRPr="00BD0D26">
        <w:rPr>
          <w:rFonts w:cs="Times New Roman"/>
          <w:szCs w:val="24"/>
        </w:rPr>
        <w:t xml:space="preserve"> </w:t>
      </w:r>
    </w:p>
    <w:p w:rsidR="00F067F1" w:rsidRPr="00BD0D26" w:rsidRDefault="00F067F1" w:rsidP="008E510B">
      <w:pPr>
        <w:spacing w:after="0"/>
        <w:rPr>
          <w:rFonts w:cs="Times New Roman"/>
          <w:szCs w:val="24"/>
        </w:rPr>
      </w:pPr>
    </w:p>
    <w:p w:rsidR="00F067F1" w:rsidRPr="00BD0D26" w:rsidRDefault="00F067F1" w:rsidP="008E510B">
      <w:pPr>
        <w:spacing w:after="0"/>
        <w:rPr>
          <w:rFonts w:cs="Times New Roman"/>
          <w:szCs w:val="24"/>
        </w:rPr>
      </w:pPr>
      <w:r w:rsidRPr="00BD0D26">
        <w:rPr>
          <w:rFonts w:cs="Times New Roman"/>
          <w:szCs w:val="24"/>
        </w:rPr>
        <w:t>“Leaving no one behind” is a key slogan in the well-emphasized SDG goals of greater equity, but will such promise reach these populations left behind and experiencing a disproportionate burden of poor maternal health? Universal health coverage (UHC) is the core mechanism for achieving SDG 3, with linked objectives around quality and availability of care, matching uptake with need, and improving cost-effectiveness and financial protection</w:t>
      </w:r>
      <w:r w:rsidRPr="00BD0D26">
        <w:rPr>
          <w:rFonts w:eastAsia="Times New Roman" w:cs="Times New Roman"/>
          <w:szCs w:val="24"/>
        </w:rPr>
        <w:t>.</w:t>
      </w:r>
      <w:r w:rsidRPr="00FF525B">
        <w:rPr>
          <w:rFonts w:eastAsia="Times New Roman" w:cs="Times New Roman"/>
          <w:noProof/>
          <w:szCs w:val="24"/>
          <w:vertAlign w:val="superscript"/>
        </w:rPr>
        <w:t>70</w:t>
      </w:r>
      <w:r w:rsidRPr="00BD0D26" w:rsidDel="00FF1727">
        <w:rPr>
          <w:rFonts w:cs="Times New Roman"/>
          <w:szCs w:val="24"/>
        </w:rPr>
        <w:t xml:space="preserve"> </w:t>
      </w:r>
      <w:r w:rsidRPr="00BD0D26">
        <w:rPr>
          <w:rFonts w:cs="Times New Roman"/>
          <w:szCs w:val="24"/>
        </w:rPr>
        <w:t>Every UHC initiative should include a strong maternal health service core and ensure that it reaches every woman, everywhere with quality care, and without causing financial hardship and pushing families into poverty. Progressive universalism is presented as the pathway to achieving UHC, defined as a determination to include people who are poor from the beginning, as elaborated by Kruk and colleagues.</w:t>
      </w:r>
      <w:r w:rsidRPr="00FF525B">
        <w:rPr>
          <w:rFonts w:cs="Times New Roman"/>
          <w:noProof/>
          <w:szCs w:val="24"/>
          <w:vertAlign w:val="superscript"/>
        </w:rPr>
        <w:t>71</w:t>
      </w:r>
      <w:r w:rsidRPr="00BD0D26">
        <w:rPr>
          <w:rFonts w:cs="Times New Roman"/>
          <w:szCs w:val="24"/>
        </w:rPr>
        <w:t xml:space="preserve"> </w:t>
      </w:r>
    </w:p>
    <w:p w:rsidR="00F067F1" w:rsidRPr="00BD0D26" w:rsidRDefault="00F067F1" w:rsidP="008E510B">
      <w:pPr>
        <w:spacing w:after="0"/>
        <w:rPr>
          <w:rFonts w:cs="Times New Roman"/>
          <w:szCs w:val="24"/>
        </w:rPr>
      </w:pPr>
      <w:r w:rsidRPr="00BD0D26">
        <w:rPr>
          <w:rFonts w:cs="Times New Roman"/>
          <w:szCs w:val="24"/>
        </w:rPr>
        <w:t xml:space="preserve"> </w:t>
      </w:r>
    </w:p>
    <w:p w:rsidR="00F067F1" w:rsidRPr="008E510B" w:rsidRDefault="00F067F1" w:rsidP="00CE7100">
      <w:pPr>
        <w:pStyle w:val="Heading1"/>
      </w:pPr>
      <w:r w:rsidRPr="008E510B">
        <w:t>Priority 3: Increase the resilience and strength of health systems by optimizing the health workforce and improving facility capability</w:t>
      </w:r>
    </w:p>
    <w:p w:rsidR="00F067F1" w:rsidRPr="008E510B" w:rsidRDefault="00F067F1" w:rsidP="00BE090E">
      <w:pPr>
        <w:pStyle w:val="Heading2"/>
        <w:rPr>
          <w:rFonts w:cs="Times New Roman"/>
          <w:b w:val="0"/>
          <w:szCs w:val="24"/>
        </w:rPr>
      </w:pPr>
      <w:r w:rsidRPr="00CE7100">
        <w:rPr>
          <w:b w:val="0"/>
        </w:rPr>
        <w:t>Given unserved populations and changing and diverging maternal health needs, it is urgent to increase the strength and resilience of national health systems to respond at scale with quality care</w:t>
      </w:r>
      <w:r w:rsidRPr="00CE7100">
        <w:rPr>
          <w:rFonts w:cs="Times New Roman"/>
          <w:b w:val="0"/>
          <w:szCs w:val="24"/>
        </w:rPr>
        <w:t>, and in a sustainable manner. Resilience demands mechanisms to ensure essential health services are delivered, regardless of the stress on the system, and must include the capacity to address the special needs of women, adolescents and newborns,</w:t>
      </w:r>
      <w:r w:rsidRPr="00FF525B">
        <w:rPr>
          <w:rFonts w:cs="Times New Roman"/>
          <w:b w:val="0"/>
          <w:noProof/>
          <w:szCs w:val="24"/>
          <w:vertAlign w:val="superscript"/>
        </w:rPr>
        <w:t>72</w:t>
      </w:r>
      <w:r w:rsidRPr="00CE7100">
        <w:rPr>
          <w:rFonts w:cs="Times New Roman"/>
          <w:b w:val="0"/>
          <w:szCs w:val="24"/>
          <w:vertAlign w:val="superscript"/>
        </w:rPr>
        <w:t>,67</w:t>
      </w:r>
      <w:r w:rsidRPr="00CE7100">
        <w:rPr>
          <w:rFonts w:cs="Times New Roman"/>
          <w:b w:val="0"/>
          <w:szCs w:val="24"/>
        </w:rPr>
        <w:t xml:space="preserve"> even as those</w:t>
      </w:r>
      <w:r w:rsidRPr="008E510B">
        <w:rPr>
          <w:rFonts w:cs="Times New Roman"/>
          <w:b w:val="0"/>
          <w:szCs w:val="24"/>
        </w:rPr>
        <w:t xml:space="preserve"> needs change with outbreaks such as Ebola or Zika</w:t>
      </w:r>
      <w:r>
        <w:rPr>
          <w:rFonts w:cs="Times New Roman"/>
          <w:b w:val="0"/>
          <w:szCs w:val="24"/>
        </w:rPr>
        <w:t xml:space="preserve"> or with conflicts</w:t>
      </w:r>
      <w:r w:rsidRPr="008E510B">
        <w:rPr>
          <w:rFonts w:cs="Times New Roman"/>
          <w:b w:val="0"/>
          <w:szCs w:val="24"/>
        </w:rPr>
        <w:t xml:space="preserve">. </w:t>
      </w:r>
      <w:r>
        <w:rPr>
          <w:rFonts w:cs="Times New Roman"/>
          <w:b w:val="0"/>
          <w:szCs w:val="24"/>
        </w:rPr>
        <w:t xml:space="preserve">This is a challenge for countries with over-stretched staff and weak governance. </w:t>
      </w:r>
      <w:r w:rsidRPr="008E510B">
        <w:rPr>
          <w:rFonts w:cs="Times New Roman"/>
          <w:b w:val="0"/>
          <w:szCs w:val="24"/>
        </w:rPr>
        <w:t xml:space="preserve">At a minimum, building resilient and strong health systems requires </w:t>
      </w:r>
      <w:r>
        <w:rPr>
          <w:rFonts w:cs="Times New Roman"/>
          <w:b w:val="0"/>
          <w:szCs w:val="24"/>
        </w:rPr>
        <w:t xml:space="preserve">an emphasis </w:t>
      </w:r>
      <w:r w:rsidRPr="008E510B">
        <w:rPr>
          <w:rFonts w:cs="Times New Roman"/>
          <w:b w:val="0"/>
          <w:szCs w:val="24"/>
        </w:rPr>
        <w:t>on</w:t>
      </w:r>
      <w:r>
        <w:rPr>
          <w:rFonts w:cs="Times New Roman"/>
          <w:b w:val="0"/>
          <w:szCs w:val="24"/>
        </w:rPr>
        <w:t xml:space="preserve"> increasing and</w:t>
      </w:r>
      <w:r w:rsidRPr="008E510B">
        <w:rPr>
          <w:rFonts w:cs="Times New Roman"/>
          <w:b w:val="0"/>
          <w:szCs w:val="24"/>
        </w:rPr>
        <w:t xml:space="preserve"> optimizing the health workforce and improving facility capability. </w:t>
      </w:r>
    </w:p>
    <w:p w:rsidR="00F067F1" w:rsidRPr="008E510B" w:rsidRDefault="00F067F1" w:rsidP="00CC35EA">
      <w:pPr>
        <w:pStyle w:val="Heading2"/>
        <w:rPr>
          <w:rFonts w:cs="Times New Roman"/>
          <w:szCs w:val="24"/>
        </w:rPr>
      </w:pPr>
      <w:r w:rsidRPr="008E510B">
        <w:rPr>
          <w:rFonts w:cs="Times New Roman"/>
          <w:b w:val="0"/>
          <w:szCs w:val="24"/>
        </w:rPr>
        <w:t xml:space="preserve">Human resources are a glaring challenge </w:t>
      </w:r>
      <w:r>
        <w:rPr>
          <w:rFonts w:cs="Times New Roman"/>
          <w:b w:val="0"/>
          <w:szCs w:val="24"/>
        </w:rPr>
        <w:t>to</w:t>
      </w:r>
      <w:r w:rsidRPr="008E510B">
        <w:rPr>
          <w:rFonts w:cs="Times New Roman"/>
          <w:b w:val="0"/>
          <w:szCs w:val="24"/>
        </w:rPr>
        <w:t xml:space="preserve"> health systems in all countries, especially LMICs. The numbers of skilled health professionals (i.e. midwives</w:t>
      </w:r>
      <w:r>
        <w:rPr>
          <w:rFonts w:cs="Times New Roman"/>
          <w:b w:val="0"/>
          <w:szCs w:val="24"/>
        </w:rPr>
        <w:t xml:space="preserve"> </w:t>
      </w:r>
      <w:r w:rsidRPr="008E510B">
        <w:rPr>
          <w:rFonts w:cs="Times New Roman"/>
          <w:b w:val="0"/>
          <w:szCs w:val="24"/>
        </w:rPr>
        <w:t xml:space="preserve">and physicians, and </w:t>
      </w:r>
      <w:r>
        <w:rPr>
          <w:rFonts w:cs="Times New Roman"/>
          <w:b w:val="0"/>
          <w:szCs w:val="24"/>
        </w:rPr>
        <w:t>others such as</w:t>
      </w:r>
      <w:r w:rsidRPr="008E510B">
        <w:rPr>
          <w:rFonts w:cs="Times New Roman"/>
          <w:b w:val="0"/>
          <w:szCs w:val="24"/>
        </w:rPr>
        <w:t xml:space="preserve"> anesthetists), their composition, deployment, retention and productivity are dynamic yet crucial variables in ensuring universal access to sexual, reproductive, maternal, newborn health.</w:t>
      </w:r>
      <w:r w:rsidRPr="00FF525B">
        <w:rPr>
          <w:rFonts w:cs="Times New Roman"/>
          <w:b w:val="0"/>
          <w:noProof/>
          <w:szCs w:val="24"/>
          <w:vertAlign w:val="superscript"/>
        </w:rPr>
        <w:t>73</w:t>
      </w:r>
      <w:r w:rsidRPr="008E510B">
        <w:rPr>
          <w:rFonts w:cs="Times New Roman"/>
          <w:b w:val="0"/>
          <w:szCs w:val="24"/>
        </w:rPr>
        <w:t xml:space="preserve"> </w:t>
      </w:r>
    </w:p>
    <w:p w:rsidR="00F067F1" w:rsidRPr="008E510B" w:rsidRDefault="00F067F1" w:rsidP="00166072">
      <w:pPr>
        <w:contextualSpacing/>
        <w:rPr>
          <w:rFonts w:cs="Times New Roman"/>
          <w:szCs w:val="24"/>
        </w:rPr>
      </w:pPr>
    </w:p>
    <w:p w:rsidR="00F067F1" w:rsidRPr="008E510B" w:rsidRDefault="00F067F1" w:rsidP="00166072">
      <w:pPr>
        <w:widowControl w:val="0"/>
        <w:tabs>
          <w:tab w:val="left" w:pos="220"/>
          <w:tab w:val="left" w:pos="720"/>
        </w:tabs>
        <w:autoSpaceDE w:val="0"/>
        <w:autoSpaceDN w:val="0"/>
        <w:adjustRightInd w:val="0"/>
        <w:spacing w:after="240"/>
        <w:rPr>
          <w:rFonts w:cs="Times New Roman"/>
          <w:szCs w:val="24"/>
        </w:rPr>
      </w:pPr>
      <w:r w:rsidRPr="008E510B">
        <w:rPr>
          <w:rFonts w:cs="Times New Roman"/>
          <w:szCs w:val="24"/>
        </w:rPr>
        <w:t>Modeled estimates point to the need for over 18 million additional health workers by 2030 require</w:t>
      </w:r>
      <w:r>
        <w:rPr>
          <w:rFonts w:cs="Times New Roman"/>
          <w:szCs w:val="24"/>
        </w:rPr>
        <w:t xml:space="preserve">d </w:t>
      </w:r>
      <w:r w:rsidRPr="008E510B">
        <w:rPr>
          <w:rFonts w:cs="Times New Roman"/>
          <w:szCs w:val="24"/>
        </w:rPr>
        <w:t xml:space="preserve">to meet </w:t>
      </w:r>
      <w:r>
        <w:rPr>
          <w:rFonts w:cs="Times New Roman"/>
          <w:szCs w:val="24"/>
        </w:rPr>
        <w:t>the SDGs</w:t>
      </w:r>
      <w:r w:rsidRPr="008E510B">
        <w:rPr>
          <w:rFonts w:cs="Times New Roman"/>
          <w:szCs w:val="24"/>
        </w:rPr>
        <w:t xml:space="preserve"> and </w:t>
      </w:r>
      <w:r>
        <w:rPr>
          <w:rFonts w:cs="Times New Roman"/>
          <w:szCs w:val="24"/>
        </w:rPr>
        <w:t>UHC</w:t>
      </w:r>
      <w:r w:rsidRPr="008E510B">
        <w:rPr>
          <w:rFonts w:cs="Times New Roman"/>
          <w:szCs w:val="24"/>
        </w:rPr>
        <w:t xml:space="preserve"> targets</w:t>
      </w:r>
      <w:r>
        <w:rPr>
          <w:rFonts w:cs="Times New Roman"/>
          <w:szCs w:val="24"/>
        </w:rPr>
        <w:t xml:space="preserve"> with gaps </w:t>
      </w:r>
      <w:r w:rsidRPr="008E510B">
        <w:rPr>
          <w:rFonts w:cs="Times New Roman"/>
          <w:szCs w:val="24"/>
        </w:rPr>
        <w:t xml:space="preserve">concentrated in </w:t>
      </w:r>
      <w:r>
        <w:rPr>
          <w:rFonts w:cs="Times New Roman"/>
          <w:szCs w:val="24"/>
        </w:rPr>
        <w:t>the LMIC</w:t>
      </w:r>
      <w:r w:rsidRPr="008E510B">
        <w:rPr>
          <w:rFonts w:cs="Times New Roman"/>
          <w:szCs w:val="24"/>
        </w:rPr>
        <w:t>.</w:t>
      </w:r>
      <w:r w:rsidRPr="00FF525B">
        <w:rPr>
          <w:rFonts w:cs="Times New Roman"/>
          <w:noProof/>
          <w:szCs w:val="24"/>
          <w:vertAlign w:val="superscript"/>
        </w:rPr>
        <w:t>74</w:t>
      </w:r>
      <w:r w:rsidRPr="008E510B">
        <w:rPr>
          <w:rFonts w:cs="Times New Roman"/>
          <w:szCs w:val="24"/>
        </w:rPr>
        <w:t xml:space="preserve"> Even in countries with </w:t>
      </w:r>
      <w:r>
        <w:rPr>
          <w:rFonts w:cs="Times New Roman"/>
          <w:szCs w:val="24"/>
        </w:rPr>
        <w:t xml:space="preserve">improving </w:t>
      </w:r>
      <w:r w:rsidRPr="008E510B">
        <w:rPr>
          <w:rFonts w:cs="Times New Roman"/>
          <w:szCs w:val="24"/>
        </w:rPr>
        <w:t>provider-to-population ratios</w:t>
      </w:r>
      <w:r>
        <w:rPr>
          <w:rFonts w:cs="Times New Roman"/>
          <w:szCs w:val="24"/>
        </w:rPr>
        <w:t xml:space="preserve"> </w:t>
      </w:r>
      <w:r w:rsidRPr="008E510B">
        <w:rPr>
          <w:rFonts w:cs="Times New Roman"/>
          <w:szCs w:val="24"/>
        </w:rPr>
        <w:t xml:space="preserve">the geographical distribution of providers remains a challenge, with several countries reporting densities in the most under-served areas that are a </w:t>
      </w:r>
      <w:r>
        <w:rPr>
          <w:rFonts w:cs="Times New Roman"/>
          <w:szCs w:val="24"/>
        </w:rPr>
        <w:t xml:space="preserve">small </w:t>
      </w:r>
      <w:r w:rsidRPr="008E510B">
        <w:rPr>
          <w:rFonts w:cs="Times New Roman"/>
          <w:szCs w:val="24"/>
        </w:rPr>
        <w:t>fraction of those in urban areas.</w:t>
      </w:r>
      <w:r w:rsidRPr="00FF525B">
        <w:rPr>
          <w:rFonts w:cs="Times New Roman"/>
          <w:noProof/>
          <w:szCs w:val="24"/>
          <w:vertAlign w:val="superscript"/>
        </w:rPr>
        <w:t>75</w:t>
      </w:r>
      <w:r w:rsidRPr="008E510B">
        <w:rPr>
          <w:rFonts w:cs="Times New Roman"/>
          <w:szCs w:val="24"/>
        </w:rPr>
        <w:t xml:space="preserve"> </w:t>
      </w:r>
    </w:p>
    <w:p w:rsidR="00F067F1" w:rsidRPr="008E510B" w:rsidRDefault="00F067F1" w:rsidP="00166072">
      <w:pPr>
        <w:widowControl w:val="0"/>
        <w:tabs>
          <w:tab w:val="left" w:pos="220"/>
          <w:tab w:val="left" w:pos="720"/>
        </w:tabs>
        <w:autoSpaceDE w:val="0"/>
        <w:autoSpaceDN w:val="0"/>
        <w:adjustRightInd w:val="0"/>
        <w:spacing w:after="240"/>
        <w:rPr>
          <w:rFonts w:cs="Times New Roman"/>
          <w:szCs w:val="24"/>
        </w:rPr>
      </w:pPr>
      <w:r w:rsidRPr="008E510B">
        <w:rPr>
          <w:rFonts w:cs="Times New Roman"/>
          <w:szCs w:val="24"/>
        </w:rPr>
        <w:t xml:space="preserve">Figure </w:t>
      </w:r>
      <w:r>
        <w:rPr>
          <w:rFonts w:cs="Times New Roman"/>
          <w:szCs w:val="24"/>
        </w:rPr>
        <w:t>2</w:t>
      </w:r>
      <w:r w:rsidRPr="00FF525B">
        <w:rPr>
          <w:rFonts w:cs="Times New Roman"/>
          <w:noProof/>
          <w:szCs w:val="24"/>
          <w:vertAlign w:val="superscript"/>
        </w:rPr>
        <w:t>76</w:t>
      </w:r>
      <w:r w:rsidRPr="008E510B">
        <w:rPr>
          <w:rFonts w:cs="Times New Roman"/>
          <w:szCs w:val="24"/>
        </w:rPr>
        <w:t xml:space="preserve"> compare</w:t>
      </w:r>
      <w:r>
        <w:rPr>
          <w:rFonts w:cs="Times New Roman"/>
          <w:szCs w:val="24"/>
        </w:rPr>
        <w:t>s</w:t>
      </w:r>
      <w:r w:rsidRPr="008E510B">
        <w:rPr>
          <w:rFonts w:cs="Times New Roman"/>
          <w:szCs w:val="24"/>
        </w:rPr>
        <w:t xml:space="preserve"> the ratios of practicing midwives / auxiliary midwives / nurse-midwives and obstetrician/ gynaecologists to the number of pregnancies</w:t>
      </w:r>
      <w:r>
        <w:rPr>
          <w:rFonts w:cs="Times New Roman"/>
          <w:szCs w:val="24"/>
        </w:rPr>
        <w:t xml:space="preserve"> in African countries</w:t>
      </w:r>
      <w:r w:rsidRPr="008E510B">
        <w:rPr>
          <w:rFonts w:cs="Times New Roman"/>
          <w:szCs w:val="24"/>
        </w:rPr>
        <w:t xml:space="preserve">. It illustrates that countries with the largest numbers of births (e.g. Democratic Republic of Congo, Tanzania, Kenya and Ethiopia) have some of the lowest densities of midwives and obstetricians (&lt;2 per 1000 pregnancies). </w:t>
      </w:r>
    </w:p>
    <w:p w:rsidR="00F067F1" w:rsidRPr="008E510B" w:rsidRDefault="00F067F1" w:rsidP="00CC35EA">
      <w:pPr>
        <w:widowControl w:val="0"/>
        <w:tabs>
          <w:tab w:val="left" w:pos="220"/>
          <w:tab w:val="left" w:pos="720"/>
        </w:tabs>
        <w:autoSpaceDE w:val="0"/>
        <w:autoSpaceDN w:val="0"/>
        <w:adjustRightInd w:val="0"/>
        <w:spacing w:after="240"/>
        <w:rPr>
          <w:rFonts w:cs="Times New Roman"/>
          <w:szCs w:val="24"/>
        </w:rPr>
      </w:pPr>
      <w:r w:rsidRPr="008E510B">
        <w:rPr>
          <w:rFonts w:cs="Times New Roman"/>
          <w:szCs w:val="24"/>
        </w:rPr>
        <w:t>Addressing complex and multi-faceted health workforce challenges that hinder the provision of matern</w:t>
      </w:r>
      <w:r>
        <w:rPr>
          <w:rFonts w:cs="Times New Roman"/>
          <w:szCs w:val="24"/>
        </w:rPr>
        <w:t>al-perinatal</w:t>
      </w:r>
      <w:r w:rsidRPr="008E510B">
        <w:rPr>
          <w:rFonts w:cs="Times New Roman"/>
          <w:szCs w:val="24"/>
        </w:rPr>
        <w:t xml:space="preserve"> care requires an integrated approach to better balance health workforce needs, demand and supply, and to provide health workers with an enabling work environment. </w:t>
      </w:r>
      <w:r>
        <w:rPr>
          <w:rFonts w:cs="Times New Roman"/>
          <w:szCs w:val="24"/>
        </w:rPr>
        <w:t xml:space="preserve">Some </w:t>
      </w:r>
      <w:r w:rsidRPr="008E510B">
        <w:rPr>
          <w:rFonts w:cs="Times New Roman"/>
          <w:szCs w:val="24"/>
        </w:rPr>
        <w:t>of the required interventions may be specific to the staff most directly involved in provi</w:t>
      </w:r>
      <w:r>
        <w:rPr>
          <w:rFonts w:cs="Times New Roman"/>
          <w:szCs w:val="24"/>
        </w:rPr>
        <w:t xml:space="preserve">ding </w:t>
      </w:r>
      <w:r w:rsidRPr="008E510B">
        <w:rPr>
          <w:rFonts w:cs="Times New Roman"/>
          <w:szCs w:val="24"/>
        </w:rPr>
        <w:t xml:space="preserve">maternity care. For instance, the policy and regulatory environment for midwifery care should be realigned with </w:t>
      </w:r>
      <w:r>
        <w:rPr>
          <w:rFonts w:cs="Times New Roman"/>
          <w:szCs w:val="24"/>
        </w:rPr>
        <w:t>midwives’</w:t>
      </w:r>
      <w:r w:rsidRPr="008E510B">
        <w:rPr>
          <w:rFonts w:cs="Times New Roman"/>
          <w:szCs w:val="24"/>
        </w:rPr>
        <w:t xml:space="preserve"> pre-service education and accreditation requirements</w:t>
      </w:r>
      <w:r>
        <w:rPr>
          <w:rFonts w:cs="Times New Roman"/>
          <w:szCs w:val="24"/>
        </w:rPr>
        <w:t>. D</w:t>
      </w:r>
      <w:r w:rsidRPr="008E510B">
        <w:rPr>
          <w:rFonts w:cs="Times New Roman"/>
          <w:szCs w:val="24"/>
        </w:rPr>
        <w:t>espite having the potential to address the vast majority of maternal and newborn health</w:t>
      </w:r>
      <w:r>
        <w:rPr>
          <w:rFonts w:cs="Times New Roman"/>
          <w:szCs w:val="24"/>
        </w:rPr>
        <w:t xml:space="preserve"> needs</w:t>
      </w:r>
      <w:r w:rsidRPr="008E510B">
        <w:rPr>
          <w:rFonts w:cs="Times New Roman"/>
          <w:szCs w:val="24"/>
        </w:rPr>
        <w:t xml:space="preserve">, in many countries midwives are not authorized to perform within the full scope of their profession, </w:t>
      </w:r>
      <w:r>
        <w:rPr>
          <w:rFonts w:cs="Times New Roman"/>
          <w:szCs w:val="24"/>
        </w:rPr>
        <w:t xml:space="preserve">and </w:t>
      </w:r>
      <w:r w:rsidRPr="008E510B">
        <w:rPr>
          <w:rFonts w:cs="Times New Roman"/>
          <w:szCs w:val="24"/>
        </w:rPr>
        <w:t>lack</w:t>
      </w:r>
      <w:r>
        <w:rPr>
          <w:rFonts w:cs="Times New Roman"/>
          <w:szCs w:val="24"/>
        </w:rPr>
        <w:t xml:space="preserve"> </w:t>
      </w:r>
      <w:r w:rsidRPr="008E510B">
        <w:rPr>
          <w:rFonts w:cs="Times New Roman"/>
          <w:szCs w:val="24"/>
        </w:rPr>
        <w:t xml:space="preserve">the authorization to deliver the signal functions of basic EmONC. Also there is evidence that, beyond skilled health workers, </w:t>
      </w:r>
      <w:r>
        <w:rPr>
          <w:rFonts w:cs="Times New Roman"/>
          <w:szCs w:val="24"/>
        </w:rPr>
        <w:t xml:space="preserve">task-shifting to </w:t>
      </w:r>
      <w:r w:rsidRPr="008E510B">
        <w:rPr>
          <w:rFonts w:cs="Times New Roman"/>
          <w:szCs w:val="24"/>
        </w:rPr>
        <w:t xml:space="preserve">other cadres, such as community-based health workers, can play a substantial role – in certain contexts and under certain circumstances </w:t>
      </w:r>
      <w:r>
        <w:rPr>
          <w:rFonts w:cs="Times New Roman"/>
          <w:szCs w:val="24"/>
        </w:rPr>
        <w:t>–</w:t>
      </w:r>
      <w:r w:rsidRPr="008E510B">
        <w:rPr>
          <w:rFonts w:cs="Times New Roman"/>
          <w:szCs w:val="24"/>
        </w:rPr>
        <w:t xml:space="preserve"> in expanding access to select health services, </w:t>
      </w:r>
      <w:r>
        <w:rPr>
          <w:rFonts w:cs="Times New Roman"/>
          <w:szCs w:val="24"/>
        </w:rPr>
        <w:t xml:space="preserve">particularly </w:t>
      </w:r>
      <w:r w:rsidRPr="008E510B">
        <w:rPr>
          <w:rFonts w:cs="Times New Roman"/>
          <w:szCs w:val="24"/>
        </w:rPr>
        <w:t xml:space="preserve">family planning and </w:t>
      </w:r>
      <w:r>
        <w:rPr>
          <w:rFonts w:cs="Times New Roman"/>
          <w:szCs w:val="24"/>
        </w:rPr>
        <w:t>medication abortion</w:t>
      </w:r>
      <w:r w:rsidRPr="008E510B">
        <w:rPr>
          <w:rFonts w:cs="Times New Roman"/>
          <w:szCs w:val="24"/>
        </w:rPr>
        <w:t xml:space="preserve"> services, among others.</w:t>
      </w:r>
      <w:r w:rsidRPr="00FF525B">
        <w:rPr>
          <w:rFonts w:cs="Times New Roman"/>
          <w:noProof/>
          <w:szCs w:val="24"/>
          <w:vertAlign w:val="superscript"/>
        </w:rPr>
        <w:t>77</w:t>
      </w:r>
      <w:r w:rsidRPr="008E510B">
        <w:rPr>
          <w:rFonts w:cs="Times New Roman"/>
          <w:szCs w:val="24"/>
        </w:rPr>
        <w:t>.</w:t>
      </w:r>
      <w:r w:rsidRPr="00FF525B">
        <w:rPr>
          <w:rFonts w:cs="Times New Roman"/>
          <w:noProof/>
          <w:szCs w:val="24"/>
          <w:vertAlign w:val="superscript"/>
        </w:rPr>
        <w:t>78</w:t>
      </w:r>
      <w:r w:rsidRPr="008E510B">
        <w:rPr>
          <w:rFonts w:cs="Times New Roman"/>
          <w:szCs w:val="24"/>
        </w:rPr>
        <w:t xml:space="preserve"> </w:t>
      </w:r>
    </w:p>
    <w:p w:rsidR="00F067F1" w:rsidRPr="008E510B" w:rsidRDefault="00F067F1" w:rsidP="00CC35EA">
      <w:pPr>
        <w:contextualSpacing/>
        <w:rPr>
          <w:rFonts w:cs="Times New Roman"/>
          <w:szCs w:val="24"/>
        </w:rPr>
      </w:pPr>
      <w:r w:rsidRPr="008E510B">
        <w:rPr>
          <w:rFonts w:cs="Times New Roman"/>
          <w:szCs w:val="24"/>
        </w:rPr>
        <w:t>Addressing health workforce bottlenecks effectively requires an integrated and comprehensive approach</w:t>
      </w:r>
      <w:r>
        <w:rPr>
          <w:rFonts w:cs="Times New Roman"/>
          <w:szCs w:val="24"/>
        </w:rPr>
        <w:t>. C</w:t>
      </w:r>
      <w:r w:rsidRPr="008E510B">
        <w:rPr>
          <w:rFonts w:cs="Times New Roman"/>
          <w:szCs w:val="24"/>
        </w:rPr>
        <w:t>ountries – and, where relevant, development partners - need to invest in training, deploy</w:t>
      </w:r>
      <w:r>
        <w:rPr>
          <w:rFonts w:cs="Times New Roman"/>
          <w:szCs w:val="24"/>
        </w:rPr>
        <w:t>ing</w:t>
      </w:r>
      <w:r w:rsidRPr="008E510B">
        <w:rPr>
          <w:rFonts w:cs="Times New Roman"/>
          <w:szCs w:val="24"/>
        </w:rPr>
        <w:t>, and ret</w:t>
      </w:r>
      <w:r>
        <w:rPr>
          <w:rFonts w:cs="Times New Roman"/>
          <w:szCs w:val="24"/>
        </w:rPr>
        <w:t>aining</w:t>
      </w:r>
      <w:r w:rsidRPr="008E510B">
        <w:rPr>
          <w:rFonts w:cs="Times New Roman"/>
          <w:szCs w:val="24"/>
        </w:rPr>
        <w:t xml:space="preserve"> health workers, by expanding </w:t>
      </w:r>
      <w:r>
        <w:rPr>
          <w:rFonts w:cs="Times New Roman"/>
          <w:szCs w:val="24"/>
        </w:rPr>
        <w:t xml:space="preserve">the </w:t>
      </w:r>
      <w:r w:rsidRPr="008E510B">
        <w:rPr>
          <w:rFonts w:cs="Times New Roman"/>
          <w:szCs w:val="24"/>
        </w:rPr>
        <w:t xml:space="preserve">fiscal space and allocating resources more equitably and efficiently across levels of the health systems; by strengthening pre-service education to ensure a quantitative scale-up, a rural pipeline for health workforce production and deployment, and improvement in </w:t>
      </w:r>
      <w:r>
        <w:rPr>
          <w:rFonts w:cs="Times New Roman"/>
          <w:szCs w:val="24"/>
        </w:rPr>
        <w:t xml:space="preserve">the quality of </w:t>
      </w:r>
      <w:r w:rsidRPr="008E510B">
        <w:rPr>
          <w:rFonts w:cs="Times New Roman"/>
          <w:szCs w:val="24"/>
        </w:rPr>
        <w:t xml:space="preserve">their competencies; by ensuring a gender-balanced approach to health workforce education, deployment and management; by adopting a range of financial and non-financial incentives to improve management systems and the work environment in which they operate, so as to maximize </w:t>
      </w:r>
      <w:r>
        <w:rPr>
          <w:rFonts w:cs="Times New Roman"/>
          <w:szCs w:val="24"/>
        </w:rPr>
        <w:t>worker</w:t>
      </w:r>
      <w:r w:rsidRPr="008E510B">
        <w:rPr>
          <w:rFonts w:cs="Times New Roman"/>
          <w:szCs w:val="24"/>
        </w:rPr>
        <w:t xml:space="preserve"> motivation and performance,</w:t>
      </w:r>
      <w:r w:rsidRPr="00FF525B">
        <w:rPr>
          <w:rFonts w:cs="Times New Roman"/>
          <w:noProof/>
          <w:szCs w:val="24"/>
          <w:vertAlign w:val="superscript"/>
        </w:rPr>
        <w:t>74</w:t>
      </w:r>
      <w:r w:rsidRPr="008E510B">
        <w:rPr>
          <w:rFonts w:cs="Times New Roman"/>
          <w:szCs w:val="24"/>
        </w:rPr>
        <w:t xml:space="preserve"> and minimize risks of attrition and out-migration. </w:t>
      </w:r>
    </w:p>
    <w:p w:rsidR="00F067F1" w:rsidRPr="008E510B" w:rsidRDefault="00F067F1" w:rsidP="00CC35EA">
      <w:pPr>
        <w:contextualSpacing/>
        <w:rPr>
          <w:rFonts w:cs="Times New Roman"/>
          <w:szCs w:val="24"/>
        </w:rPr>
      </w:pPr>
    </w:p>
    <w:p w:rsidR="00F067F1" w:rsidRDefault="00F067F1" w:rsidP="00467ECC">
      <w:pPr>
        <w:widowControl w:val="0"/>
        <w:tabs>
          <w:tab w:val="left" w:pos="220"/>
          <w:tab w:val="left" w:pos="720"/>
        </w:tabs>
        <w:autoSpaceDE w:val="0"/>
        <w:autoSpaceDN w:val="0"/>
        <w:adjustRightInd w:val="0"/>
        <w:spacing w:after="240"/>
        <w:rPr>
          <w:rFonts w:cs="Times New Roman"/>
          <w:szCs w:val="24"/>
        </w:rPr>
      </w:pPr>
      <w:r w:rsidRPr="008E510B">
        <w:rPr>
          <w:rFonts w:cs="Times New Roman"/>
          <w:szCs w:val="24"/>
        </w:rPr>
        <w:t>The necessary expansion of the health workforce should lead to cost-effective resource allocation, prioritizing a skills mix harnessing inter-professional primary care teams of health workers</w:t>
      </w:r>
      <w:r w:rsidRPr="00705A09">
        <w:rPr>
          <w:rFonts w:cs="Times New Roman"/>
          <w:szCs w:val="24"/>
        </w:rPr>
        <w:t>, avoiding the pitfalls and cost-escalation of overreliance on specialist and tertiary care.</w:t>
      </w:r>
      <w:r w:rsidRPr="008E510B">
        <w:rPr>
          <w:rFonts w:cs="Times New Roman"/>
          <w:szCs w:val="24"/>
        </w:rPr>
        <w:t xml:space="preserve"> A WHO framework (Supplemental Figure </w:t>
      </w:r>
      <w:r>
        <w:rPr>
          <w:rFonts w:cs="Times New Roman"/>
          <w:szCs w:val="24"/>
        </w:rPr>
        <w:t>3</w:t>
      </w:r>
      <w:r w:rsidRPr="008E510B">
        <w:rPr>
          <w:rFonts w:cs="Times New Roman"/>
          <w:szCs w:val="24"/>
        </w:rPr>
        <w:t>) illustrates the supply, demand and contextual factors for human resources, which has been adapted for the specific needs of maternity services in a UNFPA Handbook.</w:t>
      </w:r>
      <w:r w:rsidRPr="00FF525B">
        <w:rPr>
          <w:rFonts w:cs="Times New Roman"/>
          <w:noProof/>
          <w:szCs w:val="24"/>
          <w:vertAlign w:val="superscript"/>
        </w:rPr>
        <w:t>79</w:t>
      </w:r>
    </w:p>
    <w:p w:rsidR="00F067F1" w:rsidRPr="008E510B" w:rsidRDefault="00F067F1" w:rsidP="00A0226C">
      <w:pPr>
        <w:rPr>
          <w:rFonts w:cs="Times New Roman"/>
          <w:szCs w:val="24"/>
        </w:rPr>
      </w:pPr>
      <w:r>
        <w:rPr>
          <w:rFonts w:cs="Times New Roman"/>
          <w:szCs w:val="24"/>
        </w:rPr>
        <w:t xml:space="preserve">An inadequate workforce is not the only challenge: Campbell and colleagues elaborate on the extent to which countries have inadequate numbers of functional facilities. </w:t>
      </w:r>
      <w:r w:rsidRPr="008E510B">
        <w:rPr>
          <w:rFonts w:cs="Times New Roman"/>
          <w:szCs w:val="24"/>
        </w:rPr>
        <w:t xml:space="preserve">We </w:t>
      </w:r>
      <w:r>
        <w:rPr>
          <w:rFonts w:cs="Times New Roman"/>
          <w:szCs w:val="24"/>
        </w:rPr>
        <w:t xml:space="preserve">have stated that </w:t>
      </w:r>
      <w:r w:rsidRPr="008E510B">
        <w:rPr>
          <w:rFonts w:cs="Times New Roman"/>
          <w:szCs w:val="24"/>
        </w:rPr>
        <w:t xml:space="preserve">the starting point needs </w:t>
      </w:r>
      <w:r>
        <w:rPr>
          <w:rFonts w:cs="Times New Roman"/>
          <w:szCs w:val="24"/>
        </w:rPr>
        <w:t xml:space="preserve">to be </w:t>
      </w:r>
      <w:r w:rsidRPr="008E510B">
        <w:rPr>
          <w:rFonts w:cs="Times New Roman"/>
          <w:szCs w:val="24"/>
        </w:rPr>
        <w:t xml:space="preserve">a clear national statement of what should constitute primary care for uncomplicated deliveries, </w:t>
      </w:r>
      <w:r>
        <w:rPr>
          <w:rFonts w:cs="Times New Roman"/>
          <w:szCs w:val="24"/>
        </w:rPr>
        <w:t xml:space="preserve">and </w:t>
      </w:r>
      <w:r w:rsidRPr="008E510B">
        <w:rPr>
          <w:rFonts w:cs="Times New Roman"/>
          <w:szCs w:val="24"/>
        </w:rPr>
        <w:t>what mechanisms</w:t>
      </w:r>
      <w:r>
        <w:rPr>
          <w:rFonts w:cs="Times New Roman"/>
          <w:szCs w:val="24"/>
        </w:rPr>
        <w:t>, including referral</w:t>
      </w:r>
      <w:r w:rsidRPr="008E510B">
        <w:rPr>
          <w:rFonts w:cs="Times New Roman"/>
          <w:szCs w:val="24"/>
        </w:rPr>
        <w:t xml:space="preserve"> need to be in place for complicated deliveries</w:t>
      </w:r>
      <w:r>
        <w:rPr>
          <w:rFonts w:cs="Times New Roman"/>
          <w:szCs w:val="24"/>
        </w:rPr>
        <w:t xml:space="preserve">. Above, we suggest facility capability can be </w:t>
      </w:r>
      <w:r w:rsidRPr="008E510B">
        <w:rPr>
          <w:rFonts w:cs="Times New Roman"/>
          <w:szCs w:val="24"/>
        </w:rPr>
        <w:t>critically compare</w:t>
      </w:r>
      <w:r>
        <w:rPr>
          <w:rFonts w:cs="Times New Roman"/>
          <w:szCs w:val="24"/>
        </w:rPr>
        <w:t>d</w:t>
      </w:r>
      <w:r w:rsidRPr="008E510B">
        <w:rPr>
          <w:rFonts w:cs="Times New Roman"/>
          <w:szCs w:val="24"/>
        </w:rPr>
        <w:t xml:space="preserve"> with the present situation measured using facility surveys (i.e. quantifying the “aspiration gap”)</w:t>
      </w:r>
      <w:r>
        <w:rPr>
          <w:rFonts w:cs="Times New Roman"/>
          <w:szCs w:val="24"/>
        </w:rPr>
        <w:t>, and reviews of bed capacity, stock-outs and supply chains, maintenance and infrastructure</w:t>
      </w:r>
      <w:r w:rsidRPr="008E510B">
        <w:rPr>
          <w:rFonts w:cs="Times New Roman"/>
          <w:szCs w:val="24"/>
        </w:rPr>
        <w:t xml:space="preserve">. </w:t>
      </w:r>
      <w:r>
        <w:rPr>
          <w:rFonts w:cs="Times New Roman"/>
          <w:szCs w:val="24"/>
        </w:rPr>
        <w:t xml:space="preserve">Planning means such as the One Health tool can also help assess needs. </w:t>
      </w:r>
      <w:r w:rsidRPr="008E510B">
        <w:rPr>
          <w:rFonts w:cs="Times New Roman"/>
          <w:szCs w:val="24"/>
        </w:rPr>
        <w:t xml:space="preserve">Subsequently, budgeted plans with target dates need to be put in place to </w:t>
      </w:r>
      <w:r>
        <w:rPr>
          <w:rFonts w:cs="Times New Roman"/>
          <w:szCs w:val="24"/>
        </w:rPr>
        <w:t>address</w:t>
      </w:r>
      <w:r w:rsidRPr="008E510B">
        <w:rPr>
          <w:rFonts w:cs="Times New Roman"/>
          <w:szCs w:val="24"/>
        </w:rPr>
        <w:t xml:space="preserve"> the aspiration gap. </w:t>
      </w:r>
    </w:p>
    <w:p w:rsidR="00F067F1" w:rsidRPr="008E510B" w:rsidRDefault="00F067F1" w:rsidP="00CE7100">
      <w:pPr>
        <w:pStyle w:val="Heading1"/>
      </w:pPr>
      <w:r w:rsidRPr="008E510B">
        <w:t xml:space="preserve">Priority 4: Guarantee sustainable financing for maternal </w:t>
      </w:r>
      <w:r>
        <w:t>-perinatal</w:t>
      </w:r>
      <w:r w:rsidRPr="008E510B">
        <w:t xml:space="preserve"> health</w:t>
      </w:r>
    </w:p>
    <w:p w:rsidR="00F067F1" w:rsidRDefault="00F067F1" w:rsidP="00166072">
      <w:pPr>
        <w:spacing w:after="0"/>
        <w:rPr>
          <w:rFonts w:cs="Times New Roman"/>
          <w:szCs w:val="24"/>
        </w:rPr>
      </w:pPr>
    </w:p>
    <w:p w:rsidR="00F067F1" w:rsidRPr="008E510B" w:rsidRDefault="00F067F1" w:rsidP="00166072">
      <w:pPr>
        <w:spacing w:after="0"/>
        <w:rPr>
          <w:rFonts w:cs="Times New Roman"/>
          <w:szCs w:val="24"/>
        </w:rPr>
      </w:pPr>
      <w:r w:rsidRPr="008E510B">
        <w:rPr>
          <w:rFonts w:cs="Times New Roman"/>
          <w:szCs w:val="24"/>
        </w:rPr>
        <w:t>The investment case for health financing, and in particular for investing in the health and education of women, has been clearly made by a Lancet Commission, WHO, and others.</w:t>
      </w:r>
      <w:r w:rsidRPr="00FF525B">
        <w:rPr>
          <w:rFonts w:cs="Times New Roman"/>
          <w:noProof/>
          <w:szCs w:val="24"/>
          <w:vertAlign w:val="superscript"/>
        </w:rPr>
        <w:t>80-83</w:t>
      </w:r>
      <w:r w:rsidRPr="008E510B" w:rsidDel="00ED5540">
        <w:rPr>
          <w:rFonts w:cs="Times New Roman"/>
          <w:szCs w:val="24"/>
        </w:rPr>
        <w:t xml:space="preserve"> </w:t>
      </w:r>
      <w:r w:rsidRPr="008E510B">
        <w:rPr>
          <w:rFonts w:cs="Times New Roman"/>
          <w:szCs w:val="24"/>
        </w:rPr>
        <w:t>Additional investments in high maternal and child mortality countries would yield high rates of return, producing up to ‘nine times the economic and social benefit by 2035’.</w:t>
      </w:r>
      <w:r w:rsidRPr="00FF525B">
        <w:rPr>
          <w:rFonts w:cs="Times New Roman"/>
          <w:noProof/>
          <w:szCs w:val="24"/>
          <w:vertAlign w:val="superscript"/>
        </w:rPr>
        <w:t>83</w:t>
      </w:r>
      <w:r w:rsidRPr="008E510B">
        <w:rPr>
          <w:rFonts w:cs="Times New Roman"/>
          <w:szCs w:val="24"/>
        </w:rPr>
        <w:t xml:space="preserve"> Yet a very real resource gap remains.</w:t>
      </w:r>
      <w:r w:rsidRPr="00FF525B">
        <w:rPr>
          <w:rFonts w:cs="Times New Roman"/>
          <w:noProof/>
          <w:szCs w:val="24"/>
          <w:vertAlign w:val="superscript"/>
        </w:rPr>
        <w:t>84</w:t>
      </w:r>
      <w:r w:rsidRPr="008E510B">
        <w:rPr>
          <w:rFonts w:cs="Times New Roman"/>
          <w:szCs w:val="24"/>
        </w:rPr>
        <w:t xml:space="preserve"> Over the 2013-2035 time-frame, Stenberg </w:t>
      </w:r>
      <w:r>
        <w:rPr>
          <w:rFonts w:cs="Times New Roman"/>
          <w:szCs w:val="24"/>
        </w:rPr>
        <w:t>and colleagues</w:t>
      </w:r>
      <w:r w:rsidRPr="008E510B">
        <w:rPr>
          <w:rFonts w:cs="Times New Roman"/>
          <w:szCs w:val="24"/>
        </w:rPr>
        <w:t xml:space="preserve"> project that </w:t>
      </w:r>
      <w:r>
        <w:rPr>
          <w:rFonts w:cs="Times New Roman"/>
          <w:szCs w:val="24"/>
        </w:rPr>
        <w:t xml:space="preserve">an </w:t>
      </w:r>
      <w:r w:rsidRPr="008E510B">
        <w:rPr>
          <w:rFonts w:cs="Times New Roman"/>
          <w:szCs w:val="24"/>
        </w:rPr>
        <w:t xml:space="preserve">additional investment </w:t>
      </w:r>
      <w:r>
        <w:rPr>
          <w:rFonts w:cs="Times New Roman"/>
          <w:szCs w:val="24"/>
        </w:rPr>
        <w:t xml:space="preserve">of </w:t>
      </w:r>
      <w:r w:rsidRPr="008E510B">
        <w:rPr>
          <w:rFonts w:cs="Times New Roman"/>
          <w:szCs w:val="24"/>
        </w:rPr>
        <w:t>US$ 72.1 billion is needed to achieve high coverage of an essential package of maternal and newborn health services.</w:t>
      </w:r>
      <w:r w:rsidRPr="00FF525B">
        <w:rPr>
          <w:rFonts w:cs="Times New Roman"/>
          <w:noProof/>
          <w:szCs w:val="24"/>
          <w:vertAlign w:val="superscript"/>
        </w:rPr>
        <w:t>83</w:t>
      </w:r>
      <w:r w:rsidRPr="008E510B">
        <w:rPr>
          <w:rFonts w:cs="Times New Roman"/>
          <w:szCs w:val="24"/>
        </w:rPr>
        <w:t xml:space="preserve"> </w:t>
      </w:r>
      <w:r>
        <w:rPr>
          <w:rFonts w:cs="Times New Roman"/>
          <w:szCs w:val="24"/>
        </w:rPr>
        <w:t xml:space="preserve">These services </w:t>
      </w:r>
      <w:r w:rsidRPr="008E510B">
        <w:rPr>
          <w:rFonts w:cs="Times New Roman"/>
          <w:szCs w:val="24"/>
        </w:rPr>
        <w:t>can be expected to yield a triple benefit of reduced maternal deaths, stillbirths and newborn deaths</w:t>
      </w:r>
      <w:r>
        <w:rPr>
          <w:rFonts w:cs="Times New Roman"/>
          <w:szCs w:val="24"/>
        </w:rPr>
        <w:t>, and gains for child health and development</w:t>
      </w:r>
      <w:r w:rsidRPr="008E510B">
        <w:rPr>
          <w:rFonts w:cs="Times New Roman"/>
          <w:szCs w:val="24"/>
        </w:rPr>
        <w:t xml:space="preserve">. How then can the global community translate potential long-term investment returns into concrete next steps that will improve maternal health over the next five years? </w:t>
      </w:r>
    </w:p>
    <w:p w:rsidR="00F067F1" w:rsidRPr="008E510B" w:rsidRDefault="00F067F1" w:rsidP="00166072">
      <w:pPr>
        <w:pStyle w:val="Heading4"/>
        <w:rPr>
          <w:rFonts w:ascii="Times New Roman" w:hAnsi="Times New Roman" w:cs="Times New Roman"/>
          <w:szCs w:val="24"/>
        </w:rPr>
      </w:pPr>
      <w:r w:rsidRPr="008E510B">
        <w:rPr>
          <w:rFonts w:ascii="Times New Roman" w:hAnsi="Times New Roman" w:cs="Times New Roman"/>
          <w:szCs w:val="24"/>
        </w:rPr>
        <w:t>Captur</w:t>
      </w:r>
      <w:r>
        <w:rPr>
          <w:rFonts w:ascii="Times New Roman" w:hAnsi="Times New Roman" w:cs="Times New Roman"/>
          <w:szCs w:val="24"/>
        </w:rPr>
        <w:t>e</w:t>
      </w:r>
      <w:r w:rsidRPr="008E510B">
        <w:rPr>
          <w:rFonts w:ascii="Times New Roman" w:hAnsi="Times New Roman" w:cs="Times New Roman"/>
          <w:szCs w:val="24"/>
        </w:rPr>
        <w:t xml:space="preserve"> expanded domestic fiscal space for maternal health </w:t>
      </w:r>
    </w:p>
    <w:p w:rsidR="00F067F1" w:rsidRPr="008E510B" w:rsidRDefault="00F067F1" w:rsidP="00CD7082">
      <w:pPr>
        <w:rPr>
          <w:rFonts w:cs="Times New Roman"/>
          <w:szCs w:val="24"/>
        </w:rPr>
      </w:pPr>
      <w:r w:rsidRPr="00CE7100">
        <w:rPr>
          <w:rFonts w:cs="Times New Roman"/>
          <w:szCs w:val="24"/>
        </w:rPr>
        <w:t>In this series, Kruk and colleagues</w:t>
      </w:r>
      <w:r w:rsidRPr="00FF525B">
        <w:rPr>
          <w:rFonts w:cs="Times New Roman"/>
          <w:noProof/>
          <w:szCs w:val="24"/>
          <w:vertAlign w:val="superscript"/>
        </w:rPr>
        <w:t>71</w:t>
      </w:r>
      <w:r w:rsidRPr="00CE7100">
        <w:rPr>
          <w:rFonts w:cs="Times New Roman"/>
          <w:szCs w:val="24"/>
        </w:rPr>
        <w:t xml:space="preserve"> </w:t>
      </w:r>
      <w:r w:rsidRPr="008E510B">
        <w:rPr>
          <w:rFonts w:cs="Times New Roman"/>
          <w:szCs w:val="24"/>
        </w:rPr>
        <w:t>highlight that the economic transition in LMICs can increase the domestic fiscal space for health. However, 10 years after a Lancet Series paper on financing for maternal health,</w:t>
      </w:r>
      <w:r w:rsidRPr="00FF525B">
        <w:rPr>
          <w:rFonts w:cs="Times New Roman"/>
          <w:noProof/>
          <w:szCs w:val="24"/>
          <w:vertAlign w:val="superscript"/>
        </w:rPr>
        <w:t>85</w:t>
      </w:r>
      <w:r w:rsidRPr="008E510B">
        <w:rPr>
          <w:rFonts w:cs="Times New Roman"/>
          <w:szCs w:val="24"/>
        </w:rPr>
        <w:t xml:space="preserve"> concern remains as to whether the maternal health financing gaps can be filled with domestic resources. Nandakumar et al</w:t>
      </w:r>
      <w:r w:rsidRPr="00FF525B">
        <w:rPr>
          <w:rFonts w:cs="Times New Roman"/>
          <w:noProof/>
          <w:szCs w:val="24"/>
          <w:vertAlign w:val="superscript"/>
        </w:rPr>
        <w:t>86</w:t>
      </w:r>
      <w:r w:rsidRPr="008E510B">
        <w:rPr>
          <w:rFonts w:cs="Times New Roman"/>
          <w:szCs w:val="24"/>
        </w:rPr>
        <w:t xml:space="preserve"> show that between 1995 and 2011, as countries transitioned from low to lower middle-income status and donor spending declined, governments did not step in to fill the gap. Indeed, the authors identified an increase in the share of out-of-pocket spending and other private sources of financing for health. Another analysis finds that while government spending on health in HICs rises commensurate with GDP growth, each percentage point increase in economic growth in LICs is associated with only half a percentage point growth in government spending on health.</w:t>
      </w:r>
      <w:r w:rsidRPr="00FF525B">
        <w:rPr>
          <w:rFonts w:cs="Times New Roman"/>
          <w:noProof/>
          <w:szCs w:val="24"/>
          <w:vertAlign w:val="superscript"/>
        </w:rPr>
        <w:t>87</w:t>
      </w:r>
      <w:r w:rsidRPr="008E510B">
        <w:rPr>
          <w:rFonts w:cs="Times New Roman"/>
          <w:szCs w:val="24"/>
        </w:rPr>
        <w:t xml:space="preserve"> A recent analysis echoed these concerns, projecting that between 2013 to 2040, only 3% of LICs and 37% of MICs are likely to reach the goal of 5% </w:t>
      </w:r>
      <w:r>
        <w:rPr>
          <w:rFonts w:cs="Times New Roman"/>
          <w:szCs w:val="24"/>
        </w:rPr>
        <w:t xml:space="preserve">of </w:t>
      </w:r>
      <w:r w:rsidRPr="008E510B">
        <w:rPr>
          <w:rFonts w:cs="Times New Roman"/>
          <w:szCs w:val="24"/>
        </w:rPr>
        <w:t xml:space="preserve">GDP </w:t>
      </w:r>
      <w:r>
        <w:rPr>
          <w:rFonts w:cs="Times New Roman"/>
          <w:szCs w:val="24"/>
        </w:rPr>
        <w:t xml:space="preserve">spent by the </w:t>
      </w:r>
      <w:r w:rsidRPr="008E510B">
        <w:rPr>
          <w:rFonts w:cs="Times New Roman"/>
          <w:szCs w:val="24"/>
        </w:rPr>
        <w:t xml:space="preserve">government </w:t>
      </w:r>
      <w:r>
        <w:rPr>
          <w:rFonts w:cs="Times New Roman"/>
          <w:szCs w:val="24"/>
        </w:rPr>
        <w:t xml:space="preserve">on </w:t>
      </w:r>
      <w:r w:rsidRPr="008E510B">
        <w:rPr>
          <w:rFonts w:cs="Times New Roman"/>
          <w:szCs w:val="24"/>
        </w:rPr>
        <w:t>health.</w:t>
      </w:r>
      <w:r w:rsidRPr="008E510B" w:rsidDel="008A3EBB">
        <w:rPr>
          <w:rFonts w:cs="Times New Roman"/>
          <w:szCs w:val="24"/>
        </w:rPr>
        <w:t xml:space="preserve"> </w:t>
      </w:r>
      <w:r w:rsidRPr="00FF525B">
        <w:rPr>
          <w:rFonts w:cs="Times New Roman"/>
          <w:noProof/>
          <w:szCs w:val="24"/>
          <w:vertAlign w:val="superscript"/>
        </w:rPr>
        <w:t>88</w:t>
      </w:r>
    </w:p>
    <w:p w:rsidR="00F067F1" w:rsidRPr="008E510B" w:rsidRDefault="00F067F1" w:rsidP="00871C9A">
      <w:pPr>
        <w:rPr>
          <w:rFonts w:cs="Times New Roman"/>
          <w:szCs w:val="24"/>
        </w:rPr>
      </w:pPr>
      <w:r>
        <w:rPr>
          <w:rFonts w:cs="Times New Roman"/>
          <w:szCs w:val="24"/>
        </w:rPr>
        <w:t>For these reasons</w:t>
      </w:r>
      <w:r w:rsidRPr="008E510B">
        <w:rPr>
          <w:rFonts w:cs="Times New Roman"/>
          <w:szCs w:val="24"/>
        </w:rPr>
        <w:t>, greater coordination and investment in national advocacy is needed to support governments to build and sustain health investments. Advocates should leverage the consensus statement on domestic resource mobilization that emerged from the 2015 Conference on Financing for Development in Addis Ababa to campaign for improv</w:t>
      </w:r>
      <w:r>
        <w:rPr>
          <w:rFonts w:cs="Times New Roman"/>
          <w:szCs w:val="24"/>
        </w:rPr>
        <w:t xml:space="preserve">ing </w:t>
      </w:r>
      <w:r w:rsidRPr="008E510B">
        <w:rPr>
          <w:rFonts w:cs="Times New Roman"/>
          <w:szCs w:val="24"/>
        </w:rPr>
        <w:t>countr</w:t>
      </w:r>
      <w:r>
        <w:rPr>
          <w:rFonts w:cs="Times New Roman"/>
          <w:szCs w:val="24"/>
        </w:rPr>
        <w:t>ies’</w:t>
      </w:r>
      <w:r w:rsidRPr="008E510B">
        <w:rPr>
          <w:rFonts w:cs="Times New Roman"/>
          <w:szCs w:val="24"/>
        </w:rPr>
        <w:t xml:space="preserve"> tax policy and tax administration. </w:t>
      </w:r>
      <w:r>
        <w:rPr>
          <w:rFonts w:cs="Times New Roman"/>
          <w:szCs w:val="24"/>
        </w:rPr>
        <w:t>O</w:t>
      </w:r>
      <w:r w:rsidRPr="008E510B">
        <w:rPr>
          <w:rFonts w:cs="Times New Roman"/>
          <w:szCs w:val="24"/>
        </w:rPr>
        <w:t xml:space="preserve">ptions to explore include sales taxes on alcohol and tobacco, tourist taxes, and redirecting fossil fuel subsidies to health. </w:t>
      </w:r>
    </w:p>
    <w:p w:rsidR="00F067F1" w:rsidRPr="008E510B" w:rsidRDefault="00F067F1" w:rsidP="00166072">
      <w:pPr>
        <w:pStyle w:val="Heading4"/>
        <w:rPr>
          <w:rFonts w:ascii="Times New Roman" w:hAnsi="Times New Roman" w:cs="Times New Roman"/>
          <w:szCs w:val="24"/>
        </w:rPr>
      </w:pPr>
      <w:r w:rsidRPr="008E510B">
        <w:rPr>
          <w:rFonts w:ascii="Times New Roman" w:hAnsi="Times New Roman" w:cs="Times New Roman"/>
          <w:szCs w:val="24"/>
        </w:rPr>
        <w:t>Deploy coordinated, targeted donor assistance for vulnerable populations</w:t>
      </w:r>
    </w:p>
    <w:p w:rsidR="00F067F1" w:rsidRPr="008E510B" w:rsidRDefault="00F067F1" w:rsidP="00166072">
      <w:pPr>
        <w:rPr>
          <w:rFonts w:cs="Times New Roman"/>
          <w:szCs w:val="24"/>
        </w:rPr>
      </w:pPr>
      <w:r>
        <w:rPr>
          <w:rFonts w:cs="Times New Roman"/>
          <w:szCs w:val="24"/>
        </w:rPr>
        <w:t>C</w:t>
      </w:r>
      <w:r w:rsidRPr="008E510B">
        <w:rPr>
          <w:rFonts w:cs="Times New Roman"/>
          <w:szCs w:val="24"/>
        </w:rPr>
        <w:t xml:space="preserve">ontinued donor support for maternal health interventions is most critical where need cannot be met via domestic resources, such as in </w:t>
      </w:r>
      <w:r>
        <w:rPr>
          <w:rFonts w:cs="Times New Roman"/>
          <w:szCs w:val="24"/>
        </w:rPr>
        <w:t>super-</w:t>
      </w:r>
      <w:r w:rsidRPr="008E510B">
        <w:rPr>
          <w:rFonts w:cs="Times New Roman"/>
          <w:szCs w:val="24"/>
        </w:rPr>
        <w:t>vulnerable populations where location and individual’s characteristics stack against sub-groups of women.</w:t>
      </w:r>
      <w:r w:rsidRPr="0017191C">
        <w:rPr>
          <w:rFonts w:cs="Times New Roman"/>
          <w:noProof/>
          <w:szCs w:val="24"/>
          <w:vertAlign w:val="superscript"/>
        </w:rPr>
        <w:t>10</w:t>
      </w:r>
      <w:r w:rsidRPr="008E510B">
        <w:rPr>
          <w:rFonts w:cs="Times New Roman"/>
          <w:szCs w:val="24"/>
        </w:rPr>
        <w:t xml:space="preserve"> Development aid for maternal health has increased annually since 2003,</w:t>
      </w:r>
      <w:r w:rsidRPr="00FF525B">
        <w:rPr>
          <w:rFonts w:cs="Times New Roman"/>
          <w:noProof/>
          <w:szCs w:val="24"/>
          <w:vertAlign w:val="superscript"/>
        </w:rPr>
        <w:t>89, 90</w:t>
      </w:r>
      <w:r>
        <w:rPr>
          <w:rFonts w:cs="Times New Roman"/>
          <w:szCs w:val="24"/>
          <w:vertAlign w:val="superscript"/>
        </w:rPr>
        <w:t>,</w:t>
      </w:r>
      <w:r w:rsidRPr="008E510B">
        <w:rPr>
          <w:rFonts w:cs="Times New Roman"/>
          <w:szCs w:val="24"/>
        </w:rPr>
        <w:t xml:space="preserve"> </w:t>
      </w:r>
      <w:r w:rsidRPr="00FF525B">
        <w:rPr>
          <w:rFonts w:cs="Times New Roman"/>
          <w:noProof/>
          <w:szCs w:val="24"/>
          <w:vertAlign w:val="superscript"/>
        </w:rPr>
        <w:t>88</w:t>
      </w:r>
      <w:r w:rsidRPr="008E510B">
        <w:rPr>
          <w:rFonts w:cs="Times New Roman"/>
          <w:szCs w:val="24"/>
        </w:rPr>
        <w:t>which is reassuring in the face of the decline in overall development assistance.</w:t>
      </w:r>
    </w:p>
    <w:p w:rsidR="00F067F1" w:rsidRPr="008E510B" w:rsidRDefault="00F067F1" w:rsidP="00EC608C">
      <w:pPr>
        <w:rPr>
          <w:rFonts w:cs="Times New Roman"/>
          <w:szCs w:val="24"/>
        </w:rPr>
      </w:pPr>
      <w:r w:rsidRPr="00CE7100">
        <w:rPr>
          <w:rFonts w:cs="Times New Roman"/>
          <w:szCs w:val="24"/>
        </w:rPr>
        <w:t>As Kruk and colleagues note</w:t>
      </w:r>
      <w:r w:rsidRPr="008E510B">
        <w:rPr>
          <w:rFonts w:cs="Times New Roman"/>
          <w:szCs w:val="24"/>
        </w:rPr>
        <w:t>,</w:t>
      </w:r>
      <w:r w:rsidRPr="00FF525B">
        <w:rPr>
          <w:rFonts w:cs="Times New Roman"/>
          <w:noProof/>
          <w:szCs w:val="24"/>
          <w:vertAlign w:val="superscript"/>
        </w:rPr>
        <w:t>71</w:t>
      </w:r>
      <w:r w:rsidRPr="008E510B">
        <w:rPr>
          <w:rFonts w:cs="Times New Roman"/>
          <w:szCs w:val="24"/>
        </w:rPr>
        <w:t xml:space="preserve"> new initiatives are proliferating to maintain momentum for</w:t>
      </w:r>
      <w:r w:rsidRPr="008E510B">
        <w:rPr>
          <w:rFonts w:eastAsiaTheme="minorEastAsia" w:cs="Times New Roman"/>
          <w:szCs w:val="24"/>
        </w:rPr>
        <w:t xml:space="preserve"> Reproductive, Maternal, Newborn, Child, and Adolescent Health (RMNCAH) </w:t>
      </w:r>
      <w:r w:rsidRPr="008E510B">
        <w:rPr>
          <w:rFonts w:cs="Times New Roman"/>
          <w:szCs w:val="24"/>
        </w:rPr>
        <w:t>in the SDG era. For example, the Global Financing Facility (GFF) was launched in July 2015 to increase, coordinate, and better target donor and domestic funding for women’s, children’s and adolescents’ health in support of the 2030 SDGs.</w:t>
      </w:r>
      <w:r w:rsidRPr="00FF525B">
        <w:rPr>
          <w:rFonts w:cs="Times New Roman"/>
          <w:noProof/>
          <w:szCs w:val="24"/>
          <w:vertAlign w:val="superscript"/>
        </w:rPr>
        <w:t>84</w:t>
      </w:r>
      <w:r w:rsidRPr="008E510B">
        <w:rPr>
          <w:rFonts w:cs="Times New Roman"/>
          <w:szCs w:val="24"/>
        </w:rPr>
        <w:t xml:space="preserve"> Still, some development players remain skeptical, citing concerns that the GFF will further fragment the global system and undermine the position of UN agencies.</w:t>
      </w:r>
      <w:r w:rsidRPr="00FF525B">
        <w:rPr>
          <w:rFonts w:cs="Times New Roman"/>
          <w:noProof/>
          <w:szCs w:val="24"/>
          <w:vertAlign w:val="superscript"/>
        </w:rPr>
        <w:t>91</w:t>
      </w:r>
      <w:r w:rsidRPr="008E510B">
        <w:rPr>
          <w:rFonts w:cs="Times New Roman"/>
          <w:szCs w:val="24"/>
        </w:rPr>
        <w:t xml:space="preserve"> Moreover, it is </w:t>
      </w:r>
      <w:r>
        <w:rPr>
          <w:rFonts w:cs="Times New Roman"/>
          <w:szCs w:val="24"/>
        </w:rPr>
        <w:t>un</w:t>
      </w:r>
      <w:r w:rsidRPr="008E510B">
        <w:rPr>
          <w:rFonts w:cs="Times New Roman"/>
          <w:szCs w:val="24"/>
        </w:rPr>
        <w:t>clear whether and how such mechanisms will reach the super-vulnerable within countries. The next five years will be critical for the GFF to demonstrate its capacity to raise national health resources and effectively improve RMNCAH.</w:t>
      </w:r>
    </w:p>
    <w:p w:rsidR="00F067F1" w:rsidRPr="008E510B" w:rsidRDefault="00F067F1" w:rsidP="006E72C0">
      <w:pPr>
        <w:pStyle w:val="Heading4"/>
        <w:rPr>
          <w:rFonts w:ascii="Times New Roman" w:hAnsi="Times New Roman" w:cs="Times New Roman"/>
          <w:szCs w:val="24"/>
          <w:lang w:val="en"/>
        </w:rPr>
      </w:pPr>
      <w:r>
        <w:rPr>
          <w:rFonts w:ascii="Times New Roman" w:hAnsi="Times New Roman" w:cs="Times New Roman"/>
          <w:szCs w:val="24"/>
          <w:lang w:val="en"/>
        </w:rPr>
        <w:t>Effectively employ s</w:t>
      </w:r>
      <w:r w:rsidRPr="008E510B">
        <w:rPr>
          <w:rFonts w:ascii="Times New Roman" w:hAnsi="Times New Roman" w:cs="Times New Roman"/>
          <w:szCs w:val="24"/>
          <w:lang w:val="en"/>
        </w:rPr>
        <w:t>trategic purchasing and performance-based incentives</w:t>
      </w:r>
    </w:p>
    <w:p w:rsidR="00F067F1" w:rsidRPr="008E510B" w:rsidRDefault="00F067F1" w:rsidP="006E72C0">
      <w:pPr>
        <w:autoSpaceDE w:val="0"/>
        <w:autoSpaceDN w:val="0"/>
        <w:adjustRightInd w:val="0"/>
        <w:spacing w:after="0"/>
        <w:rPr>
          <w:rFonts w:cs="Times New Roman"/>
          <w:szCs w:val="24"/>
          <w:lang w:val="en"/>
        </w:rPr>
      </w:pPr>
      <w:r w:rsidRPr="008E510B">
        <w:rPr>
          <w:rFonts w:cs="Times New Roman"/>
          <w:szCs w:val="24"/>
          <w:lang w:val="en"/>
        </w:rPr>
        <w:t>Equally important to mobiliz</w:t>
      </w:r>
      <w:r>
        <w:rPr>
          <w:rFonts w:cs="Times New Roman"/>
          <w:szCs w:val="24"/>
          <w:lang w:val="en"/>
        </w:rPr>
        <w:t xml:space="preserve">ing </w:t>
      </w:r>
      <w:r w:rsidRPr="008E510B">
        <w:rPr>
          <w:rFonts w:cs="Times New Roman"/>
          <w:szCs w:val="24"/>
          <w:lang w:val="en"/>
        </w:rPr>
        <w:t xml:space="preserve">adequate financial resources for maternal-newborn health care is the optimal allocation and efficient use of those resources. As domestic resources increasingly fund such programming, the importance of supporting governments and private financiers to implement strategic purchasing will also grow. Strategic purchasing can be defined as proactively identifying </w:t>
      </w:r>
      <w:r w:rsidRPr="008E510B">
        <w:rPr>
          <w:rFonts w:cs="Times New Roman"/>
          <w:i/>
          <w:szCs w:val="24"/>
          <w:lang w:val="en"/>
        </w:rPr>
        <w:t>which</w:t>
      </w:r>
      <w:r w:rsidRPr="008E510B">
        <w:rPr>
          <w:rFonts w:cs="Times New Roman"/>
          <w:szCs w:val="24"/>
          <w:lang w:val="en"/>
        </w:rPr>
        <w:t xml:space="preserve"> models of care and interventions to invest in (taking into account cost-effectiveness, burden of disease, and population preferences); determining </w:t>
      </w:r>
      <w:r w:rsidRPr="008E510B">
        <w:rPr>
          <w:rFonts w:cs="Times New Roman"/>
          <w:i/>
          <w:szCs w:val="24"/>
          <w:lang w:val="en"/>
        </w:rPr>
        <w:t>how</w:t>
      </w:r>
      <w:r w:rsidRPr="008E510B">
        <w:rPr>
          <w:rFonts w:cs="Times New Roman"/>
          <w:szCs w:val="24"/>
          <w:lang w:val="en"/>
        </w:rPr>
        <w:t xml:space="preserve"> they should be purchased (including contractual mechanisms, pricing, and payment systems); </w:t>
      </w:r>
      <w:r w:rsidRPr="008E510B">
        <w:rPr>
          <w:rFonts w:cs="Times New Roman"/>
          <w:i/>
          <w:szCs w:val="24"/>
          <w:lang w:val="en"/>
        </w:rPr>
        <w:t>for</w:t>
      </w:r>
      <w:r w:rsidRPr="008E510B">
        <w:rPr>
          <w:rFonts w:cs="Times New Roman"/>
          <w:szCs w:val="24"/>
          <w:lang w:val="en"/>
        </w:rPr>
        <w:t xml:space="preserve"> </w:t>
      </w:r>
      <w:r w:rsidRPr="008E510B">
        <w:rPr>
          <w:rFonts w:cs="Times New Roman"/>
          <w:i/>
          <w:szCs w:val="24"/>
          <w:lang w:val="en"/>
        </w:rPr>
        <w:t>whom</w:t>
      </w:r>
      <w:r w:rsidRPr="008E510B">
        <w:rPr>
          <w:rFonts w:cs="Times New Roman"/>
          <w:szCs w:val="24"/>
          <w:lang w:val="en"/>
        </w:rPr>
        <w:t xml:space="preserve"> they should be purchased (which groups might benefit from subsidies, for instance); and selecting </w:t>
      </w:r>
      <w:r w:rsidRPr="008E510B">
        <w:rPr>
          <w:rFonts w:cs="Times New Roman"/>
          <w:i/>
          <w:szCs w:val="24"/>
          <w:lang w:val="en"/>
        </w:rPr>
        <w:t>which health care providers</w:t>
      </w:r>
      <w:r w:rsidRPr="008E510B">
        <w:rPr>
          <w:rFonts w:cs="Times New Roman"/>
          <w:szCs w:val="24"/>
          <w:lang w:val="en"/>
        </w:rPr>
        <w:t xml:space="preserve"> to purchase services from – ideally those who can provide the highest quality of care most efficiently, whether public or private sector.</w:t>
      </w:r>
      <w:r w:rsidRPr="00FF525B">
        <w:rPr>
          <w:rFonts w:cs="Times New Roman"/>
          <w:noProof/>
          <w:szCs w:val="24"/>
          <w:vertAlign w:val="superscript"/>
          <w:lang w:val="en"/>
        </w:rPr>
        <w:t>92, 93</w:t>
      </w:r>
      <w:r w:rsidRPr="008E510B">
        <w:rPr>
          <w:rFonts w:cs="Times New Roman"/>
          <w:szCs w:val="24"/>
          <w:lang w:val="en"/>
        </w:rPr>
        <w:t xml:space="preserve"> Not only can this active purchasing approach ensure that scarce resources are allocated appropriately, but – if designed well – the mechanisms for paying providers can incentivize improvements in performance and quality of care.</w:t>
      </w:r>
    </w:p>
    <w:p w:rsidR="00F067F1" w:rsidRPr="008E510B" w:rsidRDefault="00F067F1" w:rsidP="006E72C0">
      <w:pPr>
        <w:autoSpaceDE w:val="0"/>
        <w:autoSpaceDN w:val="0"/>
        <w:adjustRightInd w:val="0"/>
        <w:spacing w:after="0"/>
        <w:rPr>
          <w:rFonts w:cs="Times New Roman"/>
          <w:szCs w:val="24"/>
          <w:lang w:val="en"/>
        </w:rPr>
      </w:pPr>
    </w:p>
    <w:p w:rsidR="00F067F1" w:rsidRPr="008E510B" w:rsidRDefault="00F067F1" w:rsidP="008C56ED">
      <w:pPr>
        <w:autoSpaceDE w:val="0"/>
        <w:autoSpaceDN w:val="0"/>
        <w:adjustRightInd w:val="0"/>
        <w:spacing w:after="0"/>
        <w:rPr>
          <w:rFonts w:cs="Times New Roman"/>
          <w:szCs w:val="24"/>
        </w:rPr>
      </w:pPr>
      <w:r w:rsidRPr="008E510B">
        <w:rPr>
          <w:rFonts w:cs="Times New Roman"/>
          <w:szCs w:val="24"/>
        </w:rPr>
        <w:t xml:space="preserve">Reviews of the effects of financial incentive programs, including performance- or results-based financing (RBF) and vouchers, on improving the quality and quantity of maternal health service provision suggest these can be successful, </w:t>
      </w:r>
      <w:r>
        <w:rPr>
          <w:rFonts w:cs="Times New Roman"/>
          <w:szCs w:val="24"/>
        </w:rPr>
        <w:t>especially when users have choice among providers</w:t>
      </w:r>
      <w:r w:rsidRPr="008E510B">
        <w:rPr>
          <w:rFonts w:cs="Times New Roman"/>
          <w:szCs w:val="24"/>
        </w:rPr>
        <w:t>.</w:t>
      </w:r>
      <w:r w:rsidRPr="00FF525B">
        <w:rPr>
          <w:rFonts w:cs="Times New Roman"/>
          <w:noProof/>
          <w:szCs w:val="24"/>
          <w:vertAlign w:val="superscript"/>
        </w:rPr>
        <w:t>94, 95</w:t>
      </w:r>
      <w:r w:rsidRPr="008E510B">
        <w:rPr>
          <w:rFonts w:cs="Times New Roman"/>
          <w:szCs w:val="24"/>
        </w:rPr>
        <w:t xml:space="preserve"> However, RBF schemes that reward providers for better outcomes must be thoughtfully designed to avoid unintended consequences,</w:t>
      </w:r>
      <w:r>
        <w:rPr>
          <w:rFonts w:cs="Times New Roman"/>
          <w:szCs w:val="24"/>
        </w:rPr>
        <w:t xml:space="preserve"> such as only serving the lowest-risk women. </w:t>
      </w:r>
      <w:r w:rsidRPr="008E510B">
        <w:rPr>
          <w:rFonts w:cs="Times New Roman"/>
          <w:szCs w:val="24"/>
        </w:rPr>
        <w:t>In addition, rigorously monitor</w:t>
      </w:r>
      <w:r>
        <w:rPr>
          <w:rFonts w:cs="Times New Roman"/>
          <w:szCs w:val="24"/>
        </w:rPr>
        <w:t>ing</w:t>
      </w:r>
      <w:r w:rsidRPr="008E510B">
        <w:rPr>
          <w:rFonts w:cs="Times New Roman"/>
          <w:szCs w:val="24"/>
        </w:rPr>
        <w:t xml:space="preserve"> for accountability in RBF programs is key to its impacts, and as yet such measurement remains challenging in many LMIC settings, particularly regarding equity. </w:t>
      </w:r>
      <w:r w:rsidRPr="00A83B28">
        <w:rPr>
          <w:rFonts w:cs="Times New Roman"/>
          <w:szCs w:val="24"/>
        </w:rPr>
        <w:t>Nonetheless, i</w:t>
      </w:r>
      <w:r w:rsidRPr="00A83B28">
        <w:rPr>
          <w:rFonts w:cs="Times New Roman"/>
          <w:szCs w:val="24"/>
          <w:lang w:val="en"/>
        </w:rPr>
        <w:t xml:space="preserve">n the next five years, particular attention should be paid to intelligently </w:t>
      </w:r>
      <w:r w:rsidRPr="00A83B28">
        <w:rPr>
          <w:rFonts w:cs="Times New Roman"/>
          <w:szCs w:val="24"/>
        </w:rPr>
        <w:t xml:space="preserve">incorporating performance elements to provider payment systems to improve the efficiency and effectiveness of resource use for maternal health services. </w:t>
      </w:r>
    </w:p>
    <w:p w:rsidR="00F067F1" w:rsidRPr="008E510B" w:rsidRDefault="00F067F1" w:rsidP="008C56ED">
      <w:pPr>
        <w:autoSpaceDE w:val="0"/>
        <w:autoSpaceDN w:val="0"/>
        <w:adjustRightInd w:val="0"/>
        <w:spacing w:after="0"/>
        <w:rPr>
          <w:rFonts w:cs="Times New Roman"/>
          <w:szCs w:val="24"/>
        </w:rPr>
      </w:pPr>
    </w:p>
    <w:p w:rsidR="00F067F1" w:rsidRPr="008E510B" w:rsidRDefault="00F067F1" w:rsidP="00CC3615">
      <w:pPr>
        <w:rPr>
          <w:rFonts w:cs="Times New Roman"/>
          <w:szCs w:val="24"/>
        </w:rPr>
      </w:pPr>
      <w:r w:rsidRPr="008E510B">
        <w:rPr>
          <w:rFonts w:cs="Times New Roman"/>
          <w:szCs w:val="24"/>
        </w:rPr>
        <w:t>Private-sector providers form a significant part of health systems in m</w:t>
      </w:r>
      <w:r>
        <w:rPr>
          <w:rFonts w:cs="Times New Roman"/>
          <w:szCs w:val="24"/>
        </w:rPr>
        <w:t>any</w:t>
      </w:r>
      <w:r w:rsidRPr="008E510B">
        <w:rPr>
          <w:rFonts w:cs="Times New Roman"/>
          <w:szCs w:val="24"/>
        </w:rPr>
        <w:t xml:space="preserve"> countries, and are currently responsible for one of every five deliveries across 57 LMICs,</w:t>
      </w:r>
      <w:r w:rsidRPr="00FF525B">
        <w:rPr>
          <w:rFonts w:cs="Times New Roman"/>
          <w:noProof/>
          <w:szCs w:val="24"/>
          <w:vertAlign w:val="superscript"/>
        </w:rPr>
        <w:t>96</w:t>
      </w:r>
      <w:r w:rsidRPr="008E510B">
        <w:rPr>
          <w:rFonts w:cs="Times New Roman"/>
          <w:szCs w:val="24"/>
        </w:rPr>
        <w:t xml:space="preserve"> and </w:t>
      </w:r>
      <w:r>
        <w:rPr>
          <w:rFonts w:cs="Times New Roman"/>
          <w:szCs w:val="24"/>
        </w:rPr>
        <w:t>a</w:t>
      </w:r>
      <w:r w:rsidRPr="008E510B">
        <w:rPr>
          <w:rFonts w:cs="Times New Roman"/>
          <w:szCs w:val="24"/>
        </w:rPr>
        <w:t xml:space="preserve"> majority of care in some settings. Leveraging the power of the private health sector to deliver maternal health services efficiently and effectively</w:t>
      </w:r>
      <w:r>
        <w:rPr>
          <w:rFonts w:cs="Times New Roman"/>
          <w:szCs w:val="24"/>
        </w:rPr>
        <w:t xml:space="preserve"> is not easy,</w:t>
      </w:r>
      <w:r w:rsidRPr="0006570C">
        <w:rPr>
          <w:rFonts w:cs="Times New Roman"/>
          <w:noProof/>
          <w:szCs w:val="24"/>
          <w:vertAlign w:val="superscript"/>
        </w:rPr>
        <w:t>97</w:t>
      </w:r>
      <w:r w:rsidRPr="008E510B">
        <w:rPr>
          <w:rFonts w:cs="Times New Roman"/>
          <w:szCs w:val="24"/>
        </w:rPr>
        <w:t xml:space="preserve"> through approaches such as contracting and social franchising</w:t>
      </w:r>
      <w:r w:rsidRPr="000C68F3">
        <w:rPr>
          <w:rFonts w:cs="Times New Roman"/>
          <w:szCs w:val="24"/>
        </w:rPr>
        <w:t xml:space="preserve"> </w:t>
      </w:r>
      <w:r>
        <w:rPr>
          <w:rFonts w:cs="Times New Roman"/>
          <w:szCs w:val="24"/>
        </w:rPr>
        <w:t xml:space="preserve">can be </w:t>
      </w:r>
      <w:r w:rsidRPr="008E510B">
        <w:rPr>
          <w:rFonts w:cs="Times New Roman"/>
          <w:szCs w:val="24"/>
        </w:rPr>
        <w:t>another critical component of strategic purchasing. Contracts set clear expectations for providers and tie payments to achievement of predefined objectives.</w:t>
      </w:r>
      <w:r w:rsidRPr="0006570C">
        <w:rPr>
          <w:rFonts w:cs="Times New Roman"/>
          <w:noProof/>
          <w:szCs w:val="24"/>
          <w:vertAlign w:val="superscript"/>
        </w:rPr>
        <w:t>98</w:t>
      </w:r>
      <w:r w:rsidRPr="008E510B">
        <w:rPr>
          <w:rFonts w:cs="Times New Roman"/>
          <w:szCs w:val="24"/>
        </w:rPr>
        <w:t xml:space="preserve"> </w:t>
      </w:r>
      <w:r>
        <w:rPr>
          <w:rFonts w:cs="Times New Roman"/>
          <w:szCs w:val="24"/>
        </w:rPr>
        <w:t>If</w:t>
      </w:r>
      <w:r w:rsidRPr="008E510B">
        <w:rPr>
          <w:rFonts w:cs="Times New Roman"/>
          <w:szCs w:val="24"/>
        </w:rPr>
        <w:t xml:space="preserve"> utilization of private providers for maternal health services grows,</w:t>
      </w:r>
      <w:r w:rsidRPr="0006570C">
        <w:rPr>
          <w:rFonts w:cs="Times New Roman"/>
          <w:noProof/>
          <w:szCs w:val="24"/>
          <w:vertAlign w:val="superscript"/>
        </w:rPr>
        <w:t>99</w:t>
      </w:r>
      <w:r w:rsidRPr="008E510B">
        <w:rPr>
          <w:rFonts w:cs="Times New Roman"/>
          <w:szCs w:val="24"/>
        </w:rPr>
        <w:t xml:space="preserve"> contracts between government payment agencies (such as national health insurance schemes) and private providers will be an important component of the toolkit for promoting quality and access.</w:t>
      </w:r>
      <w:r w:rsidRPr="0006570C">
        <w:rPr>
          <w:rFonts w:cs="Times New Roman"/>
          <w:noProof/>
          <w:szCs w:val="24"/>
          <w:vertAlign w:val="superscript"/>
        </w:rPr>
        <w:t>100</w:t>
      </w:r>
      <w:r w:rsidRPr="008E510B">
        <w:rPr>
          <w:rFonts w:cs="Times New Roman"/>
          <w:szCs w:val="24"/>
        </w:rPr>
        <w:t xml:space="preserve"> Franchising </w:t>
      </w:r>
      <w:r>
        <w:rPr>
          <w:rFonts w:cs="Times New Roman"/>
          <w:szCs w:val="24"/>
        </w:rPr>
        <w:t xml:space="preserve">also </w:t>
      </w:r>
      <w:r w:rsidRPr="008E510B">
        <w:rPr>
          <w:rFonts w:cs="Times New Roman"/>
          <w:szCs w:val="24"/>
        </w:rPr>
        <w:t>has the potential to improve quality and maternal health outcomes in the private sector, but the evidence base is weak.</w:t>
      </w:r>
      <w:r w:rsidRPr="0006570C">
        <w:rPr>
          <w:rFonts w:cs="Times New Roman"/>
          <w:noProof/>
          <w:szCs w:val="24"/>
          <w:vertAlign w:val="superscript"/>
        </w:rPr>
        <w:t>99, 101</w:t>
      </w:r>
      <w:r w:rsidRPr="008E510B">
        <w:rPr>
          <w:rFonts w:cs="Times New Roman"/>
          <w:szCs w:val="24"/>
        </w:rPr>
        <w:t xml:space="preserve"> </w:t>
      </w:r>
    </w:p>
    <w:p w:rsidR="00F067F1" w:rsidRPr="008E510B" w:rsidRDefault="00F067F1" w:rsidP="004F5070">
      <w:pPr>
        <w:pStyle w:val="Heading1"/>
        <w:rPr>
          <w:rFonts w:cs="Times New Roman"/>
          <w:szCs w:val="24"/>
        </w:rPr>
      </w:pPr>
      <w:r w:rsidRPr="008E510B">
        <w:rPr>
          <w:rFonts w:cs="Times New Roman"/>
          <w:szCs w:val="24"/>
        </w:rPr>
        <w:t>Priority 5: Accelerate progress through evidence, advocacy, and accountability</w:t>
      </w:r>
      <w:r>
        <w:rPr>
          <w:rFonts w:cs="Times New Roman"/>
          <w:szCs w:val="24"/>
        </w:rPr>
        <w:t xml:space="preserve"> </w:t>
      </w:r>
    </w:p>
    <w:p w:rsidR="00F067F1" w:rsidRPr="008E510B" w:rsidRDefault="00F067F1" w:rsidP="00166072">
      <w:pPr>
        <w:pStyle w:val="Heading2"/>
        <w:rPr>
          <w:rFonts w:cs="Times New Roman"/>
          <w:szCs w:val="24"/>
        </w:rPr>
      </w:pPr>
      <w:r w:rsidRPr="008E510B">
        <w:rPr>
          <w:rFonts w:cs="Times New Roman"/>
          <w:szCs w:val="24"/>
        </w:rPr>
        <w:t>Priority Action 5.1: Develop better metrics and support implementation research to promote accountable, evidence-based maternal health care</w:t>
      </w:r>
    </w:p>
    <w:p w:rsidR="00F067F1" w:rsidRPr="008E510B" w:rsidRDefault="00F067F1" w:rsidP="00D87B1B">
      <w:pPr>
        <w:rPr>
          <w:rFonts w:cs="Times New Roman"/>
          <w:szCs w:val="24"/>
        </w:rPr>
      </w:pPr>
      <w:r w:rsidRPr="008E510B">
        <w:rPr>
          <w:rFonts w:cs="Times New Roman"/>
          <w:szCs w:val="24"/>
        </w:rPr>
        <w:t>Research is an essential component of the post-2015 maternal health agenda. Yet research funding is not commensurate with need: only 35% of published research in 2011-4 addresses problems in high burden countries. Even so</w:t>
      </w:r>
      <w:r>
        <w:rPr>
          <w:rFonts w:cs="Times New Roman"/>
          <w:szCs w:val="24"/>
        </w:rPr>
        <w:t xml:space="preserve">, </w:t>
      </w:r>
      <w:r w:rsidRPr="008E510B">
        <w:rPr>
          <w:rFonts w:cs="Times New Roman"/>
          <w:szCs w:val="24"/>
        </w:rPr>
        <w:t>the number of research papers on maternal health in high burden countries doubled</w:t>
      </w:r>
      <w:r w:rsidRPr="008E510B" w:rsidDel="00C843F7">
        <w:rPr>
          <w:rFonts w:cs="Times New Roman"/>
          <w:szCs w:val="24"/>
        </w:rPr>
        <w:t xml:space="preserve"> </w:t>
      </w:r>
      <w:r w:rsidRPr="008E510B">
        <w:rPr>
          <w:rFonts w:cs="Times New Roman"/>
          <w:szCs w:val="24"/>
        </w:rPr>
        <w:t>in 2011-2014 compared with the preceding 5 years</w:t>
      </w:r>
      <w:r w:rsidRPr="0006570C">
        <w:rPr>
          <w:rFonts w:cs="Times New Roman"/>
          <w:noProof/>
          <w:szCs w:val="24"/>
          <w:vertAlign w:val="superscript"/>
        </w:rPr>
        <w:t>102</w:t>
      </w:r>
      <w:r w:rsidRPr="008E510B">
        <w:rPr>
          <w:rFonts w:cs="Times New Roman"/>
          <w:szCs w:val="24"/>
        </w:rPr>
        <w:t xml:space="preserve">. </w:t>
      </w:r>
    </w:p>
    <w:p w:rsidR="00F067F1" w:rsidRPr="008E510B" w:rsidDel="007F53D4" w:rsidRDefault="00F067F1" w:rsidP="007910AC">
      <w:pPr>
        <w:spacing w:after="0"/>
        <w:rPr>
          <w:rFonts w:cs="Times New Roman"/>
          <w:szCs w:val="24"/>
        </w:rPr>
      </w:pPr>
      <w:r w:rsidRPr="008E510B">
        <w:rPr>
          <w:rFonts w:cs="Times New Roman"/>
          <w:szCs w:val="24"/>
        </w:rPr>
        <w:t>Based on recent literature reviews,</w:t>
      </w:r>
      <w:r w:rsidRPr="0006570C">
        <w:rPr>
          <w:rFonts w:cs="Times New Roman"/>
          <w:noProof/>
          <w:szCs w:val="24"/>
          <w:vertAlign w:val="superscript"/>
        </w:rPr>
        <w:t>103, 104</w:t>
      </w:r>
      <w:r w:rsidRPr="008E510B">
        <w:rPr>
          <w:rFonts w:cs="Times New Roman"/>
          <w:szCs w:val="24"/>
        </w:rPr>
        <w:t xml:space="preserve"> the five papers in this series, and discussion</w:t>
      </w:r>
      <w:r>
        <w:rPr>
          <w:rFonts w:cs="Times New Roman"/>
          <w:szCs w:val="24"/>
        </w:rPr>
        <w:t>s</w:t>
      </w:r>
      <w:r w:rsidRPr="008E510B">
        <w:rPr>
          <w:rFonts w:cs="Times New Roman"/>
          <w:szCs w:val="24"/>
        </w:rPr>
        <w:t xml:space="preserve"> with the series’ authors, we identify </w:t>
      </w:r>
      <w:r w:rsidRPr="008E510B">
        <w:rPr>
          <w:rFonts w:cs="Times New Roman"/>
          <w:color w:val="000000"/>
          <w:szCs w:val="24"/>
        </w:rPr>
        <w:t xml:space="preserve">two types of research specifically needed to scale up and accelerate progress in maternal health. The first is on measurement of the morbidity and mortality burden and causes, vulnerable groups, and on indicators to measure progress of policies and promote accountability, health system capability, content of intrapartum care, and women’s satisfaction. Secondly, there </w:t>
      </w:r>
      <w:r w:rsidRPr="008E510B">
        <w:rPr>
          <w:rFonts w:cs="Times New Roman"/>
          <w:szCs w:val="24"/>
        </w:rPr>
        <w:t xml:space="preserve">is an urgent need for research on </w:t>
      </w:r>
      <w:r>
        <w:rPr>
          <w:rFonts w:cs="Times New Roman"/>
          <w:szCs w:val="24"/>
        </w:rPr>
        <w:t xml:space="preserve">models for </w:t>
      </w:r>
      <w:r w:rsidRPr="008E510B">
        <w:rPr>
          <w:rFonts w:cs="Times New Roman"/>
          <w:szCs w:val="24"/>
        </w:rPr>
        <w:t>implement</w:t>
      </w:r>
      <w:r>
        <w:rPr>
          <w:rFonts w:cs="Times New Roman"/>
          <w:szCs w:val="24"/>
        </w:rPr>
        <w:t>ing</w:t>
      </w:r>
      <w:r w:rsidRPr="008E510B">
        <w:rPr>
          <w:rFonts w:cs="Times New Roman"/>
          <w:szCs w:val="24"/>
        </w:rPr>
        <w:t xml:space="preserve"> care at all stages of the obstetric transition (Table 1)</w:t>
      </w:r>
      <w:r>
        <w:rPr>
          <w:rFonts w:cs="Times New Roman"/>
          <w:szCs w:val="24"/>
        </w:rPr>
        <w:t xml:space="preserve"> and on methods for scaling up pre-service training of skilled birth attendants</w:t>
      </w:r>
      <w:r w:rsidRPr="008E510B">
        <w:rPr>
          <w:rFonts w:cs="Times New Roman"/>
          <w:szCs w:val="24"/>
        </w:rPr>
        <w:t xml:space="preserve">. </w:t>
      </w:r>
    </w:p>
    <w:p w:rsidR="00F067F1" w:rsidRPr="008E510B" w:rsidRDefault="00F067F1">
      <w:pPr>
        <w:pStyle w:val="Heading3"/>
        <w:rPr>
          <w:rFonts w:ascii="Times New Roman" w:hAnsi="Times New Roman" w:cs="Times New Roman"/>
          <w:szCs w:val="24"/>
        </w:rPr>
      </w:pPr>
      <w:r w:rsidRPr="008E510B">
        <w:rPr>
          <w:rFonts w:ascii="Times New Roman" w:hAnsi="Times New Roman" w:cs="Times New Roman"/>
          <w:szCs w:val="24"/>
        </w:rPr>
        <w:t xml:space="preserve">Measurement: redefining maternal health metrics </w:t>
      </w:r>
    </w:p>
    <w:p w:rsidR="00F067F1" w:rsidRPr="008E510B" w:rsidRDefault="00F067F1">
      <w:pPr>
        <w:spacing w:after="0"/>
        <w:rPr>
          <w:rFonts w:cs="Times New Roman"/>
          <w:szCs w:val="24"/>
        </w:rPr>
      </w:pPr>
      <w:r w:rsidRPr="008E510B">
        <w:rPr>
          <w:rFonts w:cs="Times New Roman"/>
          <w:szCs w:val="24"/>
        </w:rPr>
        <w:t>Improving measurement and coding of maternal mortality and morbidity, including direct and indirect causes and risk factors, is essential to guide intervention research, set implementation priorities, and improve quality of care, particularly for women and babies most at risk. Better measurement will require standardizing definitions and methods of determining and recording direct, indirect, and contributing causes of death, as well as categories of illness and illness severity.</w:t>
      </w:r>
      <w:r w:rsidRPr="0017191C">
        <w:rPr>
          <w:rFonts w:cs="Times New Roman"/>
          <w:noProof/>
          <w:szCs w:val="24"/>
          <w:vertAlign w:val="superscript"/>
        </w:rPr>
        <w:t>10</w:t>
      </w:r>
      <w:r w:rsidRPr="008E510B">
        <w:rPr>
          <w:rFonts w:cs="Times New Roman"/>
          <w:szCs w:val="24"/>
        </w:rPr>
        <w:t xml:space="preserve"> </w:t>
      </w:r>
      <w:r>
        <w:rPr>
          <w:rFonts w:cs="Times New Roman"/>
          <w:szCs w:val="24"/>
        </w:rPr>
        <w:t>More importantly</w:t>
      </w:r>
      <w:r w:rsidRPr="008E510B">
        <w:rPr>
          <w:rFonts w:cs="Times New Roman"/>
          <w:szCs w:val="24"/>
        </w:rPr>
        <w:t>, better civil vital registration systems that accurately and comprehensively document pregnancy outcomes – births, stillbirths, neonatal deaths, and maternal deaths</w:t>
      </w:r>
      <w:r w:rsidRPr="0006570C">
        <w:rPr>
          <w:rFonts w:cs="Times New Roman"/>
          <w:noProof/>
          <w:szCs w:val="24"/>
          <w:vertAlign w:val="superscript"/>
        </w:rPr>
        <w:t>105</w:t>
      </w:r>
      <w:r w:rsidRPr="008E510B">
        <w:rPr>
          <w:rFonts w:cs="Times New Roman"/>
          <w:szCs w:val="24"/>
        </w:rPr>
        <w:t xml:space="preserve"> – are needed in many LMICs. The </w:t>
      </w:r>
      <w:r w:rsidRPr="008E510B">
        <w:rPr>
          <w:rFonts w:cs="Times New Roman"/>
          <w:szCs w:val="24"/>
          <w:shd w:val="clear" w:color="auto" w:fill="FFFFFF"/>
        </w:rPr>
        <w:t>Maternal Death Surveillance and Response (MDSR), a global strategy that aims to identif</w:t>
      </w:r>
      <w:r>
        <w:rPr>
          <w:rFonts w:cs="Times New Roman"/>
          <w:szCs w:val="24"/>
          <w:shd w:val="clear" w:color="auto" w:fill="FFFFFF"/>
        </w:rPr>
        <w:t xml:space="preserve">y </w:t>
      </w:r>
      <w:r w:rsidRPr="008E510B">
        <w:rPr>
          <w:rFonts w:cs="Times New Roman"/>
          <w:szCs w:val="24"/>
          <w:shd w:val="clear" w:color="auto" w:fill="FFFFFF"/>
        </w:rPr>
        <w:t>and respon</w:t>
      </w:r>
      <w:r>
        <w:rPr>
          <w:rFonts w:cs="Times New Roman"/>
          <w:szCs w:val="24"/>
          <w:shd w:val="clear" w:color="auto" w:fill="FFFFFF"/>
        </w:rPr>
        <w:t>d</w:t>
      </w:r>
      <w:r w:rsidRPr="008E510B">
        <w:rPr>
          <w:rFonts w:cs="Times New Roman"/>
          <w:szCs w:val="24"/>
          <w:shd w:val="clear" w:color="auto" w:fill="FFFFFF"/>
        </w:rPr>
        <w:t xml:space="preserve"> to maternal deaths, is a useful start.</w:t>
      </w:r>
      <w:r w:rsidRPr="0006570C">
        <w:rPr>
          <w:rFonts w:cs="Times New Roman"/>
          <w:noProof/>
          <w:szCs w:val="24"/>
          <w:shd w:val="clear" w:color="auto" w:fill="FFFFFF"/>
          <w:vertAlign w:val="superscript"/>
        </w:rPr>
        <w:t>106</w:t>
      </w:r>
      <w:r w:rsidRPr="00705A09">
        <w:rPr>
          <w:rFonts w:cs="Times New Roman"/>
          <w:szCs w:val="24"/>
          <w:shd w:val="clear" w:color="auto" w:fill="FFFFFF"/>
        </w:rPr>
        <w:t xml:space="preserve"> </w:t>
      </w:r>
    </w:p>
    <w:p w:rsidR="00F067F1" w:rsidRPr="00705A09" w:rsidRDefault="00F067F1">
      <w:pPr>
        <w:spacing w:after="0"/>
        <w:rPr>
          <w:rFonts w:cs="Times New Roman"/>
          <w:color w:val="333333"/>
          <w:szCs w:val="24"/>
          <w:shd w:val="clear" w:color="auto" w:fill="FFFFFF"/>
        </w:rPr>
      </w:pPr>
    </w:p>
    <w:p w:rsidR="00F067F1" w:rsidRPr="008E510B" w:rsidRDefault="00F067F1" w:rsidP="007910AC">
      <w:pPr>
        <w:spacing w:after="0"/>
        <w:rPr>
          <w:rFonts w:cs="Times New Roman"/>
          <w:szCs w:val="24"/>
        </w:rPr>
      </w:pPr>
      <w:r w:rsidRPr="008E510B">
        <w:rPr>
          <w:rFonts w:cs="Times New Roman"/>
          <w:szCs w:val="24"/>
        </w:rPr>
        <w:t>In addition, research that aims to better understand the changing patterns of socio-demographic, obstetric and medical risk factors is needed. What are the best mechanisms for real-time tracking of pregnancies and their outcomes, and how can such mechanisms capture those women who either do not obtain care</w:t>
      </w:r>
      <w:r>
        <w:rPr>
          <w:rFonts w:cs="Times New Roman"/>
          <w:szCs w:val="24"/>
        </w:rPr>
        <w:t>,</w:t>
      </w:r>
      <w:r w:rsidRPr="008E510B">
        <w:rPr>
          <w:rFonts w:cs="Times New Roman"/>
          <w:szCs w:val="24"/>
        </w:rPr>
        <w:t xml:space="preserve"> or seek care outside the formal healthcare system? Addressing such issues will be pivotal in effectively and equitably improving maternal health and the quality of care in the coming years—leaving no one behind. </w:t>
      </w:r>
    </w:p>
    <w:p w:rsidR="00F067F1" w:rsidRPr="008E510B" w:rsidRDefault="00F067F1" w:rsidP="002A3B2E">
      <w:pPr>
        <w:widowControl w:val="0"/>
        <w:autoSpaceDE w:val="0"/>
        <w:autoSpaceDN w:val="0"/>
        <w:adjustRightInd w:val="0"/>
        <w:spacing w:after="0"/>
        <w:rPr>
          <w:rFonts w:eastAsiaTheme="minorEastAsia" w:cs="Times New Roman"/>
          <w:szCs w:val="24"/>
        </w:rPr>
      </w:pPr>
    </w:p>
    <w:p w:rsidR="00F067F1" w:rsidRPr="008E510B" w:rsidRDefault="00F067F1" w:rsidP="00520901">
      <w:pPr>
        <w:widowControl w:val="0"/>
        <w:autoSpaceDE w:val="0"/>
        <w:autoSpaceDN w:val="0"/>
        <w:adjustRightInd w:val="0"/>
        <w:spacing w:after="0"/>
        <w:rPr>
          <w:rFonts w:cs="Times New Roman"/>
          <w:szCs w:val="24"/>
        </w:rPr>
      </w:pPr>
      <w:r w:rsidRPr="008E510B">
        <w:rPr>
          <w:rFonts w:eastAsiaTheme="minorEastAsia" w:cs="Times New Roman"/>
          <w:szCs w:val="24"/>
        </w:rPr>
        <w:t xml:space="preserve">To measure the burden and the ability of health systems to provide quality maternal health care for all, Table 2 provides examples of indictors that cover a number of domains. Some are already widely used (e.g. caesarean section rate by wealth quintile); others require development (e.g. percentage of women delivering without obstetric intervention), standardization (e.g. percentage with a length-of-stay after a singleton vaginal delivery in a facility of 12 or 24 hours), and validation. This list is not exhaustive, and has yet to include indicators related to such important issues as delays in treatment, timely referrals, use of financial incentives, women’s satisfaction and specific provider skills. </w:t>
      </w:r>
      <w:r w:rsidRPr="008E510B">
        <w:rPr>
          <w:rFonts w:cs="Times New Roman"/>
          <w:szCs w:val="24"/>
        </w:rPr>
        <w:t xml:space="preserve">Yet a sub-set of these indicators could be used depending on context. For example, in areas with very low coverage of facility delivery (Table 1, Stages I and II with MMR&gt;420), managers could focus on barriers to service use (e.g. social, geographical and financial) along with the content of the care delivered, while in areas with low maternal mortality (Table 1, Stages IV and V, MMR &lt;70) and high coverage of </w:t>
      </w:r>
      <w:r>
        <w:rPr>
          <w:rFonts w:cs="Times New Roman"/>
          <w:szCs w:val="24"/>
        </w:rPr>
        <w:t xml:space="preserve">contacts with </w:t>
      </w:r>
      <w:r w:rsidRPr="008E510B">
        <w:rPr>
          <w:rFonts w:cs="Times New Roman"/>
          <w:szCs w:val="24"/>
        </w:rPr>
        <w:t xml:space="preserve">ANC and </w:t>
      </w:r>
      <w:r>
        <w:rPr>
          <w:rFonts w:cs="Times New Roman"/>
          <w:szCs w:val="24"/>
        </w:rPr>
        <w:t>facility delivery</w:t>
      </w:r>
      <w:r w:rsidRPr="008E510B">
        <w:rPr>
          <w:rFonts w:cs="Times New Roman"/>
          <w:szCs w:val="24"/>
        </w:rPr>
        <w:t xml:space="preserve">, morbidity-related metrics, content of care (under and over intervention) and women’s satisfaction </w:t>
      </w:r>
      <w:r>
        <w:rPr>
          <w:rFonts w:cs="Times New Roman"/>
          <w:szCs w:val="24"/>
        </w:rPr>
        <w:t>take precedence</w:t>
      </w:r>
      <w:r w:rsidRPr="008E510B">
        <w:rPr>
          <w:rFonts w:cs="Times New Roman"/>
          <w:szCs w:val="24"/>
        </w:rPr>
        <w:t xml:space="preserve">. </w:t>
      </w:r>
    </w:p>
    <w:p w:rsidR="00F067F1" w:rsidRPr="008E510B" w:rsidRDefault="00F067F1" w:rsidP="00D87B1B">
      <w:pPr>
        <w:pStyle w:val="Heading3"/>
        <w:rPr>
          <w:rFonts w:ascii="Times New Roman" w:hAnsi="Times New Roman" w:cs="Times New Roman"/>
          <w:szCs w:val="24"/>
        </w:rPr>
      </w:pPr>
      <w:r w:rsidRPr="008E510B">
        <w:rPr>
          <w:rFonts w:ascii="Times New Roman" w:hAnsi="Times New Roman" w:cs="Times New Roman"/>
          <w:szCs w:val="24"/>
        </w:rPr>
        <w:t>Implementation research: maternal health priorities</w:t>
      </w:r>
    </w:p>
    <w:p w:rsidR="00F067F1" w:rsidRPr="008E510B" w:rsidDel="007F53D4" w:rsidRDefault="00F067F1" w:rsidP="00A50BA0">
      <w:pPr>
        <w:spacing w:after="0"/>
        <w:rPr>
          <w:rFonts w:cs="Times New Roman"/>
          <w:szCs w:val="24"/>
        </w:rPr>
      </w:pPr>
      <w:r w:rsidRPr="008E510B">
        <w:rPr>
          <w:rFonts w:cs="Times New Roman"/>
          <w:szCs w:val="24"/>
        </w:rPr>
        <w:t>Implementation research aims to understand what, why, and how interventions work (and can be improved) in real</w:t>
      </w:r>
      <w:r>
        <w:rPr>
          <w:rFonts w:cs="Times New Roman"/>
          <w:szCs w:val="24"/>
        </w:rPr>
        <w:t>-</w:t>
      </w:r>
      <w:r w:rsidRPr="008E510B">
        <w:rPr>
          <w:rFonts w:cs="Times New Roman"/>
          <w:szCs w:val="24"/>
        </w:rPr>
        <w:t>world setting</w:t>
      </w:r>
      <w:r>
        <w:rPr>
          <w:rFonts w:cs="Times New Roman"/>
          <w:szCs w:val="24"/>
        </w:rPr>
        <w:t>s, and</w:t>
      </w:r>
      <w:r w:rsidRPr="008E510B">
        <w:rPr>
          <w:rFonts w:cs="Times New Roman"/>
          <w:szCs w:val="24"/>
        </w:rPr>
        <w:t xml:space="preserve"> requires working with populations affected by the interventions, and with those involved in directing, managing and providing the services.</w:t>
      </w:r>
      <w:r w:rsidRPr="0006570C">
        <w:rPr>
          <w:rFonts w:cs="Times New Roman"/>
          <w:noProof/>
          <w:szCs w:val="24"/>
          <w:vertAlign w:val="superscript"/>
        </w:rPr>
        <w:t>107</w:t>
      </w:r>
      <w:r w:rsidRPr="008E510B">
        <w:rPr>
          <w:rFonts w:cs="Times New Roman"/>
          <w:szCs w:val="24"/>
        </w:rPr>
        <w:t xml:space="preserve"> Supplemental Table 1 illustrates our assessment of high</w:t>
      </w:r>
      <w:r>
        <w:rPr>
          <w:rFonts w:cs="Times New Roman"/>
          <w:szCs w:val="24"/>
        </w:rPr>
        <w:t>-</w:t>
      </w:r>
      <w:r w:rsidRPr="008E510B">
        <w:rPr>
          <w:rFonts w:cs="Times New Roman"/>
          <w:szCs w:val="24"/>
        </w:rPr>
        <w:t>priority research areas, categorized by the priority areas identified in this paper.</w:t>
      </w:r>
    </w:p>
    <w:p w:rsidR="00F067F1" w:rsidRPr="008E510B" w:rsidRDefault="00F067F1" w:rsidP="00D87B1B">
      <w:pPr>
        <w:pStyle w:val="ListParagraph"/>
        <w:spacing w:before="100" w:beforeAutospacing="1" w:after="100" w:afterAutospacing="1"/>
        <w:ind w:left="0"/>
        <w:rPr>
          <w:rFonts w:cs="Times New Roman"/>
          <w:szCs w:val="24"/>
        </w:rPr>
      </w:pPr>
      <w:r w:rsidRPr="008E510B">
        <w:rPr>
          <w:rFonts w:cs="Times New Roman"/>
          <w:szCs w:val="24"/>
        </w:rPr>
        <w:t xml:space="preserve">Bridging the gap between priority identification and the implementation of research projects to address persisting or new maternal health needs requires sustained commitment on the part of national governments, donors, and researchers. National governments – especially in LMICs – need to allocate resources to support locally-driven research, </w:t>
      </w:r>
      <w:r>
        <w:rPr>
          <w:rFonts w:cs="Times New Roman"/>
          <w:szCs w:val="24"/>
        </w:rPr>
        <w:t>and</w:t>
      </w:r>
      <w:r w:rsidRPr="008E510B">
        <w:rPr>
          <w:rFonts w:cs="Times New Roman"/>
          <w:szCs w:val="24"/>
        </w:rPr>
        <w:t xml:space="preserve"> to build capacity among in-country researchers, including </w:t>
      </w:r>
      <w:r w:rsidRPr="008E510B">
        <w:rPr>
          <w:rFonts w:cs="Times New Roman"/>
          <w:color w:val="000033"/>
          <w:szCs w:val="24"/>
          <w:shd w:val="clear" w:color="auto" w:fill="FFFFFF"/>
        </w:rPr>
        <w:t>health system experts</w:t>
      </w:r>
      <w:r>
        <w:rPr>
          <w:rFonts w:cs="Times New Roman"/>
          <w:color w:val="000033"/>
          <w:szCs w:val="24"/>
          <w:shd w:val="clear" w:color="auto" w:fill="FFFFFF"/>
        </w:rPr>
        <w:t>,</w:t>
      </w:r>
      <w:r w:rsidRPr="008E510B">
        <w:rPr>
          <w:rFonts w:cs="Times New Roman"/>
          <w:color w:val="000033"/>
          <w:szCs w:val="24"/>
          <w:shd w:val="clear" w:color="auto" w:fill="FFFFFF"/>
        </w:rPr>
        <w:t xml:space="preserve"> epidemiologists,</w:t>
      </w:r>
      <w:r>
        <w:rPr>
          <w:rFonts w:cs="Times New Roman"/>
          <w:color w:val="000033"/>
          <w:szCs w:val="24"/>
          <w:shd w:val="clear" w:color="auto" w:fill="FFFFFF"/>
        </w:rPr>
        <w:t xml:space="preserve"> </w:t>
      </w:r>
      <w:r w:rsidRPr="008E510B">
        <w:rPr>
          <w:rFonts w:cs="Times New Roman"/>
          <w:color w:val="000033"/>
          <w:szCs w:val="24"/>
          <w:shd w:val="clear" w:color="auto" w:fill="FFFFFF"/>
        </w:rPr>
        <w:t>and social scientists.</w:t>
      </w:r>
      <w:r w:rsidRPr="00705A09">
        <w:rPr>
          <w:rFonts w:cs="Times New Roman"/>
          <w:color w:val="000033"/>
          <w:szCs w:val="24"/>
          <w:shd w:val="clear" w:color="auto" w:fill="FFFFFF"/>
        </w:rPr>
        <w:t xml:space="preserve"> </w:t>
      </w:r>
      <w:r w:rsidRPr="008E510B">
        <w:rPr>
          <w:rFonts w:cs="Times New Roman"/>
          <w:szCs w:val="24"/>
        </w:rPr>
        <w:t>Only when in-country researchers have the training to compete for funding successfully</w:t>
      </w:r>
      <w:r>
        <w:rPr>
          <w:rFonts w:cs="Times New Roman"/>
          <w:szCs w:val="24"/>
        </w:rPr>
        <w:t>,</w:t>
      </w:r>
      <w:r w:rsidRPr="008E510B">
        <w:rPr>
          <w:rFonts w:cs="Times New Roman"/>
          <w:szCs w:val="24"/>
        </w:rPr>
        <w:t xml:space="preserve"> and countries allocate resources to support such efforts</w:t>
      </w:r>
      <w:r>
        <w:rPr>
          <w:rFonts w:cs="Times New Roman"/>
          <w:szCs w:val="24"/>
        </w:rPr>
        <w:t>,</w:t>
      </w:r>
      <w:r w:rsidRPr="008E510B">
        <w:rPr>
          <w:rFonts w:cs="Times New Roman"/>
          <w:szCs w:val="24"/>
        </w:rPr>
        <w:t xml:space="preserve"> will research truly reflect the needs of programs in LMICs. At the same time, donors must see the value in – and provide funding for – evidence generation and long-term, data-driven programming that targets vulnerable populations. </w:t>
      </w:r>
    </w:p>
    <w:p w:rsidR="00F067F1" w:rsidRPr="008E510B" w:rsidRDefault="00F067F1" w:rsidP="006121A6">
      <w:pPr>
        <w:pStyle w:val="Heading2"/>
        <w:rPr>
          <w:rFonts w:cs="Times New Roman"/>
          <w:szCs w:val="24"/>
        </w:rPr>
      </w:pPr>
      <w:r w:rsidRPr="008E510B">
        <w:rPr>
          <w:rFonts w:cs="Times New Roman"/>
          <w:szCs w:val="24"/>
        </w:rPr>
        <w:t>Priority Action 5.2: Translate evidence into action through effective advocacy and accountability for maternal health</w:t>
      </w:r>
    </w:p>
    <w:p w:rsidR="00F067F1" w:rsidRPr="008E510B" w:rsidRDefault="00F067F1" w:rsidP="00DC7F3B">
      <w:pPr>
        <w:autoSpaceDE w:val="0"/>
        <w:autoSpaceDN w:val="0"/>
        <w:adjustRightInd w:val="0"/>
        <w:spacing w:after="0"/>
        <w:rPr>
          <w:rFonts w:cs="Times New Roman"/>
          <w:szCs w:val="24"/>
        </w:rPr>
      </w:pPr>
      <w:r w:rsidRPr="008E510B">
        <w:rPr>
          <w:rFonts w:cs="Times New Roman"/>
          <w:szCs w:val="24"/>
        </w:rPr>
        <w:t>Investing in effective, joint platforms for action by all stakeholders – governments, donors, multilateral partners, civil society and the private sector – can mobilize resources, strengthen laws and policies, and promote mutual accountability.</w:t>
      </w:r>
    </w:p>
    <w:p w:rsidR="00F067F1" w:rsidRPr="008E510B" w:rsidRDefault="00F067F1" w:rsidP="00DC7F3B">
      <w:pPr>
        <w:autoSpaceDE w:val="0"/>
        <w:autoSpaceDN w:val="0"/>
        <w:adjustRightInd w:val="0"/>
        <w:spacing w:after="0"/>
        <w:rPr>
          <w:rFonts w:cs="Times New Roman"/>
          <w:szCs w:val="24"/>
        </w:rPr>
      </w:pPr>
    </w:p>
    <w:p w:rsidR="00F067F1" w:rsidRPr="00705A09" w:rsidRDefault="00F067F1" w:rsidP="00DC7F3B">
      <w:pPr>
        <w:autoSpaceDE w:val="0"/>
        <w:autoSpaceDN w:val="0"/>
        <w:adjustRightInd w:val="0"/>
        <w:spacing w:after="0"/>
        <w:rPr>
          <w:rFonts w:eastAsiaTheme="minorEastAsia" w:cs="Times New Roman"/>
          <w:szCs w:val="24"/>
          <w:lang w:val="en-GB"/>
        </w:rPr>
      </w:pPr>
      <w:r>
        <w:rPr>
          <w:rFonts w:cs="Times New Roman"/>
          <w:szCs w:val="24"/>
        </w:rPr>
        <w:t>T</w:t>
      </w:r>
      <w:r w:rsidRPr="008E510B">
        <w:rPr>
          <w:rFonts w:cs="Times New Roman"/>
          <w:szCs w:val="24"/>
        </w:rPr>
        <w:t xml:space="preserve">he </w:t>
      </w:r>
      <w:r w:rsidRPr="008E510B">
        <w:rPr>
          <w:rFonts w:cs="Times New Roman"/>
          <w:i/>
          <w:iCs/>
          <w:szCs w:val="24"/>
        </w:rPr>
        <w:t>Global Strategy’s</w:t>
      </w:r>
      <w:r w:rsidRPr="008E510B">
        <w:rPr>
          <w:rFonts w:cs="Times New Roman"/>
          <w:szCs w:val="24"/>
        </w:rPr>
        <w:t xml:space="preserve"> “Every Woman Every Child” advocacy platform supports the delivery of the SDGs, by encouraging partners to act together to leverage financial, policy </w:t>
      </w:r>
      <w:r w:rsidRPr="00513B35">
        <w:rPr>
          <w:rFonts w:cs="Times New Roman"/>
          <w:szCs w:val="24"/>
        </w:rPr>
        <w:t>and service delivery commitments for maternal health and related issues.</w:t>
      </w:r>
      <w:r w:rsidRPr="0006570C">
        <w:rPr>
          <w:rFonts w:cs="Times New Roman"/>
          <w:noProof/>
          <w:szCs w:val="24"/>
          <w:vertAlign w:val="superscript"/>
        </w:rPr>
        <w:t>108</w:t>
      </w:r>
      <w:r w:rsidRPr="00513B35">
        <w:rPr>
          <w:rFonts w:cs="Times New Roman"/>
          <w:szCs w:val="24"/>
        </w:rPr>
        <w:t xml:space="preserve"> </w:t>
      </w:r>
      <w:r w:rsidRPr="0067307A">
        <w:rPr>
          <w:rFonts w:cs="Times New Roman"/>
          <w:szCs w:val="24"/>
        </w:rPr>
        <w:t xml:space="preserve">Since its launch in 2015, the </w:t>
      </w:r>
      <w:r w:rsidRPr="0067307A">
        <w:rPr>
          <w:rFonts w:cs="Times New Roman"/>
          <w:i/>
          <w:iCs/>
          <w:szCs w:val="24"/>
        </w:rPr>
        <w:t>Global Strategy</w:t>
      </w:r>
      <w:r w:rsidRPr="0067307A">
        <w:rPr>
          <w:rFonts w:cs="Times New Roman"/>
          <w:szCs w:val="24"/>
        </w:rPr>
        <w:t xml:space="preserve"> has attracted more than 150 commitments from governments and other partners towards its implementation</w:t>
      </w:r>
      <w:r w:rsidRPr="00513B35">
        <w:rPr>
          <w:rFonts w:cs="Times New Roman"/>
          <w:szCs w:val="24"/>
        </w:rPr>
        <w:t>.</w:t>
      </w:r>
      <w:r w:rsidRPr="0006570C">
        <w:rPr>
          <w:rFonts w:cs="Times New Roman"/>
          <w:noProof/>
          <w:szCs w:val="24"/>
          <w:vertAlign w:val="superscript"/>
        </w:rPr>
        <w:t>109</w:t>
      </w:r>
      <w:r w:rsidRPr="00513B35">
        <w:rPr>
          <w:rFonts w:cs="Times New Roman"/>
          <w:szCs w:val="24"/>
        </w:rPr>
        <w:t xml:space="preserve"> Partners are further guided by evidence presented in this and other related Lancet series (stillbirth, adolescent, newborn, midwifery), and</w:t>
      </w:r>
      <w:r w:rsidRPr="0067307A">
        <w:rPr>
          <w:rFonts w:cs="Times New Roman"/>
          <w:szCs w:val="24"/>
        </w:rPr>
        <w:t xml:space="preserve"> through related action plans such as the</w:t>
      </w:r>
      <w:r w:rsidRPr="00513B35">
        <w:rPr>
          <w:rFonts w:cs="Times New Roman"/>
          <w:szCs w:val="24"/>
        </w:rPr>
        <w:t xml:space="preserve"> 2015 </w:t>
      </w:r>
      <w:r w:rsidRPr="00513B35">
        <w:rPr>
          <w:rFonts w:cs="Times New Roman"/>
          <w:i/>
          <w:iCs/>
          <w:szCs w:val="24"/>
        </w:rPr>
        <w:t>Ending Preventable Maternal Mortality</w:t>
      </w:r>
      <w:r w:rsidRPr="00513B35">
        <w:rPr>
          <w:rFonts w:cs="Times New Roman"/>
          <w:szCs w:val="24"/>
        </w:rPr>
        <w:t xml:space="preserve"> (EPMM) plan</w:t>
      </w:r>
      <w:r w:rsidRPr="0006570C">
        <w:rPr>
          <w:rFonts w:cs="Times New Roman"/>
          <w:noProof/>
          <w:szCs w:val="24"/>
          <w:vertAlign w:val="superscript"/>
        </w:rPr>
        <w:t>110</w:t>
      </w:r>
      <w:r w:rsidRPr="00513B35">
        <w:rPr>
          <w:rFonts w:eastAsiaTheme="minorEastAsia" w:cs="Times New Roman"/>
          <w:szCs w:val="24"/>
          <w:lang w:val="en-GB"/>
        </w:rPr>
        <w:t xml:space="preserve"> and the </w:t>
      </w:r>
      <w:r w:rsidRPr="00513B35">
        <w:rPr>
          <w:rFonts w:eastAsiaTheme="minorEastAsia" w:cs="Times New Roman"/>
          <w:i/>
          <w:iCs/>
          <w:szCs w:val="24"/>
          <w:lang w:val="en-GB"/>
        </w:rPr>
        <w:t>Every Newborn Action Plan</w:t>
      </w:r>
      <w:r w:rsidRPr="0006570C">
        <w:rPr>
          <w:rFonts w:eastAsiaTheme="minorEastAsia" w:cs="Times New Roman"/>
          <w:iCs/>
          <w:noProof/>
          <w:szCs w:val="24"/>
          <w:vertAlign w:val="superscript"/>
          <w:lang w:val="en-GB"/>
        </w:rPr>
        <w:t>111</w:t>
      </w:r>
      <w:r w:rsidRPr="00513B35">
        <w:rPr>
          <w:rFonts w:eastAsiaTheme="minorEastAsia" w:cs="Times New Roman"/>
          <w:iCs/>
          <w:szCs w:val="24"/>
          <w:lang w:val="en-GB"/>
        </w:rPr>
        <w:t>,</w:t>
      </w:r>
      <w:r w:rsidRPr="00513B35">
        <w:rPr>
          <w:rFonts w:eastAsiaTheme="minorEastAsia" w:cs="Times New Roman"/>
          <w:szCs w:val="24"/>
          <w:lang w:val="en-GB"/>
        </w:rPr>
        <w:t xml:space="preserve"> which have converging priorities</w:t>
      </w:r>
      <w:r w:rsidRPr="0067307A">
        <w:rPr>
          <w:rFonts w:eastAsiaTheme="minorEastAsia" w:cs="Times New Roman"/>
          <w:szCs w:val="24"/>
          <w:lang w:val="en-GB"/>
        </w:rPr>
        <w:t>.</w:t>
      </w:r>
      <w:r w:rsidRPr="0067307A">
        <w:rPr>
          <w:rFonts w:eastAsiaTheme="minorEastAsia" w:cs="Times New Roman"/>
          <w:noProof/>
          <w:szCs w:val="24"/>
          <w:vertAlign w:val="superscript"/>
          <w:lang w:val="en-GB"/>
        </w:rPr>
        <w:t>3</w:t>
      </w:r>
      <w:r w:rsidRPr="00705A09">
        <w:rPr>
          <w:rFonts w:eastAsiaTheme="minorEastAsia" w:cs="Times New Roman"/>
          <w:szCs w:val="24"/>
          <w:lang w:val="en-GB"/>
        </w:rPr>
        <w:t xml:space="preserve"> All these documents highlight the need for effective maternal and newborn advocacy </w:t>
      </w:r>
      <w:r>
        <w:rPr>
          <w:rFonts w:eastAsiaTheme="minorEastAsia" w:cs="Times New Roman"/>
          <w:szCs w:val="24"/>
          <w:lang w:val="en-GB"/>
        </w:rPr>
        <w:t>within</w:t>
      </w:r>
      <w:r w:rsidRPr="00705A09">
        <w:rPr>
          <w:rFonts w:eastAsiaTheme="minorEastAsia" w:cs="Times New Roman"/>
          <w:szCs w:val="24"/>
          <w:lang w:val="en-GB"/>
        </w:rPr>
        <w:t xml:space="preserve"> the wider RMNCAH continuum of care. </w:t>
      </w:r>
    </w:p>
    <w:p w:rsidR="00F067F1" w:rsidRDefault="00F067F1" w:rsidP="000F3867">
      <w:pPr>
        <w:rPr>
          <w:rFonts w:cs="Times New Roman"/>
          <w:szCs w:val="24"/>
        </w:rPr>
      </w:pPr>
    </w:p>
    <w:p w:rsidR="00F067F1" w:rsidRPr="008E510B" w:rsidRDefault="00F067F1" w:rsidP="000F3867">
      <w:pPr>
        <w:rPr>
          <w:rFonts w:cs="Times New Roman"/>
          <w:szCs w:val="24"/>
        </w:rPr>
      </w:pPr>
      <w:r w:rsidRPr="00705A09">
        <w:rPr>
          <w:rFonts w:cs="Times New Roman"/>
          <w:szCs w:val="24"/>
        </w:rPr>
        <w:t>Regional advocacy</w:t>
      </w:r>
      <w:r>
        <w:rPr>
          <w:rFonts w:cs="Times New Roman"/>
          <w:szCs w:val="24"/>
        </w:rPr>
        <w:t xml:space="preserve"> can also </w:t>
      </w:r>
      <w:r w:rsidRPr="00705A09">
        <w:rPr>
          <w:rFonts w:cs="Times New Roman"/>
          <w:szCs w:val="24"/>
        </w:rPr>
        <w:t>play a vital role in reducing inequities and improving quality of care for women</w:t>
      </w:r>
      <w:r>
        <w:rPr>
          <w:rFonts w:cs="Times New Roman"/>
          <w:szCs w:val="24"/>
        </w:rPr>
        <w:t xml:space="preserve"> and</w:t>
      </w:r>
      <w:r w:rsidRPr="00705A09">
        <w:rPr>
          <w:rFonts w:cs="Times New Roman"/>
          <w:szCs w:val="24"/>
        </w:rPr>
        <w:t xml:space="preserve"> newborns. An example is The Campaign for the Accelerated Reduction of Maternal Mortality in Africa</w:t>
      </w:r>
      <w:r>
        <w:rPr>
          <w:rFonts w:cs="Times New Roman"/>
          <w:szCs w:val="24"/>
        </w:rPr>
        <w:t xml:space="preserve"> </w:t>
      </w:r>
      <w:r w:rsidRPr="00705A09">
        <w:rPr>
          <w:rFonts w:cs="Times New Roman"/>
          <w:szCs w:val="24"/>
        </w:rPr>
        <w:t xml:space="preserve">which </w:t>
      </w:r>
      <w:r w:rsidRPr="008E510B">
        <w:rPr>
          <w:rFonts w:cs="Times New Roman"/>
          <w:szCs w:val="24"/>
        </w:rPr>
        <w:t xml:space="preserve">assists partners </w:t>
      </w:r>
      <w:r>
        <w:rPr>
          <w:rFonts w:cs="Times New Roman"/>
          <w:szCs w:val="24"/>
        </w:rPr>
        <w:t>to use</w:t>
      </w:r>
      <w:r w:rsidRPr="008E510B">
        <w:rPr>
          <w:rFonts w:cs="Times New Roman"/>
          <w:szCs w:val="24"/>
        </w:rPr>
        <w:t xml:space="preserve"> data and evidence for advocacy through its African Health Stats platform. </w:t>
      </w:r>
      <w:r w:rsidRPr="00513B35">
        <w:rPr>
          <w:rFonts w:cs="Times New Roman"/>
          <w:szCs w:val="24"/>
        </w:rPr>
        <w:t xml:space="preserve">Country scorecards and other data products can also help parliamentarians, media, and civil society track national performance on regional commitments such as the 2001 Abuja Declaration, committing countries to spending 15% of </w:t>
      </w:r>
      <w:r>
        <w:rPr>
          <w:rFonts w:cs="Times New Roman"/>
          <w:szCs w:val="24"/>
        </w:rPr>
        <w:t xml:space="preserve">government </w:t>
      </w:r>
      <w:r w:rsidRPr="00513B35">
        <w:rPr>
          <w:rFonts w:cs="Times New Roman"/>
          <w:szCs w:val="24"/>
        </w:rPr>
        <w:t>budgets on health.</w:t>
      </w:r>
      <w:r w:rsidRPr="0006570C">
        <w:rPr>
          <w:rFonts w:cs="Times New Roman"/>
          <w:noProof/>
          <w:szCs w:val="24"/>
          <w:vertAlign w:val="superscript"/>
        </w:rPr>
        <w:t>112</w:t>
      </w:r>
      <w:r w:rsidRPr="00513B35">
        <w:rPr>
          <w:rFonts w:cs="Times New Roman"/>
          <w:szCs w:val="24"/>
        </w:rPr>
        <w:t xml:space="preserve"> The Global Health Observatory estimates that on average in 2013, these countries allocated 11.4% to</w:t>
      </w:r>
      <w:r w:rsidRPr="008E510B">
        <w:rPr>
          <w:rFonts w:cs="Times New Roman"/>
          <w:szCs w:val="24"/>
        </w:rPr>
        <w:t xml:space="preserve"> health</w:t>
      </w:r>
      <w:r>
        <w:rPr>
          <w:rFonts w:cs="Times New Roman"/>
          <w:szCs w:val="24"/>
        </w:rPr>
        <w:t xml:space="preserve">, a </w:t>
      </w:r>
      <w:r w:rsidRPr="008E510B">
        <w:rPr>
          <w:rFonts w:cs="Times New Roman"/>
          <w:szCs w:val="24"/>
        </w:rPr>
        <w:t xml:space="preserve">significant improvement over </w:t>
      </w:r>
      <w:r>
        <w:rPr>
          <w:rFonts w:cs="Times New Roman"/>
          <w:szCs w:val="24"/>
        </w:rPr>
        <w:t xml:space="preserve">an average of 3.1% in </w:t>
      </w:r>
      <w:r w:rsidRPr="008E510B">
        <w:rPr>
          <w:rFonts w:cs="Times New Roman"/>
          <w:szCs w:val="24"/>
        </w:rPr>
        <w:t>1995.</w:t>
      </w:r>
      <w:r w:rsidRPr="0006570C">
        <w:rPr>
          <w:rFonts w:cs="Times New Roman"/>
          <w:noProof/>
          <w:szCs w:val="24"/>
          <w:vertAlign w:val="superscript"/>
        </w:rPr>
        <w:t>113</w:t>
      </w:r>
      <w:r w:rsidRPr="008E510B">
        <w:rPr>
          <w:rFonts w:cs="Times New Roman"/>
          <w:szCs w:val="24"/>
        </w:rPr>
        <w:t xml:space="preserve"> Whether this has translated into improved maternal health-specific funding remains unclear.</w:t>
      </w:r>
    </w:p>
    <w:p w:rsidR="00F067F1" w:rsidRPr="008E510B" w:rsidRDefault="00F067F1" w:rsidP="00DC7F3B">
      <w:pPr>
        <w:autoSpaceDE w:val="0"/>
        <w:autoSpaceDN w:val="0"/>
        <w:adjustRightInd w:val="0"/>
        <w:spacing w:after="0"/>
        <w:rPr>
          <w:rFonts w:cs="Times New Roman"/>
          <w:szCs w:val="24"/>
        </w:rPr>
      </w:pPr>
    </w:p>
    <w:p w:rsidR="00F067F1" w:rsidRPr="00705A09" w:rsidRDefault="00F067F1" w:rsidP="00B336C9">
      <w:pPr>
        <w:rPr>
          <w:rFonts w:eastAsiaTheme="minorEastAsia" w:cs="Times New Roman"/>
          <w:szCs w:val="24"/>
          <w:lang w:val="en-GB"/>
        </w:rPr>
      </w:pPr>
      <w:r>
        <w:rPr>
          <w:rFonts w:eastAsiaTheme="minorEastAsia" w:cs="Times New Roman"/>
          <w:szCs w:val="24"/>
          <w:lang w:val="en-GB"/>
        </w:rPr>
        <w:t>T</w:t>
      </w:r>
      <w:r w:rsidRPr="00705A09">
        <w:rPr>
          <w:rFonts w:eastAsiaTheme="minorEastAsia" w:cs="Times New Roman"/>
          <w:szCs w:val="24"/>
          <w:lang w:val="en-GB"/>
        </w:rPr>
        <w:t>he voice of parents and families</w:t>
      </w:r>
      <w:r>
        <w:rPr>
          <w:rFonts w:eastAsiaTheme="minorEastAsia" w:cs="Times New Roman"/>
          <w:szCs w:val="24"/>
          <w:lang w:val="en-GB"/>
        </w:rPr>
        <w:t xml:space="preserve"> is another</w:t>
      </w:r>
      <w:r w:rsidRPr="00705A09">
        <w:rPr>
          <w:rFonts w:eastAsiaTheme="minorEastAsia" w:cs="Times New Roman"/>
          <w:szCs w:val="24"/>
          <w:lang w:val="en-GB"/>
        </w:rPr>
        <w:t xml:space="preserve"> key force to be tapped to bring about better maternal and newborn outcomes, as reflected in the Lancet Newborn Health series.</w:t>
      </w:r>
      <w:r w:rsidRPr="0017191C">
        <w:rPr>
          <w:rFonts w:eastAsiaTheme="minorEastAsia" w:cs="Times New Roman"/>
          <w:noProof/>
          <w:szCs w:val="24"/>
          <w:vertAlign w:val="superscript"/>
          <w:lang w:val="en-GB"/>
        </w:rPr>
        <w:t>20</w:t>
      </w:r>
      <w:r w:rsidRPr="00705A09">
        <w:rPr>
          <w:rFonts w:eastAsiaTheme="minorEastAsia" w:cs="Times New Roman"/>
          <w:szCs w:val="24"/>
          <w:lang w:val="en-GB"/>
        </w:rPr>
        <w:t xml:space="preserve"> </w:t>
      </w:r>
    </w:p>
    <w:p w:rsidR="00F067F1" w:rsidRPr="008E510B" w:rsidRDefault="00F067F1" w:rsidP="002932E8">
      <w:pPr>
        <w:autoSpaceDE w:val="0"/>
        <w:autoSpaceDN w:val="0"/>
        <w:adjustRightInd w:val="0"/>
        <w:spacing w:after="0"/>
        <w:rPr>
          <w:rFonts w:cs="Times New Roman"/>
          <w:szCs w:val="24"/>
        </w:rPr>
      </w:pPr>
    </w:p>
    <w:p w:rsidR="00F067F1" w:rsidRPr="008E510B" w:rsidRDefault="00F067F1" w:rsidP="00B336C9">
      <w:pPr>
        <w:rPr>
          <w:rFonts w:cs="Times New Roman"/>
          <w:szCs w:val="24"/>
        </w:rPr>
      </w:pPr>
      <w:r w:rsidRPr="008E510B">
        <w:rPr>
          <w:rFonts w:cs="Times New Roman"/>
          <w:szCs w:val="24"/>
        </w:rPr>
        <w:t>In the transition to the new SDG era, robust national, regional and global advocacy and accountability efforts are needed to ensure women’s and children’s health not only retain their prominence</w:t>
      </w:r>
      <w:r>
        <w:rPr>
          <w:rFonts w:cs="Times New Roman"/>
          <w:szCs w:val="24"/>
        </w:rPr>
        <w:t>,</w:t>
      </w:r>
      <w:r w:rsidRPr="008E510B">
        <w:rPr>
          <w:rFonts w:cs="Times New Roman"/>
          <w:szCs w:val="24"/>
        </w:rPr>
        <w:t xml:space="preserve"> but that they </w:t>
      </w:r>
      <w:r>
        <w:rPr>
          <w:rFonts w:cs="Times New Roman"/>
          <w:szCs w:val="24"/>
        </w:rPr>
        <w:t xml:space="preserve">are seen as </w:t>
      </w:r>
      <w:r w:rsidRPr="008E510B">
        <w:rPr>
          <w:rFonts w:cs="Times New Roman"/>
          <w:szCs w:val="24"/>
        </w:rPr>
        <w:t>corner</w:t>
      </w:r>
      <w:r>
        <w:rPr>
          <w:rFonts w:cs="Times New Roman"/>
          <w:szCs w:val="24"/>
        </w:rPr>
        <w:t>-</w:t>
      </w:r>
      <w:r w:rsidRPr="008E510B">
        <w:rPr>
          <w:rFonts w:cs="Times New Roman"/>
          <w:szCs w:val="24"/>
        </w:rPr>
        <w:t>stones for achiev</w:t>
      </w:r>
      <w:r>
        <w:rPr>
          <w:rFonts w:cs="Times New Roman"/>
          <w:szCs w:val="24"/>
        </w:rPr>
        <w:t>ing</w:t>
      </w:r>
      <w:r w:rsidRPr="008E510B">
        <w:rPr>
          <w:rFonts w:cs="Times New Roman"/>
          <w:szCs w:val="24"/>
        </w:rPr>
        <w:t xml:space="preserve"> other goals, including several that reach beyond health. In the MDG era, the </w:t>
      </w:r>
      <w:r w:rsidRPr="008E510B">
        <w:rPr>
          <w:rFonts w:cs="Times New Roman"/>
          <w:i/>
          <w:iCs/>
          <w:szCs w:val="24"/>
        </w:rPr>
        <w:t>Global Strategy’s</w:t>
      </w:r>
      <w:r w:rsidRPr="008E510B">
        <w:rPr>
          <w:rFonts w:cs="Times New Roman"/>
          <w:szCs w:val="24"/>
        </w:rPr>
        <w:t xml:space="preserve"> independent Expert Review Group (iERG)</w:t>
      </w:r>
      <w:r w:rsidRPr="0006570C">
        <w:rPr>
          <w:rFonts w:cs="Times New Roman"/>
          <w:noProof/>
          <w:szCs w:val="24"/>
          <w:vertAlign w:val="superscript"/>
        </w:rPr>
        <w:t>114</w:t>
      </w:r>
      <w:r w:rsidRPr="008E510B">
        <w:rPr>
          <w:rFonts w:cs="Times New Roman"/>
          <w:szCs w:val="24"/>
        </w:rPr>
        <w:t xml:space="preserve"> and the </w:t>
      </w:r>
      <w:r w:rsidRPr="008E510B">
        <w:rPr>
          <w:rFonts w:cs="Times New Roman"/>
          <w:i/>
          <w:iCs/>
          <w:szCs w:val="24"/>
        </w:rPr>
        <w:t>Countdown to 2015</w:t>
      </w:r>
      <w:r w:rsidRPr="0006570C">
        <w:rPr>
          <w:rFonts w:cs="Times New Roman"/>
          <w:i/>
          <w:iCs/>
          <w:noProof/>
          <w:szCs w:val="24"/>
          <w:vertAlign w:val="superscript"/>
        </w:rPr>
        <w:t>115</w:t>
      </w:r>
      <w:r w:rsidRPr="008E510B">
        <w:rPr>
          <w:rFonts w:cs="Times New Roman"/>
          <w:i/>
          <w:iCs/>
          <w:szCs w:val="24"/>
        </w:rPr>
        <w:t xml:space="preserve"> </w:t>
      </w:r>
      <w:r w:rsidRPr="008E510B">
        <w:rPr>
          <w:rFonts w:cs="Times New Roman"/>
          <w:szCs w:val="24"/>
        </w:rPr>
        <w:t>initiative provided periodic, scientifically credible</w:t>
      </w:r>
      <w:r>
        <w:rPr>
          <w:rFonts w:cs="Times New Roman"/>
          <w:szCs w:val="24"/>
        </w:rPr>
        <w:t>,</w:t>
      </w:r>
      <w:r w:rsidRPr="008E510B">
        <w:rPr>
          <w:rFonts w:cs="Times New Roman"/>
          <w:szCs w:val="24"/>
        </w:rPr>
        <w:t xml:space="preserve"> feedback on what needed to improve and where.</w:t>
      </w:r>
      <w:r w:rsidRPr="0006570C">
        <w:rPr>
          <w:rFonts w:cs="Times New Roman"/>
          <w:noProof/>
          <w:szCs w:val="24"/>
          <w:vertAlign w:val="superscript"/>
        </w:rPr>
        <w:t>115</w:t>
      </w:r>
      <w:r>
        <w:rPr>
          <w:rFonts w:cs="Times New Roman"/>
          <w:szCs w:val="24"/>
          <w:vertAlign w:val="superscript"/>
        </w:rPr>
        <w:t xml:space="preserve"> </w:t>
      </w:r>
      <w:r w:rsidRPr="008E510B">
        <w:rPr>
          <w:rFonts w:eastAsiaTheme="minorEastAsia" w:cs="Times New Roman"/>
          <w:szCs w:val="24"/>
          <w:u w:color="386EFF"/>
        </w:rPr>
        <w:t>To support the SDGs, successor group</w:t>
      </w:r>
      <w:r>
        <w:rPr>
          <w:rFonts w:eastAsiaTheme="minorEastAsia" w:cs="Times New Roman"/>
          <w:szCs w:val="24"/>
          <w:u w:color="386EFF"/>
        </w:rPr>
        <w:t>s</w:t>
      </w:r>
      <w:r w:rsidRPr="008E510B">
        <w:rPr>
          <w:rFonts w:eastAsiaTheme="minorEastAsia" w:cs="Times New Roman"/>
          <w:szCs w:val="24"/>
          <w:u w:color="386EFF"/>
        </w:rPr>
        <w:t xml:space="preserve">, the Independent Accountability Panel (IAP), and the Countdown </w:t>
      </w:r>
      <w:r>
        <w:rPr>
          <w:rFonts w:eastAsiaTheme="minorEastAsia" w:cs="Times New Roman"/>
          <w:szCs w:val="24"/>
          <w:u w:color="386EFF"/>
        </w:rPr>
        <w:t xml:space="preserve">to </w:t>
      </w:r>
      <w:r w:rsidRPr="008E510B">
        <w:rPr>
          <w:rFonts w:eastAsiaTheme="minorEastAsia" w:cs="Times New Roman"/>
          <w:szCs w:val="24"/>
          <w:u w:color="386EFF"/>
        </w:rPr>
        <w:t>2030 will provide evidence on needs and gaps that can be converted into actionable messages by advocacy actors such as the Partnership for Maternal, Newborn &amp; Child Health, Women Deliver, White Ribbon Alliance</w:t>
      </w:r>
      <w:r>
        <w:rPr>
          <w:rFonts w:eastAsiaTheme="minorEastAsia" w:cs="Times New Roman"/>
          <w:szCs w:val="24"/>
          <w:u w:color="386EFF"/>
        </w:rPr>
        <w:t>,</w:t>
      </w:r>
      <w:r w:rsidRPr="008E510B">
        <w:rPr>
          <w:rFonts w:eastAsiaTheme="minorEastAsia" w:cs="Times New Roman"/>
          <w:szCs w:val="24"/>
          <w:u w:color="386EFF"/>
        </w:rPr>
        <w:t xml:space="preserve"> and others.</w:t>
      </w:r>
    </w:p>
    <w:p w:rsidR="00F067F1" w:rsidRPr="008E510B" w:rsidRDefault="00F067F1" w:rsidP="00A15035">
      <w:pPr>
        <w:pStyle w:val="Heading2"/>
        <w:rPr>
          <w:rFonts w:cs="Times New Roman"/>
          <w:szCs w:val="24"/>
        </w:rPr>
      </w:pPr>
      <w:r w:rsidRPr="008E510B">
        <w:rPr>
          <w:rFonts w:cs="Times New Roman"/>
          <w:szCs w:val="24"/>
        </w:rPr>
        <w:t xml:space="preserve">Moving forward </w:t>
      </w:r>
    </w:p>
    <w:p w:rsidR="00F067F1" w:rsidRPr="008E510B" w:rsidRDefault="00F067F1" w:rsidP="00A15035">
      <w:pPr>
        <w:widowControl w:val="0"/>
        <w:autoSpaceDE w:val="0"/>
        <w:autoSpaceDN w:val="0"/>
        <w:adjustRightInd w:val="0"/>
        <w:rPr>
          <w:rFonts w:cs="Times New Roman"/>
          <w:szCs w:val="24"/>
        </w:rPr>
      </w:pPr>
      <w:r w:rsidRPr="008E510B">
        <w:rPr>
          <w:rFonts w:cs="Times New Roman"/>
          <w:szCs w:val="24"/>
        </w:rPr>
        <w:t>Building on the priorities identified in this series</w:t>
      </w:r>
      <w:r>
        <w:rPr>
          <w:rFonts w:cs="Times New Roman"/>
          <w:szCs w:val="24"/>
        </w:rPr>
        <w:t xml:space="preserve"> (Box 1), the interventions known to reduce maternal death (Figure 1), and potential implementation priorities by stage of MMR reduction (Table 1)</w:t>
      </w:r>
      <w:r w:rsidRPr="008E510B">
        <w:rPr>
          <w:rFonts w:cs="Times New Roman"/>
          <w:szCs w:val="24"/>
        </w:rPr>
        <w:t xml:space="preserve">, Figure </w:t>
      </w:r>
      <w:r>
        <w:rPr>
          <w:rFonts w:cs="Times New Roman"/>
          <w:szCs w:val="24"/>
        </w:rPr>
        <w:t>3</w:t>
      </w:r>
      <w:r w:rsidRPr="008E510B">
        <w:rPr>
          <w:rFonts w:cs="Times New Roman"/>
          <w:szCs w:val="24"/>
        </w:rPr>
        <w:t xml:space="preserve"> schematically represents an action plan for local, national, regional, and global stakeholders to accelerate progress toward improving maternal health. It emphasizes that sustained efforts must be defined and initiated at local and national levels, and complemented and supported by efforts at the regional and global levels. This complements existing action plans, such as the Global Strategy for Women and Children</w:t>
      </w:r>
      <w:r w:rsidRPr="0006570C">
        <w:rPr>
          <w:rFonts w:cs="Times New Roman"/>
          <w:noProof/>
          <w:szCs w:val="24"/>
          <w:vertAlign w:val="superscript"/>
        </w:rPr>
        <w:t>108</w:t>
      </w:r>
      <w:r w:rsidRPr="008E510B">
        <w:rPr>
          <w:rFonts w:cs="Times New Roman"/>
          <w:szCs w:val="24"/>
        </w:rPr>
        <w:t xml:space="preserve"> </w:t>
      </w:r>
      <w:r>
        <w:rPr>
          <w:rFonts w:cs="Times New Roman"/>
          <w:szCs w:val="24"/>
        </w:rPr>
        <w:t>EPMM,</w:t>
      </w:r>
      <w:r>
        <w:rPr>
          <w:rFonts w:cs="Times New Roman"/>
          <w:szCs w:val="24"/>
          <w:vertAlign w:val="superscript"/>
        </w:rPr>
        <w:t>95</w:t>
      </w:r>
      <w:r w:rsidRPr="008E510B" w:rsidDel="00686384">
        <w:rPr>
          <w:rFonts w:cs="Times New Roman"/>
          <w:szCs w:val="24"/>
        </w:rPr>
        <w:t xml:space="preserve"> </w:t>
      </w:r>
      <w:r>
        <w:rPr>
          <w:rFonts w:cs="Times New Roman"/>
          <w:szCs w:val="24"/>
        </w:rPr>
        <w:t>and ENAP</w:t>
      </w:r>
      <w:r w:rsidRPr="008E510B">
        <w:rPr>
          <w:rFonts w:cs="Times New Roman"/>
          <w:szCs w:val="24"/>
        </w:rPr>
        <w:t>,</w:t>
      </w:r>
      <w:r w:rsidRPr="0006570C">
        <w:rPr>
          <w:rFonts w:cs="Times New Roman"/>
          <w:noProof/>
          <w:szCs w:val="24"/>
          <w:vertAlign w:val="superscript"/>
        </w:rPr>
        <w:t>111</w:t>
      </w:r>
      <w:r>
        <w:rPr>
          <w:rFonts w:cs="Times New Roman"/>
          <w:szCs w:val="24"/>
        </w:rPr>
        <w:t xml:space="preserve"> </w:t>
      </w:r>
      <w:r w:rsidRPr="008E510B">
        <w:rPr>
          <w:rFonts w:cs="Times New Roman"/>
          <w:szCs w:val="24"/>
        </w:rPr>
        <w:t xml:space="preserve">by emphasizing the need to contextualize local and national-level action, including a careful assessment of the local context, locally-driven action plans, and implementation plans that are tied to local and national budgets. It also emphasizes the critical interplay between local and global stakeholders, and the relative strengths of each. </w:t>
      </w:r>
    </w:p>
    <w:p w:rsidR="00F067F1" w:rsidRPr="008E510B" w:rsidRDefault="00F067F1" w:rsidP="00A15035">
      <w:pPr>
        <w:rPr>
          <w:rFonts w:cs="Times New Roman"/>
          <w:szCs w:val="24"/>
        </w:rPr>
      </w:pPr>
      <w:r w:rsidRPr="008E510B">
        <w:rPr>
          <w:rFonts w:cs="Times New Roman"/>
          <w:szCs w:val="24"/>
        </w:rPr>
        <w:t xml:space="preserve">National and local stakeholders are best positioned to identify and address key elements of the national and local context </w:t>
      </w:r>
      <w:r>
        <w:rPr>
          <w:rFonts w:cs="Times New Roman"/>
          <w:szCs w:val="24"/>
        </w:rPr>
        <w:t xml:space="preserve">needed </w:t>
      </w:r>
      <w:r w:rsidRPr="008E510B">
        <w:rPr>
          <w:rFonts w:cs="Times New Roman"/>
          <w:szCs w:val="24"/>
        </w:rPr>
        <w:t>to ensure effective maternal healthcare provision for all women, including adolescents. This includes assessing the local burden of disease; current models of care; the private sector’s role; provider numbers, skills and working conditions; financial initiatives available and their impact on maternal and newborn care; and the cultural, financial and geographical factors impacting illness, care-seeking, access, and women’s perspectives and satisfaction. It also involves setting measurable, costed, time-anchored goals for: human resources and their support; facility capabilities; content, quality and integration of care provision; and health information systems and data needed. National and local stakeholders will be instrumental in ensuring that such goals are supported by corresponding national and local budgetary allocations and through collaboration between various levels and sections of government, civil society, private sector, and with other relevant ministries.</w:t>
      </w:r>
    </w:p>
    <w:p w:rsidR="00F067F1" w:rsidRPr="008E510B" w:rsidRDefault="00F067F1" w:rsidP="00A15035">
      <w:pPr>
        <w:widowControl w:val="0"/>
        <w:autoSpaceDE w:val="0"/>
        <w:autoSpaceDN w:val="0"/>
        <w:adjustRightInd w:val="0"/>
        <w:rPr>
          <w:rFonts w:cs="Times New Roman"/>
          <w:szCs w:val="24"/>
        </w:rPr>
      </w:pPr>
      <w:r w:rsidRPr="008E510B">
        <w:rPr>
          <w:rFonts w:cs="Times New Roman"/>
          <w:szCs w:val="24"/>
        </w:rPr>
        <w:t>At global and regional level, stakeholders will need to advocate for increased attention to maternal-</w:t>
      </w:r>
      <w:r>
        <w:rPr>
          <w:rFonts w:cs="Times New Roman"/>
          <w:szCs w:val="24"/>
        </w:rPr>
        <w:t>perinatal</w:t>
      </w:r>
      <w:r w:rsidRPr="008E510B">
        <w:rPr>
          <w:rFonts w:cs="Times New Roman"/>
          <w:szCs w:val="24"/>
        </w:rPr>
        <w:t xml:space="preserve"> health</w:t>
      </w:r>
      <w:r>
        <w:rPr>
          <w:rFonts w:cs="Times New Roman"/>
          <w:szCs w:val="24"/>
        </w:rPr>
        <w:t>,</w:t>
      </w:r>
      <w:r w:rsidRPr="008E510B">
        <w:rPr>
          <w:rFonts w:cs="Times New Roman"/>
          <w:szCs w:val="24"/>
        </w:rPr>
        <w:t xml:space="preserve"> and ensure women’s rights and agency</w:t>
      </w:r>
      <w:r>
        <w:rPr>
          <w:rFonts w:cs="Times New Roman"/>
          <w:szCs w:val="24"/>
        </w:rPr>
        <w:t xml:space="preserve"> are acknowledged</w:t>
      </w:r>
      <w:r w:rsidRPr="008E510B">
        <w:rPr>
          <w:rFonts w:cs="Times New Roman"/>
          <w:szCs w:val="24"/>
        </w:rPr>
        <w:t xml:space="preserve">, including </w:t>
      </w:r>
      <w:r>
        <w:rPr>
          <w:rFonts w:cs="Times New Roman"/>
          <w:szCs w:val="24"/>
        </w:rPr>
        <w:t xml:space="preserve">by involving </w:t>
      </w:r>
      <w:r w:rsidRPr="008E510B">
        <w:rPr>
          <w:rFonts w:cs="Times New Roman"/>
          <w:szCs w:val="24"/>
        </w:rPr>
        <w:t>women</w:t>
      </w:r>
      <w:r>
        <w:rPr>
          <w:rFonts w:cs="Times New Roman"/>
          <w:szCs w:val="24"/>
        </w:rPr>
        <w:t xml:space="preserve"> </w:t>
      </w:r>
      <w:r w:rsidRPr="008E510B">
        <w:rPr>
          <w:rFonts w:cs="Times New Roman"/>
          <w:szCs w:val="24"/>
        </w:rPr>
        <w:t>in their own healthcare. Global stakeholders should encourage a fundamental paradigm shift toward more woman- and family-centred care, including more functional linkages between maternal healthcare services and other aspects of healthcare, such as combining family planning and newborn care provision during postpartum care visits, or integrati</w:t>
      </w:r>
      <w:r>
        <w:rPr>
          <w:rFonts w:cs="Times New Roman"/>
          <w:szCs w:val="24"/>
        </w:rPr>
        <w:t>ng</w:t>
      </w:r>
      <w:r w:rsidRPr="008E510B">
        <w:rPr>
          <w:rFonts w:cs="Times New Roman"/>
          <w:szCs w:val="24"/>
        </w:rPr>
        <w:t xml:space="preserve"> HIV and nutrition services.</w:t>
      </w:r>
      <w:r w:rsidRPr="0006570C">
        <w:rPr>
          <w:rFonts w:cs="Times New Roman"/>
          <w:noProof/>
          <w:szCs w:val="24"/>
          <w:vertAlign w:val="superscript"/>
        </w:rPr>
        <w:t>116</w:t>
      </w:r>
      <w:r w:rsidRPr="008E510B">
        <w:rPr>
          <w:rFonts w:cs="Times New Roman"/>
          <w:szCs w:val="24"/>
        </w:rPr>
        <w:t xml:space="preserve"> While such linkages are not easy to implement and sustain, and while funding silos are often difficult to bridge, this is precisely what is needed to realize the maximum possible gains for maternal</w:t>
      </w:r>
      <w:r>
        <w:rPr>
          <w:rFonts w:cs="Times New Roman"/>
          <w:szCs w:val="24"/>
        </w:rPr>
        <w:t xml:space="preserve">-perinatal </w:t>
      </w:r>
      <w:r w:rsidRPr="008E510B">
        <w:rPr>
          <w:rFonts w:cs="Times New Roman"/>
          <w:szCs w:val="24"/>
        </w:rPr>
        <w:t xml:space="preserve">health globally. </w:t>
      </w:r>
    </w:p>
    <w:p w:rsidR="00F067F1" w:rsidRPr="008E510B" w:rsidRDefault="00F067F1" w:rsidP="00A15035">
      <w:pPr>
        <w:widowControl w:val="0"/>
        <w:autoSpaceDE w:val="0"/>
        <w:autoSpaceDN w:val="0"/>
        <w:adjustRightInd w:val="0"/>
        <w:rPr>
          <w:rFonts w:cs="Times New Roman"/>
          <w:szCs w:val="24"/>
        </w:rPr>
      </w:pPr>
      <w:r w:rsidRPr="008E510B">
        <w:rPr>
          <w:rFonts w:cs="Times New Roman"/>
          <w:szCs w:val="24"/>
        </w:rPr>
        <w:t>Global stakeholders can also</w:t>
      </w:r>
      <w:r>
        <w:rPr>
          <w:rFonts w:cs="Times New Roman"/>
          <w:szCs w:val="24"/>
        </w:rPr>
        <w:t xml:space="preserve"> </w:t>
      </w:r>
      <w:r w:rsidRPr="008E510B">
        <w:rPr>
          <w:rFonts w:cs="Times New Roman"/>
          <w:szCs w:val="24"/>
        </w:rPr>
        <w:t>help by supporting continued efforts to provide evidence-based clinical practice guidelines, as well as case studies of programme implementation. Finally, global partners can fund research on measur</w:t>
      </w:r>
      <w:r>
        <w:rPr>
          <w:rFonts w:cs="Times New Roman"/>
          <w:szCs w:val="24"/>
        </w:rPr>
        <w:t>ing</w:t>
      </w:r>
      <w:r w:rsidRPr="008E510B">
        <w:rPr>
          <w:rFonts w:cs="Times New Roman"/>
          <w:szCs w:val="24"/>
        </w:rPr>
        <w:t xml:space="preserve"> maternal and newborn outcomes, implementation facilitators for known interventions, and test integration and linkages with others services, all the while being aware that different contexts </w:t>
      </w:r>
      <w:r>
        <w:rPr>
          <w:rFonts w:cs="Times New Roman"/>
          <w:szCs w:val="24"/>
        </w:rPr>
        <w:t xml:space="preserve">are </w:t>
      </w:r>
      <w:r w:rsidRPr="008E510B">
        <w:rPr>
          <w:rFonts w:cs="Times New Roman"/>
          <w:szCs w:val="24"/>
        </w:rPr>
        <w:t xml:space="preserve">likely </w:t>
      </w:r>
      <w:r>
        <w:rPr>
          <w:rFonts w:cs="Times New Roman"/>
          <w:szCs w:val="24"/>
        </w:rPr>
        <w:t xml:space="preserve">to </w:t>
      </w:r>
      <w:r w:rsidRPr="008E510B">
        <w:rPr>
          <w:rFonts w:cs="Times New Roman"/>
          <w:szCs w:val="24"/>
        </w:rPr>
        <w:t xml:space="preserve">require different implementation strategies. </w:t>
      </w:r>
    </w:p>
    <w:p w:rsidR="00F067F1" w:rsidRPr="0067307A" w:rsidRDefault="00F067F1" w:rsidP="00D87B1B">
      <w:pPr>
        <w:widowControl w:val="0"/>
        <w:autoSpaceDE w:val="0"/>
        <w:autoSpaceDN w:val="0"/>
        <w:adjustRightInd w:val="0"/>
        <w:spacing w:after="0"/>
        <w:rPr>
          <w:rFonts w:cs="Times New Roman"/>
          <w:b/>
          <w:szCs w:val="24"/>
          <w:u w:val="single"/>
        </w:rPr>
      </w:pPr>
      <w:r w:rsidRPr="0067307A">
        <w:rPr>
          <w:rFonts w:cs="Times New Roman"/>
          <w:b/>
          <w:szCs w:val="24"/>
          <w:u w:val="single"/>
        </w:rPr>
        <w:t xml:space="preserve">Conclusion </w:t>
      </w:r>
    </w:p>
    <w:p w:rsidR="00F067F1" w:rsidRPr="008E510B" w:rsidRDefault="00F067F1" w:rsidP="00D87B1B">
      <w:pPr>
        <w:widowControl w:val="0"/>
        <w:autoSpaceDE w:val="0"/>
        <w:autoSpaceDN w:val="0"/>
        <w:adjustRightInd w:val="0"/>
        <w:spacing w:after="0"/>
        <w:rPr>
          <w:rFonts w:cs="Times New Roman"/>
          <w:szCs w:val="24"/>
        </w:rPr>
      </w:pPr>
      <w:r w:rsidRPr="008E510B">
        <w:rPr>
          <w:rFonts w:cs="Times New Roman"/>
          <w:szCs w:val="24"/>
        </w:rPr>
        <w:t xml:space="preserve">This Series, following up on the 2006 Maternal Survival Series and building on </w:t>
      </w:r>
      <w:r>
        <w:rPr>
          <w:rFonts w:cs="Times New Roman"/>
          <w:szCs w:val="24"/>
        </w:rPr>
        <w:t xml:space="preserve">recent </w:t>
      </w:r>
      <w:r w:rsidRPr="008E510B">
        <w:rPr>
          <w:rFonts w:cs="Times New Roman"/>
          <w:szCs w:val="24"/>
        </w:rPr>
        <w:t>related series</w:t>
      </w:r>
      <w:r>
        <w:rPr>
          <w:rFonts w:cs="Times New Roman"/>
          <w:szCs w:val="24"/>
        </w:rPr>
        <w:t xml:space="preserve"> and commissions, including those on </w:t>
      </w:r>
      <w:r w:rsidRPr="008E510B">
        <w:rPr>
          <w:rFonts w:cs="Times New Roman"/>
          <w:szCs w:val="24"/>
        </w:rPr>
        <w:t>Midwifery, Newborn</w:t>
      </w:r>
      <w:r>
        <w:rPr>
          <w:rFonts w:cs="Times New Roman"/>
          <w:szCs w:val="24"/>
        </w:rPr>
        <w:t>s</w:t>
      </w:r>
      <w:r w:rsidRPr="008E510B">
        <w:rPr>
          <w:rFonts w:cs="Times New Roman"/>
          <w:szCs w:val="24"/>
        </w:rPr>
        <w:t>, Stillbirth</w:t>
      </w:r>
      <w:r>
        <w:rPr>
          <w:rFonts w:cs="Times New Roman"/>
          <w:szCs w:val="24"/>
        </w:rPr>
        <w:t>s</w:t>
      </w:r>
      <w:r w:rsidRPr="008E510B">
        <w:rPr>
          <w:rFonts w:cs="Times New Roman"/>
          <w:szCs w:val="24"/>
        </w:rPr>
        <w:t xml:space="preserve">, </w:t>
      </w:r>
      <w:r>
        <w:rPr>
          <w:rFonts w:cs="Times New Roman"/>
          <w:szCs w:val="24"/>
        </w:rPr>
        <w:t>and Adolescents</w:t>
      </w:r>
      <w:r w:rsidRPr="008E510B">
        <w:rPr>
          <w:rFonts w:cs="Times New Roman"/>
          <w:szCs w:val="24"/>
        </w:rPr>
        <w:t xml:space="preserve">), </w:t>
      </w:r>
      <w:r w:rsidRPr="008E510B">
        <w:rPr>
          <w:rFonts w:eastAsiaTheme="minorEastAsia" w:cs="Times New Roman"/>
          <w:szCs w:val="24"/>
        </w:rPr>
        <w:t>suggests two fundamental issues that need to be addressed to improve maternal health: ensuring the quality of maternal health care for all women, and guaranteeing access to care for those left behind, or the most vulnerable. In addition, it</w:t>
      </w:r>
      <w:r w:rsidRPr="008E510B">
        <w:rPr>
          <w:rFonts w:cs="Times New Roman"/>
          <w:szCs w:val="24"/>
        </w:rPr>
        <w:t xml:space="preserve"> describes, organizes and analyzes a large body of information that, if applied, could improve the health and pregnancy experience of millions of women and save thousands of lives around the world. Based on the hard</w:t>
      </w:r>
      <w:r>
        <w:rPr>
          <w:rFonts w:cs="Times New Roman"/>
          <w:szCs w:val="24"/>
        </w:rPr>
        <w:t>-</w:t>
      </w:r>
      <w:r w:rsidRPr="008E510B">
        <w:rPr>
          <w:rFonts w:cs="Times New Roman"/>
          <w:szCs w:val="24"/>
        </w:rPr>
        <w:t xml:space="preserve">fought experience working for improvements in maternal health during the MDG era, it provides a crucial knowledge base to inform actions under the new SDGs over the next five years. The priority actions presented here provide a timely update of the evidence under </w:t>
      </w:r>
      <w:r>
        <w:rPr>
          <w:rFonts w:cs="Times New Roman"/>
          <w:szCs w:val="24"/>
        </w:rPr>
        <w:t>similar</w:t>
      </w:r>
      <w:r w:rsidRPr="008E510B">
        <w:rPr>
          <w:rFonts w:cs="Times New Roman"/>
          <w:szCs w:val="24"/>
        </w:rPr>
        <w:t xml:space="preserve"> themes as the EPMM / ENAP strategic directions</w:t>
      </w:r>
      <w:r w:rsidRPr="0067307A">
        <w:rPr>
          <w:rFonts w:cs="Times New Roman"/>
          <w:noProof/>
          <w:szCs w:val="24"/>
          <w:vertAlign w:val="superscript"/>
        </w:rPr>
        <w:t>3</w:t>
      </w:r>
      <w:r w:rsidRPr="008E510B">
        <w:rPr>
          <w:rFonts w:cs="Times New Roman"/>
          <w:szCs w:val="24"/>
        </w:rPr>
        <w:t xml:space="preserve"> and </w:t>
      </w:r>
      <w:r>
        <w:rPr>
          <w:rFonts w:cs="Times New Roman"/>
          <w:szCs w:val="24"/>
        </w:rPr>
        <w:t>are</w:t>
      </w:r>
      <w:r w:rsidRPr="008E510B">
        <w:rPr>
          <w:rFonts w:cs="Times New Roman"/>
          <w:szCs w:val="24"/>
        </w:rPr>
        <w:t xml:space="preserve"> a supportive and more elaborated evidence base to inform the development of plans</w:t>
      </w:r>
      <w:r>
        <w:rPr>
          <w:rFonts w:cs="Times New Roman"/>
          <w:szCs w:val="24"/>
        </w:rPr>
        <w:t xml:space="preserve"> and priority actions</w:t>
      </w:r>
      <w:r w:rsidRPr="008E510B">
        <w:rPr>
          <w:rFonts w:cs="Times New Roman"/>
          <w:szCs w:val="24"/>
        </w:rPr>
        <w:t>.</w:t>
      </w:r>
    </w:p>
    <w:p w:rsidR="00F067F1" w:rsidRPr="008E510B" w:rsidRDefault="00F067F1" w:rsidP="00D87B1B">
      <w:pPr>
        <w:widowControl w:val="0"/>
        <w:autoSpaceDE w:val="0"/>
        <w:autoSpaceDN w:val="0"/>
        <w:adjustRightInd w:val="0"/>
        <w:spacing w:after="0"/>
        <w:rPr>
          <w:rFonts w:cs="Times New Roman"/>
          <w:szCs w:val="24"/>
        </w:rPr>
      </w:pPr>
    </w:p>
    <w:p w:rsidR="00F067F1" w:rsidRPr="008E510B" w:rsidRDefault="00F067F1" w:rsidP="00D87B1B">
      <w:pPr>
        <w:rPr>
          <w:rFonts w:cs="Times New Roman"/>
          <w:szCs w:val="24"/>
        </w:rPr>
      </w:pPr>
      <w:r w:rsidRPr="008E510B">
        <w:rPr>
          <w:rFonts w:eastAsiaTheme="minorEastAsia" w:cs="Times New Roman"/>
          <w:szCs w:val="24"/>
        </w:rPr>
        <w:t>Maternal health strategies need to respon</w:t>
      </w:r>
      <w:r>
        <w:rPr>
          <w:rFonts w:eastAsiaTheme="minorEastAsia" w:cs="Times New Roman"/>
          <w:szCs w:val="24"/>
        </w:rPr>
        <w:t xml:space="preserve">d </w:t>
      </w:r>
      <w:r w:rsidRPr="008E510B">
        <w:rPr>
          <w:rFonts w:eastAsiaTheme="minorEastAsia" w:cs="Times New Roman"/>
          <w:szCs w:val="24"/>
        </w:rPr>
        <w:t>to the specific and often rapidly changing population needs as demographics, epidemiology and economies evolve</w:t>
      </w:r>
      <w:r>
        <w:rPr>
          <w:rFonts w:eastAsiaTheme="minorEastAsia" w:cs="Times New Roman"/>
          <w:szCs w:val="24"/>
        </w:rPr>
        <w:t>,</w:t>
      </w:r>
      <w:r w:rsidRPr="008E510B">
        <w:rPr>
          <w:rFonts w:eastAsiaTheme="minorEastAsia" w:cs="Times New Roman"/>
          <w:szCs w:val="24"/>
        </w:rPr>
        <w:t xml:space="preserve"> and preferences shift and diversify. This will require unprecedented collaboration</w:t>
      </w:r>
      <w:r w:rsidRPr="008E510B">
        <w:rPr>
          <w:rFonts w:cs="Times New Roman"/>
          <w:szCs w:val="24"/>
        </w:rPr>
        <w:t xml:space="preserve"> with a wide array of partners to improve equitable access to efficient, high-quality, and respectful maternal health care with functioning referral systems. It will require a fundamental paradigm shift toward woman- and family-centred care, with better linkages across RMNCAH and more, as NCDs and other maternal illnesses become apparent. </w:t>
      </w:r>
    </w:p>
    <w:p w:rsidR="00F067F1" w:rsidRPr="008E510B" w:rsidRDefault="00F067F1" w:rsidP="0041623F">
      <w:pPr>
        <w:rPr>
          <w:rFonts w:cs="Times New Roman"/>
          <w:szCs w:val="24"/>
        </w:rPr>
      </w:pPr>
      <w:r w:rsidRPr="008E510B">
        <w:rPr>
          <w:rFonts w:cs="Times New Roman"/>
          <w:szCs w:val="24"/>
        </w:rPr>
        <w:t>Crucial to achieving equity in maternal health will be the growing pressure on national and regional governments in even the poorest countries to provide UHC, i.e. high quality services available for every woman, everywhere, with financial protection. Maternal health improvements will influence, and be influenced by, achievements within the wider continuum of care, those working on NCDs, infectious diseases, nutrition, and mental health, and in relation to other SDG targets, from those aimed at ending poverty</w:t>
      </w:r>
      <w:r>
        <w:rPr>
          <w:rFonts w:cs="Times New Roman"/>
          <w:szCs w:val="24"/>
        </w:rPr>
        <w:t>,</w:t>
      </w:r>
      <w:r w:rsidRPr="008E510B">
        <w:rPr>
          <w:rFonts w:cs="Times New Roman"/>
          <w:szCs w:val="24"/>
        </w:rPr>
        <w:t xml:space="preserve"> to those building resilient infrastructure. Finally, as these efforts yield independent, rigorous data, such results can guide national and local governments and global partners in working together to focus on what is needed to reach the SDG target for MMR &lt;70 by 2030 and to attain equitable and accelerated improvement in maternal health.</w:t>
      </w:r>
      <w:r w:rsidRPr="008E510B">
        <w:rPr>
          <w:rFonts w:eastAsiaTheme="minorEastAsia" w:cs="Times New Roman"/>
          <w:szCs w:val="24"/>
        </w:rPr>
        <w:t xml:space="preserve"> </w:t>
      </w:r>
    </w:p>
    <w:p w:rsidR="00F067F1" w:rsidRPr="00705A09" w:rsidRDefault="00F067F1">
      <w:pPr>
        <w:spacing w:after="0" w:line="240" w:lineRule="auto"/>
        <w:rPr>
          <w:rFonts w:cs="Times New Roman"/>
          <w:szCs w:val="24"/>
        </w:rPr>
      </w:pPr>
      <w:r w:rsidRPr="00705A09">
        <w:rPr>
          <w:rFonts w:cs="Times New Roman"/>
          <w:szCs w:val="24"/>
        </w:rPr>
        <w:br w:type="page"/>
      </w:r>
    </w:p>
    <w:p w:rsidR="00F067F1" w:rsidRPr="008E510B" w:rsidRDefault="00F067F1" w:rsidP="00F77911">
      <w:pPr>
        <w:widowControl w:val="0"/>
        <w:autoSpaceDE w:val="0"/>
        <w:autoSpaceDN w:val="0"/>
        <w:adjustRightInd w:val="0"/>
        <w:spacing w:after="0"/>
        <w:rPr>
          <w:rFonts w:eastAsiaTheme="minorEastAsia" w:cs="Times New Roman"/>
          <w:b/>
          <w:bCs/>
          <w:szCs w:val="24"/>
        </w:rPr>
      </w:pPr>
      <w:r w:rsidRPr="008E510B">
        <w:rPr>
          <w:rFonts w:eastAsiaTheme="minorEastAsia" w:cs="Times New Roman"/>
          <w:b/>
          <w:bCs/>
          <w:szCs w:val="24"/>
        </w:rPr>
        <w:t>Box 1: Priorities and priority actions for accelerated progress toward improved maternal health</w:t>
      </w:r>
    </w:p>
    <w:p w:rsidR="00F067F1" w:rsidRPr="008E510B" w:rsidRDefault="00F067F1">
      <w:pPr>
        <w:spacing w:after="0" w:line="240" w:lineRule="auto"/>
        <w:rPr>
          <w:rFonts w:cs="Times New Roman"/>
          <w:szCs w:val="24"/>
        </w:rPr>
      </w:pPr>
    </w:p>
    <w:tbl>
      <w:tblPr>
        <w:tblStyle w:val="TableGrid"/>
        <w:tblW w:w="0" w:type="auto"/>
        <w:tblLook w:val="04A0" w:firstRow="1" w:lastRow="0" w:firstColumn="1" w:lastColumn="0" w:noHBand="0" w:noVBand="1"/>
      </w:tblPr>
      <w:tblGrid>
        <w:gridCol w:w="8856"/>
      </w:tblGrid>
      <w:tr w:rsidR="00F067F1" w:rsidRPr="008E510B" w:rsidTr="00F43222">
        <w:trPr>
          <w:trHeight w:val="5910"/>
        </w:trPr>
        <w:tc>
          <w:tcPr>
            <w:tcW w:w="8856" w:type="dxa"/>
          </w:tcPr>
          <w:p w:rsidR="00F067F1" w:rsidRPr="008E510B" w:rsidRDefault="00F067F1" w:rsidP="00D068B9">
            <w:pPr>
              <w:pStyle w:val="Heading2"/>
              <w:spacing w:before="0" w:line="240" w:lineRule="auto"/>
              <w:outlineLvl w:val="1"/>
              <w:rPr>
                <w:rFonts w:cs="Times New Roman"/>
                <w:szCs w:val="24"/>
              </w:rPr>
            </w:pPr>
            <w:r w:rsidRPr="008E510B">
              <w:rPr>
                <w:rFonts w:cs="Times New Roman"/>
                <w:szCs w:val="24"/>
              </w:rPr>
              <w:t>Priority 1: Prioritise quality maternal health services that respond to the local specificities of need</w:t>
            </w:r>
            <w:r>
              <w:rPr>
                <w:rFonts w:cs="Times New Roman"/>
                <w:szCs w:val="24"/>
              </w:rPr>
              <w:t>,</w:t>
            </w:r>
            <w:r w:rsidRPr="008E510B">
              <w:rPr>
                <w:rFonts w:cs="Times New Roman"/>
                <w:szCs w:val="24"/>
              </w:rPr>
              <w:t xml:space="preserve"> and meet emerging challenges</w:t>
            </w:r>
          </w:p>
          <w:p w:rsidR="00F067F1" w:rsidRPr="00D068B9" w:rsidRDefault="00F067F1" w:rsidP="00D068B9">
            <w:pPr>
              <w:pStyle w:val="Heading2"/>
              <w:outlineLvl w:val="1"/>
              <w:rPr>
                <w:rFonts w:cs="Times New Roman"/>
                <w:b w:val="0"/>
                <w:szCs w:val="24"/>
              </w:rPr>
            </w:pPr>
            <w:r w:rsidRPr="00D068B9">
              <w:rPr>
                <w:rFonts w:cs="Times New Roman"/>
                <w:b w:val="0"/>
                <w:szCs w:val="24"/>
              </w:rPr>
              <w:t xml:space="preserve">1.1: Ensure timely, equitable, respectful, evidence-based and safe maternal-perinatal health care, delivered through context-appropriate implementation strategies </w:t>
            </w:r>
          </w:p>
          <w:p w:rsidR="00F067F1" w:rsidRPr="008E510B" w:rsidRDefault="00F067F1" w:rsidP="00B622AF">
            <w:pPr>
              <w:pStyle w:val="Heading2"/>
              <w:spacing w:before="0" w:line="240" w:lineRule="auto"/>
              <w:outlineLvl w:val="1"/>
              <w:rPr>
                <w:rFonts w:cs="Times New Roman"/>
                <w:b w:val="0"/>
                <w:szCs w:val="24"/>
              </w:rPr>
            </w:pPr>
            <w:r w:rsidRPr="008E510B">
              <w:rPr>
                <w:rFonts w:cs="Times New Roman"/>
                <w:b w:val="0"/>
                <w:szCs w:val="24"/>
              </w:rPr>
              <w:t>1.2: Build linkages within and between maternal-</w:t>
            </w:r>
            <w:r>
              <w:rPr>
                <w:rFonts w:cs="Times New Roman"/>
                <w:b w:val="0"/>
                <w:szCs w:val="24"/>
              </w:rPr>
              <w:t>perinatal</w:t>
            </w:r>
            <w:r w:rsidRPr="008E510B">
              <w:rPr>
                <w:rFonts w:cs="Times New Roman"/>
                <w:b w:val="0"/>
                <w:szCs w:val="24"/>
              </w:rPr>
              <w:t xml:space="preserve"> and other health care services to address the increasing diversity of the burden of poor maternal health</w:t>
            </w:r>
          </w:p>
          <w:p w:rsidR="00F067F1" w:rsidRPr="00221DE6" w:rsidRDefault="00F067F1" w:rsidP="006A140C">
            <w:pPr>
              <w:rPr>
                <w:szCs w:val="24"/>
              </w:rPr>
            </w:pPr>
            <w:r w:rsidRPr="008E510B">
              <w:rPr>
                <w:rFonts w:cs="Times New Roman"/>
                <w:b/>
                <w:szCs w:val="24"/>
              </w:rPr>
              <w:t xml:space="preserve"> </w:t>
            </w:r>
          </w:p>
          <w:p w:rsidR="00F067F1" w:rsidRPr="00C15495" w:rsidRDefault="00F067F1" w:rsidP="006A140C">
            <w:pPr>
              <w:pStyle w:val="Heading2"/>
              <w:spacing w:before="0" w:line="240" w:lineRule="auto"/>
              <w:outlineLvl w:val="1"/>
              <w:rPr>
                <w:szCs w:val="24"/>
              </w:rPr>
            </w:pPr>
            <w:r w:rsidRPr="00D83BB5">
              <w:rPr>
                <w:szCs w:val="24"/>
              </w:rPr>
              <w:t>Priority 2: Promote equity through universal coverage of quality maternal health services, including for the most vulnerable women</w:t>
            </w:r>
          </w:p>
          <w:p w:rsidR="00F067F1" w:rsidRPr="008E510B" w:rsidRDefault="00F067F1" w:rsidP="00B622AF">
            <w:pPr>
              <w:spacing w:after="0" w:line="240" w:lineRule="auto"/>
              <w:rPr>
                <w:rFonts w:cs="Times New Roman"/>
                <w:szCs w:val="24"/>
              </w:rPr>
            </w:pPr>
          </w:p>
          <w:p w:rsidR="00F067F1" w:rsidRPr="008E510B" w:rsidRDefault="00F067F1" w:rsidP="00B622AF">
            <w:pPr>
              <w:spacing w:after="0" w:line="240" w:lineRule="auto"/>
              <w:rPr>
                <w:rFonts w:cs="Times New Roman"/>
                <w:b/>
                <w:szCs w:val="24"/>
              </w:rPr>
            </w:pPr>
            <w:r w:rsidRPr="008E510B">
              <w:rPr>
                <w:rFonts w:cs="Times New Roman"/>
                <w:b/>
                <w:szCs w:val="24"/>
              </w:rPr>
              <w:t>Priority 3: Increase the resilience and strength of health systems by optimizing the health workforce and improving facility capability</w:t>
            </w:r>
          </w:p>
          <w:p w:rsidR="00F067F1" w:rsidRPr="008E510B" w:rsidRDefault="00F067F1" w:rsidP="00B622AF">
            <w:pPr>
              <w:pStyle w:val="Heading2"/>
              <w:spacing w:before="0" w:line="240" w:lineRule="auto"/>
              <w:outlineLvl w:val="1"/>
              <w:rPr>
                <w:rFonts w:cs="Times New Roman"/>
                <w:b w:val="0"/>
                <w:szCs w:val="24"/>
              </w:rPr>
            </w:pPr>
          </w:p>
          <w:p w:rsidR="00F067F1" w:rsidRPr="008E510B" w:rsidRDefault="00F067F1" w:rsidP="000D1437">
            <w:pPr>
              <w:widowControl w:val="0"/>
              <w:autoSpaceDE w:val="0"/>
              <w:autoSpaceDN w:val="0"/>
              <w:adjustRightInd w:val="0"/>
              <w:spacing w:after="0"/>
              <w:rPr>
                <w:rFonts w:eastAsiaTheme="minorEastAsia" w:cs="Times New Roman"/>
                <w:b/>
                <w:bCs/>
                <w:szCs w:val="24"/>
              </w:rPr>
            </w:pPr>
            <w:r w:rsidRPr="008E510B">
              <w:rPr>
                <w:rFonts w:eastAsiaTheme="minorEastAsia" w:cs="Times New Roman"/>
                <w:b/>
                <w:bCs/>
                <w:szCs w:val="24"/>
              </w:rPr>
              <w:t>Priority 4: Guarantee sustainable financing for maternal</w:t>
            </w:r>
            <w:r>
              <w:rPr>
                <w:rFonts w:eastAsiaTheme="minorEastAsia" w:cs="Times New Roman"/>
                <w:b/>
                <w:bCs/>
                <w:szCs w:val="24"/>
              </w:rPr>
              <w:t xml:space="preserve">-perinatal </w:t>
            </w:r>
            <w:r w:rsidRPr="008E510B">
              <w:rPr>
                <w:rFonts w:eastAsiaTheme="minorEastAsia" w:cs="Times New Roman"/>
                <w:b/>
                <w:bCs/>
                <w:szCs w:val="24"/>
              </w:rPr>
              <w:t>health</w:t>
            </w:r>
          </w:p>
          <w:p w:rsidR="00F067F1" w:rsidRDefault="00F067F1" w:rsidP="00B622AF">
            <w:pPr>
              <w:spacing w:after="0" w:line="240" w:lineRule="auto"/>
              <w:rPr>
                <w:rFonts w:cs="Times New Roman"/>
                <w:b/>
                <w:szCs w:val="24"/>
              </w:rPr>
            </w:pPr>
          </w:p>
          <w:p w:rsidR="00F067F1" w:rsidRPr="008E510B" w:rsidRDefault="00F067F1" w:rsidP="00B622AF">
            <w:pPr>
              <w:spacing w:after="0" w:line="240" w:lineRule="auto"/>
              <w:rPr>
                <w:rFonts w:cs="Times New Roman"/>
                <w:b/>
                <w:szCs w:val="24"/>
              </w:rPr>
            </w:pPr>
            <w:r w:rsidRPr="008E510B">
              <w:rPr>
                <w:rFonts w:cs="Times New Roman"/>
                <w:b/>
                <w:szCs w:val="24"/>
              </w:rPr>
              <w:t xml:space="preserve">Priority 5: Accelerate progress through evidence, advocacy, and accountability </w:t>
            </w:r>
          </w:p>
          <w:p w:rsidR="00F067F1" w:rsidRPr="008E510B" w:rsidRDefault="00F067F1" w:rsidP="00B622AF">
            <w:pPr>
              <w:pStyle w:val="Heading2"/>
              <w:spacing w:before="0" w:line="240" w:lineRule="auto"/>
              <w:outlineLvl w:val="1"/>
              <w:rPr>
                <w:rFonts w:cs="Times New Roman"/>
                <w:b w:val="0"/>
                <w:szCs w:val="24"/>
              </w:rPr>
            </w:pPr>
            <w:r w:rsidRPr="008E510B">
              <w:rPr>
                <w:rFonts w:cs="Times New Roman"/>
                <w:b w:val="0"/>
                <w:szCs w:val="24"/>
              </w:rPr>
              <w:t>5.1: Develop better metrics and support implementation research to promote accountable, evidence-based maternal health care</w:t>
            </w:r>
          </w:p>
          <w:p w:rsidR="00F067F1" w:rsidRPr="008E510B" w:rsidRDefault="00F067F1" w:rsidP="00F5252A">
            <w:pPr>
              <w:pStyle w:val="Heading2"/>
              <w:spacing w:before="0" w:line="240" w:lineRule="auto"/>
              <w:outlineLvl w:val="1"/>
              <w:rPr>
                <w:rFonts w:cs="Times New Roman"/>
                <w:szCs w:val="24"/>
              </w:rPr>
            </w:pPr>
            <w:r w:rsidRPr="008E510B">
              <w:rPr>
                <w:rFonts w:cs="Times New Roman"/>
                <w:b w:val="0"/>
                <w:szCs w:val="24"/>
              </w:rPr>
              <w:t>5.2: Translate evidence into action through effective advocacy and accountability for maternal health</w:t>
            </w:r>
          </w:p>
        </w:tc>
      </w:tr>
    </w:tbl>
    <w:p w:rsidR="00F067F1" w:rsidRPr="008E510B" w:rsidRDefault="00F067F1">
      <w:pPr>
        <w:spacing w:after="0" w:line="240" w:lineRule="auto"/>
        <w:rPr>
          <w:rFonts w:cs="Times New Roman"/>
          <w:szCs w:val="24"/>
        </w:rPr>
      </w:pPr>
    </w:p>
    <w:p w:rsidR="00F067F1" w:rsidRPr="008E510B" w:rsidRDefault="00F067F1">
      <w:pPr>
        <w:spacing w:after="0" w:line="240" w:lineRule="auto"/>
        <w:rPr>
          <w:rFonts w:cs="Times New Roman"/>
          <w:szCs w:val="24"/>
        </w:rPr>
      </w:pPr>
    </w:p>
    <w:p w:rsidR="00F067F1" w:rsidRPr="008E510B" w:rsidRDefault="00F067F1">
      <w:pPr>
        <w:spacing w:after="0" w:line="240" w:lineRule="auto"/>
        <w:rPr>
          <w:rFonts w:cs="Times New Roman"/>
          <w:b/>
          <w:szCs w:val="24"/>
        </w:rPr>
      </w:pPr>
      <w:r w:rsidRPr="008E510B">
        <w:rPr>
          <w:rFonts w:cs="Times New Roman"/>
          <w:b/>
          <w:szCs w:val="24"/>
        </w:rPr>
        <w:br w:type="page"/>
      </w:r>
    </w:p>
    <w:p w:rsidR="00F067F1" w:rsidRPr="008E510B" w:rsidRDefault="00F067F1" w:rsidP="00DA59CC">
      <w:pPr>
        <w:spacing w:after="0"/>
        <w:ind w:hanging="11"/>
        <w:rPr>
          <w:rFonts w:cs="Times New Roman"/>
          <w:b/>
          <w:szCs w:val="24"/>
        </w:rPr>
      </w:pPr>
      <w:r w:rsidRPr="008E510B">
        <w:rPr>
          <w:rFonts w:cs="Times New Roman"/>
          <w:b/>
          <w:szCs w:val="24"/>
        </w:rPr>
        <w:t xml:space="preserve">Table 1: Stages in the Obstetric Transition and Corresponding Priority Actions </w:t>
      </w:r>
    </w:p>
    <w:tbl>
      <w:tblPr>
        <w:tblStyle w:val="TableGrid"/>
        <w:tblW w:w="10440" w:type="dxa"/>
        <w:tblInd w:w="-905" w:type="dxa"/>
        <w:tblLook w:val="04A0" w:firstRow="1" w:lastRow="0" w:firstColumn="1" w:lastColumn="0" w:noHBand="0" w:noVBand="1"/>
      </w:tblPr>
      <w:tblGrid>
        <w:gridCol w:w="3420"/>
        <w:gridCol w:w="3600"/>
        <w:gridCol w:w="3420"/>
      </w:tblGrid>
      <w:tr w:rsidR="00F067F1" w:rsidRPr="008E510B" w:rsidTr="00E50317">
        <w:tc>
          <w:tcPr>
            <w:tcW w:w="3420" w:type="dxa"/>
          </w:tcPr>
          <w:p w:rsidR="00F067F1" w:rsidRPr="008E510B" w:rsidRDefault="00F067F1" w:rsidP="004B55B3">
            <w:pPr>
              <w:rPr>
                <w:rFonts w:cs="Times New Roman"/>
                <w:b/>
                <w:szCs w:val="24"/>
              </w:rPr>
            </w:pPr>
            <w:r w:rsidRPr="008E510B">
              <w:rPr>
                <w:rFonts w:cs="Times New Roman"/>
                <w:b/>
                <w:szCs w:val="24"/>
              </w:rPr>
              <w:t xml:space="preserve">Stages I and II: </w:t>
            </w:r>
            <w:r w:rsidRPr="008E510B">
              <w:rPr>
                <w:rFonts w:cs="Times New Roman"/>
                <w:szCs w:val="24"/>
              </w:rPr>
              <w:t>MMR &gt; 420</w:t>
            </w:r>
          </w:p>
          <w:p w:rsidR="00F067F1" w:rsidRPr="008E510B" w:rsidRDefault="00F067F1" w:rsidP="00764B6E">
            <w:pPr>
              <w:spacing w:after="0" w:line="240" w:lineRule="auto"/>
              <w:rPr>
                <w:rFonts w:cs="Times New Roman"/>
                <w:szCs w:val="24"/>
              </w:rPr>
            </w:pPr>
            <w:r w:rsidRPr="008E510B">
              <w:rPr>
                <w:rFonts w:cs="Times New Roman"/>
                <w:szCs w:val="24"/>
              </w:rPr>
              <w:t xml:space="preserve">Prioritize: </w:t>
            </w:r>
          </w:p>
          <w:p w:rsidR="00F067F1" w:rsidRPr="008E510B" w:rsidRDefault="00F067F1" w:rsidP="00764B6E">
            <w:pPr>
              <w:spacing w:after="0" w:line="240" w:lineRule="auto"/>
              <w:rPr>
                <w:rFonts w:cs="Times New Roman"/>
                <w:szCs w:val="24"/>
              </w:rPr>
            </w:pPr>
          </w:p>
          <w:p w:rsidR="00F067F1" w:rsidRPr="008E510B" w:rsidRDefault="00F067F1" w:rsidP="00764B6E">
            <w:pPr>
              <w:spacing w:after="0" w:line="240" w:lineRule="auto"/>
              <w:rPr>
                <w:rFonts w:cs="Times New Roman"/>
                <w:szCs w:val="24"/>
              </w:rPr>
            </w:pPr>
          </w:p>
          <w:p w:rsidR="00F067F1" w:rsidRPr="008E510B" w:rsidRDefault="00F067F1" w:rsidP="00764B6E">
            <w:pPr>
              <w:pStyle w:val="ListParagraph"/>
              <w:numPr>
                <w:ilvl w:val="0"/>
                <w:numId w:val="1"/>
              </w:numPr>
              <w:spacing w:after="0" w:line="240" w:lineRule="auto"/>
              <w:ind w:left="247" w:hanging="180"/>
              <w:contextualSpacing w:val="0"/>
              <w:rPr>
                <w:rFonts w:cs="Times New Roman"/>
                <w:szCs w:val="24"/>
              </w:rPr>
            </w:pPr>
            <w:r w:rsidRPr="008E510B">
              <w:rPr>
                <w:rFonts w:cs="Times New Roman"/>
                <w:szCs w:val="24"/>
              </w:rPr>
              <w:t xml:space="preserve">Develop and support frontline infrastructure and human resources, </w:t>
            </w:r>
          </w:p>
          <w:p w:rsidR="00F067F1" w:rsidRPr="008E510B" w:rsidRDefault="00F067F1" w:rsidP="00764B6E">
            <w:pPr>
              <w:pStyle w:val="ListParagraph"/>
              <w:numPr>
                <w:ilvl w:val="0"/>
                <w:numId w:val="1"/>
              </w:numPr>
              <w:spacing w:after="0" w:line="240" w:lineRule="auto"/>
              <w:ind w:left="247" w:hanging="180"/>
              <w:contextualSpacing w:val="0"/>
              <w:rPr>
                <w:rFonts w:cs="Times New Roman"/>
                <w:szCs w:val="24"/>
              </w:rPr>
            </w:pPr>
            <w:r w:rsidRPr="008E510B">
              <w:rPr>
                <w:rFonts w:cs="Times New Roman"/>
                <w:szCs w:val="24"/>
              </w:rPr>
              <w:t>Provide simple preventive interventions, including family planning, bed nets, iron supplementation, and safe abortion</w:t>
            </w:r>
          </w:p>
          <w:p w:rsidR="00F067F1" w:rsidRPr="008E510B" w:rsidRDefault="00F067F1" w:rsidP="00764B6E">
            <w:pPr>
              <w:pStyle w:val="ListParagraph"/>
              <w:numPr>
                <w:ilvl w:val="0"/>
                <w:numId w:val="1"/>
              </w:numPr>
              <w:spacing w:after="0" w:line="240" w:lineRule="auto"/>
              <w:ind w:left="247" w:hanging="180"/>
              <w:contextualSpacing w:val="0"/>
              <w:rPr>
                <w:rFonts w:cs="Times New Roman"/>
                <w:szCs w:val="24"/>
              </w:rPr>
            </w:pPr>
            <w:r w:rsidRPr="008E510B">
              <w:rPr>
                <w:rFonts w:cs="Times New Roman"/>
                <w:szCs w:val="24"/>
              </w:rPr>
              <w:t xml:space="preserve">Provide routine maternal health care components (e.g., ANC, uterotonics post-delivery) and emergency response for urgent problems (eg. Hemorrhage and newborn resuscitation) to reduce major direct causes of mortality </w:t>
            </w:r>
          </w:p>
          <w:p w:rsidR="00F067F1" w:rsidRPr="008E510B" w:rsidRDefault="00F067F1" w:rsidP="00764B6E">
            <w:pPr>
              <w:pStyle w:val="ListParagraph"/>
              <w:numPr>
                <w:ilvl w:val="0"/>
                <w:numId w:val="1"/>
              </w:numPr>
              <w:spacing w:after="0" w:line="240" w:lineRule="auto"/>
              <w:ind w:left="247" w:hanging="180"/>
              <w:contextualSpacing w:val="0"/>
              <w:rPr>
                <w:rFonts w:cs="Times New Roman"/>
                <w:szCs w:val="24"/>
              </w:rPr>
            </w:pPr>
            <w:r w:rsidRPr="008E510B">
              <w:rPr>
                <w:rFonts w:cs="Times New Roman"/>
                <w:szCs w:val="24"/>
              </w:rPr>
              <w:t>Improve service quality with provider training, including respectful treatment of women, ready access to basic equipment and supplies, supportive supervision, and other key supports</w:t>
            </w:r>
          </w:p>
          <w:p w:rsidR="00F067F1" w:rsidRPr="008E510B" w:rsidRDefault="00F067F1" w:rsidP="00764B6E">
            <w:pPr>
              <w:pStyle w:val="ListParagraph"/>
              <w:numPr>
                <w:ilvl w:val="0"/>
                <w:numId w:val="1"/>
              </w:numPr>
              <w:spacing w:after="0" w:line="240" w:lineRule="auto"/>
              <w:ind w:left="247" w:hanging="180"/>
              <w:contextualSpacing w:val="0"/>
              <w:rPr>
                <w:rFonts w:cs="Times New Roman"/>
                <w:szCs w:val="24"/>
              </w:rPr>
            </w:pPr>
            <w:r w:rsidRPr="008E510B">
              <w:rPr>
                <w:rFonts w:cs="Times New Roman"/>
                <w:szCs w:val="24"/>
              </w:rPr>
              <w:t>Focus on equitable demand creation (UHC)</w:t>
            </w:r>
          </w:p>
        </w:tc>
        <w:tc>
          <w:tcPr>
            <w:tcW w:w="3600" w:type="dxa"/>
          </w:tcPr>
          <w:p w:rsidR="00F067F1" w:rsidRPr="008E510B" w:rsidRDefault="00F067F1" w:rsidP="004B55B3">
            <w:pPr>
              <w:rPr>
                <w:rFonts w:cs="Times New Roman"/>
                <w:b/>
                <w:szCs w:val="24"/>
              </w:rPr>
            </w:pPr>
            <w:r w:rsidRPr="008E510B">
              <w:rPr>
                <w:rFonts w:cs="Times New Roman"/>
                <w:b/>
                <w:szCs w:val="24"/>
              </w:rPr>
              <w:t xml:space="preserve">Stage III: </w:t>
            </w:r>
            <w:r w:rsidRPr="008E510B">
              <w:rPr>
                <w:rFonts w:cs="Times New Roman"/>
                <w:szCs w:val="24"/>
              </w:rPr>
              <w:t>MMR 70-420</w:t>
            </w:r>
          </w:p>
          <w:p w:rsidR="00F067F1" w:rsidRPr="008E510B" w:rsidRDefault="00F067F1" w:rsidP="004B55B3">
            <w:pPr>
              <w:rPr>
                <w:rFonts w:cs="Times New Roman"/>
                <w:szCs w:val="24"/>
              </w:rPr>
            </w:pPr>
            <w:r w:rsidRPr="008E510B">
              <w:rPr>
                <w:rFonts w:cs="Times New Roman"/>
                <w:szCs w:val="24"/>
              </w:rPr>
              <w:t>Assume actions for stages I and II are met, and prioritize:</w:t>
            </w:r>
          </w:p>
          <w:p w:rsidR="00F067F1" w:rsidRPr="008E510B" w:rsidRDefault="00F067F1" w:rsidP="00332A43">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Improve management of routine delivery and of complications, including a timely referral process</w:t>
            </w:r>
          </w:p>
          <w:p w:rsidR="00F067F1" w:rsidRPr="008E510B" w:rsidRDefault="00F067F1" w:rsidP="00332A43">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 xml:space="preserve">Improve service quality through appropriate integration, especially for infections, malnutrition and mental health, triage and referral </w:t>
            </w:r>
          </w:p>
          <w:p w:rsidR="00F067F1" w:rsidRPr="008E510B" w:rsidRDefault="00F067F1" w:rsidP="00332A43">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Employ quality of care improvement methods (including clinical practice guidelines), timely data collection and use for decision making and programme improvements</w:t>
            </w:r>
          </w:p>
          <w:p w:rsidR="00F067F1" w:rsidRPr="008E510B" w:rsidRDefault="00F067F1" w:rsidP="0086030C">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Increase demand for services, with specific focus on the vulnerable, through:</w:t>
            </w:r>
          </w:p>
          <w:p w:rsidR="00F067F1" w:rsidRPr="008E510B" w:rsidRDefault="00F067F1" w:rsidP="0086030C">
            <w:pPr>
              <w:spacing w:after="100" w:afterAutospacing="1" w:line="240" w:lineRule="auto"/>
              <w:ind w:left="360"/>
              <w:rPr>
                <w:rFonts w:cs="Times New Roman"/>
                <w:szCs w:val="24"/>
              </w:rPr>
            </w:pPr>
            <w:r w:rsidRPr="008E510B">
              <w:rPr>
                <w:rFonts w:cs="Times New Roman"/>
                <w:szCs w:val="24"/>
              </w:rPr>
              <w:t xml:space="preserve">--respectful satisfactory care provision based on women’s needs and perspectives, </w:t>
            </w:r>
          </w:p>
          <w:p w:rsidR="00F067F1" w:rsidRPr="008E510B" w:rsidRDefault="00F067F1" w:rsidP="0086030C">
            <w:pPr>
              <w:spacing w:after="100" w:afterAutospacing="1" w:line="240" w:lineRule="auto"/>
              <w:ind w:left="360"/>
              <w:rPr>
                <w:rFonts w:cs="Times New Roman"/>
                <w:szCs w:val="24"/>
              </w:rPr>
            </w:pPr>
            <w:r w:rsidRPr="008E510B">
              <w:rPr>
                <w:rFonts w:cs="Times New Roman"/>
                <w:szCs w:val="24"/>
              </w:rPr>
              <w:t xml:space="preserve">--- address transport/location needs, and </w:t>
            </w:r>
          </w:p>
          <w:p w:rsidR="00F067F1" w:rsidRPr="008E510B" w:rsidRDefault="00F067F1" w:rsidP="0086030C">
            <w:pPr>
              <w:spacing w:after="100" w:afterAutospacing="1" w:line="240" w:lineRule="auto"/>
              <w:ind w:left="360"/>
              <w:rPr>
                <w:rFonts w:cs="Times New Roman"/>
                <w:szCs w:val="24"/>
              </w:rPr>
            </w:pPr>
            <w:r w:rsidRPr="008E510B">
              <w:rPr>
                <w:rFonts w:cs="Times New Roman"/>
                <w:szCs w:val="24"/>
              </w:rPr>
              <w:t xml:space="preserve"> --effective use of financial initiatives (UHC), </w:t>
            </w:r>
          </w:p>
        </w:tc>
        <w:tc>
          <w:tcPr>
            <w:tcW w:w="3420" w:type="dxa"/>
          </w:tcPr>
          <w:p w:rsidR="00F067F1" w:rsidRPr="008E510B" w:rsidRDefault="00F067F1" w:rsidP="004B55B3">
            <w:pPr>
              <w:rPr>
                <w:rFonts w:cs="Times New Roman"/>
                <w:b/>
                <w:szCs w:val="24"/>
              </w:rPr>
            </w:pPr>
            <w:r w:rsidRPr="008E510B">
              <w:rPr>
                <w:rFonts w:cs="Times New Roman"/>
                <w:b/>
                <w:szCs w:val="24"/>
              </w:rPr>
              <w:t xml:space="preserve">Stages IV and V: </w:t>
            </w:r>
            <w:r w:rsidRPr="008E510B">
              <w:rPr>
                <w:rFonts w:cs="Times New Roman"/>
                <w:szCs w:val="24"/>
              </w:rPr>
              <w:t>MMR &lt;70</w:t>
            </w:r>
          </w:p>
          <w:p w:rsidR="00F067F1" w:rsidRPr="008E510B" w:rsidRDefault="00F067F1" w:rsidP="004B55B3">
            <w:pPr>
              <w:rPr>
                <w:rFonts w:cs="Times New Roman"/>
                <w:szCs w:val="24"/>
              </w:rPr>
            </w:pPr>
            <w:r w:rsidRPr="008E510B">
              <w:rPr>
                <w:rFonts w:cs="Times New Roman"/>
                <w:szCs w:val="24"/>
              </w:rPr>
              <w:t>Assume actions for stages I – III are met, and prioritize:</w:t>
            </w:r>
          </w:p>
          <w:p w:rsidR="00F067F1" w:rsidRPr="008E510B" w:rsidRDefault="00F067F1" w:rsidP="00332A43">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Improve integration/ linkages with health care for infections, malnutrition, NCDs and mental health</w:t>
            </w:r>
          </w:p>
          <w:p w:rsidR="00F067F1" w:rsidRPr="008E510B" w:rsidRDefault="00F067F1" w:rsidP="00332A43">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Address between and within-facility delays</w:t>
            </w:r>
          </w:p>
          <w:p w:rsidR="00F067F1" w:rsidRPr="008E510B" w:rsidRDefault="00F067F1" w:rsidP="00D23382">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Improve quality of care and decrease over-medicalization</w:t>
            </w:r>
          </w:p>
          <w:p w:rsidR="00F067F1" w:rsidRPr="008E510B" w:rsidRDefault="00F067F1" w:rsidP="00D23382">
            <w:pPr>
              <w:pStyle w:val="ListParagraph"/>
              <w:numPr>
                <w:ilvl w:val="0"/>
                <w:numId w:val="1"/>
              </w:numPr>
              <w:spacing w:after="100" w:afterAutospacing="1" w:line="240" w:lineRule="auto"/>
              <w:ind w:left="360"/>
              <w:contextualSpacing w:val="0"/>
              <w:rPr>
                <w:rFonts w:cs="Times New Roman"/>
                <w:szCs w:val="24"/>
              </w:rPr>
            </w:pPr>
            <w:r w:rsidRPr="008E510B">
              <w:rPr>
                <w:rFonts w:cs="Times New Roman"/>
                <w:szCs w:val="24"/>
              </w:rPr>
              <w:t>Increase satisfaction with care and sense of wellbeing</w:t>
            </w:r>
          </w:p>
        </w:tc>
      </w:tr>
    </w:tbl>
    <w:p w:rsidR="00F067F1" w:rsidRPr="008E510B" w:rsidRDefault="00F067F1" w:rsidP="00DA59CC">
      <w:pPr>
        <w:rPr>
          <w:rFonts w:cs="Times New Roman"/>
          <w:szCs w:val="24"/>
        </w:rPr>
      </w:pPr>
    </w:p>
    <w:p w:rsidR="00F067F1" w:rsidRPr="008E510B" w:rsidRDefault="00F067F1">
      <w:pPr>
        <w:spacing w:after="0" w:line="240" w:lineRule="auto"/>
        <w:rPr>
          <w:rFonts w:cs="Times New Roman"/>
          <w:szCs w:val="24"/>
        </w:rPr>
      </w:pPr>
      <w:r w:rsidRPr="008E510B">
        <w:rPr>
          <w:rFonts w:cs="Times New Roman"/>
          <w:szCs w:val="24"/>
        </w:rPr>
        <w:br w:type="page"/>
      </w:r>
    </w:p>
    <w:p w:rsidR="00F067F1" w:rsidRPr="008E510B" w:rsidRDefault="00F067F1" w:rsidP="00DA59CC">
      <w:pPr>
        <w:rPr>
          <w:rFonts w:cs="Times New Roman"/>
          <w:szCs w:val="24"/>
        </w:rPr>
        <w:sectPr w:rsidR="00F067F1" w:rsidRPr="008E510B" w:rsidSect="00900F49">
          <w:footerReference w:type="even" r:id="rId7"/>
          <w:footerReference w:type="default" r:id="rId8"/>
          <w:pgSz w:w="11906" w:h="16838"/>
          <w:pgMar w:top="1440" w:right="1440" w:bottom="1440" w:left="1440" w:header="708" w:footer="708" w:gutter="0"/>
          <w:cols w:space="708"/>
          <w:docGrid w:linePitch="360"/>
        </w:sectPr>
      </w:pPr>
    </w:p>
    <w:p w:rsidR="00F067F1" w:rsidRPr="008E510B" w:rsidRDefault="00F067F1" w:rsidP="00DA59CC">
      <w:pPr>
        <w:rPr>
          <w:rFonts w:cs="Times New Roman"/>
          <w:b/>
          <w:i/>
          <w:szCs w:val="24"/>
        </w:rPr>
      </w:pPr>
      <w:r w:rsidRPr="008E510B">
        <w:rPr>
          <w:rFonts w:cs="Times New Roman"/>
          <w:b/>
          <w:szCs w:val="24"/>
        </w:rPr>
        <w:t xml:space="preserve">Table 2: Example of indicators </w:t>
      </w:r>
      <w:r w:rsidRPr="008E510B">
        <w:rPr>
          <w:rFonts w:eastAsiaTheme="minorEastAsia" w:cs="Times New Roman"/>
          <w:b/>
          <w:szCs w:val="24"/>
        </w:rPr>
        <w:t>for measuring burden and the ability of health systems to provide quality maternal health care</w:t>
      </w:r>
      <w:r w:rsidRPr="008E510B">
        <w:rPr>
          <w:rFonts w:cs="Times New Roman"/>
          <w:b/>
          <w:szCs w:val="24"/>
        </w:rPr>
        <w:t xml:space="preserve"> </w:t>
      </w:r>
    </w:p>
    <w:tbl>
      <w:tblPr>
        <w:tblStyle w:val="TableGrid"/>
        <w:tblW w:w="14400" w:type="dxa"/>
        <w:tblInd w:w="-725" w:type="dxa"/>
        <w:tblLook w:val="04A0" w:firstRow="1" w:lastRow="0" w:firstColumn="1" w:lastColumn="0" w:noHBand="0" w:noVBand="1"/>
      </w:tblPr>
      <w:tblGrid>
        <w:gridCol w:w="540"/>
        <w:gridCol w:w="4253"/>
        <w:gridCol w:w="2160"/>
        <w:gridCol w:w="7447"/>
      </w:tblGrid>
      <w:tr w:rsidR="00F067F1" w:rsidRPr="008E510B" w:rsidTr="005978EC">
        <w:trPr>
          <w:cantSplit/>
          <w:trHeight w:val="1001"/>
        </w:trPr>
        <w:tc>
          <w:tcPr>
            <w:tcW w:w="540" w:type="dxa"/>
            <w:tcBorders>
              <w:top w:val="single" w:sz="12" w:space="0" w:color="auto"/>
              <w:bottom w:val="single" w:sz="12" w:space="0" w:color="auto"/>
            </w:tcBorders>
            <w:textDirection w:val="btLr"/>
          </w:tcPr>
          <w:p w:rsidR="00F067F1" w:rsidRPr="008E510B" w:rsidRDefault="00F067F1" w:rsidP="002615AD">
            <w:pPr>
              <w:spacing w:after="0" w:line="240" w:lineRule="auto"/>
              <w:ind w:left="113" w:right="113"/>
              <w:jc w:val="both"/>
              <w:rPr>
                <w:rFonts w:eastAsia="Times New Roman" w:cs="Times New Roman"/>
                <w:b/>
                <w:color w:val="1F4D78" w:themeColor="accent1" w:themeShade="7F"/>
                <w:szCs w:val="24"/>
                <w:lang w:val="en-GB"/>
              </w:rPr>
            </w:pPr>
            <w:r w:rsidRPr="008E510B">
              <w:rPr>
                <w:rFonts w:eastAsia="Times New Roman" w:cs="Times New Roman"/>
                <w:b/>
                <w:szCs w:val="24"/>
                <w:lang w:val="en-GB"/>
              </w:rPr>
              <w:t>Domain</w:t>
            </w:r>
          </w:p>
        </w:tc>
        <w:tc>
          <w:tcPr>
            <w:tcW w:w="4253" w:type="dxa"/>
            <w:tcBorders>
              <w:top w:val="single" w:sz="12" w:space="0" w:color="auto"/>
              <w:bottom w:val="single" w:sz="12" w:space="0" w:color="auto"/>
            </w:tcBorders>
          </w:tcPr>
          <w:p w:rsidR="00F067F1" w:rsidRPr="008E510B" w:rsidRDefault="00F067F1" w:rsidP="000E358D">
            <w:pPr>
              <w:spacing w:after="0" w:line="240" w:lineRule="auto"/>
              <w:rPr>
                <w:rFonts w:eastAsia="Times New Roman" w:cs="Times New Roman"/>
                <w:b/>
                <w:szCs w:val="24"/>
                <w:lang w:val="en-GB"/>
              </w:rPr>
            </w:pPr>
            <w:r w:rsidRPr="008E510B">
              <w:rPr>
                <w:rFonts w:eastAsia="Times New Roman" w:cs="Times New Roman"/>
                <w:b/>
                <w:szCs w:val="24"/>
                <w:lang w:val="en-GB"/>
              </w:rPr>
              <w:t>Proposed Indicator</w:t>
            </w:r>
          </w:p>
        </w:tc>
        <w:tc>
          <w:tcPr>
            <w:tcW w:w="2160" w:type="dxa"/>
            <w:tcBorders>
              <w:top w:val="single" w:sz="12" w:space="0" w:color="auto"/>
              <w:bottom w:val="single" w:sz="12" w:space="0" w:color="auto"/>
            </w:tcBorders>
          </w:tcPr>
          <w:p w:rsidR="00F067F1" w:rsidRPr="008E510B" w:rsidRDefault="00F067F1" w:rsidP="00122ECE">
            <w:pPr>
              <w:spacing w:after="0" w:line="240" w:lineRule="auto"/>
              <w:rPr>
                <w:rFonts w:eastAsia="Times New Roman" w:cs="Times New Roman"/>
                <w:b/>
                <w:szCs w:val="24"/>
                <w:lang w:val="en-GB"/>
              </w:rPr>
            </w:pPr>
            <w:r w:rsidRPr="008E510B">
              <w:rPr>
                <w:rFonts w:eastAsia="Times New Roman" w:cs="Times New Roman"/>
                <w:b/>
                <w:szCs w:val="24"/>
                <w:lang w:val="en-GB"/>
              </w:rPr>
              <w:t xml:space="preserve">Widespread existing experience </w:t>
            </w:r>
            <w:r w:rsidRPr="008E510B">
              <w:rPr>
                <w:rFonts w:eastAsia="Times New Roman" w:cs="Times New Roman"/>
                <w:szCs w:val="24"/>
                <w:lang w:val="en-GB"/>
              </w:rPr>
              <w:t>(Example of existing data source)</w:t>
            </w:r>
          </w:p>
        </w:tc>
        <w:tc>
          <w:tcPr>
            <w:tcW w:w="7447" w:type="dxa"/>
            <w:tcBorders>
              <w:top w:val="single" w:sz="12" w:space="0" w:color="auto"/>
              <w:bottom w:val="single" w:sz="12" w:space="0" w:color="auto"/>
            </w:tcBorders>
          </w:tcPr>
          <w:p w:rsidR="00F067F1" w:rsidRPr="008E510B" w:rsidRDefault="00F067F1" w:rsidP="00060796">
            <w:pPr>
              <w:spacing w:after="0" w:line="240" w:lineRule="auto"/>
              <w:rPr>
                <w:rFonts w:eastAsia="Times New Roman" w:cs="Times New Roman"/>
                <w:b/>
                <w:szCs w:val="24"/>
                <w:lang w:val="en-GB"/>
              </w:rPr>
            </w:pPr>
            <w:r w:rsidRPr="008E510B">
              <w:rPr>
                <w:rFonts w:eastAsia="Times New Roman" w:cs="Times New Roman"/>
                <w:b/>
                <w:szCs w:val="24"/>
                <w:lang w:val="en-GB"/>
              </w:rPr>
              <w:t xml:space="preserve">Issues </w:t>
            </w:r>
          </w:p>
        </w:tc>
      </w:tr>
      <w:tr w:rsidR="00F067F1" w:rsidRPr="008E510B" w:rsidTr="005978EC">
        <w:tc>
          <w:tcPr>
            <w:tcW w:w="540" w:type="dxa"/>
            <w:vMerge w:val="restart"/>
            <w:tcBorders>
              <w:top w:val="single" w:sz="12" w:space="0" w:color="auto"/>
            </w:tcBorders>
            <w:shd w:val="clear" w:color="auto" w:fill="FBE4D5" w:themeFill="accent2" w:themeFillTint="33"/>
            <w:textDirection w:val="btLr"/>
            <w:vAlign w:val="center"/>
          </w:tcPr>
          <w:p w:rsidR="00F067F1" w:rsidRPr="008E510B" w:rsidRDefault="00F067F1" w:rsidP="002615AD">
            <w:pPr>
              <w:spacing w:after="0" w:line="240" w:lineRule="auto"/>
              <w:ind w:left="113" w:right="113"/>
              <w:jc w:val="both"/>
              <w:rPr>
                <w:rFonts w:eastAsia="Times New Roman" w:cs="Times New Roman"/>
                <w:b/>
                <w:color w:val="1F4D78" w:themeColor="accent1" w:themeShade="7F"/>
                <w:szCs w:val="24"/>
                <w:lang w:val="en-GB"/>
              </w:rPr>
            </w:pPr>
            <w:r w:rsidRPr="008E510B">
              <w:rPr>
                <w:rFonts w:eastAsia="Times New Roman" w:cs="Times New Roman"/>
                <w:b/>
                <w:szCs w:val="24"/>
                <w:lang w:val="en-GB"/>
              </w:rPr>
              <w:t>Impact</w:t>
            </w:r>
          </w:p>
        </w:tc>
        <w:tc>
          <w:tcPr>
            <w:tcW w:w="4253" w:type="dxa"/>
            <w:tcBorders>
              <w:top w:val="single" w:sz="12" w:space="0" w:color="auto"/>
              <w:bottom w:val="single" w:sz="4" w:space="0" w:color="A6A6A6" w:themeColor="background1" w:themeShade="A6"/>
            </w:tcBorders>
            <w:shd w:val="clear" w:color="auto" w:fill="FBE4D5" w:themeFill="accent2" w:themeFillTint="33"/>
          </w:tcPr>
          <w:p w:rsidR="00F067F1" w:rsidRPr="008E510B" w:rsidRDefault="00F067F1" w:rsidP="000E358D">
            <w:pPr>
              <w:spacing w:after="0" w:line="240" w:lineRule="auto"/>
              <w:rPr>
                <w:rFonts w:eastAsia="Times New Roman" w:cs="Times New Roman"/>
                <w:szCs w:val="24"/>
                <w:lang w:val="en-GB"/>
              </w:rPr>
            </w:pPr>
            <w:r w:rsidRPr="008E510B">
              <w:rPr>
                <w:rFonts w:eastAsia="Times New Roman" w:cs="Times New Roman"/>
                <w:szCs w:val="24"/>
                <w:lang w:val="en-GB"/>
              </w:rPr>
              <w:t>Pregnancy-related mortality ratio, preferably cause-specific</w:t>
            </w:r>
          </w:p>
        </w:tc>
        <w:tc>
          <w:tcPr>
            <w:tcW w:w="2160" w:type="dxa"/>
            <w:tcBorders>
              <w:top w:val="single" w:sz="12" w:space="0" w:color="auto"/>
              <w:bottom w:val="single" w:sz="4" w:space="0" w:color="A6A6A6" w:themeColor="background1" w:themeShade="A6"/>
            </w:tcBorders>
            <w:shd w:val="clear" w:color="auto" w:fill="FBE4D5" w:themeFill="accent2"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(Vital Registration, US, Mexico</w:t>
            </w:r>
            <w:r w:rsidRPr="0006570C">
              <w:rPr>
                <w:rFonts w:eastAsia="Times New Roman" w:cs="Times New Roman"/>
                <w:noProof/>
                <w:szCs w:val="24"/>
                <w:vertAlign w:val="superscript"/>
                <w:lang w:val="en-GB"/>
              </w:rPr>
              <w:t>117, 118</w:t>
            </w:r>
            <w:r w:rsidRPr="008E510B">
              <w:rPr>
                <w:rFonts w:eastAsia="Times New Roman" w:cs="Times New Roman"/>
                <w:szCs w:val="24"/>
                <w:lang w:val="en-GB"/>
              </w:rPr>
              <w:t>)</w:t>
            </w:r>
          </w:p>
        </w:tc>
        <w:tc>
          <w:tcPr>
            <w:tcW w:w="7447" w:type="dxa"/>
            <w:tcBorders>
              <w:top w:val="single" w:sz="12" w:space="0" w:color="auto"/>
              <w:bottom w:val="single" w:sz="4" w:space="0" w:color="A6A6A6" w:themeColor="background1" w:themeShade="A6"/>
            </w:tcBorders>
            <w:shd w:val="clear" w:color="auto" w:fill="FBE4D5" w:themeFill="accent2"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deaths; need timely, empirically based estimates</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Using pregnancy-related definition avoids erratic approach to coincidental deaths</w:t>
            </w:r>
          </w:p>
        </w:tc>
      </w:tr>
      <w:tr w:rsidR="00F067F1" w:rsidRPr="008E510B" w:rsidTr="005978EC">
        <w:tc>
          <w:tcPr>
            <w:tcW w:w="540" w:type="dxa"/>
            <w:vMerge/>
            <w:shd w:val="clear" w:color="auto" w:fill="FBE4D5" w:themeFill="accent2" w:themeFillTint="33"/>
            <w:textDirection w:val="btLr"/>
          </w:tcPr>
          <w:p w:rsidR="00F067F1" w:rsidRPr="008E510B" w:rsidRDefault="00F067F1" w:rsidP="002615AD">
            <w:pPr>
              <w:spacing w:after="0" w:line="240" w:lineRule="auto"/>
              <w:ind w:left="113" w:right="113"/>
              <w:jc w:val="both"/>
              <w:rPr>
                <w:rFonts w:eastAsia="Times New Roman" w:cs="Times New Roman"/>
                <w:b/>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FBE4D5" w:themeFill="accent2" w:themeFillTint="33"/>
          </w:tcPr>
          <w:p w:rsidR="00F067F1" w:rsidRPr="008E510B" w:rsidRDefault="00F067F1" w:rsidP="005E4A21">
            <w:pPr>
              <w:spacing w:after="0" w:line="240" w:lineRule="auto"/>
              <w:rPr>
                <w:rFonts w:eastAsia="Times New Roman" w:cs="Times New Roman"/>
                <w:szCs w:val="24"/>
                <w:lang w:val="en-GB"/>
              </w:rPr>
            </w:pPr>
            <w:r w:rsidRPr="008E510B">
              <w:rPr>
                <w:rFonts w:eastAsia="Times New Roman" w:cs="Times New Roman"/>
                <w:szCs w:val="24"/>
                <w:lang w:val="en-GB"/>
              </w:rPr>
              <w:t xml:space="preserve">Risk of severe maternal morbidity </w:t>
            </w:r>
          </w:p>
        </w:tc>
        <w:tc>
          <w:tcPr>
            <w:tcW w:w="2160" w:type="dxa"/>
            <w:tcBorders>
              <w:top w:val="single" w:sz="4" w:space="0" w:color="A6A6A6" w:themeColor="background1" w:themeShade="A6"/>
              <w:bottom w:val="single" w:sz="4" w:space="0" w:color="A6A6A6" w:themeColor="background1" w:themeShade="A6"/>
            </w:tcBorders>
            <w:shd w:val="clear" w:color="auto" w:fill="FBE4D5" w:themeFill="accent2"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(Facility-based (UK)</w:t>
            </w:r>
            <w:r w:rsidRPr="0006570C">
              <w:rPr>
                <w:rFonts w:eastAsia="Times New Roman" w:cs="Times New Roman"/>
                <w:noProof/>
                <w:szCs w:val="24"/>
                <w:vertAlign w:val="superscript"/>
                <w:lang w:val="en-GB"/>
              </w:rPr>
              <w:t>119</w:t>
            </w:r>
            <w:r w:rsidRPr="008E510B">
              <w:rPr>
                <w:rFonts w:eastAsia="Times New Roman" w:cs="Times New Roman"/>
                <w:szCs w:val="24"/>
                <w:lang w:val="en-GB"/>
              </w:rPr>
              <w:t xml:space="preserve"> or survey (multi</w:t>
            </w:r>
            <w:r w:rsidRPr="0006570C">
              <w:rPr>
                <w:rFonts w:eastAsia="Times New Roman" w:cs="Times New Roman"/>
                <w:noProof/>
                <w:szCs w:val="24"/>
                <w:vertAlign w:val="superscript"/>
                <w:lang w:val="en-GB"/>
              </w:rPr>
              <w:t>120</w:t>
            </w:r>
            <w:r w:rsidRPr="008E510B">
              <w:rPr>
                <w:rFonts w:eastAsia="Times New Roman" w:cs="Times New Roman"/>
                <w:szCs w:val="24"/>
                <w:lang w:val="en-GB"/>
              </w:rPr>
              <w:t xml:space="preserve">)) </w:t>
            </w:r>
          </w:p>
        </w:tc>
        <w:tc>
          <w:tcPr>
            <w:tcW w:w="7447" w:type="dxa"/>
            <w:tcBorders>
              <w:top w:val="single" w:sz="4" w:space="0" w:color="A6A6A6" w:themeColor="background1" w:themeShade="A6"/>
              <w:bottom w:val="single" w:sz="4" w:space="0" w:color="A6A6A6" w:themeColor="background1" w:themeShade="A6"/>
            </w:tcBorders>
            <w:shd w:val="clear" w:color="auto" w:fill="FBE4D5" w:themeFill="accent2"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morbidity, broadens focus from mortality</w:t>
            </w:r>
          </w:p>
          <w:p w:rsidR="00F067F1" w:rsidRPr="008E510B" w:rsidRDefault="00F067F1" w:rsidP="00E50317">
            <w:pPr>
              <w:spacing w:after="0" w:line="240" w:lineRule="auto"/>
              <w:ind w:left="252" w:hanging="180"/>
              <w:rPr>
                <w:rFonts w:eastAsia="Times New Roman" w:cs="Times New Roman"/>
                <w:szCs w:val="24"/>
                <w:lang w:val="en-GB"/>
              </w:rPr>
            </w:pPr>
          </w:p>
        </w:tc>
      </w:tr>
      <w:tr w:rsidR="00F067F1" w:rsidRPr="008E510B" w:rsidTr="005978EC">
        <w:tc>
          <w:tcPr>
            <w:tcW w:w="540" w:type="dxa"/>
            <w:vMerge/>
            <w:shd w:val="clear" w:color="auto" w:fill="FBE4D5" w:themeFill="accent2" w:themeFillTint="33"/>
            <w:textDirection w:val="btLr"/>
          </w:tcPr>
          <w:p w:rsidR="00F067F1" w:rsidRPr="008E510B" w:rsidRDefault="00F067F1" w:rsidP="002615AD">
            <w:pPr>
              <w:spacing w:after="0" w:line="240" w:lineRule="auto"/>
              <w:ind w:left="113" w:right="113"/>
              <w:jc w:val="both"/>
              <w:rPr>
                <w:rFonts w:eastAsia="Times New Roman" w:cs="Times New Roman"/>
                <w:b/>
                <w:szCs w:val="24"/>
                <w:lang w:val="en-GB"/>
              </w:rPr>
            </w:pPr>
          </w:p>
        </w:tc>
        <w:tc>
          <w:tcPr>
            <w:tcW w:w="4253" w:type="dxa"/>
            <w:tcBorders>
              <w:top w:val="single" w:sz="4" w:space="0" w:color="A6A6A6" w:themeColor="background1" w:themeShade="A6"/>
            </w:tcBorders>
            <w:shd w:val="clear" w:color="auto" w:fill="FBE4D5" w:themeFill="accent2" w:themeFillTint="33"/>
          </w:tcPr>
          <w:p w:rsidR="00F067F1" w:rsidRPr="008E510B" w:rsidRDefault="00F067F1" w:rsidP="00060796">
            <w:pPr>
              <w:spacing w:after="0" w:line="240" w:lineRule="auto"/>
              <w:rPr>
                <w:rFonts w:eastAsia="Times New Roman" w:cs="Times New Roman"/>
                <w:szCs w:val="24"/>
                <w:vertAlign w:val="superscript"/>
                <w:lang w:val="en-GB"/>
              </w:rPr>
            </w:pPr>
            <w:r w:rsidRPr="008E510B">
              <w:rPr>
                <w:rFonts w:eastAsia="Times New Roman" w:cs="Times New Roman"/>
                <w:szCs w:val="24"/>
                <w:lang w:val="en-GB"/>
              </w:rPr>
              <w:t>Percentage of women delivering without obstetric intervention (e.g. caesarean, induction)</w:t>
            </w:r>
          </w:p>
        </w:tc>
        <w:tc>
          <w:tcPr>
            <w:tcW w:w="2160" w:type="dxa"/>
            <w:tcBorders>
              <w:top w:val="single" w:sz="4" w:space="0" w:color="A6A6A6" w:themeColor="background1" w:themeShade="A6"/>
            </w:tcBorders>
            <w:shd w:val="clear" w:color="auto" w:fill="FBE4D5" w:themeFill="accent2"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No </w:t>
            </w:r>
            <w:r w:rsidRPr="008E510B">
              <w:rPr>
                <w:rFonts w:eastAsia="Times New Roman" w:cs="Times New Roman"/>
                <w:szCs w:val="24"/>
                <w:lang w:val="en-GB"/>
              </w:rPr>
              <w:t>(DHS, Brazil &amp; Denmark medical records</w:t>
            </w:r>
            <w:r w:rsidRPr="0006570C">
              <w:rPr>
                <w:rFonts w:eastAsia="Times New Roman" w:cs="Times New Roman"/>
                <w:noProof/>
                <w:szCs w:val="24"/>
                <w:vertAlign w:val="superscript"/>
                <w:lang w:val="en-GB"/>
              </w:rPr>
              <w:t>121, 122</w:t>
            </w:r>
            <w:r w:rsidRPr="008E510B">
              <w:rPr>
                <w:rFonts w:eastAsia="Times New Roman" w:cs="Times New Roman"/>
                <w:szCs w:val="24"/>
                <w:lang w:val="en-GB"/>
              </w:rPr>
              <w:t>)</w:t>
            </w:r>
          </w:p>
        </w:tc>
        <w:tc>
          <w:tcPr>
            <w:tcW w:w="7447" w:type="dxa"/>
            <w:tcBorders>
              <w:top w:val="single" w:sz="4" w:space="0" w:color="A6A6A6" w:themeColor="background1" w:themeShade="A6"/>
            </w:tcBorders>
            <w:shd w:val="clear" w:color="auto" w:fill="FBE4D5" w:themeFill="accent2"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desire to avoiding over-intervention</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Multiple versions of indicator exists; needs global consensus on definition</w:t>
            </w:r>
          </w:p>
        </w:tc>
      </w:tr>
      <w:tr w:rsidR="00F067F1" w:rsidRPr="008E510B" w:rsidTr="005978EC">
        <w:tc>
          <w:tcPr>
            <w:tcW w:w="540" w:type="dxa"/>
            <w:vMerge w:val="restart"/>
            <w:shd w:val="clear" w:color="auto" w:fill="E2EFD9" w:themeFill="accent6" w:themeFillTint="33"/>
            <w:textDirection w:val="btLr"/>
            <w:vAlign w:val="center"/>
          </w:tcPr>
          <w:p w:rsidR="00F067F1" w:rsidRPr="008E510B" w:rsidRDefault="00F067F1" w:rsidP="002615AD">
            <w:pPr>
              <w:spacing w:after="0" w:line="240" w:lineRule="auto"/>
              <w:ind w:left="113" w:right="113"/>
              <w:jc w:val="both"/>
              <w:rPr>
                <w:rFonts w:eastAsia="Times New Roman" w:cs="Times New Roman"/>
                <w:b/>
                <w:color w:val="1F4D78" w:themeColor="accent1" w:themeShade="7F"/>
                <w:szCs w:val="24"/>
                <w:lang w:val="en-GB"/>
              </w:rPr>
            </w:pPr>
            <w:r w:rsidRPr="008E510B">
              <w:rPr>
                <w:rFonts w:eastAsia="Times New Roman" w:cs="Times New Roman"/>
                <w:b/>
                <w:szCs w:val="24"/>
                <w:lang w:val="en-GB"/>
              </w:rPr>
              <w:t>Coverage</w:t>
            </w:r>
          </w:p>
        </w:tc>
        <w:tc>
          <w:tcPr>
            <w:tcW w:w="4253" w:type="dxa"/>
            <w:tcBorders>
              <w:bottom w:val="single" w:sz="4" w:space="0" w:color="A6A6A6" w:themeColor="background1" w:themeShade="A6"/>
            </w:tcBorders>
            <w:shd w:val="clear" w:color="auto" w:fill="E2EFD9" w:themeFill="accent6"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szCs w:val="24"/>
                <w:lang w:val="en-GB"/>
              </w:rPr>
              <w:t>Skilled attendant at birth by place of birth (level &amp; sector; and type of provider-midwife, doctor, obstetrician</w:t>
            </w:r>
            <w:r w:rsidRPr="008E510B">
              <w:rPr>
                <w:rFonts w:eastAsia="Times New Roman" w:cs="Times New Roman"/>
                <w:i/>
                <w:szCs w:val="24"/>
                <w:lang w:val="en-GB"/>
              </w:rPr>
              <w:t>)</w:t>
            </w:r>
          </w:p>
        </w:tc>
        <w:tc>
          <w:tcPr>
            <w:tcW w:w="2160" w:type="dxa"/>
            <w:tcBorders>
              <w:bottom w:val="single" w:sz="4" w:space="0" w:color="A6A6A6" w:themeColor="background1" w:themeShade="A6"/>
            </w:tcBorders>
            <w:shd w:val="clear" w:color="auto" w:fill="E2EFD9" w:themeFill="accent6"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(Ghana DHS</w:t>
            </w:r>
            <w:r w:rsidRPr="0006570C">
              <w:rPr>
                <w:rFonts w:eastAsia="Times New Roman" w:cs="Times New Roman"/>
                <w:noProof/>
                <w:szCs w:val="24"/>
                <w:vertAlign w:val="superscript"/>
                <w:lang w:val="en-GB"/>
              </w:rPr>
              <w:t>123</w:t>
            </w:r>
            <w:r w:rsidRPr="008E510B">
              <w:rPr>
                <w:rFonts w:eastAsia="Times New Roman" w:cs="Times New Roman"/>
                <w:szCs w:val="24"/>
                <w:lang w:val="en-GB"/>
              </w:rPr>
              <w:t>)</w:t>
            </w:r>
          </w:p>
        </w:tc>
        <w:tc>
          <w:tcPr>
            <w:tcW w:w="7447" w:type="dxa"/>
            <w:tcBorders>
              <w:bottom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contact with person theoretically providing routine care, identification of complications and at least some BEmOC</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Need to ascertain what various cadres are trained to do vis-à-vis routine and EmOC</w:t>
            </w:r>
          </w:p>
        </w:tc>
      </w:tr>
      <w:tr w:rsidR="00F067F1" w:rsidRPr="008E510B" w:rsidTr="005978EC">
        <w:tc>
          <w:tcPr>
            <w:tcW w:w="540" w:type="dxa"/>
            <w:vMerge/>
            <w:shd w:val="clear" w:color="auto" w:fill="E2EFD9" w:themeFill="accent6" w:themeFillTint="33"/>
          </w:tcPr>
          <w:p w:rsidR="00F067F1" w:rsidRPr="008A5B7A" w:rsidRDefault="00F067F1" w:rsidP="00060796">
            <w:pPr>
              <w:spacing w:after="0" w:line="240" w:lineRule="auto"/>
              <w:rPr>
                <w:rFonts w:eastAsia="Times New Roman" w:cs="Times New Roman"/>
                <w:b/>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A5B7A" w:rsidRDefault="00F067F1" w:rsidP="005E4A21">
            <w:pPr>
              <w:spacing w:after="0" w:line="240" w:lineRule="auto"/>
              <w:rPr>
                <w:rFonts w:eastAsia="Times New Roman" w:cs="Times New Roman"/>
                <w:szCs w:val="24"/>
                <w:lang w:val="en-GB"/>
              </w:rPr>
            </w:pPr>
            <w:r w:rsidRPr="008A5B7A">
              <w:rPr>
                <w:rFonts w:eastAsia="Times New Roman" w:cs="Times New Roman"/>
                <w:szCs w:val="24"/>
                <w:lang w:val="en-GB"/>
              </w:rPr>
              <w:t>Uterotonics immediately after birth for prevention of postpartum haemorrhage (among facility births)</w:t>
            </w:r>
          </w:p>
        </w:tc>
        <w:tc>
          <w:tcPr>
            <w:tcW w:w="2160"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060796">
            <w:pPr>
              <w:spacing w:after="0" w:line="240" w:lineRule="auto"/>
              <w:rPr>
                <w:rFonts w:eastAsia="Times New Roman" w:cs="Times New Roman"/>
                <w:szCs w:val="24"/>
                <w:lang w:val="en-GB"/>
              </w:rPr>
            </w:pPr>
            <w:r w:rsidRPr="008A5B7A">
              <w:rPr>
                <w:rFonts w:eastAsia="Times New Roman" w:cs="Times New Roman"/>
                <w:b/>
                <w:szCs w:val="24"/>
                <w:lang w:val="en-GB"/>
              </w:rPr>
              <w:t>No</w:t>
            </w:r>
            <w:r w:rsidRPr="008A5B7A">
              <w:rPr>
                <w:rFonts w:eastAsia="Times New Roman" w:cs="Times New Roman"/>
                <w:szCs w:val="24"/>
                <w:lang w:val="en-GB"/>
              </w:rPr>
              <w:t xml:space="preserve"> (Facility based, Ecuador</w:t>
            </w:r>
            <w:r w:rsidRPr="0006570C">
              <w:rPr>
                <w:rFonts w:eastAsia="Times New Roman" w:cs="Times New Roman"/>
                <w:noProof/>
                <w:szCs w:val="24"/>
                <w:vertAlign w:val="superscript"/>
                <w:lang w:val="en-GB"/>
              </w:rPr>
              <w:t>124</w:t>
            </w:r>
            <w:r w:rsidRPr="008E510B">
              <w:rPr>
                <w:rFonts w:eastAsia="Times New Roman" w:cs="Times New Roman"/>
                <w:szCs w:val="24"/>
                <w:lang w:val="en-GB"/>
              </w:rPr>
              <w:t xml:space="preserve">) </w:t>
            </w:r>
          </w:p>
          <w:p w:rsidR="00F067F1" w:rsidRPr="008E510B" w:rsidRDefault="00F067F1" w:rsidP="00060796">
            <w:pPr>
              <w:spacing w:after="0" w:line="240" w:lineRule="auto"/>
              <w:rPr>
                <w:rFonts w:eastAsia="Times New Roman" w:cs="Times New Roman"/>
                <w:szCs w:val="24"/>
                <w:lang w:val="en-GB"/>
              </w:rPr>
            </w:pPr>
          </w:p>
        </w:tc>
        <w:tc>
          <w:tcPr>
            <w:tcW w:w="7447"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care at the individual level; measures content of routine care of an effective intervention, which has a benchmark of 100%</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 xml:space="preserve">Very challenging to measure in the absence of good medical records (women’s self-report via survey unreliable) </w:t>
            </w:r>
          </w:p>
        </w:tc>
      </w:tr>
      <w:tr w:rsidR="00F067F1" w:rsidRPr="008E510B" w:rsidTr="005978EC">
        <w:tc>
          <w:tcPr>
            <w:tcW w:w="540" w:type="dxa"/>
            <w:vMerge/>
            <w:shd w:val="clear" w:color="auto" w:fill="E2EFD9" w:themeFill="accent6" w:themeFillTint="33"/>
          </w:tcPr>
          <w:p w:rsidR="00F067F1" w:rsidRPr="008A5B7A" w:rsidRDefault="00F067F1" w:rsidP="00060796">
            <w:pPr>
              <w:spacing w:after="0" w:line="240" w:lineRule="auto"/>
              <w:rPr>
                <w:rFonts w:eastAsia="Times New Roman" w:cs="Times New Roman"/>
                <w:b/>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A5B7A" w:rsidRDefault="00F067F1" w:rsidP="00060796">
            <w:pPr>
              <w:spacing w:after="0" w:line="240" w:lineRule="auto"/>
              <w:rPr>
                <w:rFonts w:eastAsia="Times New Roman" w:cs="Times New Roman"/>
                <w:szCs w:val="24"/>
                <w:lang w:val="en-GB"/>
              </w:rPr>
            </w:pPr>
            <w:r w:rsidRPr="008A5B7A">
              <w:rPr>
                <w:rFonts w:eastAsia="Times New Roman" w:cs="Times New Roman"/>
                <w:szCs w:val="24"/>
                <w:lang w:val="en-GB"/>
              </w:rPr>
              <w:t>Percentage with ANC with all essential elements of care</w:t>
            </w:r>
          </w:p>
        </w:tc>
        <w:tc>
          <w:tcPr>
            <w:tcW w:w="2160"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291026">
            <w:pPr>
              <w:spacing w:after="0" w:line="240" w:lineRule="auto"/>
              <w:rPr>
                <w:rFonts w:eastAsia="Times New Roman" w:cs="Times New Roman"/>
                <w:szCs w:val="24"/>
                <w:lang w:val="en-GB"/>
              </w:rPr>
            </w:pPr>
            <w:r w:rsidRPr="008A5B7A">
              <w:rPr>
                <w:rFonts w:eastAsia="Times New Roman" w:cs="Times New Roman"/>
                <w:b/>
                <w:szCs w:val="24"/>
                <w:lang w:val="en-GB"/>
              </w:rPr>
              <w:t xml:space="preserve">Yes </w:t>
            </w:r>
            <w:r w:rsidRPr="008A5B7A">
              <w:rPr>
                <w:rFonts w:eastAsia="Times New Roman" w:cs="Times New Roman"/>
                <w:szCs w:val="24"/>
                <w:lang w:val="en-GB"/>
              </w:rPr>
              <w:t>(Ghana DHS, Ethiopia, India, Nigeria</w:t>
            </w:r>
            <w:r w:rsidRPr="0006570C">
              <w:rPr>
                <w:rFonts w:eastAsia="Times New Roman" w:cs="Times New Roman"/>
                <w:noProof/>
                <w:szCs w:val="24"/>
                <w:vertAlign w:val="superscript"/>
                <w:lang w:val="en-GB"/>
              </w:rPr>
              <w:t>123, 125</w:t>
            </w:r>
            <w:r w:rsidRPr="008E510B">
              <w:rPr>
                <w:rFonts w:eastAsia="Times New Roman" w:cs="Times New Roman"/>
                <w:szCs w:val="24"/>
                <w:lang w:val="en-GB"/>
              </w:rPr>
              <w:t>)</w:t>
            </w:r>
          </w:p>
        </w:tc>
        <w:tc>
          <w:tcPr>
            <w:tcW w:w="7447"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 xml:space="preserve">Captures care at the individual-level; moves beyond number/ timing of ANC contacts to assess receipt of effective care </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Data to calculate indicator are widely available; essential elements need to be agreed and possibly expanded</w:t>
            </w:r>
          </w:p>
        </w:tc>
      </w:tr>
      <w:tr w:rsidR="00F067F1" w:rsidRPr="008E510B" w:rsidTr="005978EC">
        <w:tc>
          <w:tcPr>
            <w:tcW w:w="540" w:type="dxa"/>
            <w:vMerge/>
            <w:shd w:val="clear" w:color="auto" w:fill="E2EFD9" w:themeFill="accent6" w:themeFillTint="33"/>
          </w:tcPr>
          <w:p w:rsidR="00F067F1" w:rsidRPr="008E510B" w:rsidRDefault="00F067F1" w:rsidP="00060796">
            <w:pPr>
              <w:spacing w:after="0" w:line="240" w:lineRule="auto"/>
              <w:rPr>
                <w:rFonts w:eastAsia="Times New Roman" w:cs="Times New Roman"/>
                <w:b/>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szCs w:val="24"/>
                <w:lang w:val="en-GB"/>
              </w:rPr>
              <w:t>Caesarean section rate, by wealth quintile and/or urban/rural</w:t>
            </w:r>
          </w:p>
        </w:tc>
        <w:tc>
          <w:tcPr>
            <w:tcW w:w="2160"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(DHS, multi</w:t>
            </w:r>
            <w:r w:rsidRPr="0006570C">
              <w:rPr>
                <w:rFonts w:eastAsia="Times New Roman" w:cs="Times New Roman"/>
                <w:noProof/>
                <w:szCs w:val="24"/>
                <w:vertAlign w:val="superscript"/>
                <w:lang w:val="en-GB"/>
              </w:rPr>
              <w:t>126</w:t>
            </w:r>
            <w:r w:rsidRPr="008E510B">
              <w:rPr>
                <w:rFonts w:eastAsia="Times New Roman" w:cs="Times New Roman"/>
                <w:szCs w:val="24"/>
                <w:lang w:val="en-GB"/>
              </w:rPr>
              <w:t>)</w:t>
            </w:r>
          </w:p>
        </w:tc>
        <w:tc>
          <w:tcPr>
            <w:tcW w:w="7447"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a life-saving intervention for mothers &amp; newborns but since not all women require caesarean, also reflects “too little, too late” &amp; “too much, too soon”, and highlights inequitable access</w:t>
            </w:r>
          </w:p>
        </w:tc>
      </w:tr>
      <w:tr w:rsidR="00F067F1" w:rsidRPr="008E510B" w:rsidTr="005978EC">
        <w:tc>
          <w:tcPr>
            <w:tcW w:w="540" w:type="dxa"/>
            <w:vMerge/>
            <w:shd w:val="clear" w:color="auto" w:fill="E2EFD9" w:themeFill="accent6" w:themeFillTint="33"/>
          </w:tcPr>
          <w:p w:rsidR="00F067F1" w:rsidRPr="008E510B" w:rsidRDefault="00F067F1" w:rsidP="00060796">
            <w:pPr>
              <w:spacing w:after="0" w:line="240" w:lineRule="auto"/>
              <w:rPr>
                <w:rFonts w:eastAsia="Times New Roman" w:cs="Times New Roman"/>
                <w:b/>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szCs w:val="24"/>
                <w:lang w:val="en-GB"/>
              </w:rPr>
              <w:t>Met need for family planning</w:t>
            </w:r>
          </w:p>
        </w:tc>
        <w:tc>
          <w:tcPr>
            <w:tcW w:w="2160"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(DHS</w:t>
            </w:r>
            <w:r w:rsidRPr="0006570C">
              <w:rPr>
                <w:rFonts w:eastAsia="Times New Roman" w:cs="Times New Roman"/>
                <w:noProof/>
                <w:szCs w:val="24"/>
                <w:vertAlign w:val="superscript"/>
                <w:lang w:val="en-GB"/>
              </w:rPr>
              <w:t>127, 128</w:t>
            </w:r>
            <w:r w:rsidRPr="008E510B">
              <w:rPr>
                <w:rFonts w:eastAsia="Times New Roman" w:cs="Times New Roman"/>
                <w:szCs w:val="24"/>
                <w:lang w:val="en-GB"/>
              </w:rPr>
              <w:t>)</w:t>
            </w:r>
          </w:p>
        </w:tc>
        <w:tc>
          <w:tcPr>
            <w:tcW w:w="7447"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Important preventative measure and recognises important of links with other reproductive health services</w:t>
            </w:r>
          </w:p>
        </w:tc>
      </w:tr>
      <w:tr w:rsidR="00F067F1" w:rsidRPr="008E510B" w:rsidTr="005978EC">
        <w:tc>
          <w:tcPr>
            <w:tcW w:w="540" w:type="dxa"/>
            <w:vMerge/>
            <w:shd w:val="clear" w:color="auto" w:fill="E2EFD9" w:themeFill="accent6" w:themeFillTint="33"/>
          </w:tcPr>
          <w:p w:rsidR="00F067F1" w:rsidRPr="008E510B" w:rsidRDefault="00F067F1" w:rsidP="00060796">
            <w:pPr>
              <w:spacing w:after="0" w:line="240" w:lineRule="auto"/>
              <w:rPr>
                <w:rFonts w:eastAsia="Times New Roman" w:cs="Times New Roman"/>
                <w:b/>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4A0BCC">
            <w:pPr>
              <w:spacing w:after="0" w:line="240" w:lineRule="auto"/>
              <w:rPr>
                <w:rFonts w:eastAsia="Times New Roman" w:cs="Times New Roman"/>
                <w:szCs w:val="24"/>
                <w:lang w:val="en-GB"/>
              </w:rPr>
            </w:pPr>
            <w:r w:rsidRPr="008E510B">
              <w:rPr>
                <w:rFonts w:eastAsia="Times New Roman" w:cs="Times New Roman"/>
                <w:szCs w:val="24"/>
                <w:lang w:val="en-GB"/>
              </w:rPr>
              <w:t>Post-natal care visit within 24 hours of delivery (home births) or length of stay for 24 hours with check (facility births)</w:t>
            </w:r>
          </w:p>
        </w:tc>
        <w:tc>
          <w:tcPr>
            <w:tcW w:w="2160"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(Countdown, multi</w:t>
            </w:r>
            <w:r w:rsidRPr="0006570C">
              <w:rPr>
                <w:rFonts w:eastAsia="Times New Roman" w:cs="Times New Roman"/>
                <w:noProof/>
                <w:szCs w:val="24"/>
                <w:vertAlign w:val="superscript"/>
                <w:lang w:val="en-GB"/>
              </w:rPr>
              <w:t>127</w:t>
            </w:r>
            <w:r w:rsidRPr="008E510B">
              <w:rPr>
                <w:rFonts w:eastAsia="Times New Roman" w:cs="Times New Roman"/>
                <w:szCs w:val="24"/>
                <w:lang w:val="en-GB"/>
              </w:rPr>
              <w:t xml:space="preserve">) </w:t>
            </w:r>
          </w:p>
        </w:tc>
        <w:tc>
          <w:tcPr>
            <w:tcW w:w="7447" w:type="dxa"/>
            <w:tcBorders>
              <w:top w:val="single" w:sz="4" w:space="0" w:color="A6A6A6" w:themeColor="background1" w:themeShade="A6"/>
              <w:bottom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 xml:space="preserve">Captures contact in the immediate postpartum period; for facility delivery, assesses if length of stay sufficient for postnatal checks. For home-births without SBA, assesses coverage of postnatal home visit </w:t>
            </w:r>
          </w:p>
          <w:p w:rsidR="00F067F1" w:rsidRPr="008E510B" w:rsidRDefault="00F067F1" w:rsidP="00E50317">
            <w:pPr>
              <w:pStyle w:val="ListParagraph"/>
              <w:numPr>
                <w:ilvl w:val="0"/>
                <w:numId w:val="11"/>
              </w:numPr>
              <w:spacing w:after="0" w:line="240" w:lineRule="auto"/>
              <w:ind w:left="252" w:hanging="180"/>
              <w:rPr>
                <w:rFonts w:eastAsia="Times New Roman" w:cs="Times New Roman"/>
                <w:color w:val="1F4D78" w:themeColor="accent1" w:themeShade="7F"/>
                <w:szCs w:val="24"/>
                <w:lang w:val="en-GB"/>
              </w:rPr>
            </w:pPr>
            <w:r w:rsidRPr="008E510B">
              <w:rPr>
                <w:rFonts w:eastAsia="Times New Roman" w:cs="Times New Roman"/>
                <w:szCs w:val="24"/>
                <w:lang w:val="en-GB"/>
              </w:rPr>
              <w:t>Need to standardise the adequate period (12 or 24 hours postnatally); data could be used to calculate total length of stay after vaginal singleton delivery after facility birth</w:t>
            </w:r>
          </w:p>
        </w:tc>
      </w:tr>
      <w:tr w:rsidR="00F067F1" w:rsidRPr="008E510B" w:rsidTr="005978EC">
        <w:tc>
          <w:tcPr>
            <w:tcW w:w="540" w:type="dxa"/>
            <w:vMerge/>
            <w:shd w:val="clear" w:color="auto" w:fill="E2EFD9" w:themeFill="accent6" w:themeFillTint="33"/>
          </w:tcPr>
          <w:p w:rsidR="00F067F1" w:rsidRPr="008E510B" w:rsidRDefault="00F067F1" w:rsidP="00060796">
            <w:pPr>
              <w:spacing w:after="0" w:line="240" w:lineRule="auto"/>
              <w:rPr>
                <w:rFonts w:eastAsia="Times New Roman" w:cs="Times New Roman"/>
                <w:b/>
                <w:szCs w:val="24"/>
                <w:lang w:val="en-GB"/>
              </w:rPr>
            </w:pPr>
          </w:p>
        </w:tc>
        <w:tc>
          <w:tcPr>
            <w:tcW w:w="4253" w:type="dxa"/>
            <w:tcBorders>
              <w:top w:val="single" w:sz="4" w:space="0" w:color="A6A6A6" w:themeColor="background1" w:themeShade="A6"/>
            </w:tcBorders>
            <w:shd w:val="clear" w:color="auto" w:fill="E2EFD9" w:themeFill="accent6"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szCs w:val="24"/>
                <w:lang w:val="en-GB"/>
              </w:rPr>
              <w:t>Percentage of HIV positive pregnant and postpartum women receiving ART</w:t>
            </w:r>
          </w:p>
        </w:tc>
        <w:tc>
          <w:tcPr>
            <w:tcW w:w="2160" w:type="dxa"/>
            <w:tcBorders>
              <w:top w:val="single" w:sz="4" w:space="0" w:color="A6A6A6" w:themeColor="background1" w:themeShade="A6"/>
            </w:tcBorders>
            <w:shd w:val="clear" w:color="auto" w:fill="E2EFD9" w:themeFill="accent6"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Yes </w:t>
            </w:r>
            <w:r w:rsidRPr="008E510B">
              <w:rPr>
                <w:rFonts w:eastAsia="Times New Roman" w:cs="Times New Roman"/>
                <w:szCs w:val="24"/>
                <w:lang w:val="en-GB"/>
              </w:rPr>
              <w:t>(Countdown, multi</w:t>
            </w:r>
            <w:r w:rsidRPr="0006570C">
              <w:rPr>
                <w:rFonts w:eastAsia="Times New Roman" w:cs="Times New Roman"/>
                <w:noProof/>
                <w:szCs w:val="24"/>
                <w:vertAlign w:val="superscript"/>
                <w:lang w:val="en-GB"/>
              </w:rPr>
              <w:t>127</w:t>
            </w:r>
            <w:r w:rsidRPr="008E510B">
              <w:rPr>
                <w:rFonts w:eastAsia="Times New Roman" w:cs="Times New Roman"/>
                <w:szCs w:val="24"/>
                <w:lang w:val="en-GB"/>
              </w:rPr>
              <w:t>)</w:t>
            </w:r>
          </w:p>
        </w:tc>
        <w:tc>
          <w:tcPr>
            <w:tcW w:w="7447" w:type="dxa"/>
            <w:tcBorders>
              <w:top w:val="single" w:sz="4" w:space="0" w:color="A6A6A6" w:themeColor="background1" w:themeShade="A6"/>
            </w:tcBorders>
            <w:shd w:val="clear" w:color="auto" w:fill="E2EFD9" w:themeFill="accent6"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 xml:space="preserve">Captures integration of maternal health services with general health services, in this case HIV </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Most existing indicators focus on PMTCT, whereas ours emphasises women’s own need for access to general health services that continue care beyond pregnancy</w:t>
            </w:r>
          </w:p>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Operationalising this indicator, would need decision whether to measure any ARV, or movement long-term treatment for a certain length of time</w:t>
            </w:r>
          </w:p>
        </w:tc>
      </w:tr>
      <w:tr w:rsidR="00F067F1" w:rsidRPr="008E510B" w:rsidTr="005978EC">
        <w:tc>
          <w:tcPr>
            <w:tcW w:w="540" w:type="dxa"/>
            <w:vMerge w:val="restart"/>
            <w:tcBorders>
              <w:bottom w:val="single" w:sz="12" w:space="0" w:color="auto"/>
            </w:tcBorders>
            <w:shd w:val="clear" w:color="auto" w:fill="DEEAF6" w:themeFill="accent1" w:themeFillTint="33"/>
            <w:textDirection w:val="btLr"/>
            <w:vAlign w:val="center"/>
          </w:tcPr>
          <w:p w:rsidR="00F067F1" w:rsidRPr="008E510B" w:rsidRDefault="00F067F1" w:rsidP="002615AD">
            <w:pPr>
              <w:spacing w:after="0" w:line="240" w:lineRule="auto"/>
              <w:ind w:left="113" w:right="113"/>
              <w:jc w:val="both"/>
              <w:rPr>
                <w:rFonts w:eastAsia="Times New Roman" w:cs="Times New Roman"/>
                <w:b/>
                <w:color w:val="1F4D78" w:themeColor="accent1" w:themeShade="7F"/>
                <w:szCs w:val="24"/>
                <w:lang w:val="en-GB"/>
              </w:rPr>
            </w:pPr>
            <w:r w:rsidRPr="008E510B">
              <w:rPr>
                <w:rFonts w:eastAsia="Times New Roman" w:cs="Times New Roman"/>
                <w:b/>
                <w:szCs w:val="24"/>
                <w:lang w:val="en-GB"/>
              </w:rPr>
              <w:t>Systems outputs</w:t>
            </w:r>
          </w:p>
        </w:tc>
        <w:tc>
          <w:tcPr>
            <w:tcW w:w="4253" w:type="dxa"/>
            <w:tcBorders>
              <w:bottom w:val="single" w:sz="4" w:space="0" w:color="A6A6A6" w:themeColor="background1" w:themeShade="A6"/>
            </w:tcBorders>
            <w:shd w:val="clear" w:color="auto" w:fill="DEEAF6" w:themeFill="accent1" w:themeFillTint="33"/>
          </w:tcPr>
          <w:p w:rsidR="00F067F1" w:rsidRPr="008E510B" w:rsidRDefault="00F067F1" w:rsidP="00CC3A48">
            <w:pPr>
              <w:spacing w:after="0" w:line="240" w:lineRule="auto"/>
              <w:rPr>
                <w:rFonts w:eastAsia="Times New Roman" w:cs="Times New Roman"/>
                <w:szCs w:val="24"/>
                <w:lang w:val="en-GB"/>
              </w:rPr>
            </w:pPr>
            <w:r w:rsidRPr="008E510B">
              <w:rPr>
                <w:rFonts w:eastAsia="Times New Roman" w:cs="Times New Roman"/>
                <w:szCs w:val="24"/>
                <w:lang w:val="en-GB"/>
              </w:rPr>
              <w:t>“Readiness” of facility with respect to:</w:t>
            </w:r>
          </w:p>
          <w:p w:rsidR="00F067F1" w:rsidRPr="008E510B" w:rsidRDefault="00F067F1" w:rsidP="004A0BCC">
            <w:pPr>
              <w:numPr>
                <w:ilvl w:val="0"/>
                <w:numId w:val="4"/>
              </w:numPr>
              <w:spacing w:after="0" w:line="240" w:lineRule="auto"/>
              <w:ind w:left="252" w:hanging="252"/>
              <w:contextualSpacing/>
              <w:rPr>
                <w:rFonts w:eastAsia="Times New Roman" w:cs="Times New Roman"/>
                <w:szCs w:val="24"/>
                <w:lang w:val="en-GB"/>
              </w:rPr>
            </w:pPr>
            <w:r w:rsidRPr="008E510B">
              <w:rPr>
                <w:rFonts w:eastAsia="Times New Roman" w:cs="Times New Roman"/>
                <w:szCs w:val="24"/>
                <w:lang w:val="en-GB"/>
              </w:rPr>
              <w:t>Infrastructure (water, electricity, 24/7 opening)</w:t>
            </w:r>
          </w:p>
          <w:p w:rsidR="00F067F1" w:rsidRPr="008E510B" w:rsidRDefault="00F067F1" w:rsidP="004A0BCC">
            <w:pPr>
              <w:numPr>
                <w:ilvl w:val="0"/>
                <w:numId w:val="4"/>
              </w:numPr>
              <w:spacing w:after="0" w:line="240" w:lineRule="auto"/>
              <w:ind w:left="252" w:hanging="252"/>
              <w:contextualSpacing/>
              <w:rPr>
                <w:rFonts w:eastAsia="Times New Roman" w:cs="Times New Roman"/>
                <w:szCs w:val="24"/>
                <w:lang w:val="en-GB"/>
              </w:rPr>
            </w:pPr>
            <w:r w:rsidRPr="008E510B">
              <w:rPr>
                <w:rFonts w:eastAsia="Times New Roman" w:cs="Times New Roman"/>
                <w:szCs w:val="24"/>
                <w:lang w:val="en-GB"/>
              </w:rPr>
              <w:t>Routine delivery (infection prevention, AMSTL, partograph)</w:t>
            </w:r>
          </w:p>
          <w:p w:rsidR="00F067F1" w:rsidRPr="008E510B" w:rsidRDefault="00F067F1" w:rsidP="004A0BCC">
            <w:pPr>
              <w:numPr>
                <w:ilvl w:val="0"/>
                <w:numId w:val="4"/>
              </w:numPr>
              <w:spacing w:after="0" w:line="240" w:lineRule="auto"/>
              <w:ind w:left="252" w:hanging="252"/>
              <w:contextualSpacing/>
              <w:rPr>
                <w:rFonts w:eastAsia="Times New Roman" w:cs="Times New Roman"/>
                <w:szCs w:val="24"/>
                <w:lang w:val="en-GB"/>
              </w:rPr>
            </w:pPr>
            <w:r w:rsidRPr="008E510B">
              <w:rPr>
                <w:rFonts w:eastAsia="Times New Roman" w:cs="Times New Roman"/>
                <w:szCs w:val="24"/>
                <w:lang w:val="en-GB"/>
              </w:rPr>
              <w:t>Basic emergency care (antibiotics, uterotonics, MgSO</w:t>
            </w:r>
            <w:r w:rsidRPr="008E510B">
              <w:rPr>
                <w:rFonts w:eastAsia="Times New Roman" w:cs="Times New Roman"/>
                <w:szCs w:val="24"/>
                <w:vertAlign w:val="subscript"/>
                <w:lang w:val="en-GB"/>
              </w:rPr>
              <w:t>4</w:t>
            </w:r>
            <w:r w:rsidRPr="008E510B">
              <w:rPr>
                <w:rFonts w:eastAsia="Times New Roman" w:cs="Times New Roman"/>
                <w:szCs w:val="24"/>
                <w:lang w:val="en-GB"/>
              </w:rPr>
              <w:t xml:space="preserve">, manual extraction of placenta, removal of retained products, assisted vaginal delivery) </w:t>
            </w:r>
          </w:p>
          <w:p w:rsidR="00F067F1" w:rsidRPr="008E510B" w:rsidRDefault="00F067F1" w:rsidP="004A0BCC">
            <w:pPr>
              <w:numPr>
                <w:ilvl w:val="0"/>
                <w:numId w:val="4"/>
              </w:numPr>
              <w:spacing w:after="0" w:line="240" w:lineRule="auto"/>
              <w:ind w:left="252" w:hanging="252"/>
              <w:contextualSpacing/>
              <w:rPr>
                <w:rFonts w:eastAsia="Times New Roman" w:cs="Times New Roman"/>
                <w:szCs w:val="24"/>
                <w:lang w:val="en-GB"/>
              </w:rPr>
            </w:pPr>
            <w:r w:rsidRPr="008E510B">
              <w:rPr>
                <w:rFonts w:eastAsia="Times New Roman" w:cs="Times New Roman"/>
                <w:szCs w:val="24"/>
                <w:lang w:val="en-GB"/>
              </w:rPr>
              <w:t>Comprehensive care (C-section, blood transfusion)</w:t>
            </w:r>
          </w:p>
          <w:p w:rsidR="00F067F1" w:rsidRPr="008E510B" w:rsidRDefault="00F067F1" w:rsidP="004A0BCC">
            <w:pPr>
              <w:numPr>
                <w:ilvl w:val="0"/>
                <w:numId w:val="4"/>
              </w:numPr>
              <w:spacing w:after="0" w:line="240" w:lineRule="auto"/>
              <w:ind w:left="252" w:hanging="252"/>
              <w:contextualSpacing/>
              <w:rPr>
                <w:rFonts w:eastAsia="Times New Roman" w:cs="Times New Roman"/>
                <w:szCs w:val="24"/>
                <w:lang w:val="en-GB"/>
              </w:rPr>
            </w:pPr>
            <w:r w:rsidRPr="008E510B">
              <w:rPr>
                <w:rFonts w:eastAsia="Times New Roman" w:cs="Times New Roman"/>
                <w:szCs w:val="24"/>
                <w:lang w:val="en-GB"/>
              </w:rPr>
              <w:t xml:space="preserve">Staffing </w:t>
            </w:r>
          </w:p>
        </w:tc>
        <w:tc>
          <w:tcPr>
            <w:tcW w:w="2160" w:type="dxa"/>
            <w:tcBorders>
              <w:bottom w:val="single" w:sz="4" w:space="0" w:color="A6A6A6" w:themeColor="background1" w:themeShade="A6"/>
            </w:tcBorders>
            <w:shd w:val="clear" w:color="auto" w:fill="DEEAF6" w:themeFill="accent1" w:themeFillTint="33"/>
          </w:tcPr>
          <w:p w:rsidR="00F067F1" w:rsidRPr="008E510B" w:rsidRDefault="00F067F1" w:rsidP="00CC3A48">
            <w:pPr>
              <w:spacing w:after="0" w:line="240" w:lineRule="auto"/>
              <w:rPr>
                <w:rFonts w:eastAsia="Times New Roman" w:cs="Times New Roman"/>
                <w:szCs w:val="24"/>
                <w:lang w:val="en-GB"/>
              </w:rPr>
            </w:pPr>
            <w:r w:rsidRPr="008E510B">
              <w:rPr>
                <w:rFonts w:eastAsia="Times New Roman" w:cs="Times New Roman"/>
                <w:b/>
                <w:szCs w:val="24"/>
                <w:lang w:val="en-GB"/>
              </w:rPr>
              <w:t>Yes</w:t>
            </w:r>
            <w:r w:rsidRPr="008E510B">
              <w:rPr>
                <w:rFonts w:eastAsia="Times New Roman" w:cs="Times New Roman"/>
                <w:szCs w:val="24"/>
                <w:lang w:val="en-GB"/>
              </w:rPr>
              <w:t xml:space="preserve"> (Service provision assessment data</w:t>
            </w:r>
            <w:r w:rsidRPr="0006570C">
              <w:rPr>
                <w:rFonts w:eastAsia="Times New Roman" w:cs="Times New Roman"/>
                <w:noProof/>
                <w:szCs w:val="24"/>
                <w:vertAlign w:val="superscript"/>
                <w:lang w:val="en-GB"/>
              </w:rPr>
              <w:t>8, 129, 130</w:t>
            </w:r>
            <w:r w:rsidRPr="008E510B">
              <w:rPr>
                <w:rFonts w:eastAsia="Times New Roman" w:cs="Times New Roman"/>
                <w:szCs w:val="24"/>
                <w:lang w:val="en-GB"/>
              </w:rPr>
              <w:t>)</w:t>
            </w:r>
          </w:p>
          <w:p w:rsidR="00F067F1" w:rsidRPr="008E510B" w:rsidRDefault="00F067F1" w:rsidP="00CC3A48">
            <w:pPr>
              <w:spacing w:after="0" w:line="240" w:lineRule="auto"/>
              <w:rPr>
                <w:rFonts w:eastAsia="Times New Roman" w:cs="Times New Roman"/>
                <w:szCs w:val="24"/>
                <w:lang w:val="en-GB"/>
              </w:rPr>
            </w:pPr>
          </w:p>
          <w:p w:rsidR="00F067F1" w:rsidRPr="008E510B" w:rsidRDefault="00F067F1" w:rsidP="00060796">
            <w:pPr>
              <w:spacing w:after="0" w:line="240" w:lineRule="auto"/>
              <w:rPr>
                <w:rFonts w:eastAsia="Times New Roman" w:cs="Times New Roman"/>
                <w:szCs w:val="24"/>
                <w:lang w:val="en-GB"/>
              </w:rPr>
            </w:pPr>
          </w:p>
        </w:tc>
        <w:tc>
          <w:tcPr>
            <w:tcW w:w="7447" w:type="dxa"/>
            <w:tcBorders>
              <w:bottom w:val="single" w:sz="4" w:space="0" w:color="A6A6A6" w:themeColor="background1" w:themeShade="A6"/>
            </w:tcBorders>
            <w:shd w:val="clear" w:color="auto" w:fill="DEEAF6" w:themeFill="accent1"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the facility capability to provide routine and emergency care, and is required for the two subsequent indicators</w:t>
            </w:r>
          </w:p>
          <w:p w:rsidR="00F067F1" w:rsidRPr="008E510B" w:rsidRDefault="00F067F1" w:rsidP="008C492E">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 xml:space="preserve">Operationalization requires standardisation across a variety of instruments, including consensus on whether a signal function was performed within a 3 month interval </w:t>
            </w:r>
          </w:p>
        </w:tc>
      </w:tr>
      <w:tr w:rsidR="00F067F1" w:rsidRPr="008E510B" w:rsidTr="005978EC">
        <w:tc>
          <w:tcPr>
            <w:tcW w:w="540" w:type="dxa"/>
            <w:vMerge/>
            <w:tcBorders>
              <w:bottom w:val="single" w:sz="12" w:space="0" w:color="auto"/>
            </w:tcBorders>
            <w:shd w:val="clear" w:color="auto" w:fill="DEEAF6" w:themeFill="accent1" w:themeFillTint="33"/>
          </w:tcPr>
          <w:p w:rsidR="00F067F1" w:rsidRPr="008E510B" w:rsidRDefault="00F067F1" w:rsidP="00060796">
            <w:pPr>
              <w:spacing w:after="0" w:line="240" w:lineRule="auto"/>
              <w:rPr>
                <w:rFonts w:eastAsia="Times New Roman" w:cs="Times New Roman"/>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szCs w:val="24"/>
                <w:lang w:val="en-GB"/>
              </w:rPr>
              <w:t xml:space="preserve">Availability of EmONC facilities within two hours </w:t>
            </w:r>
          </w:p>
        </w:tc>
        <w:tc>
          <w:tcPr>
            <w:tcW w:w="2160"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291026">
            <w:pPr>
              <w:spacing w:after="0" w:line="240" w:lineRule="auto"/>
              <w:rPr>
                <w:rFonts w:eastAsia="Times New Roman" w:cs="Times New Roman"/>
                <w:szCs w:val="24"/>
                <w:lang w:val="en-GB"/>
              </w:rPr>
            </w:pPr>
            <w:r w:rsidRPr="008E510B">
              <w:rPr>
                <w:rFonts w:eastAsia="Times New Roman" w:cs="Times New Roman"/>
                <w:b/>
                <w:szCs w:val="24"/>
                <w:lang w:val="en-GB"/>
              </w:rPr>
              <w:t xml:space="preserve">No </w:t>
            </w:r>
            <w:r w:rsidRPr="008E510B">
              <w:rPr>
                <w:rFonts w:eastAsia="Times New Roman" w:cs="Times New Roman"/>
                <w:szCs w:val="24"/>
                <w:lang w:val="en-GB"/>
              </w:rPr>
              <w:t>(Ethiopia, Zambia</w:t>
            </w:r>
            <w:r w:rsidRPr="0006570C">
              <w:rPr>
                <w:rFonts w:eastAsia="Times New Roman" w:cs="Times New Roman"/>
                <w:noProof/>
                <w:szCs w:val="24"/>
                <w:vertAlign w:val="superscript"/>
                <w:lang w:val="en-GB"/>
              </w:rPr>
              <w:t>131, 132</w:t>
            </w:r>
            <w:r w:rsidRPr="008E510B">
              <w:rPr>
                <w:rFonts w:eastAsia="Times New Roman" w:cs="Times New Roman"/>
                <w:szCs w:val="24"/>
                <w:lang w:val="en-GB"/>
              </w:rPr>
              <w:t>)</w:t>
            </w:r>
          </w:p>
        </w:tc>
        <w:tc>
          <w:tcPr>
            <w:tcW w:w="7447"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geographic access to functional emergency care &amp; bolsters desirability of geo-located facility data, &amp; assessment of facility capability</w:t>
            </w:r>
          </w:p>
          <w:p w:rsidR="00F067F1" w:rsidRPr="008E510B" w:rsidRDefault="00F067F1" w:rsidP="00712CE5">
            <w:pPr>
              <w:pStyle w:val="ListParagraph"/>
              <w:numPr>
                <w:ilvl w:val="0"/>
                <w:numId w:val="11"/>
              </w:numPr>
              <w:spacing w:after="0" w:line="240" w:lineRule="auto"/>
              <w:ind w:left="252" w:hanging="180"/>
              <w:rPr>
                <w:rFonts w:eastAsia="Times New Roman" w:cs="Times New Roman"/>
                <w:color w:val="1F4D78" w:themeColor="accent1" w:themeShade="7F"/>
                <w:szCs w:val="24"/>
                <w:lang w:val="en-GB"/>
              </w:rPr>
            </w:pPr>
            <w:r w:rsidRPr="008E510B">
              <w:rPr>
                <w:rFonts w:eastAsia="Times New Roman" w:cs="Times New Roman"/>
                <w:szCs w:val="24"/>
                <w:lang w:val="en-GB"/>
              </w:rPr>
              <w:t xml:space="preserve">Experience is growing; best with facility censuses, including private-sector </w:t>
            </w:r>
          </w:p>
        </w:tc>
      </w:tr>
      <w:tr w:rsidR="00F067F1" w:rsidRPr="008E510B" w:rsidTr="005978EC">
        <w:tc>
          <w:tcPr>
            <w:tcW w:w="540" w:type="dxa"/>
            <w:vMerge/>
            <w:tcBorders>
              <w:bottom w:val="single" w:sz="12" w:space="0" w:color="auto"/>
            </w:tcBorders>
            <w:shd w:val="clear" w:color="auto" w:fill="DEEAF6" w:themeFill="accent1" w:themeFillTint="33"/>
          </w:tcPr>
          <w:p w:rsidR="00F067F1" w:rsidRPr="008E510B" w:rsidRDefault="00F067F1" w:rsidP="00060796">
            <w:pPr>
              <w:spacing w:after="0" w:line="240" w:lineRule="auto"/>
              <w:rPr>
                <w:rFonts w:eastAsia="Times New Roman" w:cs="Times New Roman"/>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szCs w:val="24"/>
                <w:lang w:val="en-GB"/>
              </w:rPr>
              <w:t>Availability of routine delivery facilities within two hours</w:t>
            </w:r>
          </w:p>
        </w:tc>
        <w:tc>
          <w:tcPr>
            <w:tcW w:w="2160"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291026">
            <w:pPr>
              <w:spacing w:after="0" w:line="240" w:lineRule="auto"/>
              <w:rPr>
                <w:rFonts w:eastAsia="Times New Roman" w:cs="Times New Roman"/>
                <w:b/>
                <w:szCs w:val="24"/>
                <w:lang w:val="en-GB"/>
              </w:rPr>
            </w:pPr>
            <w:r w:rsidRPr="008E510B">
              <w:rPr>
                <w:rFonts w:eastAsia="Times New Roman" w:cs="Times New Roman"/>
                <w:b/>
                <w:szCs w:val="24"/>
                <w:lang w:val="en-GB"/>
              </w:rPr>
              <w:t>No</w:t>
            </w:r>
            <w:r w:rsidRPr="008E510B">
              <w:rPr>
                <w:rFonts w:eastAsia="Times New Roman" w:cs="Times New Roman"/>
                <w:szCs w:val="24"/>
                <w:lang w:val="en-GB"/>
              </w:rPr>
              <w:t xml:space="preserve"> (Zambia</w:t>
            </w:r>
            <w:r w:rsidRPr="0006570C">
              <w:rPr>
                <w:rFonts w:eastAsia="Times New Roman" w:cs="Times New Roman"/>
                <w:noProof/>
                <w:szCs w:val="24"/>
                <w:vertAlign w:val="superscript"/>
                <w:lang w:val="en-GB"/>
              </w:rPr>
              <w:t>131</w:t>
            </w:r>
            <w:r w:rsidRPr="008E510B">
              <w:rPr>
                <w:rFonts w:eastAsia="Times New Roman" w:cs="Times New Roman"/>
                <w:szCs w:val="24"/>
                <w:lang w:val="en-GB"/>
              </w:rPr>
              <w:t>)</w:t>
            </w:r>
          </w:p>
        </w:tc>
        <w:tc>
          <w:tcPr>
            <w:tcW w:w="7447"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routine provision &amp; complements previous indicator at little marginal cost. Has advantage of emphasising access to decent care for all deliveries not just complicated ones</w:t>
            </w:r>
          </w:p>
        </w:tc>
      </w:tr>
      <w:tr w:rsidR="00F067F1" w:rsidRPr="008E510B" w:rsidTr="005978EC">
        <w:tc>
          <w:tcPr>
            <w:tcW w:w="540" w:type="dxa"/>
            <w:vMerge/>
            <w:tcBorders>
              <w:bottom w:val="single" w:sz="12" w:space="0" w:color="auto"/>
            </w:tcBorders>
            <w:shd w:val="clear" w:color="auto" w:fill="DEEAF6" w:themeFill="accent1" w:themeFillTint="33"/>
          </w:tcPr>
          <w:p w:rsidR="00F067F1" w:rsidRPr="008E510B" w:rsidRDefault="00F067F1" w:rsidP="00060796">
            <w:pPr>
              <w:spacing w:after="0" w:line="240" w:lineRule="auto"/>
              <w:rPr>
                <w:rFonts w:eastAsia="Times New Roman" w:cs="Times New Roman"/>
                <w:szCs w:val="24"/>
                <w:lang w:val="en-GB"/>
              </w:rPr>
            </w:pPr>
          </w:p>
        </w:tc>
        <w:tc>
          <w:tcPr>
            <w:tcW w:w="4253"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1633A5">
            <w:pPr>
              <w:spacing w:after="0" w:line="240" w:lineRule="auto"/>
              <w:rPr>
                <w:rFonts w:eastAsia="Times New Roman" w:cs="Times New Roman"/>
                <w:szCs w:val="24"/>
                <w:lang w:val="en-GB"/>
              </w:rPr>
            </w:pPr>
            <w:r w:rsidRPr="008E510B">
              <w:rPr>
                <w:rFonts w:eastAsia="Times New Roman" w:cs="Times New Roman"/>
                <w:szCs w:val="24"/>
                <w:lang w:val="en-GB"/>
              </w:rPr>
              <w:t>(Full time equivalence of) Midwives (SBAs) per 100 births</w:t>
            </w:r>
          </w:p>
        </w:tc>
        <w:tc>
          <w:tcPr>
            <w:tcW w:w="2160"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060796">
            <w:pPr>
              <w:spacing w:after="0" w:line="240" w:lineRule="auto"/>
              <w:rPr>
                <w:rFonts w:eastAsia="Times New Roman" w:cs="Times New Roman"/>
                <w:szCs w:val="24"/>
                <w:lang w:val="en-GB"/>
              </w:rPr>
            </w:pPr>
            <w:r w:rsidRPr="008E510B">
              <w:rPr>
                <w:rFonts w:eastAsia="Times New Roman" w:cs="Times New Roman"/>
                <w:b/>
                <w:szCs w:val="24"/>
                <w:lang w:val="en-GB"/>
              </w:rPr>
              <w:t xml:space="preserve">No </w:t>
            </w:r>
            <w:r w:rsidRPr="008E510B">
              <w:rPr>
                <w:rFonts w:eastAsia="Times New Roman" w:cs="Times New Roman"/>
                <w:szCs w:val="24"/>
                <w:lang w:val="en-GB"/>
              </w:rPr>
              <w:t>(Sri Lanka</w:t>
            </w:r>
            <w:hyperlink w:anchor="_ENREF_147" w:tooltip="Gabrysch, 2011 #143" w:history="1"/>
            <w:r w:rsidRPr="0006570C">
              <w:rPr>
                <w:rFonts w:eastAsia="Times New Roman" w:cs="Times New Roman"/>
                <w:noProof/>
                <w:szCs w:val="24"/>
                <w:vertAlign w:val="superscript"/>
                <w:lang w:val="en-GB"/>
              </w:rPr>
              <w:t>133</w:t>
            </w:r>
            <w:r w:rsidRPr="008E510B">
              <w:rPr>
                <w:rFonts w:eastAsia="Times New Roman" w:cs="Times New Roman"/>
                <w:szCs w:val="24"/>
                <w:lang w:val="en-GB"/>
              </w:rPr>
              <w:t>)</w:t>
            </w:r>
          </w:p>
          <w:p w:rsidR="00F067F1" w:rsidRPr="008E510B" w:rsidRDefault="00F067F1" w:rsidP="00060796">
            <w:pPr>
              <w:spacing w:after="0" w:line="240" w:lineRule="auto"/>
              <w:rPr>
                <w:rFonts w:eastAsia="Times New Roman" w:cs="Times New Roman"/>
                <w:b/>
                <w:szCs w:val="24"/>
                <w:lang w:val="en-GB"/>
              </w:rPr>
            </w:pPr>
          </w:p>
        </w:tc>
        <w:tc>
          <w:tcPr>
            <w:tcW w:w="7447" w:type="dxa"/>
            <w:tcBorders>
              <w:top w:val="single" w:sz="4" w:space="0" w:color="A6A6A6" w:themeColor="background1" w:themeShade="A6"/>
              <w:bottom w:val="single" w:sz="4" w:space="0" w:color="A6A6A6" w:themeColor="background1" w:themeShade="A6"/>
            </w:tcBorders>
            <w:shd w:val="clear" w:color="auto" w:fill="DEEAF6" w:themeFill="accent1" w:themeFillTint="33"/>
          </w:tcPr>
          <w:p w:rsidR="00F067F1" w:rsidRPr="008E510B" w:rsidRDefault="00F067F1" w:rsidP="00E50317">
            <w:pPr>
              <w:pStyle w:val="ListParagraph"/>
              <w:numPr>
                <w:ilvl w:val="0"/>
                <w:numId w:val="11"/>
              </w:numPr>
              <w:spacing w:after="0" w:line="240" w:lineRule="auto"/>
              <w:ind w:left="252" w:hanging="180"/>
              <w:rPr>
                <w:rFonts w:eastAsia="Times New Roman" w:cs="Times New Roman"/>
                <w:szCs w:val="24"/>
                <w:lang w:val="en-GB"/>
              </w:rPr>
            </w:pPr>
            <w:r w:rsidRPr="008E510B">
              <w:rPr>
                <w:rFonts w:eastAsia="Times New Roman" w:cs="Times New Roman"/>
                <w:szCs w:val="24"/>
                <w:lang w:val="en-GB"/>
              </w:rPr>
              <w:t>Captures human resources available; provides a clear understanding of numbers with skills to do effective delivery in relation to numbers of births</w:t>
            </w:r>
          </w:p>
          <w:p w:rsidR="00F067F1" w:rsidRPr="008E510B" w:rsidRDefault="00F067F1" w:rsidP="00712CE5">
            <w:pPr>
              <w:pStyle w:val="ListParagraph"/>
              <w:numPr>
                <w:ilvl w:val="0"/>
                <w:numId w:val="11"/>
              </w:numPr>
              <w:spacing w:after="0" w:line="240" w:lineRule="auto"/>
              <w:ind w:left="252" w:hanging="180"/>
              <w:rPr>
                <w:rFonts w:eastAsia="Times New Roman" w:cs="Times New Roman"/>
                <w:color w:val="1F4D78" w:themeColor="accent1" w:themeShade="7F"/>
                <w:szCs w:val="24"/>
                <w:lang w:val="en-GB"/>
              </w:rPr>
            </w:pPr>
            <w:r w:rsidRPr="008E510B">
              <w:rPr>
                <w:rFonts w:eastAsia="Times New Roman" w:cs="Times New Roman"/>
                <w:szCs w:val="24"/>
                <w:lang w:val="en-GB"/>
              </w:rPr>
              <w:t xml:space="preserve">Need to develop appropriate benchmarks &amp; expected tasks of SBA </w:t>
            </w:r>
          </w:p>
        </w:tc>
      </w:tr>
    </w:tbl>
    <w:p w:rsidR="00F067F1" w:rsidRPr="008E510B" w:rsidRDefault="00F067F1">
      <w:pPr>
        <w:spacing w:after="0" w:line="240" w:lineRule="auto"/>
        <w:rPr>
          <w:rFonts w:cs="Times New Roman"/>
          <w:b/>
          <w:szCs w:val="24"/>
        </w:rPr>
        <w:sectPr w:rsidR="00F067F1" w:rsidRPr="008E510B" w:rsidSect="00E50317">
          <w:pgSz w:w="15840" w:h="12240" w:orient="landscape"/>
          <w:pgMar w:top="1258" w:right="1440" w:bottom="1438" w:left="1440" w:header="720" w:footer="720" w:gutter="0"/>
          <w:cols w:space="720"/>
          <w:docGrid w:linePitch="360"/>
        </w:sectPr>
      </w:pPr>
    </w:p>
    <w:p w:rsidR="00F067F1" w:rsidRPr="008E510B" w:rsidRDefault="00F067F1" w:rsidP="009F3F04">
      <w:pPr>
        <w:spacing w:after="0" w:line="240" w:lineRule="auto"/>
        <w:rPr>
          <w:rFonts w:cs="Times New Roman"/>
          <w:szCs w:val="24"/>
        </w:rPr>
      </w:pPr>
    </w:p>
    <w:p w:rsidR="00F067F1" w:rsidRDefault="00F067F1" w:rsidP="00D83BB5">
      <w:pPr>
        <w:keepNext/>
        <w:spacing w:after="0" w:line="240" w:lineRule="auto"/>
      </w:pPr>
      <w:r w:rsidRPr="007D3F7F">
        <w:rPr>
          <w:rFonts w:cs="Times New Roman"/>
          <w:noProof/>
          <w:szCs w:val="24"/>
          <w:lang w:val="en-GB" w:eastAsia="en-GB"/>
        </w:rPr>
        <w:drawing>
          <wp:inline distT="0" distB="0" distL="0" distR="0" wp14:anchorId="64BE1431" wp14:editId="6B199A6D">
            <wp:extent cx="5486400" cy="3451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451788"/>
                    </a:xfrm>
                    <a:prstGeom prst="rect">
                      <a:avLst/>
                    </a:prstGeom>
                    <a:noFill/>
                  </pic:spPr>
                </pic:pic>
              </a:graphicData>
            </a:graphic>
          </wp:inline>
        </w:drawing>
      </w:r>
    </w:p>
    <w:p w:rsidR="00F067F1" w:rsidRPr="0034142E" w:rsidRDefault="00F067F1" w:rsidP="00D83BB5">
      <w:pPr>
        <w:pStyle w:val="Caption"/>
        <w:rPr>
          <w:b/>
          <w:i w:val="0"/>
          <w:color w:val="auto"/>
          <w:sz w:val="22"/>
          <w:szCs w:val="22"/>
        </w:rPr>
      </w:pPr>
      <w:r w:rsidRPr="00D83BB5">
        <w:rPr>
          <w:b/>
          <w:i w:val="0"/>
          <w:color w:val="auto"/>
          <w:sz w:val="22"/>
          <w:szCs w:val="22"/>
        </w:rPr>
        <w:t xml:space="preserve">Figure </w:t>
      </w:r>
      <w:r w:rsidRPr="00D83BB5">
        <w:rPr>
          <w:b/>
          <w:i w:val="0"/>
          <w:color w:val="auto"/>
          <w:sz w:val="22"/>
          <w:szCs w:val="22"/>
        </w:rPr>
        <w:fldChar w:fldCharType="begin"/>
      </w:r>
      <w:r w:rsidRPr="00D83BB5">
        <w:rPr>
          <w:b/>
          <w:i w:val="0"/>
          <w:color w:val="auto"/>
          <w:sz w:val="22"/>
          <w:szCs w:val="22"/>
        </w:rPr>
        <w:instrText xml:space="preserve"> SEQ Figure \* ARABIC </w:instrText>
      </w:r>
      <w:r w:rsidRPr="00D83BB5">
        <w:rPr>
          <w:b/>
          <w:i w:val="0"/>
          <w:color w:val="auto"/>
          <w:sz w:val="22"/>
          <w:szCs w:val="22"/>
        </w:rPr>
        <w:fldChar w:fldCharType="separate"/>
      </w:r>
      <w:r w:rsidRPr="00D83BB5">
        <w:rPr>
          <w:b/>
          <w:i w:val="0"/>
          <w:noProof/>
          <w:color w:val="auto"/>
          <w:sz w:val="22"/>
          <w:szCs w:val="22"/>
        </w:rPr>
        <w:t>1</w:t>
      </w:r>
      <w:r w:rsidRPr="00D83BB5">
        <w:rPr>
          <w:b/>
          <w:i w:val="0"/>
          <w:color w:val="auto"/>
          <w:sz w:val="22"/>
          <w:szCs w:val="22"/>
        </w:rPr>
        <w:fldChar w:fldCharType="end"/>
      </w:r>
      <w:r w:rsidRPr="00D83BB5">
        <w:rPr>
          <w:b/>
          <w:i w:val="0"/>
          <w:color w:val="auto"/>
          <w:sz w:val="22"/>
          <w:szCs w:val="22"/>
        </w:rPr>
        <w:t>:</w:t>
      </w:r>
      <w:r>
        <w:rPr>
          <w:b/>
          <w:i w:val="0"/>
          <w:color w:val="auto"/>
          <w:sz w:val="22"/>
          <w:szCs w:val="22"/>
        </w:rPr>
        <w:t xml:space="preserve"> Main causes of maternal </w:t>
      </w:r>
      <w:r w:rsidRPr="0034142E">
        <w:rPr>
          <w:b/>
          <w:i w:val="0"/>
          <w:color w:val="auto"/>
          <w:sz w:val="22"/>
          <w:szCs w:val="22"/>
        </w:rPr>
        <w:t>death and key interventions (2013)</w:t>
      </w:r>
      <w:r w:rsidRPr="0034142E">
        <w:rPr>
          <w:b/>
          <w:i w:val="0"/>
          <w:noProof/>
          <w:color w:val="auto"/>
          <w:sz w:val="22"/>
          <w:szCs w:val="22"/>
          <w:vertAlign w:val="superscript"/>
        </w:rPr>
        <w:t>134</w:t>
      </w:r>
      <w:r w:rsidR="0034142E" w:rsidRPr="0034142E">
        <w:rPr>
          <w:b/>
          <w:i w:val="0"/>
          <w:noProof/>
          <w:color w:val="auto"/>
          <w:sz w:val="22"/>
          <w:szCs w:val="22"/>
          <w:vertAlign w:val="superscript"/>
        </w:rPr>
        <w:t xml:space="preserve"> </w:t>
      </w:r>
      <w:r w:rsidR="0034142E" w:rsidRPr="0034142E">
        <w:rPr>
          <w:rFonts w:cs="Times New Roman"/>
          <w:b/>
          <w:i w:val="0"/>
          <w:color w:val="auto"/>
          <w:sz w:val="22"/>
          <w:szCs w:val="22"/>
        </w:rPr>
        <w:t>(adapted from Lassi et al, The Interconnections between maternal and newborn health – evidence and implications for policy</w:t>
      </w:r>
      <w:r w:rsidR="0034142E" w:rsidRPr="0034142E">
        <w:rPr>
          <w:b/>
          <w:i w:val="0"/>
          <w:noProof/>
          <w:color w:val="auto"/>
          <w:sz w:val="22"/>
          <w:szCs w:val="22"/>
        </w:rPr>
        <w:t xml:space="preserve"> The journal of maternal-fetal &amp; neonatal medicine 2013; 26 Suppl 1: 3-53</w:t>
      </w:r>
      <w:r w:rsidR="0034142E" w:rsidRPr="0034142E">
        <w:rPr>
          <w:i w:val="0"/>
          <w:noProof/>
          <w:color w:val="auto"/>
          <w:sz w:val="22"/>
          <w:szCs w:val="22"/>
        </w:rPr>
        <w:t>)</w:t>
      </w:r>
    </w:p>
    <w:p w:rsidR="00F067F1" w:rsidRPr="008E510B" w:rsidRDefault="00F067F1" w:rsidP="001478B0">
      <w:pPr>
        <w:spacing w:after="0" w:line="240" w:lineRule="auto"/>
        <w:rPr>
          <w:rFonts w:cs="Times New Roman"/>
          <w:b/>
          <w:szCs w:val="24"/>
        </w:rPr>
      </w:pPr>
      <w:r>
        <w:rPr>
          <w:b/>
          <w:sz w:val="22"/>
        </w:rPr>
        <w:t>F</w:t>
      </w:r>
      <w:r w:rsidRPr="008E510B">
        <w:rPr>
          <w:rFonts w:cs="Times New Roman"/>
          <w:b/>
          <w:szCs w:val="24"/>
        </w:rPr>
        <w:t xml:space="preserve">igure </w:t>
      </w:r>
      <w:r>
        <w:rPr>
          <w:rFonts w:cs="Times New Roman"/>
          <w:b/>
          <w:szCs w:val="24"/>
        </w:rPr>
        <w:t>2</w:t>
      </w:r>
      <w:r w:rsidRPr="008E510B">
        <w:rPr>
          <w:rFonts w:cs="Times New Roman"/>
          <w:b/>
          <w:szCs w:val="24"/>
        </w:rPr>
        <w:t>: Human Resource Ratios per 1000 Pregnancies, 2012</w:t>
      </w:r>
      <w:r w:rsidRPr="008E510B">
        <w:rPr>
          <w:rFonts w:cs="Times New Roman"/>
          <w:b/>
          <w:noProof/>
          <w:szCs w:val="24"/>
          <w:lang w:val="en-GB" w:eastAsia="en-GB"/>
        </w:rPr>
        <w:drawing>
          <wp:inline distT="0" distB="0" distL="0" distR="0" wp14:anchorId="504646C0" wp14:editId="33151708">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M Africa HRH_Combined Maps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rsidR="00F067F1" w:rsidRPr="008E510B" w:rsidRDefault="00F067F1" w:rsidP="00CC0B26">
      <w:pPr>
        <w:spacing w:after="0" w:line="240" w:lineRule="auto"/>
        <w:rPr>
          <w:rFonts w:cs="Times New Roman"/>
          <w:b/>
          <w:szCs w:val="24"/>
        </w:rPr>
      </w:pPr>
    </w:p>
    <w:p w:rsidR="00F067F1" w:rsidRPr="008E510B" w:rsidRDefault="00F067F1" w:rsidP="00DA59CC">
      <w:pPr>
        <w:jc w:val="both"/>
        <w:rPr>
          <w:rFonts w:cs="Times New Roman"/>
          <w:szCs w:val="24"/>
        </w:rPr>
      </w:pPr>
    </w:p>
    <w:p w:rsidR="00F067F1" w:rsidRPr="008E510B" w:rsidRDefault="00F067F1" w:rsidP="00E33D0D">
      <w:pPr>
        <w:widowControl w:val="0"/>
        <w:autoSpaceDE w:val="0"/>
        <w:autoSpaceDN w:val="0"/>
        <w:adjustRightInd w:val="0"/>
        <w:rPr>
          <w:rFonts w:cs="Times New Roman"/>
          <w:b/>
          <w:szCs w:val="24"/>
        </w:rPr>
        <w:sectPr w:rsidR="00F067F1" w:rsidRPr="008E510B" w:rsidSect="00AF5EBB">
          <w:footerReference w:type="even" r:id="rId11"/>
          <w:footerReference w:type="default" r:id="rId12"/>
          <w:pgSz w:w="12240" w:h="15840"/>
          <w:pgMar w:top="1440" w:right="1800" w:bottom="1440" w:left="1800" w:header="720" w:footer="720" w:gutter="0"/>
          <w:cols w:space="720"/>
          <w:docGrid w:linePitch="360"/>
        </w:sectPr>
      </w:pPr>
    </w:p>
    <w:p w:rsidR="00F067F1" w:rsidRPr="008E510B" w:rsidRDefault="00F067F1" w:rsidP="00E33D0D">
      <w:pPr>
        <w:widowControl w:val="0"/>
        <w:autoSpaceDE w:val="0"/>
        <w:autoSpaceDN w:val="0"/>
        <w:adjustRightInd w:val="0"/>
        <w:rPr>
          <w:rFonts w:cs="Times New Roman"/>
          <w:szCs w:val="24"/>
        </w:rPr>
        <w:sectPr w:rsidR="00F067F1" w:rsidRPr="008E510B" w:rsidSect="00AF5EBB">
          <w:pgSz w:w="15840" w:h="12240" w:orient="landscape"/>
          <w:pgMar w:top="1800" w:right="1440" w:bottom="1800" w:left="1440" w:header="720" w:footer="720" w:gutter="0"/>
          <w:cols w:space="720"/>
          <w:docGrid w:linePitch="360"/>
        </w:sectPr>
      </w:pPr>
      <w:r>
        <w:rPr>
          <w:rFonts w:cs="Times New Roman"/>
          <w:b/>
          <w:noProof/>
          <w:szCs w:val="24"/>
          <w:lang w:val="en-GB" w:eastAsia="en-GB"/>
        </w:rPr>
        <w:drawing>
          <wp:anchor distT="0" distB="0" distL="114300" distR="114300" simplePos="0" relativeHeight="251659264" behindDoc="1" locked="0" layoutInCell="1" allowOverlap="1" wp14:anchorId="7297A3BD" wp14:editId="707550F1">
            <wp:simplePos x="0" y="0"/>
            <wp:positionH relativeFrom="column">
              <wp:posOffset>188595</wp:posOffset>
            </wp:positionH>
            <wp:positionV relativeFrom="paragraph">
              <wp:posOffset>546100</wp:posOffset>
            </wp:positionV>
            <wp:extent cx="6340475" cy="4978400"/>
            <wp:effectExtent l="0" t="0" r="3175" b="0"/>
            <wp:wrapTight wrapText="bothSides">
              <wp:wrapPolygon edited="0">
                <wp:start x="0" y="0"/>
                <wp:lineTo x="0" y="21490"/>
                <wp:lineTo x="21546" y="21490"/>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639" t="3704" r="8746" b="3516"/>
                    <a:stretch/>
                  </pic:blipFill>
                  <pic:spPr bwMode="auto">
                    <a:xfrm>
                      <a:off x="0" y="0"/>
                      <a:ext cx="6340475" cy="497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510B">
        <w:rPr>
          <w:rFonts w:cs="Times New Roman"/>
          <w:b/>
          <w:szCs w:val="24"/>
        </w:rPr>
        <w:t xml:space="preserve">Figure </w:t>
      </w:r>
      <w:r>
        <w:rPr>
          <w:rFonts w:cs="Times New Roman"/>
          <w:b/>
          <w:szCs w:val="24"/>
        </w:rPr>
        <w:t>3</w:t>
      </w:r>
      <w:r w:rsidRPr="008E510B">
        <w:rPr>
          <w:rFonts w:cs="Times New Roman"/>
          <w:b/>
          <w:szCs w:val="24"/>
        </w:rPr>
        <w:t>: Maternal Action Plan: Accelerating Progress Toward Improved Maternal Health</w:t>
      </w:r>
      <w:r w:rsidRPr="008E510B">
        <w:rPr>
          <w:rFonts w:cs="Times New Roman"/>
          <w:szCs w:val="24"/>
        </w:rPr>
        <w:t xml:space="preserve"> </w:t>
      </w:r>
    </w:p>
    <w:p w:rsidR="00F067F1" w:rsidRPr="008E510B" w:rsidRDefault="00F067F1" w:rsidP="002354E5">
      <w:pPr>
        <w:pStyle w:val="Heading1"/>
        <w:rPr>
          <w:rFonts w:cs="Times New Roman"/>
          <w:szCs w:val="24"/>
        </w:rPr>
      </w:pPr>
      <w:r w:rsidRPr="008E510B">
        <w:rPr>
          <w:rFonts w:cs="Times New Roman"/>
          <w:szCs w:val="24"/>
        </w:rPr>
        <w:t>References</w:t>
      </w:r>
    </w:p>
    <w:p w:rsidR="00F067F1" w:rsidRPr="00291026" w:rsidRDefault="00F067F1" w:rsidP="00291026">
      <w:pPr>
        <w:pStyle w:val="EndNoteBibliography"/>
        <w:spacing w:after="0"/>
        <w:rPr>
          <w:noProof/>
        </w:rPr>
      </w:pPr>
      <w:bookmarkStart w:id="0" w:name="_ENREF_1"/>
      <w:r w:rsidRPr="00291026">
        <w:rPr>
          <w:noProof/>
        </w:rPr>
        <w:t>1.</w:t>
      </w:r>
      <w:r w:rsidRPr="00291026">
        <w:rPr>
          <w:noProof/>
        </w:rPr>
        <w:tab/>
        <w:t>WHO, UNICEF, UNFPA, World Bank Group, United Nations Population Division. Trends in Maternal Mortality: 1990 to 2015. Geneva, 2015.</w:t>
      </w:r>
      <w:bookmarkEnd w:id="0"/>
    </w:p>
    <w:p w:rsidR="00F067F1" w:rsidRPr="00291026" w:rsidRDefault="00F067F1" w:rsidP="00291026">
      <w:pPr>
        <w:pStyle w:val="EndNoteBibliography"/>
        <w:spacing w:after="0"/>
        <w:rPr>
          <w:noProof/>
        </w:rPr>
      </w:pPr>
      <w:bookmarkStart w:id="1" w:name="_ENREF_2"/>
      <w:r w:rsidRPr="00291026">
        <w:rPr>
          <w:noProof/>
        </w:rPr>
        <w:t>2.</w:t>
      </w:r>
      <w:r w:rsidRPr="00291026">
        <w:rPr>
          <w:noProof/>
        </w:rPr>
        <w:tab/>
        <w:t xml:space="preserve">Lawn JE, Blencowe H, Oza S, et al. Every Newborn: progress, priorities, and potential beyond survival. </w:t>
      </w:r>
      <w:r w:rsidRPr="00291026">
        <w:rPr>
          <w:i/>
          <w:noProof/>
        </w:rPr>
        <w:t>The Lancet</w:t>
      </w:r>
      <w:r w:rsidRPr="00291026">
        <w:rPr>
          <w:noProof/>
        </w:rPr>
        <w:t xml:space="preserve">; </w:t>
      </w:r>
      <w:r w:rsidRPr="00291026">
        <w:rPr>
          <w:b/>
          <w:noProof/>
        </w:rPr>
        <w:t>384</w:t>
      </w:r>
      <w:r w:rsidRPr="00291026">
        <w:rPr>
          <w:noProof/>
        </w:rPr>
        <w:t>(9938): 189-205.</w:t>
      </w:r>
      <w:bookmarkEnd w:id="1"/>
    </w:p>
    <w:p w:rsidR="00F067F1" w:rsidRPr="00291026" w:rsidRDefault="00F067F1" w:rsidP="00291026">
      <w:pPr>
        <w:pStyle w:val="EndNoteBibliography"/>
        <w:spacing w:after="0"/>
        <w:rPr>
          <w:noProof/>
        </w:rPr>
      </w:pPr>
      <w:bookmarkStart w:id="2" w:name="_ENREF_3"/>
      <w:r w:rsidRPr="00291026">
        <w:rPr>
          <w:noProof/>
        </w:rPr>
        <w:t>3.</w:t>
      </w:r>
      <w:r w:rsidRPr="00291026">
        <w:rPr>
          <w:noProof/>
        </w:rPr>
        <w:tab/>
        <w:t xml:space="preserve">Chou D, Daelmans B, Jolivet RR, Kinney M, Say L. Ending preventable maternal and newborn mortality and stillbirths. </w:t>
      </w:r>
      <w:r w:rsidRPr="00291026">
        <w:rPr>
          <w:i/>
          <w:noProof/>
        </w:rPr>
        <w:t>BMJ (Clinical research ed)</w:t>
      </w:r>
      <w:r w:rsidRPr="00291026">
        <w:rPr>
          <w:noProof/>
        </w:rPr>
        <w:t xml:space="preserve"> 2015; </w:t>
      </w:r>
      <w:r w:rsidRPr="00291026">
        <w:rPr>
          <w:b/>
          <w:noProof/>
        </w:rPr>
        <w:t>351</w:t>
      </w:r>
      <w:r w:rsidRPr="00291026">
        <w:rPr>
          <w:noProof/>
        </w:rPr>
        <w:t>.</w:t>
      </w:r>
      <w:bookmarkEnd w:id="2"/>
    </w:p>
    <w:p w:rsidR="00F067F1" w:rsidRPr="00291026" w:rsidRDefault="00F067F1" w:rsidP="00291026">
      <w:pPr>
        <w:pStyle w:val="EndNoteBibliography"/>
        <w:spacing w:after="0"/>
        <w:rPr>
          <w:noProof/>
        </w:rPr>
      </w:pPr>
      <w:bookmarkStart w:id="3" w:name="_ENREF_4"/>
      <w:r w:rsidRPr="00291026">
        <w:rPr>
          <w:noProof/>
        </w:rPr>
        <w:t>4.</w:t>
      </w:r>
      <w:r w:rsidRPr="00291026">
        <w:rPr>
          <w:noProof/>
        </w:rPr>
        <w:tab/>
        <w:t xml:space="preserve">de Bernis L, Kinney MV, Stones W, et al. Stillbirths: ending preventable deaths by 2030. </w:t>
      </w:r>
      <w:r w:rsidRPr="00291026">
        <w:rPr>
          <w:i/>
          <w:noProof/>
        </w:rPr>
        <w:t>Lancet (London, England)</w:t>
      </w:r>
      <w:r w:rsidRPr="00291026">
        <w:rPr>
          <w:noProof/>
        </w:rPr>
        <w:t xml:space="preserve"> 2016; </w:t>
      </w:r>
      <w:r w:rsidRPr="00291026">
        <w:rPr>
          <w:b/>
          <w:noProof/>
        </w:rPr>
        <w:t>387</w:t>
      </w:r>
      <w:r w:rsidRPr="00291026">
        <w:rPr>
          <w:noProof/>
        </w:rPr>
        <w:t>(10019): 703-16.</w:t>
      </w:r>
      <w:bookmarkEnd w:id="3"/>
    </w:p>
    <w:p w:rsidR="00F067F1" w:rsidRPr="00291026" w:rsidRDefault="00F067F1" w:rsidP="00291026">
      <w:pPr>
        <w:pStyle w:val="EndNoteBibliography"/>
        <w:spacing w:after="0"/>
        <w:rPr>
          <w:noProof/>
        </w:rPr>
      </w:pPr>
      <w:bookmarkStart w:id="4" w:name="_ENREF_5"/>
      <w:r w:rsidRPr="00291026">
        <w:rPr>
          <w:noProof/>
        </w:rPr>
        <w:t>5.</w:t>
      </w:r>
      <w:r w:rsidRPr="00291026">
        <w:rPr>
          <w:noProof/>
        </w:rPr>
        <w:tab/>
        <w:t>United Nations Inter-agency and Expert Group on MDG Indicators. The Millennium Development Goals Report 2014. New York: United Nations, 2014.</w:t>
      </w:r>
      <w:bookmarkEnd w:id="4"/>
    </w:p>
    <w:p w:rsidR="00F067F1" w:rsidRPr="00291026" w:rsidRDefault="00F067F1" w:rsidP="00291026">
      <w:pPr>
        <w:pStyle w:val="EndNoteBibliography"/>
        <w:spacing w:after="0"/>
        <w:rPr>
          <w:noProof/>
        </w:rPr>
      </w:pPr>
      <w:bookmarkStart w:id="5" w:name="_ENREF_6"/>
      <w:r w:rsidRPr="00291026">
        <w:rPr>
          <w:noProof/>
        </w:rPr>
        <w:t>6.</w:t>
      </w:r>
      <w:r w:rsidRPr="00291026">
        <w:rPr>
          <w:noProof/>
        </w:rPr>
        <w:tab/>
        <w:t>World Health Organization. World health statistics 2015. Geneva: World Health Organization, 2015.</w:t>
      </w:r>
      <w:bookmarkEnd w:id="5"/>
    </w:p>
    <w:p w:rsidR="00F067F1" w:rsidRPr="00291026" w:rsidRDefault="00F067F1" w:rsidP="00291026">
      <w:pPr>
        <w:pStyle w:val="EndNoteBibliography"/>
        <w:spacing w:after="0"/>
        <w:rPr>
          <w:noProof/>
        </w:rPr>
      </w:pPr>
      <w:bookmarkStart w:id="6" w:name="_ENREF_7"/>
      <w:r w:rsidRPr="00291026">
        <w:rPr>
          <w:noProof/>
        </w:rPr>
        <w:t>7.</w:t>
      </w:r>
      <w:r w:rsidRPr="00291026">
        <w:rPr>
          <w:noProof/>
        </w:rPr>
        <w:tab/>
        <w:t xml:space="preserve">Miller S, Abalos E, Chamillard M, et al. Beyond "Too Little, Too Late" and "Too Much, Too Soon": A pathway towards evidence-based, respectful maternity care worldwide. </w:t>
      </w:r>
      <w:r w:rsidRPr="00291026">
        <w:rPr>
          <w:i/>
          <w:noProof/>
        </w:rPr>
        <w:t>The Lancet</w:t>
      </w:r>
      <w:r w:rsidRPr="00291026">
        <w:rPr>
          <w:noProof/>
        </w:rPr>
        <w:t xml:space="preserve"> 2016; </w:t>
      </w:r>
      <w:r w:rsidRPr="00291026">
        <w:rPr>
          <w:b/>
          <w:noProof/>
        </w:rPr>
        <w:t>Forthcoming</w:t>
      </w:r>
      <w:r w:rsidRPr="00291026">
        <w:rPr>
          <w:noProof/>
        </w:rPr>
        <w:t>.</w:t>
      </w:r>
      <w:bookmarkEnd w:id="6"/>
    </w:p>
    <w:p w:rsidR="00F067F1" w:rsidRPr="00291026" w:rsidRDefault="00F067F1" w:rsidP="00291026">
      <w:pPr>
        <w:pStyle w:val="EndNoteBibliography"/>
        <w:spacing w:after="0"/>
        <w:rPr>
          <w:noProof/>
        </w:rPr>
      </w:pPr>
      <w:bookmarkStart w:id="7" w:name="_ENREF_8"/>
      <w:r w:rsidRPr="00291026">
        <w:rPr>
          <w:noProof/>
        </w:rPr>
        <w:t>8.</w:t>
      </w:r>
      <w:r w:rsidRPr="00291026">
        <w:rPr>
          <w:noProof/>
        </w:rPr>
        <w:tab/>
        <w:t xml:space="preserve">Campbell OM, Calvert C, Testa A, et al. The landscape of childbirth care: delivering a new understanding of the scale, scope, coverage and capability of services. </w:t>
      </w:r>
      <w:r w:rsidRPr="00291026">
        <w:rPr>
          <w:i/>
          <w:noProof/>
        </w:rPr>
        <w:t>The Lancet</w:t>
      </w:r>
      <w:r w:rsidRPr="00291026">
        <w:rPr>
          <w:noProof/>
        </w:rPr>
        <w:t xml:space="preserve"> 2016; </w:t>
      </w:r>
      <w:r w:rsidRPr="00291026">
        <w:rPr>
          <w:b/>
          <w:noProof/>
        </w:rPr>
        <w:t>Forthcoming</w:t>
      </w:r>
      <w:r w:rsidRPr="00291026">
        <w:rPr>
          <w:noProof/>
        </w:rPr>
        <w:t>.</w:t>
      </w:r>
      <w:bookmarkEnd w:id="7"/>
    </w:p>
    <w:p w:rsidR="00F067F1" w:rsidRPr="00291026" w:rsidRDefault="00F067F1" w:rsidP="00291026">
      <w:pPr>
        <w:pStyle w:val="EndNoteBibliography"/>
        <w:spacing w:after="0"/>
        <w:rPr>
          <w:noProof/>
        </w:rPr>
      </w:pPr>
      <w:bookmarkStart w:id="8" w:name="_ENREF_9"/>
      <w:r w:rsidRPr="00291026">
        <w:rPr>
          <w:noProof/>
        </w:rPr>
        <w:t>9.</w:t>
      </w:r>
      <w:r w:rsidRPr="00291026">
        <w:rPr>
          <w:noProof/>
        </w:rPr>
        <w:tab/>
        <w:t xml:space="preserve">Shaw D, Guise JM, Shah N, et al. Drivers of maternity care in high income countries: can health systems support woman-centred care? </w:t>
      </w:r>
      <w:r w:rsidRPr="00291026">
        <w:rPr>
          <w:i/>
          <w:noProof/>
        </w:rPr>
        <w:t xml:space="preserve">The Lancet </w:t>
      </w:r>
      <w:r w:rsidRPr="00291026">
        <w:rPr>
          <w:noProof/>
        </w:rPr>
        <w:t xml:space="preserve">2016; </w:t>
      </w:r>
      <w:r w:rsidRPr="00291026">
        <w:rPr>
          <w:b/>
          <w:noProof/>
        </w:rPr>
        <w:t>Forthcoming</w:t>
      </w:r>
      <w:r w:rsidRPr="00291026">
        <w:rPr>
          <w:noProof/>
        </w:rPr>
        <w:t>.</w:t>
      </w:r>
      <w:bookmarkEnd w:id="8"/>
    </w:p>
    <w:p w:rsidR="00F067F1" w:rsidRPr="00291026" w:rsidRDefault="00F067F1" w:rsidP="00291026">
      <w:pPr>
        <w:pStyle w:val="EndNoteBibliography"/>
        <w:spacing w:after="0"/>
        <w:rPr>
          <w:noProof/>
        </w:rPr>
      </w:pPr>
      <w:bookmarkStart w:id="9" w:name="_ENREF_10"/>
      <w:r w:rsidRPr="00291026">
        <w:rPr>
          <w:noProof/>
        </w:rPr>
        <w:t>10.</w:t>
      </w:r>
      <w:r w:rsidRPr="00291026">
        <w:rPr>
          <w:noProof/>
        </w:rPr>
        <w:tab/>
        <w:t xml:space="preserve">Graham WJ, Woodd S, Byass P, et al. Diversity and divergence: the dynamic burden of poor maternal health. </w:t>
      </w:r>
      <w:r w:rsidRPr="00291026">
        <w:rPr>
          <w:i/>
          <w:noProof/>
        </w:rPr>
        <w:t>The Lancet</w:t>
      </w:r>
      <w:r w:rsidRPr="00291026">
        <w:rPr>
          <w:noProof/>
        </w:rPr>
        <w:t xml:space="preserve"> 2016; </w:t>
      </w:r>
      <w:r w:rsidRPr="00291026">
        <w:rPr>
          <w:b/>
          <w:noProof/>
        </w:rPr>
        <w:t>Forthcoming</w:t>
      </w:r>
      <w:r w:rsidRPr="00291026">
        <w:rPr>
          <w:noProof/>
        </w:rPr>
        <w:t>.</w:t>
      </w:r>
      <w:bookmarkEnd w:id="9"/>
    </w:p>
    <w:p w:rsidR="00F067F1" w:rsidRPr="00291026" w:rsidRDefault="00F067F1" w:rsidP="00291026">
      <w:pPr>
        <w:pStyle w:val="EndNoteBibliography"/>
        <w:spacing w:after="0"/>
        <w:rPr>
          <w:noProof/>
        </w:rPr>
      </w:pPr>
      <w:bookmarkStart w:id="10" w:name="_ENREF_11"/>
      <w:r w:rsidRPr="00291026">
        <w:rPr>
          <w:noProof/>
        </w:rPr>
        <w:t>11.</w:t>
      </w:r>
      <w:r w:rsidRPr="00291026">
        <w:rPr>
          <w:noProof/>
        </w:rPr>
        <w:tab/>
        <w:t xml:space="preserve">Ahmed S, Li Q, Liu L, Tsui AO. Maternal deaths averted by contraceptive use: an analysis of 172 countries. </w:t>
      </w:r>
      <w:r w:rsidRPr="00291026">
        <w:rPr>
          <w:i/>
          <w:noProof/>
        </w:rPr>
        <w:t>Lancet (London, England)</w:t>
      </w:r>
      <w:r w:rsidRPr="00291026">
        <w:rPr>
          <w:noProof/>
        </w:rPr>
        <w:t xml:space="preserve"> 2012; </w:t>
      </w:r>
      <w:r w:rsidRPr="00291026">
        <w:rPr>
          <w:b/>
          <w:noProof/>
        </w:rPr>
        <w:t>380</w:t>
      </w:r>
      <w:r w:rsidRPr="00291026">
        <w:rPr>
          <w:noProof/>
        </w:rPr>
        <w:t>(9837): 111-25.</w:t>
      </w:r>
      <w:bookmarkEnd w:id="10"/>
    </w:p>
    <w:p w:rsidR="00F067F1" w:rsidRPr="00291026" w:rsidRDefault="00F067F1" w:rsidP="00291026">
      <w:pPr>
        <w:pStyle w:val="EndNoteBibliography"/>
        <w:spacing w:after="0"/>
        <w:rPr>
          <w:noProof/>
        </w:rPr>
      </w:pPr>
      <w:bookmarkStart w:id="11" w:name="_ENREF_12"/>
      <w:r w:rsidRPr="00291026">
        <w:rPr>
          <w:noProof/>
        </w:rPr>
        <w:t>12.</w:t>
      </w:r>
      <w:r w:rsidRPr="00291026">
        <w:rPr>
          <w:noProof/>
        </w:rPr>
        <w:tab/>
        <w:t>United Nations Inter-agency and Expert Group on MDG Indicators. The Millennium Development Goals Report 2015. New York: United Nations; 2015.</w:t>
      </w:r>
      <w:bookmarkEnd w:id="11"/>
    </w:p>
    <w:p w:rsidR="00F067F1" w:rsidRPr="00291026" w:rsidRDefault="00F067F1" w:rsidP="00291026">
      <w:pPr>
        <w:pStyle w:val="EndNoteBibliography"/>
        <w:spacing w:after="0"/>
        <w:rPr>
          <w:noProof/>
        </w:rPr>
      </w:pPr>
      <w:bookmarkStart w:id="12" w:name="_ENREF_13"/>
      <w:r w:rsidRPr="00291026">
        <w:rPr>
          <w:noProof/>
        </w:rPr>
        <w:t>13.</w:t>
      </w:r>
      <w:r w:rsidRPr="00291026">
        <w:rPr>
          <w:noProof/>
        </w:rPr>
        <w:tab/>
        <w:t xml:space="preserve">Say L, Chou D, Gemmill A, et al. Global causes of maternal death: a WHO systematic analysis. </w:t>
      </w:r>
      <w:r w:rsidRPr="00291026">
        <w:rPr>
          <w:i/>
          <w:noProof/>
        </w:rPr>
        <w:t>The Lancet Global health</w:t>
      </w:r>
      <w:r w:rsidRPr="00291026">
        <w:rPr>
          <w:noProof/>
        </w:rPr>
        <w:t xml:space="preserve"> 2014; </w:t>
      </w:r>
      <w:r w:rsidRPr="00291026">
        <w:rPr>
          <w:b/>
          <w:noProof/>
        </w:rPr>
        <w:t>2</w:t>
      </w:r>
      <w:r w:rsidRPr="00291026">
        <w:rPr>
          <w:noProof/>
        </w:rPr>
        <w:t>(6): e323-33.</w:t>
      </w:r>
      <w:bookmarkEnd w:id="12"/>
    </w:p>
    <w:p w:rsidR="00F067F1" w:rsidRPr="00291026" w:rsidRDefault="00F067F1" w:rsidP="00291026">
      <w:pPr>
        <w:pStyle w:val="EndNoteBibliography"/>
        <w:spacing w:after="0"/>
        <w:rPr>
          <w:noProof/>
        </w:rPr>
      </w:pPr>
      <w:bookmarkStart w:id="13" w:name="_ENREF_14"/>
      <w:r w:rsidRPr="00291026">
        <w:rPr>
          <w:noProof/>
        </w:rPr>
        <w:t>14.</w:t>
      </w:r>
      <w:r w:rsidRPr="00291026">
        <w:rPr>
          <w:noProof/>
        </w:rPr>
        <w:tab/>
        <w:t xml:space="preserve">Souza JP, Tuncalp O, Vogel JP, et al. Obstetric transition: the pathway towards ending preventable maternal deaths. </w:t>
      </w:r>
      <w:r w:rsidRPr="00291026">
        <w:rPr>
          <w:i/>
          <w:noProof/>
        </w:rPr>
        <w:t>BJOG : an international journal of obstetrics and gynaecology</w:t>
      </w:r>
      <w:r w:rsidRPr="00291026">
        <w:rPr>
          <w:noProof/>
        </w:rPr>
        <w:t xml:space="preserve"> 2014; </w:t>
      </w:r>
      <w:r w:rsidRPr="00291026">
        <w:rPr>
          <w:b/>
          <w:noProof/>
        </w:rPr>
        <w:t>121 Suppl 1</w:t>
      </w:r>
      <w:r w:rsidRPr="00291026">
        <w:rPr>
          <w:noProof/>
        </w:rPr>
        <w:t>: 1-4.</w:t>
      </w:r>
      <w:bookmarkEnd w:id="13"/>
    </w:p>
    <w:p w:rsidR="00F067F1" w:rsidRPr="00291026" w:rsidRDefault="00F067F1" w:rsidP="00291026">
      <w:pPr>
        <w:pStyle w:val="EndNoteBibliography"/>
        <w:spacing w:after="0"/>
        <w:rPr>
          <w:noProof/>
        </w:rPr>
      </w:pPr>
      <w:bookmarkStart w:id="14" w:name="_ENREF_15"/>
      <w:r w:rsidRPr="00291026">
        <w:rPr>
          <w:noProof/>
        </w:rPr>
        <w:t>15.</w:t>
      </w:r>
      <w:r w:rsidRPr="00291026">
        <w:rPr>
          <w:noProof/>
        </w:rPr>
        <w:tab/>
        <w:t xml:space="preserve">Gulmezoglu AM, Lumbiganon P, Landoulsi S, et al. Active management of the third stage of labour with and without controlled cord traction: a randomised, controlled, non-inferiority trial. </w:t>
      </w:r>
      <w:r w:rsidRPr="00291026">
        <w:rPr>
          <w:i/>
          <w:noProof/>
        </w:rPr>
        <w:t>Lancet (London, England)</w:t>
      </w:r>
      <w:r w:rsidRPr="00291026">
        <w:rPr>
          <w:noProof/>
        </w:rPr>
        <w:t xml:space="preserve"> 2012; </w:t>
      </w:r>
      <w:r w:rsidRPr="00291026">
        <w:rPr>
          <w:b/>
          <w:noProof/>
        </w:rPr>
        <w:t>379</w:t>
      </w:r>
      <w:r w:rsidRPr="00291026">
        <w:rPr>
          <w:noProof/>
        </w:rPr>
        <w:t>(9827): 1721-7.</w:t>
      </w:r>
      <w:bookmarkEnd w:id="14"/>
    </w:p>
    <w:p w:rsidR="00F067F1" w:rsidRPr="00291026" w:rsidRDefault="00F067F1" w:rsidP="00291026">
      <w:pPr>
        <w:pStyle w:val="EndNoteBibliography"/>
        <w:spacing w:after="0"/>
        <w:rPr>
          <w:noProof/>
        </w:rPr>
      </w:pPr>
      <w:bookmarkStart w:id="15" w:name="_ENREF_16"/>
      <w:r w:rsidRPr="00291026">
        <w:rPr>
          <w:noProof/>
        </w:rPr>
        <w:t>16.</w:t>
      </w:r>
      <w:r w:rsidRPr="00291026">
        <w:rPr>
          <w:noProof/>
        </w:rPr>
        <w:tab/>
        <w:t>Murray-Kolb LE, Chen L, Chen P, Shapiro M, Caulfield L. CHERG Iron Report. Maternal Mortality, Child Mortality, Perinatal Mortality, Child Cognition, and Estimates of Prevalence of Anemia due to Iron Deficiency. Baltimore, MD, 2012.</w:t>
      </w:r>
      <w:bookmarkEnd w:id="15"/>
    </w:p>
    <w:p w:rsidR="00F067F1" w:rsidRPr="00291026" w:rsidRDefault="00F067F1" w:rsidP="00291026">
      <w:pPr>
        <w:pStyle w:val="EndNoteBibliography"/>
        <w:spacing w:after="0"/>
        <w:rPr>
          <w:noProof/>
        </w:rPr>
      </w:pPr>
      <w:bookmarkStart w:id="16" w:name="_ENREF_17"/>
      <w:r w:rsidRPr="00291026">
        <w:rPr>
          <w:noProof/>
        </w:rPr>
        <w:t>17.</w:t>
      </w:r>
      <w:r w:rsidRPr="00291026">
        <w:rPr>
          <w:noProof/>
        </w:rPr>
        <w:tab/>
        <w:t xml:space="preserve">Pollard SL, Mathai M, Walker N. Estimating the impact of interventions on cause-specific maternal mortality: a Delphi approach. </w:t>
      </w:r>
      <w:r w:rsidRPr="00291026">
        <w:rPr>
          <w:i/>
          <w:noProof/>
        </w:rPr>
        <w:t>BMC Public Health</w:t>
      </w:r>
      <w:r w:rsidRPr="00291026">
        <w:rPr>
          <w:noProof/>
        </w:rPr>
        <w:t xml:space="preserve"> 2013; </w:t>
      </w:r>
      <w:r w:rsidRPr="00291026">
        <w:rPr>
          <w:b/>
          <w:noProof/>
        </w:rPr>
        <w:t>13</w:t>
      </w:r>
      <w:r w:rsidRPr="00291026">
        <w:rPr>
          <w:noProof/>
        </w:rPr>
        <w:t>(3): 1-8.</w:t>
      </w:r>
      <w:bookmarkEnd w:id="16"/>
    </w:p>
    <w:p w:rsidR="00F067F1" w:rsidRPr="00291026" w:rsidRDefault="00F067F1" w:rsidP="00291026">
      <w:pPr>
        <w:pStyle w:val="EndNoteBibliography"/>
        <w:spacing w:after="0"/>
        <w:rPr>
          <w:noProof/>
        </w:rPr>
      </w:pPr>
      <w:bookmarkStart w:id="17" w:name="_ENREF_18"/>
      <w:r w:rsidRPr="00291026">
        <w:rPr>
          <w:noProof/>
        </w:rPr>
        <w:t>18.</w:t>
      </w:r>
      <w:r w:rsidRPr="00291026">
        <w:rPr>
          <w:noProof/>
        </w:rPr>
        <w:tab/>
        <w:t>Brabin B, Verhoeff F. The contribution of malaria In: Maclean AB, ed. Maternal morbidity and mortality. London: Royal College of Obstetricians and Gynaecologists; 2002: 65-78.</w:t>
      </w:r>
      <w:bookmarkEnd w:id="17"/>
    </w:p>
    <w:p w:rsidR="00F067F1" w:rsidRPr="00291026" w:rsidRDefault="00F067F1" w:rsidP="00291026">
      <w:pPr>
        <w:pStyle w:val="EndNoteBibliography"/>
        <w:spacing w:after="0"/>
        <w:rPr>
          <w:noProof/>
        </w:rPr>
      </w:pPr>
      <w:bookmarkStart w:id="18" w:name="_ENREF_19"/>
      <w:r w:rsidRPr="00291026">
        <w:rPr>
          <w:noProof/>
        </w:rPr>
        <w:t>19.</w:t>
      </w:r>
      <w:r w:rsidRPr="00291026">
        <w:rPr>
          <w:noProof/>
        </w:rPr>
        <w:tab/>
        <w:t xml:space="preserve">Kyei NN, Chansa C, Gabrysch S. Quality of antenatal care in Zambia: a national assessment. </w:t>
      </w:r>
      <w:r w:rsidRPr="00291026">
        <w:rPr>
          <w:i/>
          <w:noProof/>
        </w:rPr>
        <w:t>BMC pregnancy and childbirth</w:t>
      </w:r>
      <w:r w:rsidRPr="00291026">
        <w:rPr>
          <w:noProof/>
        </w:rPr>
        <w:t xml:space="preserve"> 2012; </w:t>
      </w:r>
      <w:r w:rsidRPr="00291026">
        <w:rPr>
          <w:b/>
          <w:noProof/>
        </w:rPr>
        <w:t>12</w:t>
      </w:r>
      <w:r w:rsidRPr="00291026">
        <w:rPr>
          <w:noProof/>
        </w:rPr>
        <w:t>: 151.</w:t>
      </w:r>
      <w:bookmarkEnd w:id="18"/>
    </w:p>
    <w:p w:rsidR="00F067F1" w:rsidRPr="00291026" w:rsidRDefault="00F067F1" w:rsidP="00291026">
      <w:pPr>
        <w:pStyle w:val="EndNoteBibliography"/>
        <w:spacing w:after="0"/>
        <w:rPr>
          <w:noProof/>
        </w:rPr>
      </w:pPr>
      <w:bookmarkStart w:id="19" w:name="_ENREF_20"/>
      <w:r w:rsidRPr="00291026">
        <w:rPr>
          <w:noProof/>
        </w:rPr>
        <w:t>20.</w:t>
      </w:r>
      <w:r w:rsidRPr="00291026">
        <w:rPr>
          <w:noProof/>
        </w:rPr>
        <w:tab/>
        <w:t xml:space="preserve">Mason E, McDougall L, Lawn JE, et al. From evidence to action to deliver a healthy start for the next generation. </w:t>
      </w:r>
      <w:r w:rsidRPr="00291026">
        <w:rPr>
          <w:i/>
          <w:noProof/>
        </w:rPr>
        <w:t>Lancet (London, England)</w:t>
      </w:r>
      <w:r w:rsidRPr="00291026">
        <w:rPr>
          <w:noProof/>
        </w:rPr>
        <w:t xml:space="preserve"> 2014; </w:t>
      </w:r>
      <w:r w:rsidRPr="00291026">
        <w:rPr>
          <w:b/>
          <w:noProof/>
        </w:rPr>
        <w:t>384</w:t>
      </w:r>
      <w:r w:rsidRPr="00291026">
        <w:rPr>
          <w:noProof/>
        </w:rPr>
        <w:t>(9941): 455-67.</w:t>
      </w:r>
      <w:bookmarkEnd w:id="19"/>
    </w:p>
    <w:p w:rsidR="00F067F1" w:rsidRPr="00291026" w:rsidRDefault="00F067F1" w:rsidP="00291026">
      <w:pPr>
        <w:pStyle w:val="EndNoteBibliography"/>
        <w:spacing w:after="0"/>
        <w:rPr>
          <w:noProof/>
        </w:rPr>
      </w:pPr>
      <w:bookmarkStart w:id="20" w:name="_ENREF_21"/>
      <w:r w:rsidRPr="00291026">
        <w:rPr>
          <w:noProof/>
        </w:rPr>
        <w:t>21.</w:t>
      </w:r>
      <w:r w:rsidRPr="00291026">
        <w:rPr>
          <w:noProof/>
        </w:rPr>
        <w:tab/>
        <w:t xml:space="preserve">Clark SL, Simpson KR, Knox GE, Garite TJ. Oxytocin: new perspectives on an old drug. </w:t>
      </w:r>
      <w:r w:rsidRPr="00291026">
        <w:rPr>
          <w:i/>
          <w:noProof/>
        </w:rPr>
        <w:t>American journal of obstetrics and gynecology</w:t>
      </w:r>
      <w:r w:rsidRPr="00291026">
        <w:rPr>
          <w:noProof/>
        </w:rPr>
        <w:t xml:space="preserve"> 2009; </w:t>
      </w:r>
      <w:r w:rsidRPr="00291026">
        <w:rPr>
          <w:b/>
          <w:noProof/>
        </w:rPr>
        <w:t>200</w:t>
      </w:r>
      <w:r w:rsidRPr="00291026">
        <w:rPr>
          <w:noProof/>
        </w:rPr>
        <w:t>(1): 35.e1-6.</w:t>
      </w:r>
      <w:bookmarkEnd w:id="20"/>
    </w:p>
    <w:p w:rsidR="00F067F1" w:rsidRPr="00291026" w:rsidRDefault="00F067F1" w:rsidP="00291026">
      <w:pPr>
        <w:pStyle w:val="EndNoteBibliography"/>
        <w:spacing w:after="0"/>
        <w:rPr>
          <w:noProof/>
        </w:rPr>
      </w:pPr>
      <w:bookmarkStart w:id="21" w:name="_ENREF_22"/>
      <w:r w:rsidRPr="00291026">
        <w:rPr>
          <w:noProof/>
        </w:rPr>
        <w:t>22.</w:t>
      </w:r>
      <w:r w:rsidRPr="00291026">
        <w:rPr>
          <w:noProof/>
        </w:rPr>
        <w:tab/>
        <w:t xml:space="preserve">Morais M, Mehta C, Murphy K, et al. How often are late preterm births the result of non-evidence based practices: analysis from a retrospective cohort study at two tertiary referral centres in a nationalised healthcare system. </w:t>
      </w:r>
      <w:r w:rsidRPr="00291026">
        <w:rPr>
          <w:i/>
          <w:noProof/>
        </w:rPr>
        <w:t>BJOG : an international journal of obstetrics and gynaecology</w:t>
      </w:r>
      <w:r w:rsidRPr="00291026">
        <w:rPr>
          <w:noProof/>
        </w:rPr>
        <w:t xml:space="preserve"> 2013; </w:t>
      </w:r>
      <w:r w:rsidRPr="00291026">
        <w:rPr>
          <w:b/>
          <w:noProof/>
        </w:rPr>
        <w:t>120</w:t>
      </w:r>
      <w:r w:rsidRPr="00291026">
        <w:rPr>
          <w:noProof/>
        </w:rPr>
        <w:t>(12): 1508-14.</w:t>
      </w:r>
      <w:bookmarkEnd w:id="21"/>
    </w:p>
    <w:p w:rsidR="00F067F1" w:rsidRPr="00291026" w:rsidRDefault="00F067F1" w:rsidP="00291026">
      <w:pPr>
        <w:pStyle w:val="EndNoteBibliography"/>
        <w:spacing w:after="0"/>
        <w:rPr>
          <w:noProof/>
        </w:rPr>
      </w:pPr>
      <w:bookmarkStart w:id="22" w:name="_ENREF_23"/>
      <w:r w:rsidRPr="00291026">
        <w:rPr>
          <w:noProof/>
        </w:rPr>
        <w:t>23.</w:t>
      </w:r>
      <w:r w:rsidRPr="00291026">
        <w:rPr>
          <w:noProof/>
        </w:rPr>
        <w:tab/>
        <w:t xml:space="preserve">Gibbons L, Belizan JM, Lauer JA, Betran AP, Merialdi M, Althabe F. Inequities in the use of cesarean section deliveries in the world. </w:t>
      </w:r>
      <w:r w:rsidRPr="00291026">
        <w:rPr>
          <w:i/>
          <w:noProof/>
        </w:rPr>
        <w:t>American journal of obstetrics and gynecology</w:t>
      </w:r>
      <w:r w:rsidRPr="00291026">
        <w:rPr>
          <w:noProof/>
        </w:rPr>
        <w:t xml:space="preserve"> 2012; </w:t>
      </w:r>
      <w:r w:rsidRPr="00291026">
        <w:rPr>
          <w:b/>
          <w:noProof/>
        </w:rPr>
        <w:t>206</w:t>
      </w:r>
      <w:r w:rsidRPr="00291026">
        <w:rPr>
          <w:noProof/>
        </w:rPr>
        <w:t>(4): 331.e1-19.</w:t>
      </w:r>
      <w:bookmarkEnd w:id="22"/>
    </w:p>
    <w:p w:rsidR="00F067F1" w:rsidRPr="00291026" w:rsidRDefault="00F067F1" w:rsidP="00291026">
      <w:pPr>
        <w:pStyle w:val="EndNoteBibliography"/>
        <w:spacing w:after="0"/>
        <w:rPr>
          <w:noProof/>
        </w:rPr>
      </w:pPr>
      <w:bookmarkStart w:id="23" w:name="_ENREF_24"/>
      <w:r w:rsidRPr="00291026">
        <w:rPr>
          <w:noProof/>
        </w:rPr>
        <w:t>24.</w:t>
      </w:r>
      <w:r w:rsidRPr="00291026">
        <w:rPr>
          <w:noProof/>
        </w:rPr>
        <w:tab/>
        <w:t xml:space="preserve">Belizan JM, Althabe F, Cafferata ML. Health consequences of the increasing caesarean section rates. </w:t>
      </w:r>
      <w:r w:rsidRPr="00291026">
        <w:rPr>
          <w:i/>
          <w:noProof/>
        </w:rPr>
        <w:t>Epidemiology (Cambridge, Mass)</w:t>
      </w:r>
      <w:r w:rsidRPr="00291026">
        <w:rPr>
          <w:noProof/>
        </w:rPr>
        <w:t xml:space="preserve"> 2007; </w:t>
      </w:r>
      <w:r w:rsidRPr="00291026">
        <w:rPr>
          <w:b/>
          <w:noProof/>
        </w:rPr>
        <w:t>18</w:t>
      </w:r>
      <w:r w:rsidRPr="00291026">
        <w:rPr>
          <w:noProof/>
        </w:rPr>
        <w:t>(4): 485-6.</w:t>
      </w:r>
      <w:bookmarkEnd w:id="23"/>
    </w:p>
    <w:p w:rsidR="00F067F1" w:rsidRPr="00291026" w:rsidRDefault="00F067F1" w:rsidP="00291026">
      <w:pPr>
        <w:pStyle w:val="EndNoteBibliography"/>
        <w:spacing w:after="0"/>
        <w:rPr>
          <w:noProof/>
        </w:rPr>
      </w:pPr>
      <w:bookmarkStart w:id="24" w:name="_ENREF_25"/>
      <w:r w:rsidRPr="00291026">
        <w:rPr>
          <w:noProof/>
        </w:rPr>
        <w:t>25.</w:t>
      </w:r>
      <w:r w:rsidRPr="00291026">
        <w:rPr>
          <w:noProof/>
        </w:rPr>
        <w:tab/>
        <w:t xml:space="preserve">Hall MH, Bewley S. Maternal mortality and mode of delivery. </w:t>
      </w:r>
      <w:r w:rsidRPr="00291026">
        <w:rPr>
          <w:i/>
          <w:noProof/>
        </w:rPr>
        <w:t>Lancet (London, England)</w:t>
      </w:r>
      <w:r w:rsidRPr="00291026">
        <w:rPr>
          <w:noProof/>
        </w:rPr>
        <w:t xml:space="preserve"> 1999; </w:t>
      </w:r>
      <w:r w:rsidRPr="00291026">
        <w:rPr>
          <w:b/>
          <w:noProof/>
        </w:rPr>
        <w:t>354</w:t>
      </w:r>
      <w:r w:rsidRPr="00291026">
        <w:rPr>
          <w:noProof/>
        </w:rPr>
        <w:t>(9180): 776.</w:t>
      </w:r>
      <w:bookmarkEnd w:id="24"/>
    </w:p>
    <w:p w:rsidR="00F067F1" w:rsidRPr="00291026" w:rsidRDefault="00F067F1" w:rsidP="00291026">
      <w:pPr>
        <w:pStyle w:val="EndNoteBibliography"/>
        <w:spacing w:after="0"/>
        <w:rPr>
          <w:noProof/>
        </w:rPr>
      </w:pPr>
      <w:bookmarkStart w:id="25" w:name="_ENREF_26"/>
      <w:r w:rsidRPr="00291026">
        <w:rPr>
          <w:noProof/>
        </w:rPr>
        <w:t>26.</w:t>
      </w:r>
      <w:r w:rsidRPr="00291026">
        <w:rPr>
          <w:noProof/>
        </w:rPr>
        <w:tab/>
        <w:t>PMNCH. Essential Interventions, Commodities and Guidelines for Reproductive, Maternal, Newborn and Child Health. Geneva, 2011.</w:t>
      </w:r>
      <w:bookmarkEnd w:id="25"/>
    </w:p>
    <w:p w:rsidR="00F067F1" w:rsidRPr="00291026" w:rsidRDefault="00F067F1" w:rsidP="00291026">
      <w:pPr>
        <w:pStyle w:val="EndNoteBibliography"/>
        <w:spacing w:after="0"/>
        <w:rPr>
          <w:noProof/>
        </w:rPr>
      </w:pPr>
      <w:bookmarkStart w:id="26" w:name="_ENREF_27"/>
      <w:r w:rsidRPr="00291026">
        <w:rPr>
          <w:noProof/>
        </w:rPr>
        <w:t>27.</w:t>
      </w:r>
      <w:r w:rsidRPr="00291026">
        <w:rPr>
          <w:noProof/>
        </w:rPr>
        <w:tab/>
        <w:t>World Health Organization, UNFPA, UNICEF, The World Bank. Managing complications in pregnancy and childbirth: a guide for midwives and doctors. Geneva: World Health Organization; 2007.</w:t>
      </w:r>
      <w:bookmarkEnd w:id="26"/>
    </w:p>
    <w:p w:rsidR="00F067F1" w:rsidRPr="00291026" w:rsidRDefault="00F067F1" w:rsidP="00291026">
      <w:pPr>
        <w:pStyle w:val="EndNoteBibliography"/>
        <w:spacing w:after="0"/>
        <w:rPr>
          <w:noProof/>
        </w:rPr>
      </w:pPr>
      <w:bookmarkStart w:id="27" w:name="_ENREF_28"/>
      <w:r w:rsidRPr="00291026">
        <w:rPr>
          <w:noProof/>
        </w:rPr>
        <w:t>28.</w:t>
      </w:r>
      <w:r w:rsidRPr="00291026">
        <w:rPr>
          <w:noProof/>
        </w:rPr>
        <w:tab/>
        <w:t xml:space="preserve">Merién A, Van de Ven J, Mol B, Houterman S, Oei S. Multidisciplinary team training in a simulation setting for acute obstetric emergencies: a systematic review. </w:t>
      </w:r>
      <w:r w:rsidRPr="00291026">
        <w:rPr>
          <w:i/>
          <w:noProof/>
        </w:rPr>
        <w:t>Obstetrics &amp; Gynecology</w:t>
      </w:r>
      <w:r w:rsidRPr="00291026">
        <w:rPr>
          <w:noProof/>
        </w:rPr>
        <w:t xml:space="preserve"> 2010; </w:t>
      </w:r>
      <w:r w:rsidRPr="00291026">
        <w:rPr>
          <w:b/>
          <w:noProof/>
        </w:rPr>
        <w:t>115</w:t>
      </w:r>
      <w:r w:rsidRPr="00291026">
        <w:rPr>
          <w:noProof/>
        </w:rPr>
        <w:t>(5): 1021-31.</w:t>
      </w:r>
      <w:bookmarkEnd w:id="27"/>
    </w:p>
    <w:p w:rsidR="00F067F1" w:rsidRPr="00291026" w:rsidRDefault="00F067F1" w:rsidP="00291026">
      <w:pPr>
        <w:pStyle w:val="EndNoteBibliography"/>
        <w:spacing w:after="0"/>
        <w:rPr>
          <w:noProof/>
        </w:rPr>
      </w:pPr>
      <w:bookmarkStart w:id="28" w:name="_ENREF_29"/>
      <w:r w:rsidRPr="00291026">
        <w:rPr>
          <w:noProof/>
        </w:rPr>
        <w:t>29.</w:t>
      </w:r>
      <w:r w:rsidRPr="00291026">
        <w:rPr>
          <w:noProof/>
        </w:rPr>
        <w:tab/>
        <w:t xml:space="preserve">Renfrew MJ, McFadden A, Bastos MH, et al. Midwifery and quality care: findings from a new evidence-informed framework for maternal and newborn care. </w:t>
      </w:r>
      <w:r w:rsidRPr="00291026">
        <w:rPr>
          <w:i/>
          <w:noProof/>
        </w:rPr>
        <w:t>Lancet (London, England)</w:t>
      </w:r>
      <w:r w:rsidRPr="00291026">
        <w:rPr>
          <w:noProof/>
        </w:rPr>
        <w:t xml:space="preserve"> 2014; </w:t>
      </w:r>
      <w:r w:rsidRPr="00291026">
        <w:rPr>
          <w:b/>
          <w:noProof/>
        </w:rPr>
        <w:t>384</w:t>
      </w:r>
      <w:r w:rsidRPr="00291026">
        <w:rPr>
          <w:noProof/>
        </w:rPr>
        <w:t>(9948): 1129-45.</w:t>
      </w:r>
      <w:bookmarkEnd w:id="28"/>
    </w:p>
    <w:p w:rsidR="00F067F1" w:rsidRPr="00291026" w:rsidRDefault="00F067F1" w:rsidP="00291026">
      <w:pPr>
        <w:pStyle w:val="EndNoteBibliography"/>
        <w:spacing w:after="0"/>
        <w:rPr>
          <w:noProof/>
        </w:rPr>
      </w:pPr>
      <w:bookmarkStart w:id="29" w:name="_ENREF_30"/>
      <w:r w:rsidRPr="00291026">
        <w:rPr>
          <w:noProof/>
        </w:rPr>
        <w:t>30.</w:t>
      </w:r>
      <w:r w:rsidRPr="00291026">
        <w:rPr>
          <w:noProof/>
        </w:rPr>
        <w:tab/>
        <w:t xml:space="preserve">Tuncalp, Were WM, MacLennan C, et al. Quality of care for pregnant women and newborns-the WHO vision. </w:t>
      </w:r>
      <w:r w:rsidRPr="00291026">
        <w:rPr>
          <w:i/>
          <w:noProof/>
        </w:rPr>
        <w:t>BJOG : an international journal of obstetrics and gynaecology</w:t>
      </w:r>
      <w:r w:rsidRPr="00291026">
        <w:rPr>
          <w:noProof/>
        </w:rPr>
        <w:t xml:space="preserve"> 2015; </w:t>
      </w:r>
      <w:r w:rsidRPr="00291026">
        <w:rPr>
          <w:b/>
          <w:noProof/>
        </w:rPr>
        <w:t>122</w:t>
      </w:r>
      <w:r w:rsidRPr="00291026">
        <w:rPr>
          <w:noProof/>
        </w:rPr>
        <w:t>(8): 1045-9.</w:t>
      </w:r>
      <w:bookmarkEnd w:id="29"/>
    </w:p>
    <w:p w:rsidR="00F067F1" w:rsidRPr="00291026" w:rsidRDefault="00F067F1" w:rsidP="00291026">
      <w:pPr>
        <w:pStyle w:val="EndNoteBibliography"/>
        <w:spacing w:after="0"/>
        <w:rPr>
          <w:noProof/>
        </w:rPr>
      </w:pPr>
      <w:bookmarkStart w:id="30" w:name="_ENREF_31"/>
      <w:r w:rsidRPr="00291026">
        <w:rPr>
          <w:noProof/>
        </w:rPr>
        <w:t>31.</w:t>
      </w:r>
      <w:r w:rsidRPr="00291026">
        <w:rPr>
          <w:noProof/>
        </w:rPr>
        <w:tab/>
        <w:t xml:space="preserve">Desai M, ter Kuile FO, Nosten F, et al. Epidemiology and burden of malaria in pregnancy. </w:t>
      </w:r>
      <w:r w:rsidRPr="00291026">
        <w:rPr>
          <w:i/>
          <w:noProof/>
        </w:rPr>
        <w:t>The Lancet Infectious diseases</w:t>
      </w:r>
      <w:r w:rsidRPr="00291026">
        <w:rPr>
          <w:noProof/>
        </w:rPr>
        <w:t xml:space="preserve"> 2007; </w:t>
      </w:r>
      <w:r w:rsidRPr="00291026">
        <w:rPr>
          <w:b/>
          <w:noProof/>
        </w:rPr>
        <w:t>7</w:t>
      </w:r>
      <w:r w:rsidRPr="00291026">
        <w:rPr>
          <w:noProof/>
        </w:rPr>
        <w:t>(2): 93-104.</w:t>
      </w:r>
      <w:bookmarkEnd w:id="30"/>
    </w:p>
    <w:p w:rsidR="00F067F1" w:rsidRPr="00291026" w:rsidRDefault="00F067F1" w:rsidP="00291026">
      <w:pPr>
        <w:pStyle w:val="EndNoteBibliography"/>
        <w:spacing w:after="0"/>
        <w:rPr>
          <w:noProof/>
        </w:rPr>
      </w:pPr>
      <w:bookmarkStart w:id="31" w:name="_ENREF_32"/>
      <w:r w:rsidRPr="00291026">
        <w:rPr>
          <w:noProof/>
        </w:rPr>
        <w:t>32.</w:t>
      </w:r>
      <w:r w:rsidRPr="00291026">
        <w:rPr>
          <w:noProof/>
        </w:rPr>
        <w:tab/>
        <w:t xml:space="preserve">Zaba B, Calvert C, Marston M, et al. Effect of HIV infection on pregnancy-related mortality in sub-Saharan Africa: secondary analyses of pooled community-based data from the network for Analysing Longitudinal Population-based HIV/AIDS data on Africa (ALPHA). </w:t>
      </w:r>
      <w:r w:rsidRPr="00291026">
        <w:rPr>
          <w:i/>
          <w:noProof/>
        </w:rPr>
        <w:t>Lancet (London, England)</w:t>
      </w:r>
      <w:r w:rsidRPr="00291026">
        <w:rPr>
          <w:noProof/>
        </w:rPr>
        <w:t xml:space="preserve"> 2013; </w:t>
      </w:r>
      <w:r w:rsidRPr="00291026">
        <w:rPr>
          <w:b/>
          <w:noProof/>
        </w:rPr>
        <w:t>381</w:t>
      </w:r>
      <w:r w:rsidRPr="00291026">
        <w:rPr>
          <w:noProof/>
        </w:rPr>
        <w:t>(9879): 1763-71.</w:t>
      </w:r>
      <w:bookmarkEnd w:id="31"/>
    </w:p>
    <w:p w:rsidR="00F067F1" w:rsidRPr="00291026" w:rsidRDefault="00F067F1" w:rsidP="00291026">
      <w:pPr>
        <w:pStyle w:val="EndNoteBibliography"/>
        <w:spacing w:after="0"/>
        <w:rPr>
          <w:noProof/>
        </w:rPr>
      </w:pPr>
      <w:bookmarkStart w:id="32" w:name="_ENREF_33"/>
      <w:r w:rsidRPr="00291026">
        <w:rPr>
          <w:noProof/>
        </w:rPr>
        <w:t>33.</w:t>
      </w:r>
      <w:r w:rsidRPr="00291026">
        <w:rPr>
          <w:noProof/>
        </w:rPr>
        <w:tab/>
        <w:t xml:space="preserve">Lawn JE, Blencowe H, Waiswa P, et al. Stillbirths: rates, risk factors, and acceleration towards 2030. </w:t>
      </w:r>
      <w:r w:rsidRPr="00291026">
        <w:rPr>
          <w:i/>
          <w:noProof/>
        </w:rPr>
        <w:t>Lancet (London, England)</w:t>
      </w:r>
      <w:r w:rsidRPr="00291026">
        <w:rPr>
          <w:noProof/>
        </w:rPr>
        <w:t xml:space="preserve"> 2016; </w:t>
      </w:r>
      <w:r w:rsidRPr="00291026">
        <w:rPr>
          <w:b/>
          <w:noProof/>
        </w:rPr>
        <w:t>387</w:t>
      </w:r>
      <w:r w:rsidRPr="00291026">
        <w:rPr>
          <w:noProof/>
        </w:rPr>
        <w:t>(10018): 587-603.</w:t>
      </w:r>
      <w:bookmarkEnd w:id="32"/>
    </w:p>
    <w:p w:rsidR="00F067F1" w:rsidRPr="00291026" w:rsidRDefault="00F067F1" w:rsidP="00291026">
      <w:pPr>
        <w:pStyle w:val="EndNoteBibliography"/>
        <w:spacing w:after="0"/>
        <w:rPr>
          <w:noProof/>
        </w:rPr>
      </w:pPr>
      <w:bookmarkStart w:id="33" w:name="_ENREF_34"/>
      <w:r w:rsidRPr="00291026">
        <w:rPr>
          <w:noProof/>
        </w:rPr>
        <w:t>34.</w:t>
      </w:r>
      <w:r w:rsidRPr="00291026">
        <w:rPr>
          <w:noProof/>
        </w:rPr>
        <w:tab/>
        <w:t xml:space="preserve">GBD Risk Factors Collaborators, Forouzanfar MH, Alexander L, et al. Global, regional, and national comparative risk assessment of 79 behavioural, environmental and occupational, and metabolic risks or clusters of risks in 188 countries, 1990-2013: a systematic analysis for the Global Burden of Disease Study 2013. </w:t>
      </w:r>
      <w:r w:rsidRPr="00291026">
        <w:rPr>
          <w:i/>
          <w:noProof/>
        </w:rPr>
        <w:t>Lancet (London, England)</w:t>
      </w:r>
      <w:r w:rsidRPr="00291026">
        <w:rPr>
          <w:noProof/>
        </w:rPr>
        <w:t xml:space="preserve"> 2015; </w:t>
      </w:r>
      <w:r w:rsidRPr="00291026">
        <w:rPr>
          <w:b/>
          <w:noProof/>
        </w:rPr>
        <w:t>386</w:t>
      </w:r>
      <w:r w:rsidRPr="00291026">
        <w:rPr>
          <w:noProof/>
        </w:rPr>
        <w:t>(10010): 2287-323.</w:t>
      </w:r>
      <w:bookmarkEnd w:id="33"/>
    </w:p>
    <w:p w:rsidR="00F067F1" w:rsidRPr="00291026" w:rsidRDefault="00F067F1" w:rsidP="00291026">
      <w:pPr>
        <w:pStyle w:val="EndNoteBibliography"/>
        <w:spacing w:after="0"/>
        <w:rPr>
          <w:noProof/>
        </w:rPr>
      </w:pPr>
      <w:bookmarkStart w:id="34" w:name="_ENREF_35"/>
      <w:r w:rsidRPr="00291026">
        <w:rPr>
          <w:noProof/>
        </w:rPr>
        <w:t>35.</w:t>
      </w:r>
      <w:r w:rsidRPr="00291026">
        <w:rPr>
          <w:noProof/>
        </w:rPr>
        <w:tab/>
        <w:t xml:space="preserve">Hodgins S. Achieving better maternal and newborn outcomes: coherent strategy and pragmatic, tailored implementation. </w:t>
      </w:r>
      <w:r w:rsidRPr="00291026">
        <w:rPr>
          <w:i/>
          <w:noProof/>
        </w:rPr>
        <w:t>Global health, science and practice</w:t>
      </w:r>
      <w:r w:rsidRPr="00291026">
        <w:rPr>
          <w:noProof/>
        </w:rPr>
        <w:t xml:space="preserve"> 2013; </w:t>
      </w:r>
      <w:r w:rsidRPr="00291026">
        <w:rPr>
          <w:b/>
          <w:noProof/>
        </w:rPr>
        <w:t>1</w:t>
      </w:r>
      <w:r w:rsidRPr="00291026">
        <w:rPr>
          <w:noProof/>
        </w:rPr>
        <w:t>(2): 146-53.</w:t>
      </w:r>
      <w:bookmarkEnd w:id="34"/>
    </w:p>
    <w:p w:rsidR="00F067F1" w:rsidRPr="00291026" w:rsidRDefault="00F067F1" w:rsidP="00291026">
      <w:pPr>
        <w:pStyle w:val="EndNoteBibliography"/>
        <w:spacing w:after="0"/>
        <w:rPr>
          <w:noProof/>
        </w:rPr>
      </w:pPr>
      <w:bookmarkStart w:id="35" w:name="_ENREF_36"/>
      <w:r w:rsidRPr="00291026">
        <w:rPr>
          <w:noProof/>
        </w:rPr>
        <w:t>36.</w:t>
      </w:r>
      <w:r w:rsidRPr="00291026">
        <w:rPr>
          <w:noProof/>
        </w:rPr>
        <w:tab/>
        <w:t xml:space="preserve">Ferguson L, Grant AD, Watson‐Jones D, Kahawita T, Ong’ech JO, Ross DA. Linking women who test HIV‐positive in pregnancy‐related services to long‐term HIV care and treatment services: a systematic review. </w:t>
      </w:r>
      <w:r w:rsidRPr="00291026">
        <w:rPr>
          <w:i/>
          <w:noProof/>
        </w:rPr>
        <w:t>Tropical Medicine &amp; International Health</w:t>
      </w:r>
      <w:r w:rsidRPr="00291026">
        <w:rPr>
          <w:noProof/>
        </w:rPr>
        <w:t xml:space="preserve"> 2012; </w:t>
      </w:r>
      <w:r w:rsidRPr="00291026">
        <w:rPr>
          <w:b/>
          <w:noProof/>
        </w:rPr>
        <w:t>17</w:t>
      </w:r>
      <w:r w:rsidRPr="00291026">
        <w:rPr>
          <w:noProof/>
        </w:rPr>
        <w:t>(5): 564-80.</w:t>
      </w:r>
      <w:bookmarkEnd w:id="35"/>
    </w:p>
    <w:p w:rsidR="00F067F1" w:rsidRPr="00291026" w:rsidRDefault="00F067F1" w:rsidP="00291026">
      <w:pPr>
        <w:pStyle w:val="EndNoteBibliography"/>
        <w:spacing w:after="0"/>
        <w:rPr>
          <w:noProof/>
        </w:rPr>
      </w:pPr>
      <w:bookmarkStart w:id="36" w:name="_ENREF_37"/>
      <w:r w:rsidRPr="00291026">
        <w:rPr>
          <w:noProof/>
        </w:rPr>
        <w:t>37.</w:t>
      </w:r>
      <w:r w:rsidRPr="00291026">
        <w:rPr>
          <w:noProof/>
        </w:rPr>
        <w:tab/>
        <w:t xml:space="preserve">Hodgins S. Pre-eclampsia as Underlying Cause for Perinatal Deaths: Time for Action. </w:t>
      </w:r>
      <w:r w:rsidRPr="00291026">
        <w:rPr>
          <w:i/>
          <w:noProof/>
        </w:rPr>
        <w:t>Global health, science and practice</w:t>
      </w:r>
      <w:r w:rsidRPr="00291026">
        <w:rPr>
          <w:noProof/>
        </w:rPr>
        <w:t xml:space="preserve"> 2015; </w:t>
      </w:r>
      <w:r w:rsidRPr="00291026">
        <w:rPr>
          <w:b/>
          <w:noProof/>
        </w:rPr>
        <w:t>3</w:t>
      </w:r>
      <w:r w:rsidRPr="00291026">
        <w:rPr>
          <w:noProof/>
        </w:rPr>
        <w:t>(4): 525-7.</w:t>
      </w:r>
      <w:bookmarkEnd w:id="36"/>
    </w:p>
    <w:p w:rsidR="00F067F1" w:rsidRPr="00291026" w:rsidRDefault="00F067F1" w:rsidP="00291026">
      <w:pPr>
        <w:pStyle w:val="EndNoteBibliography"/>
        <w:spacing w:after="0"/>
        <w:rPr>
          <w:noProof/>
        </w:rPr>
      </w:pPr>
      <w:bookmarkStart w:id="37" w:name="_ENREF_38"/>
      <w:r w:rsidRPr="00291026">
        <w:rPr>
          <w:noProof/>
        </w:rPr>
        <w:t>38.</w:t>
      </w:r>
      <w:r w:rsidRPr="00291026">
        <w:rPr>
          <w:noProof/>
        </w:rPr>
        <w:tab/>
        <w:t xml:space="preserve">Moyer CA, Mustafa A. Drivers and deterrents of facility delivery in sub-Saharan Africa: a systematic review. </w:t>
      </w:r>
      <w:r w:rsidRPr="00291026">
        <w:rPr>
          <w:i/>
          <w:noProof/>
        </w:rPr>
        <w:t>Reprod Health</w:t>
      </w:r>
      <w:r w:rsidRPr="00291026">
        <w:rPr>
          <w:noProof/>
        </w:rPr>
        <w:t xml:space="preserve"> 2013; </w:t>
      </w:r>
      <w:r w:rsidRPr="00291026">
        <w:rPr>
          <w:b/>
          <w:noProof/>
        </w:rPr>
        <w:t>10</w:t>
      </w:r>
      <w:r w:rsidRPr="00291026">
        <w:rPr>
          <w:noProof/>
        </w:rPr>
        <w:t>: 40.</w:t>
      </w:r>
      <w:bookmarkEnd w:id="37"/>
    </w:p>
    <w:p w:rsidR="00F067F1" w:rsidRPr="00291026" w:rsidRDefault="00F067F1" w:rsidP="00291026">
      <w:pPr>
        <w:pStyle w:val="EndNoteBibliography"/>
        <w:spacing w:after="0"/>
        <w:rPr>
          <w:noProof/>
        </w:rPr>
      </w:pPr>
      <w:bookmarkStart w:id="38" w:name="_ENREF_39"/>
      <w:r w:rsidRPr="00291026">
        <w:rPr>
          <w:noProof/>
        </w:rPr>
        <w:t>39.</w:t>
      </w:r>
      <w:r w:rsidRPr="00291026">
        <w:rPr>
          <w:noProof/>
        </w:rPr>
        <w:tab/>
        <w:t xml:space="preserve">Laski L, Expert Consultative Group for Every Woman Every Child on Adolescent H. Realising the health and wellbeing of adolescents. </w:t>
      </w:r>
      <w:r w:rsidRPr="00291026">
        <w:rPr>
          <w:i/>
          <w:noProof/>
        </w:rPr>
        <w:t>BMJ (Clinical research ed)</w:t>
      </w:r>
      <w:r w:rsidRPr="00291026">
        <w:rPr>
          <w:noProof/>
        </w:rPr>
        <w:t xml:space="preserve"> 2015; </w:t>
      </w:r>
      <w:r w:rsidRPr="00291026">
        <w:rPr>
          <w:b/>
          <w:noProof/>
        </w:rPr>
        <w:t>351</w:t>
      </w:r>
      <w:r w:rsidRPr="00291026">
        <w:rPr>
          <w:noProof/>
        </w:rPr>
        <w:t>: h4119.</w:t>
      </w:r>
      <w:bookmarkEnd w:id="38"/>
    </w:p>
    <w:p w:rsidR="00F067F1" w:rsidRPr="00291026" w:rsidRDefault="00F067F1" w:rsidP="00291026">
      <w:pPr>
        <w:pStyle w:val="EndNoteBibliography"/>
        <w:spacing w:after="0"/>
        <w:rPr>
          <w:noProof/>
        </w:rPr>
      </w:pPr>
      <w:bookmarkStart w:id="39" w:name="_ENREF_40"/>
      <w:r w:rsidRPr="00291026">
        <w:rPr>
          <w:noProof/>
        </w:rPr>
        <w:t>40.</w:t>
      </w:r>
      <w:r w:rsidRPr="00291026">
        <w:rPr>
          <w:noProof/>
        </w:rPr>
        <w:tab/>
        <w:t xml:space="preserve">Kyomuhendo GB. Low use of rural maternity services in Uganda: impact of women's status, traditional beliefs and limited resources. </w:t>
      </w:r>
      <w:r w:rsidRPr="00291026">
        <w:rPr>
          <w:i/>
          <w:noProof/>
        </w:rPr>
        <w:t>Reproductive health matters</w:t>
      </w:r>
      <w:r w:rsidRPr="00291026">
        <w:rPr>
          <w:noProof/>
        </w:rPr>
        <w:t xml:space="preserve"> 2003; </w:t>
      </w:r>
      <w:r w:rsidRPr="00291026">
        <w:rPr>
          <w:b/>
          <w:noProof/>
        </w:rPr>
        <w:t>11</w:t>
      </w:r>
      <w:r w:rsidRPr="00291026">
        <w:rPr>
          <w:noProof/>
        </w:rPr>
        <w:t>(21): 16-26.</w:t>
      </w:r>
      <w:bookmarkEnd w:id="39"/>
    </w:p>
    <w:p w:rsidR="00F067F1" w:rsidRPr="00291026" w:rsidRDefault="00F067F1" w:rsidP="00291026">
      <w:pPr>
        <w:pStyle w:val="EndNoteBibliography"/>
        <w:spacing w:after="0"/>
        <w:rPr>
          <w:noProof/>
        </w:rPr>
      </w:pPr>
      <w:bookmarkStart w:id="40" w:name="_ENREF_41"/>
      <w:r w:rsidRPr="00291026">
        <w:rPr>
          <w:noProof/>
        </w:rPr>
        <w:t>41.</w:t>
      </w:r>
      <w:r w:rsidRPr="00291026">
        <w:rPr>
          <w:noProof/>
        </w:rPr>
        <w:tab/>
        <w:t xml:space="preserve">IPPF, CORAM. Over-protected and under-served A multi-country study on legal barriers to young people’s access to sexual and reproductive health service. 2013. </w:t>
      </w:r>
      <w:r w:rsidRPr="00F067F1">
        <w:rPr>
          <w:noProof/>
        </w:rPr>
        <w:t>http://www.ippf.org/resources/publications/Over-protected-and-under-served-Legal-barriers-young-people-s-access-sexual-a</w:t>
      </w:r>
      <w:r w:rsidRPr="00291026">
        <w:rPr>
          <w:noProof/>
        </w:rPr>
        <w:t xml:space="preserve"> (accessed 17/01 2016).</w:t>
      </w:r>
      <w:bookmarkEnd w:id="40"/>
    </w:p>
    <w:p w:rsidR="00F067F1" w:rsidRPr="00291026" w:rsidRDefault="00F067F1" w:rsidP="00291026">
      <w:pPr>
        <w:pStyle w:val="EndNoteBibliography"/>
        <w:spacing w:after="0"/>
        <w:rPr>
          <w:noProof/>
        </w:rPr>
      </w:pPr>
      <w:bookmarkStart w:id="41" w:name="_ENREF_42"/>
      <w:r w:rsidRPr="00291026">
        <w:rPr>
          <w:noProof/>
        </w:rPr>
        <w:t>42.</w:t>
      </w:r>
      <w:r w:rsidRPr="00291026">
        <w:rPr>
          <w:noProof/>
        </w:rPr>
        <w:tab/>
        <w:t xml:space="preserve">Dingle A, Powell-Jackson T, Goodman C. A decade of improvements in equity of access to reproductive and maternal health services in Cambodia, 2000-2010. </w:t>
      </w:r>
      <w:r w:rsidRPr="00291026">
        <w:rPr>
          <w:i/>
          <w:noProof/>
        </w:rPr>
        <w:t>International journal for equity in health</w:t>
      </w:r>
      <w:r w:rsidRPr="00291026">
        <w:rPr>
          <w:noProof/>
        </w:rPr>
        <w:t xml:space="preserve"> 2013; </w:t>
      </w:r>
      <w:r w:rsidRPr="00291026">
        <w:rPr>
          <w:b/>
          <w:noProof/>
        </w:rPr>
        <w:t>12</w:t>
      </w:r>
      <w:r w:rsidRPr="00291026">
        <w:rPr>
          <w:noProof/>
        </w:rPr>
        <w:t>: 51.</w:t>
      </w:r>
      <w:bookmarkEnd w:id="41"/>
    </w:p>
    <w:p w:rsidR="00F067F1" w:rsidRPr="00291026" w:rsidRDefault="00F067F1" w:rsidP="00291026">
      <w:pPr>
        <w:pStyle w:val="EndNoteBibliography"/>
        <w:spacing w:after="0"/>
        <w:rPr>
          <w:noProof/>
        </w:rPr>
      </w:pPr>
      <w:bookmarkStart w:id="42" w:name="_ENREF_43"/>
      <w:r w:rsidRPr="00291026">
        <w:rPr>
          <w:noProof/>
        </w:rPr>
        <w:t>43.</w:t>
      </w:r>
      <w:r w:rsidRPr="00291026">
        <w:rPr>
          <w:noProof/>
        </w:rPr>
        <w:tab/>
        <w:t xml:space="preserve">Silal SP, Penn-Kekana L, Harris B, Birch S, McIntyre D. Exploring inequalities in access to and use of maternal health services in South Africa. </w:t>
      </w:r>
      <w:r w:rsidRPr="00291026">
        <w:rPr>
          <w:i/>
          <w:noProof/>
        </w:rPr>
        <w:t>BMC health services research</w:t>
      </w:r>
      <w:r w:rsidRPr="00291026">
        <w:rPr>
          <w:noProof/>
        </w:rPr>
        <w:t xml:space="preserve"> 2012; </w:t>
      </w:r>
      <w:r w:rsidRPr="00291026">
        <w:rPr>
          <w:b/>
          <w:noProof/>
        </w:rPr>
        <w:t>12</w:t>
      </w:r>
      <w:r w:rsidRPr="00291026">
        <w:rPr>
          <w:noProof/>
        </w:rPr>
        <w:t>: 120.</w:t>
      </w:r>
      <w:bookmarkEnd w:id="42"/>
    </w:p>
    <w:p w:rsidR="00F067F1" w:rsidRPr="00291026" w:rsidRDefault="00F067F1" w:rsidP="00291026">
      <w:pPr>
        <w:pStyle w:val="EndNoteBibliography"/>
        <w:spacing w:after="0"/>
        <w:rPr>
          <w:noProof/>
        </w:rPr>
      </w:pPr>
      <w:bookmarkStart w:id="43" w:name="_ENREF_44"/>
      <w:r w:rsidRPr="00291026">
        <w:rPr>
          <w:noProof/>
        </w:rPr>
        <w:t>44.</w:t>
      </w:r>
      <w:r w:rsidRPr="00291026">
        <w:rPr>
          <w:noProof/>
        </w:rPr>
        <w:tab/>
        <w:t xml:space="preserve">hIarlaithe MO, Grede N, de Pee S, Bloem M. Economic and social factors are some of the most common barriers preventing women from accessing maternal and newborn child health (MNCH) and prevention of mother-to-child transmission (PMTCT) services: a literature review. </w:t>
      </w:r>
      <w:r w:rsidRPr="00291026">
        <w:rPr>
          <w:i/>
          <w:noProof/>
        </w:rPr>
        <w:t>AIDS and behavior</w:t>
      </w:r>
      <w:r w:rsidRPr="00291026">
        <w:rPr>
          <w:noProof/>
        </w:rPr>
        <w:t xml:space="preserve"> 2014; </w:t>
      </w:r>
      <w:r w:rsidRPr="00291026">
        <w:rPr>
          <w:b/>
          <w:noProof/>
        </w:rPr>
        <w:t>18 Suppl 5</w:t>
      </w:r>
      <w:r w:rsidRPr="00291026">
        <w:rPr>
          <w:noProof/>
        </w:rPr>
        <w:t>: S516-30.</w:t>
      </w:r>
      <w:bookmarkEnd w:id="43"/>
    </w:p>
    <w:p w:rsidR="00F067F1" w:rsidRPr="00291026" w:rsidRDefault="00F067F1" w:rsidP="00291026">
      <w:pPr>
        <w:pStyle w:val="EndNoteBibliography"/>
        <w:spacing w:after="0"/>
        <w:rPr>
          <w:noProof/>
        </w:rPr>
      </w:pPr>
      <w:bookmarkStart w:id="44" w:name="_ENREF_45"/>
      <w:r w:rsidRPr="00291026">
        <w:rPr>
          <w:noProof/>
        </w:rPr>
        <w:t>45.</w:t>
      </w:r>
      <w:r w:rsidRPr="00291026">
        <w:rPr>
          <w:noProof/>
        </w:rPr>
        <w:tab/>
        <w:t>Paruzzolo S, Mehra R, Kes A, Ashbaugh C, Mehra R, Gupta GR. Targeting poverty and gender inequality to improve maternal health. 2010.</w:t>
      </w:r>
      <w:bookmarkEnd w:id="44"/>
    </w:p>
    <w:p w:rsidR="00F067F1" w:rsidRPr="00291026" w:rsidRDefault="00F067F1" w:rsidP="00291026">
      <w:pPr>
        <w:pStyle w:val="EndNoteBibliography"/>
        <w:spacing w:after="0"/>
        <w:rPr>
          <w:noProof/>
        </w:rPr>
      </w:pPr>
      <w:bookmarkStart w:id="45" w:name="_ENREF_46"/>
      <w:r w:rsidRPr="00291026">
        <w:rPr>
          <w:noProof/>
        </w:rPr>
        <w:t>46.</w:t>
      </w:r>
      <w:r w:rsidRPr="00291026">
        <w:rPr>
          <w:noProof/>
        </w:rPr>
        <w:tab/>
        <w:t>World Economic Forum. The Global Gender Gap Report 2015. Geneva: World Economic Forum; 2015.</w:t>
      </w:r>
      <w:bookmarkEnd w:id="45"/>
    </w:p>
    <w:p w:rsidR="00F067F1" w:rsidRPr="00291026" w:rsidRDefault="00F067F1" w:rsidP="00291026">
      <w:pPr>
        <w:pStyle w:val="EndNoteBibliography"/>
        <w:spacing w:after="0"/>
        <w:rPr>
          <w:noProof/>
        </w:rPr>
      </w:pPr>
      <w:bookmarkStart w:id="46" w:name="_ENREF_47"/>
      <w:r w:rsidRPr="00291026">
        <w:rPr>
          <w:noProof/>
        </w:rPr>
        <w:t>47.</w:t>
      </w:r>
      <w:r w:rsidRPr="00291026">
        <w:rPr>
          <w:noProof/>
        </w:rPr>
        <w:tab/>
        <w:t xml:space="preserve">The Fund for Peace. Fragile States Index 2016. 2016. </w:t>
      </w:r>
      <w:r w:rsidRPr="00F067F1">
        <w:rPr>
          <w:noProof/>
        </w:rPr>
        <w:t>http://fsi.fundforpeace.org/</w:t>
      </w:r>
      <w:r w:rsidRPr="00291026">
        <w:rPr>
          <w:noProof/>
        </w:rPr>
        <w:t xml:space="preserve"> (accessed 18/07/2016.</w:t>
      </w:r>
      <w:bookmarkEnd w:id="46"/>
    </w:p>
    <w:p w:rsidR="00F067F1" w:rsidRPr="00291026" w:rsidRDefault="00F067F1" w:rsidP="00291026">
      <w:pPr>
        <w:pStyle w:val="EndNoteBibliography"/>
        <w:spacing w:after="0"/>
        <w:rPr>
          <w:noProof/>
        </w:rPr>
      </w:pPr>
      <w:bookmarkStart w:id="47" w:name="_ENREF_48"/>
      <w:r w:rsidRPr="00291026">
        <w:rPr>
          <w:noProof/>
        </w:rPr>
        <w:t>48.</w:t>
      </w:r>
      <w:r w:rsidRPr="00291026">
        <w:rPr>
          <w:noProof/>
        </w:rPr>
        <w:tab/>
        <w:t>Macmillan R, Kruttschnitt C. “Patterns of Violence Against Women: Risk Factors and Consequences.” National Institute of Justice Grant # 2002-IJ-CX-001, Final Report. 2004.</w:t>
      </w:r>
      <w:bookmarkEnd w:id="47"/>
    </w:p>
    <w:p w:rsidR="00F067F1" w:rsidRPr="00291026" w:rsidRDefault="00F067F1" w:rsidP="00291026">
      <w:pPr>
        <w:pStyle w:val="EndNoteBibliography"/>
        <w:spacing w:after="0"/>
        <w:rPr>
          <w:noProof/>
        </w:rPr>
      </w:pPr>
      <w:bookmarkStart w:id="48" w:name="_ENREF_49"/>
      <w:r w:rsidRPr="00291026">
        <w:rPr>
          <w:noProof/>
        </w:rPr>
        <w:t>49.</w:t>
      </w:r>
      <w:r w:rsidRPr="00291026">
        <w:rPr>
          <w:noProof/>
        </w:rPr>
        <w:tab/>
        <w:t>Peterson K. From the field: gender issues in disaster response and recovery.</w:t>
      </w:r>
      <w:r>
        <w:rPr>
          <w:noProof/>
        </w:rPr>
        <w:t xml:space="preserve"> </w:t>
      </w:r>
      <w:r w:rsidRPr="00291026">
        <w:rPr>
          <w:noProof/>
        </w:rPr>
        <w:t xml:space="preserve">. </w:t>
      </w:r>
      <w:r w:rsidRPr="00291026">
        <w:rPr>
          <w:i/>
          <w:noProof/>
        </w:rPr>
        <w:t>Natural Hazards Observer</w:t>
      </w:r>
      <w:r w:rsidRPr="00291026">
        <w:rPr>
          <w:noProof/>
        </w:rPr>
        <w:t xml:space="preserve"> 1997; </w:t>
      </w:r>
      <w:r w:rsidRPr="00291026">
        <w:rPr>
          <w:b/>
          <w:noProof/>
        </w:rPr>
        <w:t>21:</w:t>
      </w:r>
      <w:r w:rsidRPr="00291026">
        <w:rPr>
          <w:noProof/>
        </w:rPr>
        <w:t>: 3-4.</w:t>
      </w:r>
      <w:bookmarkEnd w:id="48"/>
    </w:p>
    <w:p w:rsidR="00F067F1" w:rsidRPr="00291026" w:rsidRDefault="00F067F1" w:rsidP="00291026">
      <w:pPr>
        <w:pStyle w:val="EndNoteBibliography"/>
        <w:spacing w:after="0"/>
        <w:rPr>
          <w:noProof/>
        </w:rPr>
      </w:pPr>
      <w:bookmarkStart w:id="49" w:name="_ENREF_50"/>
      <w:r w:rsidRPr="00291026">
        <w:rPr>
          <w:noProof/>
        </w:rPr>
        <w:t>50.</w:t>
      </w:r>
      <w:r w:rsidRPr="00291026">
        <w:rPr>
          <w:noProof/>
        </w:rPr>
        <w:tab/>
        <w:t xml:space="preserve">Filby A, McConville F, Portela A. What Prevents Quality Midwifery Care? A Systematic Mapping of Barriers in Low and Middle Income Countries from the Provider Perspective. </w:t>
      </w:r>
      <w:r w:rsidRPr="00291026">
        <w:rPr>
          <w:i/>
          <w:noProof/>
        </w:rPr>
        <w:t>PloS one</w:t>
      </w:r>
      <w:r w:rsidRPr="00291026">
        <w:rPr>
          <w:noProof/>
        </w:rPr>
        <w:t xml:space="preserve"> 2016; </w:t>
      </w:r>
      <w:r w:rsidRPr="00291026">
        <w:rPr>
          <w:b/>
          <w:noProof/>
        </w:rPr>
        <w:t>11</w:t>
      </w:r>
      <w:r w:rsidRPr="00291026">
        <w:rPr>
          <w:noProof/>
        </w:rPr>
        <w:t>(5): e0153391.</w:t>
      </w:r>
      <w:bookmarkEnd w:id="49"/>
    </w:p>
    <w:p w:rsidR="00F067F1" w:rsidRPr="00291026" w:rsidRDefault="00F067F1" w:rsidP="00291026">
      <w:pPr>
        <w:pStyle w:val="EndNoteBibliography"/>
        <w:spacing w:after="0"/>
        <w:rPr>
          <w:noProof/>
        </w:rPr>
      </w:pPr>
      <w:bookmarkStart w:id="50" w:name="_ENREF_51"/>
      <w:r w:rsidRPr="00291026">
        <w:rPr>
          <w:noProof/>
        </w:rPr>
        <w:t>51.</w:t>
      </w:r>
      <w:r w:rsidRPr="00291026">
        <w:rPr>
          <w:noProof/>
        </w:rPr>
        <w:tab/>
        <w:t xml:space="preserve">Coast E, Jones E, Portela A, Lattof SR. Maternity Care Services and Culture: A Systematic Global Mapping of Interventions. </w:t>
      </w:r>
      <w:r w:rsidRPr="00291026">
        <w:rPr>
          <w:i/>
          <w:noProof/>
        </w:rPr>
        <w:t>PloS one</w:t>
      </w:r>
      <w:r w:rsidRPr="00291026">
        <w:rPr>
          <w:noProof/>
        </w:rPr>
        <w:t xml:space="preserve"> 2014; </w:t>
      </w:r>
      <w:r w:rsidRPr="00291026">
        <w:rPr>
          <w:b/>
          <w:noProof/>
        </w:rPr>
        <w:t>9</w:t>
      </w:r>
      <w:r w:rsidRPr="00291026">
        <w:rPr>
          <w:noProof/>
        </w:rPr>
        <w:t>(9): e108130.</w:t>
      </w:r>
      <w:bookmarkEnd w:id="50"/>
    </w:p>
    <w:p w:rsidR="00F067F1" w:rsidRPr="00291026" w:rsidRDefault="00F067F1" w:rsidP="00291026">
      <w:pPr>
        <w:pStyle w:val="EndNoteBibliography"/>
        <w:spacing w:after="0"/>
        <w:rPr>
          <w:noProof/>
        </w:rPr>
      </w:pPr>
      <w:bookmarkStart w:id="51" w:name="_ENREF_52"/>
      <w:r w:rsidRPr="00291026">
        <w:rPr>
          <w:noProof/>
        </w:rPr>
        <w:t>52.</w:t>
      </w:r>
      <w:r w:rsidRPr="00291026">
        <w:rPr>
          <w:noProof/>
        </w:rPr>
        <w:tab/>
        <w:t xml:space="preserve">Marston C, Renedo A, McGowan CR, Portela A. Effects of community participation on improving uptake of skilled care for maternal and newborn health: a systematic review. </w:t>
      </w:r>
      <w:r w:rsidRPr="00291026">
        <w:rPr>
          <w:i/>
          <w:noProof/>
        </w:rPr>
        <w:t>PloS one</w:t>
      </w:r>
      <w:r w:rsidRPr="00291026">
        <w:rPr>
          <w:noProof/>
        </w:rPr>
        <w:t xml:space="preserve"> 2013; </w:t>
      </w:r>
      <w:r w:rsidRPr="00291026">
        <w:rPr>
          <w:b/>
          <w:noProof/>
        </w:rPr>
        <w:t>8</w:t>
      </w:r>
      <w:r w:rsidRPr="00291026">
        <w:rPr>
          <w:noProof/>
        </w:rPr>
        <w:t>(2): e55012.</w:t>
      </w:r>
      <w:bookmarkEnd w:id="51"/>
    </w:p>
    <w:p w:rsidR="00F067F1" w:rsidRPr="00291026" w:rsidRDefault="00F067F1" w:rsidP="00291026">
      <w:pPr>
        <w:pStyle w:val="EndNoteBibliography"/>
        <w:spacing w:after="0"/>
        <w:rPr>
          <w:noProof/>
        </w:rPr>
      </w:pPr>
      <w:bookmarkStart w:id="52" w:name="_ENREF_53"/>
      <w:r w:rsidRPr="00291026">
        <w:rPr>
          <w:noProof/>
        </w:rPr>
        <w:t>53.</w:t>
      </w:r>
      <w:r w:rsidRPr="00291026">
        <w:rPr>
          <w:noProof/>
        </w:rPr>
        <w:tab/>
        <w:t xml:space="preserve">Prost A, Colbourn T, Seward N, et al. Women's groups practising participatory learning and action to improve maternal and newborn health in low-resource settings: a systematic review and meta-analysis. </w:t>
      </w:r>
      <w:r w:rsidRPr="00291026">
        <w:rPr>
          <w:i/>
          <w:noProof/>
        </w:rPr>
        <w:t>Lancet (London, England)</w:t>
      </w:r>
      <w:r w:rsidRPr="00291026">
        <w:rPr>
          <w:noProof/>
        </w:rPr>
        <w:t xml:space="preserve"> 2013; </w:t>
      </w:r>
      <w:r w:rsidRPr="00291026">
        <w:rPr>
          <w:b/>
          <w:noProof/>
        </w:rPr>
        <w:t>381</w:t>
      </w:r>
      <w:r w:rsidRPr="00291026">
        <w:rPr>
          <w:noProof/>
        </w:rPr>
        <w:t>(9879): 1736-46.</w:t>
      </w:r>
      <w:bookmarkEnd w:id="52"/>
    </w:p>
    <w:p w:rsidR="00F067F1" w:rsidRPr="00291026" w:rsidRDefault="00F067F1" w:rsidP="00291026">
      <w:pPr>
        <w:pStyle w:val="EndNoteBibliography"/>
        <w:spacing w:after="0"/>
        <w:rPr>
          <w:noProof/>
        </w:rPr>
      </w:pPr>
      <w:bookmarkStart w:id="53" w:name="_ENREF_54"/>
      <w:r w:rsidRPr="00291026">
        <w:rPr>
          <w:noProof/>
        </w:rPr>
        <w:t>54.</w:t>
      </w:r>
      <w:r w:rsidRPr="00291026">
        <w:rPr>
          <w:noProof/>
        </w:rPr>
        <w:tab/>
        <w:t xml:space="preserve">Lassi ZS, Haider BA, Bhutta ZA. Community-based intervention packages for reducing maternal and neonatal morbidity and mortality and improving neonatal outcomes. </w:t>
      </w:r>
      <w:r w:rsidRPr="00291026">
        <w:rPr>
          <w:i/>
          <w:noProof/>
        </w:rPr>
        <w:t>The Cochrane database of systematic reviews</w:t>
      </w:r>
      <w:r w:rsidRPr="00291026">
        <w:rPr>
          <w:noProof/>
        </w:rPr>
        <w:t xml:space="preserve"> 2010; (11): Cd007754.</w:t>
      </w:r>
      <w:bookmarkEnd w:id="53"/>
    </w:p>
    <w:p w:rsidR="00F067F1" w:rsidRPr="00291026" w:rsidRDefault="00F067F1" w:rsidP="00291026">
      <w:pPr>
        <w:pStyle w:val="EndNoteBibliography"/>
        <w:spacing w:after="0"/>
        <w:rPr>
          <w:noProof/>
        </w:rPr>
      </w:pPr>
      <w:bookmarkStart w:id="54" w:name="_ENREF_55"/>
      <w:r w:rsidRPr="00291026">
        <w:rPr>
          <w:noProof/>
        </w:rPr>
        <w:t>55.</w:t>
      </w:r>
      <w:r w:rsidRPr="00291026">
        <w:rPr>
          <w:noProof/>
        </w:rPr>
        <w:tab/>
        <w:t xml:space="preserve">Lassi ZS, Majeed A, Rashid S, Yakoob MY, Bhutta ZA. The interconnections between maternal and newborn health--evidence and implications for policy. </w:t>
      </w:r>
      <w:r w:rsidRPr="00291026">
        <w:rPr>
          <w:i/>
          <w:noProof/>
        </w:rPr>
        <w:t>The journal of maternal-fetal &amp; neonatal medicine : the official journal of the European Association of Perinatal Medicine, the Federation of Asia and Oceania Perinatal Societies, the International Society of Perinatal Obstet</w:t>
      </w:r>
      <w:r w:rsidRPr="00291026">
        <w:rPr>
          <w:noProof/>
        </w:rPr>
        <w:t xml:space="preserve"> 2013; </w:t>
      </w:r>
      <w:r w:rsidRPr="00291026">
        <w:rPr>
          <w:b/>
          <w:noProof/>
        </w:rPr>
        <w:t>26 Suppl 1</w:t>
      </w:r>
      <w:r w:rsidRPr="00291026">
        <w:rPr>
          <w:noProof/>
        </w:rPr>
        <w:t>: 3-53.</w:t>
      </w:r>
      <w:bookmarkEnd w:id="54"/>
    </w:p>
    <w:p w:rsidR="00F067F1" w:rsidRPr="00291026" w:rsidRDefault="00F067F1" w:rsidP="00291026">
      <w:pPr>
        <w:pStyle w:val="EndNoteBibliography"/>
        <w:spacing w:after="0"/>
        <w:rPr>
          <w:noProof/>
        </w:rPr>
      </w:pPr>
      <w:bookmarkStart w:id="55" w:name="_ENREF_56"/>
      <w:r w:rsidRPr="00291026">
        <w:rPr>
          <w:noProof/>
        </w:rPr>
        <w:t>56.</w:t>
      </w:r>
      <w:r w:rsidRPr="00291026">
        <w:rPr>
          <w:noProof/>
        </w:rPr>
        <w:tab/>
        <w:t>World Health Organization. WHO recommendation on community mobilization through facilitated participatory learning and action cycles with women’s groups for maternal and newborn health. Geneva: World Health Organization; 2014.</w:t>
      </w:r>
      <w:bookmarkEnd w:id="55"/>
    </w:p>
    <w:p w:rsidR="00F067F1" w:rsidRPr="00291026" w:rsidRDefault="00F067F1" w:rsidP="00291026">
      <w:pPr>
        <w:pStyle w:val="EndNoteBibliography"/>
        <w:spacing w:after="0"/>
        <w:rPr>
          <w:noProof/>
        </w:rPr>
      </w:pPr>
      <w:bookmarkStart w:id="56" w:name="_ENREF_57"/>
      <w:r w:rsidRPr="00291026">
        <w:rPr>
          <w:noProof/>
        </w:rPr>
        <w:t>57.</w:t>
      </w:r>
      <w:r w:rsidRPr="00291026">
        <w:rPr>
          <w:noProof/>
        </w:rPr>
        <w:tab/>
        <w:t xml:space="preserve">Rosato M, Laverack G, Grabman LH, et al. Community participation: lessons for maternal, newborn, and child health. </w:t>
      </w:r>
      <w:r w:rsidRPr="00291026">
        <w:rPr>
          <w:i/>
          <w:noProof/>
        </w:rPr>
        <w:t>Lancet (London, England)</w:t>
      </w:r>
      <w:r w:rsidRPr="00291026">
        <w:rPr>
          <w:noProof/>
        </w:rPr>
        <w:t xml:space="preserve"> 2008; </w:t>
      </w:r>
      <w:r w:rsidRPr="00291026">
        <w:rPr>
          <w:b/>
          <w:noProof/>
        </w:rPr>
        <w:t>372</w:t>
      </w:r>
      <w:r w:rsidRPr="00291026">
        <w:rPr>
          <w:noProof/>
        </w:rPr>
        <w:t>(9642): 962-71.</w:t>
      </w:r>
      <w:bookmarkEnd w:id="56"/>
    </w:p>
    <w:p w:rsidR="00F067F1" w:rsidRPr="00291026" w:rsidRDefault="00F067F1" w:rsidP="00291026">
      <w:pPr>
        <w:pStyle w:val="EndNoteBibliography"/>
        <w:spacing w:after="0"/>
        <w:rPr>
          <w:noProof/>
        </w:rPr>
      </w:pPr>
      <w:bookmarkStart w:id="57" w:name="_ENREF_58"/>
      <w:r w:rsidRPr="00291026">
        <w:rPr>
          <w:noProof/>
        </w:rPr>
        <w:t>58.</w:t>
      </w:r>
      <w:r w:rsidRPr="00291026">
        <w:rPr>
          <w:noProof/>
        </w:rPr>
        <w:tab/>
        <w:t xml:space="preserve">Wallerstein N. Powerlessness, empowerment, and health: implications for health promotion programs. </w:t>
      </w:r>
      <w:r w:rsidRPr="00291026">
        <w:rPr>
          <w:i/>
          <w:noProof/>
        </w:rPr>
        <w:t>American journal of health promotion : AJHP</w:t>
      </w:r>
      <w:r w:rsidRPr="00291026">
        <w:rPr>
          <w:noProof/>
        </w:rPr>
        <w:t xml:space="preserve"> 1992; </w:t>
      </w:r>
      <w:r w:rsidRPr="00291026">
        <w:rPr>
          <w:b/>
          <w:noProof/>
        </w:rPr>
        <w:t>6</w:t>
      </w:r>
      <w:r w:rsidRPr="00291026">
        <w:rPr>
          <w:noProof/>
        </w:rPr>
        <w:t>(3): 197-205.</w:t>
      </w:r>
      <w:bookmarkEnd w:id="57"/>
    </w:p>
    <w:p w:rsidR="00F067F1" w:rsidRPr="00291026" w:rsidRDefault="00F067F1" w:rsidP="00291026">
      <w:pPr>
        <w:pStyle w:val="EndNoteBibliography"/>
        <w:spacing w:after="0"/>
        <w:rPr>
          <w:noProof/>
        </w:rPr>
      </w:pPr>
      <w:bookmarkStart w:id="58" w:name="_ENREF_59"/>
      <w:r w:rsidRPr="00291026">
        <w:rPr>
          <w:noProof/>
        </w:rPr>
        <w:t>59.</w:t>
      </w:r>
      <w:r w:rsidRPr="00291026">
        <w:rPr>
          <w:noProof/>
        </w:rPr>
        <w:tab/>
        <w:t xml:space="preserve">Rifkin SB. Paradigms lost: toward a new understanding of community participation in health programmes. </w:t>
      </w:r>
      <w:r w:rsidRPr="00291026">
        <w:rPr>
          <w:i/>
          <w:noProof/>
        </w:rPr>
        <w:t>Acta tropica</w:t>
      </w:r>
      <w:r w:rsidRPr="00291026">
        <w:rPr>
          <w:noProof/>
        </w:rPr>
        <w:t xml:space="preserve"> 1996; </w:t>
      </w:r>
      <w:r w:rsidRPr="00291026">
        <w:rPr>
          <w:b/>
          <w:noProof/>
        </w:rPr>
        <w:t>61</w:t>
      </w:r>
      <w:r w:rsidRPr="00291026">
        <w:rPr>
          <w:noProof/>
        </w:rPr>
        <w:t>(2): 79-92.</w:t>
      </w:r>
      <w:bookmarkEnd w:id="58"/>
    </w:p>
    <w:p w:rsidR="00F067F1" w:rsidRPr="00291026" w:rsidRDefault="00F067F1" w:rsidP="00291026">
      <w:pPr>
        <w:pStyle w:val="EndNoteBibliography"/>
        <w:spacing w:after="0"/>
        <w:rPr>
          <w:noProof/>
        </w:rPr>
      </w:pPr>
      <w:bookmarkStart w:id="59" w:name="_ENREF_60"/>
      <w:r w:rsidRPr="00291026">
        <w:rPr>
          <w:noProof/>
        </w:rPr>
        <w:t>60.</w:t>
      </w:r>
      <w:r w:rsidRPr="00291026">
        <w:rPr>
          <w:noProof/>
        </w:rPr>
        <w:tab/>
        <w:t xml:space="preserve">Costello A, Azad K, Barnett S. An alternative strategy to reduce maternal mortality. </w:t>
      </w:r>
      <w:r w:rsidRPr="00291026">
        <w:rPr>
          <w:i/>
          <w:noProof/>
        </w:rPr>
        <w:t>Lancet (London, England)</w:t>
      </w:r>
      <w:r w:rsidRPr="00291026">
        <w:rPr>
          <w:noProof/>
        </w:rPr>
        <w:t xml:space="preserve"> 2006; </w:t>
      </w:r>
      <w:r w:rsidRPr="00291026">
        <w:rPr>
          <w:b/>
          <w:noProof/>
        </w:rPr>
        <w:t>368</w:t>
      </w:r>
      <w:r w:rsidRPr="00291026">
        <w:rPr>
          <w:noProof/>
        </w:rPr>
        <w:t>(9546): 1477-9.</w:t>
      </w:r>
      <w:bookmarkEnd w:id="59"/>
    </w:p>
    <w:p w:rsidR="00F067F1" w:rsidRPr="00291026" w:rsidRDefault="00F067F1" w:rsidP="00291026">
      <w:pPr>
        <w:pStyle w:val="EndNoteBibliography"/>
        <w:spacing w:after="0"/>
        <w:rPr>
          <w:noProof/>
        </w:rPr>
      </w:pPr>
      <w:bookmarkStart w:id="60" w:name="_ENREF_61"/>
      <w:r w:rsidRPr="00291026">
        <w:rPr>
          <w:noProof/>
        </w:rPr>
        <w:t>61.</w:t>
      </w:r>
      <w:r w:rsidRPr="00291026">
        <w:rPr>
          <w:noProof/>
        </w:rPr>
        <w:tab/>
        <w:t>OECD. Domestic Revenue Mobilisation in Fragile States. Paris: OECD; 2014.</w:t>
      </w:r>
      <w:bookmarkEnd w:id="60"/>
    </w:p>
    <w:p w:rsidR="00F067F1" w:rsidRPr="00291026" w:rsidRDefault="00F067F1" w:rsidP="00291026">
      <w:pPr>
        <w:pStyle w:val="EndNoteBibliography"/>
        <w:spacing w:after="0"/>
        <w:rPr>
          <w:noProof/>
        </w:rPr>
      </w:pPr>
      <w:bookmarkStart w:id="61" w:name="_ENREF_62"/>
      <w:r w:rsidRPr="00291026">
        <w:rPr>
          <w:noProof/>
        </w:rPr>
        <w:t>62.</w:t>
      </w:r>
      <w:r w:rsidRPr="00291026">
        <w:rPr>
          <w:noProof/>
        </w:rPr>
        <w:tab/>
        <w:t>Save the Children. State of the World’s Mothers 2014 Saving Mothers and Children in Humanitarian Crises. USA: Save the Children; 2014.</w:t>
      </w:r>
      <w:bookmarkEnd w:id="61"/>
    </w:p>
    <w:p w:rsidR="00F067F1" w:rsidRPr="00291026" w:rsidRDefault="00F067F1" w:rsidP="00291026">
      <w:pPr>
        <w:pStyle w:val="EndNoteBibliography"/>
        <w:spacing w:after="0"/>
        <w:rPr>
          <w:noProof/>
        </w:rPr>
      </w:pPr>
      <w:bookmarkStart w:id="62" w:name="_ENREF_63"/>
      <w:r w:rsidRPr="00291026">
        <w:rPr>
          <w:noProof/>
        </w:rPr>
        <w:t>63.</w:t>
      </w:r>
      <w:r w:rsidRPr="00291026">
        <w:rPr>
          <w:noProof/>
        </w:rPr>
        <w:tab/>
        <w:t xml:space="preserve">Casey SE. Evaluations of reproductive health programs in humanitarian settings: a systematic review. </w:t>
      </w:r>
      <w:r w:rsidRPr="00291026">
        <w:rPr>
          <w:i/>
          <w:noProof/>
        </w:rPr>
        <w:t>Conflict and health</w:t>
      </w:r>
      <w:r w:rsidRPr="00291026">
        <w:rPr>
          <w:noProof/>
        </w:rPr>
        <w:t xml:space="preserve"> 2015; </w:t>
      </w:r>
      <w:r w:rsidRPr="00291026">
        <w:rPr>
          <w:b/>
          <w:noProof/>
        </w:rPr>
        <w:t>9</w:t>
      </w:r>
      <w:r w:rsidRPr="00291026">
        <w:rPr>
          <w:noProof/>
        </w:rPr>
        <w:t>(1): S1.</w:t>
      </w:r>
      <w:bookmarkEnd w:id="62"/>
    </w:p>
    <w:p w:rsidR="00F067F1" w:rsidRPr="00291026" w:rsidRDefault="00F067F1" w:rsidP="00291026">
      <w:pPr>
        <w:pStyle w:val="EndNoteBibliography"/>
        <w:spacing w:after="0"/>
        <w:rPr>
          <w:noProof/>
        </w:rPr>
      </w:pPr>
      <w:bookmarkStart w:id="63" w:name="_ENREF_64"/>
      <w:r w:rsidRPr="00291026">
        <w:rPr>
          <w:noProof/>
        </w:rPr>
        <w:t>64.</w:t>
      </w:r>
      <w:r w:rsidRPr="00291026">
        <w:rPr>
          <w:noProof/>
        </w:rPr>
        <w:tab/>
        <w:t xml:space="preserve">Menendez C, Lucas A, Munguambe K, Langer A. Ebola crisis: the unequal impact on women and children's health. </w:t>
      </w:r>
      <w:r w:rsidRPr="00291026">
        <w:rPr>
          <w:i/>
          <w:noProof/>
        </w:rPr>
        <w:t>The Lancet Global health</w:t>
      </w:r>
      <w:r w:rsidRPr="00291026">
        <w:rPr>
          <w:noProof/>
        </w:rPr>
        <w:t xml:space="preserve"> 2015; </w:t>
      </w:r>
      <w:r w:rsidRPr="00291026">
        <w:rPr>
          <w:b/>
          <w:noProof/>
        </w:rPr>
        <w:t>3</w:t>
      </w:r>
      <w:r w:rsidRPr="00291026">
        <w:rPr>
          <w:noProof/>
        </w:rPr>
        <w:t>(3): e130.</w:t>
      </w:r>
      <w:bookmarkEnd w:id="63"/>
    </w:p>
    <w:p w:rsidR="00F067F1" w:rsidRPr="00291026" w:rsidRDefault="00F067F1" w:rsidP="00291026">
      <w:pPr>
        <w:pStyle w:val="EndNoteBibliography"/>
        <w:spacing w:after="0"/>
        <w:rPr>
          <w:noProof/>
        </w:rPr>
      </w:pPr>
      <w:bookmarkStart w:id="64" w:name="_ENREF_65"/>
      <w:r w:rsidRPr="00291026">
        <w:rPr>
          <w:noProof/>
        </w:rPr>
        <w:t>65.</w:t>
      </w:r>
      <w:r w:rsidRPr="00291026">
        <w:rPr>
          <w:noProof/>
        </w:rPr>
        <w:tab/>
        <w:t xml:space="preserve">Arsenault C, Fournier P, Philibert A, et al. Emergency obstetric care in Mali: catastrophic spending and its impoverishing effects on households. </w:t>
      </w:r>
      <w:r w:rsidRPr="00291026">
        <w:rPr>
          <w:i/>
          <w:noProof/>
        </w:rPr>
        <w:t>Bulletin of the World Health Organization</w:t>
      </w:r>
      <w:r w:rsidRPr="00291026">
        <w:rPr>
          <w:noProof/>
        </w:rPr>
        <w:t xml:space="preserve"> 2013; </w:t>
      </w:r>
      <w:r w:rsidRPr="00291026">
        <w:rPr>
          <w:b/>
          <w:noProof/>
        </w:rPr>
        <w:t>91</w:t>
      </w:r>
      <w:r w:rsidRPr="00291026">
        <w:rPr>
          <w:noProof/>
        </w:rPr>
        <w:t>(3): 207-16.</w:t>
      </w:r>
      <w:bookmarkEnd w:id="64"/>
    </w:p>
    <w:p w:rsidR="00F067F1" w:rsidRPr="00291026" w:rsidRDefault="00F067F1" w:rsidP="00291026">
      <w:pPr>
        <w:pStyle w:val="EndNoteBibliography"/>
        <w:spacing w:after="0"/>
        <w:rPr>
          <w:noProof/>
        </w:rPr>
      </w:pPr>
      <w:bookmarkStart w:id="65" w:name="_ENREF_66"/>
      <w:r w:rsidRPr="00291026">
        <w:rPr>
          <w:noProof/>
        </w:rPr>
        <w:t>66.</w:t>
      </w:r>
      <w:r w:rsidRPr="00291026">
        <w:rPr>
          <w:noProof/>
        </w:rPr>
        <w:tab/>
        <w:t xml:space="preserve">Comfort AB, Peterson LA, Hatt LE. Effect of health insurance on the use and provision of maternal health services and maternal and neonatal health outcomes: a systematic review. </w:t>
      </w:r>
      <w:r w:rsidRPr="00291026">
        <w:rPr>
          <w:i/>
          <w:noProof/>
        </w:rPr>
        <w:t>Journal of health, population, and nutrition</w:t>
      </w:r>
      <w:r w:rsidRPr="00291026">
        <w:rPr>
          <w:noProof/>
        </w:rPr>
        <w:t xml:space="preserve"> 2013; </w:t>
      </w:r>
      <w:r w:rsidRPr="00291026">
        <w:rPr>
          <w:b/>
          <w:noProof/>
        </w:rPr>
        <w:t>31</w:t>
      </w:r>
      <w:r w:rsidRPr="00291026">
        <w:rPr>
          <w:noProof/>
        </w:rPr>
        <w:t>(4 Suppl 2): 81-105.</w:t>
      </w:r>
      <w:bookmarkEnd w:id="65"/>
    </w:p>
    <w:p w:rsidR="00F067F1" w:rsidRPr="00291026" w:rsidRDefault="00F067F1" w:rsidP="00291026">
      <w:pPr>
        <w:pStyle w:val="EndNoteBibliography"/>
        <w:spacing w:after="0"/>
        <w:rPr>
          <w:noProof/>
        </w:rPr>
      </w:pPr>
      <w:bookmarkStart w:id="66" w:name="_ENREF_67"/>
      <w:r w:rsidRPr="00291026">
        <w:rPr>
          <w:noProof/>
        </w:rPr>
        <w:t>67.</w:t>
      </w:r>
      <w:r w:rsidRPr="00291026">
        <w:rPr>
          <w:noProof/>
        </w:rPr>
        <w:tab/>
        <w:t xml:space="preserve">Bassani DG, Arora P, Wazny K, Gaffey MF, Lenters L, Bhutta ZA. Financial incentives and coverage of child health interventions: a systematic review and meta-analysis. </w:t>
      </w:r>
      <w:r w:rsidRPr="00291026">
        <w:rPr>
          <w:i/>
          <w:noProof/>
        </w:rPr>
        <w:t>BMC Public Health</w:t>
      </w:r>
      <w:r w:rsidRPr="00291026">
        <w:rPr>
          <w:noProof/>
        </w:rPr>
        <w:t xml:space="preserve"> 2013; </w:t>
      </w:r>
      <w:r w:rsidRPr="00291026">
        <w:rPr>
          <w:b/>
          <w:noProof/>
        </w:rPr>
        <w:t>13 Suppl 3</w:t>
      </w:r>
      <w:r w:rsidRPr="00291026">
        <w:rPr>
          <w:noProof/>
        </w:rPr>
        <w:t>: S30.</w:t>
      </w:r>
      <w:bookmarkEnd w:id="66"/>
    </w:p>
    <w:p w:rsidR="00F067F1" w:rsidRPr="00291026" w:rsidRDefault="00F067F1" w:rsidP="00291026">
      <w:pPr>
        <w:pStyle w:val="EndNoteBibliography"/>
        <w:spacing w:after="0"/>
        <w:rPr>
          <w:noProof/>
        </w:rPr>
      </w:pPr>
      <w:bookmarkStart w:id="67" w:name="_ENREF_68"/>
      <w:r w:rsidRPr="00291026">
        <w:rPr>
          <w:noProof/>
        </w:rPr>
        <w:t>68.</w:t>
      </w:r>
      <w:r w:rsidRPr="00291026">
        <w:rPr>
          <w:noProof/>
        </w:rPr>
        <w:tab/>
        <w:t xml:space="preserve">Hatt LE, Makinen M, Madhavan S, Conlon CM. Effects of user fee exemptions on the provision and use of maternal health services: a review of literature. </w:t>
      </w:r>
      <w:r w:rsidRPr="00291026">
        <w:rPr>
          <w:i/>
          <w:noProof/>
        </w:rPr>
        <w:t>Journal of health, population, and nutrition</w:t>
      </w:r>
      <w:r w:rsidRPr="00291026">
        <w:rPr>
          <w:noProof/>
        </w:rPr>
        <w:t xml:space="preserve"> 2013; </w:t>
      </w:r>
      <w:r w:rsidRPr="00291026">
        <w:rPr>
          <w:b/>
          <w:noProof/>
        </w:rPr>
        <w:t>31</w:t>
      </w:r>
      <w:r w:rsidRPr="00291026">
        <w:rPr>
          <w:noProof/>
        </w:rPr>
        <w:t>(4 Suppl 2): 67-80.</w:t>
      </w:r>
      <w:bookmarkEnd w:id="67"/>
    </w:p>
    <w:p w:rsidR="00F067F1" w:rsidRPr="00291026" w:rsidRDefault="00F067F1" w:rsidP="00291026">
      <w:pPr>
        <w:pStyle w:val="EndNoteBibliography"/>
        <w:spacing w:after="0"/>
        <w:rPr>
          <w:noProof/>
        </w:rPr>
      </w:pPr>
      <w:bookmarkStart w:id="68" w:name="_ENREF_69"/>
      <w:r w:rsidRPr="00291026">
        <w:rPr>
          <w:noProof/>
        </w:rPr>
        <w:t>69.</w:t>
      </w:r>
      <w:r w:rsidRPr="00291026">
        <w:rPr>
          <w:noProof/>
        </w:rPr>
        <w:tab/>
        <w:t xml:space="preserve">McKinnon B, Harper S, Kaufman JS. Who benefits from removing user fees for facility-based delivery services? Evidence on socioeconomic differences from Ghana, Senegal and Sierra Leone. </w:t>
      </w:r>
      <w:r w:rsidRPr="00291026">
        <w:rPr>
          <w:i/>
          <w:noProof/>
        </w:rPr>
        <w:t>Social science &amp; medicine (1982)</w:t>
      </w:r>
      <w:r w:rsidRPr="00291026">
        <w:rPr>
          <w:noProof/>
        </w:rPr>
        <w:t xml:space="preserve"> 2015; </w:t>
      </w:r>
      <w:r w:rsidRPr="00291026">
        <w:rPr>
          <w:b/>
          <w:noProof/>
        </w:rPr>
        <w:t>135</w:t>
      </w:r>
      <w:r w:rsidRPr="00291026">
        <w:rPr>
          <w:noProof/>
        </w:rPr>
        <w:t>: 117-23.</w:t>
      </w:r>
      <w:bookmarkEnd w:id="68"/>
    </w:p>
    <w:p w:rsidR="00F067F1" w:rsidRPr="00291026" w:rsidRDefault="00F067F1" w:rsidP="00291026">
      <w:pPr>
        <w:pStyle w:val="EndNoteBibliography"/>
        <w:spacing w:after="0"/>
        <w:rPr>
          <w:noProof/>
        </w:rPr>
      </w:pPr>
      <w:bookmarkStart w:id="69" w:name="_ENREF_70"/>
      <w:r w:rsidRPr="00291026">
        <w:rPr>
          <w:noProof/>
        </w:rPr>
        <w:t>70.</w:t>
      </w:r>
      <w:r w:rsidRPr="00291026">
        <w:rPr>
          <w:noProof/>
        </w:rPr>
        <w:tab/>
        <w:t xml:space="preserve">The World Bank Group. Universal Health Coverage Study Series (UNICO). 2016. </w:t>
      </w:r>
      <w:r w:rsidRPr="00F067F1">
        <w:rPr>
          <w:noProof/>
        </w:rPr>
        <w:t>http://www.worldbank.org/en/topic/health/publication/universal-health-coverage-study-series</w:t>
      </w:r>
      <w:r w:rsidRPr="00291026">
        <w:rPr>
          <w:noProof/>
        </w:rPr>
        <w:t xml:space="preserve"> (accessed 13/01 2016).</w:t>
      </w:r>
      <w:bookmarkEnd w:id="69"/>
    </w:p>
    <w:p w:rsidR="00F067F1" w:rsidRPr="00291026" w:rsidRDefault="00F067F1" w:rsidP="00291026">
      <w:pPr>
        <w:pStyle w:val="EndNoteBibliography"/>
        <w:spacing w:after="0"/>
        <w:rPr>
          <w:noProof/>
        </w:rPr>
      </w:pPr>
      <w:bookmarkStart w:id="70" w:name="_ENREF_71"/>
      <w:r w:rsidRPr="00291026">
        <w:rPr>
          <w:noProof/>
        </w:rPr>
        <w:t>71.</w:t>
      </w:r>
      <w:r w:rsidRPr="00291026">
        <w:rPr>
          <w:noProof/>
        </w:rPr>
        <w:tab/>
        <w:t xml:space="preserve">Kruk ME, Kujawski S, Moyer CA, et al. Next generation maternal health: external shocks and health system innovations. </w:t>
      </w:r>
      <w:r w:rsidRPr="00291026">
        <w:rPr>
          <w:i/>
          <w:noProof/>
        </w:rPr>
        <w:t>The Lancet</w:t>
      </w:r>
      <w:r w:rsidRPr="00291026">
        <w:rPr>
          <w:noProof/>
        </w:rPr>
        <w:t xml:space="preserve"> 2016; </w:t>
      </w:r>
      <w:r w:rsidRPr="00291026">
        <w:rPr>
          <w:b/>
          <w:noProof/>
        </w:rPr>
        <w:t>Forthcoming</w:t>
      </w:r>
      <w:r w:rsidRPr="00291026">
        <w:rPr>
          <w:noProof/>
        </w:rPr>
        <w:t>.</w:t>
      </w:r>
      <w:bookmarkEnd w:id="70"/>
    </w:p>
    <w:p w:rsidR="00F067F1" w:rsidRPr="00291026" w:rsidRDefault="00F067F1" w:rsidP="00291026">
      <w:pPr>
        <w:pStyle w:val="EndNoteBibliography"/>
        <w:spacing w:after="0"/>
        <w:rPr>
          <w:noProof/>
        </w:rPr>
      </w:pPr>
      <w:bookmarkStart w:id="71" w:name="_ENREF_72"/>
      <w:r w:rsidRPr="00291026">
        <w:rPr>
          <w:noProof/>
        </w:rPr>
        <w:t>72.</w:t>
      </w:r>
      <w:r w:rsidRPr="00291026">
        <w:rPr>
          <w:noProof/>
        </w:rPr>
        <w:tab/>
        <w:t xml:space="preserve">Campbell J, Cometto G, Rasanathan K, et al. Improving the resilience and workforce of health systems for women's, children's, and adolescents' health. </w:t>
      </w:r>
      <w:r w:rsidRPr="00291026">
        <w:rPr>
          <w:i/>
          <w:noProof/>
        </w:rPr>
        <w:t>BMJ (Clinical research ed)</w:t>
      </w:r>
      <w:r w:rsidRPr="00291026">
        <w:rPr>
          <w:noProof/>
        </w:rPr>
        <w:t xml:space="preserve"> 2015; </w:t>
      </w:r>
      <w:r w:rsidRPr="00291026">
        <w:rPr>
          <w:b/>
          <w:noProof/>
        </w:rPr>
        <w:t>351</w:t>
      </w:r>
      <w:r w:rsidRPr="00291026">
        <w:rPr>
          <w:noProof/>
        </w:rPr>
        <w:t>: h4148.</w:t>
      </w:r>
      <w:bookmarkEnd w:id="71"/>
    </w:p>
    <w:p w:rsidR="00F067F1" w:rsidRPr="00291026" w:rsidRDefault="00F067F1" w:rsidP="00291026">
      <w:pPr>
        <w:pStyle w:val="EndNoteBibliography"/>
        <w:spacing w:after="0"/>
        <w:rPr>
          <w:noProof/>
        </w:rPr>
      </w:pPr>
      <w:bookmarkStart w:id="72" w:name="_ENREF_73"/>
      <w:r w:rsidRPr="00291026">
        <w:rPr>
          <w:noProof/>
        </w:rPr>
        <w:t>73.</w:t>
      </w:r>
      <w:r w:rsidRPr="00291026">
        <w:rPr>
          <w:noProof/>
        </w:rPr>
        <w:tab/>
        <w:t xml:space="preserve">Campbell J. The route to effective coverage is through the health worker: there are no shortcuts. </w:t>
      </w:r>
      <w:r w:rsidRPr="00291026">
        <w:rPr>
          <w:i/>
          <w:noProof/>
        </w:rPr>
        <w:t>Lancet (London, England)</w:t>
      </w:r>
      <w:r w:rsidRPr="00291026">
        <w:rPr>
          <w:noProof/>
        </w:rPr>
        <w:t xml:space="preserve"> 2013; </w:t>
      </w:r>
      <w:r w:rsidRPr="00291026">
        <w:rPr>
          <w:b/>
          <w:noProof/>
        </w:rPr>
        <w:t>381</w:t>
      </w:r>
      <w:r w:rsidRPr="00291026">
        <w:rPr>
          <w:noProof/>
        </w:rPr>
        <w:t>(9868): 725.</w:t>
      </w:r>
      <w:bookmarkEnd w:id="72"/>
    </w:p>
    <w:p w:rsidR="00F067F1" w:rsidRPr="00291026" w:rsidRDefault="00F067F1" w:rsidP="00291026">
      <w:pPr>
        <w:pStyle w:val="EndNoteBibliography"/>
        <w:spacing w:after="0"/>
        <w:rPr>
          <w:noProof/>
        </w:rPr>
      </w:pPr>
      <w:bookmarkStart w:id="73" w:name="_ENREF_74"/>
      <w:r w:rsidRPr="00291026">
        <w:rPr>
          <w:noProof/>
        </w:rPr>
        <w:t>74.</w:t>
      </w:r>
      <w:r w:rsidRPr="00291026">
        <w:rPr>
          <w:noProof/>
        </w:rPr>
        <w:tab/>
        <w:t>World Health Organization. WHO Global Strategy on Human Resources for Health: Workforce 2030. Geneva, Switzerland; 2016.</w:t>
      </w:r>
      <w:bookmarkEnd w:id="73"/>
    </w:p>
    <w:p w:rsidR="00F067F1" w:rsidRPr="00291026" w:rsidRDefault="00F067F1" w:rsidP="00291026">
      <w:pPr>
        <w:pStyle w:val="EndNoteBibliography"/>
        <w:spacing w:after="0"/>
        <w:rPr>
          <w:noProof/>
        </w:rPr>
      </w:pPr>
      <w:bookmarkStart w:id="74" w:name="_ENREF_75"/>
      <w:r w:rsidRPr="00291026">
        <w:rPr>
          <w:noProof/>
        </w:rPr>
        <w:t>75.</w:t>
      </w:r>
      <w:r w:rsidRPr="00291026">
        <w:rPr>
          <w:noProof/>
        </w:rPr>
        <w:tab/>
        <w:t>Campbell J, Dussault G, Buchan J, et al. A universal truth: no health without a workforce. Forum Report, Third Global Forum on Human Resources for Health, Recife, Brazil. Geneva: Global Health Workforce Alliance and World Health Organization, 2013.</w:t>
      </w:r>
      <w:bookmarkEnd w:id="74"/>
    </w:p>
    <w:p w:rsidR="00F067F1" w:rsidRPr="00291026" w:rsidRDefault="00F067F1" w:rsidP="00291026">
      <w:pPr>
        <w:pStyle w:val="EndNoteBibliography"/>
        <w:spacing w:after="0"/>
        <w:rPr>
          <w:noProof/>
        </w:rPr>
      </w:pPr>
      <w:bookmarkStart w:id="75" w:name="_ENREF_76"/>
      <w:r w:rsidRPr="00291026">
        <w:rPr>
          <w:noProof/>
        </w:rPr>
        <w:t>76.</w:t>
      </w:r>
      <w:r w:rsidRPr="00291026">
        <w:rPr>
          <w:noProof/>
        </w:rPr>
        <w:tab/>
        <w:t>UNFPA. The State of the World’s Midwifery 2014: A Universal Pathway. A Woman's Right to Health: UNFPA, 2014.</w:t>
      </w:r>
      <w:bookmarkEnd w:id="75"/>
    </w:p>
    <w:p w:rsidR="00F067F1" w:rsidRPr="00291026" w:rsidRDefault="00F067F1" w:rsidP="00291026">
      <w:pPr>
        <w:pStyle w:val="EndNoteBibliography"/>
        <w:spacing w:after="0"/>
        <w:rPr>
          <w:noProof/>
        </w:rPr>
      </w:pPr>
      <w:bookmarkStart w:id="76" w:name="_ENREF_77"/>
      <w:r w:rsidRPr="00291026">
        <w:rPr>
          <w:noProof/>
        </w:rPr>
        <w:t>77.</w:t>
      </w:r>
      <w:r w:rsidRPr="00291026">
        <w:rPr>
          <w:noProof/>
        </w:rPr>
        <w:tab/>
        <w:t xml:space="preserve">Lewin S, Munabi-Babigumira S, Glenton C, et al. Lay health workers in primary and community health care for maternal and child health and the management of infectious diseases. </w:t>
      </w:r>
      <w:r w:rsidRPr="00291026">
        <w:rPr>
          <w:i/>
          <w:noProof/>
        </w:rPr>
        <w:t>The Cochrane database of systematic reviews</w:t>
      </w:r>
      <w:r w:rsidRPr="00291026">
        <w:rPr>
          <w:noProof/>
        </w:rPr>
        <w:t xml:space="preserve"> 2010; (3): Cd004015.</w:t>
      </w:r>
      <w:bookmarkEnd w:id="76"/>
    </w:p>
    <w:p w:rsidR="00F067F1" w:rsidRPr="00291026" w:rsidRDefault="00F067F1" w:rsidP="00291026">
      <w:pPr>
        <w:pStyle w:val="EndNoteBibliography"/>
        <w:spacing w:after="0"/>
        <w:rPr>
          <w:noProof/>
        </w:rPr>
      </w:pPr>
      <w:bookmarkStart w:id="77" w:name="_ENREF_78"/>
      <w:r w:rsidRPr="00291026">
        <w:rPr>
          <w:noProof/>
        </w:rPr>
        <w:t>78.</w:t>
      </w:r>
      <w:r w:rsidRPr="00291026">
        <w:rPr>
          <w:noProof/>
        </w:rPr>
        <w:tab/>
        <w:t xml:space="preserve">Lassi ZS, Cometto G, Huicho L, Bhutta ZA. Quality of care provided by mid-level health workers: systematic review and meta-analysis. </w:t>
      </w:r>
      <w:r w:rsidRPr="00291026">
        <w:rPr>
          <w:i/>
          <w:noProof/>
        </w:rPr>
        <w:t>Bulletin of the World Health Organization</w:t>
      </w:r>
      <w:r w:rsidRPr="00291026">
        <w:rPr>
          <w:noProof/>
        </w:rPr>
        <w:t xml:space="preserve"> 2013; </w:t>
      </w:r>
      <w:r w:rsidRPr="00291026">
        <w:rPr>
          <w:b/>
          <w:noProof/>
        </w:rPr>
        <w:t>91</w:t>
      </w:r>
      <w:r w:rsidRPr="00291026">
        <w:rPr>
          <w:noProof/>
        </w:rPr>
        <w:t>(11): 824-33i.</w:t>
      </w:r>
      <w:bookmarkEnd w:id="77"/>
    </w:p>
    <w:p w:rsidR="00F067F1" w:rsidRPr="00291026" w:rsidRDefault="00F067F1" w:rsidP="00291026">
      <w:pPr>
        <w:pStyle w:val="EndNoteBibliography"/>
        <w:spacing w:after="0"/>
        <w:rPr>
          <w:noProof/>
        </w:rPr>
      </w:pPr>
      <w:bookmarkStart w:id="78" w:name="_ENREF_79"/>
      <w:r w:rsidRPr="00291026">
        <w:rPr>
          <w:noProof/>
        </w:rPr>
        <w:t>79.</w:t>
      </w:r>
      <w:r w:rsidRPr="00291026">
        <w:rPr>
          <w:noProof/>
        </w:rPr>
        <w:tab/>
        <w:t>UNFPA, World Health Organization. Conducting a Sexual, Reproductive, Maternal, Newborn and Adolescent Health Workforce Assessment 2015.</w:t>
      </w:r>
      <w:bookmarkEnd w:id="78"/>
    </w:p>
    <w:p w:rsidR="00F067F1" w:rsidRPr="00291026" w:rsidRDefault="00F067F1" w:rsidP="00291026">
      <w:pPr>
        <w:pStyle w:val="EndNoteBibliography"/>
        <w:spacing w:after="0"/>
        <w:rPr>
          <w:noProof/>
        </w:rPr>
      </w:pPr>
      <w:bookmarkStart w:id="79" w:name="_ENREF_80"/>
      <w:r w:rsidRPr="00291026">
        <w:rPr>
          <w:noProof/>
        </w:rPr>
        <w:t>80.</w:t>
      </w:r>
      <w:r w:rsidRPr="00291026">
        <w:rPr>
          <w:noProof/>
        </w:rPr>
        <w:tab/>
        <w:t xml:space="preserve">Bloom DE, Canning D. Policy forum: public health. The health and wealth of nations. </w:t>
      </w:r>
      <w:r w:rsidRPr="00291026">
        <w:rPr>
          <w:i/>
          <w:noProof/>
        </w:rPr>
        <w:t>Science (New York, NY)</w:t>
      </w:r>
      <w:r w:rsidRPr="00291026">
        <w:rPr>
          <w:noProof/>
        </w:rPr>
        <w:t xml:space="preserve"> 2000; </w:t>
      </w:r>
      <w:r w:rsidRPr="00291026">
        <w:rPr>
          <w:b/>
          <w:noProof/>
        </w:rPr>
        <w:t>287</w:t>
      </w:r>
      <w:r w:rsidRPr="00291026">
        <w:rPr>
          <w:noProof/>
        </w:rPr>
        <w:t>(5456): 1207, 9.</w:t>
      </w:r>
      <w:bookmarkEnd w:id="79"/>
    </w:p>
    <w:p w:rsidR="00F067F1" w:rsidRPr="00291026" w:rsidRDefault="00F067F1" w:rsidP="00291026">
      <w:pPr>
        <w:pStyle w:val="EndNoteBibliography"/>
        <w:spacing w:after="0"/>
        <w:rPr>
          <w:noProof/>
        </w:rPr>
      </w:pPr>
      <w:bookmarkStart w:id="80" w:name="_ENREF_81"/>
      <w:r w:rsidRPr="00291026">
        <w:rPr>
          <w:noProof/>
        </w:rPr>
        <w:t>81.</w:t>
      </w:r>
      <w:r w:rsidRPr="00291026">
        <w:rPr>
          <w:noProof/>
        </w:rPr>
        <w:tab/>
        <w:t>Bloom DE, Canning D, Sevilla J. Health, worker productivity, and economic growth.</w:t>
      </w:r>
      <w:r>
        <w:rPr>
          <w:noProof/>
        </w:rPr>
        <w:t xml:space="preserve"> </w:t>
      </w:r>
      <w:r w:rsidRPr="00291026">
        <w:rPr>
          <w:noProof/>
        </w:rPr>
        <w:t>13th annual Health Economics Conference; 2002.</w:t>
      </w:r>
      <w:bookmarkEnd w:id="80"/>
    </w:p>
    <w:p w:rsidR="00F067F1" w:rsidRPr="00291026" w:rsidRDefault="00F067F1" w:rsidP="00291026">
      <w:pPr>
        <w:pStyle w:val="EndNoteBibliography"/>
        <w:spacing w:after="0"/>
        <w:rPr>
          <w:noProof/>
        </w:rPr>
      </w:pPr>
      <w:bookmarkStart w:id="81" w:name="_ENREF_82"/>
      <w:r w:rsidRPr="00291026">
        <w:rPr>
          <w:noProof/>
        </w:rPr>
        <w:t>82.</w:t>
      </w:r>
      <w:r w:rsidRPr="00291026">
        <w:rPr>
          <w:noProof/>
        </w:rPr>
        <w:tab/>
        <w:t xml:space="preserve">Bloom DE, Canning D, Sevilla J. The Effect of Health on Economic Growth: A Production Function Approach. </w:t>
      </w:r>
      <w:r w:rsidRPr="00291026">
        <w:rPr>
          <w:i/>
          <w:noProof/>
        </w:rPr>
        <w:t>World Development</w:t>
      </w:r>
      <w:r w:rsidRPr="00291026">
        <w:rPr>
          <w:noProof/>
        </w:rPr>
        <w:t xml:space="preserve"> 2004; </w:t>
      </w:r>
      <w:r w:rsidRPr="00291026">
        <w:rPr>
          <w:b/>
          <w:noProof/>
        </w:rPr>
        <w:t>32</w:t>
      </w:r>
      <w:r w:rsidRPr="00291026">
        <w:rPr>
          <w:noProof/>
        </w:rPr>
        <w:t>(1): 1-13.</w:t>
      </w:r>
      <w:bookmarkEnd w:id="81"/>
    </w:p>
    <w:p w:rsidR="00F067F1" w:rsidRPr="00291026" w:rsidRDefault="00F067F1" w:rsidP="00291026">
      <w:pPr>
        <w:pStyle w:val="EndNoteBibliography"/>
        <w:spacing w:after="0"/>
        <w:rPr>
          <w:noProof/>
        </w:rPr>
      </w:pPr>
      <w:bookmarkStart w:id="82" w:name="_ENREF_83"/>
      <w:r w:rsidRPr="00291026">
        <w:rPr>
          <w:noProof/>
        </w:rPr>
        <w:t>83.</w:t>
      </w:r>
      <w:r w:rsidRPr="00291026">
        <w:rPr>
          <w:noProof/>
        </w:rPr>
        <w:tab/>
        <w:t xml:space="preserve">Stenberg K, Axelson H, Sheehan P, et al. Advancing social and economic development by investing in women's and children's health: a new Global Investment Framework. </w:t>
      </w:r>
      <w:r w:rsidRPr="00291026">
        <w:rPr>
          <w:i/>
          <w:noProof/>
        </w:rPr>
        <w:t>Lancet (London, England)</w:t>
      </w:r>
      <w:r w:rsidRPr="00291026">
        <w:rPr>
          <w:noProof/>
        </w:rPr>
        <w:t xml:space="preserve"> 2014; </w:t>
      </w:r>
      <w:r w:rsidRPr="00291026">
        <w:rPr>
          <w:b/>
          <w:noProof/>
        </w:rPr>
        <w:t>383</w:t>
      </w:r>
      <w:r w:rsidRPr="00291026">
        <w:rPr>
          <w:noProof/>
        </w:rPr>
        <w:t>(9925): 1333-54.</w:t>
      </w:r>
      <w:bookmarkEnd w:id="82"/>
    </w:p>
    <w:p w:rsidR="00F067F1" w:rsidRPr="00291026" w:rsidRDefault="00F067F1" w:rsidP="00291026">
      <w:pPr>
        <w:pStyle w:val="EndNoteBibliography"/>
        <w:spacing w:after="0"/>
        <w:rPr>
          <w:noProof/>
        </w:rPr>
      </w:pPr>
      <w:bookmarkStart w:id="83" w:name="_ENREF_84"/>
      <w:r w:rsidRPr="00291026">
        <w:rPr>
          <w:noProof/>
        </w:rPr>
        <w:t>84.</w:t>
      </w:r>
      <w:r w:rsidRPr="00291026">
        <w:rPr>
          <w:noProof/>
        </w:rPr>
        <w:tab/>
        <w:t xml:space="preserve">Desalegn H, Solberg E, Kim JY. The Global Financing Facility: country investments for every woman, adolescent, and child. </w:t>
      </w:r>
      <w:r w:rsidRPr="00291026">
        <w:rPr>
          <w:i/>
          <w:noProof/>
        </w:rPr>
        <w:t>Lancet (London, England)</w:t>
      </w:r>
      <w:r w:rsidRPr="00291026">
        <w:rPr>
          <w:noProof/>
        </w:rPr>
        <w:t xml:space="preserve"> 2015; </w:t>
      </w:r>
      <w:r w:rsidRPr="00291026">
        <w:rPr>
          <w:b/>
          <w:noProof/>
        </w:rPr>
        <w:t>386</w:t>
      </w:r>
      <w:r w:rsidRPr="00291026">
        <w:rPr>
          <w:noProof/>
        </w:rPr>
        <w:t>(9989): 105-6.</w:t>
      </w:r>
      <w:bookmarkEnd w:id="83"/>
    </w:p>
    <w:p w:rsidR="00F067F1" w:rsidRPr="00291026" w:rsidRDefault="00F067F1" w:rsidP="00291026">
      <w:pPr>
        <w:pStyle w:val="EndNoteBibliography"/>
        <w:spacing w:after="0"/>
        <w:rPr>
          <w:noProof/>
        </w:rPr>
      </w:pPr>
      <w:bookmarkStart w:id="84" w:name="_ENREF_85"/>
      <w:r w:rsidRPr="00291026">
        <w:rPr>
          <w:noProof/>
        </w:rPr>
        <w:t>85.</w:t>
      </w:r>
      <w:r w:rsidRPr="00291026">
        <w:rPr>
          <w:noProof/>
        </w:rPr>
        <w:tab/>
        <w:t xml:space="preserve">Borghi J, Ensor T, Somanathan A, Lissner C, Mills A, Lancet Maternal Survival Series steering g. Mobilising financial resources for maternal health. </w:t>
      </w:r>
      <w:r w:rsidRPr="00291026">
        <w:rPr>
          <w:i/>
          <w:noProof/>
        </w:rPr>
        <w:t>Lancet (London, England)</w:t>
      </w:r>
      <w:r w:rsidRPr="00291026">
        <w:rPr>
          <w:noProof/>
        </w:rPr>
        <w:t xml:space="preserve"> 2006; </w:t>
      </w:r>
      <w:r w:rsidRPr="00291026">
        <w:rPr>
          <w:b/>
          <w:noProof/>
        </w:rPr>
        <w:t>368</w:t>
      </w:r>
      <w:r w:rsidRPr="00291026">
        <w:rPr>
          <w:noProof/>
        </w:rPr>
        <w:t>(9545): 1457-65.</w:t>
      </w:r>
      <w:bookmarkEnd w:id="84"/>
    </w:p>
    <w:p w:rsidR="00F067F1" w:rsidRPr="00291026" w:rsidRDefault="00F067F1" w:rsidP="00291026">
      <w:pPr>
        <w:pStyle w:val="EndNoteBibliography"/>
        <w:spacing w:after="0"/>
        <w:rPr>
          <w:noProof/>
        </w:rPr>
      </w:pPr>
      <w:bookmarkStart w:id="85" w:name="_ENREF_86"/>
      <w:r w:rsidRPr="00291026">
        <w:rPr>
          <w:noProof/>
        </w:rPr>
        <w:t>86.</w:t>
      </w:r>
      <w:r w:rsidRPr="00291026">
        <w:rPr>
          <w:noProof/>
        </w:rPr>
        <w:tab/>
        <w:t xml:space="preserve">Nandakumar AK, Beswick J, Thomas CP, Wallack SS, Kress D. Pathways of health technology diffusion: the United States and low-income countries. </w:t>
      </w:r>
      <w:r w:rsidRPr="00291026">
        <w:rPr>
          <w:i/>
          <w:noProof/>
        </w:rPr>
        <w:t>Health affairs (Project Hope)</w:t>
      </w:r>
      <w:r w:rsidRPr="00291026">
        <w:rPr>
          <w:noProof/>
        </w:rPr>
        <w:t xml:space="preserve"> 2009; </w:t>
      </w:r>
      <w:r w:rsidRPr="00291026">
        <w:rPr>
          <w:b/>
          <w:noProof/>
        </w:rPr>
        <w:t>28</w:t>
      </w:r>
      <w:r w:rsidRPr="00291026">
        <w:rPr>
          <w:noProof/>
        </w:rPr>
        <w:t>(4): 986-95.</w:t>
      </w:r>
      <w:bookmarkEnd w:id="85"/>
    </w:p>
    <w:p w:rsidR="00F067F1" w:rsidRPr="00291026" w:rsidRDefault="00F067F1" w:rsidP="00291026">
      <w:pPr>
        <w:pStyle w:val="EndNoteBibliography"/>
        <w:spacing w:after="0"/>
        <w:rPr>
          <w:noProof/>
        </w:rPr>
      </w:pPr>
      <w:bookmarkStart w:id="86" w:name="_ENREF_87"/>
      <w:r w:rsidRPr="00291026">
        <w:rPr>
          <w:noProof/>
        </w:rPr>
        <w:t>87.</w:t>
      </w:r>
      <w:r w:rsidRPr="00291026">
        <w:rPr>
          <w:noProof/>
        </w:rPr>
        <w:tab/>
        <w:t>Ke X, Saksena P, Holly A. The Determinants of Health Expenditure: A Country-Level Panel Data Analysis. Geneva, 2011.</w:t>
      </w:r>
      <w:bookmarkEnd w:id="86"/>
    </w:p>
    <w:p w:rsidR="00F067F1" w:rsidRPr="00291026" w:rsidRDefault="00F067F1" w:rsidP="00291026">
      <w:pPr>
        <w:pStyle w:val="EndNoteBibliography"/>
        <w:spacing w:after="0"/>
        <w:rPr>
          <w:noProof/>
        </w:rPr>
      </w:pPr>
      <w:bookmarkStart w:id="87" w:name="_ENREF_88"/>
      <w:r w:rsidRPr="00291026">
        <w:rPr>
          <w:noProof/>
        </w:rPr>
        <w:t>88.</w:t>
      </w:r>
      <w:r w:rsidRPr="00291026">
        <w:rPr>
          <w:noProof/>
        </w:rPr>
        <w:tab/>
        <w:t xml:space="preserve">Dieleman JL, Schneider MT, Haakenstad A, et al. Development assistance for health: past trends, associations, and the future of international financial flows for health. </w:t>
      </w:r>
      <w:r w:rsidRPr="00291026">
        <w:rPr>
          <w:i/>
          <w:noProof/>
        </w:rPr>
        <w:t>The Lancet</w:t>
      </w:r>
      <w:r w:rsidRPr="00291026">
        <w:rPr>
          <w:noProof/>
        </w:rPr>
        <w:t xml:space="preserve"> 2016.</w:t>
      </w:r>
      <w:bookmarkEnd w:id="87"/>
    </w:p>
    <w:p w:rsidR="00F067F1" w:rsidRPr="00291026" w:rsidRDefault="00F067F1" w:rsidP="00291026">
      <w:pPr>
        <w:pStyle w:val="EndNoteBibliography"/>
        <w:spacing w:after="0"/>
        <w:rPr>
          <w:noProof/>
        </w:rPr>
      </w:pPr>
      <w:bookmarkStart w:id="88" w:name="_ENREF_89"/>
      <w:r w:rsidRPr="00291026">
        <w:rPr>
          <w:noProof/>
        </w:rPr>
        <w:t>89.</w:t>
      </w:r>
      <w:r w:rsidRPr="00291026">
        <w:rPr>
          <w:noProof/>
        </w:rPr>
        <w:tab/>
        <w:t xml:space="preserve">Arregoces L, Daly F, Pitt C, et al. Countdown to 2015: changes in official development assistance to reproductive, maternal, newborn, and child health, and assessment of progress between 2003 and 2012. </w:t>
      </w:r>
      <w:r w:rsidRPr="00291026">
        <w:rPr>
          <w:i/>
          <w:noProof/>
        </w:rPr>
        <w:t>The Lancet Global health</w:t>
      </w:r>
      <w:r w:rsidRPr="00291026">
        <w:rPr>
          <w:noProof/>
        </w:rPr>
        <w:t xml:space="preserve"> 2015; </w:t>
      </w:r>
      <w:r w:rsidRPr="00291026">
        <w:rPr>
          <w:b/>
          <w:noProof/>
        </w:rPr>
        <w:t>3</w:t>
      </w:r>
      <w:r w:rsidRPr="00291026">
        <w:rPr>
          <w:noProof/>
        </w:rPr>
        <w:t>(7): e410-21.</w:t>
      </w:r>
      <w:bookmarkEnd w:id="88"/>
    </w:p>
    <w:p w:rsidR="00F067F1" w:rsidRPr="00291026" w:rsidRDefault="00F067F1" w:rsidP="00291026">
      <w:pPr>
        <w:pStyle w:val="EndNoteBibliography"/>
        <w:spacing w:after="0"/>
        <w:rPr>
          <w:noProof/>
        </w:rPr>
      </w:pPr>
      <w:bookmarkStart w:id="89" w:name="_ENREF_90"/>
      <w:r w:rsidRPr="00291026">
        <w:rPr>
          <w:noProof/>
        </w:rPr>
        <w:t>90.</w:t>
      </w:r>
      <w:r w:rsidRPr="00291026">
        <w:rPr>
          <w:noProof/>
        </w:rPr>
        <w:tab/>
        <w:t xml:space="preserve">Dieleman JL, Graves C, Johnson E, et al. Sources and Focus of Health Development Assistance, 1990-2014. </w:t>
      </w:r>
      <w:r w:rsidRPr="00291026">
        <w:rPr>
          <w:i/>
          <w:noProof/>
        </w:rPr>
        <w:t>Jama</w:t>
      </w:r>
      <w:r w:rsidRPr="00291026">
        <w:rPr>
          <w:noProof/>
        </w:rPr>
        <w:t xml:space="preserve"> 2015; </w:t>
      </w:r>
      <w:r w:rsidRPr="00291026">
        <w:rPr>
          <w:b/>
          <w:noProof/>
        </w:rPr>
        <w:t>313</w:t>
      </w:r>
      <w:r w:rsidRPr="00291026">
        <w:rPr>
          <w:noProof/>
        </w:rPr>
        <w:t>(23): 2359-68.</w:t>
      </w:r>
      <w:bookmarkEnd w:id="89"/>
    </w:p>
    <w:p w:rsidR="00F067F1" w:rsidRPr="00291026" w:rsidRDefault="00F067F1" w:rsidP="00291026">
      <w:pPr>
        <w:pStyle w:val="EndNoteBibliography"/>
        <w:spacing w:after="0"/>
        <w:rPr>
          <w:noProof/>
        </w:rPr>
      </w:pPr>
      <w:bookmarkStart w:id="90" w:name="_ENREF_91"/>
      <w:r w:rsidRPr="00291026">
        <w:rPr>
          <w:noProof/>
        </w:rPr>
        <w:t>91.</w:t>
      </w:r>
      <w:r w:rsidRPr="00291026">
        <w:rPr>
          <w:noProof/>
        </w:rPr>
        <w:tab/>
        <w:t xml:space="preserve">Usher AD. Nordic countries divided over Global Financing Facility. </w:t>
      </w:r>
      <w:r w:rsidRPr="00291026">
        <w:rPr>
          <w:i/>
          <w:noProof/>
        </w:rPr>
        <w:t>Lancet (London, England)</w:t>
      </w:r>
      <w:r w:rsidRPr="00291026">
        <w:rPr>
          <w:noProof/>
        </w:rPr>
        <w:t xml:space="preserve"> 2015; </w:t>
      </w:r>
      <w:r w:rsidRPr="00291026">
        <w:rPr>
          <w:b/>
          <w:noProof/>
        </w:rPr>
        <w:t>385</w:t>
      </w:r>
      <w:r w:rsidRPr="00291026">
        <w:rPr>
          <w:noProof/>
        </w:rPr>
        <w:t>(9984): 2239-40.</w:t>
      </w:r>
      <w:bookmarkEnd w:id="90"/>
    </w:p>
    <w:p w:rsidR="00F067F1" w:rsidRPr="00291026" w:rsidRDefault="00F067F1" w:rsidP="00291026">
      <w:pPr>
        <w:pStyle w:val="EndNoteBibliography"/>
        <w:spacing w:after="0"/>
        <w:rPr>
          <w:noProof/>
        </w:rPr>
      </w:pPr>
      <w:bookmarkStart w:id="91" w:name="_ENREF_92"/>
      <w:r w:rsidRPr="00291026">
        <w:rPr>
          <w:noProof/>
        </w:rPr>
        <w:t>92.</w:t>
      </w:r>
      <w:r w:rsidRPr="00291026">
        <w:rPr>
          <w:noProof/>
        </w:rPr>
        <w:tab/>
        <w:t>Langenbrunner J, Cashin C, O’Dougherty S. Designing and implementing health care provider payment systems: how-to manuals. Washington, DC: World Bank; 2009.</w:t>
      </w:r>
      <w:bookmarkEnd w:id="91"/>
    </w:p>
    <w:p w:rsidR="00F067F1" w:rsidRPr="00291026" w:rsidRDefault="00F067F1" w:rsidP="00291026">
      <w:pPr>
        <w:pStyle w:val="EndNoteBibliography"/>
        <w:spacing w:after="0"/>
        <w:rPr>
          <w:noProof/>
        </w:rPr>
      </w:pPr>
      <w:bookmarkStart w:id="92" w:name="_ENREF_93"/>
      <w:r w:rsidRPr="00291026">
        <w:rPr>
          <w:noProof/>
        </w:rPr>
        <w:t>93.</w:t>
      </w:r>
      <w:r w:rsidRPr="00291026">
        <w:rPr>
          <w:noProof/>
        </w:rPr>
        <w:tab/>
        <w:t xml:space="preserve">Busse R, Figueras J, Robinson R, Jakubowski E. Strategic purchasing to improve health system performance: key issues and international trends. </w:t>
      </w:r>
      <w:r w:rsidRPr="00291026">
        <w:rPr>
          <w:i/>
          <w:noProof/>
        </w:rPr>
        <w:t>HealthcarePapers</w:t>
      </w:r>
      <w:r w:rsidRPr="00291026">
        <w:rPr>
          <w:noProof/>
        </w:rPr>
        <w:t xml:space="preserve"> 2007; </w:t>
      </w:r>
      <w:r w:rsidRPr="00291026">
        <w:rPr>
          <w:b/>
          <w:noProof/>
        </w:rPr>
        <w:t>8 Spec No</w:t>
      </w:r>
      <w:r w:rsidRPr="00291026">
        <w:rPr>
          <w:noProof/>
        </w:rPr>
        <w:t>: 62-76.</w:t>
      </w:r>
      <w:bookmarkEnd w:id="92"/>
    </w:p>
    <w:p w:rsidR="00F067F1" w:rsidRPr="00291026" w:rsidRDefault="00F067F1" w:rsidP="00291026">
      <w:pPr>
        <w:pStyle w:val="EndNoteBibliography"/>
        <w:spacing w:after="0"/>
        <w:rPr>
          <w:noProof/>
        </w:rPr>
      </w:pPr>
      <w:bookmarkStart w:id="93" w:name="_ENREF_94"/>
      <w:r w:rsidRPr="00291026">
        <w:rPr>
          <w:noProof/>
        </w:rPr>
        <w:t>94.</w:t>
      </w:r>
      <w:r w:rsidRPr="00291026">
        <w:rPr>
          <w:noProof/>
        </w:rPr>
        <w:tab/>
        <w:t xml:space="preserve">Eichler R, Agarwal K, Askew I, Iriarte E, Morgan L, Watson J. Performance-based incentives to improve health status of mothers and newborns: what does the evidence show? </w:t>
      </w:r>
      <w:r w:rsidRPr="00291026">
        <w:rPr>
          <w:i/>
          <w:noProof/>
        </w:rPr>
        <w:t>Journal of health, population, and nutrition</w:t>
      </w:r>
      <w:r w:rsidRPr="00291026">
        <w:rPr>
          <w:noProof/>
        </w:rPr>
        <w:t xml:space="preserve"> 2013; </w:t>
      </w:r>
      <w:r w:rsidRPr="00291026">
        <w:rPr>
          <w:b/>
          <w:noProof/>
        </w:rPr>
        <w:t>31</w:t>
      </w:r>
      <w:r w:rsidRPr="00291026">
        <w:rPr>
          <w:noProof/>
        </w:rPr>
        <w:t>(4 Suppl 2): 36-47.</w:t>
      </w:r>
      <w:bookmarkEnd w:id="93"/>
    </w:p>
    <w:p w:rsidR="00F067F1" w:rsidRPr="00291026" w:rsidRDefault="00F067F1" w:rsidP="00291026">
      <w:pPr>
        <w:pStyle w:val="EndNoteBibliography"/>
        <w:spacing w:after="0"/>
        <w:rPr>
          <w:noProof/>
        </w:rPr>
      </w:pPr>
      <w:bookmarkStart w:id="94" w:name="_ENREF_95"/>
      <w:r w:rsidRPr="00291026">
        <w:rPr>
          <w:noProof/>
        </w:rPr>
        <w:t>95.</w:t>
      </w:r>
      <w:r w:rsidRPr="00291026">
        <w:rPr>
          <w:noProof/>
        </w:rPr>
        <w:tab/>
        <w:t xml:space="preserve">Morgan L, Stanton ME, Higgs ES, et al. Financial incentives and maternal health: where do we go from here? </w:t>
      </w:r>
      <w:r w:rsidRPr="00291026">
        <w:rPr>
          <w:i/>
          <w:noProof/>
        </w:rPr>
        <w:t>Journal of health, population, and nutrition</w:t>
      </w:r>
      <w:r w:rsidRPr="00291026">
        <w:rPr>
          <w:noProof/>
        </w:rPr>
        <w:t xml:space="preserve"> 2013; </w:t>
      </w:r>
      <w:r w:rsidRPr="00291026">
        <w:rPr>
          <w:b/>
          <w:noProof/>
        </w:rPr>
        <w:t>31</w:t>
      </w:r>
      <w:r w:rsidRPr="00291026">
        <w:rPr>
          <w:noProof/>
        </w:rPr>
        <w:t>(4 Suppl 2): 8-22.</w:t>
      </w:r>
      <w:bookmarkEnd w:id="94"/>
    </w:p>
    <w:p w:rsidR="00F067F1" w:rsidRPr="00291026" w:rsidRDefault="00F067F1" w:rsidP="00291026">
      <w:pPr>
        <w:pStyle w:val="EndNoteBibliography"/>
        <w:spacing w:after="0"/>
        <w:rPr>
          <w:noProof/>
        </w:rPr>
      </w:pPr>
      <w:bookmarkStart w:id="95" w:name="_ENREF_96"/>
      <w:r w:rsidRPr="00291026">
        <w:rPr>
          <w:noProof/>
        </w:rPr>
        <w:t>96.</w:t>
      </w:r>
      <w:r w:rsidRPr="00291026">
        <w:rPr>
          <w:noProof/>
        </w:rPr>
        <w:tab/>
        <w:t xml:space="preserve">Benova L, Macleod D, Footman K, Cavallaro F, Lynch CA, Campbell OM. Role of the private sector in childbirth care: cross-sectional survey evidence from 57 low- and middle-income countries using Demographic and Health Surveys. </w:t>
      </w:r>
      <w:r w:rsidRPr="00291026">
        <w:rPr>
          <w:i/>
          <w:noProof/>
        </w:rPr>
        <w:t>Tropical medicine &amp; international health : TM &amp; IH</w:t>
      </w:r>
      <w:r w:rsidRPr="00291026">
        <w:rPr>
          <w:noProof/>
        </w:rPr>
        <w:t xml:space="preserve"> 2015; </w:t>
      </w:r>
      <w:r w:rsidRPr="00291026">
        <w:rPr>
          <w:b/>
          <w:noProof/>
        </w:rPr>
        <w:t>20</w:t>
      </w:r>
      <w:r w:rsidRPr="00291026">
        <w:rPr>
          <w:noProof/>
        </w:rPr>
        <w:t>(12): 1657-73.</w:t>
      </w:r>
      <w:bookmarkEnd w:id="95"/>
    </w:p>
    <w:p w:rsidR="00F067F1" w:rsidRPr="00291026" w:rsidRDefault="00F067F1" w:rsidP="00291026">
      <w:pPr>
        <w:pStyle w:val="EndNoteBibliography"/>
        <w:spacing w:after="0"/>
        <w:rPr>
          <w:noProof/>
        </w:rPr>
      </w:pPr>
      <w:bookmarkStart w:id="96" w:name="_ENREF_97"/>
      <w:r w:rsidRPr="00291026">
        <w:rPr>
          <w:noProof/>
        </w:rPr>
        <w:t>97.</w:t>
      </w:r>
      <w:r w:rsidRPr="00291026">
        <w:rPr>
          <w:noProof/>
        </w:rPr>
        <w:tab/>
        <w:t xml:space="preserve">Horton R, Clark S. The perils and possibilities of the private health sector. </w:t>
      </w:r>
      <w:r w:rsidRPr="00291026">
        <w:rPr>
          <w:i/>
          <w:noProof/>
        </w:rPr>
        <w:t>The Lancet</w:t>
      </w:r>
      <w:r w:rsidRPr="00291026">
        <w:rPr>
          <w:noProof/>
        </w:rPr>
        <w:t xml:space="preserve"> 2016.</w:t>
      </w:r>
      <w:bookmarkEnd w:id="96"/>
    </w:p>
    <w:p w:rsidR="00F067F1" w:rsidRPr="00291026" w:rsidRDefault="00F067F1" w:rsidP="00291026">
      <w:pPr>
        <w:pStyle w:val="EndNoteBibliography"/>
        <w:spacing w:after="0"/>
        <w:rPr>
          <w:noProof/>
        </w:rPr>
      </w:pPr>
      <w:bookmarkStart w:id="97" w:name="_ENREF_98"/>
      <w:r w:rsidRPr="00291026">
        <w:rPr>
          <w:noProof/>
        </w:rPr>
        <w:t>98.</w:t>
      </w:r>
      <w:r w:rsidRPr="00291026">
        <w:rPr>
          <w:noProof/>
        </w:rPr>
        <w:tab/>
        <w:t>SHOPS Project. Filling the Gap: Lessons for Policymakers and Donors on Contracting Out Family Planning and Reproductive Health Services. Primer. Bethesda, MD, 2012.</w:t>
      </w:r>
      <w:bookmarkEnd w:id="97"/>
    </w:p>
    <w:p w:rsidR="00F067F1" w:rsidRPr="00291026" w:rsidRDefault="00F067F1" w:rsidP="00291026">
      <w:pPr>
        <w:pStyle w:val="EndNoteBibliography"/>
        <w:spacing w:after="0"/>
        <w:rPr>
          <w:noProof/>
        </w:rPr>
      </w:pPr>
      <w:bookmarkStart w:id="98" w:name="_ENREF_99"/>
      <w:r w:rsidRPr="00291026">
        <w:rPr>
          <w:noProof/>
        </w:rPr>
        <w:t>99.</w:t>
      </w:r>
      <w:r w:rsidRPr="00291026">
        <w:rPr>
          <w:noProof/>
        </w:rPr>
        <w:tab/>
        <w:t xml:space="preserve">Nijmeijer KJ, Fabbricotti IN, Huijsman R. Is franchising in health care valuable? A systematic review. </w:t>
      </w:r>
      <w:r w:rsidRPr="00291026">
        <w:rPr>
          <w:i/>
          <w:noProof/>
        </w:rPr>
        <w:t>Health policy and planning</w:t>
      </w:r>
      <w:r w:rsidRPr="00291026">
        <w:rPr>
          <w:noProof/>
        </w:rPr>
        <w:t xml:space="preserve"> 2014; </w:t>
      </w:r>
      <w:r w:rsidRPr="00291026">
        <w:rPr>
          <w:b/>
          <w:noProof/>
        </w:rPr>
        <w:t>29</w:t>
      </w:r>
      <w:r w:rsidRPr="00291026">
        <w:rPr>
          <w:noProof/>
        </w:rPr>
        <w:t>(2): 164-76.</w:t>
      </w:r>
      <w:bookmarkEnd w:id="98"/>
    </w:p>
    <w:p w:rsidR="00F067F1" w:rsidRPr="00291026" w:rsidRDefault="00F067F1" w:rsidP="00291026">
      <w:pPr>
        <w:pStyle w:val="EndNoteBibliography"/>
        <w:spacing w:after="0"/>
        <w:rPr>
          <w:noProof/>
        </w:rPr>
      </w:pPr>
      <w:bookmarkStart w:id="99" w:name="_ENREF_100"/>
      <w:r w:rsidRPr="00291026">
        <w:rPr>
          <w:noProof/>
        </w:rPr>
        <w:t>100.</w:t>
      </w:r>
      <w:r w:rsidRPr="00291026">
        <w:rPr>
          <w:noProof/>
        </w:rPr>
        <w:tab/>
        <w:t xml:space="preserve">Bellows BW, Conlon CM, Higgs ES, et al. A taxonomy and results from a comprehensive review of 28 maternal health voucher programmes. </w:t>
      </w:r>
      <w:r w:rsidRPr="00291026">
        <w:rPr>
          <w:i/>
          <w:noProof/>
        </w:rPr>
        <w:t>Journal of health, population, and nutrition</w:t>
      </w:r>
      <w:r w:rsidRPr="00291026">
        <w:rPr>
          <w:noProof/>
        </w:rPr>
        <w:t xml:space="preserve"> 2013; </w:t>
      </w:r>
      <w:r w:rsidRPr="00291026">
        <w:rPr>
          <w:b/>
          <w:noProof/>
        </w:rPr>
        <w:t>31</w:t>
      </w:r>
      <w:r w:rsidRPr="00291026">
        <w:rPr>
          <w:noProof/>
        </w:rPr>
        <w:t>(4 Suppl 2): 106-28.</w:t>
      </w:r>
      <w:bookmarkEnd w:id="99"/>
    </w:p>
    <w:p w:rsidR="00F067F1" w:rsidRPr="00291026" w:rsidRDefault="00F067F1" w:rsidP="00291026">
      <w:pPr>
        <w:pStyle w:val="EndNoteBibliography"/>
        <w:spacing w:after="0"/>
        <w:rPr>
          <w:noProof/>
        </w:rPr>
      </w:pPr>
      <w:bookmarkStart w:id="100" w:name="_ENREF_101"/>
      <w:r w:rsidRPr="00291026">
        <w:rPr>
          <w:noProof/>
        </w:rPr>
        <w:t>101.</w:t>
      </w:r>
      <w:r w:rsidRPr="00291026">
        <w:rPr>
          <w:noProof/>
        </w:rPr>
        <w:tab/>
        <w:t xml:space="preserve">Beyeler N, York De La Cruz A, Montagu D. The impact of clinical social franchising on health services in low- and middle-income countries: a systematic review. </w:t>
      </w:r>
      <w:r w:rsidRPr="00291026">
        <w:rPr>
          <w:i/>
          <w:noProof/>
        </w:rPr>
        <w:t>PloS one</w:t>
      </w:r>
      <w:r w:rsidRPr="00291026">
        <w:rPr>
          <w:noProof/>
        </w:rPr>
        <w:t xml:space="preserve"> 2013; </w:t>
      </w:r>
      <w:r w:rsidRPr="00291026">
        <w:rPr>
          <w:b/>
          <w:noProof/>
        </w:rPr>
        <w:t>8</w:t>
      </w:r>
      <w:r w:rsidRPr="00291026">
        <w:rPr>
          <w:noProof/>
        </w:rPr>
        <w:t>(4): e60669.</w:t>
      </w:r>
      <w:bookmarkEnd w:id="100"/>
    </w:p>
    <w:p w:rsidR="00F067F1" w:rsidRPr="00291026" w:rsidRDefault="00F067F1" w:rsidP="00291026">
      <w:pPr>
        <w:pStyle w:val="EndNoteBibliography"/>
        <w:spacing w:after="0"/>
        <w:rPr>
          <w:noProof/>
        </w:rPr>
      </w:pPr>
      <w:bookmarkStart w:id="101" w:name="_ENREF_102"/>
      <w:r w:rsidRPr="00291026">
        <w:rPr>
          <w:noProof/>
        </w:rPr>
        <w:t>102.</w:t>
      </w:r>
      <w:r w:rsidRPr="00291026">
        <w:rPr>
          <w:noProof/>
        </w:rPr>
        <w:tab/>
        <w:t xml:space="preserve">Froen JF, Friberg IK, Lawn JE, et al. Stillbirths: progress and unfinished business. </w:t>
      </w:r>
      <w:r w:rsidRPr="00291026">
        <w:rPr>
          <w:i/>
          <w:noProof/>
        </w:rPr>
        <w:t>Lancet (London, England)</w:t>
      </w:r>
      <w:r w:rsidRPr="00291026">
        <w:rPr>
          <w:noProof/>
        </w:rPr>
        <w:t xml:space="preserve"> 2016; </w:t>
      </w:r>
      <w:r w:rsidRPr="00291026">
        <w:rPr>
          <w:b/>
          <w:noProof/>
        </w:rPr>
        <w:t>387</w:t>
      </w:r>
      <w:r w:rsidRPr="00291026">
        <w:rPr>
          <w:noProof/>
        </w:rPr>
        <w:t>(10018): 574-86.</w:t>
      </w:r>
      <w:bookmarkEnd w:id="101"/>
    </w:p>
    <w:p w:rsidR="00F067F1" w:rsidRPr="00291026" w:rsidRDefault="00F067F1" w:rsidP="00291026">
      <w:pPr>
        <w:pStyle w:val="EndNoteBibliography"/>
        <w:spacing w:after="0"/>
        <w:rPr>
          <w:noProof/>
        </w:rPr>
      </w:pPr>
      <w:bookmarkStart w:id="102" w:name="_ENREF_103"/>
      <w:r w:rsidRPr="00291026">
        <w:rPr>
          <w:noProof/>
        </w:rPr>
        <w:t>103.</w:t>
      </w:r>
      <w:r w:rsidRPr="00291026">
        <w:rPr>
          <w:noProof/>
        </w:rPr>
        <w:tab/>
        <w:t xml:space="preserve">Kendall T, Langer A. Critical maternal health knowledge gaps in low- and middle-income countries for the post-2015 era. </w:t>
      </w:r>
      <w:r w:rsidRPr="00291026">
        <w:rPr>
          <w:i/>
          <w:noProof/>
        </w:rPr>
        <w:t>Reproductive health</w:t>
      </w:r>
      <w:r w:rsidRPr="00291026">
        <w:rPr>
          <w:noProof/>
        </w:rPr>
        <w:t xml:space="preserve"> 2015; </w:t>
      </w:r>
      <w:r w:rsidRPr="00291026">
        <w:rPr>
          <w:b/>
          <w:noProof/>
        </w:rPr>
        <w:t>12</w:t>
      </w:r>
      <w:r w:rsidRPr="00291026">
        <w:rPr>
          <w:noProof/>
        </w:rPr>
        <w:t>: 55.</w:t>
      </w:r>
      <w:bookmarkEnd w:id="102"/>
    </w:p>
    <w:p w:rsidR="00F067F1" w:rsidRPr="00291026" w:rsidRDefault="00F067F1" w:rsidP="00291026">
      <w:pPr>
        <w:pStyle w:val="EndNoteBibliography"/>
        <w:spacing w:after="0"/>
        <w:rPr>
          <w:noProof/>
        </w:rPr>
      </w:pPr>
      <w:bookmarkStart w:id="103" w:name="_ENREF_104"/>
      <w:r w:rsidRPr="00291026">
        <w:rPr>
          <w:noProof/>
        </w:rPr>
        <w:t>104.</w:t>
      </w:r>
      <w:r w:rsidRPr="00291026">
        <w:rPr>
          <w:noProof/>
        </w:rPr>
        <w:tab/>
        <w:t xml:space="preserve">Souza JP, Widmer M, Gulmezoglu AM, et al. Maternal and perinatal health research priorities beyond 2015: an international survey and prioritization exercise. </w:t>
      </w:r>
      <w:r w:rsidRPr="00291026">
        <w:rPr>
          <w:i/>
          <w:noProof/>
        </w:rPr>
        <w:t>Reproductive health</w:t>
      </w:r>
      <w:r w:rsidRPr="00291026">
        <w:rPr>
          <w:noProof/>
        </w:rPr>
        <w:t xml:space="preserve"> 2014; </w:t>
      </w:r>
      <w:r w:rsidRPr="00291026">
        <w:rPr>
          <w:b/>
          <w:noProof/>
        </w:rPr>
        <w:t>11</w:t>
      </w:r>
      <w:r w:rsidRPr="00291026">
        <w:rPr>
          <w:noProof/>
        </w:rPr>
        <w:t>: 61.</w:t>
      </w:r>
      <w:bookmarkEnd w:id="103"/>
    </w:p>
    <w:p w:rsidR="00F067F1" w:rsidRPr="00291026" w:rsidRDefault="00F067F1" w:rsidP="00291026">
      <w:pPr>
        <w:pStyle w:val="EndNoteBibliography"/>
        <w:spacing w:after="0"/>
        <w:rPr>
          <w:noProof/>
        </w:rPr>
      </w:pPr>
      <w:bookmarkStart w:id="104" w:name="_ENREF_105"/>
      <w:r w:rsidRPr="00291026">
        <w:rPr>
          <w:noProof/>
        </w:rPr>
        <w:t>105.</w:t>
      </w:r>
      <w:r w:rsidRPr="00291026">
        <w:rPr>
          <w:noProof/>
        </w:rPr>
        <w:tab/>
        <w:t xml:space="preserve">AbouZahr C, de Savigny D, Mikkelsen L, et al. Civil registration and vital statistics: progress in the data revolution for counting and accountability. </w:t>
      </w:r>
      <w:r w:rsidRPr="00291026">
        <w:rPr>
          <w:i/>
          <w:noProof/>
        </w:rPr>
        <w:t>Lancet (London, England)</w:t>
      </w:r>
      <w:r w:rsidRPr="00291026">
        <w:rPr>
          <w:noProof/>
        </w:rPr>
        <w:t xml:space="preserve"> 2015; </w:t>
      </w:r>
      <w:r w:rsidRPr="00291026">
        <w:rPr>
          <w:b/>
          <w:noProof/>
        </w:rPr>
        <w:t>386</w:t>
      </w:r>
      <w:r w:rsidRPr="00291026">
        <w:rPr>
          <w:noProof/>
        </w:rPr>
        <w:t>(10001): 1373-85.</w:t>
      </w:r>
      <w:bookmarkEnd w:id="104"/>
    </w:p>
    <w:p w:rsidR="00F067F1" w:rsidRPr="00291026" w:rsidRDefault="00F067F1" w:rsidP="00291026">
      <w:pPr>
        <w:pStyle w:val="EndNoteBibliography"/>
        <w:spacing w:after="0"/>
        <w:rPr>
          <w:noProof/>
        </w:rPr>
      </w:pPr>
      <w:bookmarkStart w:id="105" w:name="_ENREF_106"/>
      <w:r w:rsidRPr="00291026">
        <w:rPr>
          <w:noProof/>
        </w:rPr>
        <w:t>106.</w:t>
      </w:r>
      <w:r w:rsidRPr="00291026">
        <w:rPr>
          <w:noProof/>
        </w:rPr>
        <w:tab/>
        <w:t xml:space="preserve">World Health Organization. Maternal Death Surveillance and Response. 2016. </w:t>
      </w:r>
      <w:r w:rsidRPr="00F067F1">
        <w:rPr>
          <w:noProof/>
        </w:rPr>
        <w:t>http://www.who.int/maternal_child_adolescent/epidemiology/maternal-death-surveillance/en/</w:t>
      </w:r>
      <w:r w:rsidRPr="00291026">
        <w:rPr>
          <w:noProof/>
        </w:rPr>
        <w:t xml:space="preserve"> (accessed 15/02/2016.</w:t>
      </w:r>
      <w:bookmarkEnd w:id="105"/>
    </w:p>
    <w:p w:rsidR="00F067F1" w:rsidRPr="00291026" w:rsidRDefault="00F067F1" w:rsidP="00291026">
      <w:pPr>
        <w:pStyle w:val="EndNoteBibliography"/>
        <w:spacing w:after="0"/>
        <w:rPr>
          <w:noProof/>
        </w:rPr>
      </w:pPr>
      <w:bookmarkStart w:id="106" w:name="_ENREF_107"/>
      <w:r w:rsidRPr="00291026">
        <w:rPr>
          <w:noProof/>
        </w:rPr>
        <w:t>107.</w:t>
      </w:r>
      <w:r w:rsidRPr="00291026">
        <w:rPr>
          <w:noProof/>
        </w:rPr>
        <w:tab/>
        <w:t xml:space="preserve">Peters DH, Adam T, Alonge O, Agyepong IA, Tran N. Implementation research: what it is and how to do it. </w:t>
      </w:r>
      <w:r w:rsidRPr="00291026">
        <w:rPr>
          <w:i/>
          <w:noProof/>
        </w:rPr>
        <w:t>BMJ (Clinical research ed)</w:t>
      </w:r>
      <w:r w:rsidRPr="00291026">
        <w:rPr>
          <w:noProof/>
        </w:rPr>
        <w:t xml:space="preserve"> 2013; </w:t>
      </w:r>
      <w:r w:rsidRPr="00291026">
        <w:rPr>
          <w:b/>
          <w:noProof/>
        </w:rPr>
        <w:t>347</w:t>
      </w:r>
      <w:r w:rsidRPr="00291026">
        <w:rPr>
          <w:noProof/>
        </w:rPr>
        <w:t>: f6753.</w:t>
      </w:r>
      <w:bookmarkEnd w:id="106"/>
    </w:p>
    <w:p w:rsidR="00F067F1" w:rsidRPr="00291026" w:rsidRDefault="00F067F1" w:rsidP="00291026">
      <w:pPr>
        <w:pStyle w:val="EndNoteBibliography"/>
        <w:spacing w:after="0"/>
        <w:rPr>
          <w:noProof/>
        </w:rPr>
      </w:pPr>
      <w:bookmarkStart w:id="107" w:name="_ENREF_108"/>
      <w:r w:rsidRPr="00291026">
        <w:rPr>
          <w:noProof/>
        </w:rPr>
        <w:t>108.</w:t>
      </w:r>
      <w:r w:rsidRPr="00291026">
        <w:rPr>
          <w:noProof/>
        </w:rPr>
        <w:tab/>
        <w:t xml:space="preserve">Kuruvilla S, Bustreo F, Kuo T, et al. The Global strategy for women's, children's and adolescents' health (2016-2030): a roadmap based on evidence and country experience. </w:t>
      </w:r>
      <w:r w:rsidRPr="00291026">
        <w:rPr>
          <w:i/>
          <w:noProof/>
        </w:rPr>
        <w:t>Bulletin of the World Health Organization</w:t>
      </w:r>
      <w:r w:rsidRPr="00291026">
        <w:rPr>
          <w:noProof/>
        </w:rPr>
        <w:t xml:space="preserve"> 2016; </w:t>
      </w:r>
      <w:r w:rsidRPr="00291026">
        <w:rPr>
          <w:b/>
          <w:noProof/>
        </w:rPr>
        <w:t>94</w:t>
      </w:r>
      <w:r w:rsidRPr="00291026">
        <w:rPr>
          <w:noProof/>
        </w:rPr>
        <w:t>(5): 398-400.</w:t>
      </w:r>
      <w:bookmarkEnd w:id="107"/>
    </w:p>
    <w:p w:rsidR="00F067F1" w:rsidRPr="00291026" w:rsidRDefault="00F067F1" w:rsidP="00291026">
      <w:pPr>
        <w:pStyle w:val="EndNoteBibliography"/>
        <w:spacing w:after="0"/>
        <w:rPr>
          <w:noProof/>
        </w:rPr>
      </w:pPr>
      <w:bookmarkStart w:id="108" w:name="_ENREF_109"/>
      <w:r w:rsidRPr="00291026">
        <w:rPr>
          <w:noProof/>
        </w:rPr>
        <w:t>109.</w:t>
      </w:r>
      <w:r w:rsidRPr="00291026">
        <w:rPr>
          <w:noProof/>
        </w:rPr>
        <w:tab/>
        <w:t xml:space="preserve">United Nations Foundation. Commitments Compendium in Support of the Global Strategy for Women's, Children's and Adolescents' Health. 2016. </w:t>
      </w:r>
      <w:r w:rsidRPr="00F067F1">
        <w:rPr>
          <w:noProof/>
        </w:rPr>
        <w:t>http://www.everywomaneverychild.org/news-events/news/1140-commitments-compendium-in-support-of-the-global-strategy</w:t>
      </w:r>
      <w:r w:rsidRPr="00291026">
        <w:rPr>
          <w:noProof/>
        </w:rPr>
        <w:t xml:space="preserve"> (accessed 06/07/2016.</w:t>
      </w:r>
      <w:bookmarkEnd w:id="108"/>
    </w:p>
    <w:p w:rsidR="00F067F1" w:rsidRPr="00291026" w:rsidRDefault="00F067F1" w:rsidP="00291026">
      <w:pPr>
        <w:pStyle w:val="EndNoteBibliography"/>
        <w:spacing w:after="0"/>
        <w:rPr>
          <w:noProof/>
        </w:rPr>
      </w:pPr>
      <w:bookmarkStart w:id="109" w:name="_ENREF_110"/>
      <w:r w:rsidRPr="00291026">
        <w:rPr>
          <w:noProof/>
        </w:rPr>
        <w:t>110.</w:t>
      </w:r>
      <w:r w:rsidRPr="00291026">
        <w:rPr>
          <w:noProof/>
        </w:rPr>
        <w:tab/>
        <w:t>World Health Organization. Strategies toward ending preventable maternal mortality (EPMM). Geneva: World Health Organization; 2015.</w:t>
      </w:r>
      <w:bookmarkEnd w:id="109"/>
    </w:p>
    <w:p w:rsidR="00F067F1" w:rsidRPr="00291026" w:rsidRDefault="00F067F1" w:rsidP="00291026">
      <w:pPr>
        <w:pStyle w:val="EndNoteBibliography"/>
        <w:spacing w:after="0"/>
        <w:rPr>
          <w:noProof/>
        </w:rPr>
      </w:pPr>
      <w:bookmarkStart w:id="110" w:name="_ENREF_111"/>
      <w:r w:rsidRPr="00291026">
        <w:rPr>
          <w:noProof/>
        </w:rPr>
        <w:t>111.</w:t>
      </w:r>
      <w:r w:rsidRPr="00291026">
        <w:rPr>
          <w:noProof/>
        </w:rPr>
        <w:tab/>
        <w:t>World Health Organization, UNICEF. Every Newborn: an action plan to end preventable deaths. Geneva: World Health Organization; 2014.</w:t>
      </w:r>
      <w:bookmarkEnd w:id="110"/>
    </w:p>
    <w:p w:rsidR="00F067F1" w:rsidRPr="00291026" w:rsidRDefault="00F067F1" w:rsidP="00291026">
      <w:pPr>
        <w:pStyle w:val="EndNoteBibliography"/>
        <w:spacing w:after="0"/>
        <w:rPr>
          <w:noProof/>
        </w:rPr>
      </w:pPr>
      <w:bookmarkStart w:id="111" w:name="_ENREF_112"/>
      <w:r w:rsidRPr="00291026">
        <w:rPr>
          <w:noProof/>
        </w:rPr>
        <w:t>112.</w:t>
      </w:r>
      <w:r w:rsidRPr="00291026">
        <w:rPr>
          <w:noProof/>
        </w:rPr>
        <w:tab/>
        <w:t>World Health Organization. The Abuja Declaration: Ten Years On Geneva: World Health Organization, 2011.</w:t>
      </w:r>
      <w:bookmarkEnd w:id="111"/>
    </w:p>
    <w:p w:rsidR="00F067F1" w:rsidRPr="00291026" w:rsidRDefault="00F067F1" w:rsidP="00291026">
      <w:pPr>
        <w:pStyle w:val="EndNoteBibliography"/>
        <w:spacing w:after="0"/>
        <w:rPr>
          <w:noProof/>
        </w:rPr>
      </w:pPr>
      <w:bookmarkStart w:id="112" w:name="_ENREF_113"/>
      <w:r w:rsidRPr="00291026">
        <w:rPr>
          <w:noProof/>
        </w:rPr>
        <w:t>113.</w:t>
      </w:r>
      <w:r w:rsidRPr="00291026">
        <w:rPr>
          <w:noProof/>
        </w:rPr>
        <w:tab/>
        <w:t xml:space="preserve">World Health Organization. Global Health Observatory (GHO) data 2016. </w:t>
      </w:r>
      <w:r w:rsidRPr="00F067F1">
        <w:rPr>
          <w:noProof/>
        </w:rPr>
        <w:t>http://www.who.int/gho/en/</w:t>
      </w:r>
      <w:r w:rsidRPr="00291026">
        <w:rPr>
          <w:noProof/>
        </w:rPr>
        <w:t xml:space="preserve"> (accessed 17/01/2016.</w:t>
      </w:r>
      <w:bookmarkEnd w:id="112"/>
    </w:p>
    <w:p w:rsidR="00F067F1" w:rsidRPr="00291026" w:rsidRDefault="00F067F1" w:rsidP="00291026">
      <w:pPr>
        <w:pStyle w:val="EndNoteBibliography"/>
        <w:spacing w:after="0"/>
        <w:rPr>
          <w:noProof/>
        </w:rPr>
      </w:pPr>
      <w:bookmarkStart w:id="113" w:name="_ENREF_114"/>
      <w:r w:rsidRPr="00291026">
        <w:rPr>
          <w:noProof/>
        </w:rPr>
        <w:t>114.</w:t>
      </w:r>
      <w:r w:rsidRPr="00291026">
        <w:rPr>
          <w:noProof/>
        </w:rPr>
        <w:tab/>
        <w:t>World Health Organization. Every woman, every child, every adolescent: achievements and prospects: the final report of the independent Expert Review Group on Information and Accountability for Women’s and Children’s health. Geneva: World Health Organization, ; 2015.</w:t>
      </w:r>
      <w:bookmarkEnd w:id="113"/>
    </w:p>
    <w:p w:rsidR="00F067F1" w:rsidRPr="00291026" w:rsidRDefault="00F067F1" w:rsidP="00291026">
      <w:pPr>
        <w:pStyle w:val="EndNoteBibliography"/>
        <w:spacing w:after="0"/>
        <w:rPr>
          <w:noProof/>
        </w:rPr>
      </w:pPr>
      <w:bookmarkStart w:id="114" w:name="_ENREF_115"/>
      <w:r w:rsidRPr="00291026">
        <w:rPr>
          <w:noProof/>
        </w:rPr>
        <w:t>115.</w:t>
      </w:r>
      <w:r w:rsidRPr="00291026">
        <w:rPr>
          <w:noProof/>
        </w:rPr>
        <w:tab/>
        <w:t>Countdown to 2015. A Decade of Tracking Progress for Maternal, Newborn and Child Survival: The 2015 Report, 2015.</w:t>
      </w:r>
      <w:bookmarkEnd w:id="114"/>
    </w:p>
    <w:p w:rsidR="00F067F1" w:rsidRPr="00291026" w:rsidRDefault="00F067F1" w:rsidP="00291026">
      <w:pPr>
        <w:pStyle w:val="EndNoteBibliography"/>
        <w:spacing w:after="0"/>
        <w:rPr>
          <w:noProof/>
        </w:rPr>
      </w:pPr>
      <w:bookmarkStart w:id="115" w:name="_ENREF_116"/>
      <w:r w:rsidRPr="00291026">
        <w:rPr>
          <w:noProof/>
        </w:rPr>
        <w:t>116.</w:t>
      </w:r>
      <w:r w:rsidRPr="00291026">
        <w:rPr>
          <w:noProof/>
        </w:rPr>
        <w:tab/>
        <w:t xml:space="preserve">Horwood C, Haskins L, Vermaak K, Phakathi S, Subbaye R, Doherty T. Prevention of mother to child transmission of HIV (PMTCT) programme in KwaZulu-Natal, South Africa: an evaluation of PMTCT implementation and integration into routine maternal, child and women's health services. </w:t>
      </w:r>
      <w:r w:rsidRPr="00291026">
        <w:rPr>
          <w:i/>
          <w:noProof/>
        </w:rPr>
        <w:t>Tropical medicine &amp; international health : TM &amp; IH</w:t>
      </w:r>
      <w:r w:rsidRPr="00291026">
        <w:rPr>
          <w:noProof/>
        </w:rPr>
        <w:t xml:space="preserve"> 2010; </w:t>
      </w:r>
      <w:r w:rsidRPr="00291026">
        <w:rPr>
          <w:b/>
          <w:noProof/>
        </w:rPr>
        <w:t>15</w:t>
      </w:r>
      <w:r w:rsidRPr="00291026">
        <w:rPr>
          <w:noProof/>
        </w:rPr>
        <w:t>(9): 992-9.</w:t>
      </w:r>
      <w:bookmarkEnd w:id="115"/>
    </w:p>
    <w:p w:rsidR="00F067F1" w:rsidRPr="00291026" w:rsidRDefault="00F067F1" w:rsidP="00291026">
      <w:pPr>
        <w:pStyle w:val="EndNoteBibliography"/>
        <w:spacing w:after="0"/>
        <w:rPr>
          <w:noProof/>
        </w:rPr>
      </w:pPr>
      <w:bookmarkStart w:id="116" w:name="_ENREF_117"/>
      <w:r w:rsidRPr="00291026">
        <w:rPr>
          <w:noProof/>
        </w:rPr>
        <w:t>117.</w:t>
      </w:r>
      <w:r w:rsidRPr="00291026">
        <w:rPr>
          <w:noProof/>
        </w:rPr>
        <w:tab/>
        <w:t xml:space="preserve">Berg CJ, Chang J, Callaghan WM, Whitehead SJ. Pregnancy‐Related Mortality in the United States, 1991–1997. </w:t>
      </w:r>
      <w:r w:rsidRPr="00291026">
        <w:rPr>
          <w:i/>
          <w:noProof/>
        </w:rPr>
        <w:t>Obstetrics &amp; Gynecology</w:t>
      </w:r>
      <w:r w:rsidRPr="00291026">
        <w:rPr>
          <w:noProof/>
        </w:rPr>
        <w:t xml:space="preserve"> 2003; </w:t>
      </w:r>
      <w:r w:rsidRPr="00291026">
        <w:rPr>
          <w:b/>
          <w:noProof/>
        </w:rPr>
        <w:t>101</w:t>
      </w:r>
      <w:r w:rsidRPr="00291026">
        <w:rPr>
          <w:noProof/>
        </w:rPr>
        <w:t>(2): 289-96.</w:t>
      </w:r>
      <w:bookmarkEnd w:id="116"/>
    </w:p>
    <w:p w:rsidR="00F067F1" w:rsidRPr="00291026" w:rsidRDefault="00F067F1" w:rsidP="00291026">
      <w:pPr>
        <w:pStyle w:val="EndNoteBibliography"/>
        <w:spacing w:after="0"/>
        <w:rPr>
          <w:noProof/>
        </w:rPr>
      </w:pPr>
      <w:bookmarkStart w:id="117" w:name="_ENREF_118"/>
      <w:r w:rsidRPr="00291026">
        <w:rPr>
          <w:noProof/>
        </w:rPr>
        <w:t>118.</w:t>
      </w:r>
      <w:r w:rsidRPr="00291026">
        <w:rPr>
          <w:noProof/>
        </w:rPr>
        <w:tab/>
        <w:t xml:space="preserve">Mexico Odmme. Indicadores de mortalidad materna. 2015. </w:t>
      </w:r>
      <w:r w:rsidRPr="00F067F1">
        <w:rPr>
          <w:noProof/>
        </w:rPr>
        <w:t>http://www.omm.org.mx/index.php/indicadores-nacionales/indicadores</w:t>
      </w:r>
      <w:r w:rsidRPr="00291026">
        <w:rPr>
          <w:noProof/>
        </w:rPr>
        <w:t xml:space="preserve"> (accessed 17 Jan 2016.</w:t>
      </w:r>
      <w:bookmarkEnd w:id="117"/>
    </w:p>
    <w:p w:rsidR="00F067F1" w:rsidRPr="00291026" w:rsidRDefault="00F067F1" w:rsidP="00291026">
      <w:pPr>
        <w:pStyle w:val="EndNoteBibliography"/>
        <w:spacing w:after="0"/>
        <w:rPr>
          <w:noProof/>
        </w:rPr>
      </w:pPr>
      <w:bookmarkStart w:id="118" w:name="_ENREF_119"/>
      <w:r w:rsidRPr="00291026">
        <w:rPr>
          <w:noProof/>
        </w:rPr>
        <w:t>119.</w:t>
      </w:r>
      <w:r w:rsidRPr="00291026">
        <w:rPr>
          <w:noProof/>
        </w:rPr>
        <w:tab/>
        <w:t xml:space="preserve">Knight M, Kurinczuk JJ, Tuffnell D, Brocklehurst P. The UK Obstetric Surveillance System for raredisorders of pregnancy. </w:t>
      </w:r>
      <w:r w:rsidRPr="00291026">
        <w:rPr>
          <w:i/>
          <w:noProof/>
        </w:rPr>
        <w:t>BJOG: An International Journal of Obstetrics &amp; Gynaecology</w:t>
      </w:r>
      <w:r w:rsidRPr="00291026">
        <w:rPr>
          <w:noProof/>
        </w:rPr>
        <w:t xml:space="preserve"> 2005; </w:t>
      </w:r>
      <w:r w:rsidRPr="00291026">
        <w:rPr>
          <w:b/>
          <w:noProof/>
        </w:rPr>
        <w:t>112</w:t>
      </w:r>
      <w:r w:rsidRPr="00291026">
        <w:rPr>
          <w:noProof/>
        </w:rPr>
        <w:t>(3): 263-5.</w:t>
      </w:r>
      <w:bookmarkEnd w:id="118"/>
    </w:p>
    <w:p w:rsidR="00F067F1" w:rsidRPr="00291026" w:rsidRDefault="00F067F1" w:rsidP="00291026">
      <w:pPr>
        <w:pStyle w:val="EndNoteBibliography"/>
        <w:spacing w:after="0"/>
        <w:rPr>
          <w:noProof/>
        </w:rPr>
      </w:pPr>
      <w:bookmarkStart w:id="119" w:name="_ENREF_120"/>
      <w:r w:rsidRPr="00291026">
        <w:rPr>
          <w:noProof/>
        </w:rPr>
        <w:t>120.</w:t>
      </w:r>
      <w:r w:rsidRPr="00291026">
        <w:rPr>
          <w:noProof/>
        </w:rPr>
        <w:tab/>
        <w:t xml:space="preserve">Sousa MH, Cecatti JG, Hardy EE, Serruya SJ. Severe maternal morbidity (near miss) as a sentinel event of maternal death. An attempt to use routine data for surveillance. </w:t>
      </w:r>
      <w:r w:rsidRPr="00291026">
        <w:rPr>
          <w:i/>
          <w:noProof/>
        </w:rPr>
        <w:t>Reprod Health</w:t>
      </w:r>
      <w:r w:rsidRPr="00291026">
        <w:rPr>
          <w:noProof/>
        </w:rPr>
        <w:t xml:space="preserve"> 2008; </w:t>
      </w:r>
      <w:r w:rsidRPr="00291026">
        <w:rPr>
          <w:b/>
          <w:noProof/>
        </w:rPr>
        <w:t>5</w:t>
      </w:r>
      <w:r w:rsidRPr="00291026">
        <w:rPr>
          <w:noProof/>
        </w:rPr>
        <w:t>(6): 1-8.</w:t>
      </w:r>
      <w:bookmarkEnd w:id="119"/>
    </w:p>
    <w:p w:rsidR="00F067F1" w:rsidRPr="00291026" w:rsidRDefault="00F067F1" w:rsidP="00291026">
      <w:pPr>
        <w:pStyle w:val="EndNoteBibliography"/>
        <w:spacing w:after="0"/>
        <w:rPr>
          <w:noProof/>
        </w:rPr>
      </w:pPr>
      <w:bookmarkStart w:id="120" w:name="_ENREF_121"/>
      <w:r w:rsidRPr="00291026">
        <w:rPr>
          <w:noProof/>
        </w:rPr>
        <w:t>121.</w:t>
      </w:r>
      <w:r w:rsidRPr="00291026">
        <w:rPr>
          <w:noProof/>
        </w:rPr>
        <w:tab/>
        <w:t>MINISTÉRIO DA SAÚDE CENTRO BRASILEIRO DE ANÁLISE E PLANEJAMENTO. Pesquisa Nacional de Demografia e Saúde da Criança e da Mulher PNDS 2006: Dimensões do Processo Reprodutivoe da Saúde da Criança. Brasília - DF: Brasília - DF, 2009.</w:t>
      </w:r>
      <w:bookmarkEnd w:id="120"/>
    </w:p>
    <w:p w:rsidR="00F067F1" w:rsidRPr="00291026" w:rsidRDefault="00F067F1" w:rsidP="00291026">
      <w:pPr>
        <w:pStyle w:val="EndNoteBibliography"/>
        <w:spacing w:after="0"/>
        <w:rPr>
          <w:noProof/>
        </w:rPr>
      </w:pPr>
      <w:bookmarkStart w:id="121" w:name="_ENREF_122"/>
      <w:r w:rsidRPr="00291026">
        <w:rPr>
          <w:noProof/>
        </w:rPr>
        <w:t>122.</w:t>
      </w:r>
      <w:r w:rsidRPr="00291026">
        <w:rPr>
          <w:noProof/>
        </w:rPr>
        <w:tab/>
        <w:t xml:space="preserve">Kesmodel US, Jolving LR. Measuring and improving quality in obstetrics--the implementation of national indicators in Denmark. </w:t>
      </w:r>
      <w:r w:rsidRPr="00291026">
        <w:rPr>
          <w:i/>
          <w:noProof/>
        </w:rPr>
        <w:t>Acta obstetricia et gynecologica Scandinavica</w:t>
      </w:r>
      <w:r w:rsidRPr="00291026">
        <w:rPr>
          <w:noProof/>
        </w:rPr>
        <w:t xml:space="preserve"> 2011; </w:t>
      </w:r>
      <w:r w:rsidRPr="00291026">
        <w:rPr>
          <w:b/>
          <w:noProof/>
        </w:rPr>
        <w:t>90</w:t>
      </w:r>
      <w:r w:rsidRPr="00291026">
        <w:rPr>
          <w:noProof/>
        </w:rPr>
        <w:t>(4): 295-304.</w:t>
      </w:r>
      <w:bookmarkEnd w:id="121"/>
    </w:p>
    <w:p w:rsidR="00F067F1" w:rsidRPr="00291026" w:rsidRDefault="00F067F1" w:rsidP="00291026">
      <w:pPr>
        <w:pStyle w:val="EndNoteBibliography"/>
        <w:spacing w:after="0"/>
        <w:rPr>
          <w:noProof/>
        </w:rPr>
      </w:pPr>
      <w:bookmarkStart w:id="122" w:name="_ENREF_123"/>
      <w:r w:rsidRPr="00291026">
        <w:rPr>
          <w:noProof/>
        </w:rPr>
        <w:t>123.</w:t>
      </w:r>
      <w:r w:rsidRPr="00291026">
        <w:rPr>
          <w:noProof/>
        </w:rPr>
        <w:tab/>
        <w:t>Ghana Statistical Service GHS, Accra, Ghana, and The DHS Program, ICF International, Rockville, Maryland, USA</w:t>
      </w:r>
      <w:r>
        <w:rPr>
          <w:noProof/>
        </w:rPr>
        <w:t xml:space="preserve"> </w:t>
      </w:r>
      <w:r w:rsidRPr="00291026">
        <w:rPr>
          <w:noProof/>
        </w:rPr>
        <w:t>Ghana DHS 3104 Final Report. Rockville Maryland, 2014.</w:t>
      </w:r>
      <w:bookmarkEnd w:id="122"/>
    </w:p>
    <w:p w:rsidR="00F067F1" w:rsidRPr="00291026" w:rsidRDefault="00F067F1" w:rsidP="00291026">
      <w:pPr>
        <w:pStyle w:val="EndNoteBibliography"/>
        <w:spacing w:after="0"/>
        <w:rPr>
          <w:noProof/>
        </w:rPr>
      </w:pPr>
      <w:bookmarkStart w:id="123" w:name="_ENREF_124"/>
      <w:r w:rsidRPr="00291026">
        <w:rPr>
          <w:noProof/>
        </w:rPr>
        <w:t>124.</w:t>
      </w:r>
      <w:r w:rsidRPr="00291026">
        <w:rPr>
          <w:noProof/>
        </w:rPr>
        <w:tab/>
        <w:t xml:space="preserve">Hermida J, Broughton EI, Miller Franco L. Validity of self-assessment in a quality improvement collaborative in Ecuador. </w:t>
      </w:r>
      <w:r w:rsidRPr="00291026">
        <w:rPr>
          <w:i/>
          <w:noProof/>
        </w:rPr>
        <w:t>International journal for quality in health care : journal of the International Society for Quality in Health Care / ISQua</w:t>
      </w:r>
      <w:r w:rsidRPr="00291026">
        <w:rPr>
          <w:noProof/>
        </w:rPr>
        <w:t xml:space="preserve"> 2011; </w:t>
      </w:r>
      <w:r w:rsidRPr="00291026">
        <w:rPr>
          <w:b/>
          <w:noProof/>
        </w:rPr>
        <w:t>23</w:t>
      </w:r>
      <w:r w:rsidRPr="00291026">
        <w:rPr>
          <w:noProof/>
        </w:rPr>
        <w:t>(6): 690-6.</w:t>
      </w:r>
      <w:bookmarkEnd w:id="123"/>
    </w:p>
    <w:p w:rsidR="00F067F1" w:rsidRPr="00291026" w:rsidRDefault="00F067F1" w:rsidP="00291026">
      <w:pPr>
        <w:pStyle w:val="EndNoteBibliography"/>
        <w:spacing w:after="0"/>
        <w:rPr>
          <w:noProof/>
        </w:rPr>
      </w:pPr>
      <w:bookmarkStart w:id="124" w:name="_ENREF_125"/>
      <w:r w:rsidRPr="00291026">
        <w:rPr>
          <w:noProof/>
        </w:rPr>
        <w:t>125.</w:t>
      </w:r>
      <w:r w:rsidRPr="00291026">
        <w:rPr>
          <w:noProof/>
        </w:rPr>
        <w:tab/>
        <w:t xml:space="preserve">Marchant T, Tilley-Gyado RD, Tessema T, et al. Adding content to contacts: measurement of high quality contacts for maternal and newborn health in Ethiopia, north east Nigeria, and Uttar Pradesh, India. </w:t>
      </w:r>
      <w:r w:rsidRPr="00291026">
        <w:rPr>
          <w:i/>
          <w:noProof/>
        </w:rPr>
        <w:t>PloS one</w:t>
      </w:r>
      <w:r w:rsidRPr="00291026">
        <w:rPr>
          <w:noProof/>
        </w:rPr>
        <w:t xml:space="preserve"> 2015; </w:t>
      </w:r>
      <w:r w:rsidRPr="00291026">
        <w:rPr>
          <w:b/>
          <w:noProof/>
        </w:rPr>
        <w:t>10</w:t>
      </w:r>
      <w:r w:rsidRPr="00291026">
        <w:rPr>
          <w:noProof/>
        </w:rPr>
        <w:t>(5): e0126840.</w:t>
      </w:r>
      <w:bookmarkEnd w:id="124"/>
    </w:p>
    <w:p w:rsidR="00F067F1" w:rsidRPr="00291026" w:rsidRDefault="00F067F1" w:rsidP="00291026">
      <w:pPr>
        <w:pStyle w:val="EndNoteBibliography"/>
        <w:spacing w:after="0"/>
        <w:rPr>
          <w:noProof/>
        </w:rPr>
      </w:pPr>
      <w:bookmarkStart w:id="125" w:name="_ENREF_126"/>
      <w:r w:rsidRPr="00291026">
        <w:rPr>
          <w:noProof/>
        </w:rPr>
        <w:t>126.</w:t>
      </w:r>
      <w:r w:rsidRPr="00291026">
        <w:rPr>
          <w:noProof/>
        </w:rPr>
        <w:tab/>
        <w:t xml:space="preserve">Cavallaro FL, Cresswell JA, Franca GV, Victora CG, Barros AJ, Ronsmans C. Trends in caesarean delivery by country and wealth quintile: cross-sectional surveys in southern Asia and sub-Saharan Africa. </w:t>
      </w:r>
      <w:r w:rsidRPr="00291026">
        <w:rPr>
          <w:i/>
          <w:noProof/>
        </w:rPr>
        <w:t>Bulletin of the World Health Organization</w:t>
      </w:r>
      <w:r w:rsidRPr="00291026">
        <w:rPr>
          <w:noProof/>
        </w:rPr>
        <w:t xml:space="preserve"> 2013; </w:t>
      </w:r>
      <w:r w:rsidRPr="00291026">
        <w:rPr>
          <w:b/>
          <w:noProof/>
        </w:rPr>
        <w:t>91</w:t>
      </w:r>
      <w:r w:rsidRPr="00291026">
        <w:rPr>
          <w:noProof/>
        </w:rPr>
        <w:t>(12): 914-22d.</w:t>
      </w:r>
      <w:bookmarkEnd w:id="125"/>
    </w:p>
    <w:p w:rsidR="00F067F1" w:rsidRPr="00291026" w:rsidRDefault="00F067F1" w:rsidP="00291026">
      <w:pPr>
        <w:pStyle w:val="EndNoteBibliography"/>
        <w:spacing w:after="0"/>
        <w:rPr>
          <w:noProof/>
        </w:rPr>
      </w:pPr>
      <w:bookmarkStart w:id="126" w:name="_ENREF_127"/>
      <w:r w:rsidRPr="00291026">
        <w:rPr>
          <w:noProof/>
        </w:rPr>
        <w:t>127.</w:t>
      </w:r>
      <w:r w:rsidRPr="00291026">
        <w:rPr>
          <w:noProof/>
        </w:rPr>
        <w:tab/>
        <w:t xml:space="preserve">Countdown to 2015 Maternal Newborn &amp; Child Survival. Countdown 2015 data: Coverage and Demographic Indicators. </w:t>
      </w:r>
      <w:r w:rsidRPr="00F067F1">
        <w:rPr>
          <w:noProof/>
        </w:rPr>
        <w:t>http://www.countdown2015mnch.org/about-countdown/countdown-data</w:t>
      </w:r>
      <w:r w:rsidRPr="00291026">
        <w:rPr>
          <w:noProof/>
        </w:rPr>
        <w:t xml:space="preserve"> (accessed 17 January 2016.</w:t>
      </w:r>
      <w:bookmarkEnd w:id="126"/>
    </w:p>
    <w:p w:rsidR="00F067F1" w:rsidRPr="00291026" w:rsidRDefault="00F067F1" w:rsidP="00291026">
      <w:pPr>
        <w:pStyle w:val="EndNoteBibliography"/>
        <w:spacing w:after="0"/>
        <w:rPr>
          <w:noProof/>
        </w:rPr>
      </w:pPr>
      <w:bookmarkStart w:id="127" w:name="_ENREF_128"/>
      <w:r w:rsidRPr="00291026">
        <w:rPr>
          <w:noProof/>
        </w:rPr>
        <w:t>128.</w:t>
      </w:r>
      <w:r w:rsidRPr="00291026">
        <w:rPr>
          <w:noProof/>
        </w:rPr>
        <w:tab/>
        <w:t xml:space="preserve">Department of Economic and Social Affairs Population Division. Meeting Demand for Family Planning. 2013. </w:t>
      </w:r>
      <w:r w:rsidRPr="00F067F1">
        <w:rPr>
          <w:noProof/>
        </w:rPr>
        <w:t>http://www.un.org/en/development/desa/population/publications/pdf/popfacts/popfacts_2013-6.pdf</w:t>
      </w:r>
      <w:r w:rsidRPr="00291026">
        <w:rPr>
          <w:noProof/>
        </w:rPr>
        <w:t>.</w:t>
      </w:r>
      <w:bookmarkEnd w:id="127"/>
    </w:p>
    <w:p w:rsidR="00F067F1" w:rsidRPr="00291026" w:rsidRDefault="00F067F1" w:rsidP="00291026">
      <w:pPr>
        <w:pStyle w:val="EndNoteBibliography"/>
        <w:spacing w:after="0"/>
        <w:rPr>
          <w:noProof/>
        </w:rPr>
      </w:pPr>
      <w:bookmarkStart w:id="128" w:name="_ENREF_129"/>
      <w:r w:rsidRPr="00291026">
        <w:rPr>
          <w:noProof/>
        </w:rPr>
        <w:t>129.</w:t>
      </w:r>
      <w:r w:rsidRPr="00291026">
        <w:rPr>
          <w:noProof/>
        </w:rPr>
        <w:tab/>
        <w:t xml:space="preserve">Paxton A, Bailey P, Lobis S, Fry D. Global patterns in availability of emergency obstetric care. </w:t>
      </w:r>
      <w:r w:rsidRPr="00291026">
        <w:rPr>
          <w:i/>
          <w:noProof/>
        </w:rPr>
        <w:t>International journal of gynaecology and obstetrics: the official organ of the International Federation of Gynaecology and Obstetrics</w:t>
      </w:r>
      <w:r w:rsidRPr="00291026">
        <w:rPr>
          <w:noProof/>
        </w:rPr>
        <w:t xml:space="preserve"> 2006; </w:t>
      </w:r>
      <w:r w:rsidRPr="00291026">
        <w:rPr>
          <w:b/>
          <w:noProof/>
        </w:rPr>
        <w:t>93</w:t>
      </w:r>
      <w:r w:rsidRPr="00291026">
        <w:rPr>
          <w:noProof/>
        </w:rPr>
        <w:t>(3): 300-7.</w:t>
      </w:r>
      <w:bookmarkEnd w:id="128"/>
    </w:p>
    <w:p w:rsidR="00F067F1" w:rsidRPr="00291026" w:rsidRDefault="00F067F1" w:rsidP="00291026">
      <w:pPr>
        <w:pStyle w:val="EndNoteBibliography"/>
        <w:spacing w:after="0"/>
        <w:rPr>
          <w:noProof/>
        </w:rPr>
      </w:pPr>
      <w:bookmarkStart w:id="129" w:name="_ENREF_130"/>
      <w:r w:rsidRPr="00291026">
        <w:rPr>
          <w:noProof/>
        </w:rPr>
        <w:t>130.</w:t>
      </w:r>
      <w:r w:rsidRPr="00291026">
        <w:rPr>
          <w:noProof/>
        </w:rPr>
        <w:tab/>
        <w:t xml:space="preserve">Bailey P, Paxton A, Lobis S, Fry D. The availability of life-saving obstetric services in developing countries: an in-depth look at the signal functions for emergency obstetric care. </w:t>
      </w:r>
      <w:r w:rsidRPr="00291026">
        <w:rPr>
          <w:i/>
          <w:noProof/>
        </w:rPr>
        <w:t>International journal of gynaecology and obstetrics: the official organ of the International Federation of Gynaecology and Obstetrics</w:t>
      </w:r>
      <w:r w:rsidRPr="00291026">
        <w:rPr>
          <w:noProof/>
        </w:rPr>
        <w:t xml:space="preserve"> 2006; </w:t>
      </w:r>
      <w:r w:rsidRPr="00291026">
        <w:rPr>
          <w:b/>
          <w:noProof/>
        </w:rPr>
        <w:t>93</w:t>
      </w:r>
      <w:r w:rsidRPr="00291026">
        <w:rPr>
          <w:noProof/>
        </w:rPr>
        <w:t>(3): 285-91.</w:t>
      </w:r>
      <w:bookmarkEnd w:id="129"/>
    </w:p>
    <w:p w:rsidR="00F067F1" w:rsidRPr="00291026" w:rsidRDefault="00F067F1" w:rsidP="00291026">
      <w:pPr>
        <w:pStyle w:val="EndNoteBibliography"/>
        <w:spacing w:after="0"/>
        <w:rPr>
          <w:noProof/>
        </w:rPr>
      </w:pPr>
      <w:bookmarkStart w:id="130" w:name="_ENREF_131"/>
      <w:r w:rsidRPr="00291026">
        <w:rPr>
          <w:noProof/>
        </w:rPr>
        <w:t>131.</w:t>
      </w:r>
      <w:r w:rsidRPr="00291026">
        <w:rPr>
          <w:noProof/>
        </w:rPr>
        <w:tab/>
        <w:t xml:space="preserve">Gabrysch S, Cousens S, Cox J, Campbell OM. The influence of distance and level of care on delivery place in rural Zambia: a study of linked national data in a geographic information system. </w:t>
      </w:r>
      <w:r w:rsidRPr="00291026">
        <w:rPr>
          <w:i/>
          <w:noProof/>
        </w:rPr>
        <w:t>PLoS medicine</w:t>
      </w:r>
      <w:r w:rsidRPr="00291026">
        <w:rPr>
          <w:noProof/>
        </w:rPr>
        <w:t xml:space="preserve"> 2011; </w:t>
      </w:r>
      <w:r w:rsidRPr="00291026">
        <w:rPr>
          <w:b/>
          <w:noProof/>
        </w:rPr>
        <w:t>8</w:t>
      </w:r>
      <w:r w:rsidRPr="00291026">
        <w:rPr>
          <w:noProof/>
        </w:rPr>
        <w:t>(1): 150.</w:t>
      </w:r>
      <w:bookmarkEnd w:id="130"/>
    </w:p>
    <w:p w:rsidR="00F067F1" w:rsidRPr="00291026" w:rsidRDefault="00F067F1" w:rsidP="00291026">
      <w:pPr>
        <w:pStyle w:val="EndNoteBibliography"/>
        <w:spacing w:after="0"/>
        <w:rPr>
          <w:noProof/>
        </w:rPr>
      </w:pPr>
      <w:bookmarkStart w:id="131" w:name="_ENREF_132"/>
      <w:r w:rsidRPr="00291026">
        <w:rPr>
          <w:noProof/>
        </w:rPr>
        <w:t>132.</w:t>
      </w:r>
      <w:r w:rsidRPr="00291026">
        <w:rPr>
          <w:noProof/>
        </w:rPr>
        <w:tab/>
        <w:t xml:space="preserve">Bailey PE, Keyes EB, Parker C, Abdullah M, Kebede H, Freedman L. Using a GIS to model interventions to strengthen the emergency referral system for maternal and newborn health in Ethiopia. </w:t>
      </w:r>
      <w:r w:rsidRPr="00291026">
        <w:rPr>
          <w:i/>
          <w:noProof/>
        </w:rPr>
        <w:t>International journal of gynaecology and obstetrics: the official organ of the International Federation of Gynaecology and Obstetrics</w:t>
      </w:r>
      <w:r w:rsidRPr="00291026">
        <w:rPr>
          <w:noProof/>
        </w:rPr>
        <w:t xml:space="preserve"> 2011; </w:t>
      </w:r>
      <w:r w:rsidRPr="00291026">
        <w:rPr>
          <w:b/>
          <w:noProof/>
        </w:rPr>
        <w:t>115</w:t>
      </w:r>
      <w:r w:rsidRPr="00291026">
        <w:rPr>
          <w:noProof/>
        </w:rPr>
        <w:t>(3): 300-9.</w:t>
      </w:r>
      <w:bookmarkEnd w:id="131"/>
    </w:p>
    <w:p w:rsidR="00F067F1" w:rsidRPr="00291026" w:rsidRDefault="00F067F1" w:rsidP="00291026">
      <w:pPr>
        <w:pStyle w:val="EndNoteBibliography"/>
        <w:spacing w:after="0"/>
        <w:rPr>
          <w:noProof/>
        </w:rPr>
      </w:pPr>
      <w:bookmarkStart w:id="132" w:name="_ENREF_133"/>
      <w:r w:rsidRPr="00291026">
        <w:rPr>
          <w:noProof/>
        </w:rPr>
        <w:t>133.</w:t>
      </w:r>
      <w:r w:rsidRPr="00291026">
        <w:rPr>
          <w:noProof/>
        </w:rPr>
        <w:tab/>
        <w:t xml:space="preserve">Gabrysch S, Zanger P, Seneviratne HR, Mbewe R, Campbell OM. Tracking progress towards safe motherhood: meeting the benchmark yet missing the goal? An appeal for better use of health-system output indicators with evidence from Zambia and Sri Lanka. </w:t>
      </w:r>
      <w:r w:rsidRPr="00291026">
        <w:rPr>
          <w:i/>
          <w:noProof/>
        </w:rPr>
        <w:t>Tropical medicine &amp; international health : TM &amp; IH</w:t>
      </w:r>
      <w:r w:rsidRPr="00291026">
        <w:rPr>
          <w:noProof/>
        </w:rPr>
        <w:t xml:space="preserve"> 2011; </w:t>
      </w:r>
      <w:r w:rsidRPr="00291026">
        <w:rPr>
          <w:b/>
          <w:noProof/>
        </w:rPr>
        <w:t>16</w:t>
      </w:r>
      <w:r w:rsidRPr="00291026">
        <w:rPr>
          <w:noProof/>
        </w:rPr>
        <w:t>(5): 627-39.</w:t>
      </w:r>
      <w:bookmarkEnd w:id="132"/>
    </w:p>
    <w:p w:rsidR="00F067F1" w:rsidRPr="00291026" w:rsidRDefault="00F067F1" w:rsidP="00291026">
      <w:pPr>
        <w:pStyle w:val="EndNoteBibliography"/>
        <w:rPr>
          <w:noProof/>
        </w:rPr>
      </w:pPr>
      <w:bookmarkStart w:id="133" w:name="_ENREF_134"/>
      <w:r w:rsidRPr="00291026">
        <w:rPr>
          <w:noProof/>
        </w:rPr>
        <w:t>134.</w:t>
      </w:r>
      <w:r w:rsidRPr="00291026">
        <w:rPr>
          <w:noProof/>
        </w:rPr>
        <w:tab/>
        <w:t xml:space="preserve">Naghavi M, Wang H, Lozano R, Davis A, Liang X, Zhou M. GBD 2013 Mortality and Causes of Death Collaborators. Global, regional, and national age-sex specific all-cause and cause-specific mortality for 240 causes of death, 1990-2013: a systematic analysis for the Global Burden of Disease Study 2013. </w:t>
      </w:r>
      <w:r w:rsidRPr="00291026">
        <w:rPr>
          <w:i/>
          <w:noProof/>
        </w:rPr>
        <w:t>Lancet (London, England)</w:t>
      </w:r>
      <w:r w:rsidRPr="00291026">
        <w:rPr>
          <w:noProof/>
        </w:rPr>
        <w:t xml:space="preserve"> 2015; </w:t>
      </w:r>
      <w:r w:rsidRPr="00291026">
        <w:rPr>
          <w:b/>
          <w:noProof/>
        </w:rPr>
        <w:t>385</w:t>
      </w:r>
      <w:r w:rsidRPr="00291026">
        <w:rPr>
          <w:noProof/>
        </w:rPr>
        <w:t>(9963): 117-71.</w:t>
      </w:r>
      <w:bookmarkEnd w:id="133"/>
    </w:p>
    <w:p w:rsidR="00F067F1" w:rsidRPr="008E510B" w:rsidRDefault="00F067F1" w:rsidP="002354E5">
      <w:pPr>
        <w:pStyle w:val="EndNoteBibliography"/>
        <w:spacing w:after="0" w:line="276" w:lineRule="auto"/>
        <w:rPr>
          <w:rFonts w:ascii="Times New Roman" w:hAnsi="Times New Roman" w:cs="Times New Roman"/>
          <w:sz w:val="24"/>
          <w:szCs w:val="24"/>
        </w:rPr>
      </w:pPr>
    </w:p>
    <w:p w:rsidR="00F067F1" w:rsidRPr="008E510B" w:rsidRDefault="00F067F1" w:rsidP="00072C97">
      <w:pPr>
        <w:spacing w:after="0" w:line="240" w:lineRule="auto"/>
        <w:rPr>
          <w:rFonts w:cs="Times New Roman"/>
          <w:b/>
          <w:szCs w:val="24"/>
        </w:rPr>
      </w:pPr>
      <w:bookmarkStart w:id="134" w:name="_GoBack"/>
      <w:bookmarkEnd w:id="134"/>
    </w:p>
    <w:sectPr w:rsidR="00F067F1" w:rsidRPr="008E510B" w:rsidSect="003414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57" w:rsidRDefault="00E73857">
      <w:pPr>
        <w:spacing w:after="0" w:line="240" w:lineRule="auto"/>
      </w:pPr>
      <w:r>
        <w:separator/>
      </w:r>
    </w:p>
  </w:endnote>
  <w:endnote w:type="continuationSeparator" w:id="0">
    <w:p w:rsidR="00E73857" w:rsidRDefault="00E7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6D" w:rsidRDefault="00F067F1" w:rsidP="00D96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86D" w:rsidRDefault="0034142E" w:rsidP="00D96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6D" w:rsidRDefault="00F067F1" w:rsidP="00D96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2E">
      <w:rPr>
        <w:rStyle w:val="PageNumber"/>
        <w:noProof/>
      </w:rPr>
      <w:t>16</w:t>
    </w:r>
    <w:r>
      <w:rPr>
        <w:rStyle w:val="PageNumber"/>
      </w:rPr>
      <w:fldChar w:fldCharType="end"/>
    </w:r>
  </w:p>
  <w:p w:rsidR="0045586D" w:rsidRDefault="0034142E" w:rsidP="00D966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6D" w:rsidRDefault="00F067F1" w:rsidP="00D96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86D" w:rsidRDefault="0034142E" w:rsidP="00D966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6D" w:rsidRDefault="00F067F1" w:rsidP="00D96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2E">
      <w:rPr>
        <w:rStyle w:val="PageNumber"/>
        <w:noProof/>
      </w:rPr>
      <w:t>25</w:t>
    </w:r>
    <w:r>
      <w:rPr>
        <w:rStyle w:val="PageNumber"/>
      </w:rPr>
      <w:fldChar w:fldCharType="end"/>
    </w:r>
  </w:p>
  <w:p w:rsidR="0045586D" w:rsidRDefault="0034142E" w:rsidP="00D966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57" w:rsidRDefault="00E73857">
      <w:pPr>
        <w:spacing w:after="0" w:line="240" w:lineRule="auto"/>
      </w:pPr>
      <w:r>
        <w:separator/>
      </w:r>
    </w:p>
  </w:footnote>
  <w:footnote w:type="continuationSeparator" w:id="0">
    <w:p w:rsidR="00E73857" w:rsidRDefault="00E7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B53"/>
    <w:multiLevelType w:val="hybridMultilevel"/>
    <w:tmpl w:val="9EF21882"/>
    <w:lvl w:ilvl="0" w:tplc="1B6AF03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C2704"/>
    <w:multiLevelType w:val="multilevel"/>
    <w:tmpl w:val="F79A7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C1DC1"/>
    <w:multiLevelType w:val="multilevel"/>
    <w:tmpl w:val="7C786B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D4E7E"/>
    <w:multiLevelType w:val="hybridMultilevel"/>
    <w:tmpl w:val="2708C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1404C"/>
    <w:multiLevelType w:val="hybridMultilevel"/>
    <w:tmpl w:val="B642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E2DA5"/>
    <w:multiLevelType w:val="multilevel"/>
    <w:tmpl w:val="A9781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B2D80"/>
    <w:multiLevelType w:val="hybridMultilevel"/>
    <w:tmpl w:val="8E9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42880"/>
    <w:multiLevelType w:val="hybridMultilevel"/>
    <w:tmpl w:val="2674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9786C"/>
    <w:multiLevelType w:val="multilevel"/>
    <w:tmpl w:val="2ACA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31876"/>
    <w:multiLevelType w:val="hybridMultilevel"/>
    <w:tmpl w:val="4E22C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57352"/>
    <w:multiLevelType w:val="hybridMultilevel"/>
    <w:tmpl w:val="C3E02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E3A3B"/>
    <w:multiLevelType w:val="hybridMultilevel"/>
    <w:tmpl w:val="664A9AD2"/>
    <w:lvl w:ilvl="0" w:tplc="1B6AF03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0849"/>
    <w:multiLevelType w:val="hybridMultilevel"/>
    <w:tmpl w:val="3336F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EA2C17"/>
    <w:multiLevelType w:val="hybridMultilevel"/>
    <w:tmpl w:val="74F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2753"/>
    <w:multiLevelType w:val="hybridMultilevel"/>
    <w:tmpl w:val="7FCA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816B6"/>
    <w:multiLevelType w:val="hybridMultilevel"/>
    <w:tmpl w:val="0718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B53D40"/>
    <w:multiLevelType w:val="hybridMultilevel"/>
    <w:tmpl w:val="E454F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B4D38"/>
    <w:multiLevelType w:val="hybridMultilevel"/>
    <w:tmpl w:val="457E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C32E7"/>
    <w:multiLevelType w:val="hybridMultilevel"/>
    <w:tmpl w:val="87EE5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633D8"/>
    <w:multiLevelType w:val="hybridMultilevel"/>
    <w:tmpl w:val="2800F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92EE9"/>
    <w:multiLevelType w:val="hybridMultilevel"/>
    <w:tmpl w:val="B2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86241"/>
    <w:multiLevelType w:val="hybridMultilevel"/>
    <w:tmpl w:val="3AA0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93CC6"/>
    <w:multiLevelType w:val="hybridMultilevel"/>
    <w:tmpl w:val="4B4AA7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2E54B9"/>
    <w:multiLevelType w:val="hybridMultilevel"/>
    <w:tmpl w:val="215625AE"/>
    <w:lvl w:ilvl="0" w:tplc="04090001">
      <w:start w:val="1"/>
      <w:numFmt w:val="bullet"/>
      <w:lvlText w:val=""/>
      <w:lvlJc w:val="left"/>
      <w:pPr>
        <w:ind w:left="460" w:hanging="460"/>
      </w:pPr>
      <w:rPr>
        <w:rFonts w:ascii="Symbol" w:hAnsi="Symbol" w:hint="default"/>
      </w:rPr>
    </w:lvl>
    <w:lvl w:ilvl="1" w:tplc="04090019">
      <w:start w:val="1"/>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7B188F"/>
    <w:multiLevelType w:val="hybridMultilevel"/>
    <w:tmpl w:val="C7E64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90506D"/>
    <w:multiLevelType w:val="hybridMultilevel"/>
    <w:tmpl w:val="417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F3BF1"/>
    <w:multiLevelType w:val="hybridMultilevel"/>
    <w:tmpl w:val="7B46C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6"/>
  </w:num>
  <w:num w:numId="3">
    <w:abstractNumId w:val="10"/>
  </w:num>
  <w:num w:numId="4">
    <w:abstractNumId w:val="25"/>
  </w:num>
  <w:num w:numId="5">
    <w:abstractNumId w:val="23"/>
  </w:num>
  <w:num w:numId="6">
    <w:abstractNumId w:val="19"/>
  </w:num>
  <w:num w:numId="7">
    <w:abstractNumId w:val="26"/>
  </w:num>
  <w:num w:numId="8">
    <w:abstractNumId w:val="13"/>
  </w:num>
  <w:num w:numId="9">
    <w:abstractNumId w:val="11"/>
  </w:num>
  <w:num w:numId="10">
    <w:abstractNumId w:val="0"/>
  </w:num>
  <w:num w:numId="11">
    <w:abstractNumId w:val="22"/>
  </w:num>
  <w:num w:numId="12">
    <w:abstractNumId w:val="1"/>
  </w:num>
  <w:num w:numId="13">
    <w:abstractNumId w:val="2"/>
  </w:num>
  <w:num w:numId="14">
    <w:abstractNumId w:val="5"/>
  </w:num>
  <w:num w:numId="15">
    <w:abstractNumId w:val="3"/>
  </w:num>
  <w:num w:numId="16">
    <w:abstractNumId w:val="9"/>
  </w:num>
  <w:num w:numId="17">
    <w:abstractNumId w:val="24"/>
  </w:num>
  <w:num w:numId="18">
    <w:abstractNumId w:val="15"/>
  </w:num>
  <w:num w:numId="19">
    <w:abstractNumId w:val="4"/>
  </w:num>
  <w:num w:numId="20">
    <w:abstractNumId w:val="12"/>
  </w:num>
  <w:num w:numId="21">
    <w:abstractNumId w:val="16"/>
  </w:num>
  <w:num w:numId="22">
    <w:abstractNumId w:val="18"/>
  </w:num>
  <w:num w:numId="23">
    <w:abstractNumId w:val="17"/>
  </w:num>
  <w:num w:numId="24">
    <w:abstractNumId w:val="14"/>
  </w:num>
  <w:num w:numId="25">
    <w:abstractNumId w:val="7"/>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067F1"/>
    <w:rsid w:val="00200E1C"/>
    <w:rsid w:val="00256FD7"/>
    <w:rsid w:val="00271DCF"/>
    <w:rsid w:val="0034142E"/>
    <w:rsid w:val="004E4DA1"/>
    <w:rsid w:val="00B00001"/>
    <w:rsid w:val="00DF4EB3"/>
    <w:rsid w:val="00E6048A"/>
    <w:rsid w:val="00E73857"/>
    <w:rsid w:val="00F0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188B"/>
  <w15:docId w15:val="{97ECDB3B-A7C4-4B42-884A-413710DF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F1"/>
    <w:pPr>
      <w:spacing w:after="20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F067F1"/>
    <w:pPr>
      <w:keepNext/>
      <w:keepLines/>
      <w:spacing w:before="480" w:after="0"/>
      <w:outlineLvl w:val="0"/>
    </w:pPr>
    <w:rPr>
      <w:rFonts w:eastAsiaTheme="majorEastAsia" w:cstheme="majorBidi"/>
      <w:b/>
      <w:bCs/>
      <w:u w:val="single"/>
    </w:rPr>
  </w:style>
  <w:style w:type="paragraph" w:styleId="Heading2">
    <w:name w:val="heading 2"/>
    <w:basedOn w:val="Normal"/>
    <w:next w:val="Normal"/>
    <w:link w:val="Heading2Char"/>
    <w:uiPriority w:val="9"/>
    <w:unhideWhenUsed/>
    <w:qFormat/>
    <w:rsid w:val="00F067F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067F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067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7F1"/>
    <w:rPr>
      <w:rFonts w:ascii="Times New Roman" w:eastAsiaTheme="majorEastAsia" w:hAnsi="Times New Roman" w:cstheme="majorBidi"/>
      <w:b/>
      <w:bCs/>
      <w:sz w:val="24"/>
      <w:u w:val="single"/>
      <w:lang w:val="en-US"/>
    </w:rPr>
  </w:style>
  <w:style w:type="character" w:customStyle="1" w:styleId="Heading2Char">
    <w:name w:val="Heading 2 Char"/>
    <w:basedOn w:val="DefaultParagraphFont"/>
    <w:link w:val="Heading2"/>
    <w:uiPriority w:val="9"/>
    <w:rsid w:val="00F067F1"/>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F067F1"/>
    <w:rPr>
      <w:rFonts w:asciiTheme="majorHAnsi" w:eastAsiaTheme="majorEastAsia" w:hAnsiTheme="majorHAnsi" w:cstheme="majorBidi"/>
      <w:b/>
      <w:bCs/>
      <w:color w:val="5B9BD5" w:themeColor="accent1"/>
      <w:sz w:val="24"/>
      <w:lang w:val="en-US"/>
    </w:rPr>
  </w:style>
  <w:style w:type="character" w:customStyle="1" w:styleId="Heading4Char">
    <w:name w:val="Heading 4 Char"/>
    <w:basedOn w:val="DefaultParagraphFont"/>
    <w:link w:val="Heading4"/>
    <w:uiPriority w:val="9"/>
    <w:rsid w:val="00F067F1"/>
    <w:rPr>
      <w:rFonts w:asciiTheme="majorHAnsi" w:eastAsiaTheme="majorEastAsia" w:hAnsiTheme="majorHAnsi" w:cstheme="majorBidi"/>
      <w:b/>
      <w:bCs/>
      <w:i/>
      <w:iCs/>
      <w:color w:val="5B9BD5" w:themeColor="accent1"/>
      <w:sz w:val="24"/>
      <w:lang w:val="en-US"/>
    </w:rPr>
  </w:style>
  <w:style w:type="paragraph" w:styleId="BalloonText">
    <w:name w:val="Balloon Text"/>
    <w:basedOn w:val="Normal"/>
    <w:link w:val="BalloonTextChar"/>
    <w:uiPriority w:val="99"/>
    <w:semiHidden/>
    <w:unhideWhenUsed/>
    <w:rsid w:val="00F06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F1"/>
    <w:rPr>
      <w:rFonts w:ascii="Lucida Grande" w:hAnsi="Lucida Grande" w:cs="Lucida Grande"/>
      <w:sz w:val="18"/>
      <w:szCs w:val="18"/>
      <w:lang w:val="en-US"/>
    </w:rPr>
  </w:style>
  <w:style w:type="paragraph" w:styleId="ListParagraph">
    <w:name w:val="List Paragraph"/>
    <w:basedOn w:val="Normal"/>
    <w:link w:val="ListParagraphChar"/>
    <w:uiPriority w:val="34"/>
    <w:qFormat/>
    <w:rsid w:val="00F067F1"/>
    <w:pPr>
      <w:ind w:left="720"/>
      <w:contextualSpacing/>
    </w:pPr>
  </w:style>
  <w:style w:type="character" w:styleId="CommentReference">
    <w:name w:val="annotation reference"/>
    <w:basedOn w:val="DefaultParagraphFont"/>
    <w:uiPriority w:val="99"/>
    <w:semiHidden/>
    <w:unhideWhenUsed/>
    <w:rsid w:val="00F067F1"/>
    <w:rPr>
      <w:sz w:val="16"/>
      <w:szCs w:val="16"/>
    </w:rPr>
  </w:style>
  <w:style w:type="paragraph" w:styleId="CommentText">
    <w:name w:val="annotation text"/>
    <w:basedOn w:val="Normal"/>
    <w:link w:val="CommentTextChar"/>
    <w:uiPriority w:val="99"/>
    <w:unhideWhenUsed/>
    <w:rsid w:val="00F067F1"/>
    <w:pPr>
      <w:spacing w:line="240" w:lineRule="auto"/>
    </w:pPr>
    <w:rPr>
      <w:sz w:val="20"/>
      <w:szCs w:val="20"/>
    </w:rPr>
  </w:style>
  <w:style w:type="character" w:customStyle="1" w:styleId="CommentTextChar">
    <w:name w:val="Comment Text Char"/>
    <w:basedOn w:val="DefaultParagraphFont"/>
    <w:link w:val="CommentText"/>
    <w:uiPriority w:val="99"/>
    <w:rsid w:val="00F067F1"/>
    <w:rPr>
      <w:rFonts w:ascii="Times New Roman" w:hAnsi="Times New Roman"/>
      <w:sz w:val="20"/>
      <w:szCs w:val="20"/>
      <w:lang w:val="en-US"/>
    </w:rPr>
  </w:style>
  <w:style w:type="paragraph" w:styleId="NormalWeb">
    <w:name w:val="Normal (Web)"/>
    <w:basedOn w:val="Normal"/>
    <w:uiPriority w:val="99"/>
    <w:unhideWhenUsed/>
    <w:rsid w:val="00F067F1"/>
    <w:pPr>
      <w:spacing w:before="100" w:beforeAutospacing="1" w:after="100" w:afterAutospacing="1" w:line="240" w:lineRule="auto"/>
    </w:pPr>
    <w:rPr>
      <w:rFonts w:ascii="Times" w:hAnsi="Times" w:cs="Times New Roman"/>
      <w:sz w:val="20"/>
      <w:szCs w:val="20"/>
    </w:rPr>
  </w:style>
  <w:style w:type="character" w:styleId="FootnoteReference">
    <w:name w:val="footnote reference"/>
    <w:basedOn w:val="DefaultParagraphFont"/>
    <w:uiPriority w:val="99"/>
    <w:semiHidden/>
    <w:unhideWhenUsed/>
    <w:rsid w:val="00F067F1"/>
    <w:rPr>
      <w:vertAlign w:val="superscript"/>
    </w:rPr>
  </w:style>
  <w:style w:type="paragraph" w:styleId="CommentSubject">
    <w:name w:val="annotation subject"/>
    <w:basedOn w:val="CommentText"/>
    <w:next w:val="CommentText"/>
    <w:link w:val="CommentSubjectChar"/>
    <w:uiPriority w:val="99"/>
    <w:semiHidden/>
    <w:unhideWhenUsed/>
    <w:rsid w:val="00F067F1"/>
    <w:rPr>
      <w:b/>
      <w:bCs/>
    </w:rPr>
  </w:style>
  <w:style w:type="character" w:customStyle="1" w:styleId="CommentSubjectChar">
    <w:name w:val="Comment Subject Char"/>
    <w:basedOn w:val="CommentTextChar"/>
    <w:link w:val="CommentSubject"/>
    <w:uiPriority w:val="99"/>
    <w:semiHidden/>
    <w:rsid w:val="00F067F1"/>
    <w:rPr>
      <w:rFonts w:ascii="Times New Roman" w:hAnsi="Times New Roman"/>
      <w:b/>
      <w:bCs/>
      <w:sz w:val="20"/>
      <w:szCs w:val="20"/>
      <w:lang w:val="en-US"/>
    </w:rPr>
  </w:style>
  <w:style w:type="paragraph" w:styleId="Footer">
    <w:name w:val="footer"/>
    <w:basedOn w:val="Normal"/>
    <w:link w:val="FooterChar"/>
    <w:uiPriority w:val="99"/>
    <w:unhideWhenUsed/>
    <w:rsid w:val="00F067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67F1"/>
    <w:rPr>
      <w:rFonts w:ascii="Times New Roman" w:hAnsi="Times New Roman"/>
      <w:sz w:val="24"/>
      <w:lang w:val="en-US"/>
    </w:rPr>
  </w:style>
  <w:style w:type="character" w:styleId="PageNumber">
    <w:name w:val="page number"/>
    <w:basedOn w:val="DefaultParagraphFont"/>
    <w:uiPriority w:val="99"/>
    <w:semiHidden/>
    <w:unhideWhenUsed/>
    <w:rsid w:val="00F067F1"/>
  </w:style>
  <w:style w:type="paragraph" w:styleId="Title">
    <w:name w:val="Title"/>
    <w:basedOn w:val="Normal"/>
    <w:next w:val="Normal"/>
    <w:link w:val="TitleChar"/>
    <w:uiPriority w:val="10"/>
    <w:qFormat/>
    <w:rsid w:val="00F067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67F1"/>
    <w:rPr>
      <w:rFonts w:asciiTheme="majorHAnsi" w:eastAsiaTheme="majorEastAsia" w:hAnsiTheme="majorHAnsi" w:cstheme="majorBidi"/>
      <w:color w:val="323E4F" w:themeColor="text2" w:themeShade="BF"/>
      <w:spacing w:val="5"/>
      <w:kern w:val="28"/>
      <w:sz w:val="52"/>
      <w:szCs w:val="52"/>
      <w:lang w:val="en-US"/>
    </w:rPr>
  </w:style>
  <w:style w:type="paragraph" w:styleId="Revision">
    <w:name w:val="Revision"/>
    <w:hidden/>
    <w:uiPriority w:val="99"/>
    <w:semiHidden/>
    <w:rsid w:val="00F067F1"/>
    <w:pPr>
      <w:spacing w:after="0" w:line="240" w:lineRule="auto"/>
    </w:pPr>
    <w:rPr>
      <w:lang w:val="en-US"/>
    </w:rPr>
  </w:style>
  <w:style w:type="paragraph" w:styleId="EndnoteText">
    <w:name w:val="endnote text"/>
    <w:basedOn w:val="Normal"/>
    <w:link w:val="EndnoteTextChar"/>
    <w:uiPriority w:val="99"/>
    <w:unhideWhenUsed/>
    <w:rsid w:val="00F067F1"/>
    <w:pPr>
      <w:spacing w:after="0" w:line="240" w:lineRule="auto"/>
    </w:pPr>
    <w:rPr>
      <w:sz w:val="20"/>
      <w:szCs w:val="20"/>
    </w:rPr>
  </w:style>
  <w:style w:type="character" w:customStyle="1" w:styleId="EndnoteTextChar">
    <w:name w:val="Endnote Text Char"/>
    <w:basedOn w:val="DefaultParagraphFont"/>
    <w:link w:val="EndnoteText"/>
    <w:uiPriority w:val="99"/>
    <w:rsid w:val="00F067F1"/>
    <w:rPr>
      <w:rFonts w:ascii="Times New Roman" w:hAnsi="Times New Roman"/>
      <w:sz w:val="20"/>
      <w:szCs w:val="20"/>
      <w:lang w:val="en-US"/>
    </w:rPr>
  </w:style>
  <w:style w:type="character" w:styleId="EndnoteReference">
    <w:name w:val="endnote reference"/>
    <w:basedOn w:val="DefaultParagraphFont"/>
    <w:uiPriority w:val="99"/>
    <w:semiHidden/>
    <w:unhideWhenUsed/>
    <w:rsid w:val="00F067F1"/>
    <w:rPr>
      <w:vertAlign w:val="superscript"/>
    </w:rPr>
  </w:style>
  <w:style w:type="character" w:styleId="Hyperlink">
    <w:name w:val="Hyperlink"/>
    <w:basedOn w:val="DefaultParagraphFont"/>
    <w:uiPriority w:val="99"/>
    <w:unhideWhenUsed/>
    <w:rsid w:val="00F067F1"/>
    <w:rPr>
      <w:color w:val="0563C1" w:themeColor="hyperlink"/>
      <w:u w:val="single"/>
    </w:rPr>
  </w:style>
  <w:style w:type="table" w:styleId="TableGrid">
    <w:name w:val="Table Grid"/>
    <w:basedOn w:val="TableNormal"/>
    <w:uiPriority w:val="39"/>
    <w:rsid w:val="00F06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067F1"/>
    <w:pPr>
      <w:spacing w:line="240" w:lineRule="auto"/>
    </w:pPr>
    <w:rPr>
      <w:rFonts w:ascii="Calibri" w:hAnsi="Calibri" w:cs="Calibri"/>
      <w:sz w:val="22"/>
    </w:rPr>
  </w:style>
  <w:style w:type="paragraph" w:customStyle="1" w:styleId="font10">
    <w:name w:val="font10"/>
    <w:basedOn w:val="Normal"/>
    <w:rsid w:val="00F067F1"/>
    <w:pPr>
      <w:spacing w:before="100" w:beforeAutospacing="1" w:after="100" w:afterAutospacing="1" w:line="240" w:lineRule="auto"/>
    </w:pPr>
    <w:rPr>
      <w:rFonts w:eastAsia="Times New Roman" w:cs="Times New Roman"/>
      <w:szCs w:val="24"/>
    </w:rPr>
  </w:style>
  <w:style w:type="character" w:customStyle="1" w:styleId="subheadcite">
    <w:name w:val="subheadcite"/>
    <w:basedOn w:val="DefaultParagraphFont"/>
    <w:rsid w:val="00F067F1"/>
  </w:style>
  <w:style w:type="paragraph" w:customStyle="1" w:styleId="head">
    <w:name w:val="head"/>
    <w:basedOn w:val="Normal"/>
    <w:rsid w:val="00F067F1"/>
    <w:pPr>
      <w:spacing w:before="100" w:beforeAutospacing="1" w:after="100" w:afterAutospacing="1" w:line="240" w:lineRule="auto"/>
    </w:pPr>
    <w:rPr>
      <w:rFonts w:eastAsia="Times New Roman" w:cs="Times New Roman"/>
      <w:szCs w:val="24"/>
    </w:rPr>
  </w:style>
  <w:style w:type="table" w:styleId="LightList">
    <w:name w:val="Light List"/>
    <w:basedOn w:val="TableNormal"/>
    <w:uiPriority w:val="61"/>
    <w:rsid w:val="00F067F1"/>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F067F1"/>
  </w:style>
  <w:style w:type="character" w:styleId="FollowedHyperlink">
    <w:name w:val="FollowedHyperlink"/>
    <w:basedOn w:val="DefaultParagraphFont"/>
    <w:uiPriority w:val="99"/>
    <w:semiHidden/>
    <w:unhideWhenUsed/>
    <w:rsid w:val="00F067F1"/>
    <w:rPr>
      <w:color w:val="954F72" w:themeColor="followedHyperlink"/>
      <w:u w:val="single"/>
    </w:rPr>
  </w:style>
  <w:style w:type="paragraph" w:styleId="Header">
    <w:name w:val="header"/>
    <w:basedOn w:val="Normal"/>
    <w:link w:val="HeaderChar"/>
    <w:uiPriority w:val="99"/>
    <w:unhideWhenUsed/>
    <w:rsid w:val="00F067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67F1"/>
    <w:rPr>
      <w:rFonts w:ascii="Times New Roman" w:hAnsi="Times New Roman"/>
      <w:sz w:val="24"/>
      <w:lang w:val="en-US"/>
    </w:rPr>
  </w:style>
  <w:style w:type="character" w:customStyle="1" w:styleId="EndNoteBibliographyChar">
    <w:name w:val="EndNote Bibliography Char"/>
    <w:basedOn w:val="DefaultParagraphFont"/>
    <w:link w:val="EndNoteBibliography"/>
    <w:rsid w:val="00F067F1"/>
    <w:rPr>
      <w:rFonts w:ascii="Calibri" w:hAnsi="Calibri" w:cs="Calibri"/>
      <w:lang w:val="en-US"/>
    </w:rPr>
  </w:style>
  <w:style w:type="paragraph" w:styleId="FootnoteText">
    <w:name w:val="footnote text"/>
    <w:basedOn w:val="Normal"/>
    <w:link w:val="FootnoteTextChar"/>
    <w:uiPriority w:val="99"/>
    <w:unhideWhenUsed/>
    <w:rsid w:val="00F067F1"/>
    <w:pPr>
      <w:spacing w:after="0" w:line="240" w:lineRule="auto"/>
    </w:pPr>
    <w:rPr>
      <w:rFonts w:eastAsiaTheme="minorEastAsia"/>
      <w:szCs w:val="24"/>
      <w:lang w:eastAsia="ja-JP"/>
    </w:rPr>
  </w:style>
  <w:style w:type="character" w:customStyle="1" w:styleId="FootnoteTextChar">
    <w:name w:val="Footnote Text Char"/>
    <w:basedOn w:val="DefaultParagraphFont"/>
    <w:link w:val="FootnoteText"/>
    <w:uiPriority w:val="99"/>
    <w:rsid w:val="00F067F1"/>
    <w:rPr>
      <w:rFonts w:ascii="Times New Roman" w:eastAsiaTheme="minorEastAsia" w:hAnsi="Times New Roman"/>
      <w:sz w:val="24"/>
      <w:szCs w:val="24"/>
      <w:lang w:val="en-US" w:eastAsia="ja-JP"/>
    </w:rPr>
  </w:style>
  <w:style w:type="character" w:customStyle="1" w:styleId="cit">
    <w:name w:val="cit"/>
    <w:basedOn w:val="DefaultParagraphFont"/>
    <w:rsid w:val="00F067F1"/>
  </w:style>
  <w:style w:type="character" w:customStyle="1" w:styleId="fm-vol-iss-date">
    <w:name w:val="fm-vol-iss-date"/>
    <w:basedOn w:val="DefaultParagraphFont"/>
    <w:rsid w:val="00F067F1"/>
  </w:style>
  <w:style w:type="character" w:customStyle="1" w:styleId="doi">
    <w:name w:val="doi"/>
    <w:basedOn w:val="DefaultParagraphFont"/>
    <w:rsid w:val="00F067F1"/>
  </w:style>
  <w:style w:type="paragraph" w:customStyle="1" w:styleId="Default">
    <w:name w:val="Default"/>
    <w:rsid w:val="00F067F1"/>
    <w:pPr>
      <w:autoSpaceDE w:val="0"/>
      <w:autoSpaceDN w:val="0"/>
      <w:adjustRightInd w:val="0"/>
      <w:spacing w:after="0" w:line="240" w:lineRule="auto"/>
    </w:pPr>
    <w:rPr>
      <w:rFonts w:ascii="Shaker 2 Lancet Regular" w:eastAsiaTheme="minorEastAsia" w:hAnsi="Shaker 2 Lancet Regular" w:cs="Shaker 2 Lancet Regular"/>
      <w:color w:val="000000"/>
      <w:sz w:val="24"/>
      <w:szCs w:val="24"/>
      <w:lang w:val="en-US"/>
    </w:rPr>
  </w:style>
  <w:style w:type="paragraph" w:customStyle="1" w:styleId="smallgrey">
    <w:name w:val="smallgrey"/>
    <w:basedOn w:val="Normal"/>
    <w:rsid w:val="00F067F1"/>
    <w:pPr>
      <w:spacing w:before="100" w:beforeAutospacing="1" w:after="100" w:afterAutospacing="1" w:line="240" w:lineRule="auto"/>
    </w:pPr>
    <w:rPr>
      <w:rFonts w:ascii="Times" w:eastAsiaTheme="minorEastAsia" w:hAnsi="Times"/>
      <w:sz w:val="20"/>
      <w:szCs w:val="20"/>
    </w:rPr>
  </w:style>
  <w:style w:type="character" w:customStyle="1" w:styleId="cdc-decorated">
    <w:name w:val="cdc-decorated"/>
    <w:basedOn w:val="DefaultParagraphFont"/>
    <w:rsid w:val="00F067F1"/>
  </w:style>
  <w:style w:type="character" w:customStyle="1" w:styleId="citationauthor">
    <w:name w:val="citation_author"/>
    <w:basedOn w:val="DefaultParagraphFont"/>
    <w:rsid w:val="00F067F1"/>
  </w:style>
  <w:style w:type="character" w:customStyle="1" w:styleId="citationdate">
    <w:name w:val="citation_date"/>
    <w:basedOn w:val="DefaultParagraphFont"/>
    <w:rsid w:val="00F067F1"/>
  </w:style>
  <w:style w:type="character" w:customStyle="1" w:styleId="citationarticletitle">
    <w:name w:val="citation_article_title"/>
    <w:basedOn w:val="DefaultParagraphFont"/>
    <w:rsid w:val="00F067F1"/>
  </w:style>
  <w:style w:type="character" w:customStyle="1" w:styleId="citationjournaltitle">
    <w:name w:val="citation_journal_title"/>
    <w:basedOn w:val="DefaultParagraphFont"/>
    <w:rsid w:val="00F067F1"/>
  </w:style>
  <w:style w:type="character" w:customStyle="1" w:styleId="citationissue">
    <w:name w:val="citation_issue"/>
    <w:basedOn w:val="DefaultParagraphFont"/>
    <w:rsid w:val="00F067F1"/>
  </w:style>
  <w:style w:type="character" w:customStyle="1" w:styleId="citationstartpage">
    <w:name w:val="citation_start_page"/>
    <w:basedOn w:val="DefaultParagraphFont"/>
    <w:rsid w:val="00F067F1"/>
  </w:style>
  <w:style w:type="character" w:customStyle="1" w:styleId="citationdoi">
    <w:name w:val="citation_doi"/>
    <w:basedOn w:val="DefaultParagraphFont"/>
    <w:rsid w:val="00F067F1"/>
  </w:style>
  <w:style w:type="character" w:customStyle="1" w:styleId="slug-metadata-note">
    <w:name w:val="slug-metadata-note"/>
    <w:basedOn w:val="DefaultParagraphFont"/>
    <w:rsid w:val="00F067F1"/>
  </w:style>
  <w:style w:type="character" w:customStyle="1" w:styleId="slug-ahead-of-print-date">
    <w:name w:val="slug-ahead-of-print-date"/>
    <w:basedOn w:val="DefaultParagraphFont"/>
    <w:rsid w:val="00F067F1"/>
  </w:style>
  <w:style w:type="character" w:customStyle="1" w:styleId="slug-doi">
    <w:name w:val="slug-doi"/>
    <w:basedOn w:val="DefaultParagraphFont"/>
    <w:rsid w:val="00F067F1"/>
  </w:style>
  <w:style w:type="character" w:styleId="HTMLCite">
    <w:name w:val="HTML Cite"/>
    <w:basedOn w:val="DefaultParagraphFont"/>
    <w:uiPriority w:val="99"/>
    <w:semiHidden/>
    <w:unhideWhenUsed/>
    <w:rsid w:val="00F067F1"/>
    <w:rPr>
      <w:i/>
      <w:iCs/>
    </w:rPr>
  </w:style>
  <w:style w:type="character" w:customStyle="1" w:styleId="slug-pub-date">
    <w:name w:val="slug-pub-date"/>
    <w:basedOn w:val="DefaultParagraphFont"/>
    <w:rsid w:val="00F067F1"/>
  </w:style>
  <w:style w:type="character" w:customStyle="1" w:styleId="slug-vol">
    <w:name w:val="slug-vol"/>
    <w:basedOn w:val="DefaultParagraphFont"/>
    <w:rsid w:val="00F067F1"/>
  </w:style>
  <w:style w:type="character" w:customStyle="1" w:styleId="slug-issue">
    <w:name w:val="slug-issue"/>
    <w:basedOn w:val="DefaultParagraphFont"/>
    <w:rsid w:val="00F067F1"/>
  </w:style>
  <w:style w:type="character" w:customStyle="1" w:styleId="slug-pages">
    <w:name w:val="slug-pages"/>
    <w:basedOn w:val="DefaultParagraphFont"/>
    <w:rsid w:val="00F067F1"/>
  </w:style>
  <w:style w:type="paragraph" w:customStyle="1" w:styleId="EndNoteBibliographyTitle">
    <w:name w:val="EndNote Bibliography Title"/>
    <w:basedOn w:val="Normal"/>
    <w:link w:val="EndNoteBibliographyTitleChar"/>
    <w:rsid w:val="00F067F1"/>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F067F1"/>
    <w:rPr>
      <w:rFonts w:ascii="Times New Roman" w:hAnsi="Times New Roman"/>
      <w:sz w:val="24"/>
      <w:lang w:val="en-US"/>
    </w:rPr>
  </w:style>
  <w:style w:type="character" w:customStyle="1" w:styleId="EndNoteBibliographyTitleChar">
    <w:name w:val="EndNote Bibliography Title Char"/>
    <w:basedOn w:val="ListParagraphChar"/>
    <w:link w:val="EndNoteBibliographyTitle"/>
    <w:rsid w:val="00F067F1"/>
    <w:rPr>
      <w:rFonts w:ascii="Calibri" w:hAnsi="Calibri" w:cs="Calibri"/>
      <w:noProof/>
      <w:sz w:val="24"/>
      <w:lang w:val="en-US"/>
    </w:rPr>
  </w:style>
  <w:style w:type="character" w:styleId="LineNumber">
    <w:name w:val="line number"/>
    <w:basedOn w:val="DefaultParagraphFont"/>
    <w:uiPriority w:val="99"/>
    <w:semiHidden/>
    <w:unhideWhenUsed/>
    <w:rsid w:val="00F067F1"/>
  </w:style>
  <w:style w:type="paragraph" w:customStyle="1" w:styleId="xmsonormal">
    <w:name w:val="x_msonormal"/>
    <w:basedOn w:val="Normal"/>
    <w:rsid w:val="00F067F1"/>
    <w:pPr>
      <w:spacing w:before="100" w:beforeAutospacing="1" w:after="100" w:afterAutospacing="1" w:line="240" w:lineRule="auto"/>
    </w:pPr>
    <w:rPr>
      <w:rFonts w:eastAsiaTheme="minorEastAsia" w:cs="Times New Roman"/>
      <w:szCs w:val="24"/>
      <w:lang w:val="en-GB" w:eastAsia="zh-CN"/>
    </w:rPr>
  </w:style>
  <w:style w:type="character" w:customStyle="1" w:styleId="highwire-cite-journal">
    <w:name w:val="highwire-cite-journal"/>
    <w:basedOn w:val="DefaultParagraphFont"/>
    <w:rsid w:val="00F067F1"/>
  </w:style>
  <w:style w:type="character" w:customStyle="1" w:styleId="highwire-cite-published-year">
    <w:name w:val="highwire-cite-published-year"/>
    <w:basedOn w:val="DefaultParagraphFont"/>
    <w:rsid w:val="00F067F1"/>
  </w:style>
  <w:style w:type="character" w:customStyle="1" w:styleId="highwire-cite-volume-issue">
    <w:name w:val="highwire-cite-volume-issue"/>
    <w:basedOn w:val="DefaultParagraphFont"/>
    <w:rsid w:val="00F067F1"/>
  </w:style>
  <w:style w:type="character" w:customStyle="1" w:styleId="highwire-cite-doi">
    <w:name w:val="highwire-cite-doi"/>
    <w:basedOn w:val="DefaultParagraphFont"/>
    <w:rsid w:val="00F067F1"/>
  </w:style>
  <w:style w:type="character" w:customStyle="1" w:styleId="highwire-cite-date">
    <w:name w:val="highwire-cite-date"/>
    <w:basedOn w:val="DefaultParagraphFont"/>
    <w:rsid w:val="00F067F1"/>
  </w:style>
  <w:style w:type="character" w:customStyle="1" w:styleId="highwire-cite-article-as">
    <w:name w:val="highwire-cite-article-as"/>
    <w:basedOn w:val="DefaultParagraphFont"/>
    <w:rsid w:val="00F067F1"/>
  </w:style>
  <w:style w:type="character" w:customStyle="1" w:styleId="italic">
    <w:name w:val="italic"/>
    <w:basedOn w:val="DefaultParagraphFont"/>
    <w:rsid w:val="00F067F1"/>
  </w:style>
  <w:style w:type="character" w:customStyle="1" w:styleId="name">
    <w:name w:val="name"/>
    <w:basedOn w:val="DefaultParagraphFont"/>
    <w:rsid w:val="00F067F1"/>
  </w:style>
  <w:style w:type="character" w:customStyle="1" w:styleId="contrib-role">
    <w:name w:val="contrib-role"/>
    <w:basedOn w:val="DefaultParagraphFont"/>
    <w:rsid w:val="00F067F1"/>
  </w:style>
  <w:style w:type="paragraph" w:styleId="Caption">
    <w:name w:val="caption"/>
    <w:basedOn w:val="Normal"/>
    <w:next w:val="Normal"/>
    <w:uiPriority w:val="35"/>
    <w:unhideWhenUsed/>
    <w:qFormat/>
    <w:rsid w:val="00F067F1"/>
    <w:pPr>
      <w:spacing w:line="240" w:lineRule="auto"/>
    </w:pPr>
    <w:rPr>
      <w:i/>
      <w:iCs/>
      <w:color w:val="44546A" w:themeColor="text2"/>
      <w:sz w:val="18"/>
      <w:szCs w:val="18"/>
    </w:rPr>
  </w:style>
  <w:style w:type="paragraph" w:styleId="NoSpacing">
    <w:name w:val="No Spacing"/>
    <w:uiPriority w:val="1"/>
    <w:qFormat/>
    <w:rsid w:val="00F067F1"/>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12533</Words>
  <Characters>71439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 Campbell</dc:creator>
  <cp:lastModifiedBy>Clara Calvert</cp:lastModifiedBy>
  <cp:revision>2</cp:revision>
  <dcterms:created xsi:type="dcterms:W3CDTF">2016-07-28T15:12:00Z</dcterms:created>
  <dcterms:modified xsi:type="dcterms:W3CDTF">2016-07-28T15:12:00Z</dcterms:modified>
</cp:coreProperties>
</file>