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4A551" w14:textId="77777777" w:rsidR="00643930" w:rsidRDefault="00DC2C24" w:rsidP="0017752D">
      <w:pPr>
        <w:pStyle w:val="Heading1"/>
        <w:spacing w:before="0" w:line="276" w:lineRule="auto"/>
        <w:rPr>
          <w:rFonts w:ascii="Times New Roman" w:hAnsi="Times New Roman" w:cs="Times New Roman"/>
          <w:b/>
          <w:color w:val="auto"/>
          <w:sz w:val="40"/>
          <w:szCs w:val="40"/>
        </w:rPr>
      </w:pPr>
      <w:r w:rsidRPr="0073228A">
        <w:rPr>
          <w:rFonts w:ascii="Times New Roman" w:hAnsi="Times New Roman" w:cs="Times New Roman"/>
          <w:b/>
          <w:color w:val="auto"/>
          <w:sz w:val="40"/>
          <w:szCs w:val="40"/>
        </w:rPr>
        <w:t xml:space="preserve">Using </w:t>
      </w:r>
      <w:r w:rsidR="005C73E2" w:rsidRPr="0073228A">
        <w:rPr>
          <w:rFonts w:ascii="Times New Roman" w:hAnsi="Times New Roman" w:cs="Times New Roman"/>
          <w:b/>
          <w:color w:val="auto"/>
          <w:sz w:val="40"/>
          <w:szCs w:val="40"/>
        </w:rPr>
        <w:t xml:space="preserve">pneumococcal </w:t>
      </w:r>
      <w:r w:rsidRPr="0073228A">
        <w:rPr>
          <w:rFonts w:ascii="Times New Roman" w:hAnsi="Times New Roman" w:cs="Times New Roman"/>
          <w:b/>
          <w:color w:val="auto"/>
          <w:sz w:val="40"/>
          <w:szCs w:val="40"/>
        </w:rPr>
        <w:t xml:space="preserve">carriage </w:t>
      </w:r>
      <w:r w:rsidR="005C73E2" w:rsidRPr="0073228A">
        <w:rPr>
          <w:rFonts w:ascii="Times New Roman" w:hAnsi="Times New Roman" w:cs="Times New Roman"/>
          <w:b/>
          <w:color w:val="auto"/>
          <w:sz w:val="40"/>
          <w:szCs w:val="40"/>
        </w:rPr>
        <w:t xml:space="preserve">data </w:t>
      </w:r>
      <w:r w:rsidRPr="0073228A">
        <w:rPr>
          <w:rFonts w:ascii="Times New Roman" w:hAnsi="Times New Roman" w:cs="Times New Roman"/>
          <w:b/>
          <w:color w:val="auto"/>
          <w:sz w:val="40"/>
          <w:szCs w:val="40"/>
        </w:rPr>
        <w:t xml:space="preserve">to monitor </w:t>
      </w:r>
      <w:r w:rsidR="005C73E2" w:rsidRPr="0073228A">
        <w:rPr>
          <w:rFonts w:ascii="Times New Roman" w:hAnsi="Times New Roman" w:cs="Times New Roman"/>
          <w:b/>
          <w:color w:val="auto"/>
          <w:sz w:val="40"/>
          <w:szCs w:val="40"/>
        </w:rPr>
        <w:t xml:space="preserve">post vaccination </w:t>
      </w:r>
      <w:r w:rsidRPr="0073228A">
        <w:rPr>
          <w:rFonts w:ascii="Times New Roman" w:hAnsi="Times New Roman" w:cs="Times New Roman"/>
          <w:b/>
          <w:color w:val="auto"/>
          <w:sz w:val="40"/>
          <w:szCs w:val="40"/>
        </w:rPr>
        <w:t>changes in pneumococcal otitis media</w:t>
      </w:r>
      <w:r w:rsidR="005C73E2" w:rsidRPr="0073228A">
        <w:rPr>
          <w:rFonts w:ascii="Times New Roman" w:hAnsi="Times New Roman" w:cs="Times New Roman"/>
          <w:b/>
          <w:color w:val="auto"/>
          <w:sz w:val="40"/>
          <w:szCs w:val="40"/>
        </w:rPr>
        <w:t xml:space="preserve"> incidence</w:t>
      </w:r>
      <w:r w:rsidRPr="0073228A">
        <w:rPr>
          <w:rFonts w:ascii="Times New Roman" w:hAnsi="Times New Roman" w:cs="Times New Roman"/>
          <w:b/>
          <w:color w:val="auto"/>
          <w:sz w:val="40"/>
          <w:szCs w:val="40"/>
        </w:rPr>
        <w:t>.</w:t>
      </w:r>
    </w:p>
    <w:p w14:paraId="67572CC3" w14:textId="7BD71548" w:rsidR="00BB2EE9" w:rsidRDefault="00BB2EE9" w:rsidP="00CA7C0D">
      <w:pPr>
        <w:spacing w:before="240" w:after="0"/>
        <w:ind w:left="1418" w:hanging="1418"/>
      </w:pPr>
      <w:r>
        <w:rPr>
          <w:rFonts w:ascii="Times New Roman" w:hAnsi="Times New Roman" w:cs="Times New Roman"/>
          <w:sz w:val="24"/>
          <w:szCs w:val="24"/>
          <w:u w:val="single"/>
        </w:rPr>
        <w:t xml:space="preserve">Running </w:t>
      </w:r>
      <w:r w:rsidRPr="0073228A">
        <w:rPr>
          <w:rFonts w:ascii="Times New Roman" w:hAnsi="Times New Roman" w:cs="Times New Roman"/>
          <w:sz w:val="24"/>
          <w:szCs w:val="24"/>
          <w:u w:val="single"/>
        </w:rPr>
        <w:t>title:</w:t>
      </w:r>
      <w:r w:rsidRPr="0073228A">
        <w:rPr>
          <w:rFonts w:ascii="Times New Roman" w:hAnsi="Times New Roman" w:cs="Times New Roman"/>
          <w:sz w:val="24"/>
          <w:szCs w:val="24"/>
        </w:rPr>
        <w:tab/>
        <w:t>Monitoring pneumococcal OM via carriage</w:t>
      </w:r>
    </w:p>
    <w:p w14:paraId="296B8D1D" w14:textId="010289F1" w:rsidR="00BB2EE9" w:rsidRDefault="00BB2EE9" w:rsidP="00BB2EE9">
      <w:pPr>
        <w:spacing w:before="240" w:after="0" w:line="240" w:lineRule="auto"/>
        <w:ind w:left="1418" w:hanging="1418"/>
        <w:rPr>
          <w:rFonts w:ascii="Times New Roman" w:hAnsi="Times New Roman" w:cs="Times New Roman"/>
          <w:sz w:val="24"/>
          <w:szCs w:val="24"/>
        </w:rPr>
      </w:pPr>
      <w:r w:rsidRPr="00CA7C0D">
        <w:rPr>
          <w:rFonts w:ascii="Times New Roman" w:hAnsi="Times New Roman" w:cs="Times New Roman"/>
          <w:sz w:val="24"/>
          <w:szCs w:val="24"/>
          <w:u w:val="single"/>
        </w:rPr>
        <w:t>Authors:</w:t>
      </w:r>
      <w:r>
        <w:rPr>
          <w:rFonts w:ascii="Times New Roman" w:hAnsi="Times New Roman" w:cs="Times New Roman"/>
          <w:sz w:val="24"/>
          <w:szCs w:val="24"/>
        </w:rPr>
        <w:t xml:space="preserve"> </w:t>
      </w:r>
      <w:r w:rsidRPr="0073228A">
        <w:rPr>
          <w:rFonts w:ascii="Times New Roman" w:hAnsi="Times New Roman" w:cs="Times New Roman"/>
          <w:sz w:val="24"/>
          <w:szCs w:val="24"/>
        </w:rPr>
        <w:t>Stefan Flasche*</w:t>
      </w:r>
      <w:r w:rsidRPr="0073228A">
        <w:rPr>
          <w:rFonts w:ascii="Times New Roman" w:hAnsi="Times New Roman" w:cs="Times New Roman"/>
          <w:sz w:val="24"/>
          <w:szCs w:val="24"/>
          <w:vertAlign w:val="superscript"/>
        </w:rPr>
        <w:t>1</w:t>
      </w:r>
      <w:r w:rsidRPr="0073228A">
        <w:rPr>
          <w:rFonts w:ascii="Times New Roman" w:hAnsi="Times New Roman" w:cs="Times New Roman"/>
          <w:sz w:val="24"/>
          <w:szCs w:val="24"/>
        </w:rPr>
        <w:t>, Noga Givon-Lavi</w:t>
      </w:r>
      <w:r w:rsidRPr="0073228A">
        <w:rPr>
          <w:rFonts w:ascii="Times New Roman" w:hAnsi="Times New Roman" w:cs="Times New Roman"/>
          <w:sz w:val="24"/>
          <w:szCs w:val="24"/>
          <w:vertAlign w:val="superscript"/>
        </w:rPr>
        <w:t>2,3</w:t>
      </w:r>
      <w:r w:rsidRPr="0073228A">
        <w:rPr>
          <w:rFonts w:ascii="Times New Roman" w:hAnsi="Times New Roman" w:cs="Times New Roman"/>
          <w:sz w:val="24"/>
          <w:szCs w:val="24"/>
        </w:rPr>
        <w:t xml:space="preserve"> , Ron Dagan</w:t>
      </w:r>
      <w:r w:rsidRPr="0073228A">
        <w:rPr>
          <w:rFonts w:ascii="Times New Roman" w:hAnsi="Times New Roman" w:cs="Times New Roman"/>
          <w:sz w:val="24"/>
          <w:szCs w:val="24"/>
          <w:vertAlign w:val="superscript"/>
        </w:rPr>
        <w:t>2,4</w:t>
      </w:r>
      <w:r w:rsidRPr="0073228A">
        <w:rPr>
          <w:rFonts w:ascii="Times New Roman" w:hAnsi="Times New Roman" w:cs="Times New Roman"/>
          <w:sz w:val="24"/>
          <w:szCs w:val="24"/>
        </w:rPr>
        <w:t xml:space="preserve"> </w:t>
      </w:r>
    </w:p>
    <w:p w14:paraId="1B399E92" w14:textId="76D8AD9A" w:rsidR="00AC2E3D" w:rsidRDefault="00AC2E3D" w:rsidP="00AC2E3D">
      <w:pPr>
        <w:spacing w:before="240" w:after="0"/>
        <w:ind w:left="1418" w:hanging="1418"/>
        <w:rPr>
          <w:rFonts w:ascii="Times New Roman" w:hAnsi="Times New Roman" w:cs="Times New Roman"/>
          <w:sz w:val="24"/>
          <w:szCs w:val="24"/>
        </w:rPr>
      </w:pPr>
      <w:r w:rsidRPr="0073228A">
        <w:rPr>
          <w:rFonts w:ascii="Times New Roman" w:hAnsi="Times New Roman" w:cs="Times New Roman"/>
          <w:sz w:val="24"/>
          <w:szCs w:val="24"/>
          <w:u w:val="single"/>
        </w:rPr>
        <w:t>Affiliations:</w:t>
      </w:r>
      <w:r w:rsidR="005F355E">
        <w:rPr>
          <w:rFonts w:ascii="Times New Roman" w:hAnsi="Times New Roman" w:cs="Times New Roman"/>
          <w:sz w:val="24"/>
          <w:szCs w:val="24"/>
        </w:rPr>
        <w:t xml:space="preserve"> </w:t>
      </w:r>
      <w:r w:rsidRPr="0073228A">
        <w:rPr>
          <w:rFonts w:ascii="Times New Roman" w:hAnsi="Times New Roman" w:cs="Times New Roman"/>
          <w:sz w:val="24"/>
          <w:szCs w:val="24"/>
          <w:vertAlign w:val="superscript"/>
        </w:rPr>
        <w:t xml:space="preserve">1 </w:t>
      </w:r>
      <w:r w:rsidRPr="0073228A">
        <w:rPr>
          <w:rFonts w:ascii="Times New Roman" w:hAnsi="Times New Roman" w:cs="Times New Roman"/>
          <w:sz w:val="24"/>
          <w:szCs w:val="24"/>
        </w:rPr>
        <w:t xml:space="preserve">London School of Hygiene and Tropical Medicine, </w:t>
      </w:r>
      <w:r w:rsidR="00932203">
        <w:rPr>
          <w:rFonts w:ascii="Times New Roman" w:hAnsi="Times New Roman" w:cs="Times New Roman"/>
          <w:sz w:val="24"/>
          <w:szCs w:val="24"/>
        </w:rPr>
        <w:t xml:space="preserve">Department of Infectious Disease Epidemiology, </w:t>
      </w:r>
      <w:r w:rsidRPr="0073228A">
        <w:rPr>
          <w:rFonts w:ascii="Times New Roman" w:hAnsi="Times New Roman" w:cs="Times New Roman"/>
          <w:sz w:val="24"/>
          <w:szCs w:val="24"/>
        </w:rPr>
        <w:t xml:space="preserve">London, UK; </w:t>
      </w:r>
      <w:r w:rsidRPr="0073228A">
        <w:rPr>
          <w:rFonts w:ascii="Times New Roman" w:hAnsi="Times New Roman" w:cs="Times New Roman"/>
          <w:sz w:val="24"/>
          <w:szCs w:val="24"/>
          <w:vertAlign w:val="superscript"/>
        </w:rPr>
        <w:t>2</w:t>
      </w:r>
      <w:r w:rsidRPr="0073228A">
        <w:rPr>
          <w:rFonts w:ascii="Times New Roman" w:hAnsi="Times New Roman" w:cs="Times New Roman"/>
          <w:sz w:val="24"/>
          <w:szCs w:val="24"/>
        </w:rPr>
        <w:t xml:space="preserve"> Soroka University Medical Center, Beer Sheva, Israel; </w:t>
      </w:r>
      <w:r w:rsidRPr="0073228A">
        <w:rPr>
          <w:rFonts w:ascii="Times New Roman" w:hAnsi="Times New Roman" w:cs="Times New Roman"/>
          <w:sz w:val="24"/>
          <w:szCs w:val="24"/>
          <w:vertAlign w:val="superscript"/>
        </w:rPr>
        <w:t>3</w:t>
      </w:r>
      <w:r w:rsidRPr="0073228A">
        <w:rPr>
          <w:rFonts w:ascii="Times New Roman" w:hAnsi="Times New Roman" w:cs="Times New Roman"/>
          <w:sz w:val="24"/>
          <w:szCs w:val="24"/>
        </w:rPr>
        <w:t xml:space="preserve">  Ben-Gurion University of Negev, Beer Sheva, Israel; </w:t>
      </w:r>
      <w:r w:rsidRPr="0073228A">
        <w:rPr>
          <w:rFonts w:ascii="Times New Roman" w:hAnsi="Times New Roman" w:cs="Times New Roman"/>
          <w:sz w:val="24"/>
          <w:szCs w:val="24"/>
          <w:vertAlign w:val="superscript"/>
        </w:rPr>
        <w:t>4</w:t>
      </w:r>
      <w:r w:rsidRPr="0073228A">
        <w:rPr>
          <w:rFonts w:ascii="Times New Roman" w:hAnsi="Times New Roman" w:cs="Times New Roman"/>
          <w:sz w:val="24"/>
          <w:szCs w:val="24"/>
        </w:rPr>
        <w:t xml:space="preserve"> Ben-Gurion University of Negev, Beer Sheva, Israel</w:t>
      </w:r>
    </w:p>
    <w:p w14:paraId="0C8511BF" w14:textId="51D0EE74" w:rsidR="00AC2E3D" w:rsidRDefault="00AC2E3D" w:rsidP="00AC2E3D">
      <w:pPr>
        <w:spacing w:before="240" w:after="0"/>
        <w:ind w:left="1418" w:hanging="1418"/>
        <w:rPr>
          <w:rFonts w:ascii="Times New Roman" w:hAnsi="Times New Roman" w:cs="Times New Roman"/>
          <w:sz w:val="24"/>
          <w:szCs w:val="24"/>
        </w:rPr>
      </w:pPr>
      <w:r w:rsidRPr="0073228A">
        <w:rPr>
          <w:rFonts w:ascii="Times New Roman" w:hAnsi="Times New Roman" w:cs="Times New Roman"/>
          <w:sz w:val="24"/>
          <w:szCs w:val="24"/>
          <w:u w:val="single"/>
        </w:rPr>
        <w:t>Corresponding Author</w:t>
      </w:r>
      <w:r>
        <w:rPr>
          <w:rFonts w:ascii="Times New Roman" w:hAnsi="Times New Roman" w:cs="Times New Roman"/>
          <w:sz w:val="24"/>
          <w:szCs w:val="24"/>
          <w:u w:val="single"/>
        </w:rPr>
        <w:t>*:</w:t>
      </w:r>
      <w:r w:rsidRPr="003C3124">
        <w:rPr>
          <w:rFonts w:ascii="Times New Roman" w:hAnsi="Times New Roman" w:cs="Times New Roman"/>
          <w:sz w:val="24"/>
          <w:szCs w:val="24"/>
        </w:rPr>
        <w:t xml:space="preserve">  </w:t>
      </w:r>
      <w:r w:rsidR="003C3124" w:rsidRPr="003C3124">
        <w:rPr>
          <w:rFonts w:ascii="Times New Roman" w:hAnsi="Times New Roman" w:cs="Times New Roman"/>
          <w:sz w:val="24"/>
          <w:szCs w:val="24"/>
        </w:rPr>
        <w:t xml:space="preserve">Dr. </w:t>
      </w:r>
      <w:r w:rsidR="003C3124">
        <w:rPr>
          <w:rFonts w:ascii="Times New Roman" w:hAnsi="Times New Roman" w:cs="Times New Roman"/>
          <w:sz w:val="24"/>
          <w:szCs w:val="24"/>
        </w:rPr>
        <w:tab/>
      </w:r>
      <w:r w:rsidRPr="0073228A">
        <w:rPr>
          <w:rFonts w:ascii="Times New Roman" w:hAnsi="Times New Roman" w:cs="Times New Roman"/>
          <w:sz w:val="24"/>
          <w:szCs w:val="24"/>
        </w:rPr>
        <w:t>Stefan Flasche, Department of Infectious Disease Epidemiology, London School of Hygiene</w:t>
      </w:r>
      <w:r>
        <w:rPr>
          <w:rFonts w:ascii="Times New Roman" w:hAnsi="Times New Roman" w:cs="Times New Roman"/>
          <w:sz w:val="24"/>
          <w:szCs w:val="24"/>
        </w:rPr>
        <w:t xml:space="preserve"> </w:t>
      </w:r>
      <w:r w:rsidRPr="0073228A">
        <w:rPr>
          <w:rFonts w:ascii="Times New Roman" w:hAnsi="Times New Roman" w:cs="Times New Roman"/>
          <w:sz w:val="24"/>
          <w:szCs w:val="24"/>
        </w:rPr>
        <w:t xml:space="preserve">and Tropical Medicine, Keppel Street, WC1E 7HT, London, UK, </w:t>
      </w:r>
      <w:hyperlink r:id="rId8" w:history="1">
        <w:r w:rsidRPr="005F6D9F">
          <w:rPr>
            <w:rStyle w:val="Hyperlink"/>
            <w:rFonts w:ascii="Times New Roman" w:hAnsi="Times New Roman" w:cs="Times New Roman"/>
            <w:sz w:val="24"/>
            <w:szCs w:val="24"/>
          </w:rPr>
          <w:t>Stefan.Flasche@lshtm.ac.uk</w:t>
        </w:r>
      </w:hyperlink>
      <w:r w:rsidRPr="0073228A">
        <w:rPr>
          <w:rFonts w:ascii="Times New Roman" w:hAnsi="Times New Roman" w:cs="Times New Roman"/>
          <w:sz w:val="24"/>
          <w:szCs w:val="24"/>
        </w:rPr>
        <w:t xml:space="preserve"> </w:t>
      </w:r>
    </w:p>
    <w:p w14:paraId="4B871EE1" w14:textId="77777777" w:rsidR="00AC2E3D" w:rsidRDefault="00AC2E3D" w:rsidP="00AC2E3D">
      <w:pPr>
        <w:spacing w:before="240"/>
        <w:ind w:left="1134" w:hanging="1134"/>
        <w:rPr>
          <w:rFonts w:ascii="Times New Roman" w:hAnsi="Times New Roman" w:cs="Times New Roman"/>
          <w:i/>
          <w:sz w:val="24"/>
          <w:szCs w:val="24"/>
        </w:rPr>
      </w:pPr>
      <w:r w:rsidRPr="0073228A">
        <w:rPr>
          <w:rFonts w:ascii="Times New Roman" w:hAnsi="Times New Roman" w:cs="Times New Roman"/>
          <w:sz w:val="24"/>
          <w:szCs w:val="24"/>
          <w:u w:val="single"/>
        </w:rPr>
        <w:t>Keywords</w:t>
      </w:r>
      <w:r w:rsidRPr="00DD1CC3">
        <w:rPr>
          <w:rFonts w:ascii="Times New Roman" w:hAnsi="Times New Roman" w:cs="Times New Roman"/>
          <w:sz w:val="24"/>
          <w:szCs w:val="24"/>
        </w:rPr>
        <w:t>:</w:t>
      </w:r>
      <w:r w:rsidRPr="00DD1CC3">
        <w:rPr>
          <w:rFonts w:ascii="Times New Roman" w:hAnsi="Times New Roman" w:cs="Times New Roman"/>
          <w:sz w:val="24"/>
          <w:szCs w:val="24"/>
        </w:rPr>
        <w:tab/>
      </w:r>
      <w:r w:rsidRPr="0073228A">
        <w:rPr>
          <w:rFonts w:ascii="Times New Roman" w:hAnsi="Times New Roman" w:cs="Times New Roman"/>
          <w:i/>
          <w:sz w:val="24"/>
          <w:szCs w:val="24"/>
        </w:rPr>
        <w:t>Streptococcus pneumoniae</w:t>
      </w:r>
      <w:r w:rsidRPr="0073228A">
        <w:rPr>
          <w:rFonts w:ascii="Times New Roman" w:hAnsi="Times New Roman" w:cs="Times New Roman"/>
          <w:sz w:val="24"/>
          <w:szCs w:val="24"/>
        </w:rPr>
        <w:t>; Otitis media, nasopharyngeal carriage, prediction model</w:t>
      </w:r>
      <w:r w:rsidRPr="0073228A">
        <w:rPr>
          <w:rFonts w:ascii="Times New Roman" w:hAnsi="Times New Roman" w:cs="Times New Roman"/>
          <w:i/>
          <w:sz w:val="24"/>
          <w:szCs w:val="24"/>
        </w:rPr>
        <w:t xml:space="preserve"> </w:t>
      </w:r>
    </w:p>
    <w:p w14:paraId="3E1C33D2" w14:textId="77777777" w:rsidR="003C3124" w:rsidRDefault="003C3124" w:rsidP="00AC2E3D">
      <w:pPr>
        <w:spacing w:before="240"/>
        <w:ind w:left="1134" w:hanging="1134"/>
        <w:rPr>
          <w:rFonts w:ascii="Times New Roman" w:hAnsi="Times New Roman" w:cs="Times New Roman"/>
          <w:i/>
          <w:sz w:val="24"/>
          <w:szCs w:val="24"/>
        </w:rPr>
      </w:pPr>
      <w:r>
        <w:rPr>
          <w:rFonts w:ascii="Times New Roman" w:hAnsi="Times New Roman" w:cs="Times New Roman"/>
          <w:sz w:val="24"/>
          <w:szCs w:val="24"/>
          <w:u w:val="single"/>
        </w:rPr>
        <w:t>Abbreviations</w:t>
      </w:r>
      <w:r w:rsidRPr="003C3124">
        <w:rPr>
          <w:rFonts w:ascii="Times New Roman" w:hAnsi="Times New Roman" w:cs="Times New Roman"/>
          <w:i/>
          <w:sz w:val="24"/>
          <w:szCs w:val="24"/>
        </w:rPr>
        <w:t>:</w:t>
      </w:r>
      <w:r>
        <w:rPr>
          <w:rFonts w:ascii="Times New Roman" w:hAnsi="Times New Roman" w:cs="Times New Roman"/>
          <w:i/>
          <w:sz w:val="24"/>
          <w:szCs w:val="24"/>
        </w:rPr>
        <w:t xml:space="preserve"> </w:t>
      </w:r>
    </w:p>
    <w:p w14:paraId="69419D8B" w14:textId="38B89423" w:rsidR="003C3124" w:rsidRDefault="003C3124" w:rsidP="003C3124">
      <w:pPr>
        <w:spacing w:after="0"/>
        <w:ind w:left="1701" w:hanging="992"/>
        <w:rPr>
          <w:rFonts w:ascii="Times New Roman" w:hAnsi="Times New Roman" w:cs="Times New Roman"/>
          <w:sz w:val="24"/>
          <w:szCs w:val="24"/>
        </w:rPr>
      </w:pPr>
      <w:r>
        <w:rPr>
          <w:rFonts w:ascii="Times New Roman" w:hAnsi="Times New Roman" w:cs="Times New Roman"/>
          <w:sz w:val="24"/>
          <w:szCs w:val="24"/>
        </w:rPr>
        <w:t>IPD</w:t>
      </w:r>
      <w:r>
        <w:rPr>
          <w:rFonts w:ascii="Times New Roman" w:hAnsi="Times New Roman" w:cs="Times New Roman"/>
          <w:sz w:val="24"/>
          <w:szCs w:val="24"/>
        </w:rPr>
        <w:tab/>
        <w:t>Invasive pneumococcal disease</w:t>
      </w:r>
    </w:p>
    <w:p w14:paraId="4FDBDEB0" w14:textId="568CB243" w:rsidR="003C3124" w:rsidRDefault="003C3124" w:rsidP="003C3124">
      <w:pPr>
        <w:spacing w:after="0"/>
        <w:ind w:left="1701" w:hanging="992"/>
        <w:rPr>
          <w:rFonts w:ascii="Times New Roman" w:hAnsi="Times New Roman" w:cs="Times New Roman"/>
          <w:sz w:val="24"/>
          <w:szCs w:val="24"/>
        </w:rPr>
      </w:pPr>
      <w:r>
        <w:rPr>
          <w:rFonts w:ascii="Times New Roman" w:hAnsi="Times New Roman" w:cs="Times New Roman"/>
          <w:sz w:val="24"/>
          <w:szCs w:val="24"/>
        </w:rPr>
        <w:t>MEF</w:t>
      </w:r>
      <w:r>
        <w:rPr>
          <w:rFonts w:ascii="Times New Roman" w:hAnsi="Times New Roman" w:cs="Times New Roman"/>
          <w:sz w:val="24"/>
          <w:szCs w:val="24"/>
        </w:rPr>
        <w:tab/>
        <w:t>Middle ear fluid</w:t>
      </w:r>
      <w:r>
        <w:rPr>
          <w:rFonts w:ascii="Times New Roman" w:hAnsi="Times New Roman" w:cs="Times New Roman"/>
          <w:sz w:val="24"/>
          <w:szCs w:val="24"/>
        </w:rPr>
        <w:tab/>
      </w:r>
    </w:p>
    <w:p w14:paraId="18161959" w14:textId="7C4073CF" w:rsidR="003C3124" w:rsidRDefault="003C3124" w:rsidP="003C3124">
      <w:pPr>
        <w:spacing w:after="0"/>
        <w:ind w:left="1701" w:hanging="992"/>
        <w:rPr>
          <w:rFonts w:ascii="Times New Roman" w:hAnsi="Times New Roman" w:cs="Times New Roman"/>
          <w:sz w:val="24"/>
          <w:szCs w:val="24"/>
        </w:rPr>
      </w:pPr>
      <w:r>
        <w:rPr>
          <w:rFonts w:ascii="Times New Roman" w:hAnsi="Times New Roman" w:cs="Times New Roman"/>
          <w:sz w:val="24"/>
          <w:szCs w:val="24"/>
        </w:rPr>
        <w:t>NP</w:t>
      </w:r>
      <w:r>
        <w:rPr>
          <w:rFonts w:ascii="Times New Roman" w:hAnsi="Times New Roman" w:cs="Times New Roman"/>
          <w:sz w:val="24"/>
          <w:szCs w:val="24"/>
        </w:rPr>
        <w:tab/>
        <w:t>Nasopharyngeal</w:t>
      </w:r>
    </w:p>
    <w:p w14:paraId="22D72721" w14:textId="16B72968" w:rsidR="003C3124" w:rsidRDefault="003C3124" w:rsidP="003C3124">
      <w:pPr>
        <w:spacing w:after="0"/>
        <w:ind w:left="1701" w:hanging="992"/>
        <w:rPr>
          <w:rFonts w:ascii="Times New Roman" w:hAnsi="Times New Roman" w:cs="Times New Roman"/>
          <w:sz w:val="24"/>
          <w:szCs w:val="24"/>
        </w:rPr>
      </w:pPr>
      <w:r>
        <w:rPr>
          <w:rFonts w:ascii="Times New Roman" w:hAnsi="Times New Roman" w:cs="Times New Roman"/>
          <w:sz w:val="24"/>
          <w:szCs w:val="24"/>
        </w:rPr>
        <w:t>NVT</w:t>
      </w:r>
      <w:r>
        <w:rPr>
          <w:rFonts w:ascii="Times New Roman" w:hAnsi="Times New Roman" w:cs="Times New Roman"/>
          <w:sz w:val="24"/>
          <w:szCs w:val="24"/>
        </w:rPr>
        <w:tab/>
        <w:t>Non-vaccine serotype</w:t>
      </w:r>
    </w:p>
    <w:p w14:paraId="1EC34B43" w14:textId="77777777" w:rsidR="003C3124" w:rsidRDefault="003C3124" w:rsidP="003C3124">
      <w:pPr>
        <w:spacing w:after="0"/>
        <w:ind w:left="1701" w:hanging="992"/>
        <w:rPr>
          <w:rFonts w:ascii="Times New Roman" w:hAnsi="Times New Roman" w:cs="Times New Roman"/>
          <w:sz w:val="24"/>
          <w:szCs w:val="24"/>
        </w:rPr>
      </w:pPr>
      <w:r>
        <w:rPr>
          <w:rFonts w:ascii="Times New Roman" w:hAnsi="Times New Roman" w:cs="Times New Roman"/>
          <w:sz w:val="24"/>
          <w:szCs w:val="24"/>
        </w:rPr>
        <w:t>OM</w:t>
      </w:r>
      <w:r>
        <w:rPr>
          <w:rFonts w:ascii="Times New Roman" w:hAnsi="Times New Roman" w:cs="Times New Roman"/>
          <w:sz w:val="24"/>
          <w:szCs w:val="24"/>
        </w:rPr>
        <w:tab/>
        <w:t>Otitis Media</w:t>
      </w:r>
    </w:p>
    <w:p w14:paraId="210303A1" w14:textId="0BBC3022" w:rsidR="003C3124" w:rsidRDefault="003C3124" w:rsidP="003C3124">
      <w:pPr>
        <w:spacing w:after="0"/>
        <w:ind w:left="1701" w:hanging="992"/>
        <w:rPr>
          <w:rFonts w:ascii="Times New Roman" w:hAnsi="Times New Roman" w:cs="Times New Roman"/>
          <w:sz w:val="24"/>
          <w:szCs w:val="24"/>
        </w:rPr>
      </w:pPr>
      <w:r>
        <w:rPr>
          <w:rFonts w:ascii="Times New Roman" w:hAnsi="Times New Roman" w:cs="Times New Roman"/>
          <w:sz w:val="24"/>
          <w:szCs w:val="24"/>
        </w:rPr>
        <w:t>PCV“x”</w:t>
      </w:r>
      <w:r>
        <w:rPr>
          <w:rFonts w:ascii="Times New Roman" w:hAnsi="Times New Roman" w:cs="Times New Roman"/>
          <w:sz w:val="24"/>
          <w:szCs w:val="24"/>
        </w:rPr>
        <w:tab/>
        <w:t>Pneumococcal conjugate vaccine containing antigens against “x” serotypes</w:t>
      </w:r>
    </w:p>
    <w:p w14:paraId="3CCCDBF1" w14:textId="0CD9EFF7" w:rsidR="003C3124" w:rsidRDefault="003C3124" w:rsidP="003C3124">
      <w:pPr>
        <w:spacing w:after="0"/>
        <w:ind w:left="1701" w:hanging="992"/>
        <w:rPr>
          <w:rFonts w:ascii="Times New Roman" w:hAnsi="Times New Roman" w:cs="Times New Roman"/>
          <w:sz w:val="24"/>
          <w:szCs w:val="24"/>
        </w:rPr>
      </w:pPr>
      <w:r>
        <w:rPr>
          <w:rFonts w:ascii="Times New Roman" w:hAnsi="Times New Roman" w:cs="Times New Roman"/>
          <w:sz w:val="24"/>
          <w:szCs w:val="24"/>
        </w:rPr>
        <w:t>VT</w:t>
      </w:r>
      <w:r>
        <w:rPr>
          <w:rFonts w:ascii="Times New Roman" w:hAnsi="Times New Roman" w:cs="Times New Roman"/>
          <w:sz w:val="24"/>
          <w:szCs w:val="24"/>
        </w:rPr>
        <w:tab/>
        <w:t>Vaccine serotype</w:t>
      </w:r>
    </w:p>
    <w:p w14:paraId="06F18287" w14:textId="11467EFF" w:rsidR="00AE5273" w:rsidRDefault="00AE5273" w:rsidP="0073228A">
      <w:pPr>
        <w:spacing w:before="240"/>
        <w:ind w:left="1134" w:hanging="1134"/>
        <w:rPr>
          <w:rFonts w:ascii="Times New Roman" w:hAnsi="Times New Roman" w:cs="Times New Roman"/>
          <w:sz w:val="24"/>
          <w:szCs w:val="24"/>
        </w:rPr>
      </w:pPr>
      <w:r>
        <w:rPr>
          <w:rFonts w:ascii="Times New Roman" w:hAnsi="Times New Roman" w:cs="Times New Roman"/>
          <w:sz w:val="24"/>
          <w:szCs w:val="24"/>
          <w:u w:val="single"/>
        </w:rPr>
        <w:t>Word count abstract</w:t>
      </w:r>
      <w:r w:rsidRPr="00AE5273">
        <w:rPr>
          <w:rFonts w:ascii="Times New Roman" w:hAnsi="Times New Roman" w:cs="Times New Roman"/>
          <w:i/>
          <w:sz w:val="24"/>
          <w:szCs w:val="24"/>
        </w:rPr>
        <w:t>:</w:t>
      </w:r>
      <w:r>
        <w:rPr>
          <w:rFonts w:ascii="Times New Roman" w:hAnsi="Times New Roman" w:cs="Times New Roman"/>
          <w:i/>
          <w:sz w:val="24"/>
          <w:szCs w:val="24"/>
        </w:rPr>
        <w:t xml:space="preserve"> </w:t>
      </w:r>
      <w:r w:rsidRPr="00AE5273">
        <w:rPr>
          <w:rFonts w:ascii="Times New Roman" w:hAnsi="Times New Roman" w:cs="Times New Roman"/>
          <w:sz w:val="24"/>
          <w:szCs w:val="24"/>
        </w:rPr>
        <w:t>1</w:t>
      </w:r>
      <w:r w:rsidR="003B22E3">
        <w:rPr>
          <w:rFonts w:ascii="Times New Roman" w:hAnsi="Times New Roman" w:cs="Times New Roman"/>
          <w:sz w:val="24"/>
          <w:szCs w:val="24"/>
        </w:rPr>
        <w:t>9</w:t>
      </w:r>
      <w:r w:rsidR="00D5627C">
        <w:rPr>
          <w:rFonts w:ascii="Times New Roman" w:hAnsi="Times New Roman" w:cs="Times New Roman"/>
          <w:sz w:val="24"/>
          <w:szCs w:val="24"/>
        </w:rPr>
        <w:t>7</w:t>
      </w:r>
      <w:bookmarkStart w:id="0" w:name="_GoBack"/>
      <w:bookmarkEnd w:id="0"/>
    </w:p>
    <w:p w14:paraId="02F3A076" w14:textId="6EAB2C37" w:rsidR="00AE5273" w:rsidRPr="0073228A" w:rsidRDefault="00AE5273" w:rsidP="00AE5273">
      <w:pPr>
        <w:spacing w:before="240"/>
        <w:ind w:left="1134" w:hanging="1134"/>
        <w:rPr>
          <w:rFonts w:ascii="Times New Roman" w:hAnsi="Times New Roman" w:cs="Times New Roman"/>
          <w:i/>
          <w:sz w:val="24"/>
          <w:szCs w:val="24"/>
        </w:rPr>
      </w:pPr>
      <w:r>
        <w:rPr>
          <w:rFonts w:ascii="Times New Roman" w:hAnsi="Times New Roman" w:cs="Times New Roman"/>
          <w:sz w:val="24"/>
          <w:szCs w:val="24"/>
          <w:u w:val="single"/>
        </w:rPr>
        <w:t>Word count manuscript</w:t>
      </w:r>
      <w:r w:rsidRPr="00AE5273">
        <w:rPr>
          <w:rFonts w:ascii="Times New Roman" w:hAnsi="Times New Roman" w:cs="Times New Roman"/>
          <w:i/>
          <w:sz w:val="24"/>
          <w:szCs w:val="24"/>
        </w:rPr>
        <w:t>:</w:t>
      </w:r>
      <w:r>
        <w:rPr>
          <w:rFonts w:ascii="Times New Roman" w:hAnsi="Times New Roman" w:cs="Times New Roman"/>
          <w:i/>
          <w:sz w:val="24"/>
          <w:szCs w:val="24"/>
        </w:rPr>
        <w:t xml:space="preserve"> </w:t>
      </w:r>
      <w:r w:rsidR="00667E76">
        <w:rPr>
          <w:rFonts w:ascii="Times New Roman" w:hAnsi="Times New Roman" w:cs="Times New Roman"/>
          <w:sz w:val="24"/>
          <w:szCs w:val="24"/>
        </w:rPr>
        <w:t>2748</w:t>
      </w:r>
    </w:p>
    <w:p w14:paraId="575F8FD4" w14:textId="77777777" w:rsidR="00AE5273" w:rsidRDefault="00AE5273" w:rsidP="007736AB">
      <w:pPr>
        <w:spacing w:before="240"/>
        <w:ind w:left="1134" w:hanging="1134"/>
        <w:rPr>
          <w:rFonts w:ascii="Times New Roman" w:hAnsi="Times New Roman" w:cs="Times New Roman"/>
          <w:b/>
          <w:sz w:val="24"/>
          <w:szCs w:val="24"/>
        </w:rPr>
      </w:pPr>
    </w:p>
    <w:p w14:paraId="6629A2EF" w14:textId="1EDF517E" w:rsidR="00C501D5" w:rsidRPr="0073228A" w:rsidRDefault="00C501D5" w:rsidP="007736AB">
      <w:pPr>
        <w:spacing w:before="240"/>
        <w:ind w:left="1134" w:hanging="1134"/>
        <w:rPr>
          <w:rFonts w:ascii="Times New Roman" w:hAnsi="Times New Roman" w:cs="Times New Roman"/>
          <w:b/>
          <w:sz w:val="24"/>
          <w:szCs w:val="24"/>
        </w:rPr>
      </w:pPr>
      <w:r w:rsidRPr="0073228A">
        <w:rPr>
          <w:rFonts w:ascii="Times New Roman" w:hAnsi="Times New Roman" w:cs="Times New Roman"/>
          <w:b/>
          <w:sz w:val="24"/>
          <w:szCs w:val="24"/>
        </w:rPr>
        <w:t>Abstract</w:t>
      </w:r>
    </w:p>
    <w:p w14:paraId="0BEC02CA" w14:textId="3999B02C" w:rsidR="003B22E3" w:rsidRPr="003B22E3" w:rsidRDefault="003B22E3" w:rsidP="003B22E3">
      <w:pPr>
        <w:spacing w:line="480" w:lineRule="auto"/>
        <w:rPr>
          <w:rFonts w:ascii="Times New Roman" w:hAnsi="Times New Roman" w:cs="Times New Roman"/>
          <w:sz w:val="24"/>
          <w:szCs w:val="24"/>
        </w:rPr>
      </w:pPr>
      <w:r w:rsidRPr="003B22E3">
        <w:rPr>
          <w:rFonts w:ascii="Times New Roman" w:hAnsi="Times New Roman" w:cs="Times New Roman"/>
          <w:sz w:val="24"/>
          <w:szCs w:val="24"/>
        </w:rPr>
        <w:t xml:space="preserve">Pneumococcal conjugate vaccines (PCVs) have substantially reduced the burden of pneumococcal disease including otitis media (OM). However, in most countries no pneumococcal OM surveillance exists to monitor the </w:t>
      </w:r>
      <w:r w:rsidR="00F32DCD">
        <w:rPr>
          <w:rFonts w:ascii="Times New Roman" w:hAnsi="Times New Roman" w:cs="Times New Roman"/>
          <w:sz w:val="24"/>
          <w:szCs w:val="24"/>
        </w:rPr>
        <w:t>change in OM incidence after introduction</w:t>
      </w:r>
      <w:r w:rsidRPr="003B22E3">
        <w:rPr>
          <w:rFonts w:ascii="Times New Roman" w:hAnsi="Times New Roman" w:cs="Times New Roman"/>
          <w:sz w:val="24"/>
          <w:szCs w:val="24"/>
        </w:rPr>
        <w:t xml:space="preserve"> of PCVs. We explore whether pneumococcal carriage is a useful surrogate to monitor post vaccination pneumococcal OM changes. PCV7 was introduced to the Israeli </w:t>
      </w:r>
      <w:r w:rsidRPr="003B22E3">
        <w:rPr>
          <w:rFonts w:ascii="Times New Roman" w:hAnsi="Times New Roman" w:cs="Times New Roman"/>
          <w:sz w:val="24"/>
          <w:szCs w:val="24"/>
        </w:rPr>
        <w:lastRenderedPageBreak/>
        <w:t xml:space="preserve">national immunisation programme in July 2009 and gradually replaced by PCV13 from November 2010. Since 2009 nasopharyngeal swabs have been obtained </w:t>
      </w:r>
      <w:r w:rsidR="006E06B5">
        <w:rPr>
          <w:rFonts w:ascii="Times New Roman" w:hAnsi="Times New Roman" w:cs="Times New Roman"/>
          <w:sz w:val="24"/>
          <w:szCs w:val="24"/>
        </w:rPr>
        <w:t xml:space="preserve">on a daily basis </w:t>
      </w:r>
      <w:r w:rsidRPr="003B22E3">
        <w:rPr>
          <w:rFonts w:ascii="Times New Roman" w:hAnsi="Times New Roman" w:cs="Times New Roman"/>
          <w:sz w:val="24"/>
          <w:szCs w:val="24"/>
        </w:rPr>
        <w:t xml:space="preserve">from the first 4 Bedouin and 4 Jewish children &lt;5 years old who attended a paediatric emergency room in Southern Israel. During the same time OM surveillance in Southern Israel included all children &lt;2y who were diagnosed with OM resulting in middle-ear fluid (MEF) culture. The relative change in vaccine serotype group (VT) carriage prevalence was predictive of the relative change in VT OM incidence. However, the serotype replacement observed in </w:t>
      </w:r>
      <w:r>
        <w:rPr>
          <w:rFonts w:ascii="Times New Roman" w:hAnsi="Times New Roman" w:cs="Times New Roman"/>
          <w:sz w:val="24"/>
          <w:szCs w:val="24"/>
        </w:rPr>
        <w:t>non-</w:t>
      </w:r>
      <w:r w:rsidRPr="003B22E3">
        <w:rPr>
          <w:rFonts w:ascii="Times New Roman" w:hAnsi="Times New Roman" w:cs="Times New Roman"/>
          <w:sz w:val="24"/>
          <w:szCs w:val="24"/>
        </w:rPr>
        <w:t xml:space="preserve">VT carriage is not paralleled in OM. This could hint at more complex mechanisms of the immune response to prevent initial and consecutive episodes of OM which has been changed through declining prevalence of the most virulent serotypes as a result of vaccination. </w:t>
      </w:r>
    </w:p>
    <w:p w14:paraId="1B714A49" w14:textId="527444D4" w:rsidR="00FD3B11" w:rsidRPr="0073228A" w:rsidRDefault="00FD3B11" w:rsidP="0073228A">
      <w:pPr>
        <w:spacing w:line="480" w:lineRule="auto"/>
        <w:rPr>
          <w:rFonts w:ascii="Times New Roman" w:hAnsi="Times New Roman" w:cs="Times New Roman"/>
          <w:sz w:val="24"/>
          <w:szCs w:val="24"/>
        </w:rPr>
      </w:pPr>
    </w:p>
    <w:p w14:paraId="0BB281E0" w14:textId="77777777" w:rsidR="00C501D5" w:rsidRPr="0073228A" w:rsidRDefault="00C501D5" w:rsidP="0017752D">
      <w:pPr>
        <w:spacing w:before="240" w:after="0"/>
        <w:ind w:left="1134" w:hanging="1134"/>
        <w:rPr>
          <w:rFonts w:ascii="Times New Roman" w:hAnsi="Times New Roman" w:cs="Times New Roman"/>
          <w:sz w:val="24"/>
          <w:szCs w:val="24"/>
        </w:rPr>
      </w:pPr>
    </w:p>
    <w:p w14:paraId="1F776D38" w14:textId="58A511A4" w:rsidR="00383803" w:rsidRPr="0073228A" w:rsidRDefault="00383803">
      <w:pPr>
        <w:rPr>
          <w:rFonts w:ascii="Times New Roman" w:hAnsi="Times New Roman" w:cs="Times New Roman"/>
          <w:sz w:val="24"/>
          <w:szCs w:val="24"/>
        </w:rPr>
      </w:pPr>
      <w:r w:rsidRPr="0073228A">
        <w:rPr>
          <w:rFonts w:ascii="Times New Roman" w:hAnsi="Times New Roman" w:cs="Times New Roman"/>
          <w:sz w:val="24"/>
          <w:szCs w:val="24"/>
        </w:rPr>
        <w:br w:type="page"/>
      </w:r>
    </w:p>
    <w:p w14:paraId="5B501E4A" w14:textId="192106C5" w:rsidR="00FE4201" w:rsidRPr="009A0490" w:rsidRDefault="00776CB1" w:rsidP="00B3162B">
      <w:pPr>
        <w:spacing w:line="480" w:lineRule="auto"/>
        <w:rPr>
          <w:rFonts w:ascii="Times New Roman" w:hAnsi="Times New Roman" w:cs="Times New Roman"/>
          <w:sz w:val="24"/>
          <w:szCs w:val="24"/>
        </w:rPr>
      </w:pPr>
      <w:r w:rsidRPr="009A0490">
        <w:rPr>
          <w:rFonts w:ascii="Times New Roman" w:hAnsi="Times New Roman" w:cs="Times New Roman"/>
          <w:sz w:val="24"/>
          <w:szCs w:val="24"/>
        </w:rPr>
        <w:lastRenderedPageBreak/>
        <w:t>INTRODUCTION</w:t>
      </w:r>
    </w:p>
    <w:p w14:paraId="0FA3C371" w14:textId="72E1B53B" w:rsidR="00620D5F" w:rsidRPr="0073228A" w:rsidRDefault="003C7D11" w:rsidP="00B3162B">
      <w:pPr>
        <w:spacing w:line="480" w:lineRule="auto"/>
        <w:rPr>
          <w:rFonts w:ascii="Times New Roman" w:hAnsi="Times New Roman" w:cs="Times New Roman"/>
          <w:sz w:val="24"/>
          <w:szCs w:val="24"/>
        </w:rPr>
      </w:pPr>
      <w:r w:rsidRPr="0073228A">
        <w:rPr>
          <w:rFonts w:ascii="Times New Roman" w:hAnsi="Times New Roman" w:cs="Times New Roman"/>
          <w:sz w:val="24"/>
          <w:szCs w:val="24"/>
        </w:rPr>
        <w:t>Pneumococcal conjugate vaccines (PCV</w:t>
      </w:r>
      <w:r w:rsidR="00E43502" w:rsidRPr="0073228A">
        <w:rPr>
          <w:rFonts w:ascii="Times New Roman" w:hAnsi="Times New Roman" w:cs="Times New Roman"/>
          <w:sz w:val="24"/>
          <w:szCs w:val="24"/>
        </w:rPr>
        <w:t>s</w:t>
      </w:r>
      <w:r w:rsidRPr="0073228A">
        <w:rPr>
          <w:rFonts w:ascii="Times New Roman" w:hAnsi="Times New Roman" w:cs="Times New Roman"/>
          <w:sz w:val="24"/>
          <w:szCs w:val="24"/>
        </w:rPr>
        <w:t xml:space="preserve">) have substantially reduced the </w:t>
      </w:r>
      <w:r w:rsidR="007C3EF2" w:rsidRPr="0073228A">
        <w:rPr>
          <w:rFonts w:ascii="Times New Roman" w:hAnsi="Times New Roman" w:cs="Times New Roman"/>
          <w:sz w:val="24"/>
          <w:szCs w:val="24"/>
        </w:rPr>
        <w:t xml:space="preserve">global </w:t>
      </w:r>
      <w:r w:rsidR="006D6793" w:rsidRPr="0073228A">
        <w:rPr>
          <w:rFonts w:ascii="Times New Roman" w:hAnsi="Times New Roman" w:cs="Times New Roman"/>
          <w:sz w:val="24"/>
          <w:szCs w:val="24"/>
        </w:rPr>
        <w:t>burden of pneumococcal disease</w:t>
      </w:r>
      <w:r w:rsidRPr="0073228A">
        <w:rPr>
          <w:rFonts w:ascii="Times New Roman" w:hAnsi="Times New Roman" w:cs="Times New Roman"/>
          <w:sz w:val="24"/>
          <w:szCs w:val="24"/>
        </w:rPr>
        <w:t xml:space="preserve"> </w:t>
      </w:r>
      <w:r w:rsidR="006D6793" w:rsidRPr="0073228A">
        <w:rPr>
          <w:rFonts w:ascii="Times New Roman" w:hAnsi="Times New Roman" w:cs="Times New Roman"/>
          <w:sz w:val="24"/>
          <w:szCs w:val="24"/>
        </w:rPr>
        <w:t>which</w:t>
      </w:r>
      <w:r w:rsidR="00E43502" w:rsidRPr="0073228A">
        <w:rPr>
          <w:rFonts w:ascii="Times New Roman" w:hAnsi="Times New Roman" w:cs="Times New Roman"/>
          <w:sz w:val="24"/>
          <w:szCs w:val="24"/>
        </w:rPr>
        <w:t xml:space="preserve"> is </w:t>
      </w:r>
      <w:r w:rsidR="00DF70CA" w:rsidRPr="0073228A">
        <w:rPr>
          <w:rFonts w:ascii="Times New Roman" w:hAnsi="Times New Roman" w:cs="Times New Roman"/>
          <w:sz w:val="24"/>
          <w:szCs w:val="24"/>
        </w:rPr>
        <w:t xml:space="preserve">mainly </w:t>
      </w:r>
      <w:r w:rsidR="00E43502" w:rsidRPr="0073228A">
        <w:rPr>
          <w:rFonts w:ascii="Times New Roman" w:hAnsi="Times New Roman" w:cs="Times New Roman"/>
          <w:sz w:val="24"/>
          <w:szCs w:val="24"/>
        </w:rPr>
        <w:t>composed of invasive pneumococcal disease</w:t>
      </w:r>
      <w:r w:rsidR="006D3880" w:rsidRPr="0073228A">
        <w:rPr>
          <w:rFonts w:ascii="Times New Roman" w:hAnsi="Times New Roman" w:cs="Times New Roman"/>
          <w:sz w:val="24"/>
          <w:szCs w:val="24"/>
        </w:rPr>
        <w:t xml:space="preserve"> (IPD)</w:t>
      </w:r>
      <w:r w:rsidR="00E43502" w:rsidRPr="0073228A">
        <w:rPr>
          <w:rFonts w:ascii="Times New Roman" w:hAnsi="Times New Roman" w:cs="Times New Roman"/>
          <w:sz w:val="24"/>
          <w:szCs w:val="24"/>
        </w:rPr>
        <w:t>, non-bacteraemic pneumococcal pneumonia and pneumococcal otitis media</w:t>
      </w:r>
      <w:r w:rsidR="00024806" w:rsidRPr="0073228A">
        <w:rPr>
          <w:rFonts w:ascii="Times New Roman" w:hAnsi="Times New Roman" w:cs="Times New Roman"/>
          <w:sz w:val="24"/>
          <w:szCs w:val="24"/>
        </w:rPr>
        <w:t xml:space="preserve"> (OM)</w:t>
      </w:r>
      <w:r w:rsidR="001F23D1" w:rsidRPr="0073228A">
        <w:rPr>
          <w:rFonts w:ascii="Times New Roman" w:hAnsi="Times New Roman" w:cs="Times New Roman"/>
          <w:sz w:val="24"/>
          <w:szCs w:val="24"/>
        </w:rPr>
        <w:t xml:space="preserve"> </w:t>
      </w:r>
      <w:r w:rsidR="001F23D1" w:rsidRPr="0073228A">
        <w:rPr>
          <w:rFonts w:ascii="Times New Roman" w:hAnsi="Times New Roman" w:cs="Times New Roman"/>
          <w:sz w:val="24"/>
          <w:szCs w:val="24"/>
        </w:rPr>
        <w:fldChar w:fldCharType="begin" w:fldLock="1"/>
      </w:r>
      <w:r w:rsidR="00F617E9">
        <w:rPr>
          <w:rFonts w:ascii="Times New Roman" w:hAnsi="Times New Roman" w:cs="Times New Roman"/>
          <w:sz w:val="24"/>
          <w:szCs w:val="24"/>
        </w:rPr>
        <w:instrText>ADDIN CSL_CITATION { "citationItems" : [ { "id" : "ITEM-1", "itemData" : { "DOI" : "10.1056/NEJMoa1209165", "ISSN" : "1533-4406", "PMID" : "23841730", "abstract" : "BACKGROUND: The introduction of 7-valent pneumococcal conjugate vaccine (PCV7) into the U.S. childhood immunization schedule in 2000 has substantially reduced the incidence of vaccine-serotype invasive pneumococcal disease in young children and in unvaccinated older children and adults. By 2004, hospitalizations associated with pneumonia from any cause had also declined markedly among young children. Because of concerns about increases in disease caused by nonvaccine serotypes, we wanted to determine whether the reduction in pneumonia-related hospitalizations among young children had been sustained through 2009 and whether such hospitalizations in older age groups had also declined.\n\nMETHODS: We estimated annual rates of hospitalization for pneumonia from any cause using the Nationwide Inpatient Sample database. The reason for hospitalization was classified as pneumonia if pneumonia was the first listed diagnosis or if it was listed after a first diagnosis of sepsis, meningitis, or empyema. Average annual rates of pneumonia-related hospitalizations from 1997 through 1999 (before the introduction of PCV7) and from 2007 through 2009 (well after its introduction) were used to estimate annual declines in hospitalizations due to pneumonia.\n\nRESULTS: The annual rate of hospitalization for pneumonia among children younger than 2 years of age declined by 551.1 per 100,000 children (95% confidence interval [CI], 445.1 to 657.1), which translates to 47,000 fewer hospitalizations annually than expected on the basis of the rates before PCV7 was introduced. The rate for adults 85 years of age or older declined by 1300.8 per 100,000 (95% CI, 984.0 to 1617.6), which translates to 73,000 fewer hospitalizations annually. For the three age groups of 18 to 39 years, 65 to 74 years, and 75 to 84 years, the annual rate of hospitalization for pneumonia declined by 8.4 per 100,000 (95% CI, 0.6 to 16.2), 85.3 per 100,000 (95% CI, 7.0 to 163.6), and 359.8 per 100,000 (95% CI, 199.6 to 520.0), respectively. Overall, we estimated an age-adjusted annual reduction of 54.8 per 100,000 (95% CI, 41.0 to 68.5), or 168,000 fewer hospitalizations for pneumonia annually.\n\nCONCLUSIONS: Declines in hospitalizations for childhood pneumonia were sustained during the decade after the introduction of PCV7. Substantial reductions in hospitalizations for pneumonia among adults were also observed. (Funded by the Centers for Disease Control and Prevention.).", "author" : [ { "dropping-particle" : "", "family" : "Griffin", "given" : "Marie R.", "non-dropping-particle" : "", "parse-names" : false, "suffix" : "" }, { "dropping-particle" : "", "family" : "Zhu", "given" : "Yuwei", "non-dropping-particle" : "", "parse-names" : false, "suffix" : "" }, { "dropping-particle" : "", "family" : "Moore", "given" : "Matthew R.", "non-dropping-particle" : "", "parse-names" : false, "suffix" : "" }, { "dropping-particle" : "", "family" : "Whitney", "given" : "Cynthia G.", "non-dropping-particle" : "", "parse-names" : false, "suffix" : "" }, { "dropping-particle" : "", "family" : "Grijalva", "given" : "Carlos G.", "non-dropping-particle" : "", "parse-names" : false, "suffix" : "" } ], "container-title" : "The New England journal of medicine", "id" : "ITEM-1", "issue" : "2", "issued" : { "date-parts" : [ [ "2013", "7", "11" ] ] }, "note" : "From Duplicate 2 ( U.S. Hospitalizations for Pneumonia after a Decade of Pneumococcal Vaccination - Griffin, Marie R.; Zhu, Yuwei; Moore, Matthew R.; Whitney, Cynthia G.; Grijalva, Carlos G. )\n", "page" : "155-63", "title" : "U.S. hospitalizations for pneumonia after a decade of pneumococcal vaccination.", "type" : "article-journal", "volume" : "369" }, "uris" : [ "http://www.mendeley.com/documents/?uuid=b8f80d18-2ea2-4e39-8fb0-b77935e42c58" ] }, { "id" : "ITEM-2", "itemData" : { "DOI" : "10.1093/cid/ciu683", "ISSN" : "1058-4838", "PMID" : "25159581", "abstract" : "BACKGROUND: Otitis media (OM) is common in early childhood. Streptococcus pneumoniae caused \u223c30-60% of episodes before pneumococcal conjugate vaccine (PCV) era.The 7-valent PCV (PCV7) was introduced to the Israeli national immunization plan in July2009, and was gradually replaced by PCV13 startingNovember2010. We aimed at assessing the impact of PCV7/PCV13 sequential introduction on pneumococcal and overall OM necessitating middle ear fluid (MEF) culture in children&lt;2 years in southern Israel. METHODS: This was a prospective, population-based, active surveillance. Our medical center is the only one in the region, enabling incidence calculation. All pneumococcal episodessubmitted for culture between July 2004 and June 2013 were included.Three sub-periods were defined: Pre-PCV, PCV7 and PCV13. RESULTS: Overall, 6,122 OM episodes were recorded,and 1,893 were pneumococcal. Compared to pre-PCV period, OM caused by PCV7+6A and the 5 additional PCV13 serotypes (1, 3, 5, 7F, 19A; 5VT)decreased by 96% and 85%, respectively (Incidence Rate Ratio [IRR] and 95% CI =0.04, 0.02-0.08 and 0.15, 0.07-0.30, respectively) in a two-step pattern: In the PCV7 period, only OM caused by PCV7+6A serotypes was decreased; in the PCV13 period, 5VT OM rates decreased, along with a further PCV7+6A OMreduction. A non-significant increase in non-PCV13 serotype OM was observed (IRR=1.07 [0.72-1.58]). In total, 77% and 60% reductions of all-pneumococcal and all-cause OMincidences, respectively, were observed. CONCLUSIONS: A substantial 2-step reduction of pneumococcal OM rates, with near elimination of PCV13 disease was observed shortly after PCV7/PCV13 introduction.", "author" : [ { "dropping-particle" : "", "family" : "Ben-Shimol", "given" : "S", "non-dropping-particle" : "", "parse-names" : false, "suffix" : "" }, { "dropping-particle" : "", "family" : "Givon-Lavi", "given" : "N", "non-dropping-particle" : "", "parse-names" : false, "suffix" : "" }, { "dropping-particle" : "", "family" : "Leibovitz", "given" : "E", "non-dropping-particle" : "", "parse-names" : false, "suffix" : "" }, { "dropping-particle" : "", "family" : "Raiz", "given" : "S", "non-dropping-particle" : "", "parse-names" : false, "suffix" : "" }, { "dropping-particle" : "", "family" : "Greenberg", "given" : "D", "non-dropping-particle" : "", "parse-names" : false, "suffix" : "" }, { "dropping-particle" : "", "family" : "Dagan", "given" : "R", "non-dropping-particle" : "", "parse-names" : false, "suffix" : "" } ], "container-title" : "Clinical Infectious Diseases", "id" : "ITEM-2", "issue" : "12", "issued" : { "date-parts" : [ [ "2014", "12", "15" ] ] }, "page" : "1724-1732", "title" : "Near-Elimination of Otitis Media Caused by 13-Valent Pneumococcal Conjugate Vaccine (PCV) Serotypes in Southern Israel Shortly After Sequential Introduction of 7-Valent/13-Valent PCV", "type" : "article-journal", "volume" : "59" }, "uris" : [ "http://www.mendeley.com/documents/?uuid=72d1a55f-5424-4720-91bc-27a592e22202" ] }, { "id" : "ITEM-3", "itemData" : { "DOI" : "10.1016/S1473-3099(15)70044-7", "ISSN" : "14733099", "PMID" : "25801458", "abstract" : "BACKGROUND: The 13-valent pneumococcal conjugate vaccine (PCV13) protects against key serotypes that increased after routine immunisation with the seven-valent vaccine (PCV7), but its potential for herd protection and serotype replacement is uncertain. The aim of this study was to analyse the effect of the 13-valent pneumococcal conjugate vaccine on invasive pneumococcal disease in England and Wales 4 years after its introduction.\n\nMETHODS: We used a national dataset of electronically reported and serotyped invasive pneumococcal disease cases in England and Wales to estimate incidence rate ratios (IRRs) for vaccine and non-vaccine type invasive pneumococcal disease between July, 2013, and June, 2014, versus the pre-PCV13 and pre-PCV7 baseline. Incidence rates were corrected for missing serotype data and changes in surveillance sensitivity over time. An over-dispersed Poisson model was used to estimate IRRs and confidence intervals.\n\nFINDINGS: Incidence of invasive pneumococcal disease in the epidemiological year 2013/14 decreased by 32% compared with the pre-PCV13 baseline (incidence 10\u00b714 per 100\u2008000 in 2008-10 vs 6\u00b785 per 100\u2008000 in 2013/14; IRR 0\u00b768, 95% CI 0\u00b764-0\u00b772). This was due to an 86% reduction of the serotypes covered by PCV7 (1\u00b746 vs 0\u00b720 per 100\u2008000; IRR 0\u00b714, 0\u00b710-0\u00b718) and a 69% reduction of the additional six serotypes covered by PCV13 (4\u00b748 vs 1\u00b740 per 100\u2008000; IRR 0\u00b731, 0\u00b728-0\u00b735). When compared with the pre-PCV7 baseline, there was a 56% overall reduction in invasive pneumococcal disease (15\u00b763 vs 6\u00b785 per 100\u2008000; IRR 0\u00b744, 95% CI 0\u00b743-0\u00b747). Compared with the pre-PCV13 baseline, the incidence of non-PCV13 serotypes increased (incidence all ages 4\u00b719 vs 5\u00b725 per 100\u2008000; IRR 1\u00b725, 95% CI 1\u00b717-1\u00b735) due to increases across a broad range of serotypes in children younger than 5 years and in people aged 45 years or more. In children younger than 5 years, incidence of non-PCV13 serotypes in 2013/14 was higher than in 2012/13 (age &lt;2 years: 12\u00b703 vs 10\u00b783 per 100\u2008000; age 2-4 years: 4\u00b708 vs 3\u00b763 per 100\u2008000).\n\nINTERPRETATION: 8 years of PCV use in England and Wales has reduced the overall incidence of invasive pneumococcal disease by more than 50%. The herd protection induced by PCV7 is continuing, and similar indirect protection is occurring from the additional serotypes covered by PCV13. There is, however, evidence of increasing invasive pneumococcal disease due to non-PCV13 serotypes, particularly in children younger than 5 years in 201\u2026", "author" : [ { "dropping-particle" : "", "family" : "Waight", "given" : "Pauline A", "non-dropping-particle" : "", "parse-names" : false, "suffix" : "" }, { "dropping-particle" : "", "family" : "Andrews", "given" : "Nicholas J", "non-dropping-particle" : "", "parse-names" : false, "suffix" : "" }, { "dropping-particle" : "", "family" : "Ladhani", "given" : "Shamez N", "non-dropping-particle" : "", "parse-names" : false, "suffix" : "" }, { "dropping-particle" : "", "family" : "Sheppard", "given" : "Carmen L", "non-dropping-particle" : "", "parse-names" : false, "suffix" : "" }, { "dropping-particle" : "", "family" : "Slack", "given" : "Mary P E", "non-dropping-particle" : "", "parse-names" : false, "suffix" : "" }, { "dropping-particle" : "", "family" : "Miller", "given" : "Elizabeth", "non-dropping-particle" : "", "parse-names" : false, "suffix" : "" } ], "container-title" : "The Lancet Infectious Diseases", "id" : "ITEM-3", "issue" : "15", "issued" : { "date-parts" : [ [ "2015", "3", "19" ] ] }, "page" : "1-9", "publisher" : "Elsevier Ltd", "title" : "Effect of the 13-valent pneumococcal conjugate vaccine on invasive pneumococcal disease in England and Wales 4 years after its introduction: an observational cohort study", "type" : "article-journal", "volume" : "3099" }, "uris" : [ "http://www.mendeley.com/documents/?uuid=4f90e274-ce8b-471a-b971-5eee29f2a180" ] } ], "mendeley" : { "formattedCitation" : "(1\u20133)", "plainTextFormattedCitation" : "(1\u20133)", "previouslyFormattedCitation" : "(1\u20133)" }, "properties" : { "noteIndex" : 0 }, "schema" : "https://github.com/citation-style-language/schema/raw/master/csl-citation.json" }</w:instrText>
      </w:r>
      <w:r w:rsidR="001F23D1" w:rsidRPr="0073228A">
        <w:rPr>
          <w:rFonts w:ascii="Times New Roman" w:hAnsi="Times New Roman" w:cs="Times New Roman"/>
          <w:sz w:val="24"/>
          <w:szCs w:val="24"/>
        </w:rPr>
        <w:fldChar w:fldCharType="separate"/>
      </w:r>
      <w:r w:rsidR="002765D7" w:rsidRPr="0073228A">
        <w:rPr>
          <w:rFonts w:ascii="Times New Roman" w:hAnsi="Times New Roman" w:cs="Times New Roman"/>
          <w:noProof/>
          <w:sz w:val="24"/>
          <w:szCs w:val="24"/>
        </w:rPr>
        <w:t>(1–3)</w:t>
      </w:r>
      <w:r w:rsidR="001F23D1" w:rsidRPr="0073228A">
        <w:rPr>
          <w:rFonts w:ascii="Times New Roman" w:hAnsi="Times New Roman" w:cs="Times New Roman"/>
          <w:sz w:val="24"/>
          <w:szCs w:val="24"/>
        </w:rPr>
        <w:fldChar w:fldCharType="end"/>
      </w:r>
      <w:r w:rsidR="00E43502" w:rsidRPr="0073228A">
        <w:rPr>
          <w:rFonts w:ascii="Times New Roman" w:hAnsi="Times New Roman" w:cs="Times New Roman"/>
          <w:sz w:val="24"/>
          <w:szCs w:val="24"/>
        </w:rPr>
        <w:t xml:space="preserve">. While </w:t>
      </w:r>
      <w:r w:rsidR="00024806" w:rsidRPr="0073228A">
        <w:rPr>
          <w:rFonts w:ascii="Times New Roman" w:hAnsi="Times New Roman" w:cs="Times New Roman"/>
          <w:sz w:val="24"/>
          <w:szCs w:val="24"/>
        </w:rPr>
        <w:t>OM</w:t>
      </w:r>
      <w:r w:rsidR="00E43502" w:rsidRPr="0073228A">
        <w:rPr>
          <w:rFonts w:ascii="Times New Roman" w:hAnsi="Times New Roman" w:cs="Times New Roman"/>
          <w:sz w:val="24"/>
          <w:szCs w:val="24"/>
        </w:rPr>
        <w:t xml:space="preserve"> is the least severe </w:t>
      </w:r>
      <w:r w:rsidR="006D6793" w:rsidRPr="0073228A">
        <w:rPr>
          <w:rFonts w:ascii="Times New Roman" w:hAnsi="Times New Roman" w:cs="Times New Roman"/>
          <w:sz w:val="24"/>
          <w:szCs w:val="24"/>
        </w:rPr>
        <w:t xml:space="preserve">of the </w:t>
      </w:r>
      <w:r w:rsidR="006D3880" w:rsidRPr="0073228A">
        <w:rPr>
          <w:rFonts w:ascii="Times New Roman" w:hAnsi="Times New Roman" w:cs="Times New Roman"/>
          <w:sz w:val="24"/>
          <w:szCs w:val="24"/>
        </w:rPr>
        <w:t xml:space="preserve">pneumococcal </w:t>
      </w:r>
      <w:r w:rsidR="00E43502" w:rsidRPr="0073228A">
        <w:rPr>
          <w:rFonts w:ascii="Times New Roman" w:hAnsi="Times New Roman" w:cs="Times New Roman"/>
          <w:sz w:val="24"/>
          <w:szCs w:val="24"/>
        </w:rPr>
        <w:t>disease</w:t>
      </w:r>
      <w:r w:rsidR="006D6793" w:rsidRPr="0073228A">
        <w:rPr>
          <w:rFonts w:ascii="Times New Roman" w:hAnsi="Times New Roman" w:cs="Times New Roman"/>
          <w:sz w:val="24"/>
          <w:szCs w:val="24"/>
        </w:rPr>
        <w:t>s</w:t>
      </w:r>
      <w:r w:rsidR="00743B6E" w:rsidRPr="0073228A">
        <w:rPr>
          <w:rFonts w:ascii="Times New Roman" w:hAnsi="Times New Roman" w:cs="Times New Roman"/>
          <w:sz w:val="24"/>
          <w:szCs w:val="24"/>
        </w:rPr>
        <w:t>,</w:t>
      </w:r>
      <w:r w:rsidR="00E43502" w:rsidRPr="0073228A">
        <w:rPr>
          <w:rFonts w:ascii="Times New Roman" w:hAnsi="Times New Roman" w:cs="Times New Roman"/>
          <w:sz w:val="24"/>
          <w:szCs w:val="24"/>
        </w:rPr>
        <w:t xml:space="preserve"> </w:t>
      </w:r>
      <w:r w:rsidR="006D3880" w:rsidRPr="0073228A">
        <w:rPr>
          <w:rFonts w:ascii="Times New Roman" w:hAnsi="Times New Roman" w:cs="Times New Roman"/>
          <w:sz w:val="24"/>
          <w:szCs w:val="24"/>
        </w:rPr>
        <w:t xml:space="preserve">PCVs have prevented a disproportionally high amount of </w:t>
      </w:r>
      <w:r w:rsidR="00024806" w:rsidRPr="0073228A">
        <w:rPr>
          <w:rFonts w:ascii="Times New Roman" w:hAnsi="Times New Roman" w:cs="Times New Roman"/>
          <w:sz w:val="24"/>
          <w:szCs w:val="24"/>
        </w:rPr>
        <w:t>OM</w:t>
      </w:r>
      <w:r w:rsidR="006D3880" w:rsidRPr="0073228A">
        <w:rPr>
          <w:rFonts w:ascii="Times New Roman" w:hAnsi="Times New Roman" w:cs="Times New Roman"/>
          <w:sz w:val="24"/>
          <w:szCs w:val="24"/>
        </w:rPr>
        <w:t xml:space="preserve"> disease episode</w:t>
      </w:r>
      <w:r w:rsidR="00743B6E" w:rsidRPr="0073228A">
        <w:rPr>
          <w:rFonts w:ascii="Times New Roman" w:hAnsi="Times New Roman" w:cs="Times New Roman"/>
          <w:sz w:val="24"/>
          <w:szCs w:val="24"/>
        </w:rPr>
        <w:t>s</w:t>
      </w:r>
      <w:r w:rsidR="006D3880" w:rsidRPr="0073228A">
        <w:rPr>
          <w:rFonts w:ascii="Times New Roman" w:hAnsi="Times New Roman" w:cs="Times New Roman"/>
          <w:sz w:val="24"/>
          <w:szCs w:val="24"/>
        </w:rPr>
        <w:t xml:space="preserve"> if compared with non-bacteraemic pneumonia or IPD. For example, </w:t>
      </w:r>
      <w:r w:rsidR="006D6793" w:rsidRPr="0073228A">
        <w:rPr>
          <w:rFonts w:ascii="Times New Roman" w:hAnsi="Times New Roman" w:cs="Times New Roman"/>
          <w:sz w:val="24"/>
          <w:szCs w:val="24"/>
        </w:rPr>
        <w:t>in the US Prevenar 7</w:t>
      </w:r>
      <w:r w:rsidR="006D6793" w:rsidRPr="0073228A">
        <w:rPr>
          <w:rFonts w:ascii="Times New Roman" w:hAnsi="Times New Roman" w:cs="Times New Roman"/>
          <w:sz w:val="24"/>
          <w:szCs w:val="24"/>
          <w:vertAlign w:val="superscript"/>
        </w:rPr>
        <w:t>TM</w:t>
      </w:r>
      <w:r w:rsidR="002C44DC">
        <w:rPr>
          <w:rFonts w:ascii="Times New Roman" w:hAnsi="Times New Roman" w:cs="Times New Roman"/>
          <w:sz w:val="24"/>
          <w:szCs w:val="24"/>
        </w:rPr>
        <w:t xml:space="preserve"> (Pfizer, New York City, New York)</w:t>
      </w:r>
      <w:r w:rsidR="002C44DC" w:rsidRPr="0073228A">
        <w:rPr>
          <w:rFonts w:ascii="Times New Roman" w:hAnsi="Times New Roman" w:cs="Times New Roman"/>
          <w:sz w:val="24"/>
          <w:szCs w:val="24"/>
        </w:rPr>
        <w:t xml:space="preserve"> </w:t>
      </w:r>
      <w:r w:rsidR="006D6793" w:rsidRPr="0073228A">
        <w:rPr>
          <w:rFonts w:ascii="Times New Roman" w:hAnsi="Times New Roman" w:cs="Times New Roman"/>
          <w:sz w:val="24"/>
          <w:szCs w:val="24"/>
        </w:rPr>
        <w:t xml:space="preserve">(PCV7) </w:t>
      </w:r>
      <w:r w:rsidR="006D3880" w:rsidRPr="0073228A">
        <w:rPr>
          <w:rFonts w:ascii="Times New Roman" w:hAnsi="Times New Roman" w:cs="Times New Roman"/>
          <w:sz w:val="24"/>
          <w:szCs w:val="24"/>
        </w:rPr>
        <w:t xml:space="preserve">has prevented 129 hospitalisations </w:t>
      </w:r>
      <w:r w:rsidR="00620D5F" w:rsidRPr="0073228A">
        <w:rPr>
          <w:rFonts w:ascii="Times New Roman" w:hAnsi="Times New Roman" w:cs="Times New Roman"/>
          <w:sz w:val="24"/>
          <w:szCs w:val="24"/>
        </w:rPr>
        <w:t xml:space="preserve">due to IPD </w:t>
      </w:r>
      <w:r w:rsidR="005B0D6E" w:rsidRPr="0073228A">
        <w:rPr>
          <w:rFonts w:ascii="Times New Roman" w:hAnsi="Times New Roman" w:cs="Times New Roman"/>
          <w:sz w:val="24"/>
          <w:szCs w:val="24"/>
        </w:rPr>
        <w:t xml:space="preserve">per 100,000 children </w:t>
      </w:r>
      <w:r w:rsidR="00743B6E" w:rsidRPr="0073228A">
        <w:rPr>
          <w:rFonts w:ascii="Times New Roman" w:hAnsi="Times New Roman" w:cs="Times New Roman"/>
          <w:sz w:val="24"/>
          <w:szCs w:val="24"/>
        </w:rPr>
        <w:t xml:space="preserve">per annum </w:t>
      </w:r>
      <w:r w:rsidR="006D3880" w:rsidRPr="0073228A">
        <w:rPr>
          <w:rFonts w:ascii="Times New Roman" w:hAnsi="Times New Roman" w:cs="Times New Roman"/>
          <w:sz w:val="24"/>
          <w:szCs w:val="24"/>
        </w:rPr>
        <w:t>in the 3 years after PCV introduction</w:t>
      </w:r>
      <w:r w:rsidR="006D6793" w:rsidRPr="0073228A">
        <w:rPr>
          <w:rFonts w:ascii="Times New Roman" w:hAnsi="Times New Roman" w:cs="Times New Roman"/>
          <w:sz w:val="24"/>
          <w:szCs w:val="24"/>
        </w:rPr>
        <w:t xml:space="preserve"> and </w:t>
      </w:r>
      <w:r w:rsidR="006D3880" w:rsidRPr="0073228A">
        <w:rPr>
          <w:rFonts w:ascii="Times New Roman" w:hAnsi="Times New Roman" w:cs="Times New Roman"/>
          <w:sz w:val="24"/>
          <w:szCs w:val="24"/>
        </w:rPr>
        <w:t xml:space="preserve">about 500 hospitalisations </w:t>
      </w:r>
      <w:r w:rsidR="00620D5F" w:rsidRPr="0073228A">
        <w:rPr>
          <w:rFonts w:ascii="Times New Roman" w:hAnsi="Times New Roman" w:cs="Times New Roman"/>
          <w:sz w:val="24"/>
          <w:szCs w:val="24"/>
        </w:rPr>
        <w:t xml:space="preserve">due to non-bacteraemic pneumonia </w:t>
      </w:r>
      <w:r w:rsidR="005B0D6E" w:rsidRPr="0073228A">
        <w:rPr>
          <w:rFonts w:ascii="Times New Roman" w:hAnsi="Times New Roman" w:cs="Times New Roman"/>
          <w:sz w:val="24"/>
          <w:szCs w:val="24"/>
        </w:rPr>
        <w:t xml:space="preserve">per 100,000 children </w:t>
      </w:r>
      <w:r w:rsidR="00743B6E" w:rsidRPr="0073228A">
        <w:rPr>
          <w:rFonts w:ascii="Times New Roman" w:hAnsi="Times New Roman" w:cs="Times New Roman"/>
          <w:sz w:val="24"/>
          <w:szCs w:val="24"/>
        </w:rPr>
        <w:t xml:space="preserve">per annum </w:t>
      </w:r>
      <w:r w:rsidR="005B0D6E" w:rsidRPr="0073228A">
        <w:rPr>
          <w:rFonts w:ascii="Times New Roman" w:hAnsi="Times New Roman" w:cs="Times New Roman"/>
          <w:sz w:val="24"/>
          <w:szCs w:val="24"/>
        </w:rPr>
        <w:fldChar w:fldCharType="begin" w:fldLock="1"/>
      </w:r>
      <w:r w:rsidR="00F617E9">
        <w:rPr>
          <w:rFonts w:ascii="Times New Roman" w:hAnsi="Times New Roman" w:cs="Times New Roman"/>
          <w:sz w:val="24"/>
          <w:szCs w:val="24"/>
        </w:rPr>
        <w:instrText>ADDIN CSL_CITATION { "citationItems" : [ { "id" : "ITEM-1", "itemData" : { "DOI" : "10.1097/INF.0b013e31824de9f6", "ISSN" : "1532-0987", "PMID" : "22327872", "abstract" : "BACKGROUND: Pneumococcal conjugate vaccines (PCV) are emerging as one of the most promising means to prevent pediatric disease. The 7-valent PCV (PCV-7) has been extensively evaluated in clinical trials, and recent evidence from the introduction of PCV-7 through national immunization programs has demonstrated impact on pneumococcal disease.\n\nMETHODS: Clinical trials have shown PCV-7 to be effective against the more severe forms of pneumococcal infections: pneumonia and invasive pneumococcal disease (IPD), as well as overall child mortality. A review shows the tremendous impact PCV-7 has had to date, and the potential further benefits of the emerging multi-valent vaccines.\n\nRESULTS: Since its introduction, the PCV-7 has substantially reduced the incidence of IPD, hospital admissions due to pneumonia and acute otitis media in numerous, mostly high income, low-disease burden countries. The reductions in IPD and pneumonia have also been observed among unvaccinated age groups in countries with routine use of PCV-7, demonstrating that PCV-7 provides herd immunity. Some settings observed an increase in rate of nonvaccine serotype IPD, yet rates of overall and vaccine-serotype IPD show marked reductions post-PCV-7 introduction. Limited data are available on the impact of PCV-7 in lower income countries. The available data from efficacy trials from The Gambia and South Africa suggest that PCV-7 will have substantial impact on reducing pneumococcal disease.\n\nCONCLUSION: PCV-7 has shown dramatic reduction in disease and mortality rates in the countries in which it has been introduced. The newly introduced 10-valent and 13-valent pneumococcal vaccines are expected to have substantial disease impact, but monitoring is essential to determine their true impact and sustain further introduction of pneumococcal conjugate vaccines.", "author" : [ { "dropping-particle" : "", "family" : "Fitzwater", "given" : "Sean P", "non-dropping-particle" : "", "parse-names" : false, "suffix" : "" }, { "dropping-particle" : "", "family" : "Chandran", "given" : "Aruna", "non-dropping-particle" : "", "parse-names" : false, "suffix" : "" }, { "dropping-particle" : "", "family" : "Santosham", "given" : "Mathuram", "non-dropping-particle" : "", "parse-names" : false, "suffix" : "" }, { "dropping-particle" : "", "family" : "Johnson", "given" : "Hope L", "non-dropping-particle" : "", "parse-names" : false, "suffix" : "" } ], "container-title" : "The Pediatric infectious disease journal", "id" : "ITEM-1", "issue" : "5", "issued" : { "date-parts" : [ [ "2012", "5", "9" ] ] }, "note" : "From Duplicate 4 ( \n\n\nThe worldwide impact of the seven-valent pneumococcal conjugate vaccine.\n\n\n- Fitzwater, Sean P; Chandran, Aruna; Santosham, Mathuram; Johnson, Hope L )\n\n\n\n\nFrom Duplicate 1 ( \n\n\nThe Worldwide Impact of the Seven-Valent Pneumococcal Conjugate Vaccine.\n\n\n- Fitzwater, Sean P; Chandran, Aruna; Santosham, Mathuram; Johnson, Hope L )\n\n", "page" : "501-8", "title" : "The worldwide impact of the seven-valent pneumococcal conjugate vaccine.", "type" : "article-journal", "volume" : "31" }, "uris" : [ "http://www.mendeley.com/documents/?uuid=0abf564b-93b6-4ea4-99d9-68fa63a3faf9" ] } ], "mendeley" : { "formattedCitation" : "(4)", "plainTextFormattedCitation" : "(4)", "previouslyFormattedCitation" : "(4)" }, "properties" : { "noteIndex" : 0 }, "schema" : "https://github.com/citation-style-language/schema/raw/master/csl-citation.json" }</w:instrText>
      </w:r>
      <w:r w:rsidR="005B0D6E" w:rsidRPr="0073228A">
        <w:rPr>
          <w:rFonts w:ascii="Times New Roman" w:hAnsi="Times New Roman" w:cs="Times New Roman"/>
          <w:sz w:val="24"/>
          <w:szCs w:val="24"/>
        </w:rPr>
        <w:fldChar w:fldCharType="separate"/>
      </w:r>
      <w:r w:rsidR="002765D7" w:rsidRPr="0073228A">
        <w:rPr>
          <w:rFonts w:ascii="Times New Roman" w:hAnsi="Times New Roman" w:cs="Times New Roman"/>
          <w:noProof/>
          <w:sz w:val="24"/>
          <w:szCs w:val="24"/>
        </w:rPr>
        <w:t>(4)</w:t>
      </w:r>
      <w:r w:rsidR="005B0D6E" w:rsidRPr="0073228A">
        <w:rPr>
          <w:rFonts w:ascii="Times New Roman" w:hAnsi="Times New Roman" w:cs="Times New Roman"/>
          <w:sz w:val="24"/>
          <w:szCs w:val="24"/>
        </w:rPr>
        <w:fldChar w:fldCharType="end"/>
      </w:r>
      <w:r w:rsidR="00743B6E" w:rsidRPr="0073228A">
        <w:rPr>
          <w:rFonts w:ascii="Times New Roman" w:hAnsi="Times New Roman" w:cs="Times New Roman"/>
          <w:sz w:val="24"/>
          <w:szCs w:val="24"/>
        </w:rPr>
        <w:t xml:space="preserve"> </w:t>
      </w:r>
      <w:r w:rsidR="006D6793" w:rsidRPr="0073228A">
        <w:rPr>
          <w:rFonts w:ascii="Times New Roman" w:hAnsi="Times New Roman" w:cs="Times New Roman"/>
          <w:sz w:val="24"/>
          <w:szCs w:val="24"/>
        </w:rPr>
        <w:t xml:space="preserve">while </w:t>
      </w:r>
      <w:r w:rsidR="00620D5F" w:rsidRPr="0073228A">
        <w:rPr>
          <w:rFonts w:ascii="Times New Roman" w:hAnsi="Times New Roman" w:cs="Times New Roman"/>
          <w:sz w:val="24"/>
          <w:szCs w:val="24"/>
        </w:rPr>
        <w:t>preventing</w:t>
      </w:r>
      <w:r w:rsidR="006D6793" w:rsidRPr="0073228A">
        <w:rPr>
          <w:rFonts w:ascii="Times New Roman" w:hAnsi="Times New Roman" w:cs="Times New Roman"/>
          <w:sz w:val="24"/>
          <w:szCs w:val="24"/>
        </w:rPr>
        <w:t xml:space="preserve"> 92,9</w:t>
      </w:r>
      <w:r w:rsidR="00743B6E" w:rsidRPr="0073228A">
        <w:rPr>
          <w:rFonts w:ascii="Times New Roman" w:hAnsi="Times New Roman" w:cs="Times New Roman"/>
          <w:sz w:val="24"/>
          <w:szCs w:val="24"/>
        </w:rPr>
        <w:t xml:space="preserve">00 ambulatory visits attributable to </w:t>
      </w:r>
      <w:r w:rsidR="00024806" w:rsidRPr="0073228A">
        <w:rPr>
          <w:rFonts w:ascii="Times New Roman" w:hAnsi="Times New Roman" w:cs="Times New Roman"/>
          <w:sz w:val="24"/>
          <w:szCs w:val="24"/>
        </w:rPr>
        <w:t>OM</w:t>
      </w:r>
      <w:r w:rsidR="00743B6E" w:rsidRPr="0073228A">
        <w:rPr>
          <w:rFonts w:ascii="Times New Roman" w:hAnsi="Times New Roman" w:cs="Times New Roman"/>
          <w:sz w:val="24"/>
          <w:szCs w:val="24"/>
        </w:rPr>
        <w:t xml:space="preserve"> per 100,000 person-years in children 4 years after PCV7 introduction </w:t>
      </w:r>
      <w:r w:rsidR="00743B6E" w:rsidRPr="0073228A">
        <w:rPr>
          <w:rFonts w:ascii="Times New Roman" w:hAnsi="Times New Roman" w:cs="Times New Roman"/>
          <w:sz w:val="24"/>
          <w:szCs w:val="24"/>
        </w:rPr>
        <w:fldChar w:fldCharType="begin" w:fldLock="1"/>
      </w:r>
      <w:r w:rsidR="00F617E9">
        <w:rPr>
          <w:rFonts w:ascii="Times New Roman" w:hAnsi="Times New Roman" w:cs="Times New Roman"/>
          <w:sz w:val="24"/>
          <w:szCs w:val="24"/>
        </w:rPr>
        <w:instrText>ADDIN CSL_CITATION { "citationItems" : [ { "id" : "ITEM-1", "itemData" : { "DOI" : "10.1542/peds.2007-0619", "ISSN" : "1098-4275", "PMID" : "18245415", "abstract" : "OBJECTIVE: The goal was to estimate the population effect of 7-valent pneumococcal conjugate vaccine on rates of acute otitis media-related ambulatory visits and antibiotic prescriptions for &lt;2-year-old children enrolled in private insurance plans. METHODS: We performed a retrospective analysis of a defined population by using the 1997-2004 MarketScan databases, which included an average of &gt;500,000 person-years of observations for children &lt;2 years of age. Trends in rates of International Classification of Diseases, Ninth Revision-coded ambulatory visits and antibiotic prescriptions attributable to acute otitis media were evaluated, and the national direct medical expenditures for these outcomes were estimated. RESULTS: In a comparison of 2004 with 1997-1999 (baseline period), rates of ambulatory visits and antibiotic prescriptions attributable to acute otitis media decreased from 2173 to 1244 visits per 1000 person-years (42.7% reduction) and from 1244 to 722 prescriptions per 1000 person-years (41.9% reduction), respectively. Total, estimated, national direct medical expenditures for acute otitis media-related ambulatory visits and antibiotic prescriptions for children &lt;2 years of age decreased from an average of $1.41 billion during 1997 to 1999 to $0.95 billion in 2004 (32.3% reduction). CONCLUSIONS: Acute otitis media-related health care utilization and associated antibiotic prescriptions for privately insured young children decreased more than expected (on the basis of efficacy estimates in prelicensure clinical trials) after the introduction of routine 7-valent pneumococcal conjugate vaccine immunization. Although other factors, such as clinical practice guidelines to reduce antibiotic use, might have contributed to the observed trend, 7-valent pneumococcal conjugate vaccine may play an important role in reducing the burden of acute otitis media, resulting in substantial savings in medical care costs.", "author" : [ { "dropping-particle" : "", "family" : "Zhou", "given" : "Fangjun", "non-dropping-particle" : "", "parse-names" : false, "suffix" : "" }, { "dropping-particle" : "", "family" : "Shefer", "given" : "Abigail", "non-dropping-particle" : "", "parse-names" : false, "suffix" : "" }, { "dropping-particle" : "", "family" : "Kong", "given" : "Yuan", "non-dropping-particle" : "", "parse-names" : false, "suffix" : "" }, { "dropping-particle" : "", "family" : "Nuorti", "given" : "J Pekka", "non-dropping-particle" : "", "parse-names" : false, "suffix" : "" } ], "container-title" : "Pediatrics", "id" : "ITEM-1", "issue" : "2", "issued" : { "date-parts" : [ [ "2008", "2" ] ] }, "page" : "253-60", "title" : "Trends in acute otitis media-related health care utilization by privately insured young children in the United States, 1997-2004.", "type" : "article-journal", "volume" : "121" }, "uris" : [ "http://www.mendeley.com/documents/?uuid=01373932-092c-451c-83e3-9d8f643e04ed" ] } ], "mendeley" : { "formattedCitation" : "(5)", "plainTextFormattedCitation" : "(5)", "previouslyFormattedCitation" : "(5)" }, "properties" : { "noteIndex" : 0 }, "schema" : "https://github.com/citation-style-language/schema/raw/master/csl-citation.json" }</w:instrText>
      </w:r>
      <w:r w:rsidR="00743B6E" w:rsidRPr="0073228A">
        <w:rPr>
          <w:rFonts w:ascii="Times New Roman" w:hAnsi="Times New Roman" w:cs="Times New Roman"/>
          <w:sz w:val="24"/>
          <w:szCs w:val="24"/>
        </w:rPr>
        <w:fldChar w:fldCharType="separate"/>
      </w:r>
      <w:r w:rsidR="002765D7" w:rsidRPr="0073228A">
        <w:rPr>
          <w:rFonts w:ascii="Times New Roman" w:hAnsi="Times New Roman" w:cs="Times New Roman"/>
          <w:noProof/>
          <w:sz w:val="24"/>
          <w:szCs w:val="24"/>
        </w:rPr>
        <w:t>(5)</w:t>
      </w:r>
      <w:r w:rsidR="00743B6E" w:rsidRPr="0073228A">
        <w:rPr>
          <w:rFonts w:ascii="Times New Roman" w:hAnsi="Times New Roman" w:cs="Times New Roman"/>
          <w:sz w:val="24"/>
          <w:szCs w:val="24"/>
        </w:rPr>
        <w:fldChar w:fldCharType="end"/>
      </w:r>
      <w:r w:rsidR="00743B6E" w:rsidRPr="0073228A">
        <w:rPr>
          <w:rFonts w:ascii="Times New Roman" w:hAnsi="Times New Roman" w:cs="Times New Roman"/>
          <w:sz w:val="24"/>
          <w:szCs w:val="24"/>
        </w:rPr>
        <w:t>.</w:t>
      </w:r>
    </w:p>
    <w:p w14:paraId="188D7722" w14:textId="11987B08" w:rsidR="006D3880" w:rsidRPr="0073228A" w:rsidRDefault="00313F96" w:rsidP="00B3162B">
      <w:pPr>
        <w:spacing w:line="480" w:lineRule="auto"/>
        <w:rPr>
          <w:rFonts w:ascii="Times New Roman" w:hAnsi="Times New Roman" w:cs="Times New Roman"/>
          <w:sz w:val="24"/>
          <w:szCs w:val="24"/>
        </w:rPr>
      </w:pPr>
      <w:r w:rsidRPr="0073228A">
        <w:rPr>
          <w:rFonts w:ascii="Times New Roman" w:hAnsi="Times New Roman" w:cs="Times New Roman"/>
          <w:sz w:val="24"/>
          <w:szCs w:val="24"/>
        </w:rPr>
        <w:t xml:space="preserve">Post-PCV implementation surveillance on pathogens causing OM, particularly </w:t>
      </w:r>
      <w:r w:rsidRPr="0073228A">
        <w:rPr>
          <w:rFonts w:ascii="Times New Roman" w:hAnsi="Times New Roman" w:cs="Times New Roman"/>
          <w:i/>
          <w:sz w:val="24"/>
          <w:szCs w:val="24"/>
        </w:rPr>
        <w:t xml:space="preserve">S. pneumoniae </w:t>
      </w:r>
      <w:r w:rsidRPr="0073228A">
        <w:rPr>
          <w:rFonts w:ascii="Times New Roman" w:hAnsi="Times New Roman" w:cs="Times New Roman"/>
          <w:sz w:val="24"/>
          <w:szCs w:val="24"/>
        </w:rPr>
        <w:t>serotypes</w:t>
      </w:r>
      <w:r w:rsidR="00715414" w:rsidRPr="0073228A">
        <w:rPr>
          <w:rFonts w:ascii="Times New Roman" w:hAnsi="Times New Roman" w:cs="Times New Roman"/>
          <w:sz w:val="24"/>
          <w:szCs w:val="24"/>
        </w:rPr>
        <w:t xml:space="preserve"> is only rarely attempted, due to the </w:t>
      </w:r>
      <w:r w:rsidR="0082266C" w:rsidRPr="0073228A">
        <w:rPr>
          <w:rFonts w:ascii="Times New Roman" w:hAnsi="Times New Roman" w:cs="Times New Roman"/>
          <w:sz w:val="24"/>
          <w:szCs w:val="24"/>
        </w:rPr>
        <w:t>paucity of</w:t>
      </w:r>
      <w:r w:rsidR="00715414" w:rsidRPr="0073228A">
        <w:rPr>
          <w:rFonts w:ascii="Times New Roman" w:hAnsi="Times New Roman" w:cs="Times New Roman"/>
          <w:sz w:val="24"/>
          <w:szCs w:val="24"/>
        </w:rPr>
        <w:t xml:space="preserve"> microbiological samples from middle ear fluid (MEF)</w:t>
      </w:r>
      <w:r w:rsidR="009814BA" w:rsidRPr="0073228A">
        <w:rPr>
          <w:rFonts w:ascii="Times New Roman" w:hAnsi="Times New Roman" w:cs="Times New Roman"/>
          <w:sz w:val="24"/>
          <w:szCs w:val="24"/>
        </w:rPr>
        <w:t>.</w:t>
      </w:r>
      <w:r w:rsidR="00715414" w:rsidRPr="0073228A">
        <w:rPr>
          <w:rFonts w:ascii="Times New Roman" w:hAnsi="Times New Roman" w:cs="Times New Roman"/>
          <w:sz w:val="24"/>
          <w:szCs w:val="24"/>
        </w:rPr>
        <w:t xml:space="preserve"> </w:t>
      </w:r>
      <w:r w:rsidR="009814BA" w:rsidRPr="0073228A">
        <w:rPr>
          <w:rFonts w:ascii="Times New Roman" w:hAnsi="Times New Roman" w:cs="Times New Roman"/>
          <w:sz w:val="24"/>
          <w:szCs w:val="24"/>
        </w:rPr>
        <w:t xml:space="preserve">This raises </w:t>
      </w:r>
      <w:r w:rsidR="00715414" w:rsidRPr="0073228A">
        <w:rPr>
          <w:rFonts w:ascii="Times New Roman" w:hAnsi="Times New Roman" w:cs="Times New Roman"/>
          <w:sz w:val="24"/>
          <w:szCs w:val="24"/>
        </w:rPr>
        <w:t>the need</w:t>
      </w:r>
      <w:r w:rsidR="006D3880" w:rsidRPr="0073228A">
        <w:rPr>
          <w:rFonts w:ascii="Times New Roman" w:hAnsi="Times New Roman" w:cs="Times New Roman"/>
          <w:sz w:val="24"/>
          <w:szCs w:val="24"/>
        </w:rPr>
        <w:t xml:space="preserve"> </w:t>
      </w:r>
      <w:r w:rsidR="00715414" w:rsidRPr="0073228A">
        <w:rPr>
          <w:rFonts w:ascii="Times New Roman" w:hAnsi="Times New Roman" w:cs="Times New Roman"/>
          <w:sz w:val="24"/>
          <w:szCs w:val="24"/>
        </w:rPr>
        <w:t xml:space="preserve">for </w:t>
      </w:r>
      <w:r w:rsidR="009814BA" w:rsidRPr="0073228A">
        <w:rPr>
          <w:rFonts w:ascii="Times New Roman" w:hAnsi="Times New Roman" w:cs="Times New Roman"/>
          <w:sz w:val="24"/>
          <w:szCs w:val="24"/>
        </w:rPr>
        <w:t xml:space="preserve">identification </w:t>
      </w:r>
      <w:r w:rsidR="00715414" w:rsidRPr="0073228A">
        <w:rPr>
          <w:rFonts w:ascii="Times New Roman" w:hAnsi="Times New Roman" w:cs="Times New Roman"/>
          <w:sz w:val="24"/>
          <w:szCs w:val="24"/>
        </w:rPr>
        <w:t>of indirect mean</w:t>
      </w:r>
      <w:r w:rsidR="009814BA" w:rsidRPr="0073228A">
        <w:rPr>
          <w:rFonts w:ascii="Times New Roman" w:hAnsi="Times New Roman" w:cs="Times New Roman"/>
          <w:sz w:val="24"/>
          <w:szCs w:val="24"/>
        </w:rPr>
        <w:t>s</w:t>
      </w:r>
      <w:r w:rsidR="00715414" w:rsidRPr="0073228A">
        <w:rPr>
          <w:rFonts w:ascii="Times New Roman" w:hAnsi="Times New Roman" w:cs="Times New Roman"/>
          <w:sz w:val="24"/>
          <w:szCs w:val="24"/>
        </w:rPr>
        <w:t xml:space="preserve"> to monitor OM</w:t>
      </w:r>
      <w:r w:rsidRPr="0073228A">
        <w:rPr>
          <w:rFonts w:ascii="Times New Roman" w:hAnsi="Times New Roman" w:cs="Times New Roman"/>
          <w:sz w:val="24"/>
          <w:szCs w:val="24"/>
        </w:rPr>
        <w:t xml:space="preserve"> pathogens</w:t>
      </w:r>
      <w:r w:rsidR="00715414" w:rsidRPr="0073228A">
        <w:rPr>
          <w:rFonts w:ascii="Times New Roman" w:hAnsi="Times New Roman" w:cs="Times New Roman"/>
          <w:sz w:val="24"/>
          <w:szCs w:val="24"/>
        </w:rPr>
        <w:t xml:space="preserve">. It was previously demonstrated that for </w:t>
      </w:r>
      <w:r w:rsidR="009814BA" w:rsidRPr="0073228A">
        <w:rPr>
          <w:rFonts w:ascii="Times New Roman" w:hAnsi="Times New Roman" w:cs="Times New Roman"/>
          <w:sz w:val="24"/>
          <w:szCs w:val="24"/>
        </w:rPr>
        <w:t xml:space="preserve">paediatric </w:t>
      </w:r>
      <w:r w:rsidR="00715414" w:rsidRPr="0073228A">
        <w:rPr>
          <w:rFonts w:ascii="Times New Roman" w:hAnsi="Times New Roman" w:cs="Times New Roman"/>
          <w:sz w:val="24"/>
          <w:szCs w:val="24"/>
        </w:rPr>
        <w:t xml:space="preserve">IPD, post-PCV7 changes in epidemiology could be inferred to a certain extent, by </w:t>
      </w:r>
      <w:r w:rsidR="000D0EA3" w:rsidRPr="0073228A">
        <w:rPr>
          <w:rFonts w:ascii="Times New Roman" w:hAnsi="Times New Roman" w:cs="Times New Roman"/>
          <w:sz w:val="24"/>
          <w:szCs w:val="24"/>
        </w:rPr>
        <w:t xml:space="preserve"> </w:t>
      </w:r>
      <w:r w:rsidR="00715414" w:rsidRPr="0073228A">
        <w:rPr>
          <w:rFonts w:ascii="Times New Roman" w:hAnsi="Times New Roman" w:cs="Times New Roman"/>
          <w:sz w:val="24"/>
          <w:szCs w:val="24"/>
        </w:rPr>
        <w:t xml:space="preserve">monitoring nasopharyngeal </w:t>
      </w:r>
      <w:r w:rsidR="000D0EA3" w:rsidRPr="0073228A">
        <w:rPr>
          <w:rFonts w:ascii="Times New Roman" w:hAnsi="Times New Roman" w:cs="Times New Roman"/>
          <w:sz w:val="24"/>
          <w:szCs w:val="24"/>
        </w:rPr>
        <w:t xml:space="preserve">carriage </w:t>
      </w:r>
      <w:r w:rsidR="00715414" w:rsidRPr="0073228A">
        <w:rPr>
          <w:rFonts w:ascii="Times New Roman" w:hAnsi="Times New Roman" w:cs="Times New Roman"/>
          <w:sz w:val="24"/>
          <w:szCs w:val="24"/>
        </w:rPr>
        <w:t>dynamics</w:t>
      </w:r>
      <w:r w:rsidR="0017752D" w:rsidRPr="0073228A">
        <w:rPr>
          <w:rFonts w:ascii="Times New Roman" w:hAnsi="Times New Roman" w:cs="Times New Roman"/>
          <w:sz w:val="24"/>
          <w:szCs w:val="24"/>
        </w:rPr>
        <w:t xml:space="preserve"> </w:t>
      </w:r>
      <w:r w:rsidR="009814BA" w:rsidRPr="0073228A">
        <w:rPr>
          <w:rFonts w:ascii="Times New Roman" w:hAnsi="Times New Roman" w:cs="Times New Roman"/>
          <w:sz w:val="24"/>
          <w:szCs w:val="24"/>
        </w:rPr>
        <w:fldChar w:fldCharType="begin" w:fldLock="1"/>
      </w:r>
      <w:r w:rsidR="00F617E9">
        <w:rPr>
          <w:rFonts w:ascii="Times New Roman" w:hAnsi="Times New Roman" w:cs="Times New Roman"/>
          <w:sz w:val="24"/>
          <w:szCs w:val="24"/>
        </w:rPr>
        <w:instrText>ADDIN CSL_CITATION { "citationItems" : [ { "id" : "ITEM-1", "itemData" : { "DOI" : "10.1093/aje/kwt156", "ISSN" : "1476-6256", "PMID" : "24013204", "abstract" : "Pneumococcal conjugate vaccines (PCVs) have been introduced worldwide. However, few developing countries have high-quality surveillance systems available for monitoring vaccine impact. We evaluated whether data from nasopharyngeal carriage studies can be used to accurately monitor post-PCV changes in the incidence of invasive pneumococcal disease (IPD) among children under 5 years of age. For various dates during 1991-2010, data on nasopharyngeal pneumococcal carriage and on IPD before and after administration of 7-valent PCV (PCV7) were available from England and Wales, the Netherlands, the Navajo and White Mountain Apache American Indian populations, and the US states of Massachusetts and Alaska. We estimated the change in carriage prevalence for each serotype in each study and then either calculated the average change (inverse variance-weighted) among vaccine and nonvaccine serotypes (model 1) or used mixed-effects models to estimate the change for each serotype individually, pooling serotype data within or between studies (models 2 and 3). We then multiplied these values by the proportion of IPD caused by each serotype during the pre-PCV7 period to obtain an estimate of post-PCV7 disease incidence. Model 1 accurately captured overall changes in IPD incidence following PCV7 introduction for most studies, while the more detailed models, models 2 and 3, were less accurate. Carriage data can be used in this simple model to estimate post-PCV changes in IPD incidence.", "author" : [ { "dropping-particle" : "", "family" : "Weinberger", "given" : "Daniel M", "non-dropping-particle" : "", "parse-names" : false, "suffix" : "" }, { "dropping-particle" : "", "family" : "Bruden", "given" : "Dana T", "non-dropping-particle" : "", "parse-names" : false, "suffix" : "" }, { "dropping-particle" : "", "family" : "Grant", "given" : "Lindsay R", "non-dropping-particle" : "", "parse-names" : false, "suffix" : "" }, { "dropping-particle" : "", "family" : "Lipsitch", "given" : "Marc", "non-dropping-particle" : "", "parse-names" : false, "suffix" : "" }, { "dropping-particle" : "", "family" : "O'Brien", "given" : "Katherine L", "non-dropping-particle" : "", "parse-names" : false, "suffix" : "" }, { "dropping-particle" : "", "family" : "Pelton", "given" : "Stephen I", "non-dropping-particle" : "", "parse-names" : false, "suffix" : "" }, { "dropping-particle" : "", "family" : "Sanders", "given" : "Elisabeth a M", "non-dropping-particle" : "", "parse-names" : false, "suffix" : "" }, { "dropping-particle" : "", "family" : "Feikin", "given" : "Daniel R", "non-dropping-particle" : "", "parse-names" : false, "suffix" : "" } ], "container-title" : "American journal of epidemiology", "id" : "ITEM-1", "issue" : "9", "issued" : { "date-parts" : [ [ "2013", "11", "1" ] ] }, "note" : "From Duplicate 1 (Using pneumococcal carriage data to monitor postvaccination changes in invasive disease. - Weinberger, Daniel M; Bruden, Dana T; Grant, Lindsay R; Lipsitch, Marc; O'Brien, Katherine L; Pelton, Stephen I; Sanders, Elisabeth a M; Feikin, Daniel R)\n\nFrom Duplicate 2 ( \n\n\nUsing pneumococcal carriage data to monitor postvaccination changes in invasive disease.\n\n\n- Weinberger, Daniel M; Bruden, Dana T; Grant, Lindsay R; Lipsitch, Marc; O'Brien, Katherine L; Pelton, Stephen I; Sanders, Elisabeth a M; Feikin, Daniel R )\n\n", "page" : "1488-95", "title" : "Using pneumococcal carriage data to monitor postvaccination changes in invasive disease.", "type" : "article-journal", "volume" : "178" }, "uris" : [ "http://www.mendeley.com/documents/?uuid=3a8b09ee-6ccb-4e24-a89d-0847da04d541" ] }, { "id" : "ITEM-2", "itemData" : { "DOI" : "10.1371/journal.pcbi.1004173", "ISSN" : "1553-7358", "author" : [ { "dropping-particle" : "", "family" : "Flasche", "given" : "Stefan", "non-dropping-particle" : "", "parse-names" : false, "suffix" : "" }, { "dropping-particle" : "", "family" : "Polain de Waroux", "given" : "Olivier", "non-dropping-particle" : "Le", "parse-names" : false, "suffix" : "" }, { "dropping-particle" : "", "family" : "O\u2019Brien", "given" : "Katherine L.", "non-dropping-particle" : "", "parse-names" : false, "suffix" : "" }, { "dropping-particle" : "", "family" : "Edmunds", "given" : "W. John", "non-dropping-particle" : "", "parse-names" : false, "suffix" : "" } ], "container-title" : "PLOS Computational Biology", "id" : "ITEM-2", "issue" : "4", "issued" : { "date-parts" : [ [ "2015" ] ] }, "page" : "e1004173", "title" : "The Serotype Distribution among Healthy Carriers before Vaccination Is Essential for Predicting the Impact of Pneumococcal Conjugate Vaccine on Invasive Disease", "type" : "article-journal", "volume" : "11" }, "uris" : [ "http://www.mendeley.com/documents/?uuid=d30e1a60-f456-4fac-abe5-f10842a3437f" ] } ], "mendeley" : { "formattedCitation" : "(6,7)", "plainTextFormattedCitation" : "(6,7)", "previouslyFormattedCitation" : "(6,7)" }, "properties" : { "noteIndex" : 0 }, "schema" : "https://github.com/citation-style-language/schema/raw/master/csl-citation.json" }</w:instrText>
      </w:r>
      <w:r w:rsidR="009814BA" w:rsidRPr="0073228A">
        <w:rPr>
          <w:rFonts w:ascii="Times New Roman" w:hAnsi="Times New Roman" w:cs="Times New Roman"/>
          <w:sz w:val="24"/>
          <w:szCs w:val="24"/>
        </w:rPr>
        <w:fldChar w:fldCharType="separate"/>
      </w:r>
      <w:r w:rsidR="002765D7" w:rsidRPr="0073228A">
        <w:rPr>
          <w:rFonts w:ascii="Times New Roman" w:hAnsi="Times New Roman" w:cs="Times New Roman"/>
          <w:noProof/>
          <w:sz w:val="24"/>
          <w:szCs w:val="24"/>
        </w:rPr>
        <w:t>(6,7)</w:t>
      </w:r>
      <w:r w:rsidR="009814BA" w:rsidRPr="0073228A">
        <w:rPr>
          <w:rFonts w:ascii="Times New Roman" w:hAnsi="Times New Roman" w:cs="Times New Roman"/>
          <w:sz w:val="24"/>
          <w:szCs w:val="24"/>
        </w:rPr>
        <w:fldChar w:fldCharType="end"/>
      </w:r>
      <w:r w:rsidR="00715414" w:rsidRPr="0073228A">
        <w:rPr>
          <w:rFonts w:ascii="Times New Roman" w:hAnsi="Times New Roman" w:cs="Times New Roman"/>
          <w:sz w:val="24"/>
          <w:szCs w:val="24"/>
        </w:rPr>
        <w:t>.  It is plausible that with OM, similar link exists, but the feasibility of such approach has not been studied.</w:t>
      </w:r>
    </w:p>
    <w:p w14:paraId="0BFB6E72" w14:textId="7095E08B" w:rsidR="00FD3B11" w:rsidRPr="0073228A" w:rsidRDefault="007E3F55" w:rsidP="00A74DDD">
      <w:pPr>
        <w:spacing w:after="0" w:line="480" w:lineRule="auto"/>
        <w:rPr>
          <w:rFonts w:ascii="Times New Roman" w:hAnsi="Times New Roman" w:cs="Times New Roman"/>
          <w:sz w:val="24"/>
          <w:szCs w:val="24"/>
        </w:rPr>
      </w:pPr>
      <w:r w:rsidRPr="0073228A">
        <w:rPr>
          <w:rFonts w:ascii="Times New Roman" w:hAnsi="Times New Roman" w:cs="Times New Roman"/>
          <w:sz w:val="24"/>
          <w:szCs w:val="24"/>
        </w:rPr>
        <w:t xml:space="preserve">PCV7 </w:t>
      </w:r>
      <w:r w:rsidR="003C790A" w:rsidRPr="0073228A">
        <w:rPr>
          <w:rFonts w:ascii="Times New Roman" w:hAnsi="Times New Roman" w:cs="Times New Roman"/>
          <w:sz w:val="24"/>
          <w:szCs w:val="24"/>
        </w:rPr>
        <w:t>was licensed in Israel in 2007</w:t>
      </w:r>
      <w:r w:rsidR="00E80C1B" w:rsidRPr="0073228A">
        <w:rPr>
          <w:rFonts w:ascii="Times New Roman" w:hAnsi="Times New Roman" w:cs="Times New Roman"/>
          <w:sz w:val="24"/>
          <w:szCs w:val="24"/>
        </w:rPr>
        <w:t>, with sporadic use until 2009.</w:t>
      </w:r>
      <w:r w:rsidR="003C790A" w:rsidRPr="0073228A">
        <w:rPr>
          <w:rFonts w:ascii="Times New Roman" w:hAnsi="Times New Roman" w:cs="Times New Roman"/>
          <w:sz w:val="24"/>
          <w:szCs w:val="24"/>
        </w:rPr>
        <w:t xml:space="preserve"> The vaccine was introduced into the Isra</w:t>
      </w:r>
      <w:r w:rsidR="00E80C1B" w:rsidRPr="0073228A">
        <w:rPr>
          <w:rFonts w:ascii="Times New Roman" w:hAnsi="Times New Roman" w:cs="Times New Roman"/>
          <w:sz w:val="24"/>
          <w:szCs w:val="24"/>
        </w:rPr>
        <w:t>eli National Immunization Plan</w:t>
      </w:r>
      <w:r w:rsidR="003C790A" w:rsidRPr="0073228A">
        <w:rPr>
          <w:rFonts w:ascii="Times New Roman" w:hAnsi="Times New Roman" w:cs="Times New Roman"/>
          <w:sz w:val="24"/>
          <w:szCs w:val="24"/>
        </w:rPr>
        <w:t xml:space="preserve"> in July 2009 (administered at age 2, 4 and 12 months) with a catch up campaign in all children &lt;2 years. In November 201</w:t>
      </w:r>
      <w:r w:rsidR="006E06B5">
        <w:rPr>
          <w:rFonts w:ascii="Times New Roman" w:hAnsi="Times New Roman" w:cs="Times New Roman"/>
          <w:sz w:val="24"/>
          <w:szCs w:val="24"/>
        </w:rPr>
        <w:t>0</w:t>
      </w:r>
      <w:r w:rsidR="003C790A" w:rsidRPr="0073228A">
        <w:rPr>
          <w:rFonts w:ascii="Times New Roman" w:hAnsi="Times New Roman" w:cs="Times New Roman"/>
          <w:sz w:val="24"/>
          <w:szCs w:val="24"/>
        </w:rPr>
        <w:t>, PCV13 replaced PCV7 in the Israeli NIP, with a further catch</w:t>
      </w:r>
      <w:r w:rsidR="00A74DDD" w:rsidRPr="0073228A">
        <w:rPr>
          <w:rFonts w:ascii="Times New Roman" w:hAnsi="Times New Roman" w:cs="Times New Roman"/>
          <w:sz w:val="24"/>
          <w:szCs w:val="24"/>
        </w:rPr>
        <w:t>-</w:t>
      </w:r>
      <w:r w:rsidR="003C790A" w:rsidRPr="0073228A">
        <w:rPr>
          <w:rFonts w:ascii="Times New Roman" w:hAnsi="Times New Roman" w:cs="Times New Roman"/>
          <w:sz w:val="24"/>
          <w:szCs w:val="24"/>
        </w:rPr>
        <w:t>up.</w:t>
      </w:r>
    </w:p>
    <w:p w14:paraId="062005DB" w14:textId="78A0B24A" w:rsidR="0048485B" w:rsidRPr="0073228A" w:rsidRDefault="00250D6A" w:rsidP="0017752D">
      <w:pPr>
        <w:spacing w:line="480" w:lineRule="auto"/>
        <w:rPr>
          <w:rFonts w:ascii="Times New Roman" w:hAnsi="Times New Roman" w:cs="Times New Roman"/>
          <w:sz w:val="24"/>
          <w:szCs w:val="24"/>
        </w:rPr>
      </w:pPr>
      <w:r w:rsidRPr="0073228A">
        <w:rPr>
          <w:rFonts w:ascii="Times New Roman" w:hAnsi="Times New Roman" w:cs="Times New Roman"/>
          <w:sz w:val="24"/>
          <w:szCs w:val="24"/>
        </w:rPr>
        <w:t xml:space="preserve">Active surveillance of pneumococcal </w:t>
      </w:r>
      <w:r w:rsidR="00024806" w:rsidRPr="0073228A">
        <w:rPr>
          <w:rFonts w:ascii="Times New Roman" w:hAnsi="Times New Roman" w:cs="Times New Roman"/>
          <w:sz w:val="24"/>
          <w:szCs w:val="24"/>
        </w:rPr>
        <w:t>OM</w:t>
      </w:r>
      <w:r w:rsidRPr="0073228A">
        <w:rPr>
          <w:rFonts w:ascii="Times New Roman" w:hAnsi="Times New Roman" w:cs="Times New Roman"/>
          <w:sz w:val="24"/>
          <w:szCs w:val="24"/>
        </w:rPr>
        <w:t xml:space="preserve"> </w:t>
      </w:r>
      <w:r w:rsidR="005C667B" w:rsidRPr="0073228A">
        <w:rPr>
          <w:rFonts w:ascii="Times New Roman" w:hAnsi="Times New Roman" w:cs="Times New Roman"/>
          <w:sz w:val="24"/>
          <w:szCs w:val="24"/>
        </w:rPr>
        <w:t xml:space="preserve">via cases </w:t>
      </w:r>
      <w:r w:rsidR="00B92821" w:rsidRPr="0073228A">
        <w:rPr>
          <w:rFonts w:ascii="Times New Roman" w:hAnsi="Times New Roman" w:cs="Times New Roman"/>
          <w:sz w:val="24"/>
          <w:szCs w:val="24"/>
        </w:rPr>
        <w:t xml:space="preserve">enriched with </w:t>
      </w:r>
      <w:r w:rsidR="007E3F55" w:rsidRPr="0073228A">
        <w:rPr>
          <w:rFonts w:ascii="Times New Roman" w:hAnsi="Times New Roman" w:cs="Times New Roman"/>
          <w:sz w:val="24"/>
          <w:szCs w:val="24"/>
        </w:rPr>
        <w:t xml:space="preserve">recurrent, non-responsive, spontaneously draining cases and OM with effusion (collaborately termed here complex OM) </w:t>
      </w:r>
      <w:r w:rsidR="007E3F55" w:rsidRPr="0073228A">
        <w:rPr>
          <w:rFonts w:ascii="Times New Roman" w:hAnsi="Times New Roman" w:cs="Times New Roman"/>
          <w:sz w:val="24"/>
          <w:szCs w:val="24"/>
        </w:rPr>
        <w:lastRenderedPageBreak/>
        <w:t>from whom MEF culture was obtained,</w:t>
      </w:r>
      <w:r w:rsidR="005D228D" w:rsidRPr="0073228A">
        <w:rPr>
          <w:rFonts w:ascii="Times New Roman" w:hAnsi="Times New Roman" w:cs="Times New Roman"/>
          <w:sz w:val="24"/>
          <w:szCs w:val="24"/>
        </w:rPr>
        <w:t xml:space="preserve"> conducted in southern Israel, </w:t>
      </w:r>
      <w:r w:rsidR="00B92821" w:rsidRPr="0073228A">
        <w:rPr>
          <w:rFonts w:ascii="Times New Roman" w:hAnsi="Times New Roman" w:cs="Times New Roman"/>
          <w:sz w:val="24"/>
          <w:szCs w:val="24"/>
        </w:rPr>
        <w:t xml:space="preserve"> </w:t>
      </w:r>
      <w:r w:rsidRPr="0073228A">
        <w:rPr>
          <w:rFonts w:ascii="Times New Roman" w:hAnsi="Times New Roman" w:cs="Times New Roman"/>
          <w:sz w:val="24"/>
          <w:szCs w:val="24"/>
        </w:rPr>
        <w:t xml:space="preserve">showed that </w:t>
      </w:r>
      <w:r w:rsidR="005D228D" w:rsidRPr="0073228A">
        <w:rPr>
          <w:rFonts w:ascii="Times New Roman" w:hAnsi="Times New Roman" w:cs="Times New Roman"/>
          <w:sz w:val="24"/>
          <w:szCs w:val="24"/>
        </w:rPr>
        <w:t xml:space="preserve">the sequential </w:t>
      </w:r>
      <w:r w:rsidRPr="0073228A">
        <w:rPr>
          <w:rFonts w:ascii="Times New Roman" w:hAnsi="Times New Roman" w:cs="Times New Roman"/>
          <w:sz w:val="24"/>
          <w:szCs w:val="24"/>
        </w:rPr>
        <w:t xml:space="preserve">inclusion of PCV7 and PCV13 into the routine vaccination programme has </w:t>
      </w:r>
      <w:r w:rsidR="005D228D" w:rsidRPr="0073228A">
        <w:rPr>
          <w:rFonts w:ascii="Times New Roman" w:hAnsi="Times New Roman" w:cs="Times New Roman"/>
          <w:sz w:val="24"/>
          <w:szCs w:val="24"/>
        </w:rPr>
        <w:t xml:space="preserve">rapidly </w:t>
      </w:r>
      <w:r w:rsidRPr="0073228A">
        <w:rPr>
          <w:rFonts w:ascii="Times New Roman" w:hAnsi="Times New Roman" w:cs="Times New Roman"/>
          <w:sz w:val="24"/>
          <w:szCs w:val="24"/>
        </w:rPr>
        <w:t xml:space="preserve">led to a 77% </w:t>
      </w:r>
      <w:r w:rsidR="000D0EA3" w:rsidRPr="0073228A">
        <w:rPr>
          <w:rFonts w:ascii="Times New Roman" w:hAnsi="Times New Roman" w:cs="Times New Roman"/>
          <w:sz w:val="24"/>
          <w:szCs w:val="24"/>
        </w:rPr>
        <w:t xml:space="preserve">and 60% </w:t>
      </w:r>
      <w:r w:rsidRPr="0073228A">
        <w:rPr>
          <w:rFonts w:ascii="Times New Roman" w:hAnsi="Times New Roman" w:cs="Times New Roman"/>
          <w:sz w:val="24"/>
          <w:szCs w:val="24"/>
        </w:rPr>
        <w:t xml:space="preserve">reduction in pneumococcal </w:t>
      </w:r>
      <w:r w:rsidR="000D0EA3" w:rsidRPr="0073228A">
        <w:rPr>
          <w:rFonts w:ascii="Times New Roman" w:hAnsi="Times New Roman" w:cs="Times New Roman"/>
          <w:sz w:val="24"/>
          <w:szCs w:val="24"/>
        </w:rPr>
        <w:t xml:space="preserve">and all-cause </w:t>
      </w:r>
      <w:r w:rsidR="00E80C1B" w:rsidRPr="0073228A">
        <w:rPr>
          <w:rFonts w:ascii="Times New Roman" w:hAnsi="Times New Roman" w:cs="Times New Roman"/>
          <w:sz w:val="24"/>
          <w:szCs w:val="24"/>
        </w:rPr>
        <w:t>OM</w:t>
      </w:r>
      <w:r w:rsidR="000D0EA3" w:rsidRPr="0073228A">
        <w:rPr>
          <w:rFonts w:ascii="Times New Roman" w:hAnsi="Times New Roman" w:cs="Times New Roman"/>
          <w:sz w:val="24"/>
          <w:szCs w:val="24"/>
        </w:rPr>
        <w:t xml:space="preserve"> episodes</w:t>
      </w:r>
      <w:r w:rsidR="00B92821" w:rsidRPr="0073228A">
        <w:rPr>
          <w:rFonts w:ascii="Times New Roman" w:hAnsi="Times New Roman" w:cs="Times New Roman"/>
          <w:sz w:val="24"/>
          <w:szCs w:val="24"/>
        </w:rPr>
        <w:t xml:space="preserve"> in children &lt;2 years old</w:t>
      </w:r>
      <w:r w:rsidRPr="0073228A">
        <w:rPr>
          <w:rFonts w:ascii="Times New Roman" w:hAnsi="Times New Roman" w:cs="Times New Roman"/>
          <w:sz w:val="24"/>
          <w:szCs w:val="24"/>
        </w:rPr>
        <w:t xml:space="preserve"> </w:t>
      </w:r>
      <w:r w:rsidRPr="0073228A">
        <w:rPr>
          <w:rFonts w:ascii="Times New Roman" w:hAnsi="Times New Roman" w:cs="Times New Roman"/>
          <w:sz w:val="24"/>
          <w:szCs w:val="24"/>
        </w:rPr>
        <w:fldChar w:fldCharType="begin" w:fldLock="1"/>
      </w:r>
      <w:r w:rsidR="00F617E9">
        <w:rPr>
          <w:rFonts w:ascii="Times New Roman" w:hAnsi="Times New Roman" w:cs="Times New Roman"/>
          <w:sz w:val="24"/>
          <w:szCs w:val="24"/>
        </w:rPr>
        <w:instrText>ADDIN CSL_CITATION { "citationItems" : [ { "id" : "ITEM-1", "itemData" : { "DOI" : "10.1093/cid/ciu683", "ISSN" : "1058-4838", "PMID" : "25159581", "abstract" : "BACKGROUND: Otitis media (OM) is common in early childhood. Streptococcus pneumoniae caused \u223c30-60% of episodes before pneumococcal conjugate vaccine (PCV) era.The 7-valent PCV (PCV7) was introduced to the Israeli national immunization plan in July2009, and was gradually replaced by PCV13 startingNovember2010. We aimed at assessing the impact of PCV7/PCV13 sequential introduction on pneumococcal and overall OM necessitating middle ear fluid (MEF) culture in children&lt;2 years in southern Israel. METHODS: This was a prospective, population-based, active surveillance. Our medical center is the only one in the region, enabling incidence calculation. All pneumococcal episodessubmitted for culture between July 2004 and June 2013 were included.Three sub-periods were defined: Pre-PCV, PCV7 and PCV13. RESULTS: Overall, 6,122 OM episodes were recorded,and 1,893 were pneumococcal. Compared to pre-PCV period, OM caused by PCV7+6A and the 5 additional PCV13 serotypes (1, 3, 5, 7F, 19A; 5VT)decreased by 96% and 85%, respectively (Incidence Rate Ratio [IRR] and 95% CI =0.04, 0.02-0.08 and 0.15, 0.07-0.30, respectively) in a two-step pattern: In the PCV7 period, only OM caused by PCV7+6A serotypes was decreased; in the PCV13 period, 5VT OM rates decreased, along with a further PCV7+6A OMreduction. A non-significant increase in non-PCV13 serotype OM was observed (IRR=1.07 [0.72-1.58]). In total, 77% and 60% reductions of all-pneumococcal and all-cause OMincidences, respectively, were observed. CONCLUSIONS: A substantial 2-step reduction of pneumococcal OM rates, with near elimination of PCV13 disease was observed shortly after PCV7/PCV13 introduction.", "author" : [ { "dropping-particle" : "", "family" : "Ben-Shimol", "given" : "S", "non-dropping-particle" : "", "parse-names" : false, "suffix" : "" }, { "dropping-particle" : "", "family" : "Givon-Lavi", "given" : "N", "non-dropping-particle" : "", "parse-names" : false, "suffix" : "" }, { "dropping-particle" : "", "family" : "Leibovitz", "given" : "E", "non-dropping-particle" : "", "parse-names" : false, "suffix" : "" }, { "dropping-particle" : "", "family" : "Raiz", "given" : "S", "non-dropping-particle" : "", "parse-names" : false, "suffix" : "" }, { "dropping-particle" : "", "family" : "Greenberg", "given" : "D", "non-dropping-particle" : "", "parse-names" : false, "suffix" : "" }, { "dropping-particle" : "", "family" : "Dagan", "given" : "R", "non-dropping-particle" : "", "parse-names" : false, "suffix" : "" } ], "container-title" : "Clinical Infectious Diseases", "id" : "ITEM-1", "issue" : "12", "issued" : { "date-parts" : [ [ "2014", "12", "15" ] ] }, "page" : "1724-1732", "title" : "Near-Elimination of Otitis Media Caused by 13-Valent Pneumococcal Conjugate Vaccine (PCV) Serotypes in Southern Israel Shortly After Sequential Introduction of 7-Valent/13-Valent PCV", "type" : "article-journal", "volume" : "59" }, "uris" : [ "http://www.mendeley.com/documents/?uuid=72d1a55f-5424-4720-91bc-27a592e22202" ] } ], "mendeley" : { "formattedCitation" : "(2)", "plainTextFormattedCitation" : "(2)", "previouslyFormattedCitation" : "(2)" }, "properties" : { "noteIndex" : 0 }, "schema" : "https://github.com/citation-style-language/schema/raw/master/csl-citation.json" }</w:instrText>
      </w:r>
      <w:r w:rsidRPr="0073228A">
        <w:rPr>
          <w:rFonts w:ascii="Times New Roman" w:hAnsi="Times New Roman" w:cs="Times New Roman"/>
          <w:sz w:val="24"/>
          <w:szCs w:val="24"/>
        </w:rPr>
        <w:fldChar w:fldCharType="separate"/>
      </w:r>
      <w:r w:rsidR="002765D7" w:rsidRPr="0073228A">
        <w:rPr>
          <w:rFonts w:ascii="Times New Roman" w:hAnsi="Times New Roman" w:cs="Times New Roman"/>
          <w:noProof/>
          <w:sz w:val="24"/>
          <w:szCs w:val="24"/>
        </w:rPr>
        <w:t>(2)</w:t>
      </w:r>
      <w:r w:rsidRPr="0073228A">
        <w:rPr>
          <w:rFonts w:ascii="Times New Roman" w:hAnsi="Times New Roman" w:cs="Times New Roman"/>
          <w:sz w:val="24"/>
          <w:szCs w:val="24"/>
        </w:rPr>
        <w:fldChar w:fldCharType="end"/>
      </w:r>
      <w:r w:rsidRPr="0073228A">
        <w:rPr>
          <w:rFonts w:ascii="Times New Roman" w:hAnsi="Times New Roman" w:cs="Times New Roman"/>
          <w:sz w:val="24"/>
          <w:szCs w:val="24"/>
        </w:rPr>
        <w:t>. By combining this data with nasopharyngeal carriage</w:t>
      </w:r>
      <w:r w:rsidR="001233FE" w:rsidRPr="0073228A">
        <w:rPr>
          <w:rFonts w:ascii="Times New Roman" w:hAnsi="Times New Roman" w:cs="Times New Roman"/>
          <w:sz w:val="24"/>
          <w:szCs w:val="24"/>
        </w:rPr>
        <w:t xml:space="preserve"> surveillance</w:t>
      </w:r>
      <w:r w:rsidRPr="0073228A">
        <w:rPr>
          <w:rFonts w:ascii="Times New Roman" w:hAnsi="Times New Roman" w:cs="Times New Roman"/>
          <w:sz w:val="24"/>
          <w:szCs w:val="24"/>
        </w:rPr>
        <w:t xml:space="preserve"> </w:t>
      </w:r>
      <w:r w:rsidR="005D228D" w:rsidRPr="0073228A">
        <w:rPr>
          <w:rFonts w:ascii="Times New Roman" w:hAnsi="Times New Roman" w:cs="Times New Roman"/>
          <w:sz w:val="24"/>
          <w:szCs w:val="24"/>
        </w:rPr>
        <w:t>in children from the same population,</w:t>
      </w:r>
      <w:r w:rsidRPr="0073228A">
        <w:rPr>
          <w:rFonts w:ascii="Times New Roman" w:hAnsi="Times New Roman" w:cs="Times New Roman"/>
          <w:sz w:val="24"/>
          <w:szCs w:val="24"/>
        </w:rPr>
        <w:t xml:space="preserve"> we investigate</w:t>
      </w:r>
      <w:r w:rsidR="00B92821" w:rsidRPr="0073228A">
        <w:rPr>
          <w:rFonts w:ascii="Times New Roman" w:hAnsi="Times New Roman" w:cs="Times New Roman"/>
          <w:sz w:val="24"/>
          <w:szCs w:val="24"/>
        </w:rPr>
        <w:t>d</w:t>
      </w:r>
      <w:r w:rsidRPr="0073228A">
        <w:rPr>
          <w:rFonts w:ascii="Times New Roman" w:hAnsi="Times New Roman" w:cs="Times New Roman"/>
          <w:sz w:val="24"/>
          <w:szCs w:val="24"/>
        </w:rPr>
        <w:t xml:space="preserve"> </w:t>
      </w:r>
      <w:r w:rsidR="0051660D" w:rsidRPr="0073228A">
        <w:rPr>
          <w:rFonts w:ascii="Times New Roman" w:hAnsi="Times New Roman" w:cs="Times New Roman"/>
          <w:sz w:val="24"/>
          <w:szCs w:val="24"/>
        </w:rPr>
        <w:t xml:space="preserve">if </w:t>
      </w:r>
      <w:r w:rsidR="003A3142" w:rsidRPr="0073228A">
        <w:rPr>
          <w:rFonts w:ascii="Times New Roman" w:hAnsi="Times New Roman" w:cs="Times New Roman"/>
          <w:sz w:val="24"/>
          <w:szCs w:val="24"/>
        </w:rPr>
        <w:t xml:space="preserve">pneumococcal </w:t>
      </w:r>
      <w:r w:rsidR="00B22283" w:rsidRPr="0073228A">
        <w:rPr>
          <w:rFonts w:ascii="Times New Roman" w:hAnsi="Times New Roman" w:cs="Times New Roman"/>
          <w:sz w:val="24"/>
          <w:szCs w:val="24"/>
        </w:rPr>
        <w:t xml:space="preserve">nasopharyngeal carriage can be used </w:t>
      </w:r>
      <w:r w:rsidR="00E80C1B" w:rsidRPr="0073228A">
        <w:rPr>
          <w:rFonts w:ascii="Times New Roman" w:hAnsi="Times New Roman" w:cs="Times New Roman"/>
          <w:sz w:val="24"/>
          <w:szCs w:val="24"/>
        </w:rPr>
        <w:t xml:space="preserve">as a surrogate </w:t>
      </w:r>
      <w:r w:rsidR="00B22283" w:rsidRPr="0073228A">
        <w:rPr>
          <w:rFonts w:ascii="Times New Roman" w:hAnsi="Times New Roman" w:cs="Times New Roman"/>
          <w:sz w:val="24"/>
          <w:szCs w:val="24"/>
        </w:rPr>
        <w:t>to monitor</w:t>
      </w:r>
      <w:r w:rsidR="0051660D" w:rsidRPr="0073228A">
        <w:rPr>
          <w:rFonts w:ascii="Times New Roman" w:hAnsi="Times New Roman" w:cs="Times New Roman"/>
          <w:sz w:val="24"/>
          <w:szCs w:val="24"/>
        </w:rPr>
        <w:t xml:space="preserve"> post vaccination </w:t>
      </w:r>
      <w:r w:rsidR="005D228D" w:rsidRPr="0073228A">
        <w:rPr>
          <w:rFonts w:ascii="Times New Roman" w:hAnsi="Times New Roman" w:cs="Times New Roman"/>
          <w:sz w:val="24"/>
          <w:szCs w:val="24"/>
        </w:rPr>
        <w:t xml:space="preserve">dynamics </w:t>
      </w:r>
      <w:r w:rsidR="0051660D" w:rsidRPr="0073228A">
        <w:rPr>
          <w:rFonts w:ascii="Times New Roman" w:hAnsi="Times New Roman" w:cs="Times New Roman"/>
          <w:sz w:val="24"/>
          <w:szCs w:val="24"/>
        </w:rPr>
        <w:t xml:space="preserve">in </w:t>
      </w:r>
      <w:r w:rsidR="00E80C1B" w:rsidRPr="0073228A">
        <w:rPr>
          <w:rFonts w:ascii="Times New Roman" w:hAnsi="Times New Roman" w:cs="Times New Roman"/>
          <w:sz w:val="24"/>
          <w:szCs w:val="24"/>
        </w:rPr>
        <w:t xml:space="preserve">pneumococcal </w:t>
      </w:r>
      <w:r w:rsidR="00024806" w:rsidRPr="0073228A">
        <w:rPr>
          <w:rFonts w:ascii="Times New Roman" w:hAnsi="Times New Roman" w:cs="Times New Roman"/>
          <w:sz w:val="24"/>
          <w:szCs w:val="24"/>
        </w:rPr>
        <w:t>OM</w:t>
      </w:r>
      <w:r w:rsidR="0051660D" w:rsidRPr="0073228A">
        <w:rPr>
          <w:rFonts w:ascii="Times New Roman" w:hAnsi="Times New Roman" w:cs="Times New Roman"/>
          <w:sz w:val="24"/>
          <w:szCs w:val="24"/>
        </w:rPr>
        <w:t xml:space="preserve">. </w:t>
      </w:r>
    </w:p>
    <w:p w14:paraId="158D665F" w14:textId="77777777" w:rsidR="0048485B" w:rsidRPr="0073228A" w:rsidRDefault="0048485B" w:rsidP="00B3162B">
      <w:pPr>
        <w:spacing w:line="480" w:lineRule="auto"/>
        <w:rPr>
          <w:rFonts w:ascii="Times New Roman" w:hAnsi="Times New Roman" w:cs="Times New Roman"/>
          <w:sz w:val="24"/>
          <w:szCs w:val="24"/>
        </w:rPr>
      </w:pPr>
    </w:p>
    <w:p w14:paraId="6C9D0CBF" w14:textId="5E9CF257" w:rsidR="00DC2C24" w:rsidRPr="009A0490" w:rsidRDefault="00DB0711" w:rsidP="00B3162B">
      <w:pPr>
        <w:spacing w:line="480" w:lineRule="auto"/>
        <w:rPr>
          <w:rFonts w:ascii="Times New Roman" w:hAnsi="Times New Roman" w:cs="Times New Roman"/>
          <w:sz w:val="24"/>
          <w:szCs w:val="24"/>
        </w:rPr>
      </w:pPr>
      <w:r w:rsidRPr="009A0490">
        <w:rPr>
          <w:rFonts w:ascii="Times New Roman" w:hAnsi="Times New Roman" w:cs="Times New Roman"/>
          <w:sz w:val="24"/>
          <w:szCs w:val="24"/>
        </w:rPr>
        <w:t>METHODS</w:t>
      </w:r>
    </w:p>
    <w:p w14:paraId="5FFEEB1A" w14:textId="77777777" w:rsidR="0017752D" w:rsidRPr="0073228A" w:rsidRDefault="00D61FA2" w:rsidP="0017752D">
      <w:pPr>
        <w:spacing w:line="480" w:lineRule="auto"/>
        <w:rPr>
          <w:rFonts w:ascii="Times New Roman" w:hAnsi="Times New Roman" w:cs="Times New Roman"/>
          <w:sz w:val="24"/>
          <w:szCs w:val="24"/>
        </w:rPr>
      </w:pPr>
      <w:r w:rsidRPr="009A0490">
        <w:rPr>
          <w:rFonts w:ascii="Times New Roman" w:hAnsi="Times New Roman" w:cs="Times New Roman"/>
          <w:b/>
          <w:sz w:val="24"/>
          <w:szCs w:val="24"/>
        </w:rPr>
        <w:t>Setting</w:t>
      </w:r>
      <w:r w:rsidRPr="0073228A">
        <w:rPr>
          <w:rFonts w:ascii="Times New Roman" w:hAnsi="Times New Roman" w:cs="Times New Roman"/>
          <w:b/>
          <w:sz w:val="24"/>
          <w:szCs w:val="24"/>
        </w:rPr>
        <w:t>:</w:t>
      </w:r>
      <w:r w:rsidRPr="0073228A">
        <w:rPr>
          <w:rFonts w:ascii="Times New Roman" w:hAnsi="Times New Roman" w:cs="Times New Roman"/>
          <w:sz w:val="24"/>
          <w:szCs w:val="24"/>
        </w:rPr>
        <w:t xml:space="preserve"> </w:t>
      </w:r>
    </w:p>
    <w:p w14:paraId="518E3E0E" w14:textId="2758F09E" w:rsidR="00B5329F" w:rsidRPr="0073228A" w:rsidRDefault="00B5329F" w:rsidP="0017752D">
      <w:pPr>
        <w:spacing w:line="480" w:lineRule="auto"/>
        <w:rPr>
          <w:rFonts w:ascii="Times New Roman" w:hAnsi="Times New Roman" w:cs="Times New Roman"/>
          <w:sz w:val="24"/>
          <w:szCs w:val="24"/>
        </w:rPr>
      </w:pPr>
      <w:r w:rsidRPr="0073228A">
        <w:rPr>
          <w:rFonts w:ascii="Times New Roman" w:hAnsi="Times New Roman" w:cs="Times New Roman"/>
          <w:sz w:val="24"/>
          <w:szCs w:val="24"/>
        </w:rPr>
        <w:t>In southern Israel (the Negev region), Jewish and Bedouin populations live side by side. The socioeconomic conditions and the lifestyles of the 2 groups differ, but both have access to the same medical services. The Jewish population is mainly urban, resembling developed populations, whereas the Bedouin population, formerly desert nomads, is in transition to a western lifestyle</w:t>
      </w:r>
      <w:r w:rsidR="00082ADE" w:rsidRPr="0073228A">
        <w:rPr>
          <w:rFonts w:ascii="Times New Roman" w:hAnsi="Times New Roman" w:cs="Times New Roman"/>
          <w:sz w:val="24"/>
          <w:szCs w:val="24"/>
        </w:rPr>
        <w:t xml:space="preserve"> and resembling developing populations</w:t>
      </w:r>
      <w:r w:rsidR="0017752D" w:rsidRPr="0073228A">
        <w:rPr>
          <w:rFonts w:ascii="Times New Roman" w:hAnsi="Times New Roman" w:cs="Times New Roman"/>
          <w:sz w:val="24"/>
          <w:szCs w:val="24"/>
        </w:rPr>
        <w:t xml:space="preserve"> </w:t>
      </w:r>
      <w:r w:rsidR="0017752D" w:rsidRPr="0073228A">
        <w:rPr>
          <w:rFonts w:ascii="Times New Roman" w:hAnsi="Times New Roman" w:cs="Times New Roman"/>
          <w:sz w:val="24"/>
          <w:szCs w:val="24"/>
        </w:rPr>
        <w:fldChar w:fldCharType="begin" w:fldLock="1"/>
      </w:r>
      <w:r w:rsidR="00F617E9">
        <w:rPr>
          <w:rFonts w:ascii="Times New Roman" w:hAnsi="Times New Roman" w:cs="Times New Roman"/>
          <w:sz w:val="24"/>
          <w:szCs w:val="24"/>
        </w:rPr>
        <w:instrText>ADDIN CSL_CITATION { "citationItems" : [ { "id" : "ITEM-1", "itemData" : { "DOI" : "10.1093/cid/ciu683", "ISSN" : "1058-4838", "PMID" : "25159581", "abstract" : "BACKGROUND: Otitis media (OM) is common in early childhood. Streptococcus pneumoniae caused \u223c30-60% of episodes before pneumococcal conjugate vaccine (PCV) era.The 7-valent PCV (PCV7) was introduced to the Israeli national immunization plan in July2009, and was gradually replaced by PCV13 startingNovember2010. We aimed at assessing the impact of PCV7/PCV13 sequential introduction on pneumococcal and overall OM necessitating middle ear fluid (MEF) culture in children&lt;2 years in southern Israel. METHODS: This was a prospective, population-based, active surveillance. Our medical center is the only one in the region, enabling incidence calculation. All pneumococcal episodessubmitted for culture between July 2004 and June 2013 were included.Three sub-periods were defined: Pre-PCV, PCV7 and PCV13. RESULTS: Overall, 6,122 OM episodes were recorded,and 1,893 were pneumococcal. Compared to pre-PCV period, OM caused by PCV7+6A and the 5 additional PCV13 serotypes (1, 3, 5, 7F, 19A; 5VT)decreased by 96% and 85%, respectively (Incidence Rate Ratio [IRR] and 95% CI =0.04, 0.02-0.08 and 0.15, 0.07-0.30, respectively) in a two-step pattern: In the PCV7 period, only OM caused by PCV7+6A serotypes was decreased; in the PCV13 period, 5VT OM rates decreased, along with a further PCV7+6A OMreduction. A non-significant increase in non-PCV13 serotype OM was observed (IRR=1.07 [0.72-1.58]). In total, 77% and 60% reductions of all-pneumococcal and all-cause OMincidences, respectively, were observed. CONCLUSIONS: A substantial 2-step reduction of pneumococcal OM rates, with near elimination of PCV13 disease was observed shortly after PCV7/PCV13 introduction.", "author" : [ { "dropping-particle" : "", "family" : "Ben-Shimol", "given" : "S", "non-dropping-particle" : "", "parse-names" : false, "suffix" : "" }, { "dropping-particle" : "", "family" : "Givon-Lavi", "given" : "N", "non-dropping-particle" : "", "parse-names" : false, "suffix" : "" }, { "dropping-particle" : "", "family" : "Leibovitz", "given" : "E", "non-dropping-particle" : "", "parse-names" : false, "suffix" : "" }, { "dropping-particle" : "", "family" : "Raiz", "given" : "S", "non-dropping-particle" : "", "parse-names" : false, "suffix" : "" }, { "dropping-particle" : "", "family" : "Greenberg", "given" : "D", "non-dropping-particle" : "", "parse-names" : false, "suffix" : "" }, { "dropping-particle" : "", "family" : "Dagan", "given" : "R", "non-dropping-particle" : "", "parse-names" : false, "suffix" : "" } ], "container-title" : "Clinical Infectious Diseases", "id" : "ITEM-1", "issue" : "12", "issued" : { "date-parts" : [ [ "2014", "12", "15" ] ] }, "page" : "1724-1732", "title" : "Near-Elimination of Otitis Media Caused by 13-Valent Pneumococcal Conjugate Vaccine (PCV) Serotypes in Southern Israel Shortly After Sequential Introduction of 7-Valent/13-Valent PCV", "type" : "article-journal", "volume" : "59" }, "uris" : [ "http://www.mendeley.com/documents/?uuid=72d1a55f-5424-4720-91bc-27a592e22202" ] }, { "id" : "ITEM-2", "itemData" : { "DOI" : "10.1097/INF.0b013e3181b20e7a", "ISSN" : "0891-3668", "PMID" : "19935271", "abstract" : "BACKGROUND: Culture-negative AOM is often milder and associated with lower local/systemic inflammatory responses than culture-positive AOM. STUDY OBJECTIVES: To compare the clinical outcome of culture-negative AOM with that of culture-positive AOM children. PATIENTS AND METHODS: Children aged 3 to 35 months with AOM were enrolled in 11 double-tympanocentesis antibiotic efficacy studies documenting both bacteriologic (days 4-6 of treatment) and clinical outcome (days 11-14, end of treatment). Univariate analysis (age, gender, ethnicity, previous AOM history, and antibiotic treatment) between culture-negative and culture-positive AOM patients was performed by Student t test, ANOVA, or chi2 test. Those found to be significant were further submitted to multivariable regression analysis. RESULTS: A total of 1088 patients (mean age, 11.95 +/- 5.96 months, 209 culture-negative and 879 culture-positive AOM) were enrolled. No differences were recorded between culture-negative AOM and culture-positive AOM patients in age, gender, ethnicity and number of previous episodes. Seventy-four percent (650/879) culture-positive AOM patients achieved bacteriologic eradication within 3 to 5 days. Successful outcome (cured + improved) was recorded in 90% (189/209) culture-negative AOM patients versus 86% (758/879) in culture-positive AOM (P = 0.086). Successful clinical outcome was more frequent in culture-negative than in culture-positive AOM without bacteriologic eradication (90% vs. 67% [154/229], P &lt; 0.001). No difference in successful clinical outcome was found between culture-negative versus culture-positive AOM patients with bacterial eradication (90% vs. 93% [604/650], P = 0.24). Overall, the inclusion of culture-negative AOM patients in the evaluation of clinical failures rates in study patients decreased the total clinical failure rate by 9%. We present a hypothetical antibiotic efficacy study enrolling 300 patients in whom 2 drugs with different bacteriologic efficacy rates (A-90% and B-60%) were used. When the culture-negative cases (5% clinical failure) enrolled increased from 50/300 (16.7%) to 150/300 (50%), the overall clinical failure rate decreased by 36% (from 17.4% to 11.2%, P = 0.08) for the less efficacious drug, while remaining unmodified for the more efficacious drug (9.6% and 8.8%, respectively). CONCLUSIONS: (1) Clinical outcome in culture-negative AOM was similar to that of culture-positive AOM with bacteriologic eradication and both were superior t\u2026", "author" : [ { "dropping-particle" : "", "family" : "Leibovitz", "given" : "Eugene", "non-dropping-particle" : "", "parse-names" : false, "suffix" : "" }, { "dropping-particle" : "", "family" : "Nakash", "given" : "Eyal", "non-dropping-particle" : "", "parse-names" : false, "suffix" : "" }, { "dropping-particle" : "", "family" : "Givon-Lavi", "given" : "Noga", "non-dropping-particle" : "", "parse-names" : false, "suffix" : "" }, { "dropping-particle" : "", "family" : "Greenberg", "given" : "David", "non-dropping-particle" : "", "parse-names" : false, "suffix" : "" }, { "dropping-particle" : "", "family" : "Satran", "given" : "Robert", "non-dropping-particle" : "", "parse-names" : false, "suffix" : "" }, { "dropping-particle" : "", "family" : "Raiz", "given" : "Semion", "non-dropping-particle" : "", "parse-names" : false, "suffix" : "" }, { "dropping-particle" : "", "family" : "Piglansky", "given" : "Lolita", "non-dropping-particle" : "", "parse-names" : false, "suffix" : "" }, { "dropping-particle" : "", "family" : "Leiberman", "given" : "Alberto", "non-dropping-particle" : "", "parse-names" : false, "suffix" : "" }, { "dropping-particle" : "", "family" : "Dagan", "given" : "Ron", "non-dropping-particle" : "", "parse-names" : false, "suffix" : "" } ], "container-title" : "The Pediatric infectious disease journal", "id" : "ITEM-2", "issue" : "12", "issued" : { "date-parts" : [ [ "2009" ] ] }, "page" : "1105-1110", "title" : "Clinical outcome in children with culture-negative acute otitis media.", "type" : "article-journal", "volume" : "28" }, "uris" : [ "http://www.mendeley.com/documents/?uuid=35c4a228-5388-437e-bc64-8796fad8586b" ] }, { "id" : "ITEM-3", "itemData" : { "DOI" : "10.1097/INF.0b013e3181950c74", "ISSN" : "0891-3668", "author" : [ { "dropping-particle" : "", "family" : "Barkai", "given" : "Galia", "non-dropping-particle" : "", "parse-names" : false, "suffix" : "" }, { "dropping-particle" : "", "family" : "Leibovitz", "given" : "Eugene", "non-dropping-particle" : "", "parse-names" : false, "suffix" : "" }, { "dropping-particle" : "", "family" : "Givon-Lavi", "given" : "Noga", "non-dropping-particle" : "", "parse-names" : false, "suffix" : "" }, { "dropping-particle" : "", "family" : "Dagan", "given" : "Ron", "non-dropping-particle" : "", "parse-names" : false, "suffix" : "" } ], "container-title" : "The Pediatric Infectious Disease Journal", "id" : "ITEM-3", "issue" : "6", "issued" : { "date-parts" : [ [ "2009", "6" ] ] }, "page" : "466-471", "title" : "Potential Contribution by Nontypable Haemophilus influenzae in Protracted and Recurrent Acute Otitis Media", "type" : "article-journal", "volume" : "28" }, "uris" : [ "http://www.mendeley.com/documents/?uuid=ebf6d6e8-2c2a-4ebe-87bc-c2b41b3abe2b" ] } ], "mendeley" : { "formattedCitation" : "(2,8,9)", "plainTextFormattedCitation" : "(2,8,9)", "previouslyFormattedCitation" : "(2,8,9)" }, "properties" : { "noteIndex" : 0 }, "schema" : "https://github.com/citation-style-language/schema/raw/master/csl-citation.json" }</w:instrText>
      </w:r>
      <w:r w:rsidR="0017752D" w:rsidRPr="0073228A">
        <w:rPr>
          <w:rFonts w:ascii="Times New Roman" w:hAnsi="Times New Roman" w:cs="Times New Roman"/>
          <w:sz w:val="24"/>
          <w:szCs w:val="24"/>
        </w:rPr>
        <w:fldChar w:fldCharType="separate"/>
      </w:r>
      <w:r w:rsidR="002765D7" w:rsidRPr="0073228A">
        <w:rPr>
          <w:rFonts w:ascii="Times New Roman" w:hAnsi="Times New Roman" w:cs="Times New Roman"/>
          <w:noProof/>
          <w:sz w:val="24"/>
          <w:szCs w:val="24"/>
        </w:rPr>
        <w:t>(2,8,9)</w:t>
      </w:r>
      <w:r w:rsidR="0017752D" w:rsidRPr="0073228A">
        <w:rPr>
          <w:rFonts w:ascii="Times New Roman" w:hAnsi="Times New Roman" w:cs="Times New Roman"/>
          <w:sz w:val="24"/>
          <w:szCs w:val="24"/>
        </w:rPr>
        <w:fldChar w:fldCharType="end"/>
      </w:r>
      <w:r w:rsidR="00861EF0" w:rsidRPr="0073228A">
        <w:rPr>
          <w:rFonts w:ascii="Times New Roman" w:hAnsi="Times New Roman" w:cs="Times New Roman"/>
          <w:sz w:val="24"/>
          <w:szCs w:val="24"/>
        </w:rPr>
        <w:t>.</w:t>
      </w:r>
      <w:r w:rsidR="00082ADE" w:rsidRPr="0073228A">
        <w:rPr>
          <w:rFonts w:ascii="Times New Roman" w:hAnsi="Times New Roman" w:cs="Times New Roman"/>
          <w:sz w:val="24"/>
          <w:szCs w:val="24"/>
        </w:rPr>
        <w:t xml:space="preserve"> </w:t>
      </w:r>
      <w:r w:rsidR="00D61FA2" w:rsidRPr="0073228A">
        <w:rPr>
          <w:rFonts w:ascii="Times New Roman" w:hAnsi="Times New Roman" w:cs="Times New Roman"/>
          <w:sz w:val="24"/>
          <w:szCs w:val="24"/>
        </w:rPr>
        <w:t xml:space="preserve">Total annual births are ~15,000 (~50% Bedouins and ~50 Jewish children).  Almost all (&gt;95%) of the </w:t>
      </w:r>
      <w:r w:rsidR="00EA645D" w:rsidRPr="0073228A">
        <w:rPr>
          <w:rFonts w:ascii="Times New Roman" w:hAnsi="Times New Roman" w:cs="Times New Roman"/>
          <w:sz w:val="24"/>
          <w:szCs w:val="24"/>
        </w:rPr>
        <w:t>children in the Negev region</w:t>
      </w:r>
      <w:r w:rsidR="00D61FA2" w:rsidRPr="0073228A">
        <w:rPr>
          <w:rFonts w:ascii="Times New Roman" w:hAnsi="Times New Roman" w:cs="Times New Roman"/>
          <w:sz w:val="24"/>
          <w:szCs w:val="24"/>
        </w:rPr>
        <w:t xml:space="preserve"> are born and receive medical services at the </w:t>
      </w:r>
      <w:r w:rsidR="007E3F55" w:rsidRPr="0073228A">
        <w:rPr>
          <w:rFonts w:ascii="Times New Roman" w:hAnsi="Times New Roman" w:cs="Times New Roman"/>
          <w:sz w:val="24"/>
          <w:szCs w:val="24"/>
        </w:rPr>
        <w:t xml:space="preserve">only medical </w:t>
      </w:r>
      <w:r w:rsidR="00A74DDD" w:rsidRPr="0073228A">
        <w:rPr>
          <w:rFonts w:ascii="Times New Roman" w:hAnsi="Times New Roman" w:cs="Times New Roman"/>
          <w:sz w:val="24"/>
          <w:szCs w:val="24"/>
        </w:rPr>
        <w:t>centre</w:t>
      </w:r>
      <w:r w:rsidR="007E3F55" w:rsidRPr="0073228A">
        <w:rPr>
          <w:rFonts w:ascii="Times New Roman" w:hAnsi="Times New Roman" w:cs="Times New Roman"/>
          <w:sz w:val="24"/>
          <w:szCs w:val="24"/>
        </w:rPr>
        <w:t xml:space="preserve"> in the Negev, the Soroka University Medical Center (SUMC).</w:t>
      </w:r>
    </w:p>
    <w:p w14:paraId="58EF715B" w14:textId="77777777" w:rsidR="00861EF0" w:rsidRPr="0073228A" w:rsidRDefault="00861EF0" w:rsidP="0017752D">
      <w:pPr>
        <w:spacing w:line="480" w:lineRule="auto"/>
        <w:rPr>
          <w:rFonts w:ascii="Times New Roman" w:hAnsi="Times New Roman" w:cs="Times New Roman"/>
          <w:sz w:val="24"/>
          <w:szCs w:val="24"/>
        </w:rPr>
      </w:pPr>
    </w:p>
    <w:p w14:paraId="74DC9AD4" w14:textId="77777777" w:rsidR="00B5329F" w:rsidRPr="0073228A" w:rsidRDefault="00D61FA2" w:rsidP="0017752D">
      <w:pPr>
        <w:spacing w:line="480" w:lineRule="auto"/>
        <w:rPr>
          <w:rFonts w:ascii="Times New Roman" w:hAnsi="Times New Roman" w:cs="Times New Roman"/>
          <w:b/>
          <w:sz w:val="24"/>
          <w:szCs w:val="24"/>
        </w:rPr>
      </w:pPr>
      <w:r w:rsidRPr="0073228A">
        <w:rPr>
          <w:rFonts w:ascii="Times New Roman" w:hAnsi="Times New Roman" w:cs="Times New Roman"/>
          <w:b/>
          <w:sz w:val="24"/>
          <w:szCs w:val="24"/>
        </w:rPr>
        <w:t xml:space="preserve">Study population: </w:t>
      </w:r>
    </w:p>
    <w:p w14:paraId="44286AEB" w14:textId="2D4BF801" w:rsidR="005242AD" w:rsidRPr="0073228A" w:rsidRDefault="00D61FA2" w:rsidP="0017752D">
      <w:pPr>
        <w:spacing w:line="480" w:lineRule="auto"/>
        <w:rPr>
          <w:rFonts w:ascii="Times New Roman" w:hAnsi="Times New Roman" w:cs="Times New Roman"/>
          <w:sz w:val="24"/>
          <w:szCs w:val="24"/>
        </w:rPr>
      </w:pPr>
      <w:r w:rsidRPr="0073228A">
        <w:rPr>
          <w:rFonts w:ascii="Times New Roman" w:hAnsi="Times New Roman" w:cs="Times New Roman"/>
          <w:i/>
          <w:sz w:val="24"/>
          <w:szCs w:val="24"/>
        </w:rPr>
        <w:t>Otitis</w:t>
      </w:r>
      <w:r w:rsidR="007E3F55" w:rsidRPr="0073228A">
        <w:rPr>
          <w:rFonts w:ascii="Times New Roman" w:hAnsi="Times New Roman" w:cs="Times New Roman"/>
          <w:i/>
          <w:sz w:val="24"/>
          <w:szCs w:val="24"/>
        </w:rPr>
        <w:t xml:space="preserve"> media</w:t>
      </w:r>
      <w:r w:rsidRPr="0073228A">
        <w:rPr>
          <w:rFonts w:ascii="Times New Roman" w:hAnsi="Times New Roman" w:cs="Times New Roman"/>
          <w:sz w:val="24"/>
          <w:szCs w:val="24"/>
        </w:rPr>
        <w:t xml:space="preserve">: </w:t>
      </w:r>
      <w:r w:rsidR="00B5329F" w:rsidRPr="0073228A">
        <w:rPr>
          <w:rFonts w:ascii="Times New Roman" w:hAnsi="Times New Roman" w:cs="Times New Roman"/>
          <w:sz w:val="24"/>
          <w:szCs w:val="24"/>
        </w:rPr>
        <w:t xml:space="preserve">The study population consisted of children &lt;2 years </w:t>
      </w:r>
      <w:r w:rsidRPr="0073228A">
        <w:rPr>
          <w:rFonts w:ascii="Times New Roman" w:hAnsi="Times New Roman" w:cs="Times New Roman"/>
          <w:sz w:val="24"/>
          <w:szCs w:val="24"/>
        </w:rPr>
        <w:t xml:space="preserve">of age </w:t>
      </w:r>
      <w:r w:rsidR="00B5329F" w:rsidRPr="0073228A">
        <w:rPr>
          <w:rFonts w:ascii="Times New Roman" w:hAnsi="Times New Roman" w:cs="Times New Roman"/>
          <w:sz w:val="24"/>
          <w:szCs w:val="24"/>
        </w:rPr>
        <w:t>from southern Israel who had an OM episode resulting in MEF culture.</w:t>
      </w:r>
      <w:r w:rsidRPr="0073228A">
        <w:rPr>
          <w:rFonts w:ascii="Times New Roman" w:hAnsi="Times New Roman" w:cs="Times New Roman"/>
          <w:sz w:val="24"/>
          <w:szCs w:val="24"/>
        </w:rPr>
        <w:t xml:space="preserve">  No change in any of the indication for referral to the pediatric ER, tympanocentesis or obtaining MEF culture has occurred </w:t>
      </w:r>
      <w:r w:rsidR="00342AA2" w:rsidRPr="0073228A">
        <w:rPr>
          <w:rFonts w:ascii="Times New Roman" w:hAnsi="Times New Roman" w:cs="Times New Roman"/>
          <w:sz w:val="24"/>
          <w:szCs w:val="24"/>
        </w:rPr>
        <w:t>i</w:t>
      </w:r>
      <w:r w:rsidRPr="0073228A">
        <w:rPr>
          <w:rFonts w:ascii="Times New Roman" w:hAnsi="Times New Roman" w:cs="Times New Roman"/>
          <w:sz w:val="24"/>
          <w:szCs w:val="24"/>
        </w:rPr>
        <w:t xml:space="preserve">n the past 10 years.  The diagnosis of OM was made by a paediatrician, a family physician, or an </w:t>
      </w:r>
      <w:r w:rsidRPr="0073228A">
        <w:rPr>
          <w:rFonts w:ascii="Times New Roman" w:hAnsi="Times New Roman" w:cs="Times New Roman"/>
          <w:sz w:val="24"/>
          <w:szCs w:val="24"/>
        </w:rPr>
        <w:lastRenderedPageBreak/>
        <w:t>otolaryngologist, as previously described, and culture specimens were obtained by tympanocentesis or collection of pus from draining ears (of &lt;7 day duration)</w:t>
      </w:r>
      <w:r w:rsidR="00861EF0" w:rsidRPr="0073228A">
        <w:rPr>
          <w:rFonts w:ascii="Times New Roman" w:hAnsi="Times New Roman" w:cs="Times New Roman"/>
          <w:sz w:val="24"/>
          <w:szCs w:val="24"/>
        </w:rPr>
        <w:t xml:space="preserve"> </w:t>
      </w:r>
      <w:r w:rsidR="00861EF0" w:rsidRPr="0073228A">
        <w:rPr>
          <w:rFonts w:ascii="Times New Roman" w:hAnsi="Times New Roman" w:cs="Times New Roman"/>
          <w:sz w:val="24"/>
          <w:szCs w:val="24"/>
        </w:rPr>
        <w:fldChar w:fldCharType="begin" w:fldLock="1"/>
      </w:r>
      <w:r w:rsidR="00F617E9">
        <w:rPr>
          <w:rFonts w:ascii="Times New Roman" w:hAnsi="Times New Roman" w:cs="Times New Roman"/>
          <w:sz w:val="24"/>
          <w:szCs w:val="24"/>
        </w:rPr>
        <w:instrText>ADDIN CSL_CITATION { "citationItems" : [ { "id" : "ITEM-1", "itemData" : { "DOI" : "10.1093/cid/ciu683", "ISSN" : "1058-4838", "PMID" : "25159581", "abstract" : "BACKGROUND: Otitis media (OM) is common in early childhood. Streptococcus pneumoniae caused \u223c30-60% of episodes before pneumococcal conjugate vaccine (PCV) era.The 7-valent PCV (PCV7) was introduced to the Israeli national immunization plan in July2009, and was gradually replaced by PCV13 startingNovember2010. We aimed at assessing the impact of PCV7/PCV13 sequential introduction on pneumococcal and overall OM necessitating middle ear fluid (MEF) culture in children&lt;2 years in southern Israel. METHODS: This was a prospective, population-based, active surveillance. Our medical center is the only one in the region, enabling incidence calculation. All pneumococcal episodessubmitted for culture between July 2004 and June 2013 were included.Three sub-periods were defined: Pre-PCV, PCV7 and PCV13. RESULTS: Overall, 6,122 OM episodes were recorded,and 1,893 were pneumococcal. Compared to pre-PCV period, OM caused by PCV7+6A and the 5 additional PCV13 serotypes (1, 3, 5, 7F, 19A; 5VT)decreased by 96% and 85%, respectively (Incidence Rate Ratio [IRR] and 95% CI =0.04, 0.02-0.08 and 0.15, 0.07-0.30, respectively) in a two-step pattern: In the PCV7 period, only OM caused by PCV7+6A serotypes was decreased; in the PCV13 period, 5VT OM rates decreased, along with a further PCV7+6A OMreduction. A non-significant increase in non-PCV13 serotype OM was observed (IRR=1.07 [0.72-1.58]). In total, 77% and 60% reductions of all-pneumococcal and all-cause OMincidences, respectively, were observed. CONCLUSIONS: A substantial 2-step reduction of pneumococcal OM rates, with near elimination of PCV13 disease was observed shortly after PCV7/PCV13 introduction.", "author" : [ { "dropping-particle" : "", "family" : "Ben-Shimol", "given" : "S", "non-dropping-particle" : "", "parse-names" : false, "suffix" : "" }, { "dropping-particle" : "", "family" : "Givon-Lavi", "given" : "N", "non-dropping-particle" : "", "parse-names" : false, "suffix" : "" }, { "dropping-particle" : "", "family" : "Leibovitz", "given" : "E", "non-dropping-particle" : "", "parse-names" : false, "suffix" : "" }, { "dropping-particle" : "", "family" : "Raiz", "given" : "S", "non-dropping-particle" : "", "parse-names" : false, "suffix" : "" }, { "dropping-particle" : "", "family" : "Greenberg", "given" : "D", "non-dropping-particle" : "", "parse-names" : false, "suffix" : "" }, { "dropping-particle" : "", "family" : "Dagan", "given" : "R", "non-dropping-particle" : "", "parse-names" : false, "suffix" : "" } ], "container-title" : "Clinical Infectious Diseases", "id" : "ITEM-1", "issue" : "12", "issued" : { "date-parts" : [ [ "2014", "12", "15" ] ] }, "page" : "1724-1732", "title" : "Near-Elimination of Otitis Media Caused by 13-Valent Pneumococcal Conjugate Vaccine (PCV) Serotypes in Southern Israel Shortly After Sequential Introduction of 7-Valent/13-Valent PCV", "type" : "article-journal", "volume" : "59" }, "uris" : [ "http://www.mendeley.com/documents/?uuid=72d1a55f-5424-4720-91bc-27a592e22202" ] } ], "mendeley" : { "formattedCitation" : "(2)", "plainTextFormattedCitation" : "(2)", "previouslyFormattedCitation" : "(2)" }, "properties" : { "noteIndex" : 0 }, "schema" : "https://github.com/citation-style-language/schema/raw/master/csl-citation.json" }</w:instrText>
      </w:r>
      <w:r w:rsidR="00861EF0" w:rsidRPr="0073228A">
        <w:rPr>
          <w:rFonts w:ascii="Times New Roman" w:hAnsi="Times New Roman" w:cs="Times New Roman"/>
          <w:sz w:val="24"/>
          <w:szCs w:val="24"/>
        </w:rPr>
        <w:fldChar w:fldCharType="separate"/>
      </w:r>
      <w:r w:rsidR="002765D7" w:rsidRPr="0073228A">
        <w:rPr>
          <w:rFonts w:ascii="Times New Roman" w:hAnsi="Times New Roman" w:cs="Times New Roman"/>
          <w:noProof/>
          <w:sz w:val="24"/>
          <w:szCs w:val="24"/>
        </w:rPr>
        <w:t>(2)</w:t>
      </w:r>
      <w:r w:rsidR="00861EF0" w:rsidRPr="0073228A">
        <w:rPr>
          <w:rFonts w:ascii="Times New Roman" w:hAnsi="Times New Roman" w:cs="Times New Roman"/>
          <w:sz w:val="24"/>
          <w:szCs w:val="24"/>
        </w:rPr>
        <w:fldChar w:fldCharType="end"/>
      </w:r>
      <w:r w:rsidR="005242AD" w:rsidRPr="0073228A">
        <w:rPr>
          <w:rFonts w:ascii="Times New Roman" w:hAnsi="Times New Roman" w:cs="Times New Roman"/>
          <w:sz w:val="24"/>
          <w:szCs w:val="24"/>
        </w:rPr>
        <w:t xml:space="preserve">.  </w:t>
      </w:r>
      <w:r w:rsidR="00342AA2" w:rsidRPr="0073228A">
        <w:rPr>
          <w:rFonts w:ascii="Times New Roman" w:hAnsi="Times New Roman" w:cs="Times New Roman"/>
          <w:sz w:val="24"/>
          <w:szCs w:val="24"/>
        </w:rPr>
        <w:t>Demographic and clinical information was prospectively obtained from children with positive cultures</w:t>
      </w:r>
      <w:r w:rsidR="00861EF0" w:rsidRPr="0073228A">
        <w:rPr>
          <w:rFonts w:ascii="Times New Roman" w:hAnsi="Times New Roman" w:cs="Times New Roman"/>
          <w:sz w:val="24"/>
          <w:szCs w:val="24"/>
        </w:rPr>
        <w:t xml:space="preserve"> </w:t>
      </w:r>
      <w:r w:rsidR="00861EF0" w:rsidRPr="0073228A">
        <w:rPr>
          <w:rFonts w:ascii="Times New Roman" w:hAnsi="Times New Roman" w:cs="Times New Roman"/>
          <w:sz w:val="24"/>
          <w:szCs w:val="24"/>
        </w:rPr>
        <w:fldChar w:fldCharType="begin" w:fldLock="1"/>
      </w:r>
      <w:r w:rsidR="00F617E9">
        <w:rPr>
          <w:rFonts w:ascii="Times New Roman" w:hAnsi="Times New Roman" w:cs="Times New Roman"/>
          <w:sz w:val="24"/>
          <w:szCs w:val="24"/>
        </w:rPr>
        <w:instrText>ADDIN CSL_CITATION { "citationItems" : [ { "id" : "ITEM-1", "itemData" : { "DOI" : "10.1093/cid/ciu683", "ISSN" : "1058-4838", "PMID" : "25159581", "abstract" : "BACKGROUND: Otitis media (OM) is common in early childhood. Streptococcus pneumoniae caused \u223c30-60% of episodes before pneumococcal conjugate vaccine (PCV) era.The 7-valent PCV (PCV7) was introduced to the Israeli national immunization plan in July2009, and was gradually replaced by PCV13 startingNovember2010. We aimed at assessing the impact of PCV7/PCV13 sequential introduction on pneumococcal and overall OM necessitating middle ear fluid (MEF) culture in children&lt;2 years in southern Israel. METHODS: This was a prospective, population-based, active surveillance. Our medical center is the only one in the region, enabling incidence calculation. All pneumococcal episodessubmitted for culture between July 2004 and June 2013 were included.Three sub-periods were defined: Pre-PCV, PCV7 and PCV13. RESULTS: Overall, 6,122 OM episodes were recorded,and 1,893 were pneumococcal. Compared to pre-PCV period, OM caused by PCV7+6A and the 5 additional PCV13 serotypes (1, 3, 5, 7F, 19A; 5VT)decreased by 96% and 85%, respectively (Incidence Rate Ratio [IRR] and 95% CI =0.04, 0.02-0.08 and 0.15, 0.07-0.30, respectively) in a two-step pattern: In the PCV7 period, only OM caused by PCV7+6A serotypes was decreased; in the PCV13 period, 5VT OM rates decreased, along with a further PCV7+6A OMreduction. A non-significant increase in non-PCV13 serotype OM was observed (IRR=1.07 [0.72-1.58]). In total, 77% and 60% reductions of all-pneumococcal and all-cause OMincidences, respectively, were observed. CONCLUSIONS: A substantial 2-step reduction of pneumococcal OM rates, with near elimination of PCV13 disease was observed shortly after PCV7/PCV13 introduction.", "author" : [ { "dropping-particle" : "", "family" : "Ben-Shimol", "given" : "S", "non-dropping-particle" : "", "parse-names" : false, "suffix" : "" }, { "dropping-particle" : "", "family" : "Givon-Lavi", "given" : "N", "non-dropping-particle" : "", "parse-names" : false, "suffix" : "" }, { "dropping-particle" : "", "family" : "Leibovitz", "given" : "E", "non-dropping-particle" : "", "parse-names" : false, "suffix" : "" }, { "dropping-particle" : "", "family" : "Raiz", "given" : "S", "non-dropping-particle" : "", "parse-names" : false, "suffix" : "" }, { "dropping-particle" : "", "family" : "Greenberg", "given" : "D", "non-dropping-particle" : "", "parse-names" : false, "suffix" : "" }, { "dropping-particle" : "", "family" : "Dagan", "given" : "R", "non-dropping-particle" : "", "parse-names" : false, "suffix" : "" } ], "container-title" : "Clinical Infectious Diseases", "id" : "ITEM-1", "issue" : "12", "issued" : { "date-parts" : [ [ "2014", "12", "15" ] ] }, "page" : "1724-1732", "title" : "Near-Elimination of Otitis Media Caused by 13-Valent Pneumococcal Conjugate Vaccine (PCV) Serotypes in Southern Israel Shortly After Sequential Introduction of 7-Valent/13-Valent PCV", "type" : "article-journal", "volume" : "59" }, "uris" : [ "http://www.mendeley.com/documents/?uuid=72d1a55f-5424-4720-91bc-27a592e22202" ] } ], "mendeley" : { "formattedCitation" : "(2)", "plainTextFormattedCitation" : "(2)", "previouslyFormattedCitation" : "(2)" }, "properties" : { "noteIndex" : 0 }, "schema" : "https://github.com/citation-style-language/schema/raw/master/csl-citation.json" }</w:instrText>
      </w:r>
      <w:r w:rsidR="00861EF0" w:rsidRPr="0073228A">
        <w:rPr>
          <w:rFonts w:ascii="Times New Roman" w:hAnsi="Times New Roman" w:cs="Times New Roman"/>
          <w:sz w:val="24"/>
          <w:szCs w:val="24"/>
        </w:rPr>
        <w:fldChar w:fldCharType="separate"/>
      </w:r>
      <w:r w:rsidR="002765D7" w:rsidRPr="0073228A">
        <w:rPr>
          <w:rFonts w:ascii="Times New Roman" w:hAnsi="Times New Roman" w:cs="Times New Roman"/>
          <w:noProof/>
          <w:sz w:val="24"/>
          <w:szCs w:val="24"/>
        </w:rPr>
        <w:t>(2)</w:t>
      </w:r>
      <w:r w:rsidR="00861EF0" w:rsidRPr="0073228A">
        <w:rPr>
          <w:rFonts w:ascii="Times New Roman" w:hAnsi="Times New Roman" w:cs="Times New Roman"/>
          <w:sz w:val="24"/>
          <w:szCs w:val="24"/>
        </w:rPr>
        <w:fldChar w:fldCharType="end"/>
      </w:r>
      <w:r w:rsidR="00342AA2" w:rsidRPr="0073228A">
        <w:rPr>
          <w:rFonts w:ascii="Times New Roman" w:hAnsi="Times New Roman" w:cs="Times New Roman"/>
          <w:sz w:val="24"/>
          <w:szCs w:val="24"/>
        </w:rPr>
        <w:t xml:space="preserve"> For each episode, we collected information on the culture date, patient’s age, ethnicity. Data were obtained from the medical charts, the child’s physician, or parents, as appropriate.</w:t>
      </w:r>
      <w:r w:rsidR="00A10B05" w:rsidRPr="0073228A">
        <w:rPr>
          <w:rFonts w:ascii="Times New Roman" w:hAnsi="Times New Roman" w:cs="Times New Roman"/>
          <w:sz w:val="24"/>
          <w:szCs w:val="24"/>
        </w:rPr>
        <w:t xml:space="preserve"> </w:t>
      </w:r>
      <w:r w:rsidR="005242AD" w:rsidRPr="0073228A">
        <w:rPr>
          <w:rFonts w:ascii="Times New Roman" w:hAnsi="Times New Roman" w:cs="Times New Roman"/>
          <w:sz w:val="24"/>
          <w:szCs w:val="24"/>
        </w:rPr>
        <w:t xml:space="preserve">For this study the annual pneumococcal OM incidence in children &lt;2 years of age between July 2010 and June 2014 was used to provide a benchmark for the prediction models. All episodes of OM in which </w:t>
      </w:r>
      <w:r w:rsidR="005242AD" w:rsidRPr="0073228A">
        <w:rPr>
          <w:rFonts w:ascii="Times New Roman" w:hAnsi="Times New Roman" w:cs="Times New Roman"/>
          <w:i/>
          <w:sz w:val="24"/>
          <w:szCs w:val="24"/>
        </w:rPr>
        <w:t xml:space="preserve">Streptococcus pneumoniae </w:t>
      </w:r>
      <w:r w:rsidR="005242AD" w:rsidRPr="0073228A">
        <w:rPr>
          <w:rFonts w:ascii="Times New Roman" w:hAnsi="Times New Roman" w:cs="Times New Roman"/>
          <w:sz w:val="24"/>
          <w:szCs w:val="24"/>
        </w:rPr>
        <w:t xml:space="preserve">was identified from MEF were included in the analysis.  </w:t>
      </w:r>
    </w:p>
    <w:p w14:paraId="0B6C1FE6" w14:textId="4FC3581F" w:rsidR="007F3733" w:rsidRPr="0073228A" w:rsidRDefault="005E4867" w:rsidP="00B3162B">
      <w:pPr>
        <w:spacing w:line="480" w:lineRule="auto"/>
        <w:rPr>
          <w:rFonts w:ascii="Times New Roman" w:hAnsi="Times New Roman" w:cs="Times New Roman"/>
          <w:sz w:val="24"/>
          <w:szCs w:val="24"/>
          <w:u w:val="single"/>
        </w:rPr>
      </w:pPr>
      <w:r w:rsidRPr="0073228A">
        <w:rPr>
          <w:rFonts w:ascii="Times New Roman" w:hAnsi="Times New Roman" w:cs="Times New Roman"/>
          <w:i/>
          <w:sz w:val="24"/>
          <w:szCs w:val="24"/>
        </w:rPr>
        <w:t xml:space="preserve">Nasopharyngeal carriage: </w:t>
      </w:r>
      <w:r w:rsidR="007E3F55" w:rsidRPr="0073228A">
        <w:rPr>
          <w:rFonts w:ascii="Times New Roman" w:hAnsi="Times New Roman" w:cs="Times New Roman"/>
          <w:sz w:val="24"/>
          <w:szCs w:val="24"/>
        </w:rPr>
        <w:t>The detailed methodology and design of the study on nasopharyngeal carriage was described elsewhere</w:t>
      </w:r>
      <w:r w:rsidR="00A41FD5" w:rsidRPr="0073228A">
        <w:rPr>
          <w:rFonts w:ascii="Times New Roman" w:hAnsi="Times New Roman" w:cs="Times New Roman"/>
          <w:sz w:val="24"/>
          <w:szCs w:val="24"/>
        </w:rPr>
        <w:t xml:space="preserve"> </w:t>
      </w:r>
      <w:r w:rsidR="00A41FD5" w:rsidRPr="0073228A">
        <w:rPr>
          <w:rFonts w:ascii="Times New Roman" w:hAnsi="Times New Roman" w:cs="Times New Roman"/>
          <w:sz w:val="24"/>
          <w:szCs w:val="24"/>
        </w:rPr>
        <w:fldChar w:fldCharType="begin" w:fldLock="1"/>
      </w:r>
      <w:r w:rsidR="00A303D8">
        <w:rPr>
          <w:rFonts w:ascii="Times New Roman" w:hAnsi="Times New Roman" w:cs="Times New Roman"/>
          <w:sz w:val="24"/>
          <w:szCs w:val="24"/>
        </w:rPr>
        <w:instrText>ADDIN CSL_CITATION { "citationItems" : [ { "id" : "ITEM-1", "itemData" : { "DOI" : "10.1080/21645515.2015.1095414", "ISSN" : "2164-5515", "PMID" : "26430921", "abstract" : "The 7-valent and the 13-valent pneumococcal conjugate vaccines (PCV7 and PCV13, respectively) were introduced to the Israeli National Immunization plan in July 2009 and November 2010, respectively. Our aim was to assess pneumococcal conjugate vaccines (PCVs) uptake and dynamics in serotype-specific pneumococcal nasopharyngeal (NP) carriage in children &lt;5 years old in southern Israel, during the immediate 5 years following PCV introduction. This was an ongoing, prospective, population-based, active surveillance, from July 2009 through December 2014. PCVs uptake and NP cultures were obtained daily from children seen at the Pediatric Emergency Room for any reason. Overall, 10,702 vaccine status and 7,610 NP swabs were obtained. Both PCV7 and PCV13 uptake were high, reaching \u02dc90% by July 2012 and December 2013, respectively. All-pneumococcal carriage rates significantly declined by 10%, from 54.3% in the early-PCV7 period, to 49.1% in the PCV13 impact period. The respective declines for PCV7, 6A and additional PCV13 serotypes carriage rates were 76%, 90% and 66%. In contrast, non-PCV13 serotypes carriage rates increased significantly throughout the study by 71%. All-pneumococcal carriage rates in children &lt;12 months old decreased significantly by 15%, with similar trends observed in other age groups. Initially, all-pneumococcal carriage rates were 45.7%, and 61.9% in Jewish and Bedouin children, respectively (P &lt; 0.001), with a significant 17% reduction throughout the study observed only in Bedouins. While early carriage rates were higher in unvaccinated children compared to vaccinated children, PCV impact on carriage were similar in both groups. A relatively moderate decline in pneumococcal carriage rates, facilitated by a substantial decrease of vaccine-serotypes and increase of non-vaccine serotypes was observed in the immediate period following PCVs introduction in southern Israel.", "author" : [ { "dropping-particle" : "", "family" : "Ben-Shimol", "given" : "Shalom", "non-dropping-particle" : "", "parse-names" : false, "suffix" : "" }, { "dropping-particle" : "", "family" : "Givon-Lavi", "given" : "Noga", "non-dropping-particle" : "", "parse-names" : false, "suffix" : "" }, { "dropping-particle" : "", "family" : "Greenberg", "given" : "David", "non-dropping-particle" : "", "parse-names" : false, "suffix" : "" }, { "dropping-particle" : "", "family" : "Dagan", "given" : "Ron", "non-dropping-particle" : "", "parse-names" : false, "suffix" : "" } ], "container-title" : "Human Vaccines &amp; Immunotherapeutics", "id" : "ITEM-1", "issued" : { "date-parts" : [ [ "2015", "10", "2" ] ] }, "page" : "00-00", "title" : "Pneumococcal nasopharyngeal carriage in children &lt;5 years of age visiting the pediatric emergency room in relation to PCV7 and PCV13 introduction in southern Israel", "type" : "article-journal" }, "uris" : [ "http://www.mendeley.com/documents/?uuid=9efa7718-bbe5-457c-a509-5ef6ae2d9751" ] } ], "mendeley" : { "formattedCitation" : "(10)", "plainTextFormattedCitation" : "(10)", "previouslyFormattedCitation" : "(10)" }, "properties" : { "noteIndex" : 0 }, "schema" : "https://github.com/citation-style-language/schema/raw/master/csl-citation.json" }</w:instrText>
      </w:r>
      <w:r w:rsidR="00A41FD5" w:rsidRPr="0073228A">
        <w:rPr>
          <w:rFonts w:ascii="Times New Roman" w:hAnsi="Times New Roman" w:cs="Times New Roman"/>
          <w:sz w:val="24"/>
          <w:szCs w:val="24"/>
        </w:rPr>
        <w:fldChar w:fldCharType="separate"/>
      </w:r>
      <w:r w:rsidR="002765D7" w:rsidRPr="0073228A">
        <w:rPr>
          <w:rFonts w:ascii="Times New Roman" w:hAnsi="Times New Roman" w:cs="Times New Roman"/>
          <w:noProof/>
          <w:sz w:val="24"/>
          <w:szCs w:val="24"/>
        </w:rPr>
        <w:t>(10)</w:t>
      </w:r>
      <w:r w:rsidR="00A41FD5" w:rsidRPr="0073228A">
        <w:rPr>
          <w:rFonts w:ascii="Times New Roman" w:hAnsi="Times New Roman" w:cs="Times New Roman"/>
          <w:sz w:val="24"/>
          <w:szCs w:val="24"/>
        </w:rPr>
        <w:fldChar w:fldCharType="end"/>
      </w:r>
      <w:r w:rsidR="007E3F55" w:rsidRPr="0073228A">
        <w:rPr>
          <w:rFonts w:ascii="Times New Roman" w:hAnsi="Times New Roman" w:cs="Times New Roman"/>
          <w:sz w:val="24"/>
          <w:szCs w:val="24"/>
        </w:rPr>
        <w:t xml:space="preserve">. </w:t>
      </w:r>
      <w:r w:rsidR="002502D2" w:rsidRPr="0073228A">
        <w:rPr>
          <w:rFonts w:ascii="Times New Roman" w:hAnsi="Times New Roman" w:cs="Times New Roman"/>
          <w:sz w:val="24"/>
          <w:szCs w:val="24"/>
        </w:rPr>
        <w:t xml:space="preserve">In brief, each </w:t>
      </w:r>
      <w:r w:rsidRPr="0073228A">
        <w:rPr>
          <w:rFonts w:ascii="Times New Roman" w:hAnsi="Times New Roman" w:cs="Times New Roman"/>
          <w:sz w:val="24"/>
          <w:szCs w:val="24"/>
        </w:rPr>
        <w:t xml:space="preserve">working day, nasopharyngeal (NP) culture was obtained from the first 4 Jewish and 4 Bedouin children &lt;5 years old, resident of the Negev region, seen at the PER for any reason, whose parents agreed to their enrolment.  After obtaining an informed consent and NP swab, PCV vaccination dates and the nature of the vaccine (PCV7 or PCV13) were recorded by the study team from data obtained directly from the vaccination center, together with selected ethnic and demographic data, obtained from the parents. </w:t>
      </w:r>
      <w:r w:rsidR="0017648E" w:rsidRPr="0073228A">
        <w:rPr>
          <w:rFonts w:ascii="Times New Roman" w:hAnsi="Times New Roman" w:cs="Times New Roman"/>
          <w:sz w:val="24"/>
          <w:szCs w:val="24"/>
        </w:rPr>
        <w:t xml:space="preserve">Children not residing in the Negev region were excluded. </w:t>
      </w:r>
      <w:r w:rsidR="000E38D0" w:rsidRPr="0073228A">
        <w:rPr>
          <w:rFonts w:ascii="Times New Roman" w:hAnsi="Times New Roman" w:cs="Times New Roman"/>
          <w:sz w:val="24"/>
          <w:szCs w:val="24"/>
        </w:rPr>
        <w:t>At most</w:t>
      </w:r>
      <w:r w:rsidR="0017648E" w:rsidRPr="0073228A">
        <w:rPr>
          <w:rFonts w:ascii="Times New Roman" w:hAnsi="Times New Roman" w:cs="Times New Roman"/>
          <w:sz w:val="24"/>
          <w:szCs w:val="24"/>
        </w:rPr>
        <w:t xml:space="preserve"> </w:t>
      </w:r>
      <w:r w:rsidR="000E38D0" w:rsidRPr="0073228A">
        <w:rPr>
          <w:rFonts w:ascii="Times New Roman" w:hAnsi="Times New Roman" w:cs="Times New Roman"/>
          <w:sz w:val="24"/>
          <w:szCs w:val="24"/>
        </w:rPr>
        <w:t xml:space="preserve">one </w:t>
      </w:r>
      <w:r w:rsidR="0017648E" w:rsidRPr="0073228A">
        <w:rPr>
          <w:rFonts w:ascii="Times New Roman" w:hAnsi="Times New Roman" w:cs="Times New Roman"/>
          <w:sz w:val="24"/>
          <w:szCs w:val="24"/>
        </w:rPr>
        <w:t>nasopharyngeal swab per month was obtained</w:t>
      </w:r>
      <w:r w:rsidR="000E38D0" w:rsidRPr="0073228A">
        <w:rPr>
          <w:rFonts w:ascii="Times New Roman" w:hAnsi="Times New Roman" w:cs="Times New Roman"/>
          <w:sz w:val="24"/>
          <w:szCs w:val="24"/>
        </w:rPr>
        <w:t xml:space="preserve"> for each participating child</w:t>
      </w:r>
      <w:r w:rsidR="0017648E" w:rsidRPr="0073228A">
        <w:rPr>
          <w:rFonts w:ascii="Times New Roman" w:hAnsi="Times New Roman" w:cs="Times New Roman"/>
          <w:sz w:val="24"/>
          <w:szCs w:val="24"/>
        </w:rPr>
        <w:t xml:space="preserve">. </w:t>
      </w:r>
      <w:r w:rsidR="002502D2" w:rsidRPr="0073228A">
        <w:rPr>
          <w:rFonts w:ascii="Times New Roman" w:eastAsia="Times New Roman" w:hAnsi="Times New Roman" w:cs="Times New Roman"/>
          <w:sz w:val="24"/>
          <w:szCs w:val="24"/>
        </w:rPr>
        <w:t xml:space="preserve">Approximately </w:t>
      </w:r>
      <w:r w:rsidR="0017648E" w:rsidRPr="0073228A">
        <w:rPr>
          <w:rFonts w:ascii="Times New Roman" w:eastAsia="Times New Roman" w:hAnsi="Times New Roman" w:cs="Times New Roman"/>
          <w:sz w:val="24"/>
          <w:szCs w:val="24"/>
        </w:rPr>
        <w:t xml:space="preserve">75% of the patients offered </w:t>
      </w:r>
      <w:r w:rsidR="00A74DDD" w:rsidRPr="0073228A">
        <w:rPr>
          <w:rFonts w:ascii="Times New Roman" w:eastAsia="Times New Roman" w:hAnsi="Times New Roman" w:cs="Times New Roman"/>
          <w:sz w:val="24"/>
          <w:szCs w:val="24"/>
        </w:rPr>
        <w:t>enrolment</w:t>
      </w:r>
      <w:r w:rsidR="0017648E" w:rsidRPr="0073228A">
        <w:rPr>
          <w:rFonts w:ascii="Times New Roman" w:eastAsia="Times New Roman" w:hAnsi="Times New Roman" w:cs="Times New Roman"/>
          <w:sz w:val="24"/>
          <w:szCs w:val="24"/>
        </w:rPr>
        <w:t xml:space="preserve"> consented.</w:t>
      </w:r>
    </w:p>
    <w:p w14:paraId="02126EAD" w14:textId="43ACF75D" w:rsidR="00A10B05" w:rsidRPr="0073228A" w:rsidRDefault="007F3733">
      <w:pPr>
        <w:spacing w:line="480" w:lineRule="auto"/>
        <w:rPr>
          <w:rFonts w:ascii="Times New Roman" w:hAnsi="Times New Roman" w:cs="Times New Roman"/>
          <w:sz w:val="24"/>
          <w:szCs w:val="24"/>
        </w:rPr>
      </w:pPr>
      <w:r w:rsidRPr="0073228A">
        <w:rPr>
          <w:rFonts w:ascii="Times New Roman" w:hAnsi="Times New Roman" w:cs="Times New Roman"/>
          <w:i/>
          <w:sz w:val="24"/>
          <w:szCs w:val="24"/>
        </w:rPr>
        <w:t>Bacteriology:</w:t>
      </w:r>
      <w:r w:rsidRPr="0073228A">
        <w:rPr>
          <w:rFonts w:ascii="Times New Roman" w:hAnsi="Times New Roman" w:cs="Times New Roman"/>
          <w:sz w:val="24"/>
          <w:szCs w:val="24"/>
        </w:rPr>
        <w:t xml:space="preserve"> Swabs of MEF aspirates and NP specimens were placed in MW173 Amies transport medicum (Transwab; Medical Wire and Equipment, Potley, UK) and were processed as previously described</w:t>
      </w:r>
      <w:r w:rsidR="00147E46" w:rsidRPr="0073228A">
        <w:rPr>
          <w:rFonts w:ascii="Times New Roman" w:hAnsi="Times New Roman" w:cs="Times New Roman"/>
          <w:sz w:val="24"/>
          <w:szCs w:val="24"/>
        </w:rPr>
        <w:t xml:space="preserve"> </w:t>
      </w:r>
      <w:r w:rsidR="00147E46" w:rsidRPr="0073228A">
        <w:rPr>
          <w:rFonts w:ascii="Times New Roman" w:hAnsi="Times New Roman" w:cs="Times New Roman"/>
          <w:sz w:val="24"/>
          <w:szCs w:val="24"/>
        </w:rPr>
        <w:fldChar w:fldCharType="begin" w:fldLock="1"/>
      </w:r>
      <w:r w:rsidR="00A303D8">
        <w:rPr>
          <w:rFonts w:ascii="Times New Roman" w:hAnsi="Times New Roman" w:cs="Times New Roman"/>
          <w:sz w:val="24"/>
          <w:szCs w:val="24"/>
        </w:rPr>
        <w:instrText>ADDIN CSL_CITATION { "citationItems" : [ { "id" : "ITEM-1", "itemData" : { "DOI" : "10.1093/cid/ciu683", "ISSN" : "1058-4838", "PMID" : "25159581", "abstract" : "BACKGROUND: Otitis media (OM) is common in early childhood. Streptococcus pneumoniae caused \u223c30-60% of episodes before pneumococcal conjugate vaccine (PCV) era.The 7-valent PCV (PCV7) was introduced to the Israeli national immunization plan in July2009, and was gradually replaced by PCV13 startingNovember2010. We aimed at assessing the impact of PCV7/PCV13 sequential introduction on pneumococcal and overall OM necessitating middle ear fluid (MEF) culture in children&lt;2 years in southern Israel. METHODS: This was a prospective, population-based, active surveillance. Our medical center is the only one in the region, enabling incidence calculation. All pneumococcal episodessubmitted for culture between July 2004 and June 2013 were included.Three sub-periods were defined: Pre-PCV, PCV7 and PCV13. RESULTS: Overall, 6,122 OM episodes were recorded,and 1,893 were pneumococcal. Compared to pre-PCV period, OM caused by PCV7+6A and the 5 additional PCV13 serotypes (1, 3, 5, 7F, 19A; 5VT)decreased by 96% and 85%, respectively (Incidence Rate Ratio [IRR] and 95% CI =0.04, 0.02-0.08 and 0.15, 0.07-0.30, respectively) in a two-step pattern: In the PCV7 period, only OM caused by PCV7+6A serotypes was decreased; in the PCV13 period, 5VT OM rates decreased, along with a further PCV7+6A OMreduction. A non-significant increase in non-PCV13 serotype OM was observed (IRR=1.07 [0.72-1.58]). In total, 77% and 60% reductions of all-pneumococcal and all-cause OMincidences, respectively, were observed. CONCLUSIONS: A substantial 2-step reduction of pneumococcal OM rates, with near elimination of PCV13 disease was observed shortly after PCV7/PCV13 introduction.", "author" : [ { "dropping-particle" : "", "family" : "Ben-Shimol", "given" : "S", "non-dropping-particle" : "", "parse-names" : false, "suffix" : "" }, { "dropping-particle" : "", "family" : "Givon-Lavi", "given" : "N", "non-dropping-particle" : "", "parse-names" : false, "suffix" : "" }, { "dropping-particle" : "", "family" : "Leibovitz", "given" : "E", "non-dropping-particle" : "", "parse-names" : false, "suffix" : "" }, { "dropping-particle" : "", "family" : "Raiz", "given" : "S", "non-dropping-particle" : "", "parse-names" : false, "suffix" : "" }, { "dropping-particle" : "", "family" : "Greenberg", "given" : "D", "non-dropping-particle" : "", "parse-names" : false, "suffix" : "" }, { "dropping-particle" : "", "family" : "Dagan", "given" : "R", "non-dropping-particle" : "", "parse-names" : false, "suffix" : "" } ], "container-title" : "Clinical Infectious Diseases", "id" : "ITEM-1", "issue" : "12", "issued" : { "date-parts" : [ [ "2014", "12", "15" ] ] }, "page" : "1724-1732", "title" : "Near-Elimination of Otitis Media Caused by 13-Valent Pneumococcal Conjugate Vaccine (PCV) Serotypes in Southern Israel Shortly After Sequential Introduction of 7-Valent/13-Valent PCV", "type" : "article-journal", "volume" : "59" }, "uris" : [ "http://www.mendeley.com/documents/?uuid=72d1a55f-5424-4720-91bc-27a592e22202" ] }, { "id" : "ITEM-2", "itemData" : { "DOI" : "10.1080/21645515.2015.1095414", "ISSN" : "2164-5515", "PMID" : "26430921", "abstract" : "The 7-valent and the 13-valent pneumococcal conjugate vaccines (PCV7 and PCV13, respectively) were introduced to the Israeli National Immunization plan in July 2009 and November 2010, respectively. Our aim was to assess pneumococcal conjugate vaccines (PCVs) uptake and dynamics in serotype-specific pneumococcal nasopharyngeal (NP) carriage in children &lt;5 years old in southern Israel, during the immediate 5 years following PCV introduction. This was an ongoing, prospective, population-based, active surveillance, from July 2009 through December 2014. PCVs uptake and NP cultures were obtained daily from children seen at the Pediatric Emergency Room for any reason. Overall, 10,702 vaccine status and 7,610 NP swabs were obtained. Both PCV7 and PCV13 uptake were high, reaching \u02dc90% by July 2012 and December 2013, respectively. All-pneumococcal carriage rates significantly declined by 10%, from 54.3% in the early-PCV7 period, to 49.1% in the PCV13 impact period. The respective declines for PCV7, 6A and additional PCV13 serotypes carriage rates were 76%, 90% and 66%. In contrast, non-PCV13 serotypes carriage rates increased significantly throughout the study by 71%. All-pneumococcal carriage rates in children &lt;12 months old decreased significantly by 15%, with similar trends observed in other age groups. Initially, all-pneumococcal carriage rates were 45.7%, and 61.9% in Jewish and Bedouin children, respectively (P &lt; 0.001), with a significant 17% reduction throughout the study observed only in Bedouins. While early carriage rates were higher in unvaccinated children compared to vaccinated children, PCV impact on carriage were similar in both groups. A relatively moderate decline in pneumococcal carriage rates, facilitated by a substantial decrease of vaccine-serotypes and increase of non-vaccine serotypes was observed in the immediate period following PCVs introduction in southern Israel.", "author" : [ { "dropping-particle" : "", "family" : "Ben-Shimol", "given" : "Shalom", "non-dropping-particle" : "", "parse-names" : false, "suffix" : "" }, { "dropping-particle" : "", "family" : "Givon-Lavi", "given" : "Noga", "non-dropping-particle" : "", "parse-names" : false, "suffix" : "" }, { "dropping-particle" : "", "family" : "Greenberg", "given" : "David", "non-dropping-particle" : "", "parse-names" : false, "suffix" : "" }, { "dropping-particle" : "", "family" : "Dagan", "given" : "Ron", "non-dropping-particle" : "", "parse-names" : false, "suffix" : "" } ], "container-title" : "Human Vaccines &amp; Immunotherapeutics", "id" : "ITEM-2", "issued" : { "date-parts" : [ [ "2015", "10", "2" ] ] }, "page" : "00-00", "title" : "Pneumococcal nasopharyngeal carriage in children &lt;5 years of age visiting the pediatric emergency room in relation to PCV7 and PCV13 introduction in southern Israel", "type" : "article-journal" }, "uris" : [ "http://www.mendeley.com/documents/?uuid=9efa7718-bbe5-457c-a509-5ef6ae2d9751" ] } ], "mendeley" : { "formattedCitation" : "(2,10)", "plainTextFormattedCitation" : "(2,10)", "previouslyFormattedCitation" : "(2,10)" }, "properties" : { "noteIndex" : 0 }, "schema" : "https://github.com/citation-style-language/schema/raw/master/csl-citation.json" }</w:instrText>
      </w:r>
      <w:r w:rsidR="00147E46" w:rsidRPr="0073228A">
        <w:rPr>
          <w:rFonts w:ascii="Times New Roman" w:hAnsi="Times New Roman" w:cs="Times New Roman"/>
          <w:sz w:val="24"/>
          <w:szCs w:val="24"/>
        </w:rPr>
        <w:fldChar w:fldCharType="separate"/>
      </w:r>
      <w:r w:rsidR="00A303D8" w:rsidRPr="00A303D8">
        <w:rPr>
          <w:rFonts w:ascii="Times New Roman" w:hAnsi="Times New Roman" w:cs="Times New Roman"/>
          <w:noProof/>
          <w:sz w:val="24"/>
          <w:szCs w:val="24"/>
        </w:rPr>
        <w:t>(2,10)</w:t>
      </w:r>
      <w:r w:rsidR="00147E46" w:rsidRPr="0073228A">
        <w:rPr>
          <w:rFonts w:ascii="Times New Roman" w:hAnsi="Times New Roman" w:cs="Times New Roman"/>
          <w:sz w:val="24"/>
          <w:szCs w:val="24"/>
        </w:rPr>
        <w:fldChar w:fldCharType="end"/>
      </w:r>
      <w:r w:rsidR="003A3142" w:rsidRPr="0073228A">
        <w:rPr>
          <w:rFonts w:ascii="Times New Roman" w:hAnsi="Times New Roman" w:cs="Times New Roman"/>
          <w:sz w:val="24"/>
          <w:szCs w:val="24"/>
        </w:rPr>
        <w:t>.</w:t>
      </w:r>
      <w:r w:rsidR="00B178BC">
        <w:rPr>
          <w:rFonts w:ascii="AdvOT1ef757c0" w:hAnsi="AdvOT1ef757c0" w:cs="AdvOT1ef757c0"/>
          <w:sz w:val="20"/>
          <w:szCs w:val="20"/>
          <w:lang w:val="en-US" w:bidi="he-IL"/>
        </w:rPr>
        <w:t xml:space="preserve"> </w:t>
      </w:r>
      <w:r w:rsidR="00111B78" w:rsidRPr="00077C9F">
        <w:rPr>
          <w:rFonts w:ascii="AdvOT1ef757c0" w:hAnsi="AdvOT1ef757c0" w:cs="AdvOT1ef757c0"/>
          <w:sz w:val="24"/>
          <w:szCs w:val="24"/>
          <w:lang w:val="en-US" w:bidi="he-IL"/>
        </w:rPr>
        <w:t xml:space="preserve">Material from swabs was plated on Columbia agar with 5% sheep blood and 5.0 </w:t>
      </w:r>
      <w:r w:rsidR="00111B78">
        <w:rPr>
          <w:rFonts w:ascii="AdvP4A5FDB" w:hAnsi="AdvP4A5FDB" w:cs="AdvP4A5FDB"/>
          <w:sz w:val="24"/>
          <w:szCs w:val="24"/>
          <w:lang w:val="en-US" w:bidi="he-IL"/>
        </w:rPr>
        <w:sym w:font="Symbol" w:char="F06D"/>
      </w:r>
      <w:r w:rsidR="00111B78" w:rsidRPr="00077C9F">
        <w:rPr>
          <w:rFonts w:ascii="AdvOT1ef757c0" w:hAnsi="AdvOT1ef757c0" w:cs="AdvOT1ef757c0"/>
          <w:sz w:val="24"/>
          <w:szCs w:val="24"/>
          <w:lang w:val="en-US" w:bidi="he-IL"/>
        </w:rPr>
        <w:t>g/mL gentamicin, and incubated aerobically at 35</w:t>
      </w:r>
      <w:r w:rsidR="00111B78" w:rsidRPr="00B84F13">
        <w:rPr>
          <w:rFonts w:ascii="AdvP4C4E74" w:hAnsi="AdvP4C4E74" w:cs="AdvP4C4E74"/>
          <w:sz w:val="24"/>
          <w:szCs w:val="24"/>
          <w:vertAlign w:val="superscript"/>
          <w:lang w:val="en-US" w:bidi="he-IL"/>
        </w:rPr>
        <w:t>o</w:t>
      </w:r>
      <w:r w:rsidR="00111B78" w:rsidRPr="00077C9F">
        <w:rPr>
          <w:rFonts w:ascii="AdvOT1ef757c0" w:hAnsi="AdvOT1ef757c0" w:cs="AdvOT1ef757c0"/>
          <w:sz w:val="24"/>
          <w:szCs w:val="24"/>
          <w:lang w:val="en-US" w:bidi="he-IL"/>
        </w:rPr>
        <w:t>C in a CO</w:t>
      </w:r>
      <w:r w:rsidR="00111B78" w:rsidRPr="00B84F13">
        <w:rPr>
          <w:rFonts w:ascii="AdvOT1ef757c0" w:hAnsi="AdvOT1ef757c0" w:cs="AdvOT1ef757c0"/>
          <w:sz w:val="24"/>
          <w:szCs w:val="24"/>
          <w:vertAlign w:val="subscript"/>
          <w:lang w:val="en-US" w:bidi="he-IL"/>
        </w:rPr>
        <w:t>2</w:t>
      </w:r>
      <w:r w:rsidR="00111B78" w:rsidRPr="00077C9F">
        <w:rPr>
          <w:rFonts w:ascii="AdvOT1ef757c0" w:hAnsi="AdvOT1ef757c0" w:cs="AdvOT1ef757c0"/>
          <w:sz w:val="24"/>
          <w:szCs w:val="24"/>
          <w:lang w:val="en-US" w:bidi="he-IL"/>
        </w:rPr>
        <w:t xml:space="preserve">-enriched atmosphere for 48h. This method was used in our previous studies and yielded a high rate of positive cultures </w:t>
      </w:r>
      <w:r w:rsidR="00242661">
        <w:rPr>
          <w:rFonts w:ascii="AdvOT1ef757c0" w:hAnsi="AdvOT1ef757c0" w:cs="AdvOT1ef757c0"/>
          <w:sz w:val="24"/>
          <w:szCs w:val="24"/>
          <w:lang w:val="en-US" w:bidi="he-IL"/>
        </w:rPr>
        <w:fldChar w:fldCharType="begin" w:fldLock="1"/>
      </w:r>
      <w:r w:rsidR="00242661">
        <w:rPr>
          <w:rFonts w:ascii="AdvOT1ef757c0" w:hAnsi="AdvOT1ef757c0" w:cs="AdvOT1ef757c0"/>
          <w:sz w:val="24"/>
          <w:szCs w:val="24"/>
          <w:lang w:val="en-US" w:bidi="he-IL"/>
        </w:rPr>
        <w:instrText>ADDIN CSL_CITATION { "citationItems" : [ { "id" : "ITEM-1", "itemData" : { "DOI" : "10.1080/21645515.2015.1095414", "ISSN" : "2164-5515", "PMID" : "26430921", "abstract" : "The 7-valent and the 13-valent pneumococcal conjugate vaccines (PCV7 and PCV13, respectively) were introduced to the Israeli National Immunization plan in July 2009 and November 2010, respectively. Our aim was to assess pneumococcal conjugate vaccines (PCVs) uptake and dynamics in serotype-specific pneumococcal nasopharyngeal (NP) carriage in children &lt;5 years old in southern Israel, during the immediate 5 years following PCV introduction. This was an ongoing, prospective, population-based, active surveillance, from July 2009 through December 2014. PCVs uptake and NP cultures were obtained daily from children seen at the Pediatric Emergency Room for any reason. Overall, 10,702 vaccine status and 7,610 NP swabs were obtained. Both PCV7 and PCV13 uptake were high, reaching \u02dc90% by July 2012 and December 2013, respectively. All-pneumococcal carriage rates significantly declined by 10%, from 54.3% in the early-PCV7 period, to 49.1% in the PCV13 impact period. The respective declines for PCV7, 6A and additional PCV13 serotypes carriage rates were 76%, 90% and 66%. In contrast, non-PCV13 serotypes carriage rates increased significantly throughout the study by 71%. All-pneumococcal carriage rates in children &lt;12 months old decreased significantly by 15%, with similar trends observed in other age groups. Initially, all-pneumococcal carriage rates were 45.7%, and 61.9% in Jewish and Bedouin children, respectively (P &lt; 0.001), with a significant 17% reduction throughout the study observed only in Bedouins. While early carriage rates were higher in unvaccinated children compared to vaccinated children, PCV impact on carriage were similar in both groups. A relatively moderate decline in pneumococcal carriage rates, facilitated by a substantial decrease of vaccine-serotypes and increase of non-vaccine serotypes was observed in the immediate period following PCVs introduction in southern Israel.", "author" : [ { "dropping-particle" : "", "family" : "Ben-Shimol", "given" : "Shalom", "non-dropping-particle" : "", "parse-names" : false, "suffix" : "" }, { "dropping-particle" : "", "family" : "Givon-Lavi", "given" : "Noga", "non-dropping-particle" : "", "parse-names" : false, "suffix" : "" }, { "dropping-particle" : "", "family" : "Greenberg", "given" : "David", "non-dropping-particle" : "", "parse-names" : false, "suffix" : "" }, { "dropping-particle" : "", "family" : "Dagan", "given" : "Ron", "non-dropping-particle" : "", "parse-names" : false, "suffix" : "" } ], "container-title" : "Human Vaccines &amp; Immunotherapeutics", "id" : "ITEM-1", "issued" : { "date-parts" : [ [ "2015", "10", "2" ] ] }, "page" : "00-00", "title" : "Pneumococcal nasopharyngeal carriage in children &lt;5 years of age visiting the pediatric emergency room in relation to PCV7 and PCV13 introduction in southern Israel", "type" : "article-journal" }, "uris" : [ "http://www.mendeley.com/documents/?uuid=9efa7718-bbe5-457c-a509-5ef6ae2d9751" ] } ], "mendeley" : { "formattedCitation" : "(10)", "plainTextFormattedCitation" : "(10)", "previouslyFormattedCitation" : "(10)" }, "properties" : { "noteIndex" : 0 }, "schema" : "https://github.com/citation-style-language/schema/raw/master/csl-citation.json" }</w:instrText>
      </w:r>
      <w:r w:rsidR="00242661">
        <w:rPr>
          <w:rFonts w:ascii="AdvOT1ef757c0" w:hAnsi="AdvOT1ef757c0" w:cs="AdvOT1ef757c0"/>
          <w:sz w:val="24"/>
          <w:szCs w:val="24"/>
          <w:lang w:val="en-US" w:bidi="he-IL"/>
        </w:rPr>
        <w:fldChar w:fldCharType="separate"/>
      </w:r>
      <w:r w:rsidR="00242661" w:rsidRPr="00242661">
        <w:rPr>
          <w:rFonts w:ascii="AdvOT1ef757c0" w:hAnsi="AdvOT1ef757c0" w:cs="AdvOT1ef757c0"/>
          <w:noProof/>
          <w:sz w:val="24"/>
          <w:szCs w:val="24"/>
          <w:lang w:val="en-US" w:bidi="he-IL"/>
        </w:rPr>
        <w:t>(10)</w:t>
      </w:r>
      <w:r w:rsidR="00242661">
        <w:rPr>
          <w:rFonts w:ascii="AdvOT1ef757c0" w:hAnsi="AdvOT1ef757c0" w:cs="AdvOT1ef757c0"/>
          <w:sz w:val="24"/>
          <w:szCs w:val="24"/>
          <w:lang w:val="en-US" w:bidi="he-IL"/>
        </w:rPr>
        <w:fldChar w:fldCharType="end"/>
      </w:r>
      <w:r w:rsidR="00111B78" w:rsidRPr="002B26D1">
        <w:rPr>
          <w:rFonts w:ascii="Times New Roman" w:hAnsi="Times New Roman" w:cs="Times New Roman"/>
          <w:noProof/>
          <w:sz w:val="24"/>
          <w:szCs w:val="24"/>
        </w:rPr>
        <w:t xml:space="preserve">  </w:t>
      </w:r>
      <w:r w:rsidRPr="0073228A">
        <w:rPr>
          <w:rFonts w:ascii="Times New Roman" w:hAnsi="Times New Roman" w:cs="Times New Roman"/>
          <w:i/>
          <w:sz w:val="24"/>
          <w:szCs w:val="24"/>
        </w:rPr>
        <w:t xml:space="preserve">Streptococcus pneumoniae </w:t>
      </w:r>
      <w:r w:rsidRPr="0073228A">
        <w:rPr>
          <w:rFonts w:ascii="Times New Roman" w:hAnsi="Times New Roman" w:cs="Times New Roman"/>
          <w:sz w:val="24"/>
          <w:szCs w:val="24"/>
        </w:rPr>
        <w:t xml:space="preserve">was identified bacteriologically </w:t>
      </w:r>
      <w:r w:rsidRPr="0073228A">
        <w:rPr>
          <w:rFonts w:ascii="Times New Roman" w:hAnsi="Times New Roman" w:cs="Times New Roman"/>
          <w:sz w:val="24"/>
          <w:szCs w:val="24"/>
        </w:rPr>
        <w:lastRenderedPageBreak/>
        <w:t>as previously described</w:t>
      </w:r>
      <w:r w:rsidR="00147E46" w:rsidRPr="0073228A">
        <w:rPr>
          <w:rFonts w:ascii="Times New Roman" w:hAnsi="Times New Roman" w:cs="Times New Roman"/>
          <w:sz w:val="24"/>
          <w:szCs w:val="24"/>
        </w:rPr>
        <w:t xml:space="preserve"> </w:t>
      </w:r>
      <w:r w:rsidR="00147E46" w:rsidRPr="0073228A">
        <w:rPr>
          <w:rFonts w:ascii="Times New Roman" w:hAnsi="Times New Roman" w:cs="Times New Roman"/>
          <w:sz w:val="24"/>
          <w:szCs w:val="24"/>
        </w:rPr>
        <w:fldChar w:fldCharType="begin" w:fldLock="1"/>
      </w:r>
      <w:r w:rsidR="00242661">
        <w:rPr>
          <w:rFonts w:ascii="Times New Roman" w:hAnsi="Times New Roman" w:cs="Times New Roman"/>
          <w:sz w:val="24"/>
          <w:szCs w:val="24"/>
        </w:rPr>
        <w:instrText>ADDIN CSL_CITATION { "citationItems" : [ { "id" : "ITEM-1", "itemData" : { "DOI" : "10.1093/cid/ciu683", "ISSN" : "1058-4838", "PMID" : "25159581", "abstract" : "BACKGROUND: Otitis media (OM) is common in early childhood. Streptococcus pneumoniae caused \u223c30-60% of episodes before pneumococcal conjugate vaccine (PCV) era.The 7-valent PCV (PCV7) was introduced to the Israeli national immunization plan in July2009, and was gradually replaced by PCV13 startingNovember2010. We aimed at assessing the impact of PCV7/PCV13 sequential introduction on pneumococcal and overall OM necessitating middle ear fluid (MEF) culture in children&lt;2 years in southern Israel. METHODS: This was a prospective, population-based, active surveillance. Our medical center is the only one in the region, enabling incidence calculation. All pneumococcal episodessubmitted for culture between July 2004 and June 2013 were included.Three sub-periods were defined: Pre-PCV, PCV7 and PCV13. RESULTS: Overall, 6,122 OM episodes were recorded,and 1,893 were pneumococcal. Compared to pre-PCV period, OM caused by PCV7+6A and the 5 additional PCV13 serotypes (1, 3, 5, 7F, 19A; 5VT)decreased by 96% and 85%, respectively (Incidence Rate Ratio [IRR] and 95% CI =0.04, 0.02-0.08 and 0.15, 0.07-0.30, respectively) in a two-step pattern: In the PCV7 period, only OM caused by PCV7+6A serotypes was decreased; in the PCV13 period, 5VT OM rates decreased, along with a further PCV7+6A OMreduction. A non-significant increase in non-PCV13 serotype OM was observed (IRR=1.07 [0.72-1.58]). In total, 77% and 60% reductions of all-pneumococcal and all-cause OMincidences, respectively, were observed. CONCLUSIONS: A substantial 2-step reduction of pneumococcal OM rates, with near elimination of PCV13 disease was observed shortly after PCV7/PCV13 introduction.", "author" : [ { "dropping-particle" : "", "family" : "Ben-Shimol", "given" : "S", "non-dropping-particle" : "", "parse-names" : false, "suffix" : "" }, { "dropping-particle" : "", "family" : "Givon-Lavi", "given" : "N", "non-dropping-particle" : "", "parse-names" : false, "suffix" : "" }, { "dropping-particle" : "", "family" : "Leibovitz", "given" : "E", "non-dropping-particle" : "", "parse-names" : false, "suffix" : "" }, { "dropping-particle" : "", "family" : "Raiz", "given" : "S", "non-dropping-particle" : "", "parse-names" : false, "suffix" : "" }, { "dropping-particle" : "", "family" : "Greenberg", "given" : "D", "non-dropping-particle" : "", "parse-names" : false, "suffix" : "" }, { "dropping-particle" : "", "family" : "Dagan", "given" : "R", "non-dropping-particle" : "", "parse-names" : false, "suffix" : "" } ], "container-title" : "Clinical Infectious Diseases", "id" : "ITEM-1", "issue" : "12", "issued" : { "date-parts" : [ [ "2014", "12", "15" ] ] }, "page" : "1724-1732", "title" : "Near-Elimination of Otitis Media Caused by 13-Valent Pneumococcal Conjugate Vaccine (PCV) Serotypes in Southern Israel Shortly After Sequential Introduction of 7-Valent/13-Valent PCV", "type" : "article-journal", "volume" : "59" }, "uris" : [ "http://www.mendeley.com/documents/?uuid=72d1a55f-5424-4720-91bc-27a592e22202" ] }, { "id" : "ITEM-2", "itemData" : { "DOI" : "10.1080/21645515.2015.1095414", "ISSN" : "2164-5515", "PMID" : "26430921", "abstract" : "The 7-valent and the 13-valent pneumococcal conjugate vaccines (PCV7 and PCV13, respectively) were introduced to the Israeli National Immunization plan in July 2009 and November 2010, respectively. Our aim was to assess pneumococcal conjugate vaccines (PCVs) uptake and dynamics in serotype-specific pneumococcal nasopharyngeal (NP) carriage in children &lt;5 years old in southern Israel, during the immediate 5 years following PCV introduction. This was an ongoing, prospective, population-based, active surveillance, from July 2009 through December 2014. PCVs uptake and NP cultures were obtained daily from children seen at the Pediatric Emergency Room for any reason. Overall, 10,702 vaccine status and 7,610 NP swabs were obtained. Both PCV7 and PCV13 uptake were high, reaching \u02dc90% by July 2012 and December 2013, respectively. All-pneumococcal carriage rates significantly declined by 10%, from 54.3% in the early-PCV7 period, to 49.1% in the PCV13 impact period. The respective declines for PCV7, 6A and additional PCV13 serotypes carriage rates were 76%, 90% and 66%. In contrast, non-PCV13 serotypes carriage rates increased significantly throughout the study by 71%. All-pneumococcal carriage rates in children &lt;12 months old decreased significantly by 15%, with similar trends observed in other age groups. Initially, all-pneumococcal carriage rates were 45.7%, and 61.9% in Jewish and Bedouin children, respectively (P &lt; 0.001), with a significant 17% reduction throughout the study observed only in Bedouins. While early carriage rates were higher in unvaccinated children compared to vaccinated children, PCV impact on carriage were similar in both groups. A relatively moderate decline in pneumococcal carriage rates, facilitated by a substantial decrease of vaccine-serotypes and increase of non-vaccine serotypes was observed in the immediate period following PCVs introduction in southern Israel.", "author" : [ { "dropping-particle" : "", "family" : "Ben-Shimol", "given" : "Shalom", "non-dropping-particle" : "", "parse-names" : false, "suffix" : "" }, { "dropping-particle" : "", "family" : "Givon-Lavi", "given" : "Noga", "non-dropping-particle" : "", "parse-names" : false, "suffix" : "" }, { "dropping-particle" : "", "family" : "Greenberg", "given" : "David", "non-dropping-particle" : "", "parse-names" : false, "suffix" : "" }, { "dropping-particle" : "", "family" : "Dagan", "given" : "Ron", "non-dropping-particle" : "", "parse-names" : false, "suffix" : "" } ], "container-title" : "Human Vaccines &amp; Immunotherapeutics", "id" : "ITEM-2", "issued" : { "date-parts" : [ [ "2015", "10", "2" ] ] }, "page" : "00-00", "title" : "Pneumococcal nasopharyngeal carriage in children &lt;5 years of age visiting the pediatric emergency room in relation to PCV7 and PCV13 introduction in southern Israel", "type" : "article-journal" }, "uris" : [ "http://www.mendeley.com/documents/?uuid=9efa7718-bbe5-457c-a509-5ef6ae2d9751" ] } ], "mendeley" : { "formattedCitation" : "(2,10)", "plainTextFormattedCitation" : "(2,10)", "previouslyFormattedCitation" : "(2,10)" }, "properties" : { "noteIndex" : 0 }, "schema" : "https://github.com/citation-style-language/schema/raw/master/csl-citation.json" }</w:instrText>
      </w:r>
      <w:r w:rsidR="00147E46" w:rsidRPr="0073228A">
        <w:rPr>
          <w:rFonts w:ascii="Times New Roman" w:hAnsi="Times New Roman" w:cs="Times New Roman"/>
          <w:sz w:val="24"/>
          <w:szCs w:val="24"/>
        </w:rPr>
        <w:fldChar w:fldCharType="separate"/>
      </w:r>
      <w:r w:rsidR="00A303D8" w:rsidRPr="00A303D8">
        <w:rPr>
          <w:rFonts w:ascii="Times New Roman" w:hAnsi="Times New Roman" w:cs="Times New Roman"/>
          <w:noProof/>
          <w:sz w:val="24"/>
          <w:szCs w:val="24"/>
        </w:rPr>
        <w:t>(2,10)</w:t>
      </w:r>
      <w:r w:rsidR="00147E46" w:rsidRPr="0073228A">
        <w:rPr>
          <w:rFonts w:ascii="Times New Roman" w:hAnsi="Times New Roman" w:cs="Times New Roman"/>
          <w:sz w:val="24"/>
          <w:szCs w:val="24"/>
        </w:rPr>
        <w:fldChar w:fldCharType="end"/>
      </w:r>
      <w:r w:rsidRPr="0073228A">
        <w:rPr>
          <w:rFonts w:ascii="Times New Roman" w:hAnsi="Times New Roman" w:cs="Times New Roman"/>
          <w:sz w:val="24"/>
          <w:szCs w:val="24"/>
        </w:rPr>
        <w:t>.</w:t>
      </w:r>
      <w:r w:rsidR="00342AA2" w:rsidRPr="0073228A">
        <w:rPr>
          <w:rFonts w:ascii="Times New Roman" w:hAnsi="Times New Roman" w:cs="Times New Roman"/>
          <w:sz w:val="24"/>
          <w:szCs w:val="24"/>
        </w:rPr>
        <w:t xml:space="preserve">  Pneumococcal serogrouping and serotyping were performed by means of the Quellung reaction using antisera provides by Statens Seruminstitut of Copenhagen, Denmark.</w:t>
      </w:r>
      <w:r w:rsidR="00A10B05" w:rsidRPr="0073228A">
        <w:rPr>
          <w:rFonts w:ascii="Times New Roman" w:hAnsi="Times New Roman" w:cs="Times New Roman"/>
          <w:sz w:val="24"/>
          <w:szCs w:val="24"/>
        </w:rPr>
        <w:t xml:space="preserve"> </w:t>
      </w:r>
      <w:r w:rsidR="00621581" w:rsidRPr="00077C9F">
        <w:rPr>
          <w:rFonts w:ascii="Times New Roman" w:hAnsi="Times New Roman" w:cs="Times New Roman"/>
          <w:noProof/>
          <w:sz w:val="24"/>
          <w:szCs w:val="24"/>
        </w:rPr>
        <w:t xml:space="preserve">Only </w:t>
      </w:r>
      <w:r w:rsidR="00621581">
        <w:rPr>
          <w:rFonts w:ascii="Times New Roman" w:hAnsi="Times New Roman" w:cs="Times New Roman"/>
          <w:noProof/>
          <w:sz w:val="24"/>
          <w:szCs w:val="24"/>
        </w:rPr>
        <w:t>one colony was serotyped</w:t>
      </w:r>
      <w:r w:rsidR="00621581" w:rsidRPr="00077C9F">
        <w:rPr>
          <w:rFonts w:ascii="Times New Roman" w:hAnsi="Times New Roman" w:cs="Times New Roman"/>
          <w:noProof/>
          <w:sz w:val="24"/>
          <w:szCs w:val="24"/>
        </w:rPr>
        <w:t xml:space="preserve"> from each NP swab. This </w:t>
      </w:r>
      <w:r w:rsidR="00631B43">
        <w:rPr>
          <w:rFonts w:ascii="Times New Roman" w:hAnsi="Times New Roman" w:cs="Times New Roman"/>
          <w:noProof/>
          <w:sz w:val="24"/>
          <w:szCs w:val="24"/>
        </w:rPr>
        <w:t xml:space="preserve">typically </w:t>
      </w:r>
      <w:r w:rsidR="00621581" w:rsidRPr="00077C9F">
        <w:rPr>
          <w:rFonts w:ascii="Times New Roman" w:hAnsi="Times New Roman" w:cs="Times New Roman"/>
          <w:noProof/>
          <w:sz w:val="24"/>
          <w:szCs w:val="24"/>
        </w:rPr>
        <w:t>represents the most dominant serotype in the NP. Typing 2-5 colonies does not increase significantly the yield. For multiple colonisations detection molecular techniques are more appropriate</w:t>
      </w:r>
      <w:r w:rsidR="00631B43">
        <w:rPr>
          <w:rFonts w:ascii="Times New Roman" w:hAnsi="Times New Roman" w:cs="Times New Roman"/>
          <w:noProof/>
          <w:sz w:val="24"/>
          <w:szCs w:val="24"/>
        </w:rPr>
        <w:t xml:space="preserve"> </w:t>
      </w:r>
      <w:r w:rsidR="00242661">
        <w:rPr>
          <w:rFonts w:ascii="Times New Roman" w:hAnsi="Times New Roman" w:cs="Times New Roman"/>
          <w:noProof/>
          <w:sz w:val="24"/>
          <w:szCs w:val="24"/>
        </w:rPr>
        <w:fldChar w:fldCharType="begin" w:fldLock="1"/>
      </w:r>
      <w:r w:rsidR="00221A17">
        <w:rPr>
          <w:rFonts w:ascii="Times New Roman" w:hAnsi="Times New Roman" w:cs="Times New Roman"/>
          <w:noProof/>
          <w:sz w:val="24"/>
          <w:szCs w:val="24"/>
        </w:rPr>
        <w:instrText>ADDIN CSL_CITATION { "citationItems" : [ { "id" : "ITEM-1", "itemData" : { "ISSN" : "0891-3668", "PMID" : "11055610", "author" : [ { "dropping-particle" : "", "family" : "Huebner", "given" : "R E", "non-dropping-particle" : "", "parse-names" : false, "suffix" : "" }, { "dropping-particle" : "", "family" : "Dagan", "given" : "R", "non-dropping-particle" : "", "parse-names" : false, "suffix" : "" }, { "dropping-particle" : "", "family" : "Porath", "given" : "N", "non-dropping-particle" : "", "parse-names" : false, "suffix" : "" }, { "dropping-particle" : "", "family" : "Wasas", "given" : "A D", "non-dropping-particle" : "", "parse-names" : false, "suffix" : "" }, { "dropping-particle" : "", "family" : "Klugman", "given" : "K P", "non-dropping-particle" : "", "parse-names" : false, "suffix" : "" } ], "container-title" : "The Pediatric infectious disease journal", "id" : "ITEM-1", "issue" : "10", "issued" : { "date-parts" : [ [ "2000", "10" ] ] }, "page" : "1017-20", "title" : "Lack of utility of serotyping multiple colonies for detection of simultaneous nasopharyngeal carriage of different pneumococcal serotypes.", "type" : "article-journal", "volume" : "19" }, "uris" : [ "http://www.mendeley.com/documents/?uuid=1430f433-cfc9-40ea-8ba7-0ca80bcfaaa7" ] }, { "id" : "ITEM-2", "itemData" : { "DOI" : "10.1371/journal.pmed.1001903", "ISSN" : "1549-1676", "author" : [ { "dropping-particle" : "", "family" : "Satzke", "given" : "Catherine", "non-dropping-particle" : "", "parse-names" : false, "suffix" : "" }, { "dropping-particle" : "", "family" : "Dunne", "given" : "Eileen M.", "non-dropping-particle" : "", "parse-names" : false, "suffix" : "" }, { "dropping-particle" : "", "family" : "Porter", "given" : "Barbara D.", "non-dropping-particle" : "", "parse-names" : false, "suffix" : "" }, { "dropping-particle" : "", "family" : "Klugman", "given" : "Keith P.", "non-dropping-particle" : "", "parse-names" : false, "suffix" : "" }, { "dropping-particle" : "", "family" : "Mulholland", "given" : "E. Kim", "non-dropping-particle" : "", "parse-names" : false, "suffix" : "" } ], "container-title" : "PLOS Medicine", "editor" : [ { "dropping-particle" : "", "family" : "Bell", "given" : "Derek", "non-dropping-particle" : "", "parse-names" : false, "suffix" : "" } ], "id" : "ITEM-2", "issue" : "11", "issued" : { "date-parts" : [ [ "2015", "11", "17" ] ] }, "page" : "e1001903", "title" : "The PneuCarriage Project: A Multi-Centre Comparative Study to Identify the Best Serotyping Methods for Examining Pneumococcal Carriage in Vaccine Evaluation Studies", "type" : "article-journal", "volume" : "12" }, "uris" : [ "http://www.mendeley.com/documents/?uuid=53d29918-6c95-43bd-a0ce-7ea7019819fa" ] } ], "mendeley" : { "formattedCitation" : "(11,12)", "plainTextFormattedCitation" : "(11,12)", "previouslyFormattedCitation" : "(11,12)" }, "properties" : { "noteIndex" : 0 }, "schema" : "https://github.com/citation-style-language/schema/raw/master/csl-citation.json" }</w:instrText>
      </w:r>
      <w:r w:rsidR="00242661">
        <w:rPr>
          <w:rFonts w:ascii="Times New Roman" w:hAnsi="Times New Roman" w:cs="Times New Roman"/>
          <w:noProof/>
          <w:sz w:val="24"/>
          <w:szCs w:val="24"/>
        </w:rPr>
        <w:fldChar w:fldCharType="separate"/>
      </w:r>
      <w:r w:rsidR="00242661" w:rsidRPr="00242661">
        <w:rPr>
          <w:rFonts w:ascii="Times New Roman" w:hAnsi="Times New Roman" w:cs="Times New Roman"/>
          <w:noProof/>
          <w:sz w:val="24"/>
          <w:szCs w:val="24"/>
        </w:rPr>
        <w:t>(11,12)</w:t>
      </w:r>
      <w:r w:rsidR="00242661">
        <w:rPr>
          <w:rFonts w:ascii="Times New Roman" w:hAnsi="Times New Roman" w:cs="Times New Roman"/>
          <w:noProof/>
          <w:sz w:val="24"/>
          <w:szCs w:val="24"/>
        </w:rPr>
        <w:fldChar w:fldCharType="end"/>
      </w:r>
      <w:r w:rsidR="00621581" w:rsidRPr="00077C9F">
        <w:rPr>
          <w:rFonts w:ascii="Times New Roman" w:hAnsi="Times New Roman" w:cs="Times New Roman"/>
          <w:noProof/>
          <w:sz w:val="24"/>
          <w:szCs w:val="24"/>
        </w:rPr>
        <w:t xml:space="preserve"> </w:t>
      </w:r>
    </w:p>
    <w:p w14:paraId="07E1BF90" w14:textId="66CDF9A0" w:rsidR="008D2FB4" w:rsidRPr="0073228A" w:rsidRDefault="008D2FB4" w:rsidP="00B3162B">
      <w:pPr>
        <w:spacing w:line="480" w:lineRule="auto"/>
        <w:rPr>
          <w:rFonts w:ascii="Times New Roman" w:hAnsi="Times New Roman" w:cs="Times New Roman"/>
          <w:b/>
          <w:sz w:val="24"/>
          <w:szCs w:val="24"/>
          <w:highlight w:val="yellow"/>
        </w:rPr>
      </w:pPr>
      <w:r w:rsidRPr="0073228A">
        <w:rPr>
          <w:rFonts w:ascii="Times New Roman" w:hAnsi="Times New Roman" w:cs="Times New Roman"/>
          <w:sz w:val="24"/>
          <w:szCs w:val="24"/>
        </w:rPr>
        <w:t xml:space="preserve">The </w:t>
      </w:r>
      <w:r w:rsidR="00415C63" w:rsidRPr="0073228A">
        <w:rPr>
          <w:rFonts w:ascii="Times New Roman" w:hAnsi="Times New Roman" w:cs="Times New Roman"/>
          <w:sz w:val="24"/>
          <w:szCs w:val="24"/>
        </w:rPr>
        <w:t xml:space="preserve">annual </w:t>
      </w:r>
      <w:r w:rsidR="004F70F3" w:rsidRPr="0073228A">
        <w:rPr>
          <w:rFonts w:ascii="Times New Roman" w:hAnsi="Times New Roman" w:cs="Times New Roman"/>
          <w:sz w:val="24"/>
          <w:szCs w:val="24"/>
        </w:rPr>
        <w:t xml:space="preserve">NP carriage </w:t>
      </w:r>
      <w:r w:rsidRPr="0073228A">
        <w:rPr>
          <w:rFonts w:ascii="Times New Roman" w:hAnsi="Times New Roman" w:cs="Times New Roman"/>
          <w:sz w:val="24"/>
          <w:szCs w:val="24"/>
        </w:rPr>
        <w:t>prevalence of the seven serotypes in PCV7</w:t>
      </w:r>
      <w:r w:rsidR="008A2EB9" w:rsidRPr="0073228A">
        <w:rPr>
          <w:rFonts w:ascii="Times New Roman" w:hAnsi="Times New Roman" w:cs="Times New Roman"/>
          <w:sz w:val="24"/>
          <w:szCs w:val="24"/>
        </w:rPr>
        <w:t xml:space="preserve"> (“PCV7”)</w:t>
      </w:r>
      <w:r w:rsidRPr="0073228A">
        <w:rPr>
          <w:rFonts w:ascii="Times New Roman" w:hAnsi="Times New Roman" w:cs="Times New Roman"/>
          <w:sz w:val="24"/>
          <w:szCs w:val="24"/>
        </w:rPr>
        <w:t>,</w:t>
      </w:r>
      <w:r w:rsidR="00415C63" w:rsidRPr="0073228A">
        <w:rPr>
          <w:rFonts w:ascii="Times New Roman" w:hAnsi="Times New Roman" w:cs="Times New Roman"/>
          <w:sz w:val="24"/>
          <w:szCs w:val="24"/>
        </w:rPr>
        <w:t xml:space="preserve"> the additional 6 serotypes in PCV13</w:t>
      </w:r>
      <w:r w:rsidR="008A2EB9" w:rsidRPr="0073228A">
        <w:rPr>
          <w:rFonts w:ascii="Times New Roman" w:hAnsi="Times New Roman" w:cs="Times New Roman"/>
          <w:sz w:val="24"/>
          <w:szCs w:val="24"/>
        </w:rPr>
        <w:t xml:space="preserve"> (“PCV13-7”)</w:t>
      </w:r>
      <w:r w:rsidR="00415C63" w:rsidRPr="0073228A">
        <w:rPr>
          <w:rFonts w:ascii="Times New Roman" w:hAnsi="Times New Roman" w:cs="Times New Roman"/>
          <w:sz w:val="24"/>
          <w:szCs w:val="24"/>
        </w:rPr>
        <w:t xml:space="preserve"> and the non-</w:t>
      </w:r>
      <w:r w:rsidR="00147E46" w:rsidRPr="0073228A">
        <w:rPr>
          <w:rFonts w:ascii="Times New Roman" w:hAnsi="Times New Roman" w:cs="Times New Roman"/>
          <w:sz w:val="24"/>
          <w:szCs w:val="24"/>
        </w:rPr>
        <w:t>PCV13</w:t>
      </w:r>
      <w:r w:rsidR="00415C63" w:rsidRPr="0073228A">
        <w:rPr>
          <w:rFonts w:ascii="Times New Roman" w:hAnsi="Times New Roman" w:cs="Times New Roman"/>
          <w:sz w:val="24"/>
          <w:szCs w:val="24"/>
        </w:rPr>
        <w:t xml:space="preserve"> serotype</w:t>
      </w:r>
      <w:r w:rsidR="002549E2" w:rsidRPr="0073228A">
        <w:rPr>
          <w:rFonts w:ascii="Times New Roman" w:hAnsi="Times New Roman" w:cs="Times New Roman"/>
          <w:sz w:val="24"/>
          <w:szCs w:val="24"/>
        </w:rPr>
        <w:t>s</w:t>
      </w:r>
      <w:r w:rsidR="00FE20D8" w:rsidRPr="0073228A">
        <w:rPr>
          <w:rFonts w:ascii="Times New Roman" w:hAnsi="Times New Roman" w:cs="Times New Roman"/>
          <w:sz w:val="24"/>
          <w:szCs w:val="24"/>
        </w:rPr>
        <w:t xml:space="preserve"> </w:t>
      </w:r>
      <w:r w:rsidR="008A2EB9" w:rsidRPr="0073228A">
        <w:rPr>
          <w:rFonts w:ascii="Times New Roman" w:hAnsi="Times New Roman" w:cs="Times New Roman"/>
          <w:sz w:val="24"/>
          <w:szCs w:val="24"/>
        </w:rPr>
        <w:t xml:space="preserve">(“NVT”) </w:t>
      </w:r>
      <w:r w:rsidR="00C84076" w:rsidRPr="0073228A">
        <w:rPr>
          <w:rFonts w:ascii="Times New Roman" w:hAnsi="Times New Roman" w:cs="Times New Roman"/>
          <w:sz w:val="24"/>
          <w:szCs w:val="24"/>
        </w:rPr>
        <w:t>between July 2009 and June 2014</w:t>
      </w:r>
      <w:r w:rsidR="00415C63" w:rsidRPr="0073228A">
        <w:rPr>
          <w:rFonts w:ascii="Times New Roman" w:hAnsi="Times New Roman" w:cs="Times New Roman"/>
          <w:sz w:val="24"/>
          <w:szCs w:val="24"/>
        </w:rPr>
        <w:t xml:space="preserve"> was included in this analysis as a proxy for </w:t>
      </w:r>
      <w:r w:rsidR="004F70F3" w:rsidRPr="0073228A">
        <w:rPr>
          <w:rFonts w:ascii="Times New Roman" w:hAnsi="Times New Roman" w:cs="Times New Roman"/>
          <w:sz w:val="24"/>
          <w:szCs w:val="24"/>
        </w:rPr>
        <w:t>the</w:t>
      </w:r>
      <w:r w:rsidR="002549E2" w:rsidRPr="0073228A">
        <w:rPr>
          <w:rFonts w:ascii="Times New Roman" w:hAnsi="Times New Roman" w:cs="Times New Roman"/>
          <w:sz w:val="24"/>
          <w:szCs w:val="24"/>
        </w:rPr>
        <w:t xml:space="preserve"> </w:t>
      </w:r>
      <w:r w:rsidR="00415C63" w:rsidRPr="0073228A">
        <w:rPr>
          <w:rFonts w:ascii="Times New Roman" w:hAnsi="Times New Roman" w:cs="Times New Roman"/>
          <w:sz w:val="24"/>
          <w:szCs w:val="24"/>
        </w:rPr>
        <w:t xml:space="preserve">exposure of children </w:t>
      </w:r>
      <w:r w:rsidR="002549E2" w:rsidRPr="0073228A">
        <w:rPr>
          <w:rFonts w:ascii="Times New Roman" w:hAnsi="Times New Roman" w:cs="Times New Roman"/>
          <w:sz w:val="24"/>
          <w:szCs w:val="24"/>
        </w:rPr>
        <w:t>&lt;</w:t>
      </w:r>
      <w:r w:rsidR="00415C63" w:rsidRPr="0073228A">
        <w:rPr>
          <w:rFonts w:ascii="Times New Roman" w:hAnsi="Times New Roman" w:cs="Times New Roman"/>
          <w:sz w:val="24"/>
          <w:szCs w:val="24"/>
        </w:rPr>
        <w:t xml:space="preserve">2 years </w:t>
      </w:r>
      <w:r w:rsidR="002549E2" w:rsidRPr="0073228A">
        <w:rPr>
          <w:rFonts w:ascii="Times New Roman" w:hAnsi="Times New Roman" w:cs="Times New Roman"/>
          <w:sz w:val="24"/>
          <w:szCs w:val="24"/>
        </w:rPr>
        <w:t>old</w:t>
      </w:r>
      <w:r w:rsidR="00415C63" w:rsidRPr="0073228A">
        <w:rPr>
          <w:rFonts w:ascii="Times New Roman" w:hAnsi="Times New Roman" w:cs="Times New Roman"/>
          <w:sz w:val="24"/>
          <w:szCs w:val="24"/>
        </w:rPr>
        <w:t xml:space="preserve"> and susceptible to the development of </w:t>
      </w:r>
      <w:r w:rsidR="00024806" w:rsidRPr="0073228A">
        <w:rPr>
          <w:rFonts w:ascii="Times New Roman" w:hAnsi="Times New Roman" w:cs="Times New Roman"/>
          <w:sz w:val="24"/>
          <w:szCs w:val="24"/>
        </w:rPr>
        <w:t>OM</w:t>
      </w:r>
      <w:r w:rsidR="00415C63" w:rsidRPr="0073228A">
        <w:rPr>
          <w:rFonts w:ascii="Times New Roman" w:hAnsi="Times New Roman" w:cs="Times New Roman"/>
          <w:sz w:val="24"/>
          <w:szCs w:val="24"/>
        </w:rPr>
        <w:t>.</w:t>
      </w:r>
      <w:r w:rsidR="008D471A" w:rsidRPr="0073228A">
        <w:rPr>
          <w:rFonts w:ascii="Times New Roman" w:hAnsi="Times New Roman" w:cs="Times New Roman"/>
          <w:sz w:val="24"/>
          <w:szCs w:val="24"/>
        </w:rPr>
        <w:t xml:space="preserve"> As part of the sensitivity analysis we also present model predictions where the annual OM carriage incidence in children &lt;2 years old was used as a proxy for exposure</w:t>
      </w:r>
      <w:r w:rsidR="00415C63" w:rsidRPr="0073228A">
        <w:rPr>
          <w:rFonts w:ascii="Times New Roman" w:hAnsi="Times New Roman" w:cs="Times New Roman"/>
          <w:sz w:val="24"/>
          <w:szCs w:val="24"/>
        </w:rPr>
        <w:t xml:space="preserve"> </w:t>
      </w:r>
      <w:r w:rsidR="008D471A" w:rsidRPr="0073228A">
        <w:rPr>
          <w:rFonts w:ascii="Times New Roman" w:eastAsiaTheme="minorEastAsia" w:hAnsi="Times New Roman" w:cs="Times New Roman"/>
          <w:sz w:val="24"/>
          <w:szCs w:val="24"/>
        </w:rPr>
        <w:fldChar w:fldCharType="begin" w:fldLock="1"/>
      </w:r>
      <w:r w:rsidR="00221A17">
        <w:rPr>
          <w:rFonts w:ascii="Times New Roman" w:eastAsiaTheme="minorEastAsia" w:hAnsi="Times New Roman" w:cs="Times New Roman"/>
          <w:sz w:val="24"/>
          <w:szCs w:val="24"/>
        </w:rPr>
        <w:instrText>ADDIN CSL_CITATION { "citationItems" : [ { "id" : "ITEM-1", "itemData" : { "DOI" : "10.1016/j.vaccine.2009.04.009", "ISSN" : "1873-2518", "PMID" : "19490983", "abstract" : "Evaluation of the effect of new conjugate vaccines on nasopharyngeal carriage of Streptococcus pneumoniae (pneumococcus) has been based on simple comparisons of the prevalence of carriage in vaccinees and controls. However, the definition and measurement of vaccine efficacy should be based on knowledge of the actual mechanism of the vaccine's effect. According to current knowledge, conjugate vaccines affect acquisition. We propose a simple-to-use method to measure vaccine efficacy against serotype-specific acquisition that needs only cross-sectional measurements of carriage. We demonstrate the use of the method by application to a data set where it is also possible to estimate efficacy against acquisition from longitudinal measurements.", "author" : [ { "dropping-particle" : "", "family" : "Rinta-Kokko", "given" : "Hanna", "non-dropping-particle" : "", "parse-names" : false, "suffix" : "" }, { "dropping-particle" : "", "family" : "Dagan", "given" : "Ron", "non-dropping-particle" : "", "parse-names" : false, "suffix" : "" }, { "dropping-particle" : "", "family" : "Givon-Lavi", "given" : "Noga", "non-dropping-particle" : "", "parse-names" : false, "suffix" : "" }, { "dropping-particle" : "", "family" : "Auranen", "given" : "Kari", "non-dropping-particle" : "", "parse-names" : false, "suffix" : "" } ], "container-title" : "Vaccine", "id" : "ITEM-1", "issue" : "29", "issued" : { "date-parts" : [ [ "2009", "6", "12" ] ] }, "page" : "3831-7", "title" : "Estimation of vaccine efficacy against acquisition of pneumococcal carriage.", "type" : "article-journal", "volume" : "27" }, "uris" : [ "http://www.mendeley.com/documents/?uuid=ae5e340f-71c6-4337-acd6-6ea07a487f37" ] }, { "id" : "ITEM-2", "itemData" : { "DOI" : "10.1111/j.1541-0420.2012.01826.x", "ISSN" : "1541-0420", "PMID" : "23379663", "abstract" : "Evaluating vaccine efficacy for protection against colonization with bacterial pathogens is an area of growing interest. Colonization of the nasopharynx is an asymptomatic carrier state responsible for person-to-person transmission. It differs from most clinical outcomes in that it is common, recurrent, and observed only in its prevalent state. To estimate rates of acquisition and clearance of colonization requires repeated active sampling of the same individuals over time, an expensive and invasive undertaking. Motivated by feasibility constraints in efficacy trials with colonization endpoints, investigators have been estimating vaccine efficacy from cross-sectional studies without principled methods. We present two examples of vaccine studies estimating vaccine efficacy from cross-sectional data on nasopharyngeal colonization by Streptococcus pneumoniae (pneumococcus). This study presents a framework for defining and estimating strain-specific and overall vaccine efficacy for susceptibility to acquisition of colonization (VE(acq)) when there is a large number of strains with mutual interactions and recurrent dynamics of colonization. We develop estimators based on one observation of the current status per study subject, evaluate their robustness, and re-analyze the two vaccine trials. Methodologically, the proposed estimators are closely related to case-control studies with prevalent cases, with appropriate consideration of the at-risk time in choosing the controls.", "author" : [ { "dropping-particle" : "", "family" : "Auranen", "given" : "Kari", "non-dropping-particle" : "", "parse-names" : false, "suffix" : "" }, { "dropping-particle" : "", "family" : "Rinta-Kokko", "given" : "Hanna", "non-dropping-particle" : "", "parse-names" : false, "suffix" : "" }, { "dropping-particle" : "", "family" : "Halloran", "given" : "M Elizabeth", "non-dropping-particle" : "", "parse-names" : false, "suffix" : "" } ], "container-title" : "Biometrics", "id" : "ITEM-2", "issue" : "1", "issued" : { "date-parts" : [ [ "2013", "3" ] ] }, "page" : "235-44", "title" : "Estimating strain-specific and overall efficacy of polyvalent vaccines against recurrent pathogens from a cross-sectional study.", "type" : "article-journal", "volume" : "69" }, "uris" : [ "http://www.mendeley.com/documents/?uuid=ad63e4f6-e01f-437f-9530-a6cacb6d6988" ] } ], "mendeley" : { "formattedCitation" : "(13,14)", "plainTextFormattedCitation" : "(13,14)", "previouslyFormattedCitation" : "(13,14)" }, "properties" : { "noteIndex" : 0 }, "schema" : "https://github.com/citation-style-language/schema/raw/master/csl-citation.json" }</w:instrText>
      </w:r>
      <w:r w:rsidR="008D471A" w:rsidRPr="0073228A">
        <w:rPr>
          <w:rFonts w:ascii="Times New Roman" w:eastAsiaTheme="minorEastAsia" w:hAnsi="Times New Roman" w:cs="Times New Roman"/>
          <w:sz w:val="24"/>
          <w:szCs w:val="24"/>
        </w:rPr>
        <w:fldChar w:fldCharType="separate"/>
      </w:r>
      <w:r w:rsidR="00242661" w:rsidRPr="00242661">
        <w:rPr>
          <w:rFonts w:ascii="Times New Roman" w:eastAsiaTheme="minorEastAsia" w:hAnsi="Times New Roman" w:cs="Times New Roman"/>
          <w:noProof/>
          <w:sz w:val="24"/>
          <w:szCs w:val="24"/>
        </w:rPr>
        <w:t>(13,14)</w:t>
      </w:r>
      <w:r w:rsidR="008D471A" w:rsidRPr="0073228A">
        <w:rPr>
          <w:rFonts w:ascii="Times New Roman" w:eastAsiaTheme="minorEastAsia" w:hAnsi="Times New Roman" w:cs="Times New Roman"/>
          <w:sz w:val="24"/>
          <w:szCs w:val="24"/>
        </w:rPr>
        <w:fldChar w:fldCharType="end"/>
      </w:r>
      <w:r w:rsidR="008D471A" w:rsidRPr="0073228A">
        <w:rPr>
          <w:rFonts w:ascii="Times New Roman" w:eastAsiaTheme="minorEastAsia" w:hAnsi="Times New Roman" w:cs="Times New Roman"/>
          <w:sz w:val="24"/>
          <w:szCs w:val="24"/>
        </w:rPr>
        <w:t>.</w:t>
      </w:r>
      <w:r w:rsidR="006D163A" w:rsidRPr="0073228A">
        <w:rPr>
          <w:rFonts w:ascii="Times New Roman" w:hAnsi="Times New Roman" w:cs="Times New Roman"/>
          <w:b/>
          <w:sz w:val="24"/>
          <w:szCs w:val="24"/>
        </w:rPr>
        <w:t xml:space="preserve"> </w:t>
      </w:r>
    </w:p>
    <w:p w14:paraId="7A7EBD4B" w14:textId="77777777" w:rsidR="00DD21C9" w:rsidRPr="0073228A" w:rsidRDefault="00DD21C9" w:rsidP="00B3162B">
      <w:pPr>
        <w:spacing w:line="480" w:lineRule="auto"/>
        <w:rPr>
          <w:rFonts w:ascii="Times New Roman" w:hAnsi="Times New Roman" w:cs="Times New Roman"/>
          <w:b/>
          <w:sz w:val="24"/>
          <w:szCs w:val="24"/>
        </w:rPr>
      </w:pPr>
    </w:p>
    <w:p w14:paraId="6B30D91C" w14:textId="7B556C56" w:rsidR="00533BD2" w:rsidRPr="0073228A" w:rsidRDefault="00B22283" w:rsidP="00B3162B">
      <w:pPr>
        <w:spacing w:line="480" w:lineRule="auto"/>
        <w:rPr>
          <w:rFonts w:ascii="Times New Roman" w:hAnsi="Times New Roman" w:cs="Times New Roman"/>
          <w:sz w:val="24"/>
          <w:szCs w:val="24"/>
        </w:rPr>
      </w:pPr>
      <w:r w:rsidRPr="0073228A">
        <w:rPr>
          <w:rFonts w:ascii="Times New Roman" w:hAnsi="Times New Roman" w:cs="Times New Roman"/>
          <w:b/>
          <w:sz w:val="24"/>
          <w:szCs w:val="24"/>
        </w:rPr>
        <w:t>Model</w:t>
      </w:r>
      <w:r w:rsidR="004B7256" w:rsidRPr="0073228A">
        <w:rPr>
          <w:rFonts w:ascii="Times New Roman" w:hAnsi="Times New Roman" w:cs="Times New Roman"/>
          <w:b/>
          <w:sz w:val="24"/>
          <w:szCs w:val="24"/>
        </w:rPr>
        <w:t>:</w:t>
      </w:r>
      <w:r w:rsidR="00533BD2" w:rsidRPr="0073228A">
        <w:rPr>
          <w:rFonts w:ascii="Times New Roman" w:hAnsi="Times New Roman" w:cs="Times New Roman"/>
          <w:sz w:val="24"/>
          <w:szCs w:val="24"/>
        </w:rPr>
        <w:br/>
      </w:r>
      <w:r w:rsidR="0015603B" w:rsidRPr="0073228A">
        <w:rPr>
          <w:rFonts w:ascii="Times New Roman" w:hAnsi="Times New Roman" w:cs="Times New Roman"/>
          <w:sz w:val="24"/>
          <w:szCs w:val="24"/>
        </w:rPr>
        <w:t xml:space="preserve">The </w:t>
      </w:r>
      <w:r w:rsidR="00C84076" w:rsidRPr="0073228A">
        <w:rPr>
          <w:rFonts w:ascii="Times New Roman" w:hAnsi="Times New Roman" w:cs="Times New Roman"/>
          <w:sz w:val="24"/>
          <w:szCs w:val="24"/>
        </w:rPr>
        <w:t xml:space="preserve">prediction </w:t>
      </w:r>
      <w:r w:rsidR="003B2833" w:rsidRPr="0073228A">
        <w:rPr>
          <w:rFonts w:ascii="Times New Roman" w:hAnsi="Times New Roman" w:cs="Times New Roman"/>
          <w:sz w:val="24"/>
          <w:szCs w:val="24"/>
        </w:rPr>
        <w:t>model</w:t>
      </w:r>
      <w:r w:rsidR="007F573A" w:rsidRPr="0073228A">
        <w:rPr>
          <w:rFonts w:ascii="Times New Roman" w:hAnsi="Times New Roman" w:cs="Times New Roman"/>
          <w:sz w:val="24"/>
          <w:szCs w:val="24"/>
        </w:rPr>
        <w:t xml:space="preserve"> </w:t>
      </w:r>
      <w:r w:rsidR="002549E2" w:rsidRPr="0073228A">
        <w:rPr>
          <w:rFonts w:ascii="Times New Roman" w:hAnsi="Times New Roman" w:cs="Times New Roman"/>
          <w:sz w:val="24"/>
          <w:szCs w:val="24"/>
        </w:rPr>
        <w:t xml:space="preserve">was </w:t>
      </w:r>
      <w:r w:rsidR="0015603B" w:rsidRPr="0073228A">
        <w:rPr>
          <w:rFonts w:ascii="Times New Roman" w:hAnsi="Times New Roman" w:cs="Times New Roman"/>
          <w:sz w:val="24"/>
          <w:szCs w:val="24"/>
        </w:rPr>
        <w:t xml:space="preserve">based on pneumococcal </w:t>
      </w:r>
      <w:r w:rsidR="00024806" w:rsidRPr="0073228A">
        <w:rPr>
          <w:rFonts w:ascii="Times New Roman" w:hAnsi="Times New Roman" w:cs="Times New Roman"/>
          <w:sz w:val="24"/>
          <w:szCs w:val="24"/>
        </w:rPr>
        <w:t>OM</w:t>
      </w:r>
      <w:r w:rsidR="0015603B" w:rsidRPr="0073228A">
        <w:rPr>
          <w:rFonts w:ascii="Times New Roman" w:hAnsi="Times New Roman" w:cs="Times New Roman"/>
          <w:sz w:val="24"/>
          <w:szCs w:val="24"/>
        </w:rPr>
        <w:t xml:space="preserve"> incidence in</w:t>
      </w:r>
      <w:r w:rsidR="00632006" w:rsidRPr="0073228A">
        <w:rPr>
          <w:rFonts w:ascii="Times New Roman" w:hAnsi="Times New Roman" w:cs="Times New Roman"/>
          <w:sz w:val="24"/>
          <w:szCs w:val="24"/>
        </w:rPr>
        <w:t xml:space="preserve"> 2009/10 </w:t>
      </w:r>
      <w:r w:rsidR="0015603B" w:rsidRPr="0073228A">
        <w:rPr>
          <w:rFonts w:ascii="Times New Roman" w:hAnsi="Times New Roman" w:cs="Times New Roman"/>
          <w:sz w:val="24"/>
          <w:szCs w:val="24"/>
        </w:rPr>
        <w:t xml:space="preserve">and </w:t>
      </w:r>
      <w:r w:rsidR="00632006" w:rsidRPr="0073228A">
        <w:rPr>
          <w:rFonts w:ascii="Times New Roman" w:hAnsi="Times New Roman" w:cs="Times New Roman"/>
          <w:sz w:val="24"/>
          <w:szCs w:val="24"/>
        </w:rPr>
        <w:t xml:space="preserve">nasopharyngeal carriage </w:t>
      </w:r>
      <w:r w:rsidR="0015603B" w:rsidRPr="0073228A">
        <w:rPr>
          <w:rFonts w:ascii="Times New Roman" w:hAnsi="Times New Roman" w:cs="Times New Roman"/>
          <w:sz w:val="24"/>
          <w:szCs w:val="24"/>
        </w:rPr>
        <w:t xml:space="preserve">prevalence between </w:t>
      </w:r>
      <w:r w:rsidR="00632006" w:rsidRPr="0073228A">
        <w:rPr>
          <w:rFonts w:ascii="Times New Roman" w:hAnsi="Times New Roman" w:cs="Times New Roman"/>
          <w:sz w:val="24"/>
          <w:szCs w:val="24"/>
        </w:rPr>
        <w:t>2009</w:t>
      </w:r>
      <w:r w:rsidR="003B2833" w:rsidRPr="0073228A">
        <w:rPr>
          <w:rFonts w:ascii="Times New Roman" w:hAnsi="Times New Roman" w:cs="Times New Roman"/>
          <w:sz w:val="24"/>
          <w:szCs w:val="24"/>
        </w:rPr>
        <w:t>/10 and 2013/14</w:t>
      </w:r>
      <w:r w:rsidR="0015603B" w:rsidRPr="0073228A">
        <w:rPr>
          <w:rFonts w:ascii="Times New Roman" w:hAnsi="Times New Roman" w:cs="Times New Roman"/>
          <w:sz w:val="24"/>
          <w:szCs w:val="24"/>
        </w:rPr>
        <w:t xml:space="preserve"> </w:t>
      </w:r>
      <w:r w:rsidR="002549E2" w:rsidRPr="0073228A">
        <w:rPr>
          <w:rFonts w:ascii="Times New Roman" w:hAnsi="Times New Roman" w:cs="Times New Roman"/>
          <w:sz w:val="24"/>
          <w:szCs w:val="24"/>
        </w:rPr>
        <w:t xml:space="preserve">to </w:t>
      </w:r>
      <w:r w:rsidR="0015603B" w:rsidRPr="0073228A">
        <w:rPr>
          <w:rFonts w:ascii="Times New Roman" w:hAnsi="Times New Roman" w:cs="Times New Roman"/>
          <w:sz w:val="24"/>
          <w:szCs w:val="24"/>
        </w:rPr>
        <w:t>p</w:t>
      </w:r>
      <w:r w:rsidR="00632006" w:rsidRPr="0073228A">
        <w:rPr>
          <w:rFonts w:ascii="Times New Roman" w:hAnsi="Times New Roman" w:cs="Times New Roman"/>
          <w:sz w:val="24"/>
          <w:szCs w:val="24"/>
        </w:rPr>
        <w:t xml:space="preserve">redict the </w:t>
      </w:r>
      <w:r w:rsidR="0015603B" w:rsidRPr="0073228A">
        <w:rPr>
          <w:rFonts w:ascii="Times New Roman" w:hAnsi="Times New Roman" w:cs="Times New Roman"/>
          <w:sz w:val="24"/>
          <w:szCs w:val="24"/>
        </w:rPr>
        <w:t xml:space="preserve">pneumococcal </w:t>
      </w:r>
      <w:r w:rsidR="00024806" w:rsidRPr="0073228A">
        <w:rPr>
          <w:rFonts w:ascii="Times New Roman" w:hAnsi="Times New Roman" w:cs="Times New Roman"/>
          <w:sz w:val="24"/>
          <w:szCs w:val="24"/>
        </w:rPr>
        <w:t>OM</w:t>
      </w:r>
      <w:r w:rsidR="00632006" w:rsidRPr="0073228A">
        <w:rPr>
          <w:rFonts w:ascii="Times New Roman" w:hAnsi="Times New Roman" w:cs="Times New Roman"/>
          <w:sz w:val="24"/>
          <w:szCs w:val="24"/>
        </w:rPr>
        <w:t xml:space="preserve"> </w:t>
      </w:r>
      <w:r w:rsidR="0015603B" w:rsidRPr="0073228A">
        <w:rPr>
          <w:rFonts w:ascii="Times New Roman" w:hAnsi="Times New Roman" w:cs="Times New Roman"/>
          <w:sz w:val="24"/>
          <w:szCs w:val="24"/>
        </w:rPr>
        <w:t xml:space="preserve">incidence between 2010/11 </w:t>
      </w:r>
      <w:r w:rsidR="003B2833" w:rsidRPr="0073228A">
        <w:rPr>
          <w:rFonts w:ascii="Times New Roman" w:hAnsi="Times New Roman" w:cs="Times New Roman"/>
          <w:sz w:val="24"/>
          <w:szCs w:val="24"/>
        </w:rPr>
        <w:t>and 2013/14</w:t>
      </w:r>
      <w:r w:rsidR="00632006" w:rsidRPr="0073228A">
        <w:rPr>
          <w:rFonts w:ascii="Times New Roman" w:hAnsi="Times New Roman" w:cs="Times New Roman"/>
          <w:sz w:val="24"/>
          <w:szCs w:val="24"/>
        </w:rPr>
        <w:t xml:space="preserve">. All </w:t>
      </w:r>
      <w:r w:rsidR="00355F3A" w:rsidRPr="0073228A">
        <w:rPr>
          <w:rFonts w:ascii="Times New Roman" w:hAnsi="Times New Roman" w:cs="Times New Roman"/>
          <w:sz w:val="24"/>
          <w:szCs w:val="24"/>
        </w:rPr>
        <w:t xml:space="preserve">analyses were </w:t>
      </w:r>
      <w:r w:rsidR="00C84076" w:rsidRPr="0073228A">
        <w:rPr>
          <w:rFonts w:ascii="Times New Roman" w:hAnsi="Times New Roman" w:cs="Times New Roman"/>
          <w:sz w:val="24"/>
          <w:szCs w:val="24"/>
        </w:rPr>
        <w:t>stratified by ethnicity</w:t>
      </w:r>
      <w:r w:rsidR="007F573A" w:rsidRPr="0073228A">
        <w:rPr>
          <w:rFonts w:ascii="Times New Roman" w:hAnsi="Times New Roman" w:cs="Times New Roman"/>
          <w:sz w:val="24"/>
          <w:szCs w:val="24"/>
        </w:rPr>
        <w:t xml:space="preserve"> </w:t>
      </w:r>
      <w:r w:rsidR="00C84076" w:rsidRPr="0073228A">
        <w:rPr>
          <w:rFonts w:ascii="Times New Roman" w:hAnsi="Times New Roman" w:cs="Times New Roman"/>
          <w:sz w:val="24"/>
          <w:szCs w:val="24"/>
        </w:rPr>
        <w:t>(</w:t>
      </w:r>
      <w:r w:rsidR="00632006" w:rsidRPr="0073228A">
        <w:rPr>
          <w:rFonts w:ascii="Times New Roman" w:hAnsi="Times New Roman" w:cs="Times New Roman"/>
          <w:sz w:val="24"/>
          <w:szCs w:val="24"/>
        </w:rPr>
        <w:t>Jews and Bedouins</w:t>
      </w:r>
      <w:r w:rsidR="00C84076" w:rsidRPr="0073228A">
        <w:rPr>
          <w:rFonts w:ascii="Times New Roman" w:hAnsi="Times New Roman" w:cs="Times New Roman"/>
          <w:sz w:val="24"/>
          <w:szCs w:val="24"/>
        </w:rPr>
        <w:t>)</w:t>
      </w:r>
      <w:r w:rsidR="00632006" w:rsidRPr="0073228A">
        <w:rPr>
          <w:rFonts w:ascii="Times New Roman" w:hAnsi="Times New Roman" w:cs="Times New Roman"/>
          <w:sz w:val="24"/>
          <w:szCs w:val="24"/>
        </w:rPr>
        <w:t xml:space="preserve">. </w:t>
      </w:r>
      <w:r w:rsidR="003B2833" w:rsidRPr="0073228A">
        <w:rPr>
          <w:rFonts w:ascii="Times New Roman" w:hAnsi="Times New Roman" w:cs="Times New Roman"/>
          <w:sz w:val="24"/>
          <w:szCs w:val="24"/>
        </w:rPr>
        <w:t>We use</w:t>
      </w:r>
      <w:r w:rsidR="002549E2" w:rsidRPr="0073228A">
        <w:rPr>
          <w:rFonts w:ascii="Times New Roman" w:hAnsi="Times New Roman" w:cs="Times New Roman"/>
          <w:sz w:val="24"/>
          <w:szCs w:val="24"/>
        </w:rPr>
        <w:t>d</w:t>
      </w:r>
      <w:r w:rsidR="003B2833" w:rsidRPr="0073228A">
        <w:rPr>
          <w:rFonts w:ascii="Times New Roman" w:hAnsi="Times New Roman" w:cs="Times New Roman"/>
          <w:sz w:val="24"/>
          <w:szCs w:val="24"/>
        </w:rPr>
        <w:t xml:space="preserve"> </w:t>
      </w:r>
      <w:r w:rsidR="00632006" w:rsidRPr="0073228A">
        <w:rPr>
          <w:rFonts w:ascii="Times New Roman" w:hAnsi="Times New Roman" w:cs="Times New Roman"/>
          <w:sz w:val="24"/>
          <w:szCs w:val="24"/>
        </w:rPr>
        <w:t xml:space="preserve">a model that predicts the change </w:t>
      </w:r>
      <w:r w:rsidR="00437B7A" w:rsidRPr="0073228A">
        <w:rPr>
          <w:rFonts w:ascii="Times New Roman" w:hAnsi="Times New Roman" w:cs="Times New Roman"/>
          <w:sz w:val="24"/>
          <w:szCs w:val="24"/>
        </w:rPr>
        <w:t xml:space="preserve">in </w:t>
      </w:r>
      <w:r w:rsidR="00437B7A">
        <w:rPr>
          <w:rFonts w:ascii="Times New Roman" w:hAnsi="Times New Roman" w:cs="Times New Roman"/>
          <w:sz w:val="24"/>
          <w:szCs w:val="24"/>
        </w:rPr>
        <w:t xml:space="preserve">vaccine-type and non-vaccine type </w:t>
      </w:r>
      <w:r w:rsidR="00024806" w:rsidRPr="0073228A">
        <w:rPr>
          <w:rFonts w:ascii="Times New Roman" w:hAnsi="Times New Roman" w:cs="Times New Roman"/>
          <w:sz w:val="24"/>
          <w:szCs w:val="24"/>
        </w:rPr>
        <w:t>OM</w:t>
      </w:r>
      <w:r w:rsidR="00632006" w:rsidRPr="0073228A">
        <w:rPr>
          <w:rFonts w:ascii="Times New Roman" w:hAnsi="Times New Roman" w:cs="Times New Roman"/>
          <w:sz w:val="24"/>
          <w:szCs w:val="24"/>
        </w:rPr>
        <w:t xml:space="preserve"> incidence based on the observed change in carriage </w:t>
      </w:r>
      <w:r w:rsidR="00793B5B" w:rsidRPr="0073228A">
        <w:rPr>
          <w:rFonts w:ascii="Times New Roman" w:hAnsi="Times New Roman" w:cs="Times New Roman"/>
          <w:sz w:val="24"/>
          <w:szCs w:val="24"/>
        </w:rPr>
        <w:t xml:space="preserve">similar </w:t>
      </w:r>
      <w:r w:rsidR="00355F3A" w:rsidRPr="0073228A">
        <w:rPr>
          <w:rFonts w:ascii="Times New Roman" w:hAnsi="Times New Roman" w:cs="Times New Roman"/>
          <w:sz w:val="24"/>
          <w:szCs w:val="24"/>
        </w:rPr>
        <w:t>to previously described approaches</w:t>
      </w:r>
      <w:r w:rsidR="005A702A" w:rsidRPr="0073228A">
        <w:rPr>
          <w:rFonts w:ascii="Times New Roman" w:hAnsi="Times New Roman" w:cs="Times New Roman"/>
          <w:sz w:val="24"/>
          <w:szCs w:val="24"/>
        </w:rPr>
        <w:t xml:space="preserve"> with</w:t>
      </w:r>
      <w:r w:rsidR="00793B5B" w:rsidRPr="0073228A">
        <w:rPr>
          <w:rFonts w:ascii="Times New Roman" w:hAnsi="Times New Roman" w:cs="Times New Roman"/>
          <w:sz w:val="24"/>
          <w:szCs w:val="24"/>
        </w:rPr>
        <w:t xml:space="preserve"> </w:t>
      </w:r>
      <w:r w:rsidR="005A702A" w:rsidRPr="0073228A">
        <w:rPr>
          <w:rFonts w:ascii="Times New Roman" w:hAnsi="Times New Roman" w:cs="Times New Roman"/>
          <w:sz w:val="24"/>
          <w:szCs w:val="24"/>
        </w:rPr>
        <w:t xml:space="preserve">paediatric </w:t>
      </w:r>
      <w:r w:rsidR="00355F3A" w:rsidRPr="0073228A">
        <w:rPr>
          <w:rFonts w:ascii="Times New Roman" w:hAnsi="Times New Roman" w:cs="Times New Roman"/>
          <w:sz w:val="24"/>
          <w:szCs w:val="24"/>
        </w:rPr>
        <w:t>IPD</w:t>
      </w:r>
      <w:r w:rsidR="005A702A" w:rsidRPr="0073228A">
        <w:rPr>
          <w:rFonts w:ascii="Times New Roman" w:hAnsi="Times New Roman" w:cs="Times New Roman"/>
          <w:sz w:val="24"/>
          <w:szCs w:val="24"/>
        </w:rPr>
        <w:t xml:space="preserve"> as an endpoint</w:t>
      </w:r>
      <w:r w:rsidR="00793B5B" w:rsidRPr="0073228A">
        <w:rPr>
          <w:rFonts w:ascii="Times New Roman" w:hAnsi="Times New Roman" w:cs="Times New Roman"/>
          <w:sz w:val="24"/>
          <w:szCs w:val="24"/>
        </w:rPr>
        <w:t xml:space="preserve"> </w:t>
      </w:r>
      <w:r w:rsidR="00793B5B" w:rsidRPr="0073228A">
        <w:rPr>
          <w:rFonts w:ascii="Times New Roman" w:hAnsi="Times New Roman" w:cs="Times New Roman"/>
          <w:sz w:val="24"/>
          <w:szCs w:val="24"/>
        </w:rPr>
        <w:fldChar w:fldCharType="begin" w:fldLock="1"/>
      </w:r>
      <w:r w:rsidR="00F617E9">
        <w:rPr>
          <w:rFonts w:ascii="Times New Roman" w:hAnsi="Times New Roman" w:cs="Times New Roman"/>
          <w:sz w:val="24"/>
          <w:szCs w:val="24"/>
        </w:rPr>
        <w:instrText>ADDIN CSL_CITATION { "citationItems" : [ { "id" : "ITEM-1", "itemData" : { "DOI" : "10.1093/aje/kwt156", "ISSN" : "1476-6256", "PMID" : "24013204", "abstract" : "Pneumococcal conjugate vaccines (PCVs) have been introduced worldwide. However, few developing countries have high-quality surveillance systems available for monitoring vaccine impact. We evaluated whether data from nasopharyngeal carriage studies can be used to accurately monitor post-PCV changes in the incidence of invasive pneumococcal disease (IPD) among children under 5 years of age. For various dates during 1991-2010, data on nasopharyngeal pneumococcal carriage and on IPD before and after administration of 7-valent PCV (PCV7) were available from England and Wales, the Netherlands, the Navajo and White Mountain Apache American Indian populations, and the US states of Massachusetts and Alaska. We estimated the change in carriage prevalence for each serotype in each study and then either calculated the average change (inverse variance-weighted) among vaccine and nonvaccine serotypes (model 1) or used mixed-effects models to estimate the change for each serotype individually, pooling serotype data within or between studies (models 2 and 3). We then multiplied these values by the proportion of IPD caused by each serotype during the pre-PCV7 period to obtain an estimate of post-PCV7 disease incidence. Model 1 accurately captured overall changes in IPD incidence following PCV7 introduction for most studies, while the more detailed models, models 2 and 3, were less accurate. Carriage data can be used in this simple model to estimate post-PCV changes in IPD incidence.", "author" : [ { "dropping-particle" : "", "family" : "Weinberger", "given" : "Daniel M", "non-dropping-particle" : "", "parse-names" : false, "suffix" : "" }, { "dropping-particle" : "", "family" : "Bruden", "given" : "Dana T", "non-dropping-particle" : "", "parse-names" : false, "suffix" : "" }, { "dropping-particle" : "", "family" : "Grant", "given" : "Lindsay R", "non-dropping-particle" : "", "parse-names" : false, "suffix" : "" }, { "dropping-particle" : "", "family" : "Lipsitch", "given" : "Marc", "non-dropping-particle" : "", "parse-names" : false, "suffix" : "" }, { "dropping-particle" : "", "family" : "O'Brien", "given" : "Katherine L", "non-dropping-particle" : "", "parse-names" : false, "suffix" : "" }, { "dropping-particle" : "", "family" : "Pelton", "given" : "Stephen I", "non-dropping-particle" : "", "parse-names" : false, "suffix" : "" }, { "dropping-particle" : "", "family" : "Sanders", "given" : "Elisabeth a M", "non-dropping-particle" : "", "parse-names" : false, "suffix" : "" }, { "dropping-particle" : "", "family" : "Feikin", "given" : "Daniel R", "non-dropping-particle" : "", "parse-names" : false, "suffix" : "" } ], "container-title" : "American journal of epidemiology", "id" : "ITEM-1", "issue" : "9", "issued" : { "date-parts" : [ [ "2013", "11", "1" ] ] }, "note" : "From Duplicate 1 (Using pneumococcal carriage data to monitor postvaccination changes in invasive disease. - Weinberger, Daniel M; Bruden, Dana T; Grant, Lindsay R; Lipsitch, Marc; O'Brien, Katherine L; Pelton, Stephen I; Sanders, Elisabeth a M; Feikin, Daniel R)\n\nFrom Duplicate 2 ( \n\n\nUsing pneumococcal carriage data to monitor postvaccination changes in invasive disease.\n\n\n- Weinberger, Daniel M; Bruden, Dana T; Grant, Lindsay R; Lipsitch, Marc; O'Brien, Katherine L; Pelton, Stephen I; Sanders, Elisabeth a M; Feikin, Daniel R )\n\n", "page" : "1488-95", "title" : "Using pneumococcal carriage data to monitor postvaccination changes in invasive disease.", "type" : "article-journal", "volume" : "178" }, "uris" : [ "http://www.mendeley.com/documents/?uuid=3a8b09ee-6ccb-4e24-a89d-0847da04d541" ] }, { "id" : "ITEM-2", "itemData" : { "DOI" : "10.1371/journal.pcbi.1004173", "ISSN" : "1553-7358", "author" : [ { "dropping-particle" : "", "family" : "Flasche", "given" : "Stefan", "non-dropping-particle" : "", "parse-names" : false, "suffix" : "" }, { "dropping-particle" : "", "family" : "Polain de Waroux", "given" : "Olivier", "non-dropping-particle" : "Le", "parse-names" : false, "suffix" : "" }, { "dropping-particle" : "", "family" : "O\u2019Brien", "given" : "Katherine L.", "non-dropping-particle" : "", "parse-names" : false, "suffix" : "" }, { "dropping-particle" : "", "family" : "Edmunds", "given" : "W. John", "non-dropping-particle" : "", "parse-names" : false, "suffix" : "" } ], "container-title" : "PLOS Computational Biology", "id" : "ITEM-2", "issue" : "4", "issued" : { "date-parts" : [ [ "2015" ] ] }, "page" : "e1004173", "title" : "The Serotype Distribution among Healthy Carriers before Vaccination Is Essential for Predicting the Impact of Pneumococcal Conjugate Vaccine on Invasive Disease", "type" : "article-journal", "volume" : "11" }, "uris" : [ "http://www.mendeley.com/documents/?uuid=d30e1a60-f456-4fac-abe5-f10842a3437f" ] } ], "mendeley" : { "formattedCitation" : "(6,7)", "plainTextFormattedCitation" : "(6,7)", "previouslyFormattedCitation" : "(6,7)" }, "properties" : { "noteIndex" : 0 }, "schema" : "https://github.com/citation-style-language/schema/raw/master/csl-citation.json" }</w:instrText>
      </w:r>
      <w:r w:rsidR="00793B5B" w:rsidRPr="0073228A">
        <w:rPr>
          <w:rFonts w:ascii="Times New Roman" w:hAnsi="Times New Roman" w:cs="Times New Roman"/>
          <w:sz w:val="24"/>
          <w:szCs w:val="24"/>
        </w:rPr>
        <w:fldChar w:fldCharType="separate"/>
      </w:r>
      <w:r w:rsidR="002765D7" w:rsidRPr="0073228A">
        <w:rPr>
          <w:rFonts w:ascii="Times New Roman" w:hAnsi="Times New Roman" w:cs="Times New Roman"/>
          <w:noProof/>
          <w:sz w:val="24"/>
          <w:szCs w:val="24"/>
        </w:rPr>
        <w:t>(6,7)</w:t>
      </w:r>
      <w:r w:rsidR="00793B5B" w:rsidRPr="0073228A">
        <w:rPr>
          <w:rFonts w:ascii="Times New Roman" w:hAnsi="Times New Roman" w:cs="Times New Roman"/>
          <w:sz w:val="24"/>
          <w:szCs w:val="24"/>
        </w:rPr>
        <w:fldChar w:fldCharType="end"/>
      </w:r>
      <w:r w:rsidR="00793B5B" w:rsidRPr="0073228A">
        <w:rPr>
          <w:rFonts w:ascii="Times New Roman" w:hAnsi="Times New Roman" w:cs="Times New Roman"/>
          <w:sz w:val="24"/>
          <w:szCs w:val="24"/>
        </w:rPr>
        <w:t>.</w:t>
      </w:r>
    </w:p>
    <w:p w14:paraId="4C05F28B" w14:textId="68A81C24" w:rsidR="00C70E6A" w:rsidRPr="0073228A" w:rsidRDefault="00C70E6A" w:rsidP="00B3162B">
      <w:pPr>
        <w:spacing w:line="480" w:lineRule="auto"/>
        <w:rPr>
          <w:rFonts w:ascii="Times New Roman" w:eastAsiaTheme="minorEastAsia" w:hAnsi="Times New Roman" w:cs="Times New Roman"/>
          <w:sz w:val="24"/>
          <w:szCs w:val="24"/>
        </w:rPr>
      </w:pPr>
      <w:r w:rsidRPr="0073228A">
        <w:rPr>
          <w:rFonts w:ascii="Times New Roman" w:hAnsi="Times New Roman" w:cs="Times New Roman"/>
          <w:sz w:val="24"/>
          <w:szCs w:val="24"/>
        </w:rPr>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 Y</m:t>
            </m:r>
          </m:sub>
        </m:sSub>
      </m:oMath>
      <w:r w:rsidRPr="0073228A">
        <w:rPr>
          <w:rFonts w:ascii="Times New Roman" w:eastAsiaTheme="minorEastAsia" w:hAnsi="Times New Roman" w:cs="Times New Roman"/>
          <w:sz w:val="24"/>
          <w:szCs w:val="24"/>
        </w:rPr>
        <w:t xml:space="preserve"> be the </w:t>
      </w:r>
      <w:r w:rsidR="007F573A" w:rsidRPr="0073228A">
        <w:rPr>
          <w:rFonts w:ascii="Times New Roman" w:eastAsiaTheme="minorEastAsia" w:hAnsi="Times New Roman" w:cs="Times New Roman"/>
          <w:sz w:val="24"/>
          <w:szCs w:val="24"/>
        </w:rPr>
        <w:t>prevalence of serotype-</w:t>
      </w:r>
      <w:r w:rsidRPr="0073228A">
        <w:rPr>
          <w:rFonts w:ascii="Times New Roman" w:eastAsiaTheme="minorEastAsia" w:hAnsi="Times New Roman" w:cs="Times New Roman"/>
          <w:sz w:val="24"/>
          <w:szCs w:val="24"/>
        </w:rPr>
        <w:t xml:space="preserve">group </w:t>
      </w:r>
      <m:oMath>
        <m:r>
          <w:rPr>
            <w:rFonts w:ascii="Cambria Math" w:eastAsiaTheme="minorEastAsia" w:hAnsi="Cambria Math" w:cs="Times New Roman"/>
            <w:sz w:val="24"/>
            <w:szCs w:val="24"/>
          </w:rPr>
          <m:t>T∈{PCV7, PCV13-7,  NVT}</m:t>
        </m:r>
      </m:oMath>
      <w:r w:rsidRPr="0073228A">
        <w:rPr>
          <w:rFonts w:ascii="Times New Roman" w:eastAsiaTheme="minorEastAsia" w:hAnsi="Times New Roman" w:cs="Times New Roman"/>
          <w:sz w:val="24"/>
          <w:szCs w:val="24"/>
        </w:rPr>
        <w:t xml:space="preserve"> </w:t>
      </w:r>
      <w:r w:rsidR="007F573A" w:rsidRPr="0073228A">
        <w:rPr>
          <w:rFonts w:ascii="Times New Roman" w:eastAsiaTheme="minorEastAsia" w:hAnsi="Times New Roman" w:cs="Times New Roman"/>
          <w:sz w:val="24"/>
          <w:szCs w:val="24"/>
        </w:rPr>
        <w:t xml:space="preserve">carriage </w:t>
      </w:r>
      <w:r w:rsidRPr="0073228A">
        <w:rPr>
          <w:rFonts w:ascii="Times New Roman" w:eastAsiaTheme="minorEastAsia" w:hAnsi="Times New Roman" w:cs="Times New Roman"/>
          <w:sz w:val="24"/>
          <w:szCs w:val="24"/>
        </w:rPr>
        <w:t xml:space="preserve">in year </w:t>
      </w:r>
      <m:oMath>
        <m:r>
          <w:rPr>
            <w:rFonts w:ascii="Cambria Math" w:eastAsiaTheme="minorEastAsia" w:hAnsi="Cambria Math" w:cs="Times New Roman"/>
            <w:sz w:val="24"/>
            <w:szCs w:val="24"/>
          </w:rPr>
          <m:t>Y</m:t>
        </m:r>
      </m:oMath>
      <w:r w:rsidRPr="0073228A">
        <w:rPr>
          <w:rFonts w:ascii="Times New Roman" w:eastAsiaTheme="minorEastAsia" w:hAnsi="Times New Roman" w:cs="Times New Roman"/>
          <w:sz w:val="24"/>
          <w:szCs w:val="24"/>
        </w:rPr>
        <w:t>.</w:t>
      </w:r>
      <w:r w:rsidR="00E452A0" w:rsidRPr="0073228A">
        <w:rPr>
          <w:rFonts w:ascii="Times New Roman" w:eastAsiaTheme="minorEastAsia" w:hAnsi="Times New Roman" w:cs="Times New Roman"/>
          <w:sz w:val="24"/>
          <w:szCs w:val="24"/>
        </w:rPr>
        <w:t xml:space="preserve"> </w:t>
      </w:r>
      <w:r w:rsidRPr="0073228A">
        <w:rPr>
          <w:rFonts w:ascii="Times New Roman" w:eastAsiaTheme="minorEastAsia" w:hAnsi="Times New Roman" w:cs="Times New Roman"/>
          <w:sz w:val="24"/>
          <w:szCs w:val="24"/>
        </w:rPr>
        <w:t xml:space="preserve">Similarly let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T,Y</m:t>
            </m:r>
          </m:sub>
        </m:sSub>
      </m:oMath>
      <w:r w:rsidRPr="0073228A">
        <w:rPr>
          <w:rFonts w:ascii="Times New Roman" w:eastAsiaTheme="minorEastAsia" w:hAnsi="Times New Roman" w:cs="Times New Roman"/>
          <w:sz w:val="24"/>
          <w:szCs w:val="24"/>
        </w:rPr>
        <w:t xml:space="preserve"> be the incidence of </w:t>
      </w:r>
      <w:r w:rsidR="00024806" w:rsidRPr="0073228A">
        <w:rPr>
          <w:rFonts w:ascii="Times New Roman" w:eastAsiaTheme="minorEastAsia" w:hAnsi="Times New Roman" w:cs="Times New Roman"/>
          <w:sz w:val="24"/>
          <w:szCs w:val="24"/>
        </w:rPr>
        <w:t>OM</w:t>
      </w:r>
      <w:r w:rsidRPr="0073228A">
        <w:rPr>
          <w:rFonts w:ascii="Times New Roman" w:eastAsiaTheme="minorEastAsia" w:hAnsi="Times New Roman" w:cs="Times New Roman"/>
          <w:sz w:val="24"/>
          <w:szCs w:val="24"/>
        </w:rPr>
        <w:t xml:space="preserve"> of serotype group </w:t>
      </w:r>
      <m:oMath>
        <m:r>
          <w:rPr>
            <w:rFonts w:ascii="Cambria Math" w:eastAsiaTheme="minorEastAsia" w:hAnsi="Cambria Math" w:cs="Times New Roman"/>
            <w:sz w:val="24"/>
            <w:szCs w:val="24"/>
          </w:rPr>
          <m:t>T</m:t>
        </m:r>
      </m:oMath>
      <w:r w:rsidRPr="0073228A">
        <w:rPr>
          <w:rFonts w:ascii="Times New Roman" w:eastAsiaTheme="minorEastAsia" w:hAnsi="Times New Roman" w:cs="Times New Roman"/>
          <w:sz w:val="24"/>
          <w:szCs w:val="24"/>
        </w:rPr>
        <w:t xml:space="preserve"> in year </w:t>
      </w:r>
      <m:oMath>
        <m:r>
          <w:rPr>
            <w:rFonts w:ascii="Cambria Math" w:eastAsiaTheme="minorEastAsia" w:hAnsi="Cambria Math" w:cs="Times New Roman"/>
            <w:sz w:val="24"/>
            <w:szCs w:val="24"/>
          </w:rPr>
          <m:t>Y</m:t>
        </m:r>
      </m:oMath>
      <w:r w:rsidRPr="0073228A">
        <w:rPr>
          <w:rFonts w:ascii="Times New Roman" w:eastAsiaTheme="minorEastAsia" w:hAnsi="Times New Roman" w:cs="Times New Roman"/>
          <w:sz w:val="24"/>
          <w:szCs w:val="24"/>
        </w:rPr>
        <w:t xml:space="preserve">. </w:t>
      </w:r>
      <w:r w:rsidR="007F573A" w:rsidRPr="0073228A">
        <w:rPr>
          <w:rFonts w:ascii="Times New Roman" w:eastAsiaTheme="minorEastAsia" w:hAnsi="Times New Roman" w:cs="Times New Roman"/>
          <w:sz w:val="24"/>
          <w:szCs w:val="24"/>
        </w:rPr>
        <w:t xml:space="preserve">By assuming that any change in </w:t>
      </w:r>
      <w:r w:rsidR="005A6E20" w:rsidRPr="0073228A">
        <w:rPr>
          <w:rFonts w:ascii="Times New Roman" w:eastAsiaTheme="minorEastAsia" w:hAnsi="Times New Roman" w:cs="Times New Roman"/>
          <w:sz w:val="24"/>
          <w:szCs w:val="24"/>
        </w:rPr>
        <w:t xml:space="preserve">exposure, i.e. </w:t>
      </w:r>
      <w:r w:rsidR="007F573A" w:rsidRPr="0073228A">
        <w:rPr>
          <w:rFonts w:ascii="Times New Roman" w:eastAsiaTheme="minorEastAsia" w:hAnsi="Times New Roman" w:cs="Times New Roman"/>
          <w:sz w:val="24"/>
          <w:szCs w:val="24"/>
        </w:rPr>
        <w:t>carriage prevalence</w:t>
      </w:r>
      <w:r w:rsidR="005A6E20" w:rsidRPr="0073228A">
        <w:rPr>
          <w:rFonts w:ascii="Times New Roman" w:eastAsiaTheme="minorEastAsia" w:hAnsi="Times New Roman" w:cs="Times New Roman"/>
          <w:sz w:val="24"/>
          <w:szCs w:val="24"/>
        </w:rPr>
        <w:t>,</w:t>
      </w:r>
      <w:r w:rsidR="007F573A" w:rsidRPr="0073228A">
        <w:rPr>
          <w:rFonts w:ascii="Times New Roman" w:eastAsiaTheme="minorEastAsia" w:hAnsi="Times New Roman" w:cs="Times New Roman"/>
          <w:sz w:val="24"/>
          <w:szCs w:val="24"/>
        </w:rPr>
        <w:t xml:space="preserve"> is identically reflected in </w:t>
      </w:r>
      <w:r w:rsidR="00024806" w:rsidRPr="0073228A">
        <w:rPr>
          <w:rFonts w:ascii="Times New Roman" w:eastAsiaTheme="minorEastAsia" w:hAnsi="Times New Roman" w:cs="Times New Roman"/>
          <w:sz w:val="24"/>
          <w:szCs w:val="24"/>
        </w:rPr>
        <w:t>OM</w:t>
      </w:r>
      <w:r w:rsidR="007F573A" w:rsidRPr="0073228A">
        <w:rPr>
          <w:rFonts w:ascii="Times New Roman" w:eastAsiaTheme="minorEastAsia" w:hAnsi="Times New Roman" w:cs="Times New Roman"/>
          <w:sz w:val="24"/>
          <w:szCs w:val="24"/>
        </w:rPr>
        <w:t xml:space="preserve"> incidence the </w:t>
      </w:r>
      <w:r w:rsidR="00024806" w:rsidRPr="0073228A">
        <w:rPr>
          <w:rFonts w:ascii="Times New Roman" w:eastAsiaTheme="minorEastAsia" w:hAnsi="Times New Roman" w:cs="Times New Roman"/>
          <w:sz w:val="24"/>
          <w:szCs w:val="24"/>
        </w:rPr>
        <w:lastRenderedPageBreak/>
        <w:t>OM</w:t>
      </w:r>
      <w:r w:rsidR="007F573A" w:rsidRPr="0073228A">
        <w:rPr>
          <w:rFonts w:ascii="Times New Roman" w:eastAsiaTheme="minorEastAsia" w:hAnsi="Times New Roman" w:cs="Times New Roman"/>
          <w:sz w:val="24"/>
          <w:szCs w:val="24"/>
        </w:rPr>
        <w:t xml:space="preserve"> incidence</w:t>
      </w:r>
      <w:r w:rsidRPr="0073228A">
        <w:rPr>
          <w:rFonts w:ascii="Times New Roman" w:eastAsiaTheme="minorEastAsia" w:hAnsi="Times New Roman" w:cs="Times New Roman"/>
          <w:sz w:val="24"/>
          <w:szCs w:val="24"/>
        </w:rPr>
        <w:t xml:space="preserve"> </w:t>
      </w:r>
      <w:r w:rsidR="007F573A" w:rsidRPr="0073228A">
        <w:rPr>
          <w:rFonts w:ascii="Times New Roman" w:eastAsiaTheme="minorEastAsia" w:hAnsi="Times New Roman" w:cs="Times New Roman"/>
          <w:sz w:val="24"/>
          <w:szCs w:val="24"/>
        </w:rPr>
        <w:t xml:space="preserve">at any point in time </w:t>
      </w:r>
      <w:r w:rsidR="00811CF7" w:rsidRPr="0073228A">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oMath>
      <w:r w:rsidR="00811CF7" w:rsidRPr="0073228A">
        <w:rPr>
          <w:rFonts w:ascii="Times New Roman" w:eastAsiaTheme="minorEastAsia" w:hAnsi="Times New Roman" w:cs="Times New Roman"/>
          <w:sz w:val="24"/>
          <w:szCs w:val="24"/>
        </w:rPr>
        <w:t xml:space="preserve">) </w:t>
      </w:r>
      <w:r w:rsidR="007F573A" w:rsidRPr="0073228A">
        <w:rPr>
          <w:rFonts w:ascii="Times New Roman" w:eastAsiaTheme="minorEastAsia" w:hAnsi="Times New Roman" w:cs="Times New Roman"/>
          <w:sz w:val="24"/>
          <w:szCs w:val="24"/>
        </w:rPr>
        <w:t xml:space="preserve">is </w:t>
      </w:r>
      <w:r w:rsidR="00AB5F27" w:rsidRPr="0073228A">
        <w:rPr>
          <w:rFonts w:ascii="Times New Roman" w:eastAsiaTheme="minorEastAsia" w:hAnsi="Times New Roman" w:cs="Times New Roman"/>
          <w:sz w:val="24"/>
          <w:szCs w:val="24"/>
        </w:rPr>
        <w:t xml:space="preserve">predicted by </w:t>
      </w:r>
      <w:r w:rsidR="007F573A" w:rsidRPr="0073228A">
        <w:rPr>
          <w:rFonts w:ascii="Times New Roman" w:eastAsiaTheme="minorEastAsia" w:hAnsi="Times New Roman" w:cs="Times New Roman"/>
          <w:sz w:val="24"/>
          <w:szCs w:val="24"/>
        </w:rPr>
        <w:t xml:space="preserve">the incidence at </w:t>
      </w:r>
      <w:r w:rsidR="00AB5F27" w:rsidRPr="0073228A">
        <w:rPr>
          <w:rFonts w:ascii="Times New Roman" w:eastAsiaTheme="minorEastAsia" w:hAnsi="Times New Roman" w:cs="Times New Roman"/>
          <w:sz w:val="24"/>
          <w:szCs w:val="24"/>
        </w:rPr>
        <w:t xml:space="preserve">a </w:t>
      </w:r>
      <w:r w:rsidR="007F573A" w:rsidRPr="0073228A">
        <w:rPr>
          <w:rFonts w:ascii="Times New Roman" w:eastAsiaTheme="minorEastAsia" w:hAnsi="Times New Roman" w:cs="Times New Roman"/>
          <w:sz w:val="24"/>
          <w:szCs w:val="24"/>
        </w:rPr>
        <w:t xml:space="preserve">baseline </w:t>
      </w:r>
      <w:r w:rsidR="00AB5F27" w:rsidRPr="0073228A">
        <w:rPr>
          <w:rFonts w:ascii="Times New Roman" w:eastAsiaTheme="minorEastAsia" w:hAnsi="Times New Roman" w:cs="Times New Roman"/>
          <w:sz w:val="24"/>
          <w:szCs w:val="24"/>
        </w:rPr>
        <w:t>year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oMath>
      <w:r w:rsidR="00AB5F27" w:rsidRPr="0073228A">
        <w:rPr>
          <w:rFonts w:ascii="Times New Roman" w:eastAsiaTheme="minorEastAsia" w:hAnsi="Times New Roman" w:cs="Times New Roman"/>
          <w:sz w:val="24"/>
          <w:szCs w:val="24"/>
        </w:rPr>
        <w:t xml:space="preserve">) </w:t>
      </w:r>
      <w:r w:rsidR="007F573A" w:rsidRPr="0073228A">
        <w:rPr>
          <w:rFonts w:ascii="Times New Roman" w:eastAsiaTheme="minorEastAsia" w:hAnsi="Times New Roman" w:cs="Times New Roman"/>
          <w:sz w:val="24"/>
          <w:szCs w:val="24"/>
        </w:rPr>
        <w:t>multiplied with the change in carriage from that baseline:</w:t>
      </w:r>
    </w:p>
    <w:p w14:paraId="1B36A394" w14:textId="77777777" w:rsidR="00C70E6A" w:rsidRPr="0073228A" w:rsidRDefault="00D5627C" w:rsidP="00B3162B">
      <w:pPr>
        <w:spacing w:line="48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ub>
          </m:sSub>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ub>
              </m:sSub>
            </m:den>
          </m:f>
        </m:oMath>
      </m:oMathPara>
    </w:p>
    <w:p w14:paraId="1A2E1985" w14:textId="77777777" w:rsidR="00685BF8" w:rsidRPr="0073228A" w:rsidRDefault="00685BF8" w:rsidP="00B3162B">
      <w:pPr>
        <w:spacing w:line="480" w:lineRule="auto"/>
        <w:rPr>
          <w:rFonts w:ascii="Times New Roman" w:eastAsiaTheme="minorEastAsia" w:hAnsi="Times New Roman" w:cs="Times New Roman"/>
          <w:sz w:val="24"/>
          <w:szCs w:val="24"/>
        </w:rPr>
      </w:pPr>
      <w:r w:rsidRPr="0073228A">
        <w:rPr>
          <w:rFonts w:ascii="Times New Roman" w:eastAsiaTheme="minorEastAsia" w:hAnsi="Times New Roman" w:cs="Times New Roman"/>
          <w:sz w:val="24"/>
          <w:szCs w:val="24"/>
        </w:rPr>
        <w:t xml:space="preserve">The predicted overall incidence of </w:t>
      </w:r>
      <w:r w:rsidR="00024806" w:rsidRPr="0073228A">
        <w:rPr>
          <w:rFonts w:ascii="Times New Roman" w:eastAsiaTheme="minorEastAsia" w:hAnsi="Times New Roman" w:cs="Times New Roman"/>
          <w:sz w:val="24"/>
          <w:szCs w:val="24"/>
        </w:rPr>
        <w:t>OM</w:t>
      </w:r>
      <w:r w:rsidRPr="0073228A">
        <w:rPr>
          <w:rFonts w:ascii="Times New Roman" w:eastAsiaTheme="minorEastAsia" w:hAnsi="Times New Roman" w:cs="Times New Roman"/>
          <w:sz w:val="24"/>
          <w:szCs w:val="24"/>
        </w:rPr>
        <w:t xml:space="preserve"> in year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oMath>
      <w:r w:rsidRPr="0073228A">
        <w:rPr>
          <w:rFonts w:ascii="Times New Roman" w:eastAsiaTheme="minorEastAsia" w:hAnsi="Times New Roman" w:cs="Times New Roman"/>
          <w:sz w:val="24"/>
          <w:szCs w:val="24"/>
        </w:rPr>
        <w:t xml:space="preserve"> </w:t>
      </w:r>
      <w:r w:rsidR="009E68CE" w:rsidRPr="0073228A">
        <w:rPr>
          <w:rFonts w:ascii="Times New Roman" w:eastAsiaTheme="minorEastAsia" w:hAnsi="Times New Roman" w:cs="Times New Roman"/>
          <w:sz w:val="24"/>
          <w:szCs w:val="24"/>
        </w:rPr>
        <w:t xml:space="preserve">was </w:t>
      </w:r>
      <w:r w:rsidRPr="0073228A">
        <w:rPr>
          <w:rFonts w:ascii="Times New Roman" w:eastAsiaTheme="minorEastAsia" w:hAnsi="Times New Roman" w:cs="Times New Roman"/>
          <w:sz w:val="24"/>
          <w:szCs w:val="24"/>
        </w:rPr>
        <w:t xml:space="preserve">then </w:t>
      </w:r>
      <w:r w:rsidR="009E68CE" w:rsidRPr="0073228A">
        <w:rPr>
          <w:rFonts w:ascii="Times New Roman" w:eastAsiaTheme="minorEastAsia" w:hAnsi="Times New Roman" w:cs="Times New Roman"/>
          <w:sz w:val="24"/>
          <w:szCs w:val="24"/>
        </w:rPr>
        <w:t xml:space="preserve">calculated </w:t>
      </w:r>
      <w:r w:rsidRPr="0073228A">
        <w:rPr>
          <w:rFonts w:ascii="Times New Roman" w:eastAsiaTheme="minorEastAsia" w:hAnsi="Times New Roman" w:cs="Times New Roman"/>
          <w:sz w:val="24"/>
          <w:szCs w:val="24"/>
        </w:rPr>
        <w:t>as</w:t>
      </w:r>
      <w:r w:rsidR="006D4A9E" w:rsidRPr="0073228A">
        <w:rPr>
          <w:rFonts w:ascii="Times New Roman" w:eastAsiaTheme="minorEastAsia" w:hAnsi="Times New Roman" w:cs="Times New Roman"/>
          <w:sz w:val="24"/>
          <w:szCs w:val="24"/>
        </w:rPr>
        <w:t xml:space="preserve"> the sum of predicted incidence of </w:t>
      </w:r>
      <w:r w:rsidR="0086776D" w:rsidRPr="0073228A">
        <w:rPr>
          <w:rFonts w:ascii="Times New Roman" w:eastAsiaTheme="minorEastAsia" w:hAnsi="Times New Roman" w:cs="Times New Roman"/>
          <w:sz w:val="24"/>
          <w:szCs w:val="24"/>
        </w:rPr>
        <w:t>all</w:t>
      </w:r>
      <w:r w:rsidR="006D4A9E" w:rsidRPr="0073228A">
        <w:rPr>
          <w:rFonts w:ascii="Times New Roman" w:eastAsiaTheme="minorEastAsia" w:hAnsi="Times New Roman" w:cs="Times New Roman"/>
          <w:sz w:val="24"/>
          <w:szCs w:val="24"/>
        </w:rPr>
        <w:t xml:space="preserve"> serotype groups</w:t>
      </w:r>
      <w:r w:rsidR="0086776D" w:rsidRPr="0073228A">
        <w:rPr>
          <w:rFonts w:ascii="Times New Roman" w:eastAsiaTheme="minorEastAsia" w:hAnsi="Times New Roman" w:cs="Times New Roman"/>
          <w:sz w:val="24"/>
          <w:szCs w:val="24"/>
        </w:rPr>
        <w:t>:</w:t>
      </w:r>
    </w:p>
    <w:p w14:paraId="7595B1FE" w14:textId="77777777" w:rsidR="00685BF8" w:rsidRPr="0073228A" w:rsidRDefault="00D5627C" w:rsidP="00B3162B">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nary>
            <m:naryPr>
              <m:chr m:val="∑"/>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T</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sub>
              </m:sSub>
            </m:e>
          </m:nary>
        </m:oMath>
      </m:oMathPara>
    </w:p>
    <w:p w14:paraId="0ADA63B3" w14:textId="6627AA79" w:rsidR="009370BF" w:rsidRPr="0073228A" w:rsidRDefault="00A64127" w:rsidP="00B3162B">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OM incidence was calculated by using census data on the annual number of Jewish and Bedouin children in catchment area of the hospital. </w:t>
      </w:r>
      <w:r w:rsidR="00A10B05" w:rsidRPr="0073228A">
        <w:rPr>
          <w:rFonts w:ascii="Times New Roman" w:eastAsiaTheme="minorEastAsia" w:hAnsi="Times New Roman" w:cs="Times New Roman"/>
          <w:sz w:val="24"/>
          <w:szCs w:val="24"/>
        </w:rPr>
        <w:t xml:space="preserve">Assuming that the </w:t>
      </w:r>
      <w:r w:rsidR="00490EB2">
        <w:rPr>
          <w:rFonts w:ascii="Times New Roman" w:eastAsiaTheme="minorEastAsia" w:hAnsi="Times New Roman" w:cs="Times New Roman"/>
          <w:sz w:val="24"/>
          <w:szCs w:val="24"/>
        </w:rPr>
        <w:t xml:space="preserve">distribution of annual </w:t>
      </w:r>
      <w:r w:rsidR="00A10B05" w:rsidRPr="0073228A">
        <w:rPr>
          <w:rFonts w:ascii="Times New Roman" w:eastAsiaTheme="minorEastAsia" w:hAnsi="Times New Roman" w:cs="Times New Roman"/>
          <w:sz w:val="24"/>
          <w:szCs w:val="24"/>
        </w:rPr>
        <w:t xml:space="preserve">NP carriage and OM </w:t>
      </w:r>
      <w:r w:rsidR="00490EB2">
        <w:rPr>
          <w:rFonts w:ascii="Times New Roman" w:eastAsiaTheme="minorEastAsia" w:hAnsi="Times New Roman" w:cs="Times New Roman"/>
          <w:sz w:val="24"/>
          <w:szCs w:val="24"/>
        </w:rPr>
        <w:t>isolates into “PCV7 types”, PCV13-7 types”, “NVT”</w:t>
      </w:r>
      <w:r>
        <w:rPr>
          <w:rFonts w:ascii="Times New Roman" w:eastAsiaTheme="minorEastAsia" w:hAnsi="Times New Roman" w:cs="Times New Roman"/>
          <w:sz w:val="24"/>
          <w:szCs w:val="24"/>
        </w:rPr>
        <w:t>, “others” (including non typeable and untested)</w:t>
      </w:r>
      <w:r w:rsidR="00490EB2">
        <w:rPr>
          <w:rFonts w:ascii="Times New Roman" w:eastAsiaTheme="minorEastAsia" w:hAnsi="Times New Roman" w:cs="Times New Roman"/>
          <w:sz w:val="24"/>
          <w:szCs w:val="24"/>
        </w:rPr>
        <w:t xml:space="preserve"> and “no pneumococcus” </w:t>
      </w:r>
      <w:r w:rsidR="001B5CB0" w:rsidRPr="0073228A">
        <w:rPr>
          <w:rFonts w:ascii="Times New Roman" w:eastAsiaTheme="minorEastAsia" w:hAnsi="Times New Roman" w:cs="Times New Roman"/>
          <w:sz w:val="24"/>
          <w:szCs w:val="24"/>
        </w:rPr>
        <w:t>are samples of respective multinomial distributions, b</w:t>
      </w:r>
      <w:r w:rsidR="00A10B05" w:rsidRPr="0073228A">
        <w:rPr>
          <w:rFonts w:ascii="Times New Roman" w:eastAsiaTheme="minorEastAsia" w:hAnsi="Times New Roman" w:cs="Times New Roman"/>
          <w:sz w:val="24"/>
          <w:szCs w:val="24"/>
        </w:rPr>
        <w:t>ootstrapping techniques were used to infer confidence intervals</w:t>
      </w:r>
      <w:r w:rsidR="001B5CB0" w:rsidRPr="0073228A">
        <w:rPr>
          <w:rFonts w:ascii="Times New Roman" w:eastAsiaTheme="minorEastAsia" w:hAnsi="Times New Roman" w:cs="Times New Roman"/>
          <w:sz w:val="24"/>
          <w:szCs w:val="24"/>
        </w:rPr>
        <w:t xml:space="preserve"> on all outcomes</w:t>
      </w:r>
      <w:r w:rsidR="00A10B05" w:rsidRPr="0073228A">
        <w:rPr>
          <w:rFonts w:ascii="Times New Roman" w:eastAsiaTheme="minorEastAsia" w:hAnsi="Times New Roman" w:cs="Times New Roman"/>
          <w:sz w:val="24"/>
          <w:szCs w:val="24"/>
        </w:rPr>
        <w:t xml:space="preserve">. </w:t>
      </w:r>
      <w:r w:rsidR="007A090C">
        <w:rPr>
          <w:rFonts w:ascii="Times New Roman" w:eastAsiaTheme="minorEastAsia" w:hAnsi="Times New Roman" w:cs="Times New Roman"/>
          <w:sz w:val="24"/>
          <w:szCs w:val="24"/>
        </w:rPr>
        <w:t xml:space="preserve">Only one serotype per isolate was identified during the study period. </w:t>
      </w:r>
      <w:r w:rsidR="001B5CB0" w:rsidRPr="0073228A">
        <w:rPr>
          <w:rFonts w:ascii="Times New Roman" w:eastAsiaTheme="minorEastAsia" w:hAnsi="Times New Roman" w:cs="Times New Roman"/>
          <w:sz w:val="24"/>
          <w:szCs w:val="24"/>
        </w:rPr>
        <w:t>All analyse</w:t>
      </w:r>
      <w:r w:rsidR="003B2833" w:rsidRPr="0073228A">
        <w:rPr>
          <w:rFonts w:ascii="Times New Roman" w:eastAsiaTheme="minorEastAsia" w:hAnsi="Times New Roman" w:cs="Times New Roman"/>
          <w:sz w:val="24"/>
          <w:szCs w:val="24"/>
        </w:rPr>
        <w:t xml:space="preserve">s </w:t>
      </w:r>
      <w:r w:rsidR="001B5CB0" w:rsidRPr="0073228A">
        <w:rPr>
          <w:rFonts w:ascii="Times New Roman" w:eastAsiaTheme="minorEastAsia" w:hAnsi="Times New Roman" w:cs="Times New Roman"/>
          <w:sz w:val="24"/>
          <w:szCs w:val="24"/>
        </w:rPr>
        <w:t xml:space="preserve">were </w:t>
      </w:r>
      <w:r w:rsidR="003B2833" w:rsidRPr="0073228A">
        <w:rPr>
          <w:rFonts w:ascii="Times New Roman" w:eastAsiaTheme="minorEastAsia" w:hAnsi="Times New Roman" w:cs="Times New Roman"/>
          <w:sz w:val="24"/>
          <w:szCs w:val="24"/>
        </w:rPr>
        <w:t>performed with R</w:t>
      </w:r>
      <w:r w:rsidR="00123430" w:rsidRPr="0073228A">
        <w:rPr>
          <w:rFonts w:ascii="Times New Roman" w:eastAsiaTheme="minorEastAsia" w:hAnsi="Times New Roman" w:cs="Times New Roman"/>
          <w:sz w:val="24"/>
          <w:szCs w:val="24"/>
        </w:rPr>
        <w:t xml:space="preserve"> version 3.1</w:t>
      </w:r>
      <w:r w:rsidR="003B2833" w:rsidRPr="0073228A">
        <w:rPr>
          <w:rFonts w:ascii="Times New Roman" w:eastAsiaTheme="minorEastAsia" w:hAnsi="Times New Roman" w:cs="Times New Roman"/>
          <w:sz w:val="24"/>
          <w:szCs w:val="24"/>
        </w:rPr>
        <w:t xml:space="preserve"> </w:t>
      </w:r>
      <w:r w:rsidR="00E746C0" w:rsidRPr="0073228A">
        <w:rPr>
          <w:rFonts w:ascii="Times New Roman" w:eastAsiaTheme="minorEastAsia" w:hAnsi="Times New Roman" w:cs="Times New Roman"/>
          <w:sz w:val="24"/>
          <w:szCs w:val="24"/>
        </w:rPr>
        <w:fldChar w:fldCharType="begin" w:fldLock="1"/>
      </w:r>
      <w:r w:rsidR="00221A17">
        <w:rPr>
          <w:rFonts w:ascii="Times New Roman" w:eastAsiaTheme="minorEastAsia" w:hAnsi="Times New Roman" w:cs="Times New Roman"/>
          <w:sz w:val="24"/>
          <w:szCs w:val="24"/>
        </w:rPr>
        <w:instrText>ADDIN CSL_CITATION { "citationItems" : [ { "id" : "ITEM-1", "itemData" : { "ISBN" : "3900051135", "author" : [ { "dropping-particle" : "", "family" : "Team", "given" : "R Core", "non-dropping-particle" : "", "parse-names" : false, "suffix" : "" } ], "id" : "ITEM-1", "issued" : { "date-parts" : [ [ "2012" ] ] }, "title" : "R Language Definition", "type" : "article", "volume" : "1" }, "uris" : [ "http://www.mendeley.com/documents/?uuid=1875767f-fa30-48d9-8155-aa23a568d391" ] } ], "mendeley" : { "formattedCitation" : "(15)", "plainTextFormattedCitation" : "(15)", "previouslyFormattedCitation" : "(15)" }, "properties" : { "noteIndex" : 0 }, "schema" : "https://github.com/citation-style-language/schema/raw/master/csl-citation.json" }</w:instrText>
      </w:r>
      <w:r w:rsidR="00E746C0" w:rsidRPr="0073228A">
        <w:rPr>
          <w:rFonts w:ascii="Times New Roman" w:eastAsiaTheme="minorEastAsia" w:hAnsi="Times New Roman" w:cs="Times New Roman"/>
          <w:sz w:val="24"/>
          <w:szCs w:val="24"/>
        </w:rPr>
        <w:fldChar w:fldCharType="separate"/>
      </w:r>
      <w:r w:rsidR="00242661" w:rsidRPr="00242661">
        <w:rPr>
          <w:rFonts w:ascii="Times New Roman" w:eastAsiaTheme="minorEastAsia" w:hAnsi="Times New Roman" w:cs="Times New Roman"/>
          <w:noProof/>
          <w:sz w:val="24"/>
          <w:szCs w:val="24"/>
        </w:rPr>
        <w:t>(15)</w:t>
      </w:r>
      <w:r w:rsidR="00E746C0" w:rsidRPr="0073228A">
        <w:rPr>
          <w:rFonts w:ascii="Times New Roman" w:eastAsiaTheme="minorEastAsia" w:hAnsi="Times New Roman" w:cs="Times New Roman"/>
          <w:sz w:val="24"/>
          <w:szCs w:val="24"/>
        </w:rPr>
        <w:fldChar w:fldCharType="end"/>
      </w:r>
    </w:p>
    <w:p w14:paraId="1D24C40F" w14:textId="77777777" w:rsidR="007736AB" w:rsidRPr="0073228A" w:rsidRDefault="007736AB" w:rsidP="00B3162B">
      <w:pPr>
        <w:spacing w:line="480" w:lineRule="auto"/>
        <w:rPr>
          <w:rFonts w:ascii="Times New Roman" w:eastAsiaTheme="minorEastAsia" w:hAnsi="Times New Roman" w:cs="Times New Roman"/>
          <w:sz w:val="24"/>
          <w:szCs w:val="24"/>
        </w:rPr>
      </w:pPr>
    </w:p>
    <w:p w14:paraId="772F7868" w14:textId="057F4D86" w:rsidR="00DC2C24" w:rsidRPr="009A0490" w:rsidRDefault="00DB0711" w:rsidP="00B3162B">
      <w:pPr>
        <w:spacing w:line="480" w:lineRule="auto"/>
        <w:rPr>
          <w:rFonts w:ascii="Times New Roman" w:hAnsi="Times New Roman" w:cs="Times New Roman"/>
          <w:sz w:val="24"/>
          <w:szCs w:val="24"/>
        </w:rPr>
      </w:pPr>
      <w:r w:rsidRPr="009A0490">
        <w:rPr>
          <w:rFonts w:ascii="Times New Roman" w:hAnsi="Times New Roman" w:cs="Times New Roman"/>
          <w:sz w:val="24"/>
          <w:szCs w:val="24"/>
        </w:rPr>
        <w:t>RESULTS</w:t>
      </w:r>
    </w:p>
    <w:p w14:paraId="732B1854" w14:textId="2B4ED074" w:rsidR="00D623D3" w:rsidRPr="0073228A" w:rsidRDefault="00C953D2" w:rsidP="003A3142">
      <w:pPr>
        <w:spacing w:line="480" w:lineRule="auto"/>
        <w:rPr>
          <w:rFonts w:ascii="Times New Roman" w:hAnsi="Times New Roman" w:cs="Times New Roman"/>
          <w:sz w:val="24"/>
          <w:szCs w:val="24"/>
        </w:rPr>
      </w:pPr>
      <w:r w:rsidRPr="0073228A">
        <w:rPr>
          <w:rFonts w:ascii="Times New Roman" w:hAnsi="Times New Roman" w:cs="Times New Roman"/>
          <w:sz w:val="24"/>
          <w:szCs w:val="24"/>
        </w:rPr>
        <w:t>Overall</w:t>
      </w:r>
      <w:r w:rsidR="00BE5476" w:rsidRPr="0073228A">
        <w:rPr>
          <w:rFonts w:ascii="Times New Roman" w:hAnsi="Times New Roman" w:cs="Times New Roman"/>
          <w:sz w:val="24"/>
          <w:szCs w:val="24"/>
        </w:rPr>
        <w:t>,</w:t>
      </w:r>
      <w:r w:rsidRPr="0073228A">
        <w:rPr>
          <w:rFonts w:ascii="Times New Roman" w:hAnsi="Times New Roman" w:cs="Times New Roman"/>
          <w:sz w:val="24"/>
          <w:szCs w:val="24"/>
        </w:rPr>
        <w:t xml:space="preserve"> </w:t>
      </w:r>
      <w:r w:rsidR="00044E6E" w:rsidRPr="0073228A">
        <w:rPr>
          <w:rFonts w:ascii="Times New Roman" w:hAnsi="Times New Roman" w:cs="Times New Roman"/>
          <w:sz w:val="24"/>
          <w:szCs w:val="24"/>
        </w:rPr>
        <w:t>667</w:t>
      </w:r>
      <w:r w:rsidRPr="0073228A">
        <w:rPr>
          <w:rFonts w:ascii="Times New Roman" w:hAnsi="Times New Roman" w:cs="Times New Roman"/>
          <w:sz w:val="24"/>
          <w:szCs w:val="24"/>
        </w:rPr>
        <w:t xml:space="preserve"> episodes of </w:t>
      </w:r>
      <w:r w:rsidR="00683930" w:rsidRPr="0073228A">
        <w:rPr>
          <w:rFonts w:ascii="Times New Roman" w:hAnsi="Times New Roman" w:cs="Times New Roman"/>
          <w:sz w:val="24"/>
          <w:szCs w:val="24"/>
        </w:rPr>
        <w:t xml:space="preserve">pneumococcal </w:t>
      </w:r>
      <w:r w:rsidRPr="0073228A">
        <w:rPr>
          <w:rFonts w:ascii="Times New Roman" w:hAnsi="Times New Roman" w:cs="Times New Roman"/>
          <w:sz w:val="24"/>
          <w:szCs w:val="24"/>
        </w:rPr>
        <w:t xml:space="preserve">OM </w:t>
      </w:r>
      <w:r w:rsidR="00621581">
        <w:rPr>
          <w:rFonts w:ascii="Times New Roman" w:hAnsi="Times New Roman" w:cs="Times New Roman"/>
          <w:sz w:val="24"/>
          <w:szCs w:val="24"/>
        </w:rPr>
        <w:t xml:space="preserve">(80% of which were obtained by tympanocentesis) </w:t>
      </w:r>
      <w:r w:rsidRPr="0073228A">
        <w:rPr>
          <w:rFonts w:ascii="Times New Roman" w:hAnsi="Times New Roman" w:cs="Times New Roman"/>
          <w:sz w:val="24"/>
          <w:szCs w:val="24"/>
        </w:rPr>
        <w:t>and 6788 nasopharyngeal sample</w:t>
      </w:r>
      <w:r w:rsidR="00044E6E" w:rsidRPr="0073228A">
        <w:rPr>
          <w:rFonts w:ascii="Times New Roman" w:hAnsi="Times New Roman" w:cs="Times New Roman"/>
          <w:sz w:val="24"/>
          <w:szCs w:val="24"/>
        </w:rPr>
        <w:t xml:space="preserve">s were included in the study. </w:t>
      </w:r>
      <w:r w:rsidR="00355F3A" w:rsidRPr="0073228A">
        <w:rPr>
          <w:rFonts w:ascii="Times New Roman" w:hAnsi="Times New Roman" w:cs="Times New Roman"/>
          <w:sz w:val="24"/>
          <w:szCs w:val="24"/>
        </w:rPr>
        <w:t>Forty nine percent</w:t>
      </w:r>
      <w:r w:rsidRPr="0073228A">
        <w:rPr>
          <w:rFonts w:ascii="Times New Roman" w:hAnsi="Times New Roman" w:cs="Times New Roman"/>
          <w:sz w:val="24"/>
          <w:szCs w:val="24"/>
        </w:rPr>
        <w:t xml:space="preserve"> of all </w:t>
      </w:r>
      <w:r w:rsidR="00683930" w:rsidRPr="0073228A">
        <w:rPr>
          <w:rFonts w:ascii="Times New Roman" w:hAnsi="Times New Roman" w:cs="Times New Roman"/>
          <w:sz w:val="24"/>
          <w:szCs w:val="24"/>
        </w:rPr>
        <w:t xml:space="preserve">pneumococcal OM </w:t>
      </w:r>
      <w:r w:rsidRPr="0073228A">
        <w:rPr>
          <w:rFonts w:ascii="Times New Roman" w:hAnsi="Times New Roman" w:cs="Times New Roman"/>
          <w:sz w:val="24"/>
          <w:szCs w:val="24"/>
        </w:rPr>
        <w:t>episodes and 40% of all nasopharyngeal samples were from the Jewish population and the remainder from Bedouins.</w:t>
      </w:r>
      <w:r w:rsidR="00355F3A" w:rsidRPr="0073228A">
        <w:rPr>
          <w:rFonts w:ascii="Times New Roman" w:hAnsi="Times New Roman" w:cs="Times New Roman"/>
          <w:sz w:val="24"/>
          <w:szCs w:val="24"/>
        </w:rPr>
        <w:t xml:space="preserve"> </w:t>
      </w:r>
      <w:r w:rsidRPr="0073228A">
        <w:rPr>
          <w:rFonts w:ascii="Times New Roman" w:hAnsi="Times New Roman" w:cs="Times New Roman"/>
          <w:sz w:val="24"/>
          <w:szCs w:val="24"/>
        </w:rPr>
        <w:t xml:space="preserve">After </w:t>
      </w:r>
      <w:r w:rsidR="00355F3A" w:rsidRPr="0073228A">
        <w:rPr>
          <w:rFonts w:ascii="Times New Roman" w:hAnsi="Times New Roman" w:cs="Times New Roman"/>
          <w:sz w:val="24"/>
          <w:szCs w:val="24"/>
        </w:rPr>
        <w:t xml:space="preserve">the year </w:t>
      </w:r>
      <w:r w:rsidRPr="0073228A">
        <w:rPr>
          <w:rFonts w:ascii="Times New Roman" w:hAnsi="Times New Roman" w:cs="Times New Roman"/>
          <w:sz w:val="24"/>
          <w:szCs w:val="24"/>
        </w:rPr>
        <w:t xml:space="preserve">2009/10 the incidence of pneumococcal OM in children </w:t>
      </w:r>
      <w:r w:rsidR="002502D2" w:rsidRPr="0073228A">
        <w:rPr>
          <w:rFonts w:ascii="Times New Roman" w:hAnsi="Times New Roman" w:cs="Times New Roman"/>
          <w:sz w:val="24"/>
          <w:szCs w:val="24"/>
        </w:rPr>
        <w:t>&lt;</w:t>
      </w:r>
      <w:r w:rsidRPr="0073228A">
        <w:rPr>
          <w:rFonts w:ascii="Times New Roman" w:hAnsi="Times New Roman" w:cs="Times New Roman"/>
          <w:sz w:val="24"/>
          <w:szCs w:val="24"/>
        </w:rPr>
        <w:t>2 years that was caused by serotypes included in PCV7 or the types in PCV13</w:t>
      </w:r>
      <w:r w:rsidR="00E502EA">
        <w:rPr>
          <w:rFonts w:ascii="Times New Roman" w:hAnsi="Times New Roman" w:cs="Times New Roman"/>
          <w:sz w:val="24"/>
          <w:szCs w:val="24"/>
        </w:rPr>
        <w:t>-7</w:t>
      </w:r>
      <w:r w:rsidRPr="0073228A">
        <w:rPr>
          <w:rFonts w:ascii="Times New Roman" w:hAnsi="Times New Roman" w:cs="Times New Roman"/>
          <w:sz w:val="24"/>
          <w:szCs w:val="24"/>
        </w:rPr>
        <w:t xml:space="preserve"> declined similarly to the respective carriage prevalence in children younger than 5 years </w:t>
      </w:r>
      <w:r w:rsidRPr="0073228A">
        <w:rPr>
          <w:rFonts w:ascii="Times New Roman" w:hAnsi="Times New Roman" w:cs="Times New Roman"/>
          <w:b/>
          <w:sz w:val="24"/>
          <w:szCs w:val="24"/>
        </w:rPr>
        <w:t>(Figure 1</w:t>
      </w:r>
      <w:r w:rsidR="00E67DF7">
        <w:rPr>
          <w:rFonts w:ascii="Times New Roman" w:hAnsi="Times New Roman" w:cs="Times New Roman"/>
          <w:b/>
          <w:sz w:val="24"/>
          <w:szCs w:val="24"/>
        </w:rPr>
        <w:t xml:space="preserve"> and Web Table 1</w:t>
      </w:r>
      <w:r w:rsidRPr="0073228A">
        <w:rPr>
          <w:rFonts w:ascii="Times New Roman" w:hAnsi="Times New Roman" w:cs="Times New Roman"/>
          <w:b/>
          <w:sz w:val="24"/>
          <w:szCs w:val="24"/>
        </w:rPr>
        <w:t>).</w:t>
      </w:r>
      <w:r w:rsidR="001611BE" w:rsidRPr="0073228A">
        <w:rPr>
          <w:rFonts w:ascii="Times New Roman" w:hAnsi="Times New Roman" w:cs="Times New Roman"/>
          <w:sz w:val="24"/>
          <w:szCs w:val="24"/>
        </w:rPr>
        <w:t xml:space="preserve"> </w:t>
      </w:r>
      <w:r w:rsidR="00355F3A" w:rsidRPr="0073228A">
        <w:rPr>
          <w:rFonts w:ascii="Times New Roman" w:hAnsi="Times New Roman" w:cs="Times New Roman"/>
          <w:sz w:val="24"/>
          <w:szCs w:val="24"/>
        </w:rPr>
        <w:t xml:space="preserve"> In contrast, while </w:t>
      </w:r>
      <w:r w:rsidR="001611BE" w:rsidRPr="0073228A">
        <w:rPr>
          <w:rFonts w:ascii="Times New Roman" w:hAnsi="Times New Roman" w:cs="Times New Roman"/>
          <w:sz w:val="24"/>
          <w:szCs w:val="24"/>
        </w:rPr>
        <w:t xml:space="preserve">NVT serotype carriage </w:t>
      </w:r>
      <w:r w:rsidR="003114DD" w:rsidRPr="0073228A">
        <w:rPr>
          <w:rFonts w:ascii="Times New Roman" w:hAnsi="Times New Roman" w:cs="Times New Roman"/>
          <w:sz w:val="24"/>
          <w:szCs w:val="24"/>
        </w:rPr>
        <w:lastRenderedPageBreak/>
        <w:t xml:space="preserve">prevalence in children </w:t>
      </w:r>
      <w:r w:rsidR="003A3142" w:rsidRPr="0073228A">
        <w:rPr>
          <w:rFonts w:ascii="Times New Roman" w:hAnsi="Times New Roman" w:cs="Times New Roman"/>
          <w:sz w:val="24"/>
          <w:szCs w:val="24"/>
        </w:rPr>
        <w:t>&lt;</w:t>
      </w:r>
      <w:r w:rsidR="003114DD" w:rsidRPr="0073228A">
        <w:rPr>
          <w:rFonts w:ascii="Times New Roman" w:hAnsi="Times New Roman" w:cs="Times New Roman"/>
          <w:sz w:val="24"/>
          <w:szCs w:val="24"/>
        </w:rPr>
        <w:t xml:space="preserve"> 5 years old </w:t>
      </w:r>
      <w:r w:rsidR="001611BE" w:rsidRPr="0073228A">
        <w:rPr>
          <w:rFonts w:ascii="Times New Roman" w:hAnsi="Times New Roman" w:cs="Times New Roman"/>
          <w:sz w:val="24"/>
          <w:szCs w:val="24"/>
        </w:rPr>
        <w:t>steadily increased after 2009/10</w:t>
      </w:r>
      <w:r w:rsidR="00355F3A" w:rsidRPr="0073228A">
        <w:rPr>
          <w:rFonts w:ascii="Times New Roman" w:hAnsi="Times New Roman" w:cs="Times New Roman"/>
          <w:sz w:val="24"/>
          <w:szCs w:val="24"/>
        </w:rPr>
        <w:t>,</w:t>
      </w:r>
      <w:r w:rsidR="001611BE" w:rsidRPr="0073228A">
        <w:rPr>
          <w:rFonts w:ascii="Times New Roman" w:hAnsi="Times New Roman" w:cs="Times New Roman"/>
          <w:sz w:val="24"/>
          <w:szCs w:val="24"/>
        </w:rPr>
        <w:t xml:space="preserve"> the incidence of NVT OM</w:t>
      </w:r>
      <w:r w:rsidR="00355F3A" w:rsidRPr="0073228A">
        <w:rPr>
          <w:rFonts w:ascii="Times New Roman" w:hAnsi="Times New Roman" w:cs="Times New Roman"/>
          <w:sz w:val="24"/>
          <w:szCs w:val="24"/>
        </w:rPr>
        <w:t xml:space="preserve"> slightly</w:t>
      </w:r>
      <w:r w:rsidR="001611BE" w:rsidRPr="0073228A">
        <w:rPr>
          <w:rFonts w:ascii="Times New Roman" w:hAnsi="Times New Roman" w:cs="Times New Roman"/>
          <w:sz w:val="24"/>
          <w:szCs w:val="24"/>
        </w:rPr>
        <w:t xml:space="preserve"> </w:t>
      </w:r>
      <w:r w:rsidR="003114DD" w:rsidRPr="0073228A">
        <w:rPr>
          <w:rFonts w:ascii="Times New Roman" w:hAnsi="Times New Roman" w:cs="Times New Roman"/>
          <w:sz w:val="24"/>
          <w:szCs w:val="24"/>
        </w:rPr>
        <w:t>increased in the first two years but declined thereafter</w:t>
      </w:r>
      <w:r w:rsidR="00355F3A" w:rsidRPr="0073228A">
        <w:rPr>
          <w:rFonts w:ascii="Times New Roman" w:hAnsi="Times New Roman" w:cs="Times New Roman"/>
          <w:sz w:val="24"/>
          <w:szCs w:val="24"/>
        </w:rPr>
        <w:t xml:space="preserve">, with no overall increase compared to the </w:t>
      </w:r>
      <w:r w:rsidR="008A707F" w:rsidRPr="0073228A">
        <w:rPr>
          <w:rFonts w:ascii="Times New Roman" w:hAnsi="Times New Roman" w:cs="Times New Roman"/>
          <w:sz w:val="24"/>
          <w:szCs w:val="24"/>
        </w:rPr>
        <w:t>baseline year</w:t>
      </w:r>
      <w:r w:rsidR="00BE5476" w:rsidRPr="0073228A">
        <w:rPr>
          <w:rFonts w:ascii="Times New Roman" w:hAnsi="Times New Roman" w:cs="Times New Roman"/>
          <w:sz w:val="24"/>
          <w:szCs w:val="24"/>
        </w:rPr>
        <w:t>.</w:t>
      </w:r>
      <w:r w:rsidR="00355F3A" w:rsidRPr="0073228A">
        <w:rPr>
          <w:rFonts w:ascii="Times New Roman" w:hAnsi="Times New Roman" w:cs="Times New Roman"/>
          <w:sz w:val="24"/>
          <w:szCs w:val="24"/>
        </w:rPr>
        <w:t xml:space="preserve"> </w:t>
      </w:r>
      <w:r w:rsidR="00D623D3" w:rsidRPr="0073228A">
        <w:rPr>
          <w:rFonts w:ascii="Times New Roman" w:hAnsi="Times New Roman" w:cs="Times New Roman"/>
          <w:sz w:val="24"/>
          <w:szCs w:val="24"/>
        </w:rPr>
        <w:t xml:space="preserve"> As a result</w:t>
      </w:r>
      <w:r w:rsidR="00355F3A" w:rsidRPr="0073228A">
        <w:rPr>
          <w:rFonts w:ascii="Times New Roman" w:hAnsi="Times New Roman" w:cs="Times New Roman"/>
          <w:sz w:val="24"/>
          <w:szCs w:val="24"/>
        </w:rPr>
        <w:t xml:space="preserve">, </w:t>
      </w:r>
      <w:r w:rsidR="00D623D3" w:rsidRPr="0073228A">
        <w:rPr>
          <w:rFonts w:ascii="Times New Roman" w:hAnsi="Times New Roman" w:cs="Times New Roman"/>
          <w:sz w:val="24"/>
          <w:szCs w:val="24"/>
        </w:rPr>
        <w:t xml:space="preserve">the model </w:t>
      </w:r>
      <w:r w:rsidR="00355F3A" w:rsidRPr="0073228A">
        <w:rPr>
          <w:rFonts w:ascii="Times New Roman" w:hAnsi="Times New Roman" w:cs="Times New Roman"/>
          <w:sz w:val="24"/>
          <w:szCs w:val="24"/>
        </w:rPr>
        <w:t xml:space="preserve">appropriately </w:t>
      </w:r>
      <w:r w:rsidR="00BE5476" w:rsidRPr="0073228A">
        <w:rPr>
          <w:rFonts w:ascii="Times New Roman" w:hAnsi="Times New Roman" w:cs="Times New Roman"/>
          <w:sz w:val="24"/>
          <w:szCs w:val="24"/>
        </w:rPr>
        <w:t xml:space="preserve">predicted </w:t>
      </w:r>
      <w:r w:rsidR="00D623D3" w:rsidRPr="0073228A">
        <w:rPr>
          <w:rFonts w:ascii="Times New Roman" w:hAnsi="Times New Roman" w:cs="Times New Roman"/>
          <w:sz w:val="24"/>
          <w:szCs w:val="24"/>
        </w:rPr>
        <w:t>the post 2009/10 incidence of pneumococcal OM among the two vaccine serotype groups (</w:t>
      </w:r>
      <w:r w:rsidR="00D623D3" w:rsidRPr="0073228A">
        <w:rPr>
          <w:rFonts w:ascii="Times New Roman" w:hAnsi="Times New Roman" w:cs="Times New Roman"/>
          <w:b/>
          <w:sz w:val="24"/>
          <w:szCs w:val="24"/>
        </w:rPr>
        <w:t>Figure 2</w:t>
      </w:r>
      <w:r w:rsidR="00E67DF7">
        <w:rPr>
          <w:rFonts w:ascii="Times New Roman" w:hAnsi="Times New Roman" w:cs="Times New Roman"/>
          <w:b/>
          <w:sz w:val="24"/>
          <w:szCs w:val="24"/>
        </w:rPr>
        <w:t>,</w:t>
      </w:r>
      <w:r w:rsidR="009215C5" w:rsidRPr="0073228A">
        <w:rPr>
          <w:rFonts w:ascii="Times New Roman" w:hAnsi="Times New Roman" w:cs="Times New Roman"/>
          <w:b/>
          <w:sz w:val="24"/>
          <w:szCs w:val="24"/>
        </w:rPr>
        <w:t xml:space="preserve"> </w:t>
      </w:r>
      <w:r w:rsidR="00E67DF7">
        <w:rPr>
          <w:rFonts w:ascii="Times New Roman" w:hAnsi="Times New Roman" w:cs="Times New Roman"/>
          <w:b/>
          <w:sz w:val="24"/>
          <w:szCs w:val="24"/>
        </w:rPr>
        <w:t>Web Table 2 and Table 1</w:t>
      </w:r>
      <w:r w:rsidR="00D623D3" w:rsidRPr="0073228A">
        <w:rPr>
          <w:rFonts w:ascii="Times New Roman" w:hAnsi="Times New Roman" w:cs="Times New Roman"/>
          <w:sz w:val="24"/>
          <w:szCs w:val="24"/>
        </w:rPr>
        <w:t>) but systematically overestimates the increase in NVT OM incidence for both the Bedouin and the Jewish population</w:t>
      </w:r>
      <w:r w:rsidR="003114DD" w:rsidRPr="0073228A">
        <w:rPr>
          <w:rFonts w:ascii="Times New Roman" w:hAnsi="Times New Roman" w:cs="Times New Roman"/>
          <w:sz w:val="24"/>
          <w:szCs w:val="24"/>
        </w:rPr>
        <w:t xml:space="preserve"> after 2012</w:t>
      </w:r>
      <w:r w:rsidR="00D623D3" w:rsidRPr="0073228A">
        <w:rPr>
          <w:rFonts w:ascii="Times New Roman" w:hAnsi="Times New Roman" w:cs="Times New Roman"/>
          <w:sz w:val="24"/>
          <w:szCs w:val="24"/>
        </w:rPr>
        <w:t xml:space="preserve">. </w:t>
      </w:r>
      <w:r w:rsidR="000107FA" w:rsidRPr="0073228A">
        <w:rPr>
          <w:rFonts w:ascii="Times New Roman" w:hAnsi="Times New Roman" w:cs="Times New Roman"/>
          <w:sz w:val="24"/>
          <w:szCs w:val="24"/>
        </w:rPr>
        <w:t>The forecasts were insensitive to inclusion of 6A in the PCV7 serotype group</w:t>
      </w:r>
      <w:r w:rsidR="00355F3A" w:rsidRPr="0073228A">
        <w:rPr>
          <w:rFonts w:ascii="Times New Roman" w:hAnsi="Times New Roman" w:cs="Times New Roman"/>
          <w:sz w:val="24"/>
          <w:szCs w:val="24"/>
        </w:rPr>
        <w:t xml:space="preserve"> </w:t>
      </w:r>
      <w:r w:rsidR="008A707F" w:rsidRPr="0073228A">
        <w:rPr>
          <w:rFonts w:ascii="Times New Roman" w:hAnsi="Times New Roman" w:cs="Times New Roman"/>
          <w:sz w:val="24"/>
          <w:szCs w:val="24"/>
        </w:rPr>
        <w:t xml:space="preserve">due to cross protection </w:t>
      </w:r>
      <w:r w:rsidR="00355F3A" w:rsidRPr="0073228A">
        <w:rPr>
          <w:rFonts w:ascii="Times New Roman" w:hAnsi="Times New Roman" w:cs="Times New Roman"/>
          <w:sz w:val="24"/>
          <w:szCs w:val="24"/>
        </w:rPr>
        <w:t xml:space="preserve">rather than </w:t>
      </w:r>
      <w:r w:rsidR="001233FE" w:rsidRPr="0073228A">
        <w:rPr>
          <w:rFonts w:ascii="Times New Roman" w:hAnsi="Times New Roman" w:cs="Times New Roman"/>
          <w:sz w:val="24"/>
          <w:szCs w:val="24"/>
        </w:rPr>
        <w:t>in</w:t>
      </w:r>
      <w:r w:rsidR="00355F3A" w:rsidRPr="0073228A">
        <w:rPr>
          <w:rFonts w:ascii="Times New Roman" w:hAnsi="Times New Roman" w:cs="Times New Roman"/>
          <w:sz w:val="24"/>
          <w:szCs w:val="24"/>
        </w:rPr>
        <w:t xml:space="preserve"> the PCV13</w:t>
      </w:r>
      <w:r w:rsidR="00E502EA">
        <w:rPr>
          <w:rFonts w:ascii="Times New Roman" w:hAnsi="Times New Roman" w:cs="Times New Roman"/>
          <w:sz w:val="24"/>
          <w:szCs w:val="24"/>
        </w:rPr>
        <w:t>-7</w:t>
      </w:r>
      <w:r w:rsidR="00355F3A" w:rsidRPr="0073228A">
        <w:rPr>
          <w:rFonts w:ascii="Times New Roman" w:hAnsi="Times New Roman" w:cs="Times New Roman"/>
          <w:sz w:val="24"/>
          <w:szCs w:val="24"/>
        </w:rPr>
        <w:t xml:space="preserve"> serotype group </w:t>
      </w:r>
      <w:r w:rsidR="000107FA" w:rsidRPr="0073228A">
        <w:rPr>
          <w:rFonts w:ascii="Times New Roman" w:hAnsi="Times New Roman" w:cs="Times New Roman"/>
          <w:sz w:val="24"/>
          <w:szCs w:val="24"/>
        </w:rPr>
        <w:t xml:space="preserve">and the use of carriage incidence in children </w:t>
      </w:r>
      <w:r w:rsidR="009E68CE" w:rsidRPr="0073228A">
        <w:rPr>
          <w:rFonts w:ascii="Times New Roman" w:hAnsi="Times New Roman" w:cs="Times New Roman"/>
          <w:sz w:val="24"/>
          <w:szCs w:val="24"/>
        </w:rPr>
        <w:t>&lt;</w:t>
      </w:r>
      <w:r w:rsidR="000107FA" w:rsidRPr="0073228A">
        <w:rPr>
          <w:rFonts w:ascii="Times New Roman" w:hAnsi="Times New Roman" w:cs="Times New Roman"/>
          <w:sz w:val="24"/>
          <w:szCs w:val="24"/>
        </w:rPr>
        <w:t xml:space="preserve">2 years old rather than carriage prevalence in children </w:t>
      </w:r>
      <w:r w:rsidR="009E68CE" w:rsidRPr="0073228A">
        <w:rPr>
          <w:rFonts w:ascii="Times New Roman" w:hAnsi="Times New Roman" w:cs="Times New Roman"/>
          <w:sz w:val="24"/>
          <w:szCs w:val="24"/>
        </w:rPr>
        <w:t>&lt;</w:t>
      </w:r>
      <w:r w:rsidR="000107FA" w:rsidRPr="0073228A">
        <w:rPr>
          <w:rFonts w:ascii="Times New Roman" w:hAnsi="Times New Roman" w:cs="Times New Roman"/>
          <w:sz w:val="24"/>
          <w:szCs w:val="24"/>
        </w:rPr>
        <w:t xml:space="preserve">5 years old </w:t>
      </w:r>
      <w:r w:rsidR="008A707F" w:rsidRPr="0073228A">
        <w:rPr>
          <w:rFonts w:ascii="Times New Roman" w:hAnsi="Times New Roman" w:cs="Times New Roman"/>
          <w:sz w:val="24"/>
          <w:szCs w:val="24"/>
        </w:rPr>
        <w:t xml:space="preserve">as the proxy for exposure that is used in the prediction model </w:t>
      </w:r>
      <w:r w:rsidR="000107FA" w:rsidRPr="0073228A">
        <w:rPr>
          <w:rFonts w:ascii="Times New Roman" w:hAnsi="Times New Roman" w:cs="Times New Roman"/>
          <w:sz w:val="24"/>
          <w:szCs w:val="24"/>
        </w:rPr>
        <w:t>(</w:t>
      </w:r>
      <w:r w:rsidR="000107FA" w:rsidRPr="0073228A">
        <w:rPr>
          <w:rFonts w:ascii="Times New Roman" w:hAnsi="Times New Roman" w:cs="Times New Roman"/>
          <w:b/>
          <w:sz w:val="24"/>
          <w:szCs w:val="24"/>
        </w:rPr>
        <w:t>Figure S1 and Figure S2</w:t>
      </w:r>
      <w:r w:rsidR="00A74DDD" w:rsidRPr="0073228A">
        <w:rPr>
          <w:rFonts w:ascii="Times New Roman" w:hAnsi="Times New Roman" w:cs="Times New Roman"/>
          <w:b/>
          <w:sz w:val="24"/>
          <w:szCs w:val="24"/>
        </w:rPr>
        <w:t>)</w:t>
      </w:r>
      <w:r w:rsidR="00492B7F" w:rsidRPr="0073228A">
        <w:rPr>
          <w:rFonts w:ascii="Times New Roman" w:hAnsi="Times New Roman" w:cs="Times New Roman"/>
          <w:b/>
          <w:sz w:val="24"/>
          <w:szCs w:val="24"/>
        </w:rPr>
        <w:t>.</w:t>
      </w:r>
    </w:p>
    <w:p w14:paraId="575133BE" w14:textId="3C92ADB1" w:rsidR="00CA34E7" w:rsidRPr="0073228A" w:rsidRDefault="00355F3A" w:rsidP="00CA34E7">
      <w:pPr>
        <w:spacing w:line="480" w:lineRule="auto"/>
        <w:rPr>
          <w:rFonts w:ascii="Times New Roman" w:hAnsi="Times New Roman" w:cs="Times New Roman"/>
          <w:sz w:val="24"/>
          <w:szCs w:val="24"/>
        </w:rPr>
      </w:pPr>
      <w:r w:rsidRPr="0073228A">
        <w:rPr>
          <w:rFonts w:ascii="Times New Roman" w:hAnsi="Times New Roman" w:cs="Times New Roman"/>
          <w:sz w:val="24"/>
          <w:szCs w:val="24"/>
        </w:rPr>
        <w:t>We looked separately at serotype 19A</w:t>
      </w:r>
      <w:r w:rsidR="001233FE" w:rsidRPr="0073228A">
        <w:rPr>
          <w:rFonts w:ascii="Times New Roman" w:hAnsi="Times New Roman" w:cs="Times New Roman"/>
          <w:sz w:val="24"/>
          <w:szCs w:val="24"/>
        </w:rPr>
        <w:t>.</w:t>
      </w:r>
      <w:r w:rsidRPr="0073228A">
        <w:rPr>
          <w:rFonts w:ascii="Times New Roman" w:hAnsi="Times New Roman" w:cs="Times New Roman"/>
          <w:sz w:val="24"/>
          <w:szCs w:val="24"/>
        </w:rPr>
        <w:t xml:space="preserve"> </w:t>
      </w:r>
      <w:r w:rsidR="001233FE" w:rsidRPr="0073228A">
        <w:rPr>
          <w:rFonts w:ascii="Times New Roman" w:hAnsi="Times New Roman" w:cs="Times New Roman"/>
          <w:sz w:val="24"/>
          <w:szCs w:val="24"/>
        </w:rPr>
        <w:t>A</w:t>
      </w:r>
      <w:r w:rsidR="00CA34E7" w:rsidRPr="0073228A">
        <w:rPr>
          <w:rFonts w:ascii="Times New Roman" w:hAnsi="Times New Roman" w:cs="Times New Roman"/>
          <w:sz w:val="24"/>
          <w:szCs w:val="24"/>
        </w:rPr>
        <w:t>fter introduction of PCV7</w:t>
      </w:r>
      <w:r w:rsidRPr="0073228A">
        <w:rPr>
          <w:rFonts w:ascii="Times New Roman" w:hAnsi="Times New Roman" w:cs="Times New Roman"/>
          <w:sz w:val="24"/>
          <w:szCs w:val="24"/>
        </w:rPr>
        <w:t>,</w:t>
      </w:r>
      <w:r w:rsidR="00CA34E7" w:rsidRPr="0073228A">
        <w:rPr>
          <w:rFonts w:ascii="Times New Roman" w:hAnsi="Times New Roman" w:cs="Times New Roman"/>
          <w:sz w:val="24"/>
          <w:szCs w:val="24"/>
        </w:rPr>
        <w:t xml:space="preserve"> serotype 19A </w:t>
      </w:r>
      <w:r w:rsidR="00B73E2A" w:rsidRPr="0073228A">
        <w:rPr>
          <w:rFonts w:ascii="Times New Roman" w:hAnsi="Times New Roman" w:cs="Times New Roman"/>
          <w:sz w:val="24"/>
          <w:szCs w:val="24"/>
        </w:rPr>
        <w:t xml:space="preserve">has been </w:t>
      </w:r>
      <w:r w:rsidR="00CA34E7" w:rsidRPr="0073228A">
        <w:rPr>
          <w:rFonts w:ascii="Times New Roman" w:hAnsi="Times New Roman" w:cs="Times New Roman"/>
          <w:sz w:val="24"/>
          <w:szCs w:val="24"/>
        </w:rPr>
        <w:t>the major replacing serotype among IPD isolates globally</w:t>
      </w:r>
      <w:r w:rsidR="00B73E2A" w:rsidRPr="0073228A">
        <w:rPr>
          <w:rFonts w:ascii="Times New Roman" w:hAnsi="Times New Roman" w:cs="Times New Roman"/>
          <w:sz w:val="24"/>
          <w:szCs w:val="24"/>
        </w:rPr>
        <w:t xml:space="preserve"> </w:t>
      </w:r>
      <w:r w:rsidR="00F00610" w:rsidRPr="0073228A">
        <w:rPr>
          <w:rFonts w:ascii="Times New Roman" w:hAnsi="Times New Roman" w:cs="Times New Roman"/>
          <w:sz w:val="24"/>
          <w:szCs w:val="24"/>
        </w:rPr>
        <w:t>including</w:t>
      </w:r>
      <w:r w:rsidR="00B73E2A" w:rsidRPr="0073228A">
        <w:rPr>
          <w:rFonts w:ascii="Times New Roman" w:hAnsi="Times New Roman" w:cs="Times New Roman"/>
          <w:sz w:val="24"/>
          <w:szCs w:val="24"/>
        </w:rPr>
        <w:t xml:space="preserve"> </w:t>
      </w:r>
      <w:r w:rsidRPr="0073228A">
        <w:rPr>
          <w:rFonts w:ascii="Times New Roman" w:hAnsi="Times New Roman" w:cs="Times New Roman"/>
          <w:sz w:val="24"/>
          <w:szCs w:val="24"/>
        </w:rPr>
        <w:t>Israel</w:t>
      </w:r>
      <w:r w:rsidR="001233FE" w:rsidRPr="0073228A">
        <w:rPr>
          <w:rFonts w:ascii="Times New Roman" w:hAnsi="Times New Roman" w:cs="Times New Roman"/>
          <w:sz w:val="24"/>
          <w:szCs w:val="24"/>
        </w:rPr>
        <w:t xml:space="preserve"> and </w:t>
      </w:r>
      <w:r w:rsidR="00B73E2A" w:rsidRPr="0073228A">
        <w:rPr>
          <w:rFonts w:ascii="Times New Roman" w:hAnsi="Times New Roman" w:cs="Times New Roman"/>
          <w:sz w:val="24"/>
          <w:szCs w:val="24"/>
        </w:rPr>
        <w:t>was of increased concern due to increasing drug resistance</w:t>
      </w:r>
      <w:r w:rsidRPr="0073228A">
        <w:rPr>
          <w:rFonts w:ascii="Times New Roman" w:hAnsi="Times New Roman" w:cs="Times New Roman"/>
          <w:sz w:val="24"/>
          <w:szCs w:val="24"/>
        </w:rPr>
        <w:t xml:space="preserve">, especially </w:t>
      </w:r>
      <w:r w:rsidR="00B73E2A" w:rsidRPr="0073228A">
        <w:rPr>
          <w:rFonts w:ascii="Times New Roman" w:hAnsi="Times New Roman" w:cs="Times New Roman"/>
          <w:sz w:val="24"/>
          <w:szCs w:val="24"/>
        </w:rPr>
        <w:t xml:space="preserve"> in the Bedouin population </w:t>
      </w:r>
      <w:r w:rsidR="00B73E2A" w:rsidRPr="0073228A">
        <w:rPr>
          <w:rFonts w:ascii="Times New Roman" w:hAnsi="Times New Roman" w:cs="Times New Roman"/>
          <w:sz w:val="24"/>
          <w:szCs w:val="24"/>
        </w:rPr>
        <w:fldChar w:fldCharType="begin" w:fldLock="1"/>
      </w:r>
      <w:r w:rsidR="00221A17">
        <w:rPr>
          <w:rFonts w:ascii="Times New Roman" w:hAnsi="Times New Roman" w:cs="Times New Roman"/>
          <w:sz w:val="24"/>
          <w:szCs w:val="24"/>
        </w:rPr>
        <w:instrText>ADDIN CSL_CITATION { "citationItems" : [ { "id" : "ITEM-1", "itemData" : { "DOI" : "10.1086/597044", "ISBN" : "0022-1899 (Print)\\r0022-1899 (Linking)", "ISSN" : "0022-1899", "PMID" : "19434927", "abstract" : "BACKGROUND: Introduction of the 7-valent pneumococcal conjugate vaccine (PCV7) in the United States in 2000 was temporally associated with an increase in the incidence of disease caused by Streptococcus pneumoniae serotype 19A (Sp19A) and with increasing drug resistance within this serotype. A causative role of PCV7 was speculated. We prospectively studied the dynamics of acute otitis media (AOM) caused by Sp19A in southern Israel before the introduction of PCV7. METHODS: AOM in children &lt; 5 years old undergoing tympanocentesis during 1999-2006 was studied. Antibiotic prescriptions for approximately 20% of children &lt; 5 years old were recorded. Sp19A isolates were studied for antibiotic-resistance and pulsed-field gel electrophoresis patterns; multilocus sequence typing of representative isolates was compared with that of international clones. RESULTS: Sp19A caused 438 (9.8%) of 4449 pneumococcal AOM episodes, increasing by 63.1% from 1999-2001 (mean +/- SD, 8.4% +/- 0.8%) to 2004-2006 (mean +/- SD, 13.7% +/- 0.9%) among Bedouin children, who were characterized by overcrowding and high antibiotic use. Penicillin, erythromycin, and multidrug resistance increased from &lt; 10% to 78.6%, 50.0%, and 50.0%, respectively (P &lt; .001), and was associated with the introduction and proliferation of 2 multidrug-resistant clones that were not previously associated with multidrug resistance. This was temporally associated with the introduction of and rapid increase in azithromycin use and the frequent use of oral cephalosporins. CONCLUSIONS: The introduction and proliferation of multidrug-resistant Sp19A occurred before the introduction of PCV7. The increasing proportion of antibiotic-resistant Sp19A suggests that antibiotic use plays an important role in the community.", "author" : [ { "dropping-particle" : "", "family" : "Dagan", "given" : "Ron", "non-dropping-particle" : "", "parse-names" : false, "suffix" : "" }, { "dropping-particle" : "", "family" : "Givon-Lavi", "given" : "Noga", "non-dropping-particle" : "", "parse-names" : false, "suffix" : "" }, { "dropping-particle" : "", "family" : "Leibovitz", "given" : "Eugene", "non-dropping-particle" : "", "parse-names" : false, "suffix" : "" }, { "dropping-particle" : "", "family" : "Greenberg", "given" : "David", "non-dropping-particle" : "", "parse-names" : false, "suffix" : "" }, { "dropping-particle" : "", "family" : "Porat", "given" : "Nurith", "non-dropping-particle" : "", "parse-names" : false, "suffix" : "" } ], "container-title" : "The Journal of infectious diseases", "id" : "ITEM-1", "issue" : "6", "issued" : { "date-parts" : [ [ "2009" ] ] }, "page" : "776-785", "title" : "Introduction and proliferation of multidrug-resistant Streptococcus pneumoniae serotype 19A clones that cause acute otitis media in an unvaccinated population.", "type" : "article-journal", "volume" : "199" }, "uris" : [ "http://www.mendeley.com/documents/?uuid=312bf638-ce28-4c39-8b20-9a6f4ae012ce" ] } ], "mendeley" : { "formattedCitation" : "(16)", "plainTextFormattedCitation" : "(16)", "previouslyFormattedCitation" : "(16)" }, "properties" : { "noteIndex" : 0 }, "schema" : "https://github.com/citation-style-language/schema/raw/master/csl-citation.json" }</w:instrText>
      </w:r>
      <w:r w:rsidR="00B73E2A" w:rsidRPr="0073228A">
        <w:rPr>
          <w:rFonts w:ascii="Times New Roman" w:hAnsi="Times New Roman" w:cs="Times New Roman"/>
          <w:sz w:val="24"/>
          <w:szCs w:val="24"/>
        </w:rPr>
        <w:fldChar w:fldCharType="separate"/>
      </w:r>
      <w:r w:rsidR="00242661" w:rsidRPr="00242661">
        <w:rPr>
          <w:rFonts w:ascii="Times New Roman" w:hAnsi="Times New Roman" w:cs="Times New Roman"/>
          <w:noProof/>
          <w:sz w:val="24"/>
          <w:szCs w:val="24"/>
        </w:rPr>
        <w:t>(16)</w:t>
      </w:r>
      <w:r w:rsidR="00B73E2A" w:rsidRPr="0073228A">
        <w:rPr>
          <w:rFonts w:ascii="Times New Roman" w:hAnsi="Times New Roman" w:cs="Times New Roman"/>
          <w:sz w:val="24"/>
          <w:szCs w:val="24"/>
        </w:rPr>
        <w:fldChar w:fldCharType="end"/>
      </w:r>
      <w:r w:rsidR="00CA34E7" w:rsidRPr="0073228A">
        <w:rPr>
          <w:rFonts w:ascii="Times New Roman" w:hAnsi="Times New Roman" w:cs="Times New Roman"/>
          <w:sz w:val="24"/>
          <w:szCs w:val="24"/>
        </w:rPr>
        <w:t xml:space="preserve">. In the Bedouin population 17 and 18 isolates of </w:t>
      </w:r>
      <w:r w:rsidRPr="0073228A">
        <w:rPr>
          <w:rFonts w:ascii="Times New Roman" w:hAnsi="Times New Roman" w:cs="Times New Roman"/>
          <w:sz w:val="24"/>
          <w:szCs w:val="24"/>
        </w:rPr>
        <w:t>serotype</w:t>
      </w:r>
      <w:r w:rsidR="00CA34E7" w:rsidRPr="0073228A">
        <w:rPr>
          <w:rFonts w:ascii="Times New Roman" w:hAnsi="Times New Roman" w:cs="Times New Roman"/>
          <w:sz w:val="24"/>
          <w:szCs w:val="24"/>
        </w:rPr>
        <w:t xml:space="preserve"> 19A were detected in middle ear fluid in 2009/10 and 2010/11 </w:t>
      </w:r>
      <w:r w:rsidRPr="0073228A">
        <w:rPr>
          <w:rFonts w:ascii="Times New Roman" w:hAnsi="Times New Roman" w:cs="Times New Roman"/>
          <w:sz w:val="24"/>
          <w:szCs w:val="24"/>
        </w:rPr>
        <w:t xml:space="preserve">respectively and </w:t>
      </w:r>
      <w:r w:rsidR="00CA34E7" w:rsidRPr="0073228A">
        <w:rPr>
          <w:rFonts w:ascii="Times New Roman" w:hAnsi="Times New Roman" w:cs="Times New Roman"/>
          <w:sz w:val="24"/>
          <w:szCs w:val="24"/>
        </w:rPr>
        <w:t>3 and 4 isolates in 2012/13 and 2014/15</w:t>
      </w:r>
      <w:r w:rsidR="002502D2" w:rsidRPr="0073228A">
        <w:rPr>
          <w:rFonts w:ascii="Times New Roman" w:hAnsi="Times New Roman" w:cs="Times New Roman"/>
          <w:sz w:val="24"/>
          <w:szCs w:val="24"/>
        </w:rPr>
        <w:t>, respectively</w:t>
      </w:r>
      <w:r w:rsidR="00CA34E7" w:rsidRPr="0073228A">
        <w:rPr>
          <w:rFonts w:ascii="Times New Roman" w:hAnsi="Times New Roman" w:cs="Times New Roman"/>
          <w:sz w:val="24"/>
          <w:szCs w:val="24"/>
        </w:rPr>
        <w:t xml:space="preserve">. This </w:t>
      </w:r>
      <w:r w:rsidR="00F00610" w:rsidRPr="0073228A">
        <w:rPr>
          <w:rFonts w:ascii="Times New Roman" w:hAnsi="Times New Roman" w:cs="Times New Roman"/>
          <w:sz w:val="24"/>
          <w:szCs w:val="24"/>
        </w:rPr>
        <w:t xml:space="preserve">decrease in serotype 19A OM incidence </w:t>
      </w:r>
      <w:r w:rsidR="00CA34E7" w:rsidRPr="0073228A">
        <w:rPr>
          <w:rFonts w:ascii="Times New Roman" w:hAnsi="Times New Roman" w:cs="Times New Roman"/>
          <w:sz w:val="24"/>
          <w:szCs w:val="24"/>
        </w:rPr>
        <w:t xml:space="preserve">was paralleled among NP carriers. In the Jewish population, </w:t>
      </w:r>
      <w:r w:rsidRPr="0073228A">
        <w:rPr>
          <w:rFonts w:ascii="Times New Roman" w:hAnsi="Times New Roman" w:cs="Times New Roman"/>
          <w:sz w:val="24"/>
          <w:szCs w:val="24"/>
        </w:rPr>
        <w:t xml:space="preserve">serotype </w:t>
      </w:r>
      <w:r w:rsidR="00B05110" w:rsidRPr="0073228A">
        <w:rPr>
          <w:rFonts w:ascii="Times New Roman" w:hAnsi="Times New Roman" w:cs="Times New Roman"/>
          <w:sz w:val="24"/>
          <w:szCs w:val="24"/>
        </w:rPr>
        <w:t>19A became very prevalent among children with OM</w:t>
      </w:r>
      <w:r w:rsidRPr="0073228A">
        <w:rPr>
          <w:rFonts w:ascii="Times New Roman" w:hAnsi="Times New Roman" w:cs="Times New Roman"/>
          <w:sz w:val="24"/>
          <w:szCs w:val="24"/>
        </w:rPr>
        <w:t xml:space="preserve"> episodes</w:t>
      </w:r>
      <w:r w:rsidR="00B05110" w:rsidRPr="0073228A">
        <w:rPr>
          <w:rFonts w:ascii="Times New Roman" w:hAnsi="Times New Roman" w:cs="Times New Roman"/>
          <w:sz w:val="24"/>
          <w:szCs w:val="24"/>
        </w:rPr>
        <w:t xml:space="preserve"> in 2010/11 </w:t>
      </w:r>
      <w:r w:rsidRPr="0073228A">
        <w:rPr>
          <w:rFonts w:ascii="Times New Roman" w:hAnsi="Times New Roman" w:cs="Times New Roman"/>
          <w:sz w:val="24"/>
          <w:szCs w:val="24"/>
        </w:rPr>
        <w:t>but this was not observed</w:t>
      </w:r>
      <w:r w:rsidR="00B05110" w:rsidRPr="0073228A">
        <w:rPr>
          <w:rFonts w:ascii="Times New Roman" w:hAnsi="Times New Roman" w:cs="Times New Roman"/>
          <w:sz w:val="24"/>
          <w:szCs w:val="24"/>
        </w:rPr>
        <w:t xml:space="preserve"> to the same extent in NP </w:t>
      </w:r>
      <w:r w:rsidRPr="0073228A">
        <w:rPr>
          <w:rFonts w:ascii="Times New Roman" w:hAnsi="Times New Roman" w:cs="Times New Roman"/>
          <w:sz w:val="24"/>
          <w:szCs w:val="24"/>
        </w:rPr>
        <w:t>sample</w:t>
      </w:r>
      <w:r w:rsidR="00572298" w:rsidRPr="0073228A">
        <w:rPr>
          <w:rFonts w:ascii="Times New Roman" w:hAnsi="Times New Roman" w:cs="Times New Roman"/>
          <w:sz w:val="24"/>
          <w:szCs w:val="24"/>
        </w:rPr>
        <w:t>s</w:t>
      </w:r>
      <w:r w:rsidRPr="0073228A">
        <w:rPr>
          <w:rFonts w:ascii="Times New Roman" w:hAnsi="Times New Roman" w:cs="Times New Roman"/>
          <w:sz w:val="24"/>
          <w:szCs w:val="24"/>
        </w:rPr>
        <w:t xml:space="preserve">: </w:t>
      </w:r>
      <w:r w:rsidR="00B05110" w:rsidRPr="0073228A">
        <w:rPr>
          <w:rFonts w:ascii="Times New Roman" w:hAnsi="Times New Roman" w:cs="Times New Roman"/>
          <w:sz w:val="24"/>
          <w:szCs w:val="24"/>
        </w:rPr>
        <w:t>In 2009/10 there were 9</w:t>
      </w:r>
      <w:r w:rsidR="00DD5C9B" w:rsidRPr="0073228A">
        <w:rPr>
          <w:rFonts w:ascii="Times New Roman" w:hAnsi="Times New Roman" w:cs="Times New Roman"/>
          <w:sz w:val="24"/>
          <w:szCs w:val="24"/>
        </w:rPr>
        <w:t xml:space="preserve"> serotype 19A</w:t>
      </w:r>
      <w:r w:rsidR="00B05110" w:rsidRPr="0073228A">
        <w:rPr>
          <w:rFonts w:ascii="Times New Roman" w:hAnsi="Times New Roman" w:cs="Times New Roman"/>
          <w:sz w:val="24"/>
          <w:szCs w:val="24"/>
        </w:rPr>
        <w:t xml:space="preserve"> isolates from </w:t>
      </w:r>
      <w:r w:rsidR="00DD5C9B" w:rsidRPr="0073228A">
        <w:rPr>
          <w:rFonts w:ascii="Times New Roman" w:hAnsi="Times New Roman" w:cs="Times New Roman"/>
          <w:sz w:val="24"/>
          <w:szCs w:val="24"/>
        </w:rPr>
        <w:t xml:space="preserve">MEF sharply increasing to </w:t>
      </w:r>
      <w:r w:rsidR="00B05110" w:rsidRPr="0073228A">
        <w:rPr>
          <w:rFonts w:ascii="Times New Roman" w:hAnsi="Times New Roman" w:cs="Times New Roman"/>
          <w:sz w:val="24"/>
          <w:szCs w:val="24"/>
        </w:rPr>
        <w:t>43</w:t>
      </w:r>
      <w:r w:rsidR="00DD5C9B" w:rsidRPr="0073228A">
        <w:rPr>
          <w:rFonts w:ascii="Times New Roman" w:hAnsi="Times New Roman" w:cs="Times New Roman"/>
          <w:sz w:val="24"/>
          <w:szCs w:val="24"/>
        </w:rPr>
        <w:t xml:space="preserve"> (4.8 fold) </w:t>
      </w:r>
      <w:r w:rsidR="00B05110" w:rsidRPr="0073228A">
        <w:rPr>
          <w:rFonts w:ascii="Times New Roman" w:hAnsi="Times New Roman" w:cs="Times New Roman"/>
          <w:sz w:val="24"/>
          <w:szCs w:val="24"/>
        </w:rPr>
        <w:t>in 2010/11</w:t>
      </w:r>
      <w:r w:rsidR="00DD5C9B" w:rsidRPr="0073228A">
        <w:rPr>
          <w:rFonts w:ascii="Times New Roman" w:hAnsi="Times New Roman" w:cs="Times New Roman"/>
          <w:sz w:val="24"/>
          <w:szCs w:val="24"/>
        </w:rPr>
        <w:t xml:space="preserve"> </w:t>
      </w:r>
      <w:r w:rsidR="00572298" w:rsidRPr="0073228A">
        <w:rPr>
          <w:rFonts w:ascii="Times New Roman" w:hAnsi="Times New Roman" w:cs="Times New Roman"/>
          <w:sz w:val="24"/>
          <w:szCs w:val="24"/>
        </w:rPr>
        <w:t xml:space="preserve">and </w:t>
      </w:r>
      <w:r w:rsidR="00DD5C9B" w:rsidRPr="0073228A">
        <w:rPr>
          <w:rFonts w:ascii="Times New Roman" w:hAnsi="Times New Roman" w:cs="Times New Roman"/>
          <w:sz w:val="24"/>
          <w:szCs w:val="24"/>
        </w:rPr>
        <w:t xml:space="preserve">then sharply decreasing to </w:t>
      </w:r>
      <w:r w:rsidR="00B05110" w:rsidRPr="0073228A">
        <w:rPr>
          <w:rFonts w:ascii="Times New Roman" w:hAnsi="Times New Roman" w:cs="Times New Roman"/>
          <w:sz w:val="24"/>
          <w:szCs w:val="24"/>
        </w:rPr>
        <w:t xml:space="preserve">2 </w:t>
      </w:r>
      <w:r w:rsidR="00F00610" w:rsidRPr="0073228A">
        <w:rPr>
          <w:rFonts w:ascii="Times New Roman" w:hAnsi="Times New Roman" w:cs="Times New Roman"/>
          <w:sz w:val="24"/>
          <w:szCs w:val="24"/>
        </w:rPr>
        <w:t>and</w:t>
      </w:r>
      <w:r w:rsidR="00B05110" w:rsidRPr="0073228A">
        <w:rPr>
          <w:rFonts w:ascii="Times New Roman" w:hAnsi="Times New Roman" w:cs="Times New Roman"/>
          <w:sz w:val="24"/>
          <w:szCs w:val="24"/>
        </w:rPr>
        <w:t xml:space="preserve"> 3 in the</w:t>
      </w:r>
      <w:r w:rsidR="00F00610" w:rsidRPr="0073228A">
        <w:rPr>
          <w:rFonts w:ascii="Times New Roman" w:hAnsi="Times New Roman" w:cs="Times New Roman"/>
          <w:sz w:val="24"/>
          <w:szCs w:val="24"/>
        </w:rPr>
        <w:t xml:space="preserve"> two</w:t>
      </w:r>
      <w:r w:rsidR="00B05110" w:rsidRPr="0073228A">
        <w:rPr>
          <w:rFonts w:ascii="Times New Roman" w:hAnsi="Times New Roman" w:cs="Times New Roman"/>
          <w:sz w:val="24"/>
          <w:szCs w:val="24"/>
        </w:rPr>
        <w:t xml:space="preserve"> subsequent years. Among carriers</w:t>
      </w:r>
      <w:r w:rsidR="00DD5C9B" w:rsidRPr="0073228A">
        <w:rPr>
          <w:rFonts w:ascii="Times New Roman" w:hAnsi="Times New Roman" w:cs="Times New Roman"/>
          <w:sz w:val="24"/>
          <w:szCs w:val="24"/>
        </w:rPr>
        <w:t xml:space="preserve">, the increase in 2010/11 was not as </w:t>
      </w:r>
      <w:r w:rsidR="00F00610" w:rsidRPr="0073228A">
        <w:rPr>
          <w:rFonts w:ascii="Times New Roman" w:hAnsi="Times New Roman" w:cs="Times New Roman"/>
          <w:sz w:val="24"/>
          <w:szCs w:val="24"/>
        </w:rPr>
        <w:t>steep</w:t>
      </w:r>
      <w:r w:rsidR="00DD5C9B" w:rsidRPr="0073228A">
        <w:rPr>
          <w:rFonts w:ascii="Times New Roman" w:hAnsi="Times New Roman" w:cs="Times New Roman"/>
          <w:sz w:val="24"/>
          <w:szCs w:val="24"/>
        </w:rPr>
        <w:t>, increasing from 32</w:t>
      </w:r>
      <w:r w:rsidR="00F00610" w:rsidRPr="0073228A">
        <w:rPr>
          <w:rFonts w:ascii="Times New Roman" w:hAnsi="Times New Roman" w:cs="Times New Roman"/>
          <w:sz w:val="24"/>
          <w:szCs w:val="24"/>
        </w:rPr>
        <w:t xml:space="preserve"> in 2009/10</w:t>
      </w:r>
      <w:r w:rsidR="00DD5C9B" w:rsidRPr="0073228A">
        <w:rPr>
          <w:rFonts w:ascii="Times New Roman" w:hAnsi="Times New Roman" w:cs="Times New Roman"/>
          <w:sz w:val="24"/>
          <w:szCs w:val="24"/>
        </w:rPr>
        <w:t xml:space="preserve"> to 56 (1.8 fold) and then sharply decreasing </w:t>
      </w:r>
      <w:r w:rsidR="00572298" w:rsidRPr="0073228A">
        <w:rPr>
          <w:rFonts w:ascii="Times New Roman" w:hAnsi="Times New Roman" w:cs="Times New Roman"/>
          <w:sz w:val="24"/>
          <w:szCs w:val="24"/>
        </w:rPr>
        <w:t xml:space="preserve">to </w:t>
      </w:r>
      <w:r w:rsidR="00B05110" w:rsidRPr="0073228A">
        <w:rPr>
          <w:rFonts w:ascii="Times New Roman" w:hAnsi="Times New Roman" w:cs="Times New Roman"/>
          <w:sz w:val="24"/>
          <w:szCs w:val="24"/>
        </w:rPr>
        <w:t xml:space="preserve">7 isolates </w:t>
      </w:r>
      <w:r w:rsidR="00572298" w:rsidRPr="0073228A">
        <w:rPr>
          <w:rFonts w:ascii="Times New Roman" w:hAnsi="Times New Roman" w:cs="Times New Roman"/>
          <w:sz w:val="24"/>
          <w:szCs w:val="24"/>
        </w:rPr>
        <w:t xml:space="preserve">each </w:t>
      </w:r>
      <w:r w:rsidR="00DD5C9B" w:rsidRPr="0073228A">
        <w:rPr>
          <w:rFonts w:ascii="Times New Roman" w:hAnsi="Times New Roman" w:cs="Times New Roman"/>
          <w:sz w:val="24"/>
          <w:szCs w:val="24"/>
        </w:rPr>
        <w:t>in 2012/13 and 2013/14</w:t>
      </w:r>
      <w:r w:rsidR="00B05110" w:rsidRPr="0073228A">
        <w:rPr>
          <w:rFonts w:ascii="Times New Roman" w:hAnsi="Times New Roman" w:cs="Times New Roman"/>
          <w:sz w:val="24"/>
          <w:szCs w:val="24"/>
        </w:rPr>
        <w:t>.</w:t>
      </w:r>
    </w:p>
    <w:p w14:paraId="613AE925" w14:textId="2DA1FF35" w:rsidR="00D623D3" w:rsidRPr="0073228A" w:rsidRDefault="00B646B5" w:rsidP="00FA60A3">
      <w:pPr>
        <w:spacing w:line="480" w:lineRule="auto"/>
        <w:rPr>
          <w:rFonts w:ascii="Times New Roman" w:hAnsi="Times New Roman" w:cs="Times New Roman"/>
          <w:sz w:val="24"/>
          <w:szCs w:val="24"/>
        </w:rPr>
      </w:pPr>
      <w:r w:rsidRPr="0073228A">
        <w:rPr>
          <w:rFonts w:ascii="Times New Roman" w:hAnsi="Times New Roman" w:cs="Times New Roman"/>
          <w:sz w:val="24"/>
          <w:szCs w:val="24"/>
        </w:rPr>
        <w:t xml:space="preserve">Between 2009 and 2014 </w:t>
      </w:r>
      <w:r w:rsidR="00F00610" w:rsidRPr="0073228A">
        <w:rPr>
          <w:rFonts w:ascii="Times New Roman" w:hAnsi="Times New Roman" w:cs="Times New Roman"/>
          <w:sz w:val="24"/>
          <w:szCs w:val="24"/>
        </w:rPr>
        <w:t xml:space="preserve">all </w:t>
      </w:r>
      <w:r w:rsidRPr="0073228A">
        <w:rPr>
          <w:rFonts w:ascii="Times New Roman" w:hAnsi="Times New Roman" w:cs="Times New Roman"/>
          <w:sz w:val="24"/>
          <w:szCs w:val="24"/>
        </w:rPr>
        <w:t>of the</w:t>
      </w:r>
      <w:r w:rsidR="00F00610" w:rsidRPr="0073228A">
        <w:rPr>
          <w:rFonts w:ascii="Times New Roman" w:hAnsi="Times New Roman" w:cs="Times New Roman"/>
          <w:sz w:val="24"/>
          <w:szCs w:val="24"/>
        </w:rPr>
        <w:t xml:space="preserve"> serotypes in PCV13</w:t>
      </w:r>
      <w:r w:rsidR="00E502EA">
        <w:rPr>
          <w:rFonts w:ascii="Times New Roman" w:hAnsi="Times New Roman" w:cs="Times New Roman"/>
          <w:sz w:val="24"/>
          <w:szCs w:val="24"/>
        </w:rPr>
        <w:t>-7</w:t>
      </w:r>
      <w:r w:rsidRPr="0073228A">
        <w:rPr>
          <w:rFonts w:ascii="Times New Roman" w:hAnsi="Times New Roman" w:cs="Times New Roman"/>
          <w:sz w:val="24"/>
          <w:szCs w:val="24"/>
        </w:rPr>
        <w:t xml:space="preserve"> </w:t>
      </w:r>
      <w:r w:rsidR="00F00610" w:rsidRPr="0073228A">
        <w:rPr>
          <w:rFonts w:ascii="Times New Roman" w:hAnsi="Times New Roman" w:cs="Times New Roman"/>
          <w:sz w:val="24"/>
          <w:szCs w:val="24"/>
        </w:rPr>
        <w:t xml:space="preserve">but 6A </w:t>
      </w:r>
      <w:r w:rsidRPr="0073228A">
        <w:rPr>
          <w:rFonts w:ascii="Times New Roman" w:hAnsi="Times New Roman" w:cs="Times New Roman"/>
          <w:sz w:val="24"/>
          <w:szCs w:val="24"/>
        </w:rPr>
        <w:t xml:space="preserve">were more likely to be found among pneumococcal OM episodes in children </w:t>
      </w:r>
      <w:r w:rsidR="00B870A7" w:rsidRPr="0073228A">
        <w:rPr>
          <w:rFonts w:ascii="Times New Roman" w:hAnsi="Times New Roman" w:cs="Times New Roman"/>
          <w:sz w:val="24"/>
          <w:szCs w:val="24"/>
        </w:rPr>
        <w:t>&lt;2</w:t>
      </w:r>
      <w:r w:rsidRPr="0073228A">
        <w:rPr>
          <w:rFonts w:ascii="Times New Roman" w:hAnsi="Times New Roman" w:cs="Times New Roman"/>
          <w:sz w:val="24"/>
          <w:szCs w:val="24"/>
        </w:rPr>
        <w:t xml:space="preserve"> years old than among </w:t>
      </w:r>
      <w:r w:rsidR="008949D2" w:rsidRPr="0073228A">
        <w:rPr>
          <w:rFonts w:ascii="Times New Roman" w:hAnsi="Times New Roman" w:cs="Times New Roman"/>
          <w:sz w:val="24"/>
          <w:szCs w:val="24"/>
        </w:rPr>
        <w:t>the &lt;5 years old carriers</w:t>
      </w:r>
      <w:r w:rsidRPr="0073228A">
        <w:rPr>
          <w:rFonts w:ascii="Times New Roman" w:hAnsi="Times New Roman" w:cs="Times New Roman"/>
          <w:sz w:val="24"/>
          <w:szCs w:val="24"/>
        </w:rPr>
        <w:t xml:space="preserve"> (</w:t>
      </w:r>
      <w:r w:rsidRPr="0073228A">
        <w:rPr>
          <w:rFonts w:ascii="Times New Roman" w:hAnsi="Times New Roman" w:cs="Times New Roman"/>
          <w:b/>
          <w:sz w:val="24"/>
          <w:szCs w:val="24"/>
        </w:rPr>
        <w:t>Figure 3</w:t>
      </w:r>
      <w:r w:rsidR="00DE3963">
        <w:rPr>
          <w:rFonts w:ascii="Times New Roman" w:hAnsi="Times New Roman" w:cs="Times New Roman"/>
          <w:b/>
          <w:sz w:val="24"/>
          <w:szCs w:val="24"/>
        </w:rPr>
        <w:t>, Web Figure 3</w:t>
      </w:r>
      <w:r w:rsidR="00E67DF7">
        <w:rPr>
          <w:rFonts w:ascii="Times New Roman" w:hAnsi="Times New Roman" w:cs="Times New Roman"/>
          <w:b/>
          <w:sz w:val="24"/>
          <w:szCs w:val="24"/>
        </w:rPr>
        <w:t xml:space="preserve"> and Web Table 3</w:t>
      </w:r>
      <w:r w:rsidRPr="0073228A">
        <w:rPr>
          <w:rFonts w:ascii="Times New Roman" w:hAnsi="Times New Roman" w:cs="Times New Roman"/>
          <w:sz w:val="24"/>
          <w:szCs w:val="24"/>
        </w:rPr>
        <w:t>).</w:t>
      </w:r>
      <w:r w:rsidR="009E68CE" w:rsidRPr="0073228A">
        <w:rPr>
          <w:rFonts w:ascii="Times New Roman" w:hAnsi="Times New Roman" w:cs="Times New Roman"/>
          <w:sz w:val="24"/>
          <w:szCs w:val="24"/>
        </w:rPr>
        <w:t xml:space="preserve"> </w:t>
      </w:r>
      <w:r w:rsidR="00687FA7" w:rsidRPr="0073228A">
        <w:rPr>
          <w:rFonts w:ascii="Times New Roman" w:hAnsi="Times New Roman" w:cs="Times New Roman"/>
          <w:sz w:val="24"/>
          <w:szCs w:val="24"/>
        </w:rPr>
        <w:t xml:space="preserve">This </w:t>
      </w:r>
      <w:r w:rsidRPr="0073228A">
        <w:rPr>
          <w:rFonts w:ascii="Times New Roman" w:hAnsi="Times New Roman" w:cs="Times New Roman"/>
          <w:sz w:val="24"/>
          <w:szCs w:val="24"/>
        </w:rPr>
        <w:t xml:space="preserve">was </w:t>
      </w:r>
      <w:r w:rsidR="0084240D" w:rsidRPr="0073228A">
        <w:rPr>
          <w:rFonts w:ascii="Times New Roman" w:hAnsi="Times New Roman" w:cs="Times New Roman"/>
          <w:sz w:val="24"/>
          <w:szCs w:val="24"/>
        </w:rPr>
        <w:t>s</w:t>
      </w:r>
      <w:r w:rsidR="00C8499D" w:rsidRPr="0073228A">
        <w:rPr>
          <w:rFonts w:ascii="Times New Roman" w:hAnsi="Times New Roman" w:cs="Times New Roman"/>
          <w:sz w:val="24"/>
          <w:szCs w:val="24"/>
        </w:rPr>
        <w:t>imilar</w:t>
      </w:r>
      <w:r w:rsidR="0084240D" w:rsidRPr="0073228A">
        <w:rPr>
          <w:rFonts w:ascii="Times New Roman" w:hAnsi="Times New Roman" w:cs="Times New Roman"/>
          <w:sz w:val="24"/>
          <w:szCs w:val="24"/>
        </w:rPr>
        <w:t xml:space="preserve"> </w:t>
      </w:r>
      <w:r w:rsidRPr="0073228A">
        <w:rPr>
          <w:rFonts w:ascii="Times New Roman" w:hAnsi="Times New Roman" w:cs="Times New Roman"/>
          <w:sz w:val="24"/>
          <w:szCs w:val="24"/>
        </w:rPr>
        <w:t xml:space="preserve">for </w:t>
      </w:r>
      <w:r w:rsidR="00C8499D" w:rsidRPr="0073228A">
        <w:rPr>
          <w:rFonts w:ascii="Times New Roman" w:hAnsi="Times New Roman" w:cs="Times New Roman"/>
          <w:sz w:val="24"/>
          <w:szCs w:val="24"/>
        </w:rPr>
        <w:t xml:space="preserve">serotypes </w:t>
      </w:r>
      <w:r w:rsidRPr="0073228A">
        <w:rPr>
          <w:rFonts w:ascii="Times New Roman" w:hAnsi="Times New Roman" w:cs="Times New Roman"/>
          <w:sz w:val="24"/>
          <w:szCs w:val="24"/>
        </w:rPr>
        <w:t xml:space="preserve">9V, 18C </w:t>
      </w:r>
      <w:r w:rsidRPr="0073228A">
        <w:rPr>
          <w:rFonts w:ascii="Times New Roman" w:hAnsi="Times New Roman" w:cs="Times New Roman"/>
          <w:sz w:val="24"/>
          <w:szCs w:val="24"/>
        </w:rPr>
        <w:lastRenderedPageBreak/>
        <w:t xml:space="preserve">and 19F of PCV7 </w:t>
      </w:r>
      <w:r w:rsidR="008949D2" w:rsidRPr="0073228A">
        <w:rPr>
          <w:rFonts w:ascii="Times New Roman" w:hAnsi="Times New Roman" w:cs="Times New Roman"/>
          <w:sz w:val="24"/>
          <w:szCs w:val="24"/>
        </w:rPr>
        <w:t xml:space="preserve">but </w:t>
      </w:r>
      <w:r w:rsidR="00B870A7" w:rsidRPr="0073228A">
        <w:rPr>
          <w:rFonts w:ascii="Times New Roman" w:hAnsi="Times New Roman" w:cs="Times New Roman"/>
          <w:sz w:val="24"/>
          <w:szCs w:val="24"/>
        </w:rPr>
        <w:t xml:space="preserve">among the PCV7 </w:t>
      </w:r>
      <w:r w:rsidR="002502D2" w:rsidRPr="0073228A">
        <w:rPr>
          <w:rFonts w:ascii="Times New Roman" w:hAnsi="Times New Roman" w:cs="Times New Roman"/>
          <w:sz w:val="24"/>
          <w:szCs w:val="24"/>
        </w:rPr>
        <w:t xml:space="preserve">serotypes </w:t>
      </w:r>
      <w:r w:rsidR="00B870A7" w:rsidRPr="0073228A">
        <w:rPr>
          <w:rFonts w:ascii="Times New Roman" w:hAnsi="Times New Roman" w:cs="Times New Roman"/>
          <w:sz w:val="24"/>
          <w:szCs w:val="24"/>
        </w:rPr>
        <w:t xml:space="preserve">significance was found only for </w:t>
      </w:r>
      <w:r w:rsidR="0084240D" w:rsidRPr="0073228A">
        <w:rPr>
          <w:rFonts w:ascii="Times New Roman" w:hAnsi="Times New Roman" w:cs="Times New Roman"/>
          <w:sz w:val="24"/>
          <w:szCs w:val="24"/>
        </w:rPr>
        <w:t xml:space="preserve">serotype </w:t>
      </w:r>
      <w:r w:rsidRPr="0073228A">
        <w:rPr>
          <w:rFonts w:ascii="Times New Roman" w:hAnsi="Times New Roman" w:cs="Times New Roman"/>
          <w:sz w:val="24"/>
          <w:szCs w:val="24"/>
        </w:rPr>
        <w:t>19F</w:t>
      </w:r>
      <w:r w:rsidR="0084240D" w:rsidRPr="0073228A">
        <w:rPr>
          <w:rFonts w:ascii="Times New Roman" w:hAnsi="Times New Roman" w:cs="Times New Roman"/>
          <w:sz w:val="24"/>
          <w:szCs w:val="24"/>
        </w:rPr>
        <w:t xml:space="preserve">. </w:t>
      </w:r>
      <w:r w:rsidR="00FE5170" w:rsidRPr="0073228A">
        <w:rPr>
          <w:rFonts w:ascii="Times New Roman" w:hAnsi="Times New Roman" w:cs="Times New Roman"/>
          <w:sz w:val="24"/>
          <w:szCs w:val="24"/>
        </w:rPr>
        <w:t>Within the NVT group the odds ratio for isolates among OM versus NP carriage controls was 1.44 (0.68 to 3.07) for serotype 22F and 1.</w:t>
      </w:r>
      <w:r w:rsidR="00FB24C0" w:rsidRPr="0073228A">
        <w:rPr>
          <w:rFonts w:ascii="Times New Roman" w:hAnsi="Times New Roman" w:cs="Times New Roman"/>
          <w:sz w:val="24"/>
          <w:szCs w:val="24"/>
        </w:rPr>
        <w:t>22 (0.66 to 2.28) for serotype 3</w:t>
      </w:r>
      <w:r w:rsidR="00FE5170" w:rsidRPr="0073228A">
        <w:rPr>
          <w:rFonts w:ascii="Times New Roman" w:hAnsi="Times New Roman" w:cs="Times New Roman"/>
          <w:sz w:val="24"/>
          <w:szCs w:val="24"/>
        </w:rPr>
        <w:t>3F, the additional serotypes in a currently developed 15-valent formulation.</w:t>
      </w:r>
    </w:p>
    <w:p w14:paraId="2C0F2A93" w14:textId="77777777" w:rsidR="00C953D2" w:rsidRPr="0073228A" w:rsidRDefault="00C953D2" w:rsidP="00B3162B">
      <w:pPr>
        <w:spacing w:line="480" w:lineRule="auto"/>
        <w:rPr>
          <w:rFonts w:ascii="Times New Roman" w:hAnsi="Times New Roman" w:cs="Times New Roman"/>
          <w:sz w:val="24"/>
          <w:szCs w:val="24"/>
        </w:rPr>
      </w:pPr>
      <w:r w:rsidRPr="0073228A">
        <w:rPr>
          <w:rFonts w:ascii="Times New Roman" w:hAnsi="Times New Roman" w:cs="Times New Roman"/>
          <w:sz w:val="24"/>
          <w:szCs w:val="24"/>
        </w:rPr>
        <w:tab/>
      </w:r>
    </w:p>
    <w:p w14:paraId="5CE12616" w14:textId="1363CE1D" w:rsidR="00DC2C24" w:rsidRPr="009A0490" w:rsidRDefault="00DB0711" w:rsidP="00B3162B">
      <w:pPr>
        <w:spacing w:line="480" w:lineRule="auto"/>
        <w:rPr>
          <w:rFonts w:ascii="Times New Roman" w:hAnsi="Times New Roman" w:cs="Times New Roman"/>
          <w:sz w:val="24"/>
          <w:szCs w:val="24"/>
        </w:rPr>
      </w:pPr>
      <w:r w:rsidRPr="009A0490">
        <w:rPr>
          <w:rFonts w:ascii="Times New Roman" w:hAnsi="Times New Roman" w:cs="Times New Roman"/>
          <w:sz w:val="24"/>
          <w:szCs w:val="24"/>
        </w:rPr>
        <w:t>DISCUSSION</w:t>
      </w:r>
    </w:p>
    <w:p w14:paraId="447F0E48" w14:textId="1F811CD4" w:rsidR="00C8499D" w:rsidRPr="0073228A" w:rsidRDefault="00C8499D" w:rsidP="00B3162B">
      <w:pPr>
        <w:spacing w:line="480" w:lineRule="auto"/>
        <w:rPr>
          <w:rFonts w:ascii="Times New Roman" w:hAnsi="Times New Roman" w:cs="Times New Roman"/>
          <w:sz w:val="24"/>
          <w:szCs w:val="24"/>
        </w:rPr>
      </w:pPr>
      <w:r w:rsidRPr="0073228A">
        <w:rPr>
          <w:rFonts w:ascii="Times New Roman" w:hAnsi="Times New Roman" w:cs="Times New Roman"/>
          <w:sz w:val="24"/>
          <w:szCs w:val="24"/>
        </w:rPr>
        <w:t>We use</w:t>
      </w:r>
      <w:r w:rsidR="009E68CE" w:rsidRPr="0073228A">
        <w:rPr>
          <w:rFonts w:ascii="Times New Roman" w:hAnsi="Times New Roman" w:cs="Times New Roman"/>
          <w:sz w:val="24"/>
          <w:szCs w:val="24"/>
        </w:rPr>
        <w:t>d</w:t>
      </w:r>
      <w:r w:rsidRPr="0073228A">
        <w:rPr>
          <w:rFonts w:ascii="Times New Roman" w:hAnsi="Times New Roman" w:cs="Times New Roman"/>
          <w:sz w:val="24"/>
          <w:szCs w:val="24"/>
        </w:rPr>
        <w:t xml:space="preserve"> the extensive surveillance of OM and pneumococcal carriage in southern Israel to study if</w:t>
      </w:r>
      <w:r w:rsidR="00687FA7" w:rsidRPr="0073228A">
        <w:rPr>
          <w:rFonts w:ascii="Times New Roman" w:hAnsi="Times New Roman" w:cs="Times New Roman"/>
          <w:sz w:val="24"/>
          <w:szCs w:val="24"/>
        </w:rPr>
        <w:t>,</w:t>
      </w:r>
      <w:r w:rsidRPr="0073228A">
        <w:rPr>
          <w:rFonts w:ascii="Times New Roman" w:hAnsi="Times New Roman" w:cs="Times New Roman"/>
          <w:sz w:val="24"/>
          <w:szCs w:val="24"/>
        </w:rPr>
        <w:t xml:space="preserve"> similarly to invasive disease</w:t>
      </w:r>
      <w:r w:rsidR="00687FA7" w:rsidRPr="0073228A">
        <w:rPr>
          <w:rFonts w:ascii="Times New Roman" w:hAnsi="Times New Roman" w:cs="Times New Roman"/>
          <w:sz w:val="24"/>
          <w:szCs w:val="24"/>
        </w:rPr>
        <w:t>,</w:t>
      </w:r>
      <w:r w:rsidRPr="0073228A">
        <w:rPr>
          <w:rFonts w:ascii="Times New Roman" w:hAnsi="Times New Roman" w:cs="Times New Roman"/>
          <w:sz w:val="24"/>
          <w:szCs w:val="24"/>
        </w:rPr>
        <w:t xml:space="preserve"> pneumococcal carriage could be used to monitor post vaccination changes in </w:t>
      </w:r>
      <w:r w:rsidR="00105CFD" w:rsidRPr="0073228A">
        <w:rPr>
          <w:rFonts w:ascii="Times New Roman" w:hAnsi="Times New Roman" w:cs="Times New Roman"/>
          <w:sz w:val="24"/>
          <w:szCs w:val="24"/>
        </w:rPr>
        <w:t xml:space="preserve">paediatric </w:t>
      </w:r>
      <w:r w:rsidRPr="0073228A">
        <w:rPr>
          <w:rFonts w:ascii="Times New Roman" w:hAnsi="Times New Roman" w:cs="Times New Roman"/>
          <w:sz w:val="24"/>
          <w:szCs w:val="24"/>
        </w:rPr>
        <w:t xml:space="preserve">pneumococcal OM. We </w:t>
      </w:r>
      <w:r w:rsidR="009E68CE" w:rsidRPr="0073228A">
        <w:rPr>
          <w:rFonts w:ascii="Times New Roman" w:hAnsi="Times New Roman" w:cs="Times New Roman"/>
          <w:sz w:val="24"/>
          <w:szCs w:val="24"/>
        </w:rPr>
        <w:t xml:space="preserve">found </w:t>
      </w:r>
      <w:r w:rsidRPr="0073228A">
        <w:rPr>
          <w:rFonts w:ascii="Times New Roman" w:hAnsi="Times New Roman" w:cs="Times New Roman"/>
          <w:sz w:val="24"/>
          <w:szCs w:val="24"/>
        </w:rPr>
        <w:t>that predictions for changes in vaccine serotype OM incidence match the observed changes for both the Bedouin and the Jewish population. However, serotype replacement among pneumococcal carriage overestimated the change in NVT OM incidence</w:t>
      </w:r>
      <w:r w:rsidR="00772C3B" w:rsidRPr="0073228A">
        <w:rPr>
          <w:rFonts w:ascii="Times New Roman" w:hAnsi="Times New Roman" w:cs="Times New Roman"/>
          <w:sz w:val="24"/>
          <w:szCs w:val="24"/>
        </w:rPr>
        <w:t xml:space="preserve"> in the post vaccination era. </w:t>
      </w:r>
      <w:r w:rsidR="00BD5608" w:rsidRPr="0073228A">
        <w:rPr>
          <w:rFonts w:ascii="Times New Roman" w:hAnsi="Times New Roman" w:cs="Times New Roman"/>
          <w:sz w:val="24"/>
          <w:szCs w:val="24"/>
        </w:rPr>
        <w:t>The serotypes included in PCV13</w:t>
      </w:r>
      <w:r w:rsidR="00E502EA">
        <w:rPr>
          <w:rFonts w:ascii="Times New Roman" w:hAnsi="Times New Roman" w:cs="Times New Roman"/>
          <w:sz w:val="24"/>
          <w:szCs w:val="24"/>
        </w:rPr>
        <w:t>-7</w:t>
      </w:r>
      <w:r w:rsidR="00BD5608" w:rsidRPr="0073228A">
        <w:rPr>
          <w:rFonts w:ascii="Times New Roman" w:hAnsi="Times New Roman" w:cs="Times New Roman"/>
          <w:sz w:val="24"/>
          <w:szCs w:val="24"/>
        </w:rPr>
        <w:t xml:space="preserve"> had a very high propensity to cause OM. The two additional serotype</w:t>
      </w:r>
      <w:r w:rsidR="005A3BB6" w:rsidRPr="0073228A">
        <w:rPr>
          <w:rFonts w:ascii="Times New Roman" w:hAnsi="Times New Roman" w:cs="Times New Roman"/>
          <w:sz w:val="24"/>
          <w:szCs w:val="24"/>
        </w:rPr>
        <w:t>s</w:t>
      </w:r>
      <w:r w:rsidR="00BD5608" w:rsidRPr="0073228A">
        <w:rPr>
          <w:rFonts w:ascii="Times New Roman" w:hAnsi="Times New Roman" w:cs="Times New Roman"/>
          <w:sz w:val="24"/>
          <w:szCs w:val="24"/>
        </w:rPr>
        <w:t xml:space="preserve"> in a potential 15-valent PCV were found to be only marginally more </w:t>
      </w:r>
      <w:r w:rsidR="005A3BB6" w:rsidRPr="0073228A">
        <w:rPr>
          <w:rFonts w:ascii="Times New Roman" w:hAnsi="Times New Roman" w:cs="Times New Roman"/>
          <w:sz w:val="24"/>
          <w:szCs w:val="24"/>
        </w:rPr>
        <w:t xml:space="preserve">likely to cause an OM episode given their rate of exposure </w:t>
      </w:r>
      <w:r w:rsidR="00BD5608" w:rsidRPr="0073228A">
        <w:rPr>
          <w:rFonts w:ascii="Times New Roman" w:hAnsi="Times New Roman" w:cs="Times New Roman"/>
          <w:sz w:val="24"/>
          <w:szCs w:val="24"/>
        </w:rPr>
        <w:t>than the average NVT.</w:t>
      </w:r>
    </w:p>
    <w:p w14:paraId="642583F5" w14:textId="77777777" w:rsidR="007B732D" w:rsidRPr="0073228A" w:rsidRDefault="007B732D" w:rsidP="00B3162B">
      <w:pPr>
        <w:spacing w:line="480" w:lineRule="auto"/>
        <w:rPr>
          <w:rFonts w:ascii="Times New Roman" w:hAnsi="Times New Roman" w:cs="Times New Roman"/>
          <w:sz w:val="24"/>
          <w:szCs w:val="24"/>
        </w:rPr>
      </w:pPr>
    </w:p>
    <w:p w14:paraId="1C543587" w14:textId="06CEBFB1" w:rsidR="00F00C40" w:rsidRPr="0073228A" w:rsidRDefault="005A3BB6" w:rsidP="00B3162B">
      <w:pPr>
        <w:spacing w:line="480" w:lineRule="auto"/>
        <w:rPr>
          <w:rFonts w:ascii="Times New Roman" w:hAnsi="Times New Roman" w:cs="Times New Roman"/>
          <w:sz w:val="24"/>
          <w:szCs w:val="24"/>
        </w:rPr>
      </w:pPr>
      <w:r w:rsidRPr="0073228A">
        <w:rPr>
          <w:rFonts w:ascii="Times New Roman" w:hAnsi="Times New Roman" w:cs="Times New Roman"/>
          <w:sz w:val="24"/>
          <w:szCs w:val="24"/>
        </w:rPr>
        <w:t>A d</w:t>
      </w:r>
      <w:r w:rsidR="00F00C40" w:rsidRPr="0073228A">
        <w:rPr>
          <w:rFonts w:ascii="Times New Roman" w:hAnsi="Times New Roman" w:cs="Times New Roman"/>
          <w:sz w:val="24"/>
          <w:szCs w:val="24"/>
        </w:rPr>
        <w:t>isproportionate increase in OM caused by the PCV13</w:t>
      </w:r>
      <w:r w:rsidR="00E502EA">
        <w:rPr>
          <w:rFonts w:ascii="Times New Roman" w:hAnsi="Times New Roman" w:cs="Times New Roman"/>
          <w:sz w:val="24"/>
          <w:szCs w:val="24"/>
        </w:rPr>
        <w:t>-7</w:t>
      </w:r>
      <w:r w:rsidR="00F00C40" w:rsidRPr="0073228A">
        <w:rPr>
          <w:rFonts w:ascii="Times New Roman" w:hAnsi="Times New Roman" w:cs="Times New Roman"/>
          <w:sz w:val="24"/>
          <w:szCs w:val="24"/>
        </w:rPr>
        <w:t xml:space="preserve"> serotypes compared to that in NP carriage was seen during the years 2010-2011.  This was mostly </w:t>
      </w:r>
      <w:r w:rsidR="009E029D" w:rsidRPr="0073228A">
        <w:rPr>
          <w:rFonts w:ascii="Times New Roman" w:hAnsi="Times New Roman" w:cs="Times New Roman"/>
          <w:sz w:val="24"/>
          <w:szCs w:val="24"/>
        </w:rPr>
        <w:t>observed among the Jewish children</w:t>
      </w:r>
      <w:r w:rsidRPr="0073228A">
        <w:rPr>
          <w:rFonts w:ascii="Times New Roman" w:hAnsi="Times New Roman" w:cs="Times New Roman"/>
          <w:sz w:val="24"/>
          <w:szCs w:val="24"/>
        </w:rPr>
        <w:t xml:space="preserve"> and</w:t>
      </w:r>
      <w:r w:rsidR="00F00C40" w:rsidRPr="0073228A">
        <w:rPr>
          <w:rFonts w:ascii="Times New Roman" w:hAnsi="Times New Roman" w:cs="Times New Roman"/>
          <w:sz w:val="24"/>
          <w:szCs w:val="24"/>
        </w:rPr>
        <w:t xml:space="preserve"> was </w:t>
      </w:r>
      <w:r w:rsidR="009E029D" w:rsidRPr="0073228A">
        <w:rPr>
          <w:rFonts w:ascii="Times New Roman" w:hAnsi="Times New Roman" w:cs="Times New Roman"/>
          <w:sz w:val="24"/>
          <w:szCs w:val="24"/>
        </w:rPr>
        <w:t>predominated</w:t>
      </w:r>
      <w:r w:rsidR="00F00C40" w:rsidRPr="0073228A">
        <w:rPr>
          <w:rFonts w:ascii="Times New Roman" w:hAnsi="Times New Roman" w:cs="Times New Roman"/>
          <w:sz w:val="24"/>
          <w:szCs w:val="24"/>
        </w:rPr>
        <w:t xml:space="preserve"> by</w:t>
      </w:r>
      <w:r w:rsidR="006F1908" w:rsidRPr="0073228A">
        <w:rPr>
          <w:rFonts w:ascii="Times New Roman" w:hAnsi="Times New Roman" w:cs="Times New Roman"/>
          <w:sz w:val="24"/>
          <w:szCs w:val="24"/>
        </w:rPr>
        <w:t xml:space="preserve"> the dynamics of serotype 19A</w:t>
      </w:r>
      <w:r w:rsidR="00A260F6" w:rsidRPr="0073228A">
        <w:rPr>
          <w:rFonts w:ascii="Times New Roman" w:hAnsi="Times New Roman" w:cs="Times New Roman"/>
          <w:sz w:val="24"/>
          <w:szCs w:val="24"/>
        </w:rPr>
        <w:t>,</w:t>
      </w:r>
      <w:r w:rsidR="006F1908" w:rsidRPr="0073228A">
        <w:rPr>
          <w:rFonts w:ascii="Times New Roman" w:hAnsi="Times New Roman" w:cs="Times New Roman"/>
          <w:sz w:val="24"/>
          <w:szCs w:val="24"/>
        </w:rPr>
        <w:t xml:space="preserve"> which constituted the majority of both carriage and OM among the PCV13</w:t>
      </w:r>
      <w:r w:rsidR="00E502EA">
        <w:rPr>
          <w:rFonts w:ascii="Times New Roman" w:hAnsi="Times New Roman" w:cs="Times New Roman"/>
          <w:sz w:val="24"/>
          <w:szCs w:val="24"/>
        </w:rPr>
        <w:t>-7</w:t>
      </w:r>
      <w:r w:rsidR="006F1908" w:rsidRPr="0073228A">
        <w:rPr>
          <w:rFonts w:ascii="Times New Roman" w:hAnsi="Times New Roman" w:cs="Times New Roman"/>
          <w:sz w:val="24"/>
          <w:szCs w:val="24"/>
        </w:rPr>
        <w:t xml:space="preserve"> serotypes.  It is plausible that OM caused by serotype 19A</w:t>
      </w:r>
      <w:r w:rsidR="003A3142" w:rsidRPr="0073228A">
        <w:rPr>
          <w:rFonts w:ascii="Times New Roman" w:hAnsi="Times New Roman" w:cs="Times New Roman"/>
          <w:sz w:val="24"/>
          <w:szCs w:val="24"/>
        </w:rPr>
        <w:t>,</w:t>
      </w:r>
      <w:r w:rsidR="006F1908" w:rsidRPr="0073228A">
        <w:rPr>
          <w:rFonts w:ascii="Times New Roman" w:hAnsi="Times New Roman" w:cs="Times New Roman"/>
          <w:sz w:val="24"/>
          <w:szCs w:val="24"/>
        </w:rPr>
        <w:t xml:space="preserve"> </w:t>
      </w:r>
      <w:r w:rsidR="009E029D" w:rsidRPr="0073228A">
        <w:rPr>
          <w:rFonts w:ascii="Times New Roman" w:hAnsi="Times New Roman" w:cs="Times New Roman"/>
          <w:sz w:val="24"/>
          <w:szCs w:val="24"/>
        </w:rPr>
        <w:t xml:space="preserve">which was largely highly </w:t>
      </w:r>
      <w:r w:rsidR="002502D2" w:rsidRPr="0073228A">
        <w:rPr>
          <w:rFonts w:ascii="Times New Roman" w:hAnsi="Times New Roman" w:cs="Times New Roman"/>
          <w:sz w:val="24"/>
          <w:szCs w:val="24"/>
        </w:rPr>
        <w:t xml:space="preserve">antibiotic </w:t>
      </w:r>
      <w:r w:rsidR="009E029D" w:rsidRPr="0073228A">
        <w:rPr>
          <w:rFonts w:ascii="Times New Roman" w:hAnsi="Times New Roman" w:cs="Times New Roman"/>
          <w:sz w:val="24"/>
          <w:szCs w:val="24"/>
        </w:rPr>
        <w:t>resistant and multi-resistant, often presented as</w:t>
      </w:r>
      <w:r w:rsidR="006F1908" w:rsidRPr="0073228A">
        <w:rPr>
          <w:rFonts w:ascii="Times New Roman" w:hAnsi="Times New Roman" w:cs="Times New Roman"/>
          <w:sz w:val="24"/>
          <w:szCs w:val="24"/>
        </w:rPr>
        <w:t xml:space="preserve"> treatment failures, resulting more frequently in tympanocentesis, overemphasizing the </w:t>
      </w:r>
      <w:r w:rsidRPr="0073228A">
        <w:rPr>
          <w:rFonts w:ascii="Times New Roman" w:hAnsi="Times New Roman" w:cs="Times New Roman"/>
          <w:sz w:val="24"/>
          <w:szCs w:val="24"/>
        </w:rPr>
        <w:t>incidence</w:t>
      </w:r>
      <w:r w:rsidR="006F1908" w:rsidRPr="0073228A">
        <w:rPr>
          <w:rFonts w:ascii="Times New Roman" w:hAnsi="Times New Roman" w:cs="Times New Roman"/>
          <w:sz w:val="24"/>
          <w:szCs w:val="24"/>
        </w:rPr>
        <w:t xml:space="preserve"> of OM caused by this serotype.  Starting in 2012-2013, the </w:t>
      </w:r>
      <w:r w:rsidR="003B39F6" w:rsidRPr="0073228A">
        <w:rPr>
          <w:rFonts w:ascii="Times New Roman" w:hAnsi="Times New Roman" w:cs="Times New Roman"/>
          <w:sz w:val="24"/>
          <w:szCs w:val="24"/>
        </w:rPr>
        <w:lastRenderedPageBreak/>
        <w:t xml:space="preserve">reduction in carriage of </w:t>
      </w:r>
      <w:r w:rsidR="009E029D" w:rsidRPr="0073228A">
        <w:rPr>
          <w:rFonts w:ascii="Times New Roman" w:hAnsi="Times New Roman" w:cs="Times New Roman"/>
          <w:sz w:val="24"/>
          <w:szCs w:val="24"/>
        </w:rPr>
        <w:t>this serotype resulted in</w:t>
      </w:r>
      <w:r w:rsidR="003B39F6" w:rsidRPr="0073228A">
        <w:rPr>
          <w:rFonts w:ascii="Times New Roman" w:hAnsi="Times New Roman" w:cs="Times New Roman"/>
          <w:sz w:val="24"/>
          <w:szCs w:val="24"/>
        </w:rPr>
        <w:t xml:space="preserve"> reduced </w:t>
      </w:r>
      <w:r w:rsidR="009E029D" w:rsidRPr="0073228A">
        <w:rPr>
          <w:rFonts w:ascii="Times New Roman" w:hAnsi="Times New Roman" w:cs="Times New Roman"/>
          <w:sz w:val="24"/>
          <w:szCs w:val="24"/>
        </w:rPr>
        <w:t xml:space="preserve">serotype 19A </w:t>
      </w:r>
      <w:r w:rsidR="003B39F6" w:rsidRPr="0073228A">
        <w:rPr>
          <w:rFonts w:ascii="Times New Roman" w:hAnsi="Times New Roman" w:cs="Times New Roman"/>
          <w:sz w:val="24"/>
          <w:szCs w:val="24"/>
        </w:rPr>
        <w:t xml:space="preserve">OM diminishing </w:t>
      </w:r>
      <w:r w:rsidR="009E029D" w:rsidRPr="0073228A">
        <w:rPr>
          <w:rFonts w:ascii="Times New Roman" w:hAnsi="Times New Roman" w:cs="Times New Roman"/>
          <w:sz w:val="24"/>
          <w:szCs w:val="24"/>
        </w:rPr>
        <w:t>this</w:t>
      </w:r>
      <w:r w:rsidR="003B39F6" w:rsidRPr="0073228A">
        <w:rPr>
          <w:rFonts w:ascii="Times New Roman" w:hAnsi="Times New Roman" w:cs="Times New Roman"/>
          <w:sz w:val="24"/>
          <w:szCs w:val="24"/>
        </w:rPr>
        <w:t xml:space="preserve"> potential </w:t>
      </w:r>
      <w:r w:rsidR="00C71EC6" w:rsidRPr="0073228A">
        <w:rPr>
          <w:rFonts w:ascii="Times New Roman" w:hAnsi="Times New Roman" w:cs="Times New Roman"/>
          <w:sz w:val="24"/>
          <w:szCs w:val="24"/>
        </w:rPr>
        <w:t>artefact</w:t>
      </w:r>
      <w:r w:rsidR="006C3F52" w:rsidRPr="0073228A">
        <w:rPr>
          <w:rFonts w:ascii="Times New Roman" w:hAnsi="Times New Roman" w:cs="Times New Roman"/>
          <w:sz w:val="24"/>
          <w:szCs w:val="24"/>
        </w:rPr>
        <w:t>.</w:t>
      </w:r>
    </w:p>
    <w:p w14:paraId="51CDEDB8" w14:textId="77777777" w:rsidR="007B732D" w:rsidRPr="0073228A" w:rsidRDefault="007B732D" w:rsidP="00B3162B">
      <w:pPr>
        <w:spacing w:line="480" w:lineRule="auto"/>
        <w:rPr>
          <w:rFonts w:ascii="Times New Roman" w:hAnsi="Times New Roman" w:cs="Times New Roman"/>
          <w:sz w:val="24"/>
          <w:szCs w:val="24"/>
        </w:rPr>
      </w:pPr>
    </w:p>
    <w:p w14:paraId="78F30067" w14:textId="4496AE3A" w:rsidR="009C6F69" w:rsidRPr="0073228A" w:rsidRDefault="00EC5AE0" w:rsidP="003A3142">
      <w:pPr>
        <w:pStyle w:val="ListParagraph"/>
        <w:spacing w:after="0" w:line="480" w:lineRule="auto"/>
        <w:ind w:left="0"/>
        <w:rPr>
          <w:rFonts w:ascii="Times New Roman" w:hAnsi="Times New Roman" w:cs="Times New Roman"/>
          <w:sz w:val="24"/>
          <w:szCs w:val="24"/>
        </w:rPr>
      </w:pPr>
      <w:r w:rsidRPr="0073228A">
        <w:rPr>
          <w:rFonts w:ascii="Times New Roman" w:hAnsi="Times New Roman" w:cs="Times New Roman"/>
          <w:sz w:val="24"/>
          <w:szCs w:val="24"/>
        </w:rPr>
        <w:t>In principle</w:t>
      </w:r>
      <w:r w:rsidR="006C3F52" w:rsidRPr="0073228A">
        <w:rPr>
          <w:rFonts w:ascii="Times New Roman" w:hAnsi="Times New Roman" w:cs="Times New Roman"/>
          <w:sz w:val="24"/>
          <w:szCs w:val="24"/>
        </w:rPr>
        <w:t>,</w:t>
      </w:r>
      <w:r w:rsidRPr="0073228A">
        <w:rPr>
          <w:rFonts w:ascii="Times New Roman" w:hAnsi="Times New Roman" w:cs="Times New Roman"/>
          <w:sz w:val="24"/>
          <w:szCs w:val="24"/>
        </w:rPr>
        <w:t xml:space="preserve"> one could anticipate an increase in NVT OM in the presence of a clear increase in NVT carriage post PCV introduction</w:t>
      </w:r>
      <w:r w:rsidR="009E029D" w:rsidRPr="0073228A">
        <w:rPr>
          <w:rFonts w:ascii="Times New Roman" w:hAnsi="Times New Roman" w:cs="Times New Roman"/>
          <w:sz w:val="24"/>
          <w:szCs w:val="24"/>
        </w:rPr>
        <w:t xml:space="preserve">, because of the replacement of </w:t>
      </w:r>
      <w:r w:rsidR="002502D2" w:rsidRPr="0073228A">
        <w:rPr>
          <w:rFonts w:ascii="Times New Roman" w:hAnsi="Times New Roman" w:cs="Times New Roman"/>
          <w:sz w:val="24"/>
          <w:szCs w:val="24"/>
        </w:rPr>
        <w:t xml:space="preserve">VT </w:t>
      </w:r>
      <w:r w:rsidR="009E029D" w:rsidRPr="0073228A">
        <w:rPr>
          <w:rFonts w:ascii="Times New Roman" w:hAnsi="Times New Roman" w:cs="Times New Roman"/>
          <w:sz w:val="24"/>
          <w:szCs w:val="24"/>
        </w:rPr>
        <w:t xml:space="preserve">by NVT in NP carriage.  </w:t>
      </w:r>
      <w:r w:rsidR="004950D2" w:rsidRPr="0073228A">
        <w:rPr>
          <w:rFonts w:ascii="Times New Roman" w:hAnsi="Times New Roman" w:cs="Times New Roman"/>
          <w:sz w:val="24"/>
          <w:szCs w:val="24"/>
        </w:rPr>
        <w:t>A change in surveillance sensitivity is among the hypothesis that would explain the absence of such increase in NVT OM incidence in the post-vaccination era. However, we could not detect a similarly pronounced over-estimation of P</w:t>
      </w:r>
      <w:r w:rsidR="0032575B">
        <w:rPr>
          <w:rFonts w:ascii="Times New Roman" w:hAnsi="Times New Roman" w:cs="Times New Roman"/>
          <w:sz w:val="24"/>
          <w:szCs w:val="24"/>
        </w:rPr>
        <w:t>C</w:t>
      </w:r>
      <w:r w:rsidR="004950D2" w:rsidRPr="0073228A">
        <w:rPr>
          <w:rFonts w:ascii="Times New Roman" w:hAnsi="Times New Roman" w:cs="Times New Roman"/>
          <w:sz w:val="24"/>
          <w:szCs w:val="24"/>
        </w:rPr>
        <w:t xml:space="preserve">V7 and PCV13-7 serotype group incidence which one would expect to find if surveillance sensitivity declined </w:t>
      </w:r>
      <w:r w:rsidR="004950D2" w:rsidRPr="0073228A">
        <w:rPr>
          <w:rFonts w:ascii="Times New Roman" w:hAnsi="Times New Roman" w:cs="Times New Roman"/>
          <w:sz w:val="24"/>
          <w:szCs w:val="24"/>
        </w:rPr>
        <w:fldChar w:fldCharType="begin" w:fldLock="1"/>
      </w:r>
      <w:r w:rsidR="00221A17">
        <w:rPr>
          <w:rFonts w:ascii="Times New Roman" w:hAnsi="Times New Roman" w:cs="Times New Roman"/>
          <w:sz w:val="24"/>
          <w:szCs w:val="24"/>
        </w:rPr>
        <w:instrText>ADDIN CSL_CITATION { "citationItems" : [ { "id" : "ITEM-1", "itemData" : { "ISBN" : "1560-7917 (Electronic)\\r1025-496X (Linking)", "ISSN" : "15607917", "PMID" : "21616047", "abstract" : "A pneumococcal conjugate vaccine (PCV7) was introduced into the United Kingdom's childhood immunisation schedule in September 2006. Evaluation of its impact on the incidence of invasive pneumococcal disease (IPD) as assessed by routine reports of laboratory-confirmed cases should take into account possible long-term trends due to factors like changes in case ascertainment. To this end, we compared pre-PCV7 trends in reported IPD incidence in England and Wales identified by blood culture with those for two other bacteraemias, Escherichia coli and non -pyogenic streptococci, for which there has not been any public health intervention. While no trend was detected in the age group 65 years and older, there was an annual increase of 3% and 11% in those aged under five years and between five and 64 years, respectively, which was similar for IPD and the other two pathogens. After PCV7 introduction, a continuing trend was only found for non-pyogenic streptococci in under five year-olds. These trends in the incidence for bacteraemias for which there has been no intervention could suggest that there have been changes in case ascertainment because of increased reporting or blood culturing. Accounting for them will improve the evaluation of the impact of PCV7 on IPD.", "author" : [ { "dropping-particle" : "", "family" : "Flasche", "given" : "S", "non-dropping-particle" : "", "parse-names" : false, "suffix" : "" }, { "dropping-particle" : "", "family" : "Slack", "given" : "M", "non-dropping-particle" : "", "parse-names" : false, "suffix" : "" }, { "dropping-particle" : "", "family" : "Miller", "given" : "E", "non-dropping-particle" : "", "parse-names" : false, "suffix" : "" } ], "container-title" : "Eurosurveillance", "id" : "ITEM-1", "issue" : "20", "issued" : { "date-parts" : [ [ "2011", "5" ] ] }, "note" : "From Duplicate 2 ( Long term trends introduce a potential bias when evaluating the impact of the pneumococcal conjugate vaccination programme in England and Wales - Flasche, S; Slack, M; Miller, E )\n\nFrom Duplicate 1 ( Long term trends introduce a potential bias when evaluating the impact of the pneumococcal conjugate vaccination programme in England and Wales - Stefanflaschehpaorguk, S Flasche; Slack, M; Miller, E )\n\n\n\nFrom Duplicate 2 ( Long term trends introduce a potential bias when evaluating the impact of the pneumococcal conjugate vaccination programme in England and Wales - Flasche, S; Slack, M; Miller, E )\n", "page" : "19868", "title" : "Long term trends introduce a potential bias when evaluating the impact of the pneumococcal conjugate vaccination programme in England and Wales.", "type" : "article-journal", "volume" : "16" }, "uris" : [ "http://www.mendeley.com/documents/?uuid=50ad1e36-a485-4f41-b293-ba0f0b148491" ] } ], "mendeley" : { "formattedCitation" : "(17)", "plainTextFormattedCitation" : "(17)", "previouslyFormattedCitation" : "(17)" }, "properties" : { "noteIndex" : 0 }, "schema" : "https://github.com/citation-style-language/schema/raw/master/csl-citation.json" }</w:instrText>
      </w:r>
      <w:r w:rsidR="004950D2" w:rsidRPr="0073228A">
        <w:rPr>
          <w:rFonts w:ascii="Times New Roman" w:hAnsi="Times New Roman" w:cs="Times New Roman"/>
          <w:sz w:val="24"/>
          <w:szCs w:val="24"/>
        </w:rPr>
        <w:fldChar w:fldCharType="separate"/>
      </w:r>
      <w:r w:rsidR="00242661" w:rsidRPr="00242661">
        <w:rPr>
          <w:rFonts w:ascii="Times New Roman" w:hAnsi="Times New Roman" w:cs="Times New Roman"/>
          <w:noProof/>
          <w:sz w:val="24"/>
          <w:szCs w:val="24"/>
        </w:rPr>
        <w:t>(17)</w:t>
      </w:r>
      <w:r w:rsidR="004950D2" w:rsidRPr="0073228A">
        <w:rPr>
          <w:rFonts w:ascii="Times New Roman" w:hAnsi="Times New Roman" w:cs="Times New Roman"/>
          <w:sz w:val="24"/>
          <w:szCs w:val="24"/>
        </w:rPr>
        <w:fldChar w:fldCharType="end"/>
      </w:r>
      <w:r w:rsidR="00772C3B" w:rsidRPr="0073228A">
        <w:rPr>
          <w:rFonts w:ascii="Times New Roman" w:hAnsi="Times New Roman" w:cs="Times New Roman"/>
          <w:sz w:val="24"/>
          <w:szCs w:val="24"/>
        </w:rPr>
        <w:t>.</w:t>
      </w:r>
      <w:r w:rsidR="0074349A" w:rsidRPr="0073228A">
        <w:rPr>
          <w:rFonts w:ascii="Times New Roman" w:hAnsi="Times New Roman" w:cs="Times New Roman"/>
          <w:sz w:val="24"/>
          <w:szCs w:val="24"/>
        </w:rPr>
        <w:t xml:space="preserve"> Similar to our findings</w:t>
      </w:r>
      <w:r w:rsidR="002502D2" w:rsidRPr="0073228A">
        <w:rPr>
          <w:rFonts w:ascii="Times New Roman" w:hAnsi="Times New Roman" w:cs="Times New Roman"/>
          <w:sz w:val="24"/>
          <w:szCs w:val="24"/>
        </w:rPr>
        <w:t>,</w:t>
      </w:r>
      <w:r w:rsidR="0074349A" w:rsidRPr="0073228A">
        <w:rPr>
          <w:rFonts w:ascii="Times New Roman" w:hAnsi="Times New Roman" w:cs="Times New Roman"/>
          <w:sz w:val="24"/>
          <w:szCs w:val="24"/>
        </w:rPr>
        <w:t xml:space="preserve"> no increase in NVT OM incidence was reported in the PCV7 era between 2006 and 2011 in New York while in the same time NVT carriage tripled </w:t>
      </w:r>
      <w:r w:rsidR="0074349A" w:rsidRPr="0073228A">
        <w:rPr>
          <w:rFonts w:ascii="Times New Roman" w:hAnsi="Times New Roman" w:cs="Times New Roman"/>
          <w:sz w:val="24"/>
          <w:szCs w:val="24"/>
        </w:rPr>
        <w:fldChar w:fldCharType="begin" w:fldLock="1"/>
      </w:r>
      <w:r w:rsidR="00221A17">
        <w:rPr>
          <w:rFonts w:ascii="Times New Roman" w:hAnsi="Times New Roman" w:cs="Times New Roman"/>
          <w:sz w:val="24"/>
          <w:szCs w:val="24"/>
        </w:rPr>
        <w:instrText>ADDIN CSL_CITATION { "citationItems" : [ { "id" : "ITEM-1", "itemData" : { "DOI" : "10.1017/S0950268813003178", "ISSN" : "1469-4409", "PMID" : "24480055", "abstract" : "During a 5-year prospective study of nasopharyngeal (NP) colonization and acute otitis media (AOM) infections in children during the 7-valent pneumococcal conjugate vaccine (PCV) era (July 2006-June 2011) we studied risk factors for NP colonization and AOM. NP samples were collected at ages 6, 9, 12, 15, 18, 24, and 30 months during well-child visits. Additionally, NP and middle ear fluid (MEF) samples were collected at onset of every AOM episode. From 1825 visits (n = 464 children), 5301 NP and 570 MEF samples were collected and analysed for potential otopathogens. Daycare attendance, NP colonization by Moraxella catarrhalis, and siblings aged &lt;5 years increased the risk of Streptococcus pneumoniae NP colonization. NP colonization with S. pneumoniae, M. catarrhalis, or Haemophilus influenzae and a family history of OM increased the risk of AOM. Risk factors that increase the risk of pneumococcal AOM will be important to reassess as we move into a new 13-valent PCV era, especially co-colonization with other potential otopathogens.", "author" : [ { "dropping-particle" : "", "family" : "Friedel", "given" : "V", "non-dropping-particle" : "", "parse-names" : false, "suffix" : "" }, { "dropping-particle" : "", "family" : "Zilora", "given" : "S", "non-dropping-particle" : "", "parse-names" : false, "suffix" : "" }, { "dropping-particle" : "", "family" : "Bogaard", "given" : "D", "non-dropping-particle" : "", "parse-names" : false, "suffix" : "" }, { "dropping-particle" : "", "family" : "Casey", "given" : "J R", "non-dropping-particle" : "", "parse-names" : false, "suffix" : "" }, { "dropping-particle" : "", "family" : "Pichichero", "given" : "M E", "non-dropping-particle" : "", "parse-names" : false, "suffix" : "" } ], "container-title" : "Epidemiology and infection", "id" : "ITEM-1", "issue" : "10", "issued" : { "date-parts" : [ [ "2014", "10" ] ] }, "page" : "2186-94", "title" : "Five-year prospective study of paediatric acute otitis media in Rochester, NY: modelling analysis of the risk of pneumococcal colonization in the nasopharynx and infection.", "type" : "article-journal", "volume" : "142" }, "uris" : [ "http://www.mendeley.com/documents/?uuid=9237e28f-f578-43c3-8fda-b712e2f84559" ] } ], "mendeley" : { "formattedCitation" : "(18)", "plainTextFormattedCitation" : "(18)", "previouslyFormattedCitation" : "(18)" }, "properties" : { "noteIndex" : 0 }, "schema" : "https://github.com/citation-style-language/schema/raw/master/csl-citation.json" }</w:instrText>
      </w:r>
      <w:r w:rsidR="0074349A" w:rsidRPr="0073228A">
        <w:rPr>
          <w:rFonts w:ascii="Times New Roman" w:hAnsi="Times New Roman" w:cs="Times New Roman"/>
          <w:sz w:val="24"/>
          <w:szCs w:val="24"/>
        </w:rPr>
        <w:fldChar w:fldCharType="separate"/>
      </w:r>
      <w:r w:rsidR="00242661" w:rsidRPr="00242661">
        <w:rPr>
          <w:rFonts w:ascii="Times New Roman" w:hAnsi="Times New Roman" w:cs="Times New Roman"/>
          <w:noProof/>
          <w:sz w:val="24"/>
          <w:szCs w:val="24"/>
        </w:rPr>
        <w:t>(18)</w:t>
      </w:r>
      <w:r w:rsidR="0074349A" w:rsidRPr="0073228A">
        <w:rPr>
          <w:rFonts w:ascii="Times New Roman" w:hAnsi="Times New Roman" w:cs="Times New Roman"/>
          <w:sz w:val="24"/>
          <w:szCs w:val="24"/>
        </w:rPr>
        <w:fldChar w:fldCharType="end"/>
      </w:r>
      <w:r w:rsidR="0074349A" w:rsidRPr="0073228A">
        <w:rPr>
          <w:rFonts w:ascii="Times New Roman" w:hAnsi="Times New Roman" w:cs="Times New Roman"/>
          <w:sz w:val="24"/>
          <w:szCs w:val="24"/>
        </w:rPr>
        <w:t>.</w:t>
      </w:r>
      <w:r w:rsidR="009E029D" w:rsidRPr="0073228A">
        <w:rPr>
          <w:rFonts w:ascii="Times New Roman" w:hAnsi="Times New Roman" w:cs="Times New Roman"/>
          <w:sz w:val="24"/>
          <w:szCs w:val="24"/>
        </w:rPr>
        <w:t xml:space="preserve"> </w:t>
      </w:r>
      <w:r w:rsidR="003C790A" w:rsidRPr="0073228A">
        <w:rPr>
          <w:rFonts w:ascii="Times New Roman" w:hAnsi="Times New Roman" w:cs="Times New Roman"/>
          <w:sz w:val="24"/>
          <w:szCs w:val="24"/>
        </w:rPr>
        <w:t xml:space="preserve">An additional multicentre study of 8 children hospitals, showed that OM caused by serotype 19A rapidly decreased in the immediate 3 years post PCV13 introduction in the US (2011-2012) but </w:t>
      </w:r>
      <w:r w:rsidR="00220190" w:rsidRPr="0073228A">
        <w:rPr>
          <w:rFonts w:ascii="Times New Roman" w:hAnsi="Times New Roman" w:cs="Times New Roman"/>
          <w:sz w:val="24"/>
          <w:szCs w:val="24"/>
        </w:rPr>
        <w:t xml:space="preserve">NVT OM did not increase </w:t>
      </w:r>
      <w:r w:rsidR="00220190" w:rsidRPr="0073228A">
        <w:rPr>
          <w:rFonts w:ascii="Times New Roman" w:hAnsi="Times New Roman" w:cs="Times New Roman"/>
          <w:sz w:val="24"/>
          <w:szCs w:val="24"/>
        </w:rPr>
        <w:fldChar w:fldCharType="begin" w:fldLock="1"/>
      </w:r>
      <w:r w:rsidR="00221A17">
        <w:rPr>
          <w:rFonts w:ascii="Times New Roman" w:hAnsi="Times New Roman" w:cs="Times New Roman"/>
          <w:sz w:val="24"/>
          <w:szCs w:val="24"/>
        </w:rPr>
        <w:instrText>ADDIN CSL_CITATION { "citationItems" : [ { "id" : "ITEM-1", "itemData" : { "DOI" : "10.1093/cid/civ067", "ISSN" : "1058-4838", "author" : [ { "dropping-particle" : "", "family" : "Kaplan", "given" : "S. L.", "non-dropping-particle" : "", "parse-names" : false, "suffix" : "" }, { "dropping-particle" : "", "family" : "Center", "given" : "K. J.", "non-dropping-particle" : "", "parse-names" : false, "suffix" : "" }, { "dropping-particle" : "", "family" : "Barson", "given" : "W. J.", "non-dropping-particle" : "", "parse-names" : false, "suffix" : "" }, { "dropping-particle" : "", "family" : "Ling-Lin", "given" : "P.", "non-dropping-particle" : "", "parse-names" : false, "suffix" : "" }, { "dropping-particle" : "", "family" : "Romero", "given" : "J. R.", "non-dropping-particle" : "", "parse-names" : false, "suffix" : "" }, { "dropping-particle" : "", "family" : "Bradley", "given" : "J. S.", "non-dropping-particle" : "", "parse-names" : false, "suffix" : "" }, { "dropping-particle" : "", "family" : "Tan", "given" : "T. Q.", "non-dropping-particle" : "", "parse-names" : false, "suffix" : "" }, { "dropping-particle" : "", "family" : "Hoffman", "given" : "J. a.", "non-dropping-particle" : "", "parse-names" : false, "suffix" : "" }, { "dropping-particle" : "", "family" : "Peters", "given" : "T. R.", "non-dropping-particle" : "", "parse-names" : false, "suffix" : "" }, { "dropping-particle" : "", "family" : "Gurtman", "given" : "a.", "non-dropping-particle" : "", "parse-names" : false, "suffix" : "" }, { "dropping-particle" : "", "family" : "Scott", "given" : "D. a.", "non-dropping-particle" : "", "parse-names" : false, "suffix" : "" }, { "dropping-particle" : "", "family" : "Trammel", "given" : "J.", "non-dropping-particle" : "", "parse-names" : false, "suffix" : "" }, { "dropping-particle" : "", "family" : "Gruber", "given" : "W. C.", "non-dropping-particle" : "", "parse-names" : false, "suffix" : "" }, { "dropping-particle" : "", "family" : "Hulten", "given" : "K. G.", "non-dropping-particle" : "", "parse-names" : false, "suffix" : "" }, { "dropping-particle" : "", "family" : "Mason", "given" : "E. O.", "non-dropping-particle" : "", "parse-names" : false, "suffix" : "" } ], "container-title" : "Clinical Infectious Diseases", "id" : "ITEM-1", "issued" : { "date-parts" : [ [ "2015" ] ] }, "page" : "1339-1345", "title" : "Multicenter Surveillance of Streptococcus pneumoniae Isolates From Middle Ear and Mastoid Cultures in the 13-Valent Pneumococcal Conjugate Vaccine Era", "type" : "article-journal", "volume" : "60" }, "uris" : [ "http://www.mendeley.com/documents/?uuid=a978faa4-88d6-4838-ad8b-ca0bb1f1e6d7" ] } ], "mendeley" : { "formattedCitation" : "(19)", "plainTextFormattedCitation" : "(19)", "previouslyFormattedCitation" : "(19)" }, "properties" : { "noteIndex" : 0 }, "schema" : "https://github.com/citation-style-language/schema/raw/master/csl-citation.json" }</w:instrText>
      </w:r>
      <w:r w:rsidR="00220190" w:rsidRPr="0073228A">
        <w:rPr>
          <w:rFonts w:ascii="Times New Roman" w:hAnsi="Times New Roman" w:cs="Times New Roman"/>
          <w:sz w:val="24"/>
          <w:szCs w:val="24"/>
        </w:rPr>
        <w:fldChar w:fldCharType="separate"/>
      </w:r>
      <w:r w:rsidR="00242661" w:rsidRPr="00242661">
        <w:rPr>
          <w:rFonts w:ascii="Times New Roman" w:hAnsi="Times New Roman" w:cs="Times New Roman"/>
          <w:noProof/>
          <w:sz w:val="24"/>
          <w:szCs w:val="24"/>
        </w:rPr>
        <w:t>(19)</w:t>
      </w:r>
      <w:r w:rsidR="00220190" w:rsidRPr="0073228A">
        <w:rPr>
          <w:rFonts w:ascii="Times New Roman" w:hAnsi="Times New Roman" w:cs="Times New Roman"/>
          <w:sz w:val="24"/>
          <w:szCs w:val="24"/>
        </w:rPr>
        <w:fldChar w:fldCharType="end"/>
      </w:r>
      <w:r w:rsidR="003C790A" w:rsidRPr="0073228A">
        <w:rPr>
          <w:rFonts w:ascii="Times New Roman" w:hAnsi="Times New Roman" w:cs="Times New Roman"/>
          <w:sz w:val="24"/>
          <w:szCs w:val="24"/>
        </w:rPr>
        <w:t xml:space="preserve">. </w:t>
      </w:r>
      <w:r w:rsidR="002502D2" w:rsidRPr="0073228A">
        <w:rPr>
          <w:rFonts w:ascii="Times New Roman" w:hAnsi="Times New Roman" w:cs="Times New Roman"/>
          <w:sz w:val="24"/>
          <w:szCs w:val="24"/>
        </w:rPr>
        <w:t xml:space="preserve"> </w:t>
      </w:r>
      <w:r w:rsidR="009C6F69" w:rsidRPr="0073228A">
        <w:rPr>
          <w:rFonts w:ascii="Times New Roman" w:hAnsi="Times New Roman" w:cs="Times New Roman"/>
          <w:sz w:val="24"/>
          <w:szCs w:val="24"/>
        </w:rPr>
        <w:t xml:space="preserve">Anticipation for </w:t>
      </w:r>
      <w:r w:rsidR="00220190" w:rsidRPr="0073228A">
        <w:rPr>
          <w:rFonts w:ascii="Times New Roman" w:hAnsi="Times New Roman" w:cs="Times New Roman"/>
          <w:sz w:val="24"/>
          <w:szCs w:val="24"/>
        </w:rPr>
        <w:t xml:space="preserve">an </w:t>
      </w:r>
      <w:r w:rsidR="009C6F69" w:rsidRPr="0073228A">
        <w:rPr>
          <w:rFonts w:ascii="Times New Roman" w:hAnsi="Times New Roman" w:cs="Times New Roman"/>
          <w:sz w:val="24"/>
          <w:szCs w:val="24"/>
        </w:rPr>
        <w:t xml:space="preserve">increase in NVT OM </w:t>
      </w:r>
      <w:r w:rsidR="00220190" w:rsidRPr="0073228A">
        <w:rPr>
          <w:rFonts w:ascii="Times New Roman" w:hAnsi="Times New Roman" w:cs="Times New Roman"/>
          <w:sz w:val="24"/>
          <w:szCs w:val="24"/>
        </w:rPr>
        <w:t xml:space="preserve">post vaccination </w:t>
      </w:r>
      <w:r w:rsidR="009C6F69" w:rsidRPr="0073228A">
        <w:rPr>
          <w:rFonts w:ascii="Times New Roman" w:hAnsi="Times New Roman" w:cs="Times New Roman"/>
          <w:sz w:val="24"/>
          <w:szCs w:val="24"/>
        </w:rPr>
        <w:t xml:space="preserve">is based on the </w:t>
      </w:r>
      <w:r w:rsidR="008E3294" w:rsidRPr="0073228A">
        <w:rPr>
          <w:rFonts w:ascii="Times New Roman" w:hAnsi="Times New Roman" w:cs="Times New Roman"/>
          <w:sz w:val="24"/>
          <w:szCs w:val="24"/>
        </w:rPr>
        <w:t xml:space="preserve">finding </w:t>
      </w:r>
      <w:r w:rsidR="002502D2" w:rsidRPr="0073228A">
        <w:rPr>
          <w:rFonts w:ascii="Times New Roman" w:hAnsi="Times New Roman" w:cs="Times New Roman"/>
          <w:sz w:val="24"/>
          <w:szCs w:val="24"/>
        </w:rPr>
        <w:t>that</w:t>
      </w:r>
      <w:r w:rsidR="008E3294" w:rsidRPr="0073228A">
        <w:rPr>
          <w:rFonts w:ascii="Times New Roman" w:hAnsi="Times New Roman" w:cs="Times New Roman"/>
          <w:sz w:val="24"/>
          <w:szCs w:val="24"/>
        </w:rPr>
        <w:t xml:space="preserve"> </w:t>
      </w:r>
      <w:r w:rsidR="002502D2" w:rsidRPr="0073228A">
        <w:rPr>
          <w:rFonts w:ascii="Times New Roman" w:hAnsi="Times New Roman" w:cs="Times New Roman"/>
          <w:sz w:val="24"/>
          <w:szCs w:val="24"/>
        </w:rPr>
        <w:t>NVT</w:t>
      </w:r>
      <w:r w:rsidR="008E3294" w:rsidRPr="0073228A">
        <w:rPr>
          <w:rFonts w:ascii="Times New Roman" w:hAnsi="Times New Roman" w:cs="Times New Roman"/>
          <w:sz w:val="24"/>
          <w:szCs w:val="24"/>
        </w:rPr>
        <w:t xml:space="preserve"> NP carriage </w:t>
      </w:r>
      <w:r w:rsidR="002502D2" w:rsidRPr="0073228A">
        <w:rPr>
          <w:rFonts w:ascii="Times New Roman" w:hAnsi="Times New Roman" w:cs="Times New Roman"/>
          <w:sz w:val="24"/>
          <w:szCs w:val="24"/>
        </w:rPr>
        <w:t xml:space="preserve">increased </w:t>
      </w:r>
      <w:r w:rsidR="00220190" w:rsidRPr="0073228A">
        <w:rPr>
          <w:rFonts w:ascii="Times New Roman" w:hAnsi="Times New Roman" w:cs="Times New Roman"/>
          <w:sz w:val="24"/>
          <w:szCs w:val="24"/>
        </w:rPr>
        <w:t xml:space="preserve">and therefore </w:t>
      </w:r>
      <w:r w:rsidR="008E3294" w:rsidRPr="0073228A">
        <w:rPr>
          <w:rFonts w:ascii="Times New Roman" w:hAnsi="Times New Roman" w:cs="Times New Roman"/>
          <w:sz w:val="24"/>
          <w:szCs w:val="24"/>
        </w:rPr>
        <w:t>exposure to NVT strains</w:t>
      </w:r>
      <w:r w:rsidR="009C6F69" w:rsidRPr="0073228A">
        <w:rPr>
          <w:rFonts w:ascii="Times New Roman" w:hAnsi="Times New Roman" w:cs="Times New Roman"/>
          <w:sz w:val="24"/>
          <w:szCs w:val="24"/>
        </w:rPr>
        <w:t xml:space="preserve">.  </w:t>
      </w:r>
      <w:r w:rsidR="00220190" w:rsidRPr="0073228A">
        <w:rPr>
          <w:rFonts w:ascii="Times New Roman" w:hAnsi="Times New Roman" w:cs="Times New Roman"/>
          <w:sz w:val="24"/>
          <w:szCs w:val="24"/>
        </w:rPr>
        <w:t>Inference of an</w:t>
      </w:r>
      <w:r w:rsidR="002502D2" w:rsidRPr="0073228A">
        <w:rPr>
          <w:rFonts w:ascii="Times New Roman" w:hAnsi="Times New Roman" w:cs="Times New Roman"/>
          <w:sz w:val="24"/>
          <w:szCs w:val="24"/>
        </w:rPr>
        <w:t xml:space="preserve"> increase in NVT OM </w:t>
      </w:r>
      <w:r w:rsidR="00220190" w:rsidRPr="0073228A">
        <w:rPr>
          <w:rFonts w:ascii="Times New Roman" w:hAnsi="Times New Roman" w:cs="Times New Roman"/>
          <w:sz w:val="24"/>
          <w:szCs w:val="24"/>
        </w:rPr>
        <w:t xml:space="preserve">implicitly </w:t>
      </w:r>
      <w:r w:rsidR="002502D2" w:rsidRPr="0073228A">
        <w:rPr>
          <w:rFonts w:ascii="Times New Roman" w:hAnsi="Times New Roman" w:cs="Times New Roman"/>
          <w:sz w:val="24"/>
          <w:szCs w:val="24"/>
        </w:rPr>
        <w:t>assumed</w:t>
      </w:r>
      <w:r w:rsidR="006C3F52" w:rsidRPr="0073228A">
        <w:rPr>
          <w:rFonts w:ascii="Times New Roman" w:hAnsi="Times New Roman" w:cs="Times New Roman"/>
          <w:sz w:val="24"/>
          <w:szCs w:val="24"/>
        </w:rPr>
        <w:t xml:space="preserve"> </w:t>
      </w:r>
      <w:r w:rsidR="008E3294" w:rsidRPr="0073228A">
        <w:rPr>
          <w:rFonts w:ascii="Times New Roman" w:hAnsi="Times New Roman" w:cs="Times New Roman"/>
          <w:sz w:val="24"/>
          <w:szCs w:val="24"/>
        </w:rPr>
        <w:t>that the</w:t>
      </w:r>
      <w:r w:rsidR="009C6F69" w:rsidRPr="0073228A">
        <w:rPr>
          <w:rFonts w:ascii="Times New Roman" w:hAnsi="Times New Roman" w:cs="Times New Roman"/>
          <w:sz w:val="24"/>
          <w:szCs w:val="24"/>
        </w:rPr>
        <w:t xml:space="preserve"> susceptibil</w:t>
      </w:r>
      <w:r w:rsidR="008E3294" w:rsidRPr="0073228A">
        <w:rPr>
          <w:rFonts w:ascii="Times New Roman" w:hAnsi="Times New Roman" w:cs="Times New Roman"/>
          <w:sz w:val="24"/>
          <w:szCs w:val="24"/>
        </w:rPr>
        <w:t>it</w:t>
      </w:r>
      <w:r w:rsidR="009C6F69" w:rsidRPr="0073228A">
        <w:rPr>
          <w:rFonts w:ascii="Times New Roman" w:hAnsi="Times New Roman" w:cs="Times New Roman"/>
          <w:sz w:val="24"/>
          <w:szCs w:val="24"/>
        </w:rPr>
        <w:t>y</w:t>
      </w:r>
      <w:r w:rsidR="008E3294" w:rsidRPr="0073228A">
        <w:rPr>
          <w:rFonts w:ascii="Times New Roman" w:hAnsi="Times New Roman" w:cs="Times New Roman"/>
          <w:sz w:val="24"/>
          <w:szCs w:val="24"/>
        </w:rPr>
        <w:t xml:space="preserve"> of the host</w:t>
      </w:r>
      <w:r w:rsidR="00220190" w:rsidRPr="0073228A">
        <w:rPr>
          <w:rFonts w:ascii="Times New Roman" w:hAnsi="Times New Roman" w:cs="Times New Roman"/>
          <w:sz w:val="24"/>
          <w:szCs w:val="24"/>
        </w:rPr>
        <w:t>’s</w:t>
      </w:r>
      <w:r w:rsidR="008E3294" w:rsidRPr="0073228A">
        <w:rPr>
          <w:rFonts w:ascii="Times New Roman" w:hAnsi="Times New Roman" w:cs="Times New Roman"/>
          <w:sz w:val="24"/>
          <w:szCs w:val="24"/>
        </w:rPr>
        <w:t xml:space="preserve"> middle ear </w:t>
      </w:r>
      <w:r w:rsidR="009C6F69" w:rsidRPr="0073228A">
        <w:rPr>
          <w:rFonts w:ascii="Times New Roman" w:hAnsi="Times New Roman" w:cs="Times New Roman"/>
          <w:sz w:val="24"/>
          <w:szCs w:val="24"/>
        </w:rPr>
        <w:t xml:space="preserve">to NVT pneumococci in the post </w:t>
      </w:r>
      <w:r w:rsidR="00220190" w:rsidRPr="0073228A">
        <w:rPr>
          <w:rFonts w:ascii="Times New Roman" w:hAnsi="Times New Roman" w:cs="Times New Roman"/>
          <w:sz w:val="24"/>
          <w:szCs w:val="24"/>
        </w:rPr>
        <w:t xml:space="preserve">vaccination </w:t>
      </w:r>
      <w:r w:rsidR="009C6F69" w:rsidRPr="0073228A">
        <w:rPr>
          <w:rFonts w:ascii="Times New Roman" w:hAnsi="Times New Roman" w:cs="Times New Roman"/>
          <w:sz w:val="24"/>
          <w:szCs w:val="24"/>
        </w:rPr>
        <w:t>era</w:t>
      </w:r>
      <w:r w:rsidR="008E3294" w:rsidRPr="0073228A">
        <w:rPr>
          <w:rFonts w:ascii="Times New Roman" w:hAnsi="Times New Roman" w:cs="Times New Roman"/>
          <w:sz w:val="24"/>
          <w:szCs w:val="24"/>
        </w:rPr>
        <w:t xml:space="preserve"> remains </w:t>
      </w:r>
      <w:r w:rsidR="00220190" w:rsidRPr="0073228A">
        <w:rPr>
          <w:rFonts w:ascii="Times New Roman" w:hAnsi="Times New Roman" w:cs="Times New Roman"/>
          <w:sz w:val="24"/>
          <w:szCs w:val="24"/>
        </w:rPr>
        <w:t>unchanged.  However, in the PCV era</w:t>
      </w:r>
      <w:r w:rsidR="009C6F69" w:rsidRPr="0073228A">
        <w:rPr>
          <w:rFonts w:ascii="Times New Roman" w:hAnsi="Times New Roman" w:cs="Times New Roman"/>
          <w:sz w:val="24"/>
          <w:szCs w:val="24"/>
        </w:rPr>
        <w:t xml:space="preserve"> </w:t>
      </w:r>
      <w:r w:rsidR="008E3294" w:rsidRPr="0073228A">
        <w:rPr>
          <w:rFonts w:ascii="Times New Roman" w:hAnsi="Times New Roman" w:cs="Times New Roman"/>
          <w:sz w:val="24"/>
          <w:szCs w:val="24"/>
        </w:rPr>
        <w:t>the</w:t>
      </w:r>
      <w:r w:rsidR="009C6F69" w:rsidRPr="0073228A">
        <w:rPr>
          <w:rFonts w:ascii="Times New Roman" w:hAnsi="Times New Roman" w:cs="Times New Roman"/>
          <w:sz w:val="24"/>
          <w:szCs w:val="24"/>
        </w:rPr>
        <w:t xml:space="preserve"> lower rate of early acute OM occurrence</w:t>
      </w:r>
      <w:r w:rsidR="008E3294" w:rsidRPr="0073228A">
        <w:rPr>
          <w:rFonts w:ascii="Times New Roman" w:hAnsi="Times New Roman" w:cs="Times New Roman"/>
          <w:sz w:val="24"/>
          <w:szCs w:val="24"/>
        </w:rPr>
        <w:t xml:space="preserve"> </w:t>
      </w:r>
      <w:r w:rsidR="00220190" w:rsidRPr="0073228A">
        <w:rPr>
          <w:rFonts w:ascii="Times New Roman" w:hAnsi="Times New Roman" w:cs="Times New Roman"/>
          <w:sz w:val="24"/>
          <w:szCs w:val="24"/>
        </w:rPr>
        <w:t xml:space="preserve">(which was predominantly caused by vaccine serotypes) </w:t>
      </w:r>
      <w:r w:rsidR="008E3294" w:rsidRPr="0073228A">
        <w:rPr>
          <w:rFonts w:ascii="Times New Roman" w:hAnsi="Times New Roman" w:cs="Times New Roman"/>
          <w:sz w:val="24"/>
          <w:szCs w:val="24"/>
        </w:rPr>
        <w:t xml:space="preserve">may reduce early tissue damage in turn </w:t>
      </w:r>
      <w:r w:rsidR="002502D2" w:rsidRPr="0073228A">
        <w:rPr>
          <w:rFonts w:ascii="Times New Roman" w:hAnsi="Times New Roman" w:cs="Times New Roman"/>
          <w:sz w:val="24"/>
          <w:szCs w:val="24"/>
        </w:rPr>
        <w:t>decreasing</w:t>
      </w:r>
      <w:r w:rsidR="008E3294" w:rsidRPr="0073228A">
        <w:rPr>
          <w:rFonts w:ascii="Times New Roman" w:hAnsi="Times New Roman" w:cs="Times New Roman"/>
          <w:sz w:val="24"/>
          <w:szCs w:val="24"/>
        </w:rPr>
        <w:t xml:space="preserve"> susceptibility to NVT pneumococci </w:t>
      </w:r>
      <w:r w:rsidR="002502D2" w:rsidRPr="0073228A">
        <w:rPr>
          <w:rFonts w:ascii="Times New Roman" w:hAnsi="Times New Roman" w:cs="Times New Roman"/>
          <w:sz w:val="24"/>
          <w:szCs w:val="24"/>
        </w:rPr>
        <w:t xml:space="preserve">as well as </w:t>
      </w:r>
      <w:r w:rsidR="00220190" w:rsidRPr="0073228A">
        <w:rPr>
          <w:rFonts w:ascii="Times New Roman" w:hAnsi="Times New Roman" w:cs="Times New Roman"/>
          <w:sz w:val="24"/>
          <w:szCs w:val="24"/>
        </w:rPr>
        <w:t xml:space="preserve">to </w:t>
      </w:r>
      <w:r w:rsidR="002502D2" w:rsidRPr="0073228A">
        <w:rPr>
          <w:rFonts w:ascii="Times New Roman" w:hAnsi="Times New Roman" w:cs="Times New Roman"/>
          <w:sz w:val="24"/>
          <w:szCs w:val="24"/>
        </w:rPr>
        <w:t>other potentially secondary</w:t>
      </w:r>
      <w:r w:rsidR="008E3294" w:rsidRPr="0073228A">
        <w:rPr>
          <w:rFonts w:ascii="Times New Roman" w:hAnsi="Times New Roman" w:cs="Times New Roman"/>
          <w:sz w:val="24"/>
          <w:szCs w:val="24"/>
        </w:rPr>
        <w:t xml:space="preserve"> pathogens </w:t>
      </w:r>
      <w:r w:rsidR="002502D2" w:rsidRPr="0073228A">
        <w:rPr>
          <w:rFonts w:ascii="Times New Roman" w:hAnsi="Times New Roman" w:cs="Times New Roman"/>
          <w:sz w:val="24"/>
          <w:szCs w:val="24"/>
        </w:rPr>
        <w:t>(</w:t>
      </w:r>
      <w:r w:rsidR="008E3294" w:rsidRPr="0073228A">
        <w:rPr>
          <w:rFonts w:ascii="Times New Roman" w:hAnsi="Times New Roman" w:cs="Times New Roman"/>
          <w:sz w:val="24"/>
          <w:szCs w:val="24"/>
        </w:rPr>
        <w:t xml:space="preserve">such as NTHi and </w:t>
      </w:r>
      <w:r w:rsidR="00CA51AD" w:rsidRPr="0073228A">
        <w:rPr>
          <w:rFonts w:ascii="Times New Roman" w:hAnsi="Times New Roman" w:cs="Times New Roman"/>
          <w:i/>
          <w:sz w:val="24"/>
          <w:szCs w:val="24"/>
        </w:rPr>
        <w:t>M. cat</w:t>
      </w:r>
      <w:r w:rsidR="008E3294" w:rsidRPr="0073228A">
        <w:rPr>
          <w:rFonts w:ascii="Times New Roman" w:hAnsi="Times New Roman" w:cs="Times New Roman"/>
          <w:i/>
          <w:sz w:val="24"/>
          <w:szCs w:val="24"/>
        </w:rPr>
        <w:t>arr</w:t>
      </w:r>
      <w:r w:rsidR="00CA51AD" w:rsidRPr="0073228A">
        <w:rPr>
          <w:rFonts w:ascii="Times New Roman" w:hAnsi="Times New Roman" w:cs="Times New Roman"/>
          <w:i/>
          <w:sz w:val="24"/>
          <w:szCs w:val="24"/>
        </w:rPr>
        <w:t>hal</w:t>
      </w:r>
      <w:r w:rsidR="008E3294" w:rsidRPr="0073228A">
        <w:rPr>
          <w:rFonts w:ascii="Times New Roman" w:hAnsi="Times New Roman" w:cs="Times New Roman"/>
          <w:i/>
          <w:sz w:val="24"/>
          <w:szCs w:val="24"/>
        </w:rPr>
        <w:t>is</w:t>
      </w:r>
      <w:r w:rsidR="002502D2" w:rsidRPr="0073228A">
        <w:rPr>
          <w:rFonts w:ascii="Times New Roman" w:hAnsi="Times New Roman" w:cs="Times New Roman"/>
          <w:sz w:val="24"/>
          <w:szCs w:val="24"/>
        </w:rPr>
        <w:t xml:space="preserve">, often presenting as </w:t>
      </w:r>
      <w:r w:rsidR="006C3F52" w:rsidRPr="0073228A">
        <w:rPr>
          <w:rFonts w:ascii="Times New Roman" w:hAnsi="Times New Roman" w:cs="Times New Roman"/>
          <w:sz w:val="24"/>
          <w:szCs w:val="24"/>
        </w:rPr>
        <w:t>po</w:t>
      </w:r>
      <w:r w:rsidR="008E3294" w:rsidRPr="0073228A">
        <w:rPr>
          <w:rFonts w:ascii="Times New Roman" w:hAnsi="Times New Roman" w:cs="Times New Roman"/>
          <w:sz w:val="24"/>
          <w:szCs w:val="24"/>
        </w:rPr>
        <w:t>lymicrobial etiology</w:t>
      </w:r>
      <w:r w:rsidR="006C3F52" w:rsidRPr="0073228A">
        <w:rPr>
          <w:rFonts w:ascii="Times New Roman" w:hAnsi="Times New Roman" w:cs="Times New Roman"/>
          <w:sz w:val="24"/>
          <w:szCs w:val="24"/>
        </w:rPr>
        <w:t>,</w:t>
      </w:r>
      <w:r w:rsidR="008E3294" w:rsidRPr="0073228A">
        <w:rPr>
          <w:rFonts w:ascii="Times New Roman" w:hAnsi="Times New Roman" w:cs="Times New Roman"/>
          <w:sz w:val="24"/>
          <w:szCs w:val="24"/>
        </w:rPr>
        <w:t xml:space="preserve"> often with biofilm formation</w:t>
      </w:r>
      <w:r w:rsidR="008F6ECD" w:rsidRPr="0073228A">
        <w:rPr>
          <w:rFonts w:ascii="Times New Roman" w:hAnsi="Times New Roman" w:cs="Times New Roman"/>
          <w:sz w:val="24"/>
          <w:szCs w:val="24"/>
        </w:rPr>
        <w:t>)</w:t>
      </w:r>
      <w:r w:rsidR="006C3F52" w:rsidRPr="0073228A">
        <w:rPr>
          <w:rFonts w:ascii="Times New Roman" w:hAnsi="Times New Roman" w:cs="Times New Roman"/>
          <w:sz w:val="24"/>
          <w:szCs w:val="24"/>
        </w:rPr>
        <w:t xml:space="preserve">. </w:t>
      </w:r>
      <w:r w:rsidR="001F7616" w:rsidRPr="0073228A">
        <w:rPr>
          <w:rFonts w:ascii="Times New Roman" w:hAnsi="Times New Roman" w:cs="Times New Roman"/>
          <w:sz w:val="24"/>
          <w:szCs w:val="24"/>
        </w:rPr>
        <w:t>Thus</w:t>
      </w:r>
      <w:r w:rsidR="009C6F69" w:rsidRPr="0073228A">
        <w:rPr>
          <w:rFonts w:ascii="Times New Roman" w:hAnsi="Times New Roman" w:cs="Times New Roman"/>
          <w:sz w:val="24"/>
          <w:szCs w:val="24"/>
        </w:rPr>
        <w:t xml:space="preserve">, </w:t>
      </w:r>
      <w:r w:rsidR="001F7616" w:rsidRPr="0073228A">
        <w:rPr>
          <w:rFonts w:ascii="Times New Roman" w:hAnsi="Times New Roman" w:cs="Times New Roman"/>
          <w:sz w:val="24"/>
          <w:szCs w:val="24"/>
        </w:rPr>
        <w:t xml:space="preserve">widespread implementation of PCV </w:t>
      </w:r>
      <w:r w:rsidR="00121AAA" w:rsidRPr="0073228A">
        <w:rPr>
          <w:rFonts w:ascii="Times New Roman" w:hAnsi="Times New Roman" w:cs="Times New Roman"/>
          <w:sz w:val="24"/>
          <w:szCs w:val="24"/>
        </w:rPr>
        <w:t xml:space="preserve">may have </w:t>
      </w:r>
      <w:r w:rsidR="001F7616" w:rsidRPr="0073228A">
        <w:rPr>
          <w:rFonts w:ascii="Times New Roman" w:hAnsi="Times New Roman" w:cs="Times New Roman"/>
          <w:sz w:val="24"/>
          <w:szCs w:val="24"/>
        </w:rPr>
        <w:t>result</w:t>
      </w:r>
      <w:r w:rsidR="00121AAA" w:rsidRPr="0073228A">
        <w:rPr>
          <w:rFonts w:ascii="Times New Roman" w:hAnsi="Times New Roman" w:cs="Times New Roman"/>
          <w:sz w:val="24"/>
          <w:szCs w:val="24"/>
        </w:rPr>
        <w:t>ed</w:t>
      </w:r>
      <w:r w:rsidR="001F7616" w:rsidRPr="0073228A">
        <w:rPr>
          <w:rFonts w:ascii="Times New Roman" w:hAnsi="Times New Roman" w:cs="Times New Roman"/>
          <w:sz w:val="24"/>
          <w:szCs w:val="24"/>
        </w:rPr>
        <w:t xml:space="preserve"> in a lower susceptibility of the host to NVT pneumo</w:t>
      </w:r>
      <w:r w:rsidR="00CA51AD" w:rsidRPr="0073228A">
        <w:rPr>
          <w:rFonts w:ascii="Times New Roman" w:hAnsi="Times New Roman" w:cs="Times New Roman"/>
          <w:sz w:val="24"/>
          <w:szCs w:val="24"/>
        </w:rPr>
        <w:t xml:space="preserve">cocci </w:t>
      </w:r>
      <w:r w:rsidR="00121AAA" w:rsidRPr="0073228A">
        <w:rPr>
          <w:rFonts w:ascii="Times New Roman" w:hAnsi="Times New Roman" w:cs="Times New Roman"/>
          <w:sz w:val="24"/>
          <w:szCs w:val="24"/>
        </w:rPr>
        <w:t xml:space="preserve">OM, </w:t>
      </w:r>
      <w:r w:rsidR="00437B7A">
        <w:rPr>
          <w:rFonts w:ascii="Times New Roman" w:hAnsi="Times New Roman" w:cs="Times New Roman"/>
          <w:sz w:val="24"/>
          <w:szCs w:val="24"/>
        </w:rPr>
        <w:t xml:space="preserve">if </w:t>
      </w:r>
      <w:r w:rsidR="00121AAA" w:rsidRPr="0073228A">
        <w:rPr>
          <w:rFonts w:ascii="Times New Roman" w:hAnsi="Times New Roman" w:cs="Times New Roman"/>
          <w:sz w:val="24"/>
          <w:szCs w:val="24"/>
        </w:rPr>
        <w:t xml:space="preserve">NVT are </w:t>
      </w:r>
      <w:r w:rsidR="00CA51AD" w:rsidRPr="0073228A">
        <w:rPr>
          <w:rFonts w:ascii="Times New Roman" w:hAnsi="Times New Roman" w:cs="Times New Roman"/>
          <w:sz w:val="24"/>
          <w:szCs w:val="24"/>
        </w:rPr>
        <w:t>less virulent than</w:t>
      </w:r>
      <w:r w:rsidR="001F7616" w:rsidRPr="0073228A">
        <w:rPr>
          <w:rFonts w:ascii="Times New Roman" w:hAnsi="Times New Roman" w:cs="Times New Roman"/>
          <w:sz w:val="24"/>
          <w:szCs w:val="24"/>
        </w:rPr>
        <w:t xml:space="preserve"> the VT strains</w:t>
      </w:r>
      <w:r w:rsidR="00437B7A">
        <w:rPr>
          <w:rFonts w:ascii="Times New Roman" w:hAnsi="Times New Roman" w:cs="Times New Roman"/>
          <w:sz w:val="24"/>
          <w:szCs w:val="24"/>
        </w:rPr>
        <w:t xml:space="preserve"> as </w:t>
      </w:r>
      <w:r w:rsidR="00221A17">
        <w:rPr>
          <w:rFonts w:ascii="Times New Roman" w:hAnsi="Times New Roman" w:cs="Times New Roman"/>
          <w:sz w:val="24"/>
          <w:szCs w:val="24"/>
        </w:rPr>
        <w:t xml:space="preserve">has been </w:t>
      </w:r>
      <w:r w:rsidR="00437B7A">
        <w:rPr>
          <w:rFonts w:ascii="Times New Roman" w:hAnsi="Times New Roman" w:cs="Times New Roman"/>
          <w:sz w:val="24"/>
          <w:szCs w:val="24"/>
        </w:rPr>
        <w:t>observed for bacteremic pneumococcal infection</w:t>
      </w:r>
      <w:r w:rsidR="00221A17">
        <w:rPr>
          <w:rFonts w:ascii="Times New Roman" w:hAnsi="Times New Roman" w:cs="Times New Roman"/>
          <w:sz w:val="24"/>
          <w:szCs w:val="24"/>
        </w:rPr>
        <w:t xml:space="preserve">s but also OM </w:t>
      </w:r>
      <w:r w:rsidR="00221A17">
        <w:rPr>
          <w:rFonts w:ascii="Times New Roman" w:hAnsi="Times New Roman" w:cs="Times New Roman"/>
          <w:sz w:val="24"/>
          <w:szCs w:val="24"/>
        </w:rPr>
        <w:fldChar w:fldCharType="begin" w:fldLock="1"/>
      </w:r>
      <w:r w:rsidR="00221A17">
        <w:rPr>
          <w:rFonts w:ascii="Times New Roman" w:hAnsi="Times New Roman" w:cs="Times New Roman"/>
          <w:sz w:val="24"/>
          <w:szCs w:val="24"/>
        </w:rPr>
        <w:instrText>ADDIN CSL_CITATION { "citationItems" : [ { "id" : "ITEM-1", "itemData" : { "PMID" : "16804429", "abstract" : "BACKGROUND: Recent studies have shown that some Streptococcus pneumoniae\nserotypes possess a higher potential to cause invasive disease than\nothers. However, it is unknown whether disease potential for specific\nserotypes is similar for mucosal disease. Our objective was to assess\nthe disease potential of individual S. pneumoniae serotypes causing\ninvasive pneumococcal disease (IPD), acute otitis media (AOM) and\nacute conjunctivitis (AC) in children. METHODS: Serotypes of pneumococcal\nisolates from children with IPD, AOM and AC were compared with those\ncarried by healthy children aged &lt;3 years. All children resided in\nthe same area and were studied during the same period. Odds ratios\nfor disease were calculated for each diagnosis following multivariate\nanalysis, including gender, age, ethnic group, previous antibiotic\ntreatment and year variability. RESULTS: A total of 5,500 isolates\nwere collected: 189 from blood or cerebrospinal fluid, 3,200 from\nmiddle ear fluid, 348 from conjunctiva and 1,763 from nasopharynx\nof healthy children. A significant positive association with IPD\nwas demonstrated for serotypes 1, 5 and 12F; with AOM for serotypes\n1, 3, 5, 12F, 19A and 19F; and with AC for serotype 3 and nontypeable\nS. pneumoniae. A significant negative association with IPD was demonstrated\nfor nontypeable S. pneumoniae and with AOM for serotypes 6A, 6B,\n15A and nontypeable S. pneumoniae. CONCLUSIONS: Our results reflect\nthe importance of the polysaccharide capsule in site-specific disease\npotential and provide useful information regarding disease potential\nof nonvaccine serotypes shown to be involved in carriage replacement\nafter vaccination with the 7-valent conjugate vaccine.", "author" : [ { "dropping-particle" : "", "family" : "Shouval", "given" : "Dror S", "non-dropping-particle" : "", "parse-names" : false, "suffix" : "" }, { "dropping-particle" : "", "family" : "Greenberg", "given" : "David", "non-dropping-particle" : "", "parse-names" : false, "suffix" : "" }, { "dropping-particle" : "", "family" : "Givon-Lavi", "given" : "Noga", "non-dropping-particle" : "", "parse-names" : false, "suffix" : "" }, { "dropping-particle" : "", "family" : "Porat", "given" : "Nurith", "non-dropping-particle" : "", "parse-names" : false, "suffix" : "" }, { "dropping-particle" : "", "family" : "Dagan", "given" : "Ron", "non-dropping-particle" : "", "parse-names" : false, "suffix" : "" } ], "container-title" : "Pediatr Infect Dis J", "id" : "ITEM-1", "issue" : "7", "issued" : { "date-parts" : [ [ "2006", "7" ] ] }, "page" : "602-607", "title" : "Site-specific disease potential of individual Streptococcus pneumoniae serotypes in pediatric invasive disease, acute otitis media and acute conjunctivitis.", "type" : "article-journal", "volume" : "25" }, "uris" : [ "http://www.mendeley.com/documents/?uuid=662c5f2e-759b-47fe-9282-bb61bec14c6d" ] } ], "mendeley" : { "formattedCitation" : "(20)", "plainTextFormattedCitation" : "(20)" }, "properties" : { "noteIndex" : 0 }, "schema" : "https://github.com/citation-style-language/schema/raw/master/csl-citation.json" }</w:instrText>
      </w:r>
      <w:r w:rsidR="00221A17">
        <w:rPr>
          <w:rFonts w:ascii="Times New Roman" w:hAnsi="Times New Roman" w:cs="Times New Roman"/>
          <w:sz w:val="24"/>
          <w:szCs w:val="24"/>
        </w:rPr>
        <w:fldChar w:fldCharType="separate"/>
      </w:r>
      <w:r w:rsidR="00221A17" w:rsidRPr="00221A17">
        <w:rPr>
          <w:rFonts w:ascii="Times New Roman" w:hAnsi="Times New Roman" w:cs="Times New Roman"/>
          <w:noProof/>
          <w:sz w:val="24"/>
          <w:szCs w:val="24"/>
        </w:rPr>
        <w:t>(20)</w:t>
      </w:r>
      <w:r w:rsidR="00221A17">
        <w:rPr>
          <w:rFonts w:ascii="Times New Roman" w:hAnsi="Times New Roman" w:cs="Times New Roman"/>
          <w:sz w:val="24"/>
          <w:szCs w:val="24"/>
        </w:rPr>
        <w:fldChar w:fldCharType="end"/>
      </w:r>
      <w:r w:rsidR="001F7616" w:rsidRPr="0073228A">
        <w:rPr>
          <w:rFonts w:ascii="Times New Roman" w:hAnsi="Times New Roman" w:cs="Times New Roman"/>
          <w:sz w:val="24"/>
          <w:szCs w:val="24"/>
        </w:rPr>
        <w:t>.  This i</w:t>
      </w:r>
      <w:r w:rsidR="0032575B">
        <w:rPr>
          <w:rFonts w:ascii="Times New Roman" w:hAnsi="Times New Roman" w:cs="Times New Roman"/>
          <w:sz w:val="24"/>
          <w:szCs w:val="24"/>
        </w:rPr>
        <w:t>n</w:t>
      </w:r>
      <w:r w:rsidR="001F7616" w:rsidRPr="0073228A">
        <w:rPr>
          <w:rFonts w:ascii="Times New Roman" w:hAnsi="Times New Roman" w:cs="Times New Roman"/>
          <w:sz w:val="24"/>
          <w:szCs w:val="24"/>
        </w:rPr>
        <w:t xml:space="preserve"> turn may explain the non-increase or even</w:t>
      </w:r>
      <w:r w:rsidR="008F6ECD" w:rsidRPr="0073228A">
        <w:rPr>
          <w:rFonts w:ascii="Times New Roman" w:hAnsi="Times New Roman" w:cs="Times New Roman"/>
          <w:sz w:val="24"/>
          <w:szCs w:val="24"/>
        </w:rPr>
        <w:t xml:space="preserve"> the eventual</w:t>
      </w:r>
      <w:r w:rsidR="001F7616" w:rsidRPr="0073228A">
        <w:rPr>
          <w:rFonts w:ascii="Times New Roman" w:hAnsi="Times New Roman" w:cs="Times New Roman"/>
          <w:sz w:val="24"/>
          <w:szCs w:val="24"/>
        </w:rPr>
        <w:t xml:space="preserve"> reduction of NVT OM</w:t>
      </w:r>
      <w:r w:rsidR="00121AAA" w:rsidRPr="0073228A">
        <w:rPr>
          <w:rFonts w:ascii="Times New Roman" w:hAnsi="Times New Roman" w:cs="Times New Roman"/>
          <w:sz w:val="24"/>
          <w:szCs w:val="24"/>
        </w:rPr>
        <w:t xml:space="preserve"> </w:t>
      </w:r>
      <w:r w:rsidR="00121AAA" w:rsidRPr="0073228A">
        <w:rPr>
          <w:rFonts w:ascii="Times New Roman" w:hAnsi="Times New Roman" w:cs="Times New Roman"/>
          <w:sz w:val="24"/>
          <w:szCs w:val="24"/>
        </w:rPr>
        <w:lastRenderedPageBreak/>
        <w:t>that was observed in southern Israel</w:t>
      </w:r>
      <w:r w:rsidR="008F6ECD" w:rsidRPr="0073228A">
        <w:rPr>
          <w:rFonts w:ascii="Times New Roman" w:hAnsi="Times New Roman" w:cs="Times New Roman"/>
          <w:sz w:val="24"/>
          <w:szCs w:val="24"/>
        </w:rPr>
        <w:t xml:space="preserve">. </w:t>
      </w:r>
      <w:r w:rsidR="001F7616" w:rsidRPr="0073228A">
        <w:rPr>
          <w:rFonts w:ascii="Times New Roman" w:hAnsi="Times New Roman" w:cs="Times New Roman"/>
          <w:sz w:val="24"/>
          <w:szCs w:val="24"/>
        </w:rPr>
        <w:t xml:space="preserve"> Indeed the findings </w:t>
      </w:r>
      <w:r w:rsidR="008F6ECD" w:rsidRPr="0073228A">
        <w:rPr>
          <w:rFonts w:ascii="Times New Roman" w:hAnsi="Times New Roman" w:cs="Times New Roman"/>
          <w:sz w:val="24"/>
          <w:szCs w:val="24"/>
        </w:rPr>
        <w:t xml:space="preserve">of first increase and then a decrease of NVT OM, the latter occurring </w:t>
      </w:r>
      <w:r w:rsidR="001F7616" w:rsidRPr="0073228A">
        <w:rPr>
          <w:rFonts w:ascii="Times New Roman" w:hAnsi="Times New Roman" w:cs="Times New Roman"/>
          <w:sz w:val="24"/>
          <w:szCs w:val="24"/>
        </w:rPr>
        <w:t>mainly a</w:t>
      </w:r>
      <w:r w:rsidR="00CA51AD" w:rsidRPr="0073228A">
        <w:rPr>
          <w:rFonts w:ascii="Times New Roman" w:hAnsi="Times New Roman" w:cs="Times New Roman"/>
          <w:sz w:val="24"/>
          <w:szCs w:val="24"/>
        </w:rPr>
        <w:t>fter the year 2011-2012</w:t>
      </w:r>
      <w:r w:rsidR="00121AAA" w:rsidRPr="0073228A">
        <w:rPr>
          <w:rFonts w:ascii="Times New Roman" w:hAnsi="Times New Roman" w:cs="Times New Roman"/>
          <w:sz w:val="24"/>
          <w:szCs w:val="24"/>
        </w:rPr>
        <w:t xml:space="preserve"> when coverage of PCV13, which includes the serotypes with the highest propensity for OM, increased,</w:t>
      </w:r>
      <w:r w:rsidR="00CA51AD" w:rsidRPr="0073228A">
        <w:rPr>
          <w:rFonts w:ascii="Times New Roman" w:hAnsi="Times New Roman" w:cs="Times New Roman"/>
          <w:sz w:val="24"/>
          <w:szCs w:val="24"/>
        </w:rPr>
        <w:t xml:space="preserve"> support</w:t>
      </w:r>
      <w:r w:rsidR="00121AAA" w:rsidRPr="0073228A">
        <w:rPr>
          <w:rFonts w:ascii="Times New Roman" w:hAnsi="Times New Roman" w:cs="Times New Roman"/>
          <w:sz w:val="24"/>
          <w:szCs w:val="24"/>
        </w:rPr>
        <w:t>s</w:t>
      </w:r>
      <w:r w:rsidR="001F7616" w:rsidRPr="0073228A">
        <w:rPr>
          <w:rFonts w:ascii="Times New Roman" w:hAnsi="Times New Roman" w:cs="Times New Roman"/>
          <w:sz w:val="24"/>
          <w:szCs w:val="24"/>
        </w:rPr>
        <w:t xml:space="preserve"> our hypothesis.</w:t>
      </w:r>
      <w:r w:rsidR="009F51D1" w:rsidRPr="0073228A">
        <w:rPr>
          <w:rFonts w:ascii="Times New Roman" w:hAnsi="Times New Roman" w:cs="Times New Roman"/>
          <w:sz w:val="24"/>
          <w:szCs w:val="24"/>
        </w:rPr>
        <w:t xml:space="preserve"> </w:t>
      </w:r>
    </w:p>
    <w:p w14:paraId="50C9339D" w14:textId="77777777" w:rsidR="007B732D" w:rsidRPr="0073228A" w:rsidRDefault="007B732D" w:rsidP="00167101">
      <w:pPr>
        <w:pStyle w:val="ListParagraph"/>
        <w:spacing w:after="0" w:line="480" w:lineRule="auto"/>
        <w:ind w:left="0"/>
        <w:rPr>
          <w:rFonts w:ascii="Times New Roman" w:hAnsi="Times New Roman" w:cs="Times New Roman"/>
          <w:sz w:val="24"/>
          <w:szCs w:val="24"/>
        </w:rPr>
      </w:pPr>
    </w:p>
    <w:p w14:paraId="31E25985" w14:textId="0A15273F" w:rsidR="007B732D" w:rsidRPr="0073228A" w:rsidRDefault="0055566D" w:rsidP="00167101">
      <w:pPr>
        <w:pStyle w:val="ListParagraph"/>
        <w:spacing w:before="240" w:line="480" w:lineRule="auto"/>
        <w:ind w:left="0"/>
        <w:rPr>
          <w:rFonts w:ascii="Times New Roman" w:hAnsi="Times New Roman" w:cs="Times New Roman"/>
          <w:sz w:val="24"/>
          <w:szCs w:val="24"/>
        </w:rPr>
      </w:pPr>
      <w:r w:rsidRPr="0073228A">
        <w:rPr>
          <w:rFonts w:ascii="Times New Roman" w:hAnsi="Times New Roman" w:cs="Times New Roman"/>
          <w:sz w:val="24"/>
          <w:szCs w:val="24"/>
        </w:rPr>
        <w:t xml:space="preserve">Previous studies have based the idea to monitor paediatric IPD via pneumococcal carriage on the notion that pneumococcal carriage is a pre-requisite for disease. As IPD is believed to follow shortly after acquisition they used changes in </w:t>
      </w:r>
      <w:r w:rsidR="00AC5DE9" w:rsidRPr="0073228A">
        <w:rPr>
          <w:rFonts w:ascii="Times New Roman" w:hAnsi="Times New Roman" w:cs="Times New Roman"/>
          <w:sz w:val="24"/>
          <w:szCs w:val="24"/>
        </w:rPr>
        <w:t xml:space="preserve">the epidemiology of new asymptomatic infections (carriage incidence) </w:t>
      </w:r>
      <w:r w:rsidRPr="0073228A">
        <w:rPr>
          <w:rFonts w:ascii="Times New Roman" w:hAnsi="Times New Roman" w:cs="Times New Roman"/>
          <w:sz w:val="24"/>
          <w:szCs w:val="24"/>
        </w:rPr>
        <w:t xml:space="preserve">as means to predict changes in IPD in the same age-group. </w:t>
      </w:r>
      <w:r w:rsidR="00AC5DE9" w:rsidRPr="0073228A">
        <w:rPr>
          <w:rFonts w:ascii="Times New Roman" w:hAnsi="Times New Roman" w:cs="Times New Roman"/>
          <w:sz w:val="24"/>
          <w:szCs w:val="24"/>
        </w:rPr>
        <w:t>In contrast to that w</w:t>
      </w:r>
      <w:r w:rsidRPr="0073228A">
        <w:rPr>
          <w:rFonts w:ascii="Times New Roman" w:hAnsi="Times New Roman" w:cs="Times New Roman"/>
          <w:sz w:val="24"/>
          <w:szCs w:val="24"/>
        </w:rPr>
        <w:t xml:space="preserve">e </w:t>
      </w:r>
      <w:r w:rsidR="00E50C3A" w:rsidRPr="0073228A">
        <w:rPr>
          <w:rFonts w:ascii="Times New Roman" w:hAnsi="Times New Roman" w:cs="Times New Roman"/>
          <w:sz w:val="24"/>
          <w:szCs w:val="24"/>
        </w:rPr>
        <w:t>hyp</w:t>
      </w:r>
      <w:r w:rsidR="00AC5DE9" w:rsidRPr="0073228A">
        <w:rPr>
          <w:rFonts w:ascii="Times New Roman" w:hAnsi="Times New Roman" w:cs="Times New Roman"/>
          <w:sz w:val="24"/>
          <w:szCs w:val="24"/>
        </w:rPr>
        <w:t>ot</w:t>
      </w:r>
      <w:r w:rsidR="00E50C3A" w:rsidRPr="0073228A">
        <w:rPr>
          <w:rFonts w:ascii="Times New Roman" w:hAnsi="Times New Roman" w:cs="Times New Roman"/>
          <w:sz w:val="24"/>
          <w:szCs w:val="24"/>
        </w:rPr>
        <w:t>hes</w:t>
      </w:r>
      <w:r w:rsidR="00AC5DE9" w:rsidRPr="0073228A">
        <w:rPr>
          <w:rFonts w:ascii="Times New Roman" w:hAnsi="Times New Roman" w:cs="Times New Roman"/>
          <w:sz w:val="24"/>
          <w:szCs w:val="24"/>
        </w:rPr>
        <w:t xml:space="preserve">ize that a change in exposure to pneumococcal serotypes drives changes in pneumococcal disease. Hence we use the carriage prevalence </w:t>
      </w:r>
      <w:r w:rsidR="00E50C3A" w:rsidRPr="0073228A">
        <w:rPr>
          <w:rFonts w:ascii="Times New Roman" w:hAnsi="Times New Roman" w:cs="Times New Roman"/>
          <w:sz w:val="24"/>
          <w:szCs w:val="24"/>
        </w:rPr>
        <w:t>among children up to 5 years old to predict</w:t>
      </w:r>
      <w:r w:rsidR="00AC5DE9" w:rsidRPr="0073228A">
        <w:rPr>
          <w:rFonts w:ascii="Times New Roman" w:hAnsi="Times New Roman" w:cs="Times New Roman"/>
          <w:sz w:val="24"/>
          <w:szCs w:val="24"/>
        </w:rPr>
        <w:t xml:space="preserve"> </w:t>
      </w:r>
      <w:r w:rsidR="00E50C3A" w:rsidRPr="0073228A">
        <w:rPr>
          <w:rFonts w:ascii="Times New Roman" w:hAnsi="Times New Roman" w:cs="Times New Roman"/>
          <w:sz w:val="24"/>
          <w:szCs w:val="24"/>
        </w:rPr>
        <w:t xml:space="preserve">changes in OM incidence in children younger than 2 years. We show, however, as part of the sensitivity analysis that </w:t>
      </w:r>
      <w:r w:rsidR="00A85AE2" w:rsidRPr="0073228A">
        <w:rPr>
          <w:rFonts w:ascii="Times New Roman" w:hAnsi="Times New Roman" w:cs="Times New Roman"/>
          <w:sz w:val="24"/>
          <w:szCs w:val="24"/>
        </w:rPr>
        <w:t>model predictions based on carriage incidence in children younger than 2 years of age show similar predictive abilities (</w:t>
      </w:r>
      <w:r w:rsidR="00A85AE2" w:rsidRPr="0073228A">
        <w:rPr>
          <w:rFonts w:ascii="Times New Roman" w:hAnsi="Times New Roman" w:cs="Times New Roman"/>
          <w:b/>
          <w:sz w:val="24"/>
          <w:szCs w:val="24"/>
        </w:rPr>
        <w:t>Figure S1</w:t>
      </w:r>
      <w:r w:rsidR="00A85AE2" w:rsidRPr="0073228A">
        <w:rPr>
          <w:rFonts w:ascii="Times New Roman" w:hAnsi="Times New Roman" w:cs="Times New Roman"/>
          <w:sz w:val="24"/>
          <w:szCs w:val="24"/>
        </w:rPr>
        <w:t>).</w:t>
      </w:r>
      <w:r w:rsidR="00C30103" w:rsidRPr="0073228A">
        <w:rPr>
          <w:rFonts w:ascii="Times New Roman" w:hAnsi="Times New Roman" w:cs="Times New Roman"/>
          <w:sz w:val="24"/>
          <w:szCs w:val="24"/>
        </w:rPr>
        <w:t xml:space="preserve"> Furthermore,</w:t>
      </w:r>
      <w:r w:rsidR="007B732D" w:rsidRPr="0073228A">
        <w:rPr>
          <w:rFonts w:ascii="Times New Roman" w:hAnsi="Times New Roman" w:cs="Times New Roman"/>
          <w:sz w:val="24"/>
          <w:szCs w:val="24"/>
        </w:rPr>
        <w:t xml:space="preserve"> we derive pneumococcal carriage prevalence from children that attend the paediatric emergency room. This assumes that pneumococcal carriage among those children is representative for pneumococcal carriage among otherwise healthy children.</w:t>
      </w:r>
      <w:r w:rsidR="0070253F">
        <w:rPr>
          <w:rFonts w:ascii="Times New Roman" w:hAnsi="Times New Roman" w:cs="Times New Roman"/>
          <w:sz w:val="24"/>
          <w:szCs w:val="24"/>
        </w:rPr>
        <w:t xml:space="preserve"> Consistent surveillance for nasopharyngeal carriage of pneumococcus in Israel as described earlier only started after introduction of PCV7. Hence in this study we were only able to assess changes using the first year of observation as a baseline but not to predict the impact of PCV which would require pre-vaccination data on OM and carriage. </w:t>
      </w:r>
    </w:p>
    <w:p w14:paraId="3426CBF2" w14:textId="77777777" w:rsidR="007B732D" w:rsidRPr="0073228A" w:rsidRDefault="007B732D" w:rsidP="00167101">
      <w:pPr>
        <w:pStyle w:val="ListParagraph"/>
        <w:spacing w:before="240" w:line="480" w:lineRule="auto"/>
        <w:ind w:left="0"/>
        <w:rPr>
          <w:rFonts w:ascii="Times New Roman" w:hAnsi="Times New Roman" w:cs="Times New Roman"/>
          <w:sz w:val="24"/>
          <w:szCs w:val="24"/>
        </w:rPr>
      </w:pPr>
    </w:p>
    <w:p w14:paraId="64181CD8" w14:textId="2125E6EC" w:rsidR="00167101" w:rsidRPr="0073228A" w:rsidRDefault="003D7FB7" w:rsidP="00C30103">
      <w:pPr>
        <w:pStyle w:val="ListParagraph"/>
        <w:spacing w:line="480" w:lineRule="auto"/>
        <w:ind w:left="0"/>
        <w:rPr>
          <w:rFonts w:ascii="Times New Roman" w:hAnsi="Times New Roman" w:cs="Times New Roman"/>
          <w:sz w:val="24"/>
          <w:szCs w:val="24"/>
        </w:rPr>
      </w:pPr>
      <w:r w:rsidRPr="0073228A">
        <w:rPr>
          <w:rFonts w:ascii="Times New Roman" w:hAnsi="Times New Roman" w:cs="Times New Roman"/>
          <w:sz w:val="24"/>
          <w:szCs w:val="24"/>
        </w:rPr>
        <w:t>We here present a study that uses a simple model</w:t>
      </w:r>
      <w:r w:rsidR="00EC6CC8" w:rsidRPr="0073228A">
        <w:rPr>
          <w:rFonts w:ascii="Times New Roman" w:hAnsi="Times New Roman" w:cs="Times New Roman"/>
          <w:sz w:val="24"/>
          <w:szCs w:val="24"/>
        </w:rPr>
        <w:t xml:space="preserve"> </w:t>
      </w:r>
      <w:r w:rsidRPr="0073228A">
        <w:rPr>
          <w:rFonts w:ascii="Times New Roman" w:hAnsi="Times New Roman" w:cs="Times New Roman"/>
          <w:sz w:val="24"/>
          <w:szCs w:val="24"/>
        </w:rPr>
        <w:t>representing only one of the most fundamental features of pneumococcal epidemiology</w:t>
      </w:r>
      <w:r w:rsidR="00105CFD" w:rsidRPr="0073228A">
        <w:rPr>
          <w:rFonts w:ascii="Times New Roman" w:hAnsi="Times New Roman" w:cs="Times New Roman"/>
          <w:sz w:val="24"/>
          <w:szCs w:val="24"/>
        </w:rPr>
        <w:t xml:space="preserve">  </w:t>
      </w:r>
      <w:r w:rsidR="00105CFD" w:rsidRPr="0073228A">
        <w:rPr>
          <w:rFonts w:ascii="Times New Roman" w:hAnsi="Times New Roman" w:cs="Times New Roman"/>
          <w:sz w:val="24"/>
          <w:szCs w:val="24"/>
        </w:rPr>
        <w:fldChar w:fldCharType="begin" w:fldLock="1"/>
      </w:r>
      <w:r w:rsidR="00221A17">
        <w:rPr>
          <w:rFonts w:ascii="Times New Roman" w:hAnsi="Times New Roman" w:cs="Times New Roman"/>
          <w:sz w:val="24"/>
          <w:szCs w:val="24"/>
        </w:rPr>
        <w:instrText>ADDIN CSL_CITATION { "citationItems" : [ { "id" : "ITEM-1", "itemData" : { "DOI" : "10.1126/science.1215947", "ISSN" : "0036-8075", "PMID" : "22383809", "abstract" : "Over 90 capsular serotypes of Streptococcus pneumoniae, a common nasopharyngeal colonizer and major cause of pneumonia, bacteremia, and meningitis, are known. It is unclear why some serotypes can persist at all: They are more easily cleared from carriage and compete poorly in vivo. Serotype-specific immune responses, which could promote diversity in principle, are weak enough to allow repeated colonizations by the same type. Here, we show that weak serotype-specific immunity and an acquired response not specific to the capsule can together reproduce observed diversity. Serotype-specific immunity stabilizes competition, and acquired immunity to noncapsular antigens reduces fitness differences. Our model can be used to explain the effects of pneumococcal vaccination and indicates general factors that regulate the diversity of pathogens.", "author" : [ { "dropping-particle" : "", "family" : "Cobey", "given" : "Sarah", "non-dropping-particle" : "", "parse-names" : false, "suffix" : "" }, { "dropping-particle" : "", "family" : "Lipsitch", "given" : "Marc", "non-dropping-particle" : "", "parse-names" : false, "suffix" : "" } ], "container-title" : "Science", "id" : "ITEM-1", "issue" : "6074", "issued" : { "date-parts" : [ [ "2012", "3", "16" ] ] }, "page" : "1376-1380", "title" : "Niche and Neutral Effects of Acquired Immunity Permit Coexistence of Pneumococcal Serotypes", "type" : "article-journal", "volume" : "335" }, "uris" : [ "http://www.mendeley.com/documents/?uuid=43b3e982-eece-4685-9a6b-a9a12b5b8fae" ] }, { "id" : "ITEM-2", "itemData" : { "DOI" : "10.1098/rspb.2013.1939", "ISSN" : "0962-8452", "PMID" : "24089337", "abstract" : "More than 90 capsular serotypes of Streptococcus pneumoniae coexist despite competing for nasopharyngeal carriage and a gradient in fitness. The underlying mechanisms for this are poorly understood and make assessment of the likely population impact of vaccination challenging. We use an individual-based simulation model to generalize widely used deterministic models for pneumococcal competition and show that in these models short-term serotype-specific and serotype non-specific immunity could constitute the mechanism governing between-host competition and coexistence. We find that non-specific immunity induces between-host competition and that serotype-specific immunity limits a type's competitive advantage and allows stable coexistence of multiple serotypes. Serotypes carried at low prevalence show high variance in carriage levels, which would result in apparent outbreaks if they were highly pathogenic. Vaccination against few serotypes can lead to elimination of the vaccine types and induces replacement by others. However, in simulations where the elimination of the targeted types is achieved only by a combination of vaccine effects and the competitive pressure of the non-vaccine types, a universal vaccine with similar-type-specific effectiveness can fail to eliminate pneumococcal carriage and offers limited herd immunity. Hence, if vaccine effects are insufficient to control the majority of serotypes at the same time, then exploiting the competitive pressure by selective vaccination can help control the most pathogenic serotypes.", "author" : [ { "dropping-particle" : "", "family" : "Flasche", "given" : "Stefan", "non-dropping-particle" : "", "parse-names" : false, "suffix" : "" }, { "dropping-particle" : "", "family" : "Edmunds", "given" : "W John", "non-dropping-particle" : "", "parse-names" : false, "suffix" : "" }, { "dropping-particle" : "", "family" : "Miller", "given" : "Elizabeth", "non-dropping-particle" : "", "parse-names" : false, "suffix" : "" }, { "dropping-particle" : "", "family" : "Goldblatt", "given" : "David", "non-dropping-particle" : "", "parse-names" : false, "suffix" : "" }, { "dropping-particle" : "", "family" : "Robertson", "given" : "Chris", "non-dropping-particle" : "", "parse-names" : false, "suffix" : "" }, { "dropping-particle" : "", "family" : "Choi", "given" : "Yoon Hong", "non-dropping-particle" : "", "parse-names" : false, "suffix" : "" } ], "container-title" : "Proceedings of the Royal Society B: Biological Sciences", "id" : "ITEM-2", "issue" : "1771", "issued" : { "date-parts" : [ [ "2013", "10", "2" ] ] }, "note" : "From Duplicate 2 ( \n\n\nThe impact of specific and non-specific immunity on the ecology of Streptococcus pneumoniae and the implications for vaccination\n\n\n- Flasche, Stefan; Edmunds, W John; Miller, Elizabeth; Goldblatt, David; Robertson, Chris; Choi, Yoon Hong )\n\n", "page" : "20131939-20131939", "title" : "The impact of specific and non-specific immunity on the ecology of Streptococcus pneumoniae and the implications for vaccination", "type" : "article-journal", "volume" : "280" }, "uris" : [ "http://www.mendeley.com/documents/?uuid=451b9480-93ec-45ef-8c0d-5b78e9876d10" ] } ], "mendeley" : { "formattedCitation" : "(21,22)", "plainTextFormattedCitation" : "(21,22)", "previouslyFormattedCitation" : "(20,21)" }, "properties" : { "noteIndex" : 0 }, "schema" : "https://github.com/citation-style-language/schema/raw/master/csl-citation.json" }</w:instrText>
      </w:r>
      <w:r w:rsidR="00105CFD" w:rsidRPr="0073228A">
        <w:rPr>
          <w:rFonts w:ascii="Times New Roman" w:hAnsi="Times New Roman" w:cs="Times New Roman"/>
          <w:sz w:val="24"/>
          <w:szCs w:val="24"/>
        </w:rPr>
        <w:fldChar w:fldCharType="separate"/>
      </w:r>
      <w:r w:rsidR="00221A17" w:rsidRPr="00221A17">
        <w:rPr>
          <w:rFonts w:ascii="Times New Roman" w:hAnsi="Times New Roman" w:cs="Times New Roman"/>
          <w:noProof/>
          <w:sz w:val="24"/>
          <w:szCs w:val="24"/>
        </w:rPr>
        <w:t>(21,22)</w:t>
      </w:r>
      <w:r w:rsidR="00105CFD" w:rsidRPr="0073228A">
        <w:rPr>
          <w:rFonts w:ascii="Times New Roman" w:hAnsi="Times New Roman" w:cs="Times New Roman"/>
          <w:sz w:val="24"/>
          <w:szCs w:val="24"/>
        </w:rPr>
        <w:fldChar w:fldCharType="end"/>
      </w:r>
      <w:r w:rsidR="00EC6CC8" w:rsidRPr="0073228A">
        <w:rPr>
          <w:rFonts w:ascii="Times New Roman" w:hAnsi="Times New Roman" w:cs="Times New Roman"/>
          <w:sz w:val="24"/>
          <w:szCs w:val="24"/>
        </w:rPr>
        <w:t>,</w:t>
      </w:r>
      <w:r w:rsidRPr="0073228A">
        <w:rPr>
          <w:rFonts w:ascii="Times New Roman" w:hAnsi="Times New Roman" w:cs="Times New Roman"/>
          <w:sz w:val="24"/>
          <w:szCs w:val="24"/>
        </w:rPr>
        <w:t xml:space="preserve"> i.e. a serotype group dependent risk of infected individuals to develop pneumococcal disease, to attempt predicting </w:t>
      </w:r>
      <w:r w:rsidRPr="0073228A">
        <w:rPr>
          <w:rFonts w:ascii="Times New Roman" w:hAnsi="Times New Roman" w:cs="Times New Roman"/>
          <w:sz w:val="24"/>
          <w:szCs w:val="24"/>
        </w:rPr>
        <w:lastRenderedPageBreak/>
        <w:t>OM incidence based on NP carriage data. Pooling serotypes into groups ignores any heterogeneity within that group</w:t>
      </w:r>
      <w:r w:rsidR="003C3021" w:rsidRPr="0073228A">
        <w:rPr>
          <w:rFonts w:ascii="Times New Roman" w:hAnsi="Times New Roman" w:cs="Times New Roman"/>
          <w:sz w:val="24"/>
          <w:szCs w:val="24"/>
        </w:rPr>
        <w:t xml:space="preserve"> </w:t>
      </w:r>
      <w:r w:rsidR="00730C14" w:rsidRPr="0073228A">
        <w:rPr>
          <w:rFonts w:ascii="Times New Roman" w:hAnsi="Times New Roman" w:cs="Times New Roman"/>
          <w:sz w:val="24"/>
          <w:szCs w:val="24"/>
        </w:rPr>
        <w:t>which may hinder predictions for example if serotype replacement in carriage or OM is driven predominantly by specific and a-typical serotypes. H</w:t>
      </w:r>
      <w:r w:rsidRPr="0073228A">
        <w:rPr>
          <w:rFonts w:ascii="Times New Roman" w:hAnsi="Times New Roman" w:cs="Times New Roman"/>
          <w:sz w:val="24"/>
          <w:szCs w:val="24"/>
        </w:rPr>
        <w:t xml:space="preserve">owever, given the complexity of </w:t>
      </w:r>
      <w:r w:rsidR="00730C14" w:rsidRPr="0073228A">
        <w:rPr>
          <w:rFonts w:ascii="Times New Roman" w:hAnsi="Times New Roman" w:cs="Times New Roman"/>
          <w:i/>
          <w:sz w:val="24"/>
          <w:szCs w:val="24"/>
        </w:rPr>
        <w:t>S. pneumoniae</w:t>
      </w:r>
      <w:r w:rsidR="00730C14" w:rsidRPr="0073228A">
        <w:rPr>
          <w:rFonts w:ascii="Times New Roman" w:hAnsi="Times New Roman" w:cs="Times New Roman"/>
          <w:sz w:val="24"/>
          <w:szCs w:val="24"/>
        </w:rPr>
        <w:t xml:space="preserve"> </w:t>
      </w:r>
      <w:r w:rsidRPr="0073228A">
        <w:rPr>
          <w:rFonts w:ascii="Times New Roman" w:hAnsi="Times New Roman" w:cs="Times New Roman"/>
          <w:sz w:val="24"/>
          <w:szCs w:val="24"/>
        </w:rPr>
        <w:t xml:space="preserve">such pooling is often necessary and has been </w:t>
      </w:r>
      <w:r w:rsidR="00EC6CC8" w:rsidRPr="0073228A">
        <w:rPr>
          <w:rFonts w:ascii="Times New Roman" w:hAnsi="Times New Roman" w:cs="Times New Roman"/>
          <w:sz w:val="24"/>
          <w:szCs w:val="24"/>
        </w:rPr>
        <w:t xml:space="preserve">used frequently to demonstrate properties of pneumococcal epidemiology </w:t>
      </w:r>
      <w:r w:rsidR="00EC6CC8" w:rsidRPr="0073228A">
        <w:rPr>
          <w:rFonts w:ascii="Times New Roman" w:hAnsi="Times New Roman" w:cs="Times New Roman"/>
          <w:sz w:val="24"/>
          <w:szCs w:val="24"/>
        </w:rPr>
        <w:fldChar w:fldCharType="begin" w:fldLock="1"/>
      </w:r>
      <w:r w:rsidR="00221A17">
        <w:rPr>
          <w:rFonts w:ascii="Times New Roman" w:hAnsi="Times New Roman" w:cs="Times New Roman"/>
          <w:sz w:val="24"/>
          <w:szCs w:val="24"/>
        </w:rPr>
        <w:instrText>ADDIN CSL_CITATION { "citationItems" : [ { "id" : "ITEM-1", "itemData" : { "DOI" : "10.1371/journal.pmed.1001017", "ISSN" : "1549-1676", "PMID" : "21483718", "abstract" : "BACKGROUND: We investigated the effect of the 7-valent pneumococcal conjugate vaccine (PCV7) programme in England on serotype-specific carriage and invasive disease to help understand its role in serotype replacement and predict the impact of higher valency vaccines. METHODS AND FINDINGS: Nasopharyngeal swabs were taken from children &lt;5 y old and family members (n=400) 2 y after introduction of PCV7 into routine immunization programs. Proportions carrying Streptococcus pneumoniae and serotype distribution among carried isolates were compared with a similar population prior to PCV7 introduction. Serotype-specific case carrier ratios (CCRs) were estimated using national data on invasive disease. In vaccinated children and their contacts vaccine-type (VT) carriage decreased, but was offset by an increase in non-VT carriage, with no significant overall change in carriage prevalence, odds ratio 1.06 (95% confidence interval 0.76-1.49). The lower CCRs of the replacing serotypes resulted in a net reduction in invasive disease in children. The additional serotypes covered by higher valency vaccines had low carriage but high disease prevalence. Serotype 11C emerged as predominant in carriage but caused no invasive disease whereas 8, 12F, and 22F emerged in disease but had very low carriage prevalence. CONCLUSION: Because the additional serotypes included in PCV10/13 have high CCRs but low carriage prevalence, vaccinating against them is likely to significantly reduce invasive disease with less risk of serotype replacement. However, a few serotypes with high CCRs could mitigate the benefits of higher valency vaccines. Assessment of the effect of PCV on carriage as well as invasive disease should be part of enhanced surveillance activities for PCVs. Please see later in the article for the Editors' Summary.", "author" : [ { "dropping-particle" : "", "family" : "Flasche", "given" : "Stefan", "non-dropping-particle" : "", "parse-names" : false, "suffix" : "" }, { "dropping-particle" : "Van", "family" : "Hoek", "given" : "Albert Jan", "non-dropping-particle" : "", "parse-names" : false, "suffix" : "" }, { "dropping-particle" : "", "family" : "Sheasby", "given" : "Elizabeth", "non-dropping-particle" : "", "parse-names" : false, "suffix" : "" }, { "dropping-particle" : "", "family" : "Waight", "given" : "Pauline", "non-dropping-particle" : "", "parse-names" : false, "suffix" : "" }, { "dropping-particle" : "", "family" : "Andrews", "given" : "Nick", "non-dropping-particle" : "", "parse-names" : false, "suffix" : "" }, { "dropping-particle" : "", "family" : "George", "given" : "Robert", "non-dropping-particle" : "", "parse-names" : false, "suffix" : "" }, { "dropping-particle" : "", "family" : "Miller", "given" : "Elizabeth", "non-dropping-particle" : "", "parse-names" : false, "suffix" : "" }, { "dropping-particle" : "", "family" : "Hoek", "given" : "Albert Jan Jan", "non-dropping-particle" : "van", "parse-names" : false, "suffix" : "" }, { "dropping-particle" : "", "family" : "Sheppard", "given" : "Carmen", "non-dropping-particle" : "", "parse-names" : false, "suffix" : "" }, { "dropping-particle" : "", "family" : "Sheasby", "given" : "Elizabeth", "non-dropping-particle" : "", "parse-names" : false, "suffix" : "" }, { "dropping-particle" : "", "family" : "Waight", "given" : "Pauline", "non-dropping-particle" : "", "parse-names" : false, "suffix" : "" }, { "dropping-particle" : "", "family" : "Andrews", "given" : "Nick", "non-dropping-particle" : "", "parse-names" : false, "suffix" : "" }, { "dropping-particle" : "", "family" : "Sheppard", "given" : "Carmen", "non-dropping-particle" : "", "parse-names" : false, "suffix" : "" }, { "dropping-particle" : "", "family" : "George", "given" : "Robert", "non-dropping-particle" : "", "parse-names" : false, "suffix" : "" }, { "dropping-particle" : "", "family" : "Miller", "given" : "Elizabeth", "non-dropping-particle" : "", "parse-names" : false, "suffix" : "" } ], "container-title" : "PLoS medicine", "id" : "ITEM-1", "issue" : "4", "issued" : { "date-parts" : [ [ "2011", "4" ] ] }, "page" : "e1001017", "title" : "Effect of pneumococcal conjugate vaccination on serotype-specific carriage and invasive disease in England: a cross-sectional study.", "type" : "article-journal", "volume" : "8" }, "uris" : [ "http://www.mendeley.com/documents/?uuid=91d5e843-f7b8-4941-8cf8-9875123142b8" ] }, { "id" : "ITEM-2", "itemData" : { "DOI" : "10.1371/journal.pone.0086136", "ISSN" : "1932-6203", "PMID" : "24465920", "abstract" : "INTRODUCTION: Data on the prevalence of nasopharyngeal carriage of S.pneumoniae in all age groups are important to help predict the impact of introducing pneumococcal conjugate vaccines (PCV) into routine infant immunization, given the important indirect effect of the vaccine. Yet most carriage studies are limited to children under five years of age. We here explore the association between carriage prevalence and serotype distribution in children aged \u22655 years and in adults compared to children.\n\nMETHODS: We conducted a systematic review of studies providing carriage estimates across age groups in healthy populations not previously exposed to PCV, using MEDLINE and Embase. We used Bayesian linear meta-regression models to predict the overall carriage prevalence as well as the prevalence and distribution of vaccine and nonvaccine type (VT and NVT) serotypes in older age groups as a function of that in &lt;5 y olds.\n\nRESULTS: Twenty-nine studies compromising of 20,391 individuals were included in the analysis. In all studies nasopharyngeal carriage decreased with increasing age. We found a strong positive linear association between the carriage prevalence in pre-school childen (&lt;5 y) and both that in school aged children (5-17 y olds) and in adults. The proportion of VT serotypes isolated from carriers was consistently lower in older age groups and on average about 73% that of children &lt;5 y among 5-17 y olds and adults respectively. We provide a prediction model to infer the carriage prevalence and serotype distribution in 5-17 y olds and adults as a function of that in children &lt;5 years of age.\n\nCONCLUSION: Such predictions are helpful for assessing the potential population-wide effects of vaccination programmes, e.g. via transmission models, and thus assist in the design of future pneumococcal conjugate vaccination strategies.", "author" : [ { "dropping-particle" : "", "family" : "Polain de Waroux", "given" : "Olivier", "non-dropping-particle" : "Le", "parse-names" : false, "suffix" : "" }, { "dropping-particle" : "", "family" : "Flasche", "given" : "Stefan", "non-dropping-particle" : "", "parse-names" : false, "suffix" : "" }, { "dropping-particle" : "", "family" : "Prieto-Merino", "given" : "David", "non-dropping-particle" : "", "parse-names" : false, "suffix" : "" }, { "dropping-particle" : "", "family" : "Edmunds", "given" : "W John", "non-dropping-particle" : "", "parse-names" : false, "suffix" : "" } ], "container-title" : "PloS one", "id" : "ITEM-2", "issue" : "1", "issued" : { "date-parts" : [ [ "2014", "1", "23" ] ] }, "note" : "From Duplicate 2 ( \n\n\nAge-Dependent Prevalence of Nasopharyngeal Carriage of Streptococcus pneumoniae before Conjugate Vaccine Introduction: A Prediction Model Based on a Meta-Analysis.\n\n\n- Waroux, OLP de; Flasche, Stefan; Le Polain de Waroux, Olivier; Prieto-Merino, David; Edmunds, W John )\n\n\n\n\nFrom Duplicate 2 ( \n\n\nAge-Dependent Prevalence of Nasopharyngeal Carriage of Streptococcus pneumoniae before Conjugate Vaccine Introduction: A Prediction Model Based on\n\n\n- Waroux, OLP de; Flasche, Stefan )\n\n", "page" : "e86136", "title" : "Age-Dependent Prevalence of Nasopharyngeal Carriage of Streptococcus pneumoniae before Conjugate Vaccine Introduction: A Prediction Model Based on a Meta-Analysis.", "type" : "article-journal", "volume" : "9" }, "uris" : [ "http://www.mendeley.com/documents/?uuid=35af9d88-8651-48cf-9dd6-aa9cef55c7a5" ] }, { "id" : "ITEM-3", "itemData" : { "DOI" : "10.1371/journal.pone.0056079", "ISSN" : "1932-6203", "PMID" : "23457504", "abstract" : "The degree and time frame of indirect effects of vaccination (serotype replacement and herd immunity) are key determinants in assessing the net effectiveness of vaccination with pneumococcal conjugate vaccines (PCV) in control of pneumococcal disease. Using modelling, we aimed to quantify these effects and their dependence on coverage of vaccination and the vaccine's efficacy against susceptibility to pneumococcal carriage.", "author" : [ { "dropping-particle" : "", "family" : "Nurhonen", "given" : "Markku", "non-dropping-particle" : "", "parse-names" : false, "suffix" : "" }, { "dropping-particle" : "", "family" : "Cheng", "given" : "Allen C", "non-dropping-particle" : "", "parse-names" : false, "suffix" : "" }, { "dropping-particle" : "", "family" : "Auranen", "given" : "Kari", "non-dropping-particle" : "", "parse-names" : false, "suffix" : "" } ], "container-title" : "PloS one", "id" : "ITEM-3", "issue" : "2", "issued" : { "date-parts" : [ [ "2013", "1" ] ] }, "page" : "e56079", "title" : "Pneumococcal transmission and disease in silico: a microsimulation model of the indirect effects of vaccination.", "type" : "article-journal", "volume" : "8" }, "uris" : [ "http://www.mendeley.com/documents/?uuid=41cba758-9ca0-462f-af6a-801b68de0283" ] } ], "mendeley" : { "formattedCitation" : "(23\u201325)", "plainTextFormattedCitation" : "(23\u201325)", "previouslyFormattedCitation" : "(22\u201324)" }, "properties" : { "noteIndex" : 0 }, "schema" : "https://github.com/citation-style-language/schema/raw/master/csl-citation.json" }</w:instrText>
      </w:r>
      <w:r w:rsidR="00EC6CC8" w:rsidRPr="0073228A">
        <w:rPr>
          <w:rFonts w:ascii="Times New Roman" w:hAnsi="Times New Roman" w:cs="Times New Roman"/>
          <w:sz w:val="24"/>
          <w:szCs w:val="24"/>
        </w:rPr>
        <w:fldChar w:fldCharType="separate"/>
      </w:r>
      <w:r w:rsidR="00221A17" w:rsidRPr="00221A17">
        <w:rPr>
          <w:rFonts w:ascii="Times New Roman" w:hAnsi="Times New Roman" w:cs="Times New Roman"/>
          <w:noProof/>
          <w:sz w:val="24"/>
          <w:szCs w:val="24"/>
        </w:rPr>
        <w:t>(23–25)</w:t>
      </w:r>
      <w:r w:rsidR="00EC6CC8" w:rsidRPr="0073228A">
        <w:rPr>
          <w:rFonts w:ascii="Times New Roman" w:hAnsi="Times New Roman" w:cs="Times New Roman"/>
          <w:sz w:val="24"/>
          <w:szCs w:val="24"/>
        </w:rPr>
        <w:fldChar w:fldCharType="end"/>
      </w:r>
      <w:r w:rsidR="00EC6CC8" w:rsidRPr="0073228A">
        <w:rPr>
          <w:rFonts w:ascii="Times New Roman" w:hAnsi="Times New Roman" w:cs="Times New Roman"/>
          <w:sz w:val="24"/>
          <w:szCs w:val="24"/>
        </w:rPr>
        <w:t xml:space="preserve">. We calculate the serotype specific odds ratio for isolates among OM versus NP carriage controls, as done for pneumonia by Greenberg et al. </w:t>
      </w:r>
      <w:r w:rsidR="00EC6CC8" w:rsidRPr="0073228A">
        <w:rPr>
          <w:rFonts w:ascii="Times New Roman" w:hAnsi="Times New Roman" w:cs="Times New Roman"/>
          <w:sz w:val="24"/>
          <w:szCs w:val="24"/>
        </w:rPr>
        <w:fldChar w:fldCharType="begin" w:fldLock="1"/>
      </w:r>
      <w:r w:rsidR="00221A17">
        <w:rPr>
          <w:rFonts w:ascii="Times New Roman" w:hAnsi="Times New Roman" w:cs="Times New Roman"/>
          <w:sz w:val="24"/>
          <w:szCs w:val="24"/>
        </w:rPr>
        <w:instrText>ADDIN CSL_CITATION { "citationItems" : [ { "id" : "ITEM-1", "itemData" : { "DOI" : "10.1097/INF.0b013e3181f87802", "ISSN" : "1532-0987", "PMID" : "20861756", "abstract" : "BACKGROUND: We aimed at estimating pneumococcal serotype-specific disease potential in pediatric community-acquired alveolar pneumonia (CAAP), by comparing nasopharyngeal pneumococcal carriage during disease to carriage in healthy children. METHODS: Pneumococcal nasopharyngeal cultures were obtained from children &lt; 5 years old admitted to the emergency room or hospitalized with radiologically diagnosed CAAP and from healthy controls. Disease potential was estimated by calculating serotype-specific odds ratios (OR) of a given serotype to be carried during disease compared with healthy children (after adjustment for age, ethnicity, previous antibiotic therapy, and season). RESULTS: A total of 603 and 1504 isolates were obtained from CAAP and healthy children, respectively. A significant OR &gt; 1.0 of a specific serotype being carried during disease (suggesting a higher disease potential) was observed with serotypes (by decreasing rank) 1, 5, 22F, 7F, 14, 9V, and 19A. A significant OR &lt; 1.0 of being carried during disease (suggesting a lower disease potential) was observed with serotypes 6A, 6B, 23A, and 35B. Carriage of PCV7 serotypes (grouped) during CAAP was highest in age group 6 to 17 months. PCV10 and PCV13 provided significantly higher coverage for both 6 to 17 and 18 to 35 month age groups. CONCLUSIONS: It is suggested that serotypes 1, 5, 7F, 9V, 14, 19A, and 22F have a higher disease potential for childhood pneumonia than do serotypes 6A, 6B, 23A, and 35B.", "author" : [ { "dropping-particle" : "", "family" : "Greenberg", "given" : "David", "non-dropping-particle" : "", "parse-names" : false, "suffix" : "" }, { "dropping-particle" : "", "family" : "Givon-Lavi", "given" : "Noga", "non-dropping-particle" : "", "parse-names" : false, "suffix" : "" }, { "dropping-particle" : "", "family" : "Newman", "given" : "Nitza", "non-dropping-particle" : "", "parse-names" : false, "suffix" : "" }, { "dropping-particle" : "", "family" : "Bar-Ziv", "given" : "Jacob", "non-dropping-particle" : "", "parse-names" : false, "suffix" : "" }, { "dropping-particle" : "", "family" : "Dagan", "given" : "Ron", "non-dropping-particle" : "", "parse-names" : false, "suffix" : "" } ], "container-title" : "The Pediatric infectious disease journal", "id" : "ITEM-1", "issue" : "3", "issued" : { "date-parts" : [ [ "2011", "3" ] ] }, "page" : "227-33", "title" : "Nasopharyngeal carriage of individual Streptococcus pneumoniae serotypes during pediatric pneumonia as a means to estimate serotype disease potential.", "type" : "article-journal", "volume" : "30" }, "uris" : [ "http://www.mendeley.com/documents/?uuid=0b02a297-1a8c-45cf-bcb1-4ed85ac54312" ] } ], "mendeley" : { "formattedCitation" : "(26)", "plainTextFormattedCitation" : "(26)", "previouslyFormattedCitation" : "(25)" }, "properties" : { "noteIndex" : 0 }, "schema" : "https://github.com/citation-style-language/schema/raw/master/csl-citation.json" }</w:instrText>
      </w:r>
      <w:r w:rsidR="00EC6CC8" w:rsidRPr="0073228A">
        <w:rPr>
          <w:rFonts w:ascii="Times New Roman" w:hAnsi="Times New Roman" w:cs="Times New Roman"/>
          <w:sz w:val="24"/>
          <w:szCs w:val="24"/>
        </w:rPr>
        <w:fldChar w:fldCharType="separate"/>
      </w:r>
      <w:r w:rsidR="00221A17" w:rsidRPr="00221A17">
        <w:rPr>
          <w:rFonts w:ascii="Times New Roman" w:hAnsi="Times New Roman" w:cs="Times New Roman"/>
          <w:noProof/>
          <w:sz w:val="24"/>
          <w:szCs w:val="24"/>
        </w:rPr>
        <w:t>(26)</w:t>
      </w:r>
      <w:r w:rsidR="00EC6CC8" w:rsidRPr="0073228A">
        <w:rPr>
          <w:rFonts w:ascii="Times New Roman" w:hAnsi="Times New Roman" w:cs="Times New Roman"/>
          <w:sz w:val="24"/>
          <w:szCs w:val="24"/>
        </w:rPr>
        <w:fldChar w:fldCharType="end"/>
      </w:r>
      <w:r w:rsidR="00EC6CC8" w:rsidRPr="0073228A">
        <w:rPr>
          <w:rFonts w:ascii="Times New Roman" w:hAnsi="Times New Roman" w:cs="Times New Roman"/>
          <w:sz w:val="24"/>
          <w:szCs w:val="24"/>
        </w:rPr>
        <w:t xml:space="preserve">, </w:t>
      </w:r>
      <w:r w:rsidR="003C3021" w:rsidRPr="0073228A">
        <w:rPr>
          <w:rFonts w:ascii="Times New Roman" w:hAnsi="Times New Roman" w:cs="Times New Roman"/>
          <w:sz w:val="24"/>
          <w:szCs w:val="24"/>
        </w:rPr>
        <w:t xml:space="preserve">however, our estimates are based on samples obtained in the changing epidemiology of the post-vaccination period. In particular, the difference in change in NVT carriage and OM incidence may introduce a bias towards underestimating the propensity of NVTs to cause OM. </w:t>
      </w:r>
    </w:p>
    <w:p w14:paraId="4F6AD70F" w14:textId="77777777" w:rsidR="007B732D" w:rsidRPr="0073228A" w:rsidRDefault="007B732D" w:rsidP="00C30103">
      <w:pPr>
        <w:pStyle w:val="ListParagraph"/>
        <w:spacing w:line="480" w:lineRule="auto"/>
        <w:ind w:left="0"/>
        <w:rPr>
          <w:rFonts w:ascii="Times New Roman" w:hAnsi="Times New Roman" w:cs="Times New Roman"/>
          <w:sz w:val="24"/>
          <w:szCs w:val="24"/>
        </w:rPr>
      </w:pPr>
    </w:p>
    <w:p w14:paraId="717A4442" w14:textId="6AAA3095" w:rsidR="00730C14" w:rsidRPr="0073228A" w:rsidRDefault="00C30103" w:rsidP="003A3142">
      <w:pPr>
        <w:pStyle w:val="ListParagraph"/>
        <w:spacing w:line="480" w:lineRule="auto"/>
        <w:ind w:left="0"/>
        <w:rPr>
          <w:rFonts w:ascii="Times New Roman" w:hAnsi="Times New Roman" w:cs="Times New Roman"/>
          <w:sz w:val="24"/>
          <w:szCs w:val="24"/>
        </w:rPr>
      </w:pPr>
      <w:r w:rsidRPr="0073228A">
        <w:rPr>
          <w:rFonts w:ascii="Times New Roman" w:hAnsi="Times New Roman" w:cs="Times New Roman"/>
          <w:sz w:val="24"/>
          <w:szCs w:val="24"/>
        </w:rPr>
        <w:t xml:space="preserve">NP carriage has been established as a surrogate for monitoring changes in invasive pneumococcal disease. </w:t>
      </w:r>
      <w:r w:rsidR="00EE2EC8" w:rsidRPr="0073228A">
        <w:rPr>
          <w:rFonts w:ascii="Times New Roman" w:hAnsi="Times New Roman" w:cs="Times New Roman"/>
          <w:sz w:val="24"/>
          <w:szCs w:val="24"/>
        </w:rPr>
        <w:t xml:space="preserve">We showed that changes in VT NP carriage have been predictive of changes in VT OM incidence in southern Israel. However, the increase in NVT carriage together with a decline in NVT OM incidence may suggest a decline in susceptibility to OM in young children as a result of vaccination that is targeting the most virulent serotypes. </w:t>
      </w:r>
      <w:r w:rsidR="00E75083" w:rsidRPr="0073228A">
        <w:rPr>
          <w:rFonts w:ascii="Times New Roman" w:hAnsi="Times New Roman" w:cs="Times New Roman"/>
          <w:sz w:val="24"/>
          <w:szCs w:val="24"/>
        </w:rPr>
        <w:t xml:space="preserve">We furthermore predict that an extension of PCV serotype coverage to include type 22F and </w:t>
      </w:r>
      <w:r w:rsidR="003A3142" w:rsidRPr="0073228A">
        <w:rPr>
          <w:rFonts w:ascii="Times New Roman" w:hAnsi="Times New Roman" w:cs="Times New Roman"/>
          <w:sz w:val="24"/>
          <w:szCs w:val="24"/>
        </w:rPr>
        <w:t xml:space="preserve">33F </w:t>
      </w:r>
      <w:r w:rsidR="00E75083" w:rsidRPr="0073228A">
        <w:rPr>
          <w:rFonts w:ascii="Times New Roman" w:hAnsi="Times New Roman" w:cs="Times New Roman"/>
          <w:sz w:val="24"/>
          <w:szCs w:val="24"/>
        </w:rPr>
        <w:t xml:space="preserve">may only </w:t>
      </w:r>
      <w:r w:rsidR="004545EE">
        <w:rPr>
          <w:rFonts w:ascii="Times New Roman" w:hAnsi="Times New Roman" w:cs="Times New Roman"/>
          <w:sz w:val="24"/>
          <w:szCs w:val="24"/>
        </w:rPr>
        <w:t xml:space="preserve">result in a modest additional reduction in </w:t>
      </w:r>
      <w:r w:rsidR="00E75083" w:rsidRPr="0073228A">
        <w:rPr>
          <w:rFonts w:ascii="Times New Roman" w:hAnsi="Times New Roman" w:cs="Times New Roman"/>
          <w:sz w:val="24"/>
          <w:szCs w:val="24"/>
        </w:rPr>
        <w:t xml:space="preserve">OM incidence in southern Israel. </w:t>
      </w:r>
    </w:p>
    <w:p w14:paraId="0ECC8CF2" w14:textId="7296F6B2" w:rsidR="004E42D0" w:rsidRPr="0073228A" w:rsidRDefault="004E42D0">
      <w:pPr>
        <w:rPr>
          <w:rFonts w:ascii="Times New Roman" w:hAnsi="Times New Roman" w:cs="Times New Roman"/>
          <w:b/>
          <w:sz w:val="24"/>
          <w:szCs w:val="24"/>
        </w:rPr>
      </w:pPr>
      <w:r w:rsidRPr="0073228A">
        <w:rPr>
          <w:rFonts w:ascii="Times New Roman" w:hAnsi="Times New Roman" w:cs="Times New Roman"/>
          <w:b/>
          <w:sz w:val="24"/>
          <w:szCs w:val="24"/>
        </w:rPr>
        <w:br w:type="page"/>
      </w:r>
    </w:p>
    <w:p w14:paraId="15F4DA5E" w14:textId="77777777" w:rsidR="00BB2EE9" w:rsidRPr="00036CA4" w:rsidRDefault="00BB2EE9" w:rsidP="00BB2EE9">
      <w:pPr>
        <w:spacing w:before="240" w:after="0"/>
        <w:ind w:left="1418" w:hanging="1418"/>
        <w:rPr>
          <w:rFonts w:ascii="Times New Roman" w:hAnsi="Times New Roman" w:cs="Times New Roman"/>
          <w:b/>
          <w:sz w:val="24"/>
          <w:szCs w:val="24"/>
        </w:rPr>
      </w:pPr>
      <w:r w:rsidRPr="00036CA4">
        <w:rPr>
          <w:rFonts w:ascii="Times New Roman" w:hAnsi="Times New Roman" w:cs="Times New Roman"/>
          <w:b/>
          <w:sz w:val="24"/>
          <w:szCs w:val="24"/>
        </w:rPr>
        <w:lastRenderedPageBreak/>
        <w:t>Acknowledgements</w:t>
      </w:r>
    </w:p>
    <w:p w14:paraId="6D6A0FDA" w14:textId="77777777" w:rsidR="00BB2EE9" w:rsidRDefault="00BB2EE9" w:rsidP="00BB2EE9">
      <w:pPr>
        <w:spacing w:before="240" w:after="0"/>
        <w:ind w:left="1418" w:hanging="1418"/>
        <w:rPr>
          <w:rFonts w:ascii="Times New Roman" w:hAnsi="Times New Roman" w:cs="Times New Roman"/>
          <w:sz w:val="24"/>
          <w:szCs w:val="24"/>
        </w:rPr>
      </w:pPr>
      <w:r w:rsidRPr="0073228A">
        <w:rPr>
          <w:rFonts w:ascii="Times New Roman" w:hAnsi="Times New Roman" w:cs="Times New Roman"/>
          <w:sz w:val="24"/>
          <w:szCs w:val="24"/>
          <w:u w:val="single"/>
        </w:rPr>
        <w:t>Affiliations:</w:t>
      </w:r>
      <w:r w:rsidRPr="0073228A">
        <w:rPr>
          <w:rFonts w:ascii="Times New Roman" w:hAnsi="Times New Roman" w:cs="Times New Roman"/>
          <w:sz w:val="24"/>
          <w:szCs w:val="24"/>
        </w:rPr>
        <w:tab/>
      </w:r>
      <w:r w:rsidRPr="0073228A">
        <w:rPr>
          <w:rFonts w:ascii="Times New Roman" w:hAnsi="Times New Roman" w:cs="Times New Roman"/>
          <w:sz w:val="24"/>
          <w:szCs w:val="24"/>
          <w:vertAlign w:val="superscript"/>
        </w:rPr>
        <w:t xml:space="preserve">1 </w:t>
      </w:r>
      <w:r w:rsidRPr="0073228A">
        <w:rPr>
          <w:rFonts w:ascii="Times New Roman" w:hAnsi="Times New Roman" w:cs="Times New Roman"/>
          <w:sz w:val="24"/>
          <w:szCs w:val="24"/>
        </w:rPr>
        <w:t xml:space="preserve">London School of Hygiene and Tropical Medicine, London, UK; </w:t>
      </w:r>
      <w:r w:rsidRPr="0073228A">
        <w:rPr>
          <w:rFonts w:ascii="Times New Roman" w:hAnsi="Times New Roman" w:cs="Times New Roman"/>
          <w:sz w:val="24"/>
          <w:szCs w:val="24"/>
          <w:vertAlign w:val="superscript"/>
        </w:rPr>
        <w:t>2</w:t>
      </w:r>
      <w:r w:rsidRPr="0073228A">
        <w:rPr>
          <w:rFonts w:ascii="Times New Roman" w:hAnsi="Times New Roman" w:cs="Times New Roman"/>
          <w:sz w:val="24"/>
          <w:szCs w:val="24"/>
        </w:rPr>
        <w:t xml:space="preserve"> Soroka University Medical Center, Beer Sheva, Israel; </w:t>
      </w:r>
      <w:r w:rsidRPr="0073228A">
        <w:rPr>
          <w:rFonts w:ascii="Times New Roman" w:hAnsi="Times New Roman" w:cs="Times New Roman"/>
          <w:sz w:val="24"/>
          <w:szCs w:val="24"/>
          <w:vertAlign w:val="superscript"/>
        </w:rPr>
        <w:t>3</w:t>
      </w:r>
      <w:r w:rsidRPr="0073228A">
        <w:rPr>
          <w:rFonts w:ascii="Times New Roman" w:hAnsi="Times New Roman" w:cs="Times New Roman"/>
          <w:sz w:val="24"/>
          <w:szCs w:val="24"/>
        </w:rPr>
        <w:t xml:space="preserve">  Ben-Gurion University of Negev, Beer Sheva, Israel; </w:t>
      </w:r>
      <w:r w:rsidRPr="0073228A">
        <w:rPr>
          <w:rFonts w:ascii="Times New Roman" w:hAnsi="Times New Roman" w:cs="Times New Roman"/>
          <w:sz w:val="24"/>
          <w:szCs w:val="24"/>
          <w:vertAlign w:val="superscript"/>
        </w:rPr>
        <w:t>4</w:t>
      </w:r>
      <w:r w:rsidRPr="0073228A">
        <w:rPr>
          <w:rFonts w:ascii="Times New Roman" w:hAnsi="Times New Roman" w:cs="Times New Roman"/>
          <w:sz w:val="24"/>
          <w:szCs w:val="24"/>
        </w:rPr>
        <w:t xml:space="preserve"> Ben-Gurion University of Negev, Beer Sheva, Israel</w:t>
      </w:r>
    </w:p>
    <w:p w14:paraId="18EF17E2" w14:textId="77777777" w:rsidR="00BB2EE9" w:rsidRDefault="00BB2EE9" w:rsidP="00BB2EE9">
      <w:pPr>
        <w:spacing w:before="240" w:after="0"/>
        <w:ind w:left="1418" w:hanging="1418"/>
        <w:rPr>
          <w:rFonts w:ascii="Times New Roman" w:hAnsi="Times New Roman" w:cs="Times New Roman"/>
          <w:sz w:val="24"/>
          <w:szCs w:val="24"/>
        </w:rPr>
      </w:pPr>
      <w:r w:rsidRPr="0073228A">
        <w:rPr>
          <w:rFonts w:ascii="Times New Roman" w:hAnsi="Times New Roman" w:cs="Times New Roman"/>
          <w:sz w:val="24"/>
          <w:szCs w:val="24"/>
          <w:u w:val="single"/>
        </w:rPr>
        <w:t>Corresponding Author</w:t>
      </w:r>
      <w:r>
        <w:rPr>
          <w:rFonts w:ascii="Times New Roman" w:hAnsi="Times New Roman" w:cs="Times New Roman"/>
          <w:sz w:val="24"/>
          <w:szCs w:val="24"/>
          <w:u w:val="single"/>
        </w:rPr>
        <w:t xml:space="preserve">*:  </w:t>
      </w:r>
      <w:r w:rsidRPr="0073228A">
        <w:rPr>
          <w:rFonts w:ascii="Times New Roman" w:hAnsi="Times New Roman" w:cs="Times New Roman"/>
          <w:sz w:val="24"/>
          <w:szCs w:val="24"/>
        </w:rPr>
        <w:t>Stefan Flasche, Department of Infectious Disease Epidemiology, London School of Hygiene</w:t>
      </w:r>
      <w:r>
        <w:rPr>
          <w:rFonts w:ascii="Times New Roman" w:hAnsi="Times New Roman" w:cs="Times New Roman"/>
          <w:sz w:val="24"/>
          <w:szCs w:val="24"/>
        </w:rPr>
        <w:t xml:space="preserve"> </w:t>
      </w:r>
      <w:r w:rsidRPr="0073228A">
        <w:rPr>
          <w:rFonts w:ascii="Times New Roman" w:hAnsi="Times New Roman" w:cs="Times New Roman"/>
          <w:sz w:val="24"/>
          <w:szCs w:val="24"/>
        </w:rPr>
        <w:t xml:space="preserve">and Tropical Medicine, Keppel Street, WC1E 7HT, London, UK, </w:t>
      </w:r>
      <w:hyperlink r:id="rId9" w:history="1">
        <w:r w:rsidRPr="005F6D9F">
          <w:rPr>
            <w:rStyle w:val="Hyperlink"/>
            <w:rFonts w:ascii="Times New Roman" w:hAnsi="Times New Roman" w:cs="Times New Roman"/>
            <w:sz w:val="24"/>
            <w:szCs w:val="24"/>
          </w:rPr>
          <w:t>Stefan.Flasche@lshtm.ac.uk</w:t>
        </w:r>
      </w:hyperlink>
      <w:r w:rsidRPr="0073228A">
        <w:rPr>
          <w:rFonts w:ascii="Times New Roman" w:hAnsi="Times New Roman" w:cs="Times New Roman"/>
          <w:sz w:val="24"/>
          <w:szCs w:val="24"/>
        </w:rPr>
        <w:t xml:space="preserve"> </w:t>
      </w:r>
    </w:p>
    <w:p w14:paraId="2773EBFB" w14:textId="77777777" w:rsidR="00BB2EE9" w:rsidRPr="0073228A" w:rsidRDefault="00BB2EE9" w:rsidP="00BB2EE9">
      <w:pPr>
        <w:spacing w:before="240" w:after="0"/>
        <w:ind w:left="1418" w:hanging="1418"/>
        <w:rPr>
          <w:rFonts w:ascii="Times New Roman" w:hAnsi="Times New Roman" w:cs="Times New Roman"/>
          <w:sz w:val="24"/>
          <w:szCs w:val="24"/>
        </w:rPr>
      </w:pPr>
      <w:r w:rsidRPr="00036CA4">
        <w:rPr>
          <w:rFonts w:ascii="Times New Roman" w:hAnsi="Times New Roman" w:cs="Times New Roman"/>
          <w:sz w:val="24"/>
          <w:szCs w:val="24"/>
          <w:u w:val="single"/>
        </w:rPr>
        <w:t>Funding</w:t>
      </w:r>
      <w:r>
        <w:rPr>
          <w:rFonts w:ascii="Times New Roman" w:hAnsi="Times New Roman" w:cs="Times New Roman"/>
          <w:sz w:val="24"/>
          <w:szCs w:val="24"/>
          <w:u w:val="single"/>
        </w:rPr>
        <w:t xml:space="preserve">: </w:t>
      </w:r>
      <w:r w:rsidRPr="0073228A">
        <w:rPr>
          <w:rFonts w:ascii="Times New Roman" w:hAnsi="Times New Roman" w:cs="Times New Roman"/>
          <w:sz w:val="24"/>
          <w:szCs w:val="24"/>
        </w:rPr>
        <w:t>The study was funded in part by an investigator initiated research grant from Pfizer. The funder had no role in study design and analysis.</w:t>
      </w:r>
    </w:p>
    <w:p w14:paraId="3FA2B4C5" w14:textId="24EB638A" w:rsidR="00BB2EE9" w:rsidRDefault="00BB2EE9" w:rsidP="00DF737F">
      <w:pPr>
        <w:spacing w:line="480" w:lineRule="auto"/>
        <w:rPr>
          <w:rFonts w:ascii="Times New Roman" w:hAnsi="Times New Roman" w:cs="Times New Roman"/>
          <w:sz w:val="24"/>
          <w:szCs w:val="24"/>
        </w:rPr>
      </w:pPr>
    </w:p>
    <w:p w14:paraId="1B15C58A" w14:textId="77777777" w:rsidR="00BB2EE9" w:rsidRDefault="00BB2EE9" w:rsidP="00BB2EE9">
      <w:pPr>
        <w:spacing w:line="240" w:lineRule="auto"/>
        <w:rPr>
          <w:rFonts w:ascii="Times New Roman" w:hAnsi="Times New Roman" w:cs="Times New Roman"/>
          <w:b/>
          <w:sz w:val="24"/>
          <w:szCs w:val="24"/>
        </w:rPr>
      </w:pPr>
      <w:r w:rsidRPr="0073228A">
        <w:rPr>
          <w:rFonts w:ascii="Times New Roman" w:hAnsi="Times New Roman" w:cs="Times New Roman"/>
          <w:b/>
          <w:sz w:val="24"/>
          <w:szCs w:val="24"/>
        </w:rPr>
        <w:t>Conflicts of interest</w:t>
      </w:r>
    </w:p>
    <w:p w14:paraId="7747DDD2" w14:textId="2D48098A" w:rsidR="00BB2EE9" w:rsidRPr="0073228A" w:rsidRDefault="00BB2EE9" w:rsidP="00BB2EE9">
      <w:pPr>
        <w:spacing w:line="480" w:lineRule="auto"/>
        <w:rPr>
          <w:rFonts w:ascii="Times New Roman" w:hAnsi="Times New Roman" w:cs="Times New Roman"/>
          <w:sz w:val="24"/>
          <w:szCs w:val="24"/>
        </w:rPr>
      </w:pPr>
      <w:r w:rsidRPr="0073228A">
        <w:rPr>
          <w:rFonts w:ascii="Times New Roman" w:hAnsi="Times New Roman" w:cs="Times New Roman"/>
          <w:sz w:val="24"/>
          <w:szCs w:val="24"/>
        </w:rPr>
        <w:t>SF and NGL have no conflicts of interests. In the past 5 years, RD has received grants/research support from Berna/Crucell, MSD and Pfizer. He has been a scientific consultant to Berna/Crucell, Genocea, GlaxoSmithKline, MeMed, MSD, Novartis and Pfizer and has received speaker’s fee from Berna/Crucell, GlaxoSmithKline and Pfizer.</w:t>
      </w:r>
    </w:p>
    <w:p w14:paraId="645FD205" w14:textId="77777777" w:rsidR="000C0A0D" w:rsidRPr="0073228A" w:rsidRDefault="000C0A0D" w:rsidP="00337AC2">
      <w:pPr>
        <w:spacing w:line="480" w:lineRule="auto"/>
        <w:rPr>
          <w:rFonts w:ascii="Times New Roman" w:hAnsi="Times New Roman" w:cs="Times New Roman"/>
          <w:b/>
          <w:sz w:val="24"/>
          <w:szCs w:val="24"/>
        </w:rPr>
      </w:pPr>
    </w:p>
    <w:p w14:paraId="3102AAF0" w14:textId="0B52EA41" w:rsidR="00137B4A" w:rsidRPr="0073228A" w:rsidRDefault="00B1076E" w:rsidP="00E7769A">
      <w:pPr>
        <w:spacing w:line="480" w:lineRule="auto"/>
        <w:rPr>
          <w:rFonts w:ascii="Times New Roman" w:hAnsi="Times New Roman" w:cs="Times New Roman"/>
          <w:b/>
          <w:sz w:val="24"/>
          <w:szCs w:val="24"/>
        </w:rPr>
      </w:pPr>
      <w:r w:rsidRPr="0073228A">
        <w:rPr>
          <w:rFonts w:ascii="Times New Roman" w:hAnsi="Times New Roman" w:cs="Times New Roman"/>
          <w:b/>
          <w:sz w:val="24"/>
          <w:szCs w:val="24"/>
        </w:rPr>
        <w:br w:type="page"/>
      </w:r>
      <w:r w:rsidR="00137B4A" w:rsidRPr="0073228A">
        <w:rPr>
          <w:rFonts w:ascii="Times New Roman" w:hAnsi="Times New Roman" w:cs="Times New Roman"/>
          <w:b/>
          <w:sz w:val="24"/>
          <w:szCs w:val="24"/>
        </w:rPr>
        <w:lastRenderedPageBreak/>
        <w:t>Bibliography</w:t>
      </w:r>
    </w:p>
    <w:p w14:paraId="45A6B5E1" w14:textId="24925C18" w:rsidR="00221A17" w:rsidRPr="00221A17" w:rsidRDefault="0051660D"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73228A">
        <w:rPr>
          <w:rFonts w:ascii="Times New Roman" w:eastAsiaTheme="minorEastAsia" w:hAnsi="Times New Roman" w:cs="Times New Roman"/>
          <w:sz w:val="24"/>
          <w:szCs w:val="24"/>
          <w:u w:val="single"/>
          <w:lang w:eastAsia="en-GB"/>
        </w:rPr>
        <w:fldChar w:fldCharType="begin" w:fldLock="1"/>
      </w:r>
      <w:r w:rsidRPr="0073228A">
        <w:rPr>
          <w:rFonts w:ascii="Times New Roman" w:hAnsi="Times New Roman" w:cs="Times New Roman"/>
          <w:sz w:val="24"/>
          <w:szCs w:val="24"/>
          <w:u w:val="single"/>
        </w:rPr>
        <w:instrText xml:space="preserve">ADDIN Mendeley Bibliography CSL_BIBLIOGRAPHY </w:instrText>
      </w:r>
      <w:r w:rsidRPr="0073228A">
        <w:rPr>
          <w:rFonts w:ascii="Times New Roman" w:eastAsiaTheme="minorEastAsia" w:hAnsi="Times New Roman" w:cs="Times New Roman"/>
          <w:sz w:val="24"/>
          <w:szCs w:val="24"/>
          <w:u w:val="single"/>
          <w:lang w:eastAsia="en-GB"/>
        </w:rPr>
        <w:fldChar w:fldCharType="separate"/>
      </w:r>
      <w:r w:rsidR="00221A17" w:rsidRPr="00221A17">
        <w:rPr>
          <w:rFonts w:ascii="Times New Roman" w:hAnsi="Times New Roman" w:cs="Times New Roman"/>
          <w:noProof/>
          <w:sz w:val="24"/>
          <w:szCs w:val="24"/>
        </w:rPr>
        <w:t xml:space="preserve">1. </w:t>
      </w:r>
      <w:r w:rsidR="00221A17" w:rsidRPr="00221A17">
        <w:rPr>
          <w:rFonts w:ascii="Times New Roman" w:hAnsi="Times New Roman" w:cs="Times New Roman"/>
          <w:noProof/>
          <w:sz w:val="24"/>
          <w:szCs w:val="24"/>
        </w:rPr>
        <w:tab/>
        <w:t xml:space="preserve">Griffin MR, Zhu Y, Moore MR, et al. U.S. hospitalizations for pneumonia after a decade of pneumococcal vaccination. </w:t>
      </w:r>
      <w:r w:rsidR="00221A17" w:rsidRPr="00221A17">
        <w:rPr>
          <w:rFonts w:ascii="Times New Roman" w:hAnsi="Times New Roman" w:cs="Times New Roman"/>
          <w:i/>
          <w:iCs/>
          <w:noProof/>
          <w:sz w:val="24"/>
          <w:szCs w:val="24"/>
        </w:rPr>
        <w:t>N. Engl. J. Med.</w:t>
      </w:r>
      <w:r w:rsidR="00221A17" w:rsidRPr="00221A17">
        <w:rPr>
          <w:rFonts w:ascii="Times New Roman" w:hAnsi="Times New Roman" w:cs="Times New Roman"/>
          <w:noProof/>
          <w:sz w:val="24"/>
          <w:szCs w:val="24"/>
        </w:rPr>
        <w:t xml:space="preserve"> 2013;369(2):155–</w:t>
      </w:r>
      <w:r w:rsidR="00232BB6">
        <w:rPr>
          <w:rFonts w:ascii="Times New Roman" w:hAnsi="Times New Roman" w:cs="Times New Roman"/>
          <w:noProof/>
          <w:sz w:val="24"/>
          <w:szCs w:val="24"/>
        </w:rPr>
        <w:t>1</w:t>
      </w:r>
      <w:r w:rsidR="00221A17" w:rsidRPr="00221A17">
        <w:rPr>
          <w:rFonts w:ascii="Times New Roman" w:hAnsi="Times New Roman" w:cs="Times New Roman"/>
          <w:noProof/>
          <w:sz w:val="24"/>
          <w:szCs w:val="24"/>
        </w:rPr>
        <w:t xml:space="preserve">63. </w:t>
      </w:r>
    </w:p>
    <w:p w14:paraId="279C49F6" w14:textId="77777777"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2. </w:t>
      </w:r>
      <w:r w:rsidRPr="00221A17">
        <w:rPr>
          <w:rFonts w:ascii="Times New Roman" w:hAnsi="Times New Roman" w:cs="Times New Roman"/>
          <w:noProof/>
          <w:sz w:val="24"/>
          <w:szCs w:val="24"/>
        </w:rPr>
        <w:tab/>
        <w:t xml:space="preserve">Ben-Shimol S, Givon-Lavi N, Leibovitz E, et al. Near-Elimination of Otitis Media Caused by 13-Valent Pneumococcal Conjugate Vaccine (PCV) Serotypes in Southern Israel Shortly After Sequential Introduction of 7-Valent/13-Valent PCV. </w:t>
      </w:r>
      <w:r w:rsidRPr="00221A17">
        <w:rPr>
          <w:rFonts w:ascii="Times New Roman" w:hAnsi="Times New Roman" w:cs="Times New Roman"/>
          <w:i/>
          <w:iCs/>
          <w:noProof/>
          <w:sz w:val="24"/>
          <w:szCs w:val="24"/>
        </w:rPr>
        <w:t>Clin. Infect. Dis.</w:t>
      </w:r>
      <w:r w:rsidRPr="00221A17">
        <w:rPr>
          <w:rFonts w:ascii="Times New Roman" w:hAnsi="Times New Roman" w:cs="Times New Roman"/>
          <w:noProof/>
          <w:sz w:val="24"/>
          <w:szCs w:val="24"/>
        </w:rPr>
        <w:t xml:space="preserve"> 2014;59(12):1724–1732. </w:t>
      </w:r>
    </w:p>
    <w:p w14:paraId="31CE3850" w14:textId="77777777"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3. </w:t>
      </w:r>
      <w:r w:rsidRPr="00221A17">
        <w:rPr>
          <w:rFonts w:ascii="Times New Roman" w:hAnsi="Times New Roman" w:cs="Times New Roman"/>
          <w:noProof/>
          <w:sz w:val="24"/>
          <w:szCs w:val="24"/>
        </w:rPr>
        <w:tab/>
        <w:t xml:space="preserve">Waight PA, Andrews NJ, Ladhani SN, et al. Effect of the 13-valent pneumococcal conjugate vaccine on invasive pneumococcal disease in England and Wales 4 years after its introduction: an observational cohort study. </w:t>
      </w:r>
      <w:r w:rsidRPr="00221A17">
        <w:rPr>
          <w:rFonts w:ascii="Times New Roman" w:hAnsi="Times New Roman" w:cs="Times New Roman"/>
          <w:i/>
          <w:iCs/>
          <w:noProof/>
          <w:sz w:val="24"/>
          <w:szCs w:val="24"/>
        </w:rPr>
        <w:t>Lancet Infect. Dis.</w:t>
      </w:r>
      <w:r w:rsidRPr="00221A17">
        <w:rPr>
          <w:rFonts w:ascii="Times New Roman" w:hAnsi="Times New Roman" w:cs="Times New Roman"/>
          <w:noProof/>
          <w:sz w:val="24"/>
          <w:szCs w:val="24"/>
        </w:rPr>
        <w:t xml:space="preserve"> 2015;3099(15):1–9. </w:t>
      </w:r>
    </w:p>
    <w:p w14:paraId="4F5315A6" w14:textId="108DF666"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4. </w:t>
      </w:r>
      <w:r w:rsidRPr="00221A17">
        <w:rPr>
          <w:rFonts w:ascii="Times New Roman" w:hAnsi="Times New Roman" w:cs="Times New Roman"/>
          <w:noProof/>
          <w:sz w:val="24"/>
          <w:szCs w:val="24"/>
        </w:rPr>
        <w:tab/>
        <w:t xml:space="preserve">Fitzwater SP, Chandran A, Santosham M, et al. The worldwide impact of the seven-valent pneumococcal conjugate vaccine. </w:t>
      </w:r>
      <w:r w:rsidRPr="00221A17">
        <w:rPr>
          <w:rFonts w:ascii="Times New Roman" w:hAnsi="Times New Roman" w:cs="Times New Roman"/>
          <w:i/>
          <w:iCs/>
          <w:noProof/>
          <w:sz w:val="24"/>
          <w:szCs w:val="24"/>
        </w:rPr>
        <w:t>Pediatr. Infect. Dis. J.</w:t>
      </w:r>
      <w:r w:rsidRPr="00221A17">
        <w:rPr>
          <w:rFonts w:ascii="Times New Roman" w:hAnsi="Times New Roman" w:cs="Times New Roman"/>
          <w:noProof/>
          <w:sz w:val="24"/>
          <w:szCs w:val="24"/>
        </w:rPr>
        <w:t xml:space="preserve"> 2012;31(5):501–</w:t>
      </w:r>
      <w:r w:rsidR="00F84937">
        <w:rPr>
          <w:rFonts w:ascii="Times New Roman" w:hAnsi="Times New Roman" w:cs="Times New Roman"/>
          <w:noProof/>
          <w:sz w:val="24"/>
          <w:szCs w:val="24"/>
        </w:rPr>
        <w:t>50</w:t>
      </w:r>
      <w:r w:rsidRPr="00221A17">
        <w:rPr>
          <w:rFonts w:ascii="Times New Roman" w:hAnsi="Times New Roman" w:cs="Times New Roman"/>
          <w:noProof/>
          <w:sz w:val="24"/>
          <w:szCs w:val="24"/>
        </w:rPr>
        <w:t xml:space="preserve">8. </w:t>
      </w:r>
    </w:p>
    <w:p w14:paraId="4172712C" w14:textId="3132677F"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5. </w:t>
      </w:r>
      <w:r w:rsidRPr="00221A17">
        <w:rPr>
          <w:rFonts w:ascii="Times New Roman" w:hAnsi="Times New Roman" w:cs="Times New Roman"/>
          <w:noProof/>
          <w:sz w:val="24"/>
          <w:szCs w:val="24"/>
        </w:rPr>
        <w:tab/>
        <w:t xml:space="preserve">Zhou F, Shefer A, Kong Y, et al. Trends in acute otitis media-related health care utilization by privately insured young children in the United States, 1997-2004. </w:t>
      </w:r>
      <w:r w:rsidRPr="00221A17">
        <w:rPr>
          <w:rFonts w:ascii="Times New Roman" w:hAnsi="Times New Roman" w:cs="Times New Roman"/>
          <w:i/>
          <w:iCs/>
          <w:noProof/>
          <w:sz w:val="24"/>
          <w:szCs w:val="24"/>
        </w:rPr>
        <w:t>Pediatrics</w:t>
      </w:r>
      <w:r w:rsidRPr="00221A17">
        <w:rPr>
          <w:rFonts w:ascii="Times New Roman" w:hAnsi="Times New Roman" w:cs="Times New Roman"/>
          <w:noProof/>
          <w:sz w:val="24"/>
          <w:szCs w:val="24"/>
        </w:rPr>
        <w:t>. 2008;121(2):253–</w:t>
      </w:r>
      <w:r w:rsidR="00F84937">
        <w:rPr>
          <w:rFonts w:ascii="Times New Roman" w:hAnsi="Times New Roman" w:cs="Times New Roman"/>
          <w:noProof/>
          <w:sz w:val="24"/>
          <w:szCs w:val="24"/>
        </w:rPr>
        <w:t>2</w:t>
      </w:r>
      <w:r w:rsidRPr="00221A17">
        <w:rPr>
          <w:rFonts w:ascii="Times New Roman" w:hAnsi="Times New Roman" w:cs="Times New Roman"/>
          <w:noProof/>
          <w:sz w:val="24"/>
          <w:szCs w:val="24"/>
        </w:rPr>
        <w:t xml:space="preserve">60. </w:t>
      </w:r>
    </w:p>
    <w:p w14:paraId="5E6C8617" w14:textId="75B92EB4"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6. </w:t>
      </w:r>
      <w:r w:rsidRPr="00221A17">
        <w:rPr>
          <w:rFonts w:ascii="Times New Roman" w:hAnsi="Times New Roman" w:cs="Times New Roman"/>
          <w:noProof/>
          <w:sz w:val="24"/>
          <w:szCs w:val="24"/>
        </w:rPr>
        <w:tab/>
        <w:t xml:space="preserve">Weinberger DM, Bruden DT, Grant LR, et al. Using pneumococcal carriage data to monitor postvaccination changes in invasive disease. </w:t>
      </w:r>
      <w:r w:rsidRPr="00221A17">
        <w:rPr>
          <w:rFonts w:ascii="Times New Roman" w:hAnsi="Times New Roman" w:cs="Times New Roman"/>
          <w:i/>
          <w:iCs/>
          <w:noProof/>
          <w:sz w:val="24"/>
          <w:szCs w:val="24"/>
        </w:rPr>
        <w:t>Am. J. Epidemiol.</w:t>
      </w:r>
      <w:r w:rsidRPr="00221A17">
        <w:rPr>
          <w:rFonts w:ascii="Times New Roman" w:hAnsi="Times New Roman" w:cs="Times New Roman"/>
          <w:noProof/>
          <w:sz w:val="24"/>
          <w:szCs w:val="24"/>
        </w:rPr>
        <w:t xml:space="preserve"> 2013;178(9):1488–</w:t>
      </w:r>
      <w:r w:rsidR="00F84937">
        <w:rPr>
          <w:rFonts w:ascii="Times New Roman" w:hAnsi="Times New Roman" w:cs="Times New Roman"/>
          <w:noProof/>
          <w:sz w:val="24"/>
          <w:szCs w:val="24"/>
        </w:rPr>
        <w:t>14</w:t>
      </w:r>
      <w:r w:rsidRPr="00221A17">
        <w:rPr>
          <w:rFonts w:ascii="Times New Roman" w:hAnsi="Times New Roman" w:cs="Times New Roman"/>
          <w:noProof/>
          <w:sz w:val="24"/>
          <w:szCs w:val="24"/>
        </w:rPr>
        <w:t xml:space="preserve">95. </w:t>
      </w:r>
    </w:p>
    <w:p w14:paraId="046109C9" w14:textId="77777777"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7. </w:t>
      </w:r>
      <w:r w:rsidRPr="00221A17">
        <w:rPr>
          <w:rFonts w:ascii="Times New Roman" w:hAnsi="Times New Roman" w:cs="Times New Roman"/>
          <w:noProof/>
          <w:sz w:val="24"/>
          <w:szCs w:val="24"/>
        </w:rPr>
        <w:tab/>
        <w:t xml:space="preserve">Flasche S, Le Polain de Waroux O, O’Brien KL, et al. The Serotype Distribution among Healthy Carriers before Vaccination Is Essential for Predicting the Impact of Pneumococcal Conjugate Vaccine on Invasive Disease. </w:t>
      </w:r>
      <w:r w:rsidRPr="00221A17">
        <w:rPr>
          <w:rFonts w:ascii="Times New Roman" w:hAnsi="Times New Roman" w:cs="Times New Roman"/>
          <w:i/>
          <w:iCs/>
          <w:noProof/>
          <w:sz w:val="24"/>
          <w:szCs w:val="24"/>
        </w:rPr>
        <w:t>PLOS Comput. Biol.</w:t>
      </w:r>
      <w:r w:rsidRPr="00221A17">
        <w:rPr>
          <w:rFonts w:ascii="Times New Roman" w:hAnsi="Times New Roman" w:cs="Times New Roman"/>
          <w:noProof/>
          <w:sz w:val="24"/>
          <w:szCs w:val="24"/>
        </w:rPr>
        <w:t xml:space="preserve"> 2015;11(4):e1004173. </w:t>
      </w:r>
    </w:p>
    <w:p w14:paraId="19C106F0" w14:textId="77777777"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8. </w:t>
      </w:r>
      <w:r w:rsidRPr="00221A17">
        <w:rPr>
          <w:rFonts w:ascii="Times New Roman" w:hAnsi="Times New Roman" w:cs="Times New Roman"/>
          <w:noProof/>
          <w:sz w:val="24"/>
          <w:szCs w:val="24"/>
        </w:rPr>
        <w:tab/>
        <w:t xml:space="preserve">Leibovitz E, Nakash E, Givon-Lavi N, et al. Clinical outcome in children with culture-negative acute otitis media. </w:t>
      </w:r>
      <w:r w:rsidRPr="00221A17">
        <w:rPr>
          <w:rFonts w:ascii="Times New Roman" w:hAnsi="Times New Roman" w:cs="Times New Roman"/>
          <w:i/>
          <w:iCs/>
          <w:noProof/>
          <w:sz w:val="24"/>
          <w:szCs w:val="24"/>
        </w:rPr>
        <w:t>Pediatr. Infect. Dis. J.</w:t>
      </w:r>
      <w:r w:rsidRPr="00221A17">
        <w:rPr>
          <w:rFonts w:ascii="Times New Roman" w:hAnsi="Times New Roman" w:cs="Times New Roman"/>
          <w:noProof/>
          <w:sz w:val="24"/>
          <w:szCs w:val="24"/>
        </w:rPr>
        <w:t xml:space="preserve"> 2009;28(12):1105–1110. </w:t>
      </w:r>
    </w:p>
    <w:p w14:paraId="1D33F164" w14:textId="77777777"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9. </w:t>
      </w:r>
      <w:r w:rsidRPr="00221A17">
        <w:rPr>
          <w:rFonts w:ascii="Times New Roman" w:hAnsi="Times New Roman" w:cs="Times New Roman"/>
          <w:noProof/>
          <w:sz w:val="24"/>
          <w:szCs w:val="24"/>
        </w:rPr>
        <w:tab/>
        <w:t xml:space="preserve">Barkai G, Leibovitz E, Givon-Lavi N, et al. Potential Contribution by Nontypable Haemophilus influenzae in Protracted and Recurrent Acute Otitis Media. </w:t>
      </w:r>
      <w:r w:rsidRPr="00221A17">
        <w:rPr>
          <w:rFonts w:ascii="Times New Roman" w:hAnsi="Times New Roman" w:cs="Times New Roman"/>
          <w:i/>
          <w:iCs/>
          <w:noProof/>
          <w:sz w:val="24"/>
          <w:szCs w:val="24"/>
        </w:rPr>
        <w:t>Pediatr. Infect. Dis. J.</w:t>
      </w:r>
      <w:r w:rsidRPr="00221A17">
        <w:rPr>
          <w:rFonts w:ascii="Times New Roman" w:hAnsi="Times New Roman" w:cs="Times New Roman"/>
          <w:noProof/>
          <w:sz w:val="24"/>
          <w:szCs w:val="24"/>
        </w:rPr>
        <w:t xml:space="preserve"> 2009;28(6):466–471. </w:t>
      </w:r>
    </w:p>
    <w:p w14:paraId="6CC058C0" w14:textId="10C1FDBF"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10. </w:t>
      </w:r>
      <w:r w:rsidRPr="00221A17">
        <w:rPr>
          <w:rFonts w:ascii="Times New Roman" w:hAnsi="Times New Roman" w:cs="Times New Roman"/>
          <w:noProof/>
          <w:sz w:val="24"/>
          <w:szCs w:val="24"/>
        </w:rPr>
        <w:tab/>
        <w:t xml:space="preserve">Ben-Shimol S, Givon-Lavi N, Greenberg D, et al. Pneumococcal nasopharyngeal carriage in children &lt;5 years of age visiting the pediatric emergency room in relation to PCV7 and PCV13 introduction in southern Israel. </w:t>
      </w:r>
      <w:r w:rsidRPr="00221A17">
        <w:rPr>
          <w:rFonts w:ascii="Times New Roman" w:hAnsi="Times New Roman" w:cs="Times New Roman"/>
          <w:i/>
          <w:iCs/>
          <w:noProof/>
          <w:sz w:val="24"/>
          <w:szCs w:val="24"/>
        </w:rPr>
        <w:t>Hum. Vaccin. Immunother.</w:t>
      </w:r>
      <w:r w:rsidRPr="00221A17">
        <w:rPr>
          <w:rFonts w:ascii="Times New Roman" w:hAnsi="Times New Roman" w:cs="Times New Roman"/>
          <w:noProof/>
          <w:sz w:val="24"/>
          <w:szCs w:val="24"/>
        </w:rPr>
        <w:t xml:space="preserve"> 2015;</w:t>
      </w:r>
      <w:r w:rsidR="00F84937" w:rsidRPr="00F84937">
        <w:t xml:space="preserve"> </w:t>
      </w:r>
      <w:r w:rsidR="00F84937" w:rsidRPr="00F84937">
        <w:rPr>
          <w:rFonts w:ascii="Times New Roman" w:hAnsi="Times New Roman" w:cs="Times New Roman"/>
          <w:noProof/>
          <w:sz w:val="24"/>
          <w:szCs w:val="24"/>
        </w:rPr>
        <w:t>[Epub ahead of print]</w:t>
      </w:r>
      <w:r w:rsidRPr="00221A17">
        <w:rPr>
          <w:rFonts w:ascii="Times New Roman" w:hAnsi="Times New Roman" w:cs="Times New Roman"/>
          <w:noProof/>
          <w:sz w:val="24"/>
          <w:szCs w:val="24"/>
        </w:rPr>
        <w:t xml:space="preserve">. </w:t>
      </w:r>
    </w:p>
    <w:p w14:paraId="2A19AC45" w14:textId="7D304899"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11. </w:t>
      </w:r>
      <w:r w:rsidRPr="00221A17">
        <w:rPr>
          <w:rFonts w:ascii="Times New Roman" w:hAnsi="Times New Roman" w:cs="Times New Roman"/>
          <w:noProof/>
          <w:sz w:val="24"/>
          <w:szCs w:val="24"/>
        </w:rPr>
        <w:tab/>
        <w:t xml:space="preserve">Huebner RE, Dagan R, Porath N, et al. Lack of utility of serotyping multiple colonies for detection of simultaneous nasopharyngeal carriage of different pneumococcal serotypes. </w:t>
      </w:r>
      <w:r w:rsidRPr="00221A17">
        <w:rPr>
          <w:rFonts w:ascii="Times New Roman" w:hAnsi="Times New Roman" w:cs="Times New Roman"/>
          <w:i/>
          <w:iCs/>
          <w:noProof/>
          <w:sz w:val="24"/>
          <w:szCs w:val="24"/>
        </w:rPr>
        <w:t>Pediatr. Infect. Dis. J.</w:t>
      </w:r>
      <w:r w:rsidRPr="00221A17">
        <w:rPr>
          <w:rFonts w:ascii="Times New Roman" w:hAnsi="Times New Roman" w:cs="Times New Roman"/>
          <w:noProof/>
          <w:sz w:val="24"/>
          <w:szCs w:val="24"/>
        </w:rPr>
        <w:t xml:space="preserve"> 2000;19(10):1017–</w:t>
      </w:r>
      <w:r w:rsidR="00F84937">
        <w:rPr>
          <w:rFonts w:ascii="Times New Roman" w:hAnsi="Times New Roman" w:cs="Times New Roman"/>
          <w:noProof/>
          <w:sz w:val="24"/>
          <w:szCs w:val="24"/>
        </w:rPr>
        <w:t>10</w:t>
      </w:r>
      <w:r w:rsidRPr="00221A17">
        <w:rPr>
          <w:rFonts w:ascii="Times New Roman" w:hAnsi="Times New Roman" w:cs="Times New Roman"/>
          <w:noProof/>
          <w:sz w:val="24"/>
          <w:szCs w:val="24"/>
        </w:rPr>
        <w:t xml:space="preserve">20. </w:t>
      </w:r>
    </w:p>
    <w:p w14:paraId="35F2A9E9" w14:textId="77777777"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12. </w:t>
      </w:r>
      <w:r w:rsidRPr="00221A17">
        <w:rPr>
          <w:rFonts w:ascii="Times New Roman" w:hAnsi="Times New Roman" w:cs="Times New Roman"/>
          <w:noProof/>
          <w:sz w:val="24"/>
          <w:szCs w:val="24"/>
        </w:rPr>
        <w:tab/>
        <w:t xml:space="preserve">Satzke C, Dunne EM, Porter BD, et al. The PneuCarriage Project: A Multi-Centre Comparative Study to Identify the Best Serotyping Methods for Examining Pneumococcal Carriage in Vaccine Evaluation Studies. </w:t>
      </w:r>
      <w:r w:rsidRPr="00221A17">
        <w:rPr>
          <w:rFonts w:ascii="Times New Roman" w:hAnsi="Times New Roman" w:cs="Times New Roman"/>
          <w:i/>
          <w:iCs/>
          <w:noProof/>
          <w:sz w:val="24"/>
          <w:szCs w:val="24"/>
        </w:rPr>
        <w:t>PLOS Med.</w:t>
      </w:r>
      <w:r w:rsidRPr="00221A17">
        <w:rPr>
          <w:rFonts w:ascii="Times New Roman" w:hAnsi="Times New Roman" w:cs="Times New Roman"/>
          <w:noProof/>
          <w:sz w:val="24"/>
          <w:szCs w:val="24"/>
        </w:rPr>
        <w:t xml:space="preserve"> 2015;12(11):e1001903. </w:t>
      </w:r>
    </w:p>
    <w:p w14:paraId="396D1720" w14:textId="405E08F9"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13. </w:t>
      </w:r>
      <w:r w:rsidRPr="00221A17">
        <w:rPr>
          <w:rFonts w:ascii="Times New Roman" w:hAnsi="Times New Roman" w:cs="Times New Roman"/>
          <w:noProof/>
          <w:sz w:val="24"/>
          <w:szCs w:val="24"/>
        </w:rPr>
        <w:tab/>
        <w:t xml:space="preserve">Rinta-Kokko H, Dagan R, Givon-Lavi N, et al. Estimation of vaccine efficacy against acquisition of pneumococcal carriage. </w:t>
      </w:r>
      <w:r w:rsidRPr="00221A17">
        <w:rPr>
          <w:rFonts w:ascii="Times New Roman" w:hAnsi="Times New Roman" w:cs="Times New Roman"/>
          <w:i/>
          <w:iCs/>
          <w:noProof/>
          <w:sz w:val="24"/>
          <w:szCs w:val="24"/>
        </w:rPr>
        <w:t>Vaccine</w:t>
      </w:r>
      <w:r w:rsidRPr="00221A17">
        <w:rPr>
          <w:rFonts w:ascii="Times New Roman" w:hAnsi="Times New Roman" w:cs="Times New Roman"/>
          <w:noProof/>
          <w:sz w:val="24"/>
          <w:szCs w:val="24"/>
        </w:rPr>
        <w:t>. 2009;27(29):3831–</w:t>
      </w:r>
      <w:r w:rsidR="00F84937">
        <w:rPr>
          <w:rFonts w:ascii="Times New Roman" w:hAnsi="Times New Roman" w:cs="Times New Roman"/>
          <w:noProof/>
          <w:sz w:val="24"/>
          <w:szCs w:val="24"/>
        </w:rPr>
        <w:t>383</w:t>
      </w:r>
      <w:r w:rsidRPr="00221A17">
        <w:rPr>
          <w:rFonts w:ascii="Times New Roman" w:hAnsi="Times New Roman" w:cs="Times New Roman"/>
          <w:noProof/>
          <w:sz w:val="24"/>
          <w:szCs w:val="24"/>
        </w:rPr>
        <w:t xml:space="preserve">7. </w:t>
      </w:r>
    </w:p>
    <w:p w14:paraId="291D0B68" w14:textId="728B07CE"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14. </w:t>
      </w:r>
      <w:r w:rsidRPr="00221A17">
        <w:rPr>
          <w:rFonts w:ascii="Times New Roman" w:hAnsi="Times New Roman" w:cs="Times New Roman"/>
          <w:noProof/>
          <w:sz w:val="24"/>
          <w:szCs w:val="24"/>
        </w:rPr>
        <w:tab/>
        <w:t xml:space="preserve">Auranen K, Rinta-Kokko H, Halloran ME. Estimating strain-specific and overall </w:t>
      </w:r>
      <w:r w:rsidRPr="00221A17">
        <w:rPr>
          <w:rFonts w:ascii="Times New Roman" w:hAnsi="Times New Roman" w:cs="Times New Roman"/>
          <w:noProof/>
          <w:sz w:val="24"/>
          <w:szCs w:val="24"/>
        </w:rPr>
        <w:lastRenderedPageBreak/>
        <w:t xml:space="preserve">efficacy of polyvalent vaccines against recurrent pathogens from a cross-sectional study. </w:t>
      </w:r>
      <w:r w:rsidRPr="00221A17">
        <w:rPr>
          <w:rFonts w:ascii="Times New Roman" w:hAnsi="Times New Roman" w:cs="Times New Roman"/>
          <w:i/>
          <w:iCs/>
          <w:noProof/>
          <w:sz w:val="24"/>
          <w:szCs w:val="24"/>
        </w:rPr>
        <w:t>Biometrics</w:t>
      </w:r>
      <w:r w:rsidRPr="00221A17">
        <w:rPr>
          <w:rFonts w:ascii="Times New Roman" w:hAnsi="Times New Roman" w:cs="Times New Roman"/>
          <w:noProof/>
          <w:sz w:val="24"/>
          <w:szCs w:val="24"/>
        </w:rPr>
        <w:t>. 2013;69(1):235–</w:t>
      </w:r>
      <w:r w:rsidR="00F84937">
        <w:rPr>
          <w:rFonts w:ascii="Times New Roman" w:hAnsi="Times New Roman" w:cs="Times New Roman"/>
          <w:noProof/>
          <w:sz w:val="24"/>
          <w:szCs w:val="24"/>
        </w:rPr>
        <w:t>2</w:t>
      </w:r>
      <w:r w:rsidRPr="00221A17">
        <w:rPr>
          <w:rFonts w:ascii="Times New Roman" w:hAnsi="Times New Roman" w:cs="Times New Roman"/>
          <w:noProof/>
          <w:sz w:val="24"/>
          <w:szCs w:val="24"/>
        </w:rPr>
        <w:t xml:space="preserve">44. </w:t>
      </w:r>
    </w:p>
    <w:p w14:paraId="5A4B5405" w14:textId="0E480CBF" w:rsidR="00221A17" w:rsidRPr="00221A17" w:rsidRDefault="00221A17" w:rsidP="00B91712">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15. </w:t>
      </w:r>
      <w:r w:rsidRPr="00221A17">
        <w:rPr>
          <w:rFonts w:ascii="Times New Roman" w:hAnsi="Times New Roman" w:cs="Times New Roman"/>
          <w:noProof/>
          <w:sz w:val="24"/>
          <w:szCs w:val="24"/>
        </w:rPr>
        <w:tab/>
      </w:r>
      <w:r w:rsidR="00B91712" w:rsidRPr="00B91712">
        <w:rPr>
          <w:rFonts w:ascii="Times New Roman" w:hAnsi="Times New Roman" w:cs="Times New Roman"/>
          <w:noProof/>
          <w:sz w:val="24"/>
          <w:szCs w:val="24"/>
        </w:rPr>
        <w:t>R Development Core Team</w:t>
      </w:r>
      <w:r w:rsidRPr="00221A17">
        <w:rPr>
          <w:rFonts w:ascii="Times New Roman" w:hAnsi="Times New Roman" w:cs="Times New Roman"/>
          <w:noProof/>
          <w:sz w:val="24"/>
          <w:szCs w:val="24"/>
        </w:rPr>
        <w:t xml:space="preserve">. </w:t>
      </w:r>
      <w:r w:rsidR="00B91712" w:rsidRPr="00B91712">
        <w:rPr>
          <w:rFonts w:ascii="Times New Roman" w:hAnsi="Times New Roman" w:cs="Times New Roman"/>
          <w:noProof/>
          <w:sz w:val="24"/>
          <w:szCs w:val="24"/>
        </w:rPr>
        <w:t>R: A language and environment for statistical computing. R Foundation for Statistical Computing, Vienna, Austria</w:t>
      </w:r>
      <w:r w:rsidRPr="00221A17">
        <w:rPr>
          <w:rFonts w:ascii="Times New Roman" w:hAnsi="Times New Roman" w:cs="Times New Roman"/>
          <w:noProof/>
          <w:sz w:val="24"/>
          <w:szCs w:val="24"/>
        </w:rPr>
        <w:t>.</w:t>
      </w:r>
      <w:r w:rsidR="00B91712">
        <w:rPr>
          <w:rFonts w:ascii="Times New Roman" w:hAnsi="Times New Roman" w:cs="Times New Roman"/>
          <w:noProof/>
          <w:sz w:val="24"/>
          <w:szCs w:val="24"/>
        </w:rPr>
        <w:t xml:space="preserve"> 2015</w:t>
      </w:r>
      <w:r w:rsidRPr="00221A17">
        <w:rPr>
          <w:rFonts w:ascii="Times New Roman" w:hAnsi="Times New Roman" w:cs="Times New Roman"/>
          <w:noProof/>
          <w:sz w:val="24"/>
          <w:szCs w:val="24"/>
        </w:rPr>
        <w:t xml:space="preserve">. </w:t>
      </w:r>
    </w:p>
    <w:p w14:paraId="16E32959" w14:textId="77777777"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16. </w:t>
      </w:r>
      <w:r w:rsidRPr="00221A17">
        <w:rPr>
          <w:rFonts w:ascii="Times New Roman" w:hAnsi="Times New Roman" w:cs="Times New Roman"/>
          <w:noProof/>
          <w:sz w:val="24"/>
          <w:szCs w:val="24"/>
        </w:rPr>
        <w:tab/>
        <w:t xml:space="preserve">Dagan R, Givon-Lavi N, Leibovitz E, et al. Introduction and proliferation of multidrug-resistant Streptococcus pneumoniae serotype 19A clones that cause acute otitis media in an unvaccinated population. </w:t>
      </w:r>
      <w:r w:rsidRPr="00221A17">
        <w:rPr>
          <w:rFonts w:ascii="Times New Roman" w:hAnsi="Times New Roman" w:cs="Times New Roman"/>
          <w:i/>
          <w:iCs/>
          <w:noProof/>
          <w:sz w:val="24"/>
          <w:szCs w:val="24"/>
        </w:rPr>
        <w:t>J. Infect. Dis.</w:t>
      </w:r>
      <w:r w:rsidRPr="00221A17">
        <w:rPr>
          <w:rFonts w:ascii="Times New Roman" w:hAnsi="Times New Roman" w:cs="Times New Roman"/>
          <w:noProof/>
          <w:sz w:val="24"/>
          <w:szCs w:val="24"/>
        </w:rPr>
        <w:t xml:space="preserve"> 2009;199(6):776–785. </w:t>
      </w:r>
    </w:p>
    <w:p w14:paraId="23B5F388" w14:textId="77777777"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17. </w:t>
      </w:r>
      <w:r w:rsidRPr="00221A17">
        <w:rPr>
          <w:rFonts w:ascii="Times New Roman" w:hAnsi="Times New Roman" w:cs="Times New Roman"/>
          <w:noProof/>
          <w:sz w:val="24"/>
          <w:szCs w:val="24"/>
        </w:rPr>
        <w:tab/>
        <w:t xml:space="preserve">Flasche S, Slack M, Miller E. Long term trends introduce a potential bias when evaluating the impact of the pneumococcal conjugate vaccination programme in England and Wales. </w:t>
      </w:r>
      <w:r w:rsidRPr="00221A17">
        <w:rPr>
          <w:rFonts w:ascii="Times New Roman" w:hAnsi="Times New Roman" w:cs="Times New Roman"/>
          <w:i/>
          <w:iCs/>
          <w:noProof/>
          <w:sz w:val="24"/>
          <w:szCs w:val="24"/>
        </w:rPr>
        <w:t>Eurosurveillance</w:t>
      </w:r>
      <w:r w:rsidRPr="00221A17">
        <w:rPr>
          <w:rFonts w:ascii="Times New Roman" w:hAnsi="Times New Roman" w:cs="Times New Roman"/>
          <w:noProof/>
          <w:sz w:val="24"/>
          <w:szCs w:val="24"/>
        </w:rPr>
        <w:t xml:space="preserve">. 2011;16(20):19868. </w:t>
      </w:r>
    </w:p>
    <w:p w14:paraId="164C64BA" w14:textId="5AB75163"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18. </w:t>
      </w:r>
      <w:r w:rsidRPr="00221A17">
        <w:rPr>
          <w:rFonts w:ascii="Times New Roman" w:hAnsi="Times New Roman" w:cs="Times New Roman"/>
          <w:noProof/>
          <w:sz w:val="24"/>
          <w:szCs w:val="24"/>
        </w:rPr>
        <w:tab/>
        <w:t xml:space="preserve">Friedel V, Zilora S, Bogaard D, et al. Five-year prospective study of paediatric acute otitis media in Rochester, NY: modelling analysis of the risk of pneumococcal colonization in the nasopharynx and infection. </w:t>
      </w:r>
      <w:r w:rsidRPr="00221A17">
        <w:rPr>
          <w:rFonts w:ascii="Times New Roman" w:hAnsi="Times New Roman" w:cs="Times New Roman"/>
          <w:i/>
          <w:iCs/>
          <w:noProof/>
          <w:sz w:val="24"/>
          <w:szCs w:val="24"/>
        </w:rPr>
        <w:t>Epidemiol. Infect.</w:t>
      </w:r>
      <w:r w:rsidRPr="00221A17">
        <w:rPr>
          <w:rFonts w:ascii="Times New Roman" w:hAnsi="Times New Roman" w:cs="Times New Roman"/>
          <w:noProof/>
          <w:sz w:val="24"/>
          <w:szCs w:val="24"/>
        </w:rPr>
        <w:t xml:space="preserve"> 2014;142(10):2186–</w:t>
      </w:r>
      <w:r w:rsidR="00F84937">
        <w:rPr>
          <w:rFonts w:ascii="Times New Roman" w:hAnsi="Times New Roman" w:cs="Times New Roman"/>
          <w:noProof/>
          <w:sz w:val="24"/>
          <w:szCs w:val="24"/>
        </w:rPr>
        <w:t>21</w:t>
      </w:r>
      <w:r w:rsidRPr="00221A17">
        <w:rPr>
          <w:rFonts w:ascii="Times New Roman" w:hAnsi="Times New Roman" w:cs="Times New Roman"/>
          <w:noProof/>
          <w:sz w:val="24"/>
          <w:szCs w:val="24"/>
        </w:rPr>
        <w:t xml:space="preserve">94. </w:t>
      </w:r>
    </w:p>
    <w:p w14:paraId="0BC0EF84" w14:textId="796507F3"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19. </w:t>
      </w:r>
      <w:r w:rsidRPr="00221A17">
        <w:rPr>
          <w:rFonts w:ascii="Times New Roman" w:hAnsi="Times New Roman" w:cs="Times New Roman"/>
          <w:noProof/>
          <w:sz w:val="24"/>
          <w:szCs w:val="24"/>
        </w:rPr>
        <w:tab/>
        <w:t xml:space="preserve">Kaplan SL, Center KJ, Barson WJ, et al. Multicenter Surveillance of Streptococcus pneumoniae Isolates From Middle Ear and Mastoid Cultures in the 13-Valent Pneumococcal Conjugate Vaccine Era. </w:t>
      </w:r>
      <w:r w:rsidRPr="00221A17">
        <w:rPr>
          <w:rFonts w:ascii="Times New Roman" w:hAnsi="Times New Roman" w:cs="Times New Roman"/>
          <w:i/>
          <w:iCs/>
          <w:noProof/>
          <w:sz w:val="24"/>
          <w:szCs w:val="24"/>
        </w:rPr>
        <w:t>Clin. Infect. Dis.</w:t>
      </w:r>
      <w:r w:rsidRPr="00221A17">
        <w:rPr>
          <w:rFonts w:ascii="Times New Roman" w:hAnsi="Times New Roman" w:cs="Times New Roman"/>
          <w:noProof/>
          <w:sz w:val="24"/>
          <w:szCs w:val="24"/>
        </w:rPr>
        <w:t xml:space="preserve"> 2015;60</w:t>
      </w:r>
      <w:r w:rsidR="00B91712">
        <w:rPr>
          <w:rFonts w:ascii="Times New Roman" w:hAnsi="Times New Roman" w:cs="Times New Roman"/>
          <w:noProof/>
          <w:sz w:val="24"/>
          <w:szCs w:val="24"/>
        </w:rPr>
        <w:t>(9)</w:t>
      </w:r>
      <w:r w:rsidRPr="00221A17">
        <w:rPr>
          <w:rFonts w:ascii="Times New Roman" w:hAnsi="Times New Roman" w:cs="Times New Roman"/>
          <w:noProof/>
          <w:sz w:val="24"/>
          <w:szCs w:val="24"/>
        </w:rPr>
        <w:t xml:space="preserve">:1339–1345. </w:t>
      </w:r>
    </w:p>
    <w:p w14:paraId="03B15A6C" w14:textId="77777777"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20. </w:t>
      </w:r>
      <w:r w:rsidRPr="00221A17">
        <w:rPr>
          <w:rFonts w:ascii="Times New Roman" w:hAnsi="Times New Roman" w:cs="Times New Roman"/>
          <w:noProof/>
          <w:sz w:val="24"/>
          <w:szCs w:val="24"/>
        </w:rPr>
        <w:tab/>
        <w:t xml:space="preserve">Shouval DS, Greenberg D, Givon-Lavi N, et al. Site-specific disease potential of individual Streptococcus pneumoniae serotypes in pediatric invasive disease, acute otitis media and acute conjunctivitis. </w:t>
      </w:r>
      <w:r w:rsidRPr="00221A17">
        <w:rPr>
          <w:rFonts w:ascii="Times New Roman" w:hAnsi="Times New Roman" w:cs="Times New Roman"/>
          <w:i/>
          <w:iCs/>
          <w:noProof/>
          <w:sz w:val="24"/>
          <w:szCs w:val="24"/>
        </w:rPr>
        <w:t>Pediatr Infect Dis J</w:t>
      </w:r>
      <w:r w:rsidRPr="00221A17">
        <w:rPr>
          <w:rFonts w:ascii="Times New Roman" w:hAnsi="Times New Roman" w:cs="Times New Roman"/>
          <w:noProof/>
          <w:sz w:val="24"/>
          <w:szCs w:val="24"/>
        </w:rPr>
        <w:t xml:space="preserve">. 2006;25(7):602–607. </w:t>
      </w:r>
    </w:p>
    <w:p w14:paraId="45E68EF1" w14:textId="77777777"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21. </w:t>
      </w:r>
      <w:r w:rsidRPr="00221A17">
        <w:rPr>
          <w:rFonts w:ascii="Times New Roman" w:hAnsi="Times New Roman" w:cs="Times New Roman"/>
          <w:noProof/>
          <w:sz w:val="24"/>
          <w:szCs w:val="24"/>
        </w:rPr>
        <w:tab/>
        <w:t xml:space="preserve">Cobey S, Lipsitch M. Niche and Neutral Effects of Acquired Immunity Permit Coexistence of Pneumococcal Serotypes. </w:t>
      </w:r>
      <w:r w:rsidRPr="00221A17">
        <w:rPr>
          <w:rFonts w:ascii="Times New Roman" w:hAnsi="Times New Roman" w:cs="Times New Roman"/>
          <w:i/>
          <w:iCs/>
          <w:noProof/>
          <w:sz w:val="24"/>
          <w:szCs w:val="24"/>
        </w:rPr>
        <w:t>Science (80-. ).</w:t>
      </w:r>
      <w:r w:rsidRPr="00221A17">
        <w:rPr>
          <w:rFonts w:ascii="Times New Roman" w:hAnsi="Times New Roman" w:cs="Times New Roman"/>
          <w:noProof/>
          <w:sz w:val="24"/>
          <w:szCs w:val="24"/>
        </w:rPr>
        <w:t xml:space="preserve"> 2012;335(6074):1376–1380. </w:t>
      </w:r>
    </w:p>
    <w:p w14:paraId="390685BF" w14:textId="45BA1E01"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22. </w:t>
      </w:r>
      <w:r w:rsidRPr="00221A17">
        <w:rPr>
          <w:rFonts w:ascii="Times New Roman" w:hAnsi="Times New Roman" w:cs="Times New Roman"/>
          <w:noProof/>
          <w:sz w:val="24"/>
          <w:szCs w:val="24"/>
        </w:rPr>
        <w:tab/>
        <w:t xml:space="preserve">Flasche S, Edmunds WJ, Miller E, et al. The impact of specific and non-specific immunity on the ecology of Streptococcus pneumoniae and the implications for vaccination. </w:t>
      </w:r>
      <w:r w:rsidRPr="00221A17">
        <w:rPr>
          <w:rFonts w:ascii="Times New Roman" w:hAnsi="Times New Roman" w:cs="Times New Roman"/>
          <w:i/>
          <w:iCs/>
          <w:noProof/>
          <w:sz w:val="24"/>
          <w:szCs w:val="24"/>
        </w:rPr>
        <w:t>Proc. R. Soc. B Biol. Sci.</w:t>
      </w:r>
      <w:r w:rsidRPr="00221A17">
        <w:rPr>
          <w:rFonts w:ascii="Times New Roman" w:hAnsi="Times New Roman" w:cs="Times New Roman"/>
          <w:noProof/>
          <w:sz w:val="24"/>
          <w:szCs w:val="24"/>
        </w:rPr>
        <w:t xml:space="preserve"> 2013;280(1771):20131939. </w:t>
      </w:r>
    </w:p>
    <w:p w14:paraId="4A45D431" w14:textId="77777777"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23. </w:t>
      </w:r>
      <w:r w:rsidRPr="00221A17">
        <w:rPr>
          <w:rFonts w:ascii="Times New Roman" w:hAnsi="Times New Roman" w:cs="Times New Roman"/>
          <w:noProof/>
          <w:sz w:val="24"/>
          <w:szCs w:val="24"/>
        </w:rPr>
        <w:tab/>
        <w:t xml:space="preserve">Flasche S, Hoek AJ Van, Sheasby E, et al. Effect of pneumococcal conjugate vaccination on serotype-specific carriage and invasive disease in England: a cross-sectional study. </w:t>
      </w:r>
      <w:r w:rsidRPr="00221A17">
        <w:rPr>
          <w:rFonts w:ascii="Times New Roman" w:hAnsi="Times New Roman" w:cs="Times New Roman"/>
          <w:i/>
          <w:iCs/>
          <w:noProof/>
          <w:sz w:val="24"/>
          <w:szCs w:val="24"/>
        </w:rPr>
        <w:t>PLoS Med.</w:t>
      </w:r>
      <w:r w:rsidRPr="00221A17">
        <w:rPr>
          <w:rFonts w:ascii="Times New Roman" w:hAnsi="Times New Roman" w:cs="Times New Roman"/>
          <w:noProof/>
          <w:sz w:val="24"/>
          <w:szCs w:val="24"/>
        </w:rPr>
        <w:t xml:space="preserve"> 2011;8(4):e1001017. </w:t>
      </w:r>
    </w:p>
    <w:p w14:paraId="73EA338A" w14:textId="77777777"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24. </w:t>
      </w:r>
      <w:r w:rsidRPr="00221A17">
        <w:rPr>
          <w:rFonts w:ascii="Times New Roman" w:hAnsi="Times New Roman" w:cs="Times New Roman"/>
          <w:noProof/>
          <w:sz w:val="24"/>
          <w:szCs w:val="24"/>
        </w:rPr>
        <w:tab/>
        <w:t xml:space="preserve">Le Polain de Waroux O, Flasche S, Prieto-Merino D, et al. Age-Dependent Prevalence of Nasopharyngeal Carriage of Streptococcus pneumoniae before Conjugate Vaccine Introduction: A Prediction Model Based on a Meta-Analysis. </w:t>
      </w:r>
      <w:r w:rsidRPr="00221A17">
        <w:rPr>
          <w:rFonts w:ascii="Times New Roman" w:hAnsi="Times New Roman" w:cs="Times New Roman"/>
          <w:i/>
          <w:iCs/>
          <w:noProof/>
          <w:sz w:val="24"/>
          <w:szCs w:val="24"/>
        </w:rPr>
        <w:t>PLoS One</w:t>
      </w:r>
      <w:r w:rsidRPr="00221A17">
        <w:rPr>
          <w:rFonts w:ascii="Times New Roman" w:hAnsi="Times New Roman" w:cs="Times New Roman"/>
          <w:noProof/>
          <w:sz w:val="24"/>
          <w:szCs w:val="24"/>
        </w:rPr>
        <w:t xml:space="preserve">. 2014;9(1):e86136. </w:t>
      </w:r>
    </w:p>
    <w:p w14:paraId="7AC829DE" w14:textId="77777777"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1A17">
        <w:rPr>
          <w:rFonts w:ascii="Times New Roman" w:hAnsi="Times New Roman" w:cs="Times New Roman"/>
          <w:noProof/>
          <w:sz w:val="24"/>
          <w:szCs w:val="24"/>
        </w:rPr>
        <w:t xml:space="preserve">25. </w:t>
      </w:r>
      <w:r w:rsidRPr="00221A17">
        <w:rPr>
          <w:rFonts w:ascii="Times New Roman" w:hAnsi="Times New Roman" w:cs="Times New Roman"/>
          <w:noProof/>
          <w:sz w:val="24"/>
          <w:szCs w:val="24"/>
        </w:rPr>
        <w:tab/>
        <w:t xml:space="preserve">Nurhonen M, Cheng AC, Auranen K. Pneumococcal transmission and disease in silico: a microsimulation model of the indirect effects of vaccination. </w:t>
      </w:r>
      <w:r w:rsidRPr="00221A17">
        <w:rPr>
          <w:rFonts w:ascii="Times New Roman" w:hAnsi="Times New Roman" w:cs="Times New Roman"/>
          <w:i/>
          <w:iCs/>
          <w:noProof/>
          <w:sz w:val="24"/>
          <w:szCs w:val="24"/>
        </w:rPr>
        <w:t>PLoS One</w:t>
      </w:r>
      <w:r w:rsidRPr="00221A17">
        <w:rPr>
          <w:rFonts w:ascii="Times New Roman" w:hAnsi="Times New Roman" w:cs="Times New Roman"/>
          <w:noProof/>
          <w:sz w:val="24"/>
          <w:szCs w:val="24"/>
        </w:rPr>
        <w:t xml:space="preserve">. 2013;8(2):e56079. </w:t>
      </w:r>
    </w:p>
    <w:p w14:paraId="6BFB29D9" w14:textId="101DDA71" w:rsidR="00221A17" w:rsidRPr="00221A17" w:rsidRDefault="00221A17" w:rsidP="00221A17">
      <w:pPr>
        <w:widowControl w:val="0"/>
        <w:autoSpaceDE w:val="0"/>
        <w:autoSpaceDN w:val="0"/>
        <w:adjustRightInd w:val="0"/>
        <w:spacing w:after="140" w:line="240" w:lineRule="auto"/>
        <w:ind w:left="640" w:hanging="640"/>
        <w:rPr>
          <w:rFonts w:ascii="Times New Roman" w:hAnsi="Times New Roman" w:cs="Times New Roman"/>
          <w:noProof/>
          <w:sz w:val="24"/>
        </w:rPr>
      </w:pPr>
      <w:r w:rsidRPr="00221A17">
        <w:rPr>
          <w:rFonts w:ascii="Times New Roman" w:hAnsi="Times New Roman" w:cs="Times New Roman"/>
          <w:noProof/>
          <w:sz w:val="24"/>
          <w:szCs w:val="24"/>
        </w:rPr>
        <w:t xml:space="preserve">26. </w:t>
      </w:r>
      <w:r w:rsidRPr="00221A17">
        <w:rPr>
          <w:rFonts w:ascii="Times New Roman" w:hAnsi="Times New Roman" w:cs="Times New Roman"/>
          <w:noProof/>
          <w:sz w:val="24"/>
          <w:szCs w:val="24"/>
        </w:rPr>
        <w:tab/>
        <w:t xml:space="preserve">Greenberg D, Givon-Lavi N, Newman N, et al. Nasopharyngeal carriage of individual Streptococcus pneumoniae serotypes during pediatric pneumonia as a means to estimate serotype disease potential. </w:t>
      </w:r>
      <w:r w:rsidRPr="00221A17">
        <w:rPr>
          <w:rFonts w:ascii="Times New Roman" w:hAnsi="Times New Roman" w:cs="Times New Roman"/>
          <w:i/>
          <w:iCs/>
          <w:noProof/>
          <w:sz w:val="24"/>
          <w:szCs w:val="24"/>
        </w:rPr>
        <w:t>Pediatr. Infect. Dis. J.</w:t>
      </w:r>
      <w:r w:rsidRPr="00221A17">
        <w:rPr>
          <w:rFonts w:ascii="Times New Roman" w:hAnsi="Times New Roman" w:cs="Times New Roman"/>
          <w:noProof/>
          <w:sz w:val="24"/>
          <w:szCs w:val="24"/>
        </w:rPr>
        <w:t xml:space="preserve"> 2011;30(3):227–</w:t>
      </w:r>
      <w:r w:rsidR="00F84937">
        <w:rPr>
          <w:rFonts w:ascii="Times New Roman" w:hAnsi="Times New Roman" w:cs="Times New Roman"/>
          <w:noProof/>
          <w:sz w:val="24"/>
          <w:szCs w:val="24"/>
        </w:rPr>
        <w:t>2</w:t>
      </w:r>
      <w:r w:rsidRPr="00221A17">
        <w:rPr>
          <w:rFonts w:ascii="Times New Roman" w:hAnsi="Times New Roman" w:cs="Times New Roman"/>
          <w:noProof/>
          <w:sz w:val="24"/>
          <w:szCs w:val="24"/>
        </w:rPr>
        <w:t xml:space="preserve">33. </w:t>
      </w:r>
    </w:p>
    <w:p w14:paraId="6AECFE8F" w14:textId="77777777" w:rsidR="00137B4A" w:rsidRPr="0073228A" w:rsidRDefault="0051660D" w:rsidP="00E7769A">
      <w:pPr>
        <w:spacing w:line="480" w:lineRule="auto"/>
        <w:rPr>
          <w:rFonts w:ascii="Times New Roman" w:hAnsi="Times New Roman" w:cs="Times New Roman"/>
          <w:sz w:val="24"/>
          <w:szCs w:val="24"/>
          <w:u w:val="single"/>
        </w:rPr>
      </w:pPr>
      <w:r w:rsidRPr="0073228A">
        <w:rPr>
          <w:rFonts w:ascii="Times New Roman" w:hAnsi="Times New Roman" w:cs="Times New Roman"/>
          <w:sz w:val="24"/>
          <w:szCs w:val="24"/>
          <w:u w:val="single"/>
        </w:rPr>
        <w:fldChar w:fldCharType="end"/>
      </w:r>
    </w:p>
    <w:p w14:paraId="77C4898B" w14:textId="77777777" w:rsidR="00167101" w:rsidRPr="0073228A" w:rsidRDefault="00167101" w:rsidP="00E7769A">
      <w:pPr>
        <w:spacing w:line="480" w:lineRule="auto"/>
        <w:rPr>
          <w:rFonts w:ascii="Times New Roman" w:hAnsi="Times New Roman" w:cs="Times New Roman"/>
          <w:b/>
          <w:sz w:val="24"/>
          <w:szCs w:val="24"/>
        </w:rPr>
      </w:pPr>
    </w:p>
    <w:p w14:paraId="7FCCF5FC" w14:textId="7B762E12" w:rsidR="005F22BD" w:rsidRPr="0073228A" w:rsidRDefault="00137B4A" w:rsidP="00E7769A">
      <w:pPr>
        <w:spacing w:line="480" w:lineRule="auto"/>
        <w:rPr>
          <w:rFonts w:ascii="Times New Roman" w:hAnsi="Times New Roman" w:cs="Times New Roman"/>
          <w:sz w:val="24"/>
          <w:szCs w:val="24"/>
          <w:u w:val="single"/>
        </w:rPr>
      </w:pPr>
      <w:r w:rsidRPr="0073228A">
        <w:rPr>
          <w:rFonts w:ascii="Times New Roman" w:hAnsi="Times New Roman" w:cs="Times New Roman"/>
          <w:b/>
          <w:sz w:val="24"/>
          <w:szCs w:val="24"/>
        </w:rPr>
        <w:lastRenderedPageBreak/>
        <w:t>Figures &amp; Tables</w:t>
      </w:r>
    </w:p>
    <w:p w14:paraId="7505BB61" w14:textId="17FFAFAA" w:rsidR="009215C5" w:rsidRPr="0073228A" w:rsidRDefault="009215C5" w:rsidP="00E7769A">
      <w:pPr>
        <w:spacing w:line="480" w:lineRule="auto"/>
        <w:rPr>
          <w:rFonts w:ascii="Times New Roman" w:eastAsia="Times New Roman" w:hAnsi="Times New Roman" w:cs="Times New Roman"/>
          <w:color w:val="000000"/>
          <w:sz w:val="24"/>
          <w:szCs w:val="24"/>
          <w:lang w:eastAsia="en-GB"/>
        </w:rPr>
      </w:pPr>
      <w:r w:rsidRPr="0073228A">
        <w:rPr>
          <w:rFonts w:ascii="Times New Roman" w:hAnsi="Times New Roman" w:cs="Times New Roman"/>
          <w:sz w:val="24"/>
          <w:szCs w:val="24"/>
          <w:u w:val="single"/>
        </w:rPr>
        <w:t>Table 1:</w:t>
      </w:r>
      <w:r w:rsidRPr="0073228A">
        <w:rPr>
          <w:rFonts w:ascii="Times New Roman" w:hAnsi="Times New Roman" w:cs="Times New Roman"/>
          <w:color w:val="000000"/>
          <w:sz w:val="24"/>
          <w:szCs w:val="24"/>
        </w:rPr>
        <w:t xml:space="preserve">  Comparison of observed and predicted </w:t>
      </w:r>
      <w:r w:rsidRPr="0073228A">
        <w:rPr>
          <w:rFonts w:ascii="Times New Roman" w:eastAsia="Times New Roman" w:hAnsi="Times New Roman" w:cs="Times New Roman"/>
          <w:color w:val="000000"/>
          <w:sz w:val="24"/>
          <w:szCs w:val="24"/>
          <w:lang w:eastAsia="en-GB"/>
        </w:rPr>
        <w:t xml:space="preserve">OM incidence per 1,000 population in children less than 2 years old </w:t>
      </w:r>
      <w:r w:rsidR="00211085">
        <w:rPr>
          <w:rFonts w:ascii="Times New Roman" w:eastAsia="Times New Roman" w:hAnsi="Times New Roman" w:cs="Times New Roman"/>
          <w:color w:val="000000"/>
          <w:sz w:val="24"/>
          <w:szCs w:val="24"/>
          <w:lang w:eastAsia="en-GB"/>
        </w:rPr>
        <w:t xml:space="preserve">in southern Israel </w:t>
      </w:r>
      <w:r w:rsidRPr="0073228A">
        <w:rPr>
          <w:rFonts w:ascii="Times New Roman" w:eastAsia="Times New Roman" w:hAnsi="Times New Roman" w:cs="Times New Roman"/>
          <w:color w:val="000000"/>
          <w:sz w:val="24"/>
          <w:szCs w:val="24"/>
          <w:lang w:eastAsia="en-GB"/>
        </w:rPr>
        <w:t xml:space="preserve">in 2013/14. </w:t>
      </w:r>
    </w:p>
    <w:tbl>
      <w:tblPr>
        <w:tblW w:w="0" w:type="auto"/>
        <w:tblInd w:w="108" w:type="dxa"/>
        <w:tblLayout w:type="fixed"/>
        <w:tblLook w:val="04A0" w:firstRow="1" w:lastRow="0" w:firstColumn="1" w:lastColumn="0" w:noHBand="0" w:noVBand="1"/>
      </w:tblPr>
      <w:tblGrid>
        <w:gridCol w:w="1134"/>
        <w:gridCol w:w="1843"/>
        <w:gridCol w:w="1843"/>
        <w:gridCol w:w="1843"/>
        <w:gridCol w:w="1842"/>
      </w:tblGrid>
      <w:tr w:rsidR="00211085" w:rsidRPr="0073228A" w14:paraId="2C8BF07E" w14:textId="77777777" w:rsidTr="00211085">
        <w:trPr>
          <w:trHeight w:val="300"/>
        </w:trPr>
        <w:tc>
          <w:tcPr>
            <w:tcW w:w="1134" w:type="dxa"/>
            <w:tcBorders>
              <w:top w:val="nil"/>
              <w:left w:val="nil"/>
              <w:bottom w:val="nil"/>
              <w:right w:val="single" w:sz="4" w:space="0" w:color="auto"/>
            </w:tcBorders>
            <w:shd w:val="clear" w:color="auto" w:fill="auto"/>
            <w:noWrap/>
            <w:vAlign w:val="bottom"/>
            <w:hideMark/>
          </w:tcPr>
          <w:p w14:paraId="77F27BBC" w14:textId="77777777" w:rsidR="009215C5" w:rsidRPr="0073228A" w:rsidRDefault="009215C5" w:rsidP="00E7769A">
            <w:pPr>
              <w:spacing w:after="0" w:line="480" w:lineRule="auto"/>
              <w:rPr>
                <w:rFonts w:ascii="Times New Roman" w:eastAsia="Times New Roman" w:hAnsi="Times New Roman" w:cs="Times New Roman"/>
                <w:sz w:val="24"/>
                <w:szCs w:val="24"/>
                <w:lang w:eastAsia="en-GB"/>
              </w:rPr>
            </w:pPr>
          </w:p>
        </w:tc>
        <w:tc>
          <w:tcPr>
            <w:tcW w:w="3686" w:type="dxa"/>
            <w:gridSpan w:val="2"/>
            <w:tcBorders>
              <w:top w:val="nil"/>
              <w:left w:val="single" w:sz="4" w:space="0" w:color="auto"/>
              <w:bottom w:val="nil"/>
              <w:right w:val="single" w:sz="4" w:space="0" w:color="auto"/>
            </w:tcBorders>
            <w:shd w:val="clear" w:color="auto" w:fill="auto"/>
            <w:noWrap/>
            <w:vAlign w:val="bottom"/>
            <w:hideMark/>
          </w:tcPr>
          <w:p w14:paraId="2C81D31C" w14:textId="77777777" w:rsidR="009215C5" w:rsidRPr="0073228A" w:rsidRDefault="009215C5" w:rsidP="00E7769A">
            <w:pPr>
              <w:spacing w:after="0" w:line="480" w:lineRule="auto"/>
              <w:jc w:val="center"/>
              <w:rPr>
                <w:rFonts w:ascii="Times New Roman" w:eastAsia="Times New Roman" w:hAnsi="Times New Roman" w:cs="Times New Roman"/>
                <w:color w:val="000000"/>
                <w:sz w:val="24"/>
                <w:szCs w:val="24"/>
                <w:lang w:eastAsia="en-GB"/>
              </w:rPr>
            </w:pPr>
            <w:r w:rsidRPr="0073228A">
              <w:rPr>
                <w:rFonts w:ascii="Times New Roman" w:eastAsia="Times New Roman" w:hAnsi="Times New Roman" w:cs="Times New Roman"/>
                <w:color w:val="000000"/>
                <w:sz w:val="24"/>
                <w:szCs w:val="24"/>
                <w:lang w:eastAsia="en-GB"/>
              </w:rPr>
              <w:t>Jews</w:t>
            </w:r>
          </w:p>
        </w:tc>
        <w:tc>
          <w:tcPr>
            <w:tcW w:w="3685" w:type="dxa"/>
            <w:gridSpan w:val="2"/>
            <w:tcBorders>
              <w:top w:val="nil"/>
              <w:left w:val="single" w:sz="4" w:space="0" w:color="auto"/>
              <w:bottom w:val="nil"/>
              <w:right w:val="nil"/>
            </w:tcBorders>
            <w:shd w:val="clear" w:color="auto" w:fill="auto"/>
            <w:noWrap/>
            <w:vAlign w:val="bottom"/>
            <w:hideMark/>
          </w:tcPr>
          <w:p w14:paraId="0B8C9DBC" w14:textId="77777777" w:rsidR="009215C5" w:rsidRPr="0073228A" w:rsidRDefault="009215C5" w:rsidP="00E7769A">
            <w:pPr>
              <w:spacing w:after="0" w:line="480" w:lineRule="auto"/>
              <w:jc w:val="center"/>
              <w:rPr>
                <w:rFonts w:ascii="Times New Roman" w:eastAsia="Times New Roman" w:hAnsi="Times New Roman" w:cs="Times New Roman"/>
                <w:color w:val="000000"/>
                <w:sz w:val="24"/>
                <w:szCs w:val="24"/>
                <w:lang w:eastAsia="en-GB"/>
              </w:rPr>
            </w:pPr>
            <w:r w:rsidRPr="0073228A">
              <w:rPr>
                <w:rFonts w:ascii="Times New Roman" w:eastAsia="Times New Roman" w:hAnsi="Times New Roman" w:cs="Times New Roman"/>
                <w:color w:val="000000"/>
                <w:sz w:val="24"/>
                <w:szCs w:val="24"/>
                <w:lang w:eastAsia="en-GB"/>
              </w:rPr>
              <w:t>Bedouins</w:t>
            </w:r>
          </w:p>
        </w:tc>
      </w:tr>
      <w:tr w:rsidR="00211085" w:rsidRPr="0073228A" w14:paraId="724A4BBB" w14:textId="77777777" w:rsidTr="00211085">
        <w:trPr>
          <w:trHeight w:val="300"/>
        </w:trPr>
        <w:tc>
          <w:tcPr>
            <w:tcW w:w="1134" w:type="dxa"/>
            <w:tcBorders>
              <w:top w:val="nil"/>
              <w:left w:val="nil"/>
              <w:bottom w:val="single" w:sz="4" w:space="0" w:color="auto"/>
              <w:right w:val="single" w:sz="4" w:space="0" w:color="auto"/>
            </w:tcBorders>
            <w:shd w:val="clear" w:color="auto" w:fill="auto"/>
            <w:noWrap/>
            <w:vAlign w:val="bottom"/>
            <w:hideMark/>
          </w:tcPr>
          <w:p w14:paraId="0F95D849" w14:textId="77777777" w:rsidR="009215C5" w:rsidRPr="0073228A" w:rsidRDefault="009215C5" w:rsidP="00E7769A">
            <w:pPr>
              <w:spacing w:after="0" w:line="480" w:lineRule="auto"/>
              <w:jc w:val="center"/>
              <w:rPr>
                <w:rFonts w:ascii="Times New Roman" w:eastAsia="Times New Roman" w:hAnsi="Times New Roman" w:cs="Times New Roman"/>
                <w:color w:val="000000"/>
                <w:sz w:val="24"/>
                <w:szCs w:val="24"/>
                <w:lang w:eastAsia="en-GB"/>
              </w:rPr>
            </w:pPr>
          </w:p>
        </w:tc>
        <w:tc>
          <w:tcPr>
            <w:tcW w:w="1843" w:type="dxa"/>
            <w:tcBorders>
              <w:top w:val="nil"/>
              <w:left w:val="single" w:sz="4" w:space="0" w:color="auto"/>
              <w:bottom w:val="single" w:sz="4" w:space="0" w:color="auto"/>
              <w:right w:val="nil"/>
            </w:tcBorders>
            <w:shd w:val="clear" w:color="auto" w:fill="auto"/>
            <w:noWrap/>
            <w:vAlign w:val="bottom"/>
            <w:hideMark/>
          </w:tcPr>
          <w:p w14:paraId="02971914" w14:textId="04527ACB" w:rsidR="009215C5" w:rsidRPr="0073228A" w:rsidRDefault="009215C5" w:rsidP="00211085">
            <w:pPr>
              <w:spacing w:after="0" w:line="480" w:lineRule="auto"/>
              <w:rPr>
                <w:rFonts w:ascii="Times New Roman" w:eastAsia="Times New Roman" w:hAnsi="Times New Roman" w:cs="Times New Roman"/>
                <w:color w:val="000000"/>
                <w:sz w:val="24"/>
                <w:szCs w:val="24"/>
                <w:lang w:eastAsia="en-GB"/>
              </w:rPr>
            </w:pPr>
            <w:r w:rsidRPr="0073228A">
              <w:rPr>
                <w:rFonts w:ascii="Times New Roman" w:eastAsia="Times New Roman" w:hAnsi="Times New Roman" w:cs="Times New Roman"/>
                <w:color w:val="000000"/>
                <w:sz w:val="24"/>
                <w:szCs w:val="24"/>
                <w:lang w:eastAsia="en-GB"/>
              </w:rPr>
              <w:t xml:space="preserve">Observed </w:t>
            </w:r>
            <w:r w:rsidR="00211085">
              <w:rPr>
                <w:rFonts w:ascii="Times New Roman" w:eastAsia="Times New Roman" w:hAnsi="Times New Roman" w:cs="Times New Roman"/>
                <w:color w:val="000000"/>
                <w:sz w:val="24"/>
                <w:szCs w:val="24"/>
                <w:lang w:eastAsia="en-GB"/>
              </w:rPr>
              <w:t>OM incidence</w:t>
            </w:r>
            <w:r w:rsidR="00211085">
              <w:rPr>
                <w:rFonts w:ascii="Times New Roman" w:hAnsi="Times New Roman" w:cs="Times New Roman"/>
                <w:sz w:val="20"/>
                <w:szCs w:val="20"/>
                <w:vertAlign w:val="superscript"/>
              </w:rPr>
              <w:t>a</w:t>
            </w:r>
            <w:r w:rsidR="00211085">
              <w:rPr>
                <w:rFonts w:ascii="Times New Roman" w:eastAsia="Times New Roman" w:hAnsi="Times New Roman" w:cs="Times New Roman"/>
                <w:color w:val="000000"/>
                <w:sz w:val="24"/>
                <w:szCs w:val="24"/>
                <w:lang w:eastAsia="en-GB"/>
              </w:rPr>
              <w:t>, Median (95% CI)</w:t>
            </w:r>
          </w:p>
        </w:tc>
        <w:tc>
          <w:tcPr>
            <w:tcW w:w="1843" w:type="dxa"/>
            <w:tcBorders>
              <w:top w:val="nil"/>
              <w:left w:val="nil"/>
              <w:bottom w:val="single" w:sz="4" w:space="0" w:color="auto"/>
              <w:right w:val="single" w:sz="4" w:space="0" w:color="auto"/>
            </w:tcBorders>
            <w:shd w:val="clear" w:color="auto" w:fill="auto"/>
            <w:noWrap/>
            <w:vAlign w:val="bottom"/>
            <w:hideMark/>
          </w:tcPr>
          <w:p w14:paraId="79A9BC59" w14:textId="37DF861C" w:rsidR="009215C5" w:rsidRPr="0073228A" w:rsidRDefault="009215C5" w:rsidP="00211085">
            <w:pPr>
              <w:spacing w:after="0" w:line="480" w:lineRule="auto"/>
              <w:rPr>
                <w:rFonts w:ascii="Times New Roman" w:eastAsia="Times New Roman" w:hAnsi="Times New Roman" w:cs="Times New Roman"/>
                <w:color w:val="000000"/>
                <w:sz w:val="24"/>
                <w:szCs w:val="24"/>
                <w:lang w:eastAsia="en-GB"/>
              </w:rPr>
            </w:pPr>
            <w:r w:rsidRPr="0073228A">
              <w:rPr>
                <w:rFonts w:ascii="Times New Roman" w:eastAsia="Times New Roman" w:hAnsi="Times New Roman" w:cs="Times New Roman"/>
                <w:color w:val="000000"/>
                <w:sz w:val="24"/>
                <w:szCs w:val="24"/>
                <w:lang w:eastAsia="en-GB"/>
              </w:rPr>
              <w:t>Predicted</w:t>
            </w:r>
            <w:r w:rsidR="00211085">
              <w:rPr>
                <w:rFonts w:ascii="Times New Roman" w:eastAsia="Times New Roman" w:hAnsi="Times New Roman" w:cs="Times New Roman"/>
                <w:color w:val="000000"/>
                <w:sz w:val="24"/>
                <w:szCs w:val="24"/>
                <w:lang w:eastAsia="en-GB"/>
              </w:rPr>
              <w:t xml:space="preserve"> OM incidence</w:t>
            </w:r>
            <w:r w:rsidR="00211085">
              <w:rPr>
                <w:rFonts w:ascii="Times New Roman" w:hAnsi="Times New Roman" w:cs="Times New Roman"/>
                <w:sz w:val="20"/>
                <w:szCs w:val="20"/>
                <w:vertAlign w:val="superscript"/>
              </w:rPr>
              <w:t>a</w:t>
            </w:r>
            <w:r w:rsidR="00211085">
              <w:rPr>
                <w:rFonts w:ascii="Times New Roman" w:eastAsia="Times New Roman" w:hAnsi="Times New Roman" w:cs="Times New Roman"/>
                <w:color w:val="000000"/>
                <w:sz w:val="24"/>
                <w:szCs w:val="24"/>
                <w:lang w:eastAsia="en-GB"/>
              </w:rPr>
              <w:t>, Median (95% CI)</w:t>
            </w:r>
            <w:r w:rsidRPr="0073228A">
              <w:rPr>
                <w:rFonts w:ascii="Times New Roman" w:eastAsia="Times New Roman" w:hAnsi="Times New Roman" w:cs="Times New Roman"/>
                <w:color w:val="000000"/>
                <w:sz w:val="24"/>
                <w:szCs w:val="24"/>
                <w:lang w:eastAsia="en-GB"/>
              </w:rPr>
              <w:t xml:space="preserve"> </w:t>
            </w:r>
          </w:p>
        </w:tc>
        <w:tc>
          <w:tcPr>
            <w:tcW w:w="1843" w:type="dxa"/>
            <w:tcBorders>
              <w:top w:val="nil"/>
              <w:left w:val="single" w:sz="4" w:space="0" w:color="auto"/>
              <w:bottom w:val="single" w:sz="4" w:space="0" w:color="auto"/>
              <w:right w:val="nil"/>
            </w:tcBorders>
            <w:shd w:val="clear" w:color="auto" w:fill="auto"/>
            <w:noWrap/>
            <w:vAlign w:val="bottom"/>
            <w:hideMark/>
          </w:tcPr>
          <w:p w14:paraId="7FABA95A" w14:textId="5380D8C6" w:rsidR="009215C5" w:rsidRPr="0073228A" w:rsidRDefault="009215C5" w:rsidP="00211085">
            <w:pPr>
              <w:spacing w:after="0" w:line="480" w:lineRule="auto"/>
              <w:rPr>
                <w:rFonts w:ascii="Times New Roman" w:eastAsia="Times New Roman" w:hAnsi="Times New Roman" w:cs="Times New Roman"/>
                <w:color w:val="000000"/>
                <w:sz w:val="24"/>
                <w:szCs w:val="24"/>
                <w:lang w:eastAsia="en-GB"/>
              </w:rPr>
            </w:pPr>
            <w:r w:rsidRPr="0073228A">
              <w:rPr>
                <w:rFonts w:ascii="Times New Roman" w:eastAsia="Times New Roman" w:hAnsi="Times New Roman" w:cs="Times New Roman"/>
                <w:color w:val="000000"/>
                <w:sz w:val="24"/>
                <w:szCs w:val="24"/>
                <w:lang w:eastAsia="en-GB"/>
              </w:rPr>
              <w:t>Observed</w:t>
            </w:r>
            <w:r w:rsidR="00211085">
              <w:rPr>
                <w:rFonts w:ascii="Times New Roman" w:eastAsia="Times New Roman" w:hAnsi="Times New Roman" w:cs="Times New Roman"/>
                <w:color w:val="000000"/>
                <w:sz w:val="24"/>
                <w:szCs w:val="24"/>
                <w:lang w:eastAsia="en-GB"/>
              </w:rPr>
              <w:t xml:space="preserve"> OM incidence</w:t>
            </w:r>
            <w:r w:rsidR="00211085">
              <w:rPr>
                <w:rFonts w:ascii="Times New Roman" w:hAnsi="Times New Roman" w:cs="Times New Roman"/>
                <w:sz w:val="20"/>
                <w:szCs w:val="20"/>
                <w:vertAlign w:val="superscript"/>
              </w:rPr>
              <w:t>a</w:t>
            </w:r>
            <w:r w:rsidR="00211085">
              <w:rPr>
                <w:rFonts w:ascii="Times New Roman" w:eastAsia="Times New Roman" w:hAnsi="Times New Roman" w:cs="Times New Roman"/>
                <w:color w:val="000000"/>
                <w:sz w:val="24"/>
                <w:szCs w:val="24"/>
                <w:lang w:eastAsia="en-GB"/>
              </w:rPr>
              <w:t>, Median (95% CI)</w:t>
            </w:r>
            <w:r w:rsidRPr="0073228A">
              <w:rPr>
                <w:rFonts w:ascii="Times New Roman" w:eastAsia="Times New Roman" w:hAnsi="Times New Roman" w:cs="Times New Roman"/>
                <w:color w:val="000000"/>
                <w:sz w:val="24"/>
                <w:szCs w:val="24"/>
                <w:lang w:eastAsia="en-GB"/>
              </w:rPr>
              <w:t xml:space="preserve"> </w:t>
            </w:r>
          </w:p>
        </w:tc>
        <w:tc>
          <w:tcPr>
            <w:tcW w:w="1842" w:type="dxa"/>
            <w:tcBorders>
              <w:top w:val="nil"/>
              <w:left w:val="nil"/>
              <w:bottom w:val="single" w:sz="4" w:space="0" w:color="auto"/>
              <w:right w:val="nil"/>
            </w:tcBorders>
            <w:shd w:val="clear" w:color="auto" w:fill="auto"/>
            <w:noWrap/>
            <w:vAlign w:val="bottom"/>
            <w:hideMark/>
          </w:tcPr>
          <w:p w14:paraId="778CDEBF" w14:textId="225DD055" w:rsidR="009215C5" w:rsidRPr="0073228A" w:rsidRDefault="009215C5" w:rsidP="00211085">
            <w:pPr>
              <w:spacing w:after="0" w:line="480" w:lineRule="auto"/>
              <w:rPr>
                <w:rFonts w:ascii="Times New Roman" w:eastAsia="Times New Roman" w:hAnsi="Times New Roman" w:cs="Times New Roman"/>
                <w:color w:val="000000"/>
                <w:sz w:val="24"/>
                <w:szCs w:val="24"/>
                <w:lang w:eastAsia="en-GB"/>
              </w:rPr>
            </w:pPr>
            <w:r w:rsidRPr="0073228A">
              <w:rPr>
                <w:rFonts w:ascii="Times New Roman" w:eastAsia="Times New Roman" w:hAnsi="Times New Roman" w:cs="Times New Roman"/>
                <w:color w:val="000000"/>
                <w:sz w:val="24"/>
                <w:szCs w:val="24"/>
                <w:lang w:eastAsia="en-GB"/>
              </w:rPr>
              <w:t xml:space="preserve">Predicted </w:t>
            </w:r>
            <w:r w:rsidR="00211085">
              <w:rPr>
                <w:rFonts w:ascii="Times New Roman" w:eastAsia="Times New Roman" w:hAnsi="Times New Roman" w:cs="Times New Roman"/>
                <w:color w:val="000000"/>
                <w:sz w:val="24"/>
                <w:szCs w:val="24"/>
                <w:lang w:eastAsia="en-GB"/>
              </w:rPr>
              <w:t>OM incidence</w:t>
            </w:r>
            <w:r w:rsidR="00211085">
              <w:rPr>
                <w:rFonts w:ascii="Times New Roman" w:hAnsi="Times New Roman" w:cs="Times New Roman"/>
                <w:sz w:val="20"/>
                <w:szCs w:val="20"/>
                <w:vertAlign w:val="superscript"/>
              </w:rPr>
              <w:t>a</w:t>
            </w:r>
            <w:r w:rsidR="00211085">
              <w:rPr>
                <w:rFonts w:ascii="Times New Roman" w:eastAsia="Times New Roman" w:hAnsi="Times New Roman" w:cs="Times New Roman"/>
                <w:color w:val="000000"/>
                <w:sz w:val="24"/>
                <w:szCs w:val="24"/>
                <w:lang w:eastAsia="en-GB"/>
              </w:rPr>
              <w:t>, Median (95% CI)</w:t>
            </w:r>
          </w:p>
        </w:tc>
      </w:tr>
      <w:tr w:rsidR="00211085" w:rsidRPr="0073228A" w14:paraId="64BE2AEE" w14:textId="77777777" w:rsidTr="00211085">
        <w:trPr>
          <w:trHeight w:val="300"/>
        </w:trPr>
        <w:tc>
          <w:tcPr>
            <w:tcW w:w="1134" w:type="dxa"/>
            <w:tcBorders>
              <w:top w:val="single" w:sz="4" w:space="0" w:color="auto"/>
              <w:left w:val="nil"/>
              <w:bottom w:val="nil"/>
              <w:right w:val="single" w:sz="4" w:space="0" w:color="auto"/>
            </w:tcBorders>
            <w:shd w:val="clear" w:color="auto" w:fill="auto"/>
            <w:noWrap/>
            <w:vAlign w:val="bottom"/>
            <w:hideMark/>
          </w:tcPr>
          <w:p w14:paraId="27483900" w14:textId="77777777" w:rsidR="009215C5" w:rsidRPr="0073228A" w:rsidRDefault="009215C5" w:rsidP="00E7769A">
            <w:pPr>
              <w:spacing w:after="0" w:line="480" w:lineRule="auto"/>
              <w:rPr>
                <w:rFonts w:ascii="Times New Roman" w:eastAsia="Times New Roman" w:hAnsi="Times New Roman" w:cs="Times New Roman"/>
                <w:color w:val="000000"/>
                <w:sz w:val="24"/>
                <w:szCs w:val="24"/>
                <w:lang w:eastAsia="en-GB"/>
              </w:rPr>
            </w:pPr>
            <w:r w:rsidRPr="0073228A">
              <w:rPr>
                <w:rFonts w:ascii="Times New Roman" w:eastAsia="Times New Roman" w:hAnsi="Times New Roman" w:cs="Times New Roman"/>
                <w:color w:val="000000"/>
                <w:sz w:val="24"/>
                <w:szCs w:val="24"/>
                <w:lang w:eastAsia="en-GB"/>
              </w:rPr>
              <w:t xml:space="preserve">NVT </w:t>
            </w:r>
          </w:p>
        </w:tc>
        <w:tc>
          <w:tcPr>
            <w:tcW w:w="1843" w:type="dxa"/>
            <w:tcBorders>
              <w:top w:val="single" w:sz="4" w:space="0" w:color="auto"/>
              <w:left w:val="single" w:sz="4" w:space="0" w:color="auto"/>
              <w:bottom w:val="nil"/>
              <w:right w:val="nil"/>
            </w:tcBorders>
            <w:shd w:val="clear" w:color="auto" w:fill="auto"/>
            <w:noWrap/>
            <w:vAlign w:val="bottom"/>
            <w:hideMark/>
          </w:tcPr>
          <w:p w14:paraId="18BF766A" w14:textId="2A892BBB" w:rsidR="009215C5" w:rsidRPr="0073228A" w:rsidRDefault="00211085" w:rsidP="00E7769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2.15 (1.82, </w:t>
            </w:r>
            <w:r w:rsidR="009215C5" w:rsidRPr="0073228A">
              <w:rPr>
                <w:rFonts w:ascii="Times New Roman" w:eastAsia="Times New Roman" w:hAnsi="Times New Roman" w:cs="Times New Roman"/>
                <w:color w:val="000000"/>
                <w:sz w:val="24"/>
                <w:szCs w:val="24"/>
                <w:lang w:eastAsia="en-GB"/>
              </w:rPr>
              <w:t>2.48)</w:t>
            </w:r>
          </w:p>
        </w:tc>
        <w:tc>
          <w:tcPr>
            <w:tcW w:w="1843" w:type="dxa"/>
            <w:tcBorders>
              <w:top w:val="single" w:sz="4" w:space="0" w:color="auto"/>
              <w:left w:val="nil"/>
              <w:bottom w:val="nil"/>
              <w:right w:val="single" w:sz="4" w:space="0" w:color="auto"/>
            </w:tcBorders>
            <w:shd w:val="clear" w:color="auto" w:fill="auto"/>
            <w:noWrap/>
            <w:vAlign w:val="bottom"/>
            <w:hideMark/>
          </w:tcPr>
          <w:p w14:paraId="042E89F1" w14:textId="737F2C84" w:rsidR="009215C5" w:rsidRPr="0073228A" w:rsidRDefault="00211085" w:rsidP="00E7769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2.86 (1.97, </w:t>
            </w:r>
            <w:r w:rsidR="009215C5" w:rsidRPr="0073228A">
              <w:rPr>
                <w:rFonts w:ascii="Times New Roman" w:eastAsia="Times New Roman" w:hAnsi="Times New Roman" w:cs="Times New Roman"/>
                <w:color w:val="000000"/>
                <w:sz w:val="24"/>
                <w:szCs w:val="24"/>
                <w:lang w:eastAsia="en-GB"/>
              </w:rPr>
              <w:t>3.97)</w:t>
            </w:r>
          </w:p>
        </w:tc>
        <w:tc>
          <w:tcPr>
            <w:tcW w:w="1843" w:type="dxa"/>
            <w:tcBorders>
              <w:top w:val="single" w:sz="4" w:space="0" w:color="auto"/>
              <w:left w:val="single" w:sz="4" w:space="0" w:color="auto"/>
              <w:bottom w:val="nil"/>
              <w:right w:val="nil"/>
            </w:tcBorders>
            <w:shd w:val="clear" w:color="auto" w:fill="auto"/>
            <w:noWrap/>
            <w:vAlign w:val="bottom"/>
            <w:hideMark/>
          </w:tcPr>
          <w:p w14:paraId="086E9654" w14:textId="729EDD10" w:rsidR="009215C5" w:rsidRPr="0073228A" w:rsidRDefault="009215C5" w:rsidP="00211085">
            <w:pPr>
              <w:spacing w:after="0" w:line="480" w:lineRule="auto"/>
              <w:rPr>
                <w:rFonts w:ascii="Times New Roman" w:eastAsia="Times New Roman" w:hAnsi="Times New Roman" w:cs="Times New Roman"/>
                <w:color w:val="000000"/>
                <w:sz w:val="24"/>
                <w:szCs w:val="24"/>
                <w:lang w:eastAsia="en-GB"/>
              </w:rPr>
            </w:pPr>
            <w:r w:rsidRPr="0073228A">
              <w:rPr>
                <w:rFonts w:ascii="Times New Roman" w:eastAsia="Times New Roman" w:hAnsi="Times New Roman" w:cs="Times New Roman"/>
                <w:color w:val="000000"/>
                <w:sz w:val="24"/>
                <w:szCs w:val="24"/>
                <w:lang w:eastAsia="en-GB"/>
              </w:rPr>
              <w:t>0.88 (0.65</w:t>
            </w:r>
            <w:r w:rsidR="00211085">
              <w:rPr>
                <w:rFonts w:ascii="Times New Roman" w:eastAsia="Times New Roman" w:hAnsi="Times New Roman" w:cs="Times New Roman"/>
                <w:color w:val="000000"/>
                <w:sz w:val="24"/>
                <w:szCs w:val="24"/>
                <w:lang w:eastAsia="en-GB"/>
              </w:rPr>
              <w:t xml:space="preserve">, </w:t>
            </w:r>
            <w:r w:rsidRPr="0073228A">
              <w:rPr>
                <w:rFonts w:ascii="Times New Roman" w:eastAsia="Times New Roman" w:hAnsi="Times New Roman" w:cs="Times New Roman"/>
                <w:color w:val="000000"/>
                <w:sz w:val="24"/>
                <w:szCs w:val="24"/>
                <w:lang w:eastAsia="en-GB"/>
              </w:rPr>
              <w:t>1.11)</w:t>
            </w:r>
          </w:p>
        </w:tc>
        <w:tc>
          <w:tcPr>
            <w:tcW w:w="1842" w:type="dxa"/>
            <w:tcBorders>
              <w:top w:val="single" w:sz="4" w:space="0" w:color="auto"/>
              <w:left w:val="nil"/>
              <w:bottom w:val="nil"/>
              <w:right w:val="nil"/>
            </w:tcBorders>
            <w:shd w:val="clear" w:color="auto" w:fill="auto"/>
            <w:noWrap/>
            <w:vAlign w:val="bottom"/>
            <w:hideMark/>
          </w:tcPr>
          <w:p w14:paraId="1589DBB3" w14:textId="77E3616C" w:rsidR="009215C5" w:rsidRPr="0073228A" w:rsidRDefault="009215C5" w:rsidP="00E7769A">
            <w:pPr>
              <w:spacing w:after="0" w:line="480" w:lineRule="auto"/>
              <w:rPr>
                <w:rFonts w:ascii="Times New Roman" w:eastAsia="Times New Roman" w:hAnsi="Times New Roman" w:cs="Times New Roman"/>
                <w:color w:val="000000"/>
                <w:sz w:val="24"/>
                <w:szCs w:val="24"/>
                <w:lang w:eastAsia="en-GB"/>
              </w:rPr>
            </w:pPr>
            <w:r w:rsidRPr="0073228A">
              <w:rPr>
                <w:rFonts w:ascii="Times New Roman" w:eastAsia="Times New Roman" w:hAnsi="Times New Roman" w:cs="Times New Roman"/>
                <w:color w:val="000000"/>
                <w:sz w:val="24"/>
                <w:szCs w:val="24"/>
                <w:lang w:eastAsia="en-GB"/>
              </w:rPr>
              <w:t xml:space="preserve">2.53 </w:t>
            </w:r>
            <w:r w:rsidR="00211085">
              <w:rPr>
                <w:rFonts w:ascii="Times New Roman" w:eastAsia="Times New Roman" w:hAnsi="Times New Roman" w:cs="Times New Roman"/>
                <w:color w:val="000000"/>
                <w:sz w:val="24"/>
                <w:szCs w:val="24"/>
                <w:lang w:eastAsia="en-GB"/>
              </w:rPr>
              <w:t xml:space="preserve">(1.76, </w:t>
            </w:r>
            <w:r w:rsidRPr="0073228A">
              <w:rPr>
                <w:rFonts w:ascii="Times New Roman" w:eastAsia="Times New Roman" w:hAnsi="Times New Roman" w:cs="Times New Roman"/>
                <w:color w:val="000000"/>
                <w:sz w:val="24"/>
                <w:szCs w:val="24"/>
                <w:lang w:eastAsia="en-GB"/>
              </w:rPr>
              <w:t>3.43)</w:t>
            </w:r>
          </w:p>
        </w:tc>
      </w:tr>
      <w:tr w:rsidR="00211085" w:rsidRPr="0073228A" w14:paraId="705BEE38" w14:textId="77777777" w:rsidTr="00211085">
        <w:trPr>
          <w:trHeight w:val="300"/>
        </w:trPr>
        <w:tc>
          <w:tcPr>
            <w:tcW w:w="1134" w:type="dxa"/>
            <w:tcBorders>
              <w:top w:val="nil"/>
              <w:left w:val="nil"/>
              <w:bottom w:val="nil"/>
              <w:right w:val="single" w:sz="4" w:space="0" w:color="auto"/>
            </w:tcBorders>
            <w:shd w:val="clear" w:color="auto" w:fill="auto"/>
            <w:noWrap/>
            <w:vAlign w:val="bottom"/>
            <w:hideMark/>
          </w:tcPr>
          <w:p w14:paraId="6E81E28C" w14:textId="77777777" w:rsidR="009215C5" w:rsidRPr="0073228A" w:rsidRDefault="009215C5" w:rsidP="00E7769A">
            <w:pPr>
              <w:spacing w:after="0" w:line="480" w:lineRule="auto"/>
              <w:rPr>
                <w:rFonts w:ascii="Times New Roman" w:eastAsia="Times New Roman" w:hAnsi="Times New Roman" w:cs="Times New Roman"/>
                <w:color w:val="000000"/>
                <w:sz w:val="24"/>
                <w:szCs w:val="24"/>
                <w:lang w:eastAsia="en-GB"/>
              </w:rPr>
            </w:pPr>
            <w:r w:rsidRPr="0073228A">
              <w:rPr>
                <w:rFonts w:ascii="Times New Roman" w:eastAsia="Times New Roman" w:hAnsi="Times New Roman" w:cs="Times New Roman"/>
                <w:color w:val="000000"/>
                <w:sz w:val="24"/>
                <w:szCs w:val="24"/>
                <w:lang w:eastAsia="en-GB"/>
              </w:rPr>
              <w:t>PCV7</w:t>
            </w:r>
          </w:p>
        </w:tc>
        <w:tc>
          <w:tcPr>
            <w:tcW w:w="1843" w:type="dxa"/>
            <w:tcBorders>
              <w:top w:val="nil"/>
              <w:left w:val="single" w:sz="4" w:space="0" w:color="auto"/>
              <w:bottom w:val="nil"/>
              <w:right w:val="nil"/>
            </w:tcBorders>
            <w:shd w:val="clear" w:color="auto" w:fill="auto"/>
            <w:noWrap/>
            <w:vAlign w:val="bottom"/>
            <w:hideMark/>
          </w:tcPr>
          <w:p w14:paraId="07DCF8E4" w14:textId="4864510D" w:rsidR="009215C5" w:rsidRPr="0073228A" w:rsidRDefault="00211085" w:rsidP="00E7769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0.26 (0.07, </w:t>
            </w:r>
            <w:r w:rsidR="009215C5" w:rsidRPr="0073228A">
              <w:rPr>
                <w:rFonts w:ascii="Times New Roman" w:eastAsia="Times New Roman" w:hAnsi="Times New Roman" w:cs="Times New Roman"/>
                <w:color w:val="000000"/>
                <w:sz w:val="24"/>
                <w:szCs w:val="24"/>
                <w:lang w:eastAsia="en-GB"/>
              </w:rPr>
              <w:t>0.52)</w:t>
            </w:r>
          </w:p>
        </w:tc>
        <w:tc>
          <w:tcPr>
            <w:tcW w:w="1843" w:type="dxa"/>
            <w:tcBorders>
              <w:top w:val="nil"/>
              <w:left w:val="nil"/>
              <w:bottom w:val="nil"/>
              <w:right w:val="single" w:sz="4" w:space="0" w:color="auto"/>
            </w:tcBorders>
            <w:shd w:val="clear" w:color="auto" w:fill="auto"/>
            <w:noWrap/>
            <w:vAlign w:val="bottom"/>
            <w:hideMark/>
          </w:tcPr>
          <w:p w14:paraId="43450930" w14:textId="3A995D59" w:rsidR="009215C5" w:rsidRPr="0073228A" w:rsidRDefault="00211085" w:rsidP="00E7769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0.29 (0.11, </w:t>
            </w:r>
            <w:r w:rsidR="009215C5" w:rsidRPr="0073228A">
              <w:rPr>
                <w:rFonts w:ascii="Times New Roman" w:eastAsia="Times New Roman" w:hAnsi="Times New Roman" w:cs="Times New Roman"/>
                <w:color w:val="000000"/>
                <w:sz w:val="24"/>
                <w:szCs w:val="24"/>
                <w:lang w:eastAsia="en-GB"/>
              </w:rPr>
              <w:t>0.52)</w:t>
            </w:r>
          </w:p>
        </w:tc>
        <w:tc>
          <w:tcPr>
            <w:tcW w:w="1843" w:type="dxa"/>
            <w:tcBorders>
              <w:top w:val="nil"/>
              <w:left w:val="single" w:sz="4" w:space="0" w:color="auto"/>
              <w:bottom w:val="nil"/>
              <w:right w:val="nil"/>
            </w:tcBorders>
            <w:shd w:val="clear" w:color="auto" w:fill="auto"/>
            <w:noWrap/>
            <w:vAlign w:val="bottom"/>
            <w:hideMark/>
          </w:tcPr>
          <w:p w14:paraId="4A7E3F6B" w14:textId="77777777" w:rsidR="009215C5" w:rsidRPr="0073228A" w:rsidRDefault="009215C5" w:rsidP="00E7769A">
            <w:pPr>
              <w:spacing w:after="0" w:line="480" w:lineRule="auto"/>
              <w:jc w:val="right"/>
              <w:rPr>
                <w:rFonts w:ascii="Times New Roman" w:eastAsia="Times New Roman" w:hAnsi="Times New Roman" w:cs="Times New Roman"/>
                <w:color w:val="000000"/>
                <w:sz w:val="24"/>
                <w:szCs w:val="24"/>
                <w:lang w:eastAsia="en-GB"/>
              </w:rPr>
            </w:pPr>
            <w:r w:rsidRPr="0073228A">
              <w:rPr>
                <w:rFonts w:ascii="Times New Roman" w:eastAsia="Times New Roman" w:hAnsi="Times New Roman" w:cs="Times New Roman"/>
                <w:color w:val="000000"/>
                <w:sz w:val="24"/>
                <w:szCs w:val="24"/>
                <w:lang w:eastAsia="en-GB"/>
              </w:rPr>
              <w:t>0</w:t>
            </w:r>
          </w:p>
        </w:tc>
        <w:tc>
          <w:tcPr>
            <w:tcW w:w="1842" w:type="dxa"/>
            <w:tcBorders>
              <w:top w:val="nil"/>
              <w:left w:val="nil"/>
              <w:bottom w:val="nil"/>
              <w:right w:val="nil"/>
            </w:tcBorders>
            <w:shd w:val="clear" w:color="auto" w:fill="auto"/>
            <w:noWrap/>
            <w:vAlign w:val="bottom"/>
            <w:hideMark/>
          </w:tcPr>
          <w:p w14:paraId="6853C290" w14:textId="2782A5B2" w:rsidR="009215C5" w:rsidRPr="0073228A" w:rsidRDefault="00211085" w:rsidP="00E7769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0.39 (0.22, </w:t>
            </w:r>
            <w:r w:rsidR="009215C5" w:rsidRPr="0073228A">
              <w:rPr>
                <w:rFonts w:ascii="Times New Roman" w:eastAsia="Times New Roman" w:hAnsi="Times New Roman" w:cs="Times New Roman"/>
                <w:color w:val="000000"/>
                <w:sz w:val="24"/>
                <w:szCs w:val="24"/>
                <w:lang w:eastAsia="en-GB"/>
              </w:rPr>
              <w:t>0.63)</w:t>
            </w:r>
          </w:p>
        </w:tc>
      </w:tr>
      <w:tr w:rsidR="00211085" w:rsidRPr="0073228A" w14:paraId="79E107EE" w14:textId="77777777" w:rsidTr="00211085">
        <w:trPr>
          <w:trHeight w:val="300"/>
        </w:trPr>
        <w:tc>
          <w:tcPr>
            <w:tcW w:w="1134" w:type="dxa"/>
            <w:tcBorders>
              <w:top w:val="nil"/>
              <w:left w:val="nil"/>
              <w:bottom w:val="nil"/>
              <w:right w:val="single" w:sz="4" w:space="0" w:color="auto"/>
            </w:tcBorders>
            <w:shd w:val="clear" w:color="auto" w:fill="auto"/>
            <w:noWrap/>
            <w:vAlign w:val="bottom"/>
            <w:hideMark/>
          </w:tcPr>
          <w:p w14:paraId="11CEC75E" w14:textId="77777777" w:rsidR="009215C5" w:rsidRPr="0073228A" w:rsidRDefault="009215C5" w:rsidP="00E7769A">
            <w:pPr>
              <w:spacing w:after="0" w:line="480" w:lineRule="auto"/>
              <w:rPr>
                <w:rFonts w:ascii="Times New Roman" w:eastAsia="Times New Roman" w:hAnsi="Times New Roman" w:cs="Times New Roman"/>
                <w:color w:val="000000"/>
                <w:sz w:val="24"/>
                <w:szCs w:val="24"/>
                <w:lang w:eastAsia="en-GB"/>
              </w:rPr>
            </w:pPr>
            <w:r w:rsidRPr="0073228A">
              <w:rPr>
                <w:rFonts w:ascii="Times New Roman" w:eastAsia="Times New Roman" w:hAnsi="Times New Roman" w:cs="Times New Roman"/>
                <w:color w:val="000000"/>
                <w:sz w:val="24"/>
                <w:szCs w:val="24"/>
                <w:lang w:eastAsia="en-GB"/>
              </w:rPr>
              <w:t>PCV13-7</w:t>
            </w:r>
          </w:p>
        </w:tc>
        <w:tc>
          <w:tcPr>
            <w:tcW w:w="1843" w:type="dxa"/>
            <w:tcBorders>
              <w:top w:val="nil"/>
              <w:left w:val="single" w:sz="4" w:space="0" w:color="auto"/>
              <w:bottom w:val="nil"/>
              <w:right w:val="nil"/>
            </w:tcBorders>
            <w:shd w:val="clear" w:color="auto" w:fill="auto"/>
            <w:noWrap/>
            <w:vAlign w:val="bottom"/>
            <w:hideMark/>
          </w:tcPr>
          <w:p w14:paraId="44C31FB7" w14:textId="784C901E" w:rsidR="009215C5" w:rsidRPr="0073228A" w:rsidRDefault="00211085" w:rsidP="00E7769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0.33 (0.07, </w:t>
            </w:r>
            <w:r w:rsidR="009215C5" w:rsidRPr="0073228A">
              <w:rPr>
                <w:rFonts w:ascii="Times New Roman" w:eastAsia="Times New Roman" w:hAnsi="Times New Roman" w:cs="Times New Roman"/>
                <w:color w:val="000000"/>
                <w:sz w:val="24"/>
                <w:szCs w:val="24"/>
                <w:lang w:eastAsia="en-GB"/>
              </w:rPr>
              <w:t>0.59)</w:t>
            </w:r>
          </w:p>
        </w:tc>
        <w:tc>
          <w:tcPr>
            <w:tcW w:w="1843" w:type="dxa"/>
            <w:tcBorders>
              <w:top w:val="nil"/>
              <w:left w:val="nil"/>
              <w:bottom w:val="nil"/>
              <w:right w:val="single" w:sz="4" w:space="0" w:color="auto"/>
            </w:tcBorders>
            <w:shd w:val="clear" w:color="auto" w:fill="auto"/>
            <w:noWrap/>
            <w:vAlign w:val="bottom"/>
            <w:hideMark/>
          </w:tcPr>
          <w:p w14:paraId="0CA47CA9" w14:textId="777ECAFF" w:rsidR="009215C5" w:rsidRPr="0073228A" w:rsidRDefault="00211085" w:rsidP="00E7769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0.29 (0.12, </w:t>
            </w:r>
            <w:r w:rsidR="009215C5" w:rsidRPr="0073228A">
              <w:rPr>
                <w:rFonts w:ascii="Times New Roman" w:eastAsia="Times New Roman" w:hAnsi="Times New Roman" w:cs="Times New Roman"/>
                <w:color w:val="000000"/>
                <w:sz w:val="24"/>
                <w:szCs w:val="24"/>
                <w:lang w:eastAsia="en-GB"/>
              </w:rPr>
              <w:t>0.57)</w:t>
            </w:r>
          </w:p>
        </w:tc>
        <w:tc>
          <w:tcPr>
            <w:tcW w:w="1843" w:type="dxa"/>
            <w:tcBorders>
              <w:top w:val="nil"/>
              <w:left w:val="single" w:sz="4" w:space="0" w:color="auto"/>
              <w:bottom w:val="nil"/>
              <w:right w:val="nil"/>
            </w:tcBorders>
            <w:shd w:val="clear" w:color="auto" w:fill="auto"/>
            <w:noWrap/>
            <w:vAlign w:val="bottom"/>
            <w:hideMark/>
          </w:tcPr>
          <w:p w14:paraId="1D4F1652" w14:textId="64465745" w:rsidR="009215C5" w:rsidRPr="0073228A" w:rsidRDefault="00211085" w:rsidP="00E7769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0.23 (0.06, </w:t>
            </w:r>
            <w:r w:rsidR="009215C5" w:rsidRPr="0073228A">
              <w:rPr>
                <w:rFonts w:ascii="Times New Roman" w:eastAsia="Times New Roman" w:hAnsi="Times New Roman" w:cs="Times New Roman"/>
                <w:color w:val="000000"/>
                <w:sz w:val="24"/>
                <w:szCs w:val="24"/>
                <w:lang w:eastAsia="en-GB"/>
              </w:rPr>
              <w:t>0.47)</w:t>
            </w:r>
          </w:p>
        </w:tc>
        <w:tc>
          <w:tcPr>
            <w:tcW w:w="1842" w:type="dxa"/>
            <w:tcBorders>
              <w:top w:val="nil"/>
              <w:left w:val="nil"/>
              <w:bottom w:val="nil"/>
              <w:right w:val="nil"/>
            </w:tcBorders>
            <w:shd w:val="clear" w:color="auto" w:fill="auto"/>
            <w:noWrap/>
            <w:vAlign w:val="bottom"/>
            <w:hideMark/>
          </w:tcPr>
          <w:p w14:paraId="7E1800BB" w14:textId="69E14BC0" w:rsidR="009215C5" w:rsidRPr="0073228A" w:rsidRDefault="00211085" w:rsidP="00E7769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0.53 (0.32, </w:t>
            </w:r>
            <w:r w:rsidR="009215C5" w:rsidRPr="0073228A">
              <w:rPr>
                <w:rFonts w:ascii="Times New Roman" w:eastAsia="Times New Roman" w:hAnsi="Times New Roman" w:cs="Times New Roman"/>
                <w:color w:val="000000"/>
                <w:sz w:val="24"/>
                <w:szCs w:val="24"/>
                <w:lang w:eastAsia="en-GB"/>
              </w:rPr>
              <w:t>0.86)</w:t>
            </w:r>
          </w:p>
        </w:tc>
      </w:tr>
    </w:tbl>
    <w:p w14:paraId="040E1E1B" w14:textId="78F1870D" w:rsidR="00211085" w:rsidRPr="00211085" w:rsidRDefault="00211085" w:rsidP="003D18F9">
      <w:pPr>
        <w:spacing w:line="276" w:lineRule="auto"/>
        <w:rPr>
          <w:rFonts w:ascii="Times New Roman" w:eastAsia="Times New Roman" w:hAnsi="Times New Roman" w:cs="Times New Roman"/>
          <w:color w:val="000000"/>
          <w:sz w:val="20"/>
          <w:szCs w:val="20"/>
          <w:lang w:eastAsia="en-GB"/>
        </w:rPr>
      </w:pPr>
      <w:r>
        <w:rPr>
          <w:rFonts w:ascii="Times New Roman" w:hAnsi="Times New Roman" w:cs="Times New Roman"/>
          <w:sz w:val="20"/>
          <w:szCs w:val="20"/>
          <w:vertAlign w:val="superscript"/>
        </w:rPr>
        <w:t>a</w:t>
      </w:r>
      <w:r w:rsidRPr="00211085">
        <w:rPr>
          <w:rFonts w:ascii="Times New Roman" w:hAnsi="Times New Roman" w:cs="Times New Roman"/>
          <w:sz w:val="20"/>
          <w:szCs w:val="20"/>
        </w:rPr>
        <w:t xml:space="preserve"> </w:t>
      </w:r>
      <w:r w:rsidRPr="00211085">
        <w:rPr>
          <w:rFonts w:ascii="Times New Roman" w:eastAsia="Times New Roman" w:hAnsi="Times New Roman" w:cs="Times New Roman"/>
          <w:color w:val="000000"/>
          <w:sz w:val="20"/>
          <w:szCs w:val="20"/>
          <w:lang w:eastAsia="en-GB"/>
        </w:rPr>
        <w:t>per 1,000 population.</w:t>
      </w:r>
      <w:r w:rsidR="003D18F9">
        <w:rPr>
          <w:rFonts w:ascii="Times New Roman" w:eastAsia="Times New Roman" w:hAnsi="Times New Roman" w:cs="Times New Roman"/>
          <w:color w:val="000000"/>
          <w:sz w:val="20"/>
          <w:szCs w:val="20"/>
          <w:lang w:eastAsia="en-GB"/>
        </w:rPr>
        <w:br/>
      </w:r>
      <w:r>
        <w:rPr>
          <w:rFonts w:ascii="Times New Roman" w:eastAsia="Times New Roman" w:hAnsi="Times New Roman" w:cs="Times New Roman"/>
          <w:color w:val="000000"/>
          <w:sz w:val="20"/>
          <w:szCs w:val="20"/>
          <w:lang w:eastAsia="en-GB"/>
        </w:rPr>
        <w:t>OM</w:t>
      </w:r>
      <w:r w:rsidR="003D18F9">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 Otitis media</w:t>
      </w:r>
    </w:p>
    <w:p w14:paraId="2C482CCC" w14:textId="77777777" w:rsidR="007C2DD6" w:rsidRPr="0073228A" w:rsidRDefault="007C2DD6" w:rsidP="00E7769A">
      <w:pPr>
        <w:spacing w:line="480" w:lineRule="auto"/>
        <w:rPr>
          <w:rFonts w:ascii="Times New Roman" w:hAnsi="Times New Roman" w:cs="Times New Roman"/>
          <w:sz w:val="24"/>
          <w:szCs w:val="24"/>
          <w:u w:val="single"/>
        </w:rPr>
      </w:pPr>
      <w:r w:rsidRPr="0073228A">
        <w:rPr>
          <w:rFonts w:ascii="Times New Roman" w:hAnsi="Times New Roman" w:cs="Times New Roman"/>
          <w:sz w:val="24"/>
          <w:szCs w:val="24"/>
          <w:u w:val="single"/>
        </w:rPr>
        <w:br w:type="page"/>
      </w:r>
    </w:p>
    <w:p w14:paraId="42C402AD" w14:textId="1A7B73B2" w:rsidR="00497D42" w:rsidRPr="0073228A" w:rsidRDefault="00AB5F27" w:rsidP="00E7769A">
      <w:pPr>
        <w:spacing w:line="480" w:lineRule="auto"/>
        <w:rPr>
          <w:rFonts w:ascii="Times New Roman" w:hAnsi="Times New Roman" w:cs="Times New Roman"/>
          <w:sz w:val="24"/>
          <w:szCs w:val="24"/>
        </w:rPr>
      </w:pPr>
      <w:r w:rsidRPr="0073228A">
        <w:rPr>
          <w:rFonts w:ascii="Times New Roman" w:hAnsi="Times New Roman" w:cs="Times New Roman"/>
          <w:sz w:val="24"/>
          <w:szCs w:val="24"/>
          <w:u w:val="single"/>
        </w:rPr>
        <w:lastRenderedPageBreak/>
        <w:t>Figure 1</w:t>
      </w:r>
      <w:r w:rsidR="00497D42" w:rsidRPr="0073228A">
        <w:rPr>
          <w:rFonts w:ascii="Times New Roman" w:hAnsi="Times New Roman" w:cs="Times New Roman"/>
          <w:sz w:val="24"/>
          <w:szCs w:val="24"/>
          <w:u w:val="single"/>
        </w:rPr>
        <w:t>:</w:t>
      </w:r>
      <w:r w:rsidR="00497D42" w:rsidRPr="0073228A">
        <w:rPr>
          <w:rFonts w:ascii="Times New Roman" w:hAnsi="Times New Roman" w:cs="Times New Roman"/>
          <w:sz w:val="24"/>
          <w:szCs w:val="24"/>
        </w:rPr>
        <w:t xml:space="preserve"> The change in pneumococcal carriage prevalence in under 5 year old children from 2009/10 onwards</w:t>
      </w:r>
      <w:r w:rsidR="00B870A7" w:rsidRPr="0073228A">
        <w:rPr>
          <w:rFonts w:ascii="Times New Roman" w:hAnsi="Times New Roman" w:cs="Times New Roman"/>
          <w:sz w:val="24"/>
          <w:szCs w:val="24"/>
        </w:rPr>
        <w:t>,</w:t>
      </w:r>
      <w:r w:rsidR="00497D42" w:rsidRPr="0073228A">
        <w:rPr>
          <w:rFonts w:ascii="Times New Roman" w:hAnsi="Times New Roman" w:cs="Times New Roman"/>
          <w:sz w:val="24"/>
          <w:szCs w:val="24"/>
        </w:rPr>
        <w:t xml:space="preserve"> in comparison with the change in pneumococcal incidence of </w:t>
      </w:r>
      <w:r w:rsidR="00290D2D">
        <w:rPr>
          <w:rFonts w:ascii="Times New Roman" w:hAnsi="Times New Roman" w:cs="Times New Roman"/>
          <w:sz w:val="24"/>
          <w:szCs w:val="24"/>
        </w:rPr>
        <w:t>otitis media (</w:t>
      </w:r>
      <w:r w:rsidR="00290D2D" w:rsidRPr="0073228A">
        <w:rPr>
          <w:rFonts w:ascii="Times New Roman" w:hAnsi="Times New Roman" w:cs="Times New Roman"/>
          <w:sz w:val="24"/>
          <w:szCs w:val="24"/>
        </w:rPr>
        <w:t>OM</w:t>
      </w:r>
      <w:r w:rsidR="00290D2D">
        <w:rPr>
          <w:rFonts w:ascii="Times New Roman" w:hAnsi="Times New Roman" w:cs="Times New Roman"/>
          <w:sz w:val="24"/>
          <w:szCs w:val="24"/>
        </w:rPr>
        <w:t xml:space="preserve">) </w:t>
      </w:r>
      <w:r w:rsidR="00FA32C7" w:rsidRPr="0073228A">
        <w:rPr>
          <w:rFonts w:ascii="Times New Roman" w:hAnsi="Times New Roman" w:cs="Times New Roman"/>
          <w:sz w:val="24"/>
          <w:szCs w:val="24"/>
        </w:rPr>
        <w:t>in under 2 year old children</w:t>
      </w:r>
      <w:r w:rsidR="00497D42" w:rsidRPr="0073228A">
        <w:rPr>
          <w:rFonts w:ascii="Times New Roman" w:hAnsi="Times New Roman" w:cs="Times New Roman"/>
          <w:sz w:val="24"/>
          <w:szCs w:val="24"/>
        </w:rPr>
        <w:t xml:space="preserve">. Point estimates are presented in conjunction with respective 95% </w:t>
      </w:r>
      <w:r w:rsidR="00290D2D">
        <w:rPr>
          <w:rFonts w:ascii="Times New Roman" w:hAnsi="Times New Roman" w:cs="Times New Roman"/>
          <w:sz w:val="24"/>
          <w:szCs w:val="24"/>
        </w:rPr>
        <w:t>CI</w:t>
      </w:r>
      <w:r w:rsidR="00497D42" w:rsidRPr="0073228A">
        <w:rPr>
          <w:rFonts w:ascii="Times New Roman" w:hAnsi="Times New Roman" w:cs="Times New Roman"/>
          <w:sz w:val="24"/>
          <w:szCs w:val="24"/>
        </w:rPr>
        <w:t xml:space="preserve"> error bars.</w:t>
      </w:r>
      <w:r w:rsidR="00DD1274">
        <w:rPr>
          <w:rFonts w:ascii="Times New Roman" w:hAnsi="Times New Roman" w:cs="Times New Roman"/>
          <w:sz w:val="24"/>
          <w:szCs w:val="24"/>
        </w:rPr>
        <w:t xml:space="preserve"> Southern Israel, 2009 – 2014.</w:t>
      </w:r>
      <w:r w:rsidR="008074F0">
        <w:rPr>
          <w:rFonts w:ascii="Times New Roman" w:hAnsi="Times New Roman" w:cs="Times New Roman"/>
          <w:sz w:val="24"/>
          <w:szCs w:val="24"/>
        </w:rPr>
        <w:t xml:space="preserve"> PCV7: The 7 serotypes that are included in 7-valent pneumococcal conjugate vaccine. PCV13-7: The 6 serotypes that are included in the 13-valent pneumococcal conjugate vaccine but not in the 7-valent formulation; NVT: the serotypes that are not included in the 13-valent formulation.</w:t>
      </w:r>
    </w:p>
    <w:p w14:paraId="59095138" w14:textId="0D1222F2" w:rsidR="00137B4A" w:rsidRPr="0073228A" w:rsidRDefault="00FA32C7" w:rsidP="00E7769A">
      <w:pPr>
        <w:spacing w:line="480" w:lineRule="auto"/>
        <w:rPr>
          <w:rFonts w:ascii="Times New Roman" w:hAnsi="Times New Roman" w:cs="Times New Roman"/>
          <w:sz w:val="24"/>
          <w:szCs w:val="24"/>
        </w:rPr>
      </w:pPr>
      <w:r w:rsidRPr="0073228A">
        <w:rPr>
          <w:rFonts w:ascii="Times New Roman" w:hAnsi="Times New Roman" w:cs="Times New Roman"/>
          <w:sz w:val="24"/>
          <w:szCs w:val="24"/>
          <w:u w:val="single"/>
        </w:rPr>
        <w:t>Figure 2</w:t>
      </w:r>
      <w:r w:rsidR="00137B4A" w:rsidRPr="0073228A">
        <w:rPr>
          <w:rFonts w:ascii="Times New Roman" w:hAnsi="Times New Roman" w:cs="Times New Roman"/>
          <w:sz w:val="24"/>
          <w:szCs w:val="24"/>
        </w:rPr>
        <w:t xml:space="preserve">: </w:t>
      </w:r>
      <w:r w:rsidR="003B567A" w:rsidRPr="0073228A">
        <w:rPr>
          <w:rFonts w:ascii="Times New Roman" w:hAnsi="Times New Roman" w:cs="Times New Roman"/>
          <w:sz w:val="24"/>
          <w:szCs w:val="24"/>
        </w:rPr>
        <w:t>Time and ethnicity stratified o</w:t>
      </w:r>
      <w:r w:rsidR="00137B4A" w:rsidRPr="0073228A">
        <w:rPr>
          <w:rFonts w:ascii="Times New Roman" w:hAnsi="Times New Roman" w:cs="Times New Roman"/>
          <w:sz w:val="24"/>
          <w:szCs w:val="24"/>
        </w:rPr>
        <w:t xml:space="preserve">bserved </w:t>
      </w:r>
      <w:r w:rsidR="003B567A" w:rsidRPr="0073228A">
        <w:rPr>
          <w:rFonts w:ascii="Times New Roman" w:hAnsi="Times New Roman" w:cs="Times New Roman"/>
          <w:sz w:val="24"/>
          <w:szCs w:val="24"/>
        </w:rPr>
        <w:t xml:space="preserve">(black dots with 95% CI error bars) </w:t>
      </w:r>
      <w:r w:rsidR="00137B4A" w:rsidRPr="0073228A">
        <w:rPr>
          <w:rFonts w:ascii="Times New Roman" w:hAnsi="Times New Roman" w:cs="Times New Roman"/>
          <w:sz w:val="24"/>
          <w:szCs w:val="24"/>
        </w:rPr>
        <w:t xml:space="preserve">and predicted annual incidence of pneumococcal </w:t>
      </w:r>
      <w:r w:rsidR="00290D2D">
        <w:rPr>
          <w:rFonts w:ascii="Times New Roman" w:hAnsi="Times New Roman" w:cs="Times New Roman"/>
          <w:sz w:val="24"/>
          <w:szCs w:val="24"/>
        </w:rPr>
        <w:t>otitis media (</w:t>
      </w:r>
      <w:r w:rsidR="00137B4A" w:rsidRPr="0073228A">
        <w:rPr>
          <w:rFonts w:ascii="Times New Roman" w:hAnsi="Times New Roman" w:cs="Times New Roman"/>
          <w:sz w:val="24"/>
          <w:szCs w:val="24"/>
        </w:rPr>
        <w:t>OM</w:t>
      </w:r>
      <w:r w:rsidR="00290D2D">
        <w:rPr>
          <w:rFonts w:ascii="Times New Roman" w:hAnsi="Times New Roman" w:cs="Times New Roman"/>
          <w:sz w:val="24"/>
          <w:szCs w:val="24"/>
        </w:rPr>
        <w:t>)</w:t>
      </w:r>
      <w:r w:rsidR="001E7186" w:rsidRPr="0073228A">
        <w:rPr>
          <w:rFonts w:ascii="Times New Roman" w:hAnsi="Times New Roman" w:cs="Times New Roman"/>
          <w:sz w:val="24"/>
          <w:szCs w:val="24"/>
        </w:rPr>
        <w:t xml:space="preserve">. </w:t>
      </w:r>
      <w:r w:rsidR="003B567A" w:rsidRPr="0073228A">
        <w:rPr>
          <w:rFonts w:ascii="Times New Roman" w:hAnsi="Times New Roman" w:cs="Times New Roman"/>
          <w:sz w:val="24"/>
          <w:szCs w:val="24"/>
        </w:rPr>
        <w:t xml:space="preserve">The Epi-year 2009/2010 </w:t>
      </w:r>
      <w:r w:rsidR="00B870A7" w:rsidRPr="0073228A">
        <w:rPr>
          <w:rFonts w:ascii="Times New Roman" w:hAnsi="Times New Roman" w:cs="Times New Roman"/>
          <w:sz w:val="24"/>
          <w:szCs w:val="24"/>
        </w:rPr>
        <w:t xml:space="preserve">served </w:t>
      </w:r>
      <w:r w:rsidR="003B567A" w:rsidRPr="0073228A">
        <w:rPr>
          <w:rFonts w:ascii="Times New Roman" w:hAnsi="Times New Roman" w:cs="Times New Roman"/>
          <w:sz w:val="24"/>
          <w:szCs w:val="24"/>
        </w:rPr>
        <w:t xml:space="preserve">as a baseline for the predictions. </w:t>
      </w:r>
      <w:r w:rsidR="006922DA" w:rsidRPr="0073228A">
        <w:rPr>
          <w:rFonts w:ascii="Times New Roman" w:hAnsi="Times New Roman" w:cs="Times New Roman"/>
          <w:sz w:val="24"/>
          <w:szCs w:val="24"/>
        </w:rPr>
        <w:t xml:space="preserve">Carriage prevalence in children less than 5 years of age was used as a proxy for exposure of </w:t>
      </w:r>
      <w:r w:rsidR="008164EE" w:rsidRPr="0073228A">
        <w:rPr>
          <w:rFonts w:ascii="Times New Roman" w:hAnsi="Times New Roman" w:cs="Times New Roman"/>
          <w:sz w:val="24"/>
          <w:szCs w:val="24"/>
        </w:rPr>
        <w:t xml:space="preserve">children less than 2 years of age to the pneumococcus and their risk to contract </w:t>
      </w:r>
      <w:r w:rsidR="00024806" w:rsidRPr="0073228A">
        <w:rPr>
          <w:rFonts w:ascii="Times New Roman" w:hAnsi="Times New Roman" w:cs="Times New Roman"/>
          <w:sz w:val="24"/>
          <w:szCs w:val="24"/>
        </w:rPr>
        <w:t>OM</w:t>
      </w:r>
      <w:r w:rsidR="008164EE" w:rsidRPr="0073228A">
        <w:rPr>
          <w:rFonts w:ascii="Times New Roman" w:hAnsi="Times New Roman" w:cs="Times New Roman"/>
          <w:sz w:val="24"/>
          <w:szCs w:val="24"/>
        </w:rPr>
        <w:t xml:space="preserve">. </w:t>
      </w:r>
      <w:r w:rsidR="00DD1274">
        <w:rPr>
          <w:rFonts w:ascii="Times New Roman" w:hAnsi="Times New Roman" w:cs="Times New Roman"/>
          <w:sz w:val="24"/>
          <w:szCs w:val="24"/>
        </w:rPr>
        <w:t>Southern Israel, 2009 – 2014.</w:t>
      </w:r>
      <w:r w:rsidR="008074F0" w:rsidRPr="008074F0">
        <w:rPr>
          <w:rFonts w:ascii="Times New Roman" w:hAnsi="Times New Roman" w:cs="Times New Roman"/>
          <w:sz w:val="24"/>
          <w:szCs w:val="24"/>
        </w:rPr>
        <w:t xml:space="preserve"> </w:t>
      </w:r>
      <w:r w:rsidR="008074F0">
        <w:rPr>
          <w:rFonts w:ascii="Times New Roman" w:hAnsi="Times New Roman" w:cs="Times New Roman"/>
          <w:sz w:val="24"/>
          <w:szCs w:val="24"/>
        </w:rPr>
        <w:t>PCV7: The 7 serotypes that are included in 7-valent pneumococcal conjugate vaccine. PCV13-7: The 6 serotypes that are included in the 13-valent pneumococcal conjugate vaccine but not in the 7-valent formulation; NVT: the serotypes that are not included in the 13-valent formulation.</w:t>
      </w:r>
    </w:p>
    <w:p w14:paraId="32041E62" w14:textId="0BD368FF" w:rsidR="00B123AD" w:rsidRPr="0073228A" w:rsidRDefault="00B123AD" w:rsidP="00E7769A">
      <w:pPr>
        <w:spacing w:line="480" w:lineRule="auto"/>
        <w:rPr>
          <w:rFonts w:ascii="Times New Roman" w:hAnsi="Times New Roman" w:cs="Times New Roman"/>
          <w:noProof/>
          <w:sz w:val="24"/>
          <w:szCs w:val="24"/>
          <w:lang w:eastAsia="en-GB"/>
        </w:rPr>
      </w:pPr>
      <w:r w:rsidRPr="0073228A">
        <w:rPr>
          <w:rFonts w:ascii="Times New Roman" w:hAnsi="Times New Roman" w:cs="Times New Roman"/>
          <w:sz w:val="24"/>
          <w:szCs w:val="24"/>
          <w:u w:val="single"/>
        </w:rPr>
        <w:t xml:space="preserve">Figure </w:t>
      </w:r>
      <w:r w:rsidR="00FA32C7" w:rsidRPr="0073228A">
        <w:rPr>
          <w:rFonts w:ascii="Times New Roman" w:hAnsi="Times New Roman" w:cs="Times New Roman"/>
          <w:sz w:val="24"/>
          <w:szCs w:val="24"/>
          <w:u w:val="single"/>
        </w:rPr>
        <w:t>3</w:t>
      </w:r>
      <w:r w:rsidRPr="0073228A">
        <w:rPr>
          <w:rFonts w:ascii="Times New Roman" w:hAnsi="Times New Roman" w:cs="Times New Roman"/>
          <w:sz w:val="24"/>
          <w:szCs w:val="24"/>
        </w:rPr>
        <w:t xml:space="preserve">: </w:t>
      </w:r>
      <w:r w:rsidR="00ED1E84" w:rsidRPr="0073228A">
        <w:rPr>
          <w:rFonts w:ascii="Times New Roman" w:hAnsi="Times New Roman" w:cs="Times New Roman"/>
          <w:sz w:val="24"/>
          <w:szCs w:val="24"/>
        </w:rPr>
        <w:t xml:space="preserve">The proportion of isolates from </w:t>
      </w:r>
      <w:r w:rsidR="00EA662C" w:rsidRPr="0073228A">
        <w:rPr>
          <w:rFonts w:ascii="Times New Roman" w:hAnsi="Times New Roman" w:cs="Times New Roman"/>
          <w:sz w:val="24"/>
          <w:szCs w:val="24"/>
        </w:rPr>
        <w:t xml:space="preserve">middle ear fluid among pneumococcal </w:t>
      </w:r>
      <w:r w:rsidR="00290D2D">
        <w:rPr>
          <w:rFonts w:ascii="Times New Roman" w:hAnsi="Times New Roman" w:cs="Times New Roman"/>
          <w:sz w:val="24"/>
          <w:szCs w:val="24"/>
        </w:rPr>
        <w:t>otits media (</w:t>
      </w:r>
      <w:r w:rsidRPr="0073228A">
        <w:rPr>
          <w:rFonts w:ascii="Times New Roman" w:hAnsi="Times New Roman" w:cs="Times New Roman"/>
          <w:sz w:val="24"/>
          <w:szCs w:val="24"/>
        </w:rPr>
        <w:t>OM</w:t>
      </w:r>
      <w:r w:rsidR="00290D2D">
        <w:rPr>
          <w:rFonts w:ascii="Times New Roman" w:hAnsi="Times New Roman" w:cs="Times New Roman"/>
          <w:sz w:val="24"/>
          <w:szCs w:val="24"/>
        </w:rPr>
        <w:t>)</w:t>
      </w:r>
      <w:r w:rsidRPr="0073228A">
        <w:rPr>
          <w:rFonts w:ascii="Times New Roman" w:hAnsi="Times New Roman" w:cs="Times New Roman"/>
          <w:sz w:val="24"/>
          <w:szCs w:val="24"/>
        </w:rPr>
        <w:t xml:space="preserve"> </w:t>
      </w:r>
      <w:r w:rsidR="00ED1E84" w:rsidRPr="0073228A">
        <w:rPr>
          <w:rFonts w:ascii="Times New Roman" w:hAnsi="Times New Roman" w:cs="Times New Roman"/>
          <w:sz w:val="24"/>
          <w:szCs w:val="24"/>
        </w:rPr>
        <w:t xml:space="preserve">that contain a specific serotype versus the respective proportion among </w:t>
      </w:r>
      <w:r w:rsidR="00290D2D">
        <w:rPr>
          <w:rFonts w:ascii="Times New Roman" w:hAnsi="Times New Roman" w:cs="Times New Roman"/>
          <w:sz w:val="24"/>
          <w:szCs w:val="24"/>
        </w:rPr>
        <w:t xml:space="preserve">nasopharyngeal </w:t>
      </w:r>
      <w:r w:rsidR="008074F0">
        <w:rPr>
          <w:rFonts w:ascii="Times New Roman" w:hAnsi="Times New Roman" w:cs="Times New Roman"/>
          <w:sz w:val="24"/>
          <w:szCs w:val="24"/>
        </w:rPr>
        <w:t xml:space="preserve">(NP) </w:t>
      </w:r>
      <w:r w:rsidR="00EA662C" w:rsidRPr="0073228A">
        <w:rPr>
          <w:rFonts w:ascii="Times New Roman" w:hAnsi="Times New Roman" w:cs="Times New Roman"/>
          <w:sz w:val="24"/>
          <w:szCs w:val="24"/>
        </w:rPr>
        <w:t xml:space="preserve">carriage </w:t>
      </w:r>
      <w:r w:rsidR="00ED1E84" w:rsidRPr="0073228A">
        <w:rPr>
          <w:rFonts w:ascii="Times New Roman" w:hAnsi="Times New Roman" w:cs="Times New Roman"/>
          <w:sz w:val="24"/>
          <w:szCs w:val="24"/>
        </w:rPr>
        <w:t xml:space="preserve">of </w:t>
      </w:r>
      <w:r w:rsidR="00EA662C" w:rsidRPr="0073228A">
        <w:rPr>
          <w:rFonts w:ascii="Times New Roman" w:hAnsi="Times New Roman" w:cs="Times New Roman"/>
          <w:sz w:val="24"/>
          <w:szCs w:val="24"/>
        </w:rPr>
        <w:t>controls</w:t>
      </w:r>
      <w:r w:rsidR="00ED1E84" w:rsidRPr="0073228A">
        <w:rPr>
          <w:rFonts w:ascii="Times New Roman" w:hAnsi="Times New Roman" w:cs="Times New Roman"/>
          <w:sz w:val="24"/>
          <w:szCs w:val="24"/>
        </w:rPr>
        <w:t>.</w:t>
      </w:r>
      <w:r w:rsidR="007C2DD6" w:rsidRPr="0073228A">
        <w:rPr>
          <w:rFonts w:ascii="Times New Roman" w:hAnsi="Times New Roman" w:cs="Times New Roman"/>
          <w:sz w:val="24"/>
          <w:szCs w:val="24"/>
        </w:rPr>
        <w:t xml:space="preserve"> </w:t>
      </w:r>
      <w:r w:rsidR="00DD1274">
        <w:rPr>
          <w:rFonts w:ascii="Times New Roman" w:hAnsi="Times New Roman" w:cs="Times New Roman"/>
          <w:sz w:val="24"/>
          <w:szCs w:val="24"/>
        </w:rPr>
        <w:t>Southern Israel, 2009 – 2014.</w:t>
      </w:r>
      <w:r w:rsidR="008074F0">
        <w:rPr>
          <w:rFonts w:ascii="Times New Roman" w:hAnsi="Times New Roman" w:cs="Times New Roman"/>
          <w:sz w:val="24"/>
          <w:szCs w:val="24"/>
        </w:rPr>
        <w:t xml:space="preserve"> PCV7: The 7 serotypes that are included in 7-valent pneumococcal conjugate vaccine. PCV13-7: The 6 serotypes that are included in the 13-valent pneumococcal conjugate vaccine but not in the 7-valent formulation; NVT: the serotypes that are not included in the 13-valent formulation.</w:t>
      </w:r>
    </w:p>
    <w:p w14:paraId="7AF513FD" w14:textId="4D463E4E" w:rsidR="000107FA" w:rsidRPr="0073228A" w:rsidRDefault="000107FA" w:rsidP="00E7769A">
      <w:pPr>
        <w:spacing w:line="480" w:lineRule="auto"/>
        <w:rPr>
          <w:rFonts w:ascii="Times New Roman" w:hAnsi="Times New Roman" w:cs="Times New Roman"/>
          <w:sz w:val="24"/>
          <w:szCs w:val="24"/>
        </w:rPr>
      </w:pPr>
    </w:p>
    <w:sectPr w:rsidR="000107FA" w:rsidRPr="0073228A" w:rsidSect="00AE527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5E477" w14:textId="77777777" w:rsidR="00B02BF2" w:rsidRDefault="00B02BF2" w:rsidP="00A31C8C">
      <w:pPr>
        <w:spacing w:after="0" w:line="240" w:lineRule="auto"/>
      </w:pPr>
      <w:r>
        <w:separator/>
      </w:r>
    </w:p>
  </w:endnote>
  <w:endnote w:type="continuationSeparator" w:id="0">
    <w:p w14:paraId="695A0378" w14:textId="77777777" w:rsidR="00B02BF2" w:rsidRDefault="00B02BF2" w:rsidP="00A3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dvOT1ef757c0">
    <w:altName w:val="Times New Roman"/>
    <w:panose1 w:val="00000000000000000000"/>
    <w:charset w:val="00"/>
    <w:family w:val="roman"/>
    <w:notTrueType/>
    <w:pitch w:val="default"/>
    <w:sig w:usb0="00000003" w:usb1="00000000" w:usb2="00000000" w:usb3="00000000" w:csb0="00000001" w:csb1="00000000"/>
  </w:font>
  <w:font w:name="AdvP4A5FDB">
    <w:altName w:val="Arial"/>
    <w:panose1 w:val="00000000000000000000"/>
    <w:charset w:val="00"/>
    <w:family w:val="swiss"/>
    <w:notTrueType/>
    <w:pitch w:val="default"/>
    <w:sig w:usb0="00000003" w:usb1="00000000" w:usb2="00000000" w:usb3="00000000" w:csb0="00000001" w:csb1="00000000"/>
  </w:font>
  <w:font w:name="AdvP4C4E74">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62744"/>
      <w:docPartObj>
        <w:docPartGallery w:val="Page Numbers (Bottom of Page)"/>
        <w:docPartUnique/>
      </w:docPartObj>
    </w:sdtPr>
    <w:sdtEndPr>
      <w:rPr>
        <w:noProof/>
      </w:rPr>
    </w:sdtEndPr>
    <w:sdtContent>
      <w:p w14:paraId="4DB7554D" w14:textId="5DB716DA" w:rsidR="001F613D" w:rsidRDefault="001F613D">
        <w:pPr>
          <w:pStyle w:val="Footer"/>
          <w:jc w:val="right"/>
        </w:pPr>
        <w:r>
          <w:fldChar w:fldCharType="begin"/>
        </w:r>
        <w:r>
          <w:instrText xml:space="preserve"> PAGE   \* MERGEFORMAT </w:instrText>
        </w:r>
        <w:r>
          <w:fldChar w:fldCharType="separate"/>
        </w:r>
        <w:r w:rsidR="00D5627C">
          <w:rPr>
            <w:noProof/>
          </w:rPr>
          <w:t>1</w:t>
        </w:r>
        <w:r>
          <w:rPr>
            <w:noProof/>
          </w:rPr>
          <w:fldChar w:fldCharType="end"/>
        </w:r>
      </w:p>
    </w:sdtContent>
  </w:sdt>
  <w:p w14:paraId="1591FC8A" w14:textId="77777777" w:rsidR="003C790A" w:rsidRDefault="003C7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4AC33" w14:textId="77777777" w:rsidR="00B02BF2" w:rsidRDefault="00B02BF2" w:rsidP="00A31C8C">
      <w:pPr>
        <w:spacing w:after="0" w:line="240" w:lineRule="auto"/>
      </w:pPr>
      <w:r>
        <w:separator/>
      </w:r>
    </w:p>
  </w:footnote>
  <w:footnote w:type="continuationSeparator" w:id="0">
    <w:p w14:paraId="31A96B06" w14:textId="77777777" w:rsidR="00B02BF2" w:rsidRDefault="00B02BF2" w:rsidP="00A31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F7535"/>
    <w:multiLevelType w:val="hybridMultilevel"/>
    <w:tmpl w:val="360A92A2"/>
    <w:lvl w:ilvl="0" w:tplc="C86EB7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2599B"/>
    <w:multiLevelType w:val="hybridMultilevel"/>
    <w:tmpl w:val="9692F1CC"/>
    <w:lvl w:ilvl="0" w:tplc="11289E52">
      <w:start w:val="1"/>
      <w:numFmt w:val="decimal"/>
      <w:lvlText w:val="Mod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423D2B"/>
    <w:multiLevelType w:val="hybridMultilevel"/>
    <w:tmpl w:val="7F9871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810181"/>
    <w:multiLevelType w:val="hybridMultilevel"/>
    <w:tmpl w:val="EEA6DD40"/>
    <w:lvl w:ilvl="0" w:tplc="D57A22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D417CD"/>
    <w:multiLevelType w:val="hybridMultilevel"/>
    <w:tmpl w:val="AC2CB8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CC13F0"/>
    <w:multiLevelType w:val="hybridMultilevel"/>
    <w:tmpl w:val="8AD0EA68"/>
    <w:lvl w:ilvl="0" w:tplc="732CFC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DC4609"/>
    <w:multiLevelType w:val="multilevel"/>
    <w:tmpl w:val="55284D52"/>
    <w:name w:val="Model"/>
    <w:lvl w:ilvl="0">
      <w:start w:val="1"/>
      <w:numFmt w:val="decimal"/>
      <w:lvlText w:val="Model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EEA5998"/>
    <w:multiLevelType w:val="hybridMultilevel"/>
    <w:tmpl w:val="976476DA"/>
    <w:lvl w:ilvl="0" w:tplc="18DE45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395431"/>
    <w:multiLevelType w:val="hybridMultilevel"/>
    <w:tmpl w:val="A432ADD2"/>
    <w:lvl w:ilvl="0" w:tplc="65EA4F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DF7FCC"/>
    <w:multiLevelType w:val="hybridMultilevel"/>
    <w:tmpl w:val="10C492DC"/>
    <w:lvl w:ilvl="0" w:tplc="4008D0E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6"/>
  </w:num>
  <w:num w:numId="6">
    <w:abstractNumId w:val="1"/>
  </w:num>
  <w:num w:numId="7">
    <w:abstractNumId w:val="7"/>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8A"/>
    <w:rsid w:val="00005A10"/>
    <w:rsid w:val="00006042"/>
    <w:rsid w:val="000107FA"/>
    <w:rsid w:val="00024806"/>
    <w:rsid w:val="00027901"/>
    <w:rsid w:val="00033681"/>
    <w:rsid w:val="00033EAD"/>
    <w:rsid w:val="00044E6E"/>
    <w:rsid w:val="0004567C"/>
    <w:rsid w:val="00050A23"/>
    <w:rsid w:val="00052B34"/>
    <w:rsid w:val="000552BF"/>
    <w:rsid w:val="00070084"/>
    <w:rsid w:val="00082ADE"/>
    <w:rsid w:val="00092F89"/>
    <w:rsid w:val="00095B91"/>
    <w:rsid w:val="000A24FA"/>
    <w:rsid w:val="000A2F79"/>
    <w:rsid w:val="000B04AE"/>
    <w:rsid w:val="000C0A0D"/>
    <w:rsid w:val="000C3421"/>
    <w:rsid w:val="000C7C76"/>
    <w:rsid w:val="000D0EA3"/>
    <w:rsid w:val="000D7781"/>
    <w:rsid w:val="000E13D3"/>
    <w:rsid w:val="000E38D0"/>
    <w:rsid w:val="000F4EEA"/>
    <w:rsid w:val="00103083"/>
    <w:rsid w:val="00105CFD"/>
    <w:rsid w:val="00111B78"/>
    <w:rsid w:val="001122D1"/>
    <w:rsid w:val="00121AAA"/>
    <w:rsid w:val="001233FE"/>
    <w:rsid w:val="00123430"/>
    <w:rsid w:val="00134357"/>
    <w:rsid w:val="00137B4A"/>
    <w:rsid w:val="001405B6"/>
    <w:rsid w:val="00144A3D"/>
    <w:rsid w:val="00144E2D"/>
    <w:rsid w:val="00147E46"/>
    <w:rsid w:val="00150B4F"/>
    <w:rsid w:val="00153C31"/>
    <w:rsid w:val="00155061"/>
    <w:rsid w:val="0015603B"/>
    <w:rsid w:val="001611BE"/>
    <w:rsid w:val="00167101"/>
    <w:rsid w:val="001717CD"/>
    <w:rsid w:val="0017648E"/>
    <w:rsid w:val="0017752D"/>
    <w:rsid w:val="001B27E3"/>
    <w:rsid w:val="001B5CB0"/>
    <w:rsid w:val="001E7186"/>
    <w:rsid w:val="001F23D1"/>
    <w:rsid w:val="001F5FB7"/>
    <w:rsid w:val="001F613D"/>
    <w:rsid w:val="001F7616"/>
    <w:rsid w:val="002033D3"/>
    <w:rsid w:val="00211085"/>
    <w:rsid w:val="002133A1"/>
    <w:rsid w:val="00220190"/>
    <w:rsid w:val="0022177B"/>
    <w:rsid w:val="00221A17"/>
    <w:rsid w:val="00224C22"/>
    <w:rsid w:val="00232BB6"/>
    <w:rsid w:val="00233FBD"/>
    <w:rsid w:val="002343BE"/>
    <w:rsid w:val="00235A13"/>
    <w:rsid w:val="002373C7"/>
    <w:rsid w:val="00242661"/>
    <w:rsid w:val="002502D2"/>
    <w:rsid w:val="00250D6A"/>
    <w:rsid w:val="002525C6"/>
    <w:rsid w:val="002549E2"/>
    <w:rsid w:val="002765D7"/>
    <w:rsid w:val="00285DF4"/>
    <w:rsid w:val="00290D2D"/>
    <w:rsid w:val="00296A60"/>
    <w:rsid w:val="002A3422"/>
    <w:rsid w:val="002A6C3A"/>
    <w:rsid w:val="002C3D37"/>
    <w:rsid w:val="002C44DC"/>
    <w:rsid w:val="002E051F"/>
    <w:rsid w:val="002E5870"/>
    <w:rsid w:val="002E63A1"/>
    <w:rsid w:val="003114DD"/>
    <w:rsid w:val="00313F96"/>
    <w:rsid w:val="0032575B"/>
    <w:rsid w:val="00337AC2"/>
    <w:rsid w:val="0034019E"/>
    <w:rsid w:val="00342AA2"/>
    <w:rsid w:val="00355F3A"/>
    <w:rsid w:val="00356F5D"/>
    <w:rsid w:val="00361A50"/>
    <w:rsid w:val="00366E96"/>
    <w:rsid w:val="00383489"/>
    <w:rsid w:val="00383803"/>
    <w:rsid w:val="003A0755"/>
    <w:rsid w:val="003A3142"/>
    <w:rsid w:val="003B22E3"/>
    <w:rsid w:val="003B2833"/>
    <w:rsid w:val="003B39F6"/>
    <w:rsid w:val="003B567A"/>
    <w:rsid w:val="003B6E0A"/>
    <w:rsid w:val="003C2817"/>
    <w:rsid w:val="003C3021"/>
    <w:rsid w:val="003C3124"/>
    <w:rsid w:val="003C790A"/>
    <w:rsid w:val="003C7D11"/>
    <w:rsid w:val="003D18F9"/>
    <w:rsid w:val="003D7FB7"/>
    <w:rsid w:val="003E4D13"/>
    <w:rsid w:val="00412D23"/>
    <w:rsid w:val="00415C63"/>
    <w:rsid w:val="0043424A"/>
    <w:rsid w:val="00437B7A"/>
    <w:rsid w:val="00445F6B"/>
    <w:rsid w:val="00447ED8"/>
    <w:rsid w:val="00451FA4"/>
    <w:rsid w:val="004545EE"/>
    <w:rsid w:val="00474ECC"/>
    <w:rsid w:val="0048485B"/>
    <w:rsid w:val="0048768E"/>
    <w:rsid w:val="00490EB2"/>
    <w:rsid w:val="00492B7F"/>
    <w:rsid w:val="004950D2"/>
    <w:rsid w:val="00497D42"/>
    <w:rsid w:val="004A0E5C"/>
    <w:rsid w:val="004B7256"/>
    <w:rsid w:val="004C5E8C"/>
    <w:rsid w:val="004D67FF"/>
    <w:rsid w:val="004E419A"/>
    <w:rsid w:val="004E42D0"/>
    <w:rsid w:val="004F0861"/>
    <w:rsid w:val="004F2F55"/>
    <w:rsid w:val="004F5F3C"/>
    <w:rsid w:val="004F70F3"/>
    <w:rsid w:val="005000C1"/>
    <w:rsid w:val="005101B4"/>
    <w:rsid w:val="0051660D"/>
    <w:rsid w:val="005242AD"/>
    <w:rsid w:val="00533169"/>
    <w:rsid w:val="00533BD2"/>
    <w:rsid w:val="00536C39"/>
    <w:rsid w:val="0055566D"/>
    <w:rsid w:val="00557C2F"/>
    <w:rsid w:val="00572298"/>
    <w:rsid w:val="00574913"/>
    <w:rsid w:val="0058708A"/>
    <w:rsid w:val="00590EC4"/>
    <w:rsid w:val="00591680"/>
    <w:rsid w:val="005929C1"/>
    <w:rsid w:val="005A3BB6"/>
    <w:rsid w:val="005A6E20"/>
    <w:rsid w:val="005A702A"/>
    <w:rsid w:val="005B07AE"/>
    <w:rsid w:val="005B0D6E"/>
    <w:rsid w:val="005C633F"/>
    <w:rsid w:val="005C667B"/>
    <w:rsid w:val="005C73E2"/>
    <w:rsid w:val="005D228D"/>
    <w:rsid w:val="005D6EEE"/>
    <w:rsid w:val="005E4867"/>
    <w:rsid w:val="005E5C07"/>
    <w:rsid w:val="005F22BD"/>
    <w:rsid w:val="005F355E"/>
    <w:rsid w:val="00604B93"/>
    <w:rsid w:val="0060603A"/>
    <w:rsid w:val="00612887"/>
    <w:rsid w:val="0062076E"/>
    <w:rsid w:val="006208E0"/>
    <w:rsid w:val="00620D5F"/>
    <w:rsid w:val="00621581"/>
    <w:rsid w:val="00625D52"/>
    <w:rsid w:val="00631797"/>
    <w:rsid w:val="00631B43"/>
    <w:rsid w:val="00632006"/>
    <w:rsid w:val="00643930"/>
    <w:rsid w:val="00651DF3"/>
    <w:rsid w:val="00655529"/>
    <w:rsid w:val="00665251"/>
    <w:rsid w:val="00667E76"/>
    <w:rsid w:val="00674CDB"/>
    <w:rsid w:val="006772FB"/>
    <w:rsid w:val="00683930"/>
    <w:rsid w:val="00685BF8"/>
    <w:rsid w:val="00687FA7"/>
    <w:rsid w:val="006922DA"/>
    <w:rsid w:val="00694B41"/>
    <w:rsid w:val="00694BA2"/>
    <w:rsid w:val="00696599"/>
    <w:rsid w:val="006A1119"/>
    <w:rsid w:val="006C3F52"/>
    <w:rsid w:val="006D163A"/>
    <w:rsid w:val="006D3880"/>
    <w:rsid w:val="006D4A9E"/>
    <w:rsid w:val="006D6793"/>
    <w:rsid w:val="006E06B5"/>
    <w:rsid w:val="006F1908"/>
    <w:rsid w:val="006F3D09"/>
    <w:rsid w:val="0070253F"/>
    <w:rsid w:val="00707AD2"/>
    <w:rsid w:val="00710445"/>
    <w:rsid w:val="00715414"/>
    <w:rsid w:val="00730C14"/>
    <w:rsid w:val="0073228A"/>
    <w:rsid w:val="00734020"/>
    <w:rsid w:val="0074349A"/>
    <w:rsid w:val="00743B6E"/>
    <w:rsid w:val="0075251E"/>
    <w:rsid w:val="00762278"/>
    <w:rsid w:val="00772C3B"/>
    <w:rsid w:val="007736AB"/>
    <w:rsid w:val="00776CB1"/>
    <w:rsid w:val="007834E8"/>
    <w:rsid w:val="0078733F"/>
    <w:rsid w:val="00793B5B"/>
    <w:rsid w:val="00793CC5"/>
    <w:rsid w:val="007A090C"/>
    <w:rsid w:val="007A1F2E"/>
    <w:rsid w:val="007B1E7B"/>
    <w:rsid w:val="007B580D"/>
    <w:rsid w:val="007B5C0A"/>
    <w:rsid w:val="007B63BC"/>
    <w:rsid w:val="007B732D"/>
    <w:rsid w:val="007C2DD6"/>
    <w:rsid w:val="007C3EF2"/>
    <w:rsid w:val="007D0A57"/>
    <w:rsid w:val="007D1C44"/>
    <w:rsid w:val="007E3F55"/>
    <w:rsid w:val="007F3733"/>
    <w:rsid w:val="007F573A"/>
    <w:rsid w:val="008074F0"/>
    <w:rsid w:val="00811CF7"/>
    <w:rsid w:val="00813896"/>
    <w:rsid w:val="008164EE"/>
    <w:rsid w:val="0082266C"/>
    <w:rsid w:val="00831728"/>
    <w:rsid w:val="0083206B"/>
    <w:rsid w:val="0084240D"/>
    <w:rsid w:val="00844B2D"/>
    <w:rsid w:val="00861EF0"/>
    <w:rsid w:val="00862842"/>
    <w:rsid w:val="00862D48"/>
    <w:rsid w:val="0086614C"/>
    <w:rsid w:val="00866E5C"/>
    <w:rsid w:val="0086776D"/>
    <w:rsid w:val="00867A0A"/>
    <w:rsid w:val="008845CC"/>
    <w:rsid w:val="008949D2"/>
    <w:rsid w:val="008A2EB9"/>
    <w:rsid w:val="008A707F"/>
    <w:rsid w:val="008C2579"/>
    <w:rsid w:val="008C2A1E"/>
    <w:rsid w:val="008D00F4"/>
    <w:rsid w:val="008D2FB4"/>
    <w:rsid w:val="008D471A"/>
    <w:rsid w:val="008E3294"/>
    <w:rsid w:val="008F6ECD"/>
    <w:rsid w:val="00906E3D"/>
    <w:rsid w:val="00911E4E"/>
    <w:rsid w:val="009215C5"/>
    <w:rsid w:val="00932203"/>
    <w:rsid w:val="0093261A"/>
    <w:rsid w:val="009370BF"/>
    <w:rsid w:val="00954A24"/>
    <w:rsid w:val="00955E7A"/>
    <w:rsid w:val="009675F2"/>
    <w:rsid w:val="009774CB"/>
    <w:rsid w:val="009814BA"/>
    <w:rsid w:val="009A0490"/>
    <w:rsid w:val="009B6579"/>
    <w:rsid w:val="009C5063"/>
    <w:rsid w:val="009C6F69"/>
    <w:rsid w:val="009E029D"/>
    <w:rsid w:val="009E68CE"/>
    <w:rsid w:val="009F1E95"/>
    <w:rsid w:val="009F354F"/>
    <w:rsid w:val="009F4966"/>
    <w:rsid w:val="009F51D1"/>
    <w:rsid w:val="00A07006"/>
    <w:rsid w:val="00A10B05"/>
    <w:rsid w:val="00A11F75"/>
    <w:rsid w:val="00A2156E"/>
    <w:rsid w:val="00A2244D"/>
    <w:rsid w:val="00A260F6"/>
    <w:rsid w:val="00A303D8"/>
    <w:rsid w:val="00A316DD"/>
    <w:rsid w:val="00A31C8C"/>
    <w:rsid w:val="00A41FD5"/>
    <w:rsid w:val="00A4300A"/>
    <w:rsid w:val="00A5513E"/>
    <w:rsid w:val="00A60082"/>
    <w:rsid w:val="00A64127"/>
    <w:rsid w:val="00A6686C"/>
    <w:rsid w:val="00A74DDD"/>
    <w:rsid w:val="00A85AE2"/>
    <w:rsid w:val="00AA734B"/>
    <w:rsid w:val="00AB5888"/>
    <w:rsid w:val="00AB5F27"/>
    <w:rsid w:val="00AC2E3D"/>
    <w:rsid w:val="00AC5DE9"/>
    <w:rsid w:val="00AD47B3"/>
    <w:rsid w:val="00AD6C7C"/>
    <w:rsid w:val="00AE0794"/>
    <w:rsid w:val="00AE5273"/>
    <w:rsid w:val="00B006A6"/>
    <w:rsid w:val="00B02BF2"/>
    <w:rsid w:val="00B05110"/>
    <w:rsid w:val="00B102EC"/>
    <w:rsid w:val="00B1076E"/>
    <w:rsid w:val="00B1115A"/>
    <w:rsid w:val="00B123AD"/>
    <w:rsid w:val="00B178BC"/>
    <w:rsid w:val="00B2027B"/>
    <w:rsid w:val="00B22283"/>
    <w:rsid w:val="00B22515"/>
    <w:rsid w:val="00B229FC"/>
    <w:rsid w:val="00B23A70"/>
    <w:rsid w:val="00B3162B"/>
    <w:rsid w:val="00B36B30"/>
    <w:rsid w:val="00B37D40"/>
    <w:rsid w:val="00B5329F"/>
    <w:rsid w:val="00B62B0B"/>
    <w:rsid w:val="00B646B5"/>
    <w:rsid w:val="00B73E2A"/>
    <w:rsid w:val="00B8092D"/>
    <w:rsid w:val="00B84F13"/>
    <w:rsid w:val="00B870A7"/>
    <w:rsid w:val="00B91712"/>
    <w:rsid w:val="00B92821"/>
    <w:rsid w:val="00B966BC"/>
    <w:rsid w:val="00BA5293"/>
    <w:rsid w:val="00BB2EE9"/>
    <w:rsid w:val="00BD5608"/>
    <w:rsid w:val="00BE0D89"/>
    <w:rsid w:val="00BE5476"/>
    <w:rsid w:val="00BF1489"/>
    <w:rsid w:val="00C27B8E"/>
    <w:rsid w:val="00C30103"/>
    <w:rsid w:val="00C46139"/>
    <w:rsid w:val="00C501D5"/>
    <w:rsid w:val="00C70370"/>
    <w:rsid w:val="00C70E6A"/>
    <w:rsid w:val="00C71EC6"/>
    <w:rsid w:val="00C72FC3"/>
    <w:rsid w:val="00C7576F"/>
    <w:rsid w:val="00C80F12"/>
    <w:rsid w:val="00C84076"/>
    <w:rsid w:val="00C8499D"/>
    <w:rsid w:val="00C953D2"/>
    <w:rsid w:val="00C978A9"/>
    <w:rsid w:val="00C97F70"/>
    <w:rsid w:val="00CA2414"/>
    <w:rsid w:val="00CA34E7"/>
    <w:rsid w:val="00CA51AD"/>
    <w:rsid w:val="00CA7C0D"/>
    <w:rsid w:val="00CB6049"/>
    <w:rsid w:val="00CB7F6F"/>
    <w:rsid w:val="00CD1383"/>
    <w:rsid w:val="00CF0307"/>
    <w:rsid w:val="00D153A0"/>
    <w:rsid w:val="00D16A1B"/>
    <w:rsid w:val="00D2387D"/>
    <w:rsid w:val="00D251B0"/>
    <w:rsid w:val="00D30749"/>
    <w:rsid w:val="00D314D3"/>
    <w:rsid w:val="00D35795"/>
    <w:rsid w:val="00D36334"/>
    <w:rsid w:val="00D36393"/>
    <w:rsid w:val="00D40A2D"/>
    <w:rsid w:val="00D4320E"/>
    <w:rsid w:val="00D45CD4"/>
    <w:rsid w:val="00D5537E"/>
    <w:rsid w:val="00D5627C"/>
    <w:rsid w:val="00D61FA2"/>
    <w:rsid w:val="00D623D3"/>
    <w:rsid w:val="00D62683"/>
    <w:rsid w:val="00D706E3"/>
    <w:rsid w:val="00D92B73"/>
    <w:rsid w:val="00DA01DC"/>
    <w:rsid w:val="00DB0711"/>
    <w:rsid w:val="00DB4BF4"/>
    <w:rsid w:val="00DC264C"/>
    <w:rsid w:val="00DC2C24"/>
    <w:rsid w:val="00DC7061"/>
    <w:rsid w:val="00DD1274"/>
    <w:rsid w:val="00DD1B1A"/>
    <w:rsid w:val="00DD21C9"/>
    <w:rsid w:val="00DD5C9B"/>
    <w:rsid w:val="00DE3963"/>
    <w:rsid w:val="00DF70CA"/>
    <w:rsid w:val="00DF737F"/>
    <w:rsid w:val="00E06DBC"/>
    <w:rsid w:val="00E40E0D"/>
    <w:rsid w:val="00E43502"/>
    <w:rsid w:val="00E452A0"/>
    <w:rsid w:val="00E502EA"/>
    <w:rsid w:val="00E50C3A"/>
    <w:rsid w:val="00E573B8"/>
    <w:rsid w:val="00E67DF7"/>
    <w:rsid w:val="00E746C0"/>
    <w:rsid w:val="00E75083"/>
    <w:rsid w:val="00E7769A"/>
    <w:rsid w:val="00E80C1B"/>
    <w:rsid w:val="00E85D00"/>
    <w:rsid w:val="00E86C60"/>
    <w:rsid w:val="00E946ED"/>
    <w:rsid w:val="00EA2D89"/>
    <w:rsid w:val="00EA645D"/>
    <w:rsid w:val="00EA6485"/>
    <w:rsid w:val="00EA662C"/>
    <w:rsid w:val="00EB584A"/>
    <w:rsid w:val="00EC1A03"/>
    <w:rsid w:val="00EC42F5"/>
    <w:rsid w:val="00EC5AE0"/>
    <w:rsid w:val="00EC6CC8"/>
    <w:rsid w:val="00EC7D8F"/>
    <w:rsid w:val="00ED1E84"/>
    <w:rsid w:val="00EE2EC8"/>
    <w:rsid w:val="00EE3914"/>
    <w:rsid w:val="00EE40BD"/>
    <w:rsid w:val="00F00610"/>
    <w:rsid w:val="00F00C40"/>
    <w:rsid w:val="00F00D13"/>
    <w:rsid w:val="00F154AE"/>
    <w:rsid w:val="00F276BF"/>
    <w:rsid w:val="00F32DCD"/>
    <w:rsid w:val="00F344B5"/>
    <w:rsid w:val="00F41E68"/>
    <w:rsid w:val="00F4213B"/>
    <w:rsid w:val="00F6022B"/>
    <w:rsid w:val="00F617E9"/>
    <w:rsid w:val="00F67AF3"/>
    <w:rsid w:val="00F70A62"/>
    <w:rsid w:val="00F771FD"/>
    <w:rsid w:val="00F84937"/>
    <w:rsid w:val="00F8531A"/>
    <w:rsid w:val="00F92296"/>
    <w:rsid w:val="00FA1AF6"/>
    <w:rsid w:val="00FA32C7"/>
    <w:rsid w:val="00FA60A3"/>
    <w:rsid w:val="00FB24C0"/>
    <w:rsid w:val="00FC20AC"/>
    <w:rsid w:val="00FD3B11"/>
    <w:rsid w:val="00FE20D8"/>
    <w:rsid w:val="00FE4201"/>
    <w:rsid w:val="00FE5170"/>
    <w:rsid w:val="00FF359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0AE7"/>
  <w15:docId w15:val="{BF925A63-D249-4B60-8F57-0EA75CD8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16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52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6DD"/>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A316DD"/>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D153A0"/>
    <w:rPr>
      <w:color w:val="808080"/>
    </w:rPr>
  </w:style>
  <w:style w:type="paragraph" w:styleId="ListParagraph">
    <w:name w:val="List Paragraph"/>
    <w:basedOn w:val="Normal"/>
    <w:uiPriority w:val="34"/>
    <w:qFormat/>
    <w:rsid w:val="00643930"/>
    <w:pPr>
      <w:ind w:left="720"/>
      <w:contextualSpacing/>
    </w:pPr>
  </w:style>
  <w:style w:type="table" w:styleId="TableGrid">
    <w:name w:val="Table Grid"/>
    <w:basedOn w:val="TableNormal"/>
    <w:uiPriority w:val="39"/>
    <w:rsid w:val="0023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52B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1660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762278"/>
    <w:rPr>
      <w:sz w:val="16"/>
      <w:szCs w:val="16"/>
    </w:rPr>
  </w:style>
  <w:style w:type="paragraph" w:styleId="CommentText">
    <w:name w:val="annotation text"/>
    <w:basedOn w:val="Normal"/>
    <w:link w:val="CommentTextChar"/>
    <w:uiPriority w:val="99"/>
    <w:semiHidden/>
    <w:unhideWhenUsed/>
    <w:rsid w:val="00762278"/>
    <w:pPr>
      <w:spacing w:line="240" w:lineRule="auto"/>
    </w:pPr>
    <w:rPr>
      <w:sz w:val="20"/>
      <w:szCs w:val="20"/>
    </w:rPr>
  </w:style>
  <w:style w:type="character" w:customStyle="1" w:styleId="CommentTextChar">
    <w:name w:val="Comment Text Char"/>
    <w:basedOn w:val="DefaultParagraphFont"/>
    <w:link w:val="CommentText"/>
    <w:uiPriority w:val="99"/>
    <w:semiHidden/>
    <w:rsid w:val="00762278"/>
    <w:rPr>
      <w:sz w:val="20"/>
      <w:szCs w:val="20"/>
    </w:rPr>
  </w:style>
  <w:style w:type="paragraph" w:styleId="CommentSubject">
    <w:name w:val="annotation subject"/>
    <w:basedOn w:val="CommentText"/>
    <w:next w:val="CommentText"/>
    <w:link w:val="CommentSubjectChar"/>
    <w:uiPriority w:val="99"/>
    <w:semiHidden/>
    <w:unhideWhenUsed/>
    <w:rsid w:val="00762278"/>
    <w:rPr>
      <w:b/>
      <w:bCs/>
    </w:rPr>
  </w:style>
  <w:style w:type="character" w:customStyle="1" w:styleId="CommentSubjectChar">
    <w:name w:val="Comment Subject Char"/>
    <w:basedOn w:val="CommentTextChar"/>
    <w:link w:val="CommentSubject"/>
    <w:uiPriority w:val="99"/>
    <w:semiHidden/>
    <w:rsid w:val="00762278"/>
    <w:rPr>
      <w:b/>
      <w:bCs/>
      <w:sz w:val="20"/>
      <w:szCs w:val="20"/>
    </w:rPr>
  </w:style>
  <w:style w:type="paragraph" w:styleId="BalloonText">
    <w:name w:val="Balloon Text"/>
    <w:basedOn w:val="Normal"/>
    <w:link w:val="BalloonTextChar"/>
    <w:uiPriority w:val="99"/>
    <w:semiHidden/>
    <w:unhideWhenUsed/>
    <w:rsid w:val="0076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278"/>
    <w:rPr>
      <w:rFonts w:ascii="Segoe UI" w:hAnsi="Segoe UI" w:cs="Segoe UI"/>
      <w:sz w:val="18"/>
      <w:szCs w:val="18"/>
    </w:rPr>
  </w:style>
  <w:style w:type="paragraph" w:styleId="Header">
    <w:name w:val="header"/>
    <w:basedOn w:val="Normal"/>
    <w:link w:val="HeaderChar"/>
    <w:uiPriority w:val="99"/>
    <w:unhideWhenUsed/>
    <w:rsid w:val="00A31C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1C8C"/>
  </w:style>
  <w:style w:type="paragraph" w:styleId="Footer">
    <w:name w:val="footer"/>
    <w:basedOn w:val="Normal"/>
    <w:link w:val="FooterChar"/>
    <w:uiPriority w:val="99"/>
    <w:unhideWhenUsed/>
    <w:rsid w:val="00A31C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1C8C"/>
  </w:style>
  <w:style w:type="paragraph" w:styleId="Revision">
    <w:name w:val="Revision"/>
    <w:hidden/>
    <w:uiPriority w:val="99"/>
    <w:semiHidden/>
    <w:rsid w:val="00DB4BF4"/>
    <w:pPr>
      <w:spacing w:after="0" w:line="240" w:lineRule="auto"/>
    </w:pPr>
  </w:style>
  <w:style w:type="character" w:styleId="LineNumber">
    <w:name w:val="line number"/>
    <w:basedOn w:val="DefaultParagraphFont"/>
    <w:uiPriority w:val="99"/>
    <w:semiHidden/>
    <w:unhideWhenUsed/>
    <w:rsid w:val="00296A60"/>
  </w:style>
  <w:style w:type="character" w:styleId="Hyperlink">
    <w:name w:val="Hyperlink"/>
    <w:basedOn w:val="DefaultParagraphFont"/>
    <w:uiPriority w:val="99"/>
    <w:unhideWhenUsed/>
    <w:rsid w:val="00BB2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22855">
      <w:bodyDiv w:val="1"/>
      <w:marLeft w:val="0"/>
      <w:marRight w:val="0"/>
      <w:marTop w:val="0"/>
      <w:marBottom w:val="0"/>
      <w:divBdr>
        <w:top w:val="none" w:sz="0" w:space="0" w:color="auto"/>
        <w:left w:val="none" w:sz="0" w:space="0" w:color="auto"/>
        <w:bottom w:val="none" w:sz="0" w:space="0" w:color="auto"/>
        <w:right w:val="none" w:sz="0" w:space="0" w:color="auto"/>
      </w:divBdr>
    </w:div>
    <w:div w:id="586497621">
      <w:bodyDiv w:val="1"/>
      <w:marLeft w:val="0"/>
      <w:marRight w:val="0"/>
      <w:marTop w:val="0"/>
      <w:marBottom w:val="0"/>
      <w:divBdr>
        <w:top w:val="none" w:sz="0" w:space="0" w:color="auto"/>
        <w:left w:val="none" w:sz="0" w:space="0" w:color="auto"/>
        <w:bottom w:val="none" w:sz="0" w:space="0" w:color="auto"/>
        <w:right w:val="none" w:sz="0" w:space="0" w:color="auto"/>
      </w:divBdr>
    </w:div>
    <w:div w:id="875194157">
      <w:bodyDiv w:val="1"/>
      <w:marLeft w:val="0"/>
      <w:marRight w:val="0"/>
      <w:marTop w:val="0"/>
      <w:marBottom w:val="0"/>
      <w:divBdr>
        <w:top w:val="none" w:sz="0" w:space="0" w:color="auto"/>
        <w:left w:val="none" w:sz="0" w:space="0" w:color="auto"/>
        <w:bottom w:val="none" w:sz="0" w:space="0" w:color="auto"/>
        <w:right w:val="none" w:sz="0" w:space="0" w:color="auto"/>
      </w:divBdr>
    </w:div>
    <w:div w:id="1305620103">
      <w:bodyDiv w:val="1"/>
      <w:marLeft w:val="0"/>
      <w:marRight w:val="0"/>
      <w:marTop w:val="0"/>
      <w:marBottom w:val="0"/>
      <w:divBdr>
        <w:top w:val="none" w:sz="0" w:space="0" w:color="auto"/>
        <w:left w:val="none" w:sz="0" w:space="0" w:color="auto"/>
        <w:bottom w:val="none" w:sz="0" w:space="0" w:color="auto"/>
        <w:right w:val="none" w:sz="0" w:space="0" w:color="auto"/>
      </w:divBdr>
    </w:div>
    <w:div w:id="1386103307">
      <w:bodyDiv w:val="1"/>
      <w:marLeft w:val="0"/>
      <w:marRight w:val="0"/>
      <w:marTop w:val="0"/>
      <w:marBottom w:val="0"/>
      <w:divBdr>
        <w:top w:val="none" w:sz="0" w:space="0" w:color="auto"/>
        <w:left w:val="none" w:sz="0" w:space="0" w:color="auto"/>
        <w:bottom w:val="none" w:sz="0" w:space="0" w:color="auto"/>
        <w:right w:val="none" w:sz="0" w:space="0" w:color="auto"/>
      </w:divBdr>
      <w:divsChild>
        <w:div w:id="1167138691">
          <w:marLeft w:val="0"/>
          <w:marRight w:val="0"/>
          <w:marTop w:val="0"/>
          <w:marBottom w:val="0"/>
          <w:divBdr>
            <w:top w:val="none" w:sz="0" w:space="0" w:color="auto"/>
            <w:left w:val="none" w:sz="0" w:space="0" w:color="auto"/>
            <w:bottom w:val="none" w:sz="0" w:space="0" w:color="auto"/>
            <w:right w:val="none" w:sz="0" w:space="0" w:color="auto"/>
          </w:divBdr>
          <w:divsChild>
            <w:div w:id="780994138">
              <w:marLeft w:val="0"/>
              <w:marRight w:val="0"/>
              <w:marTop w:val="0"/>
              <w:marBottom w:val="0"/>
              <w:divBdr>
                <w:top w:val="none" w:sz="0" w:space="0" w:color="auto"/>
                <w:left w:val="none" w:sz="0" w:space="0" w:color="auto"/>
                <w:bottom w:val="none" w:sz="0" w:space="0" w:color="auto"/>
                <w:right w:val="none" w:sz="0" w:space="0" w:color="auto"/>
              </w:divBdr>
              <w:divsChild>
                <w:div w:id="1723361560">
                  <w:marLeft w:val="0"/>
                  <w:marRight w:val="0"/>
                  <w:marTop w:val="0"/>
                  <w:marBottom w:val="0"/>
                  <w:divBdr>
                    <w:top w:val="none" w:sz="0" w:space="0" w:color="auto"/>
                    <w:left w:val="none" w:sz="0" w:space="0" w:color="auto"/>
                    <w:bottom w:val="none" w:sz="0" w:space="0" w:color="auto"/>
                    <w:right w:val="none" w:sz="0" w:space="0" w:color="auto"/>
                  </w:divBdr>
                  <w:divsChild>
                    <w:div w:id="1144005196">
                      <w:marLeft w:val="0"/>
                      <w:marRight w:val="0"/>
                      <w:marTop w:val="0"/>
                      <w:marBottom w:val="0"/>
                      <w:divBdr>
                        <w:top w:val="none" w:sz="0" w:space="0" w:color="auto"/>
                        <w:left w:val="none" w:sz="0" w:space="0" w:color="auto"/>
                        <w:bottom w:val="none" w:sz="0" w:space="0" w:color="auto"/>
                        <w:right w:val="none" w:sz="0" w:space="0" w:color="auto"/>
                      </w:divBdr>
                      <w:divsChild>
                        <w:div w:id="1271279590">
                          <w:marLeft w:val="0"/>
                          <w:marRight w:val="0"/>
                          <w:marTop w:val="0"/>
                          <w:marBottom w:val="0"/>
                          <w:divBdr>
                            <w:top w:val="none" w:sz="0" w:space="0" w:color="auto"/>
                            <w:left w:val="none" w:sz="0" w:space="0" w:color="auto"/>
                            <w:bottom w:val="none" w:sz="0" w:space="0" w:color="auto"/>
                            <w:right w:val="none" w:sz="0" w:space="0" w:color="auto"/>
                          </w:divBdr>
                          <w:divsChild>
                            <w:div w:id="1861312694">
                              <w:marLeft w:val="0"/>
                              <w:marRight w:val="0"/>
                              <w:marTop w:val="0"/>
                              <w:marBottom w:val="0"/>
                              <w:divBdr>
                                <w:top w:val="none" w:sz="0" w:space="0" w:color="auto"/>
                                <w:left w:val="none" w:sz="0" w:space="0" w:color="auto"/>
                                <w:bottom w:val="none" w:sz="0" w:space="0" w:color="auto"/>
                                <w:right w:val="none" w:sz="0" w:space="0" w:color="auto"/>
                              </w:divBdr>
                              <w:divsChild>
                                <w:div w:id="553539883">
                                  <w:marLeft w:val="0"/>
                                  <w:marRight w:val="0"/>
                                  <w:marTop w:val="0"/>
                                  <w:marBottom w:val="0"/>
                                  <w:divBdr>
                                    <w:top w:val="none" w:sz="0" w:space="0" w:color="auto"/>
                                    <w:left w:val="none" w:sz="0" w:space="0" w:color="auto"/>
                                    <w:bottom w:val="none" w:sz="0" w:space="0" w:color="auto"/>
                                    <w:right w:val="none" w:sz="0" w:space="0" w:color="auto"/>
                                  </w:divBdr>
                                  <w:divsChild>
                                    <w:div w:id="626937537">
                                      <w:marLeft w:val="0"/>
                                      <w:marRight w:val="0"/>
                                      <w:marTop w:val="0"/>
                                      <w:marBottom w:val="0"/>
                                      <w:divBdr>
                                        <w:top w:val="none" w:sz="0" w:space="0" w:color="auto"/>
                                        <w:left w:val="none" w:sz="0" w:space="0" w:color="auto"/>
                                        <w:bottom w:val="none" w:sz="0" w:space="0" w:color="auto"/>
                                        <w:right w:val="none" w:sz="0" w:space="0" w:color="auto"/>
                                      </w:divBdr>
                                      <w:divsChild>
                                        <w:div w:id="1030180348">
                                          <w:marLeft w:val="0"/>
                                          <w:marRight w:val="0"/>
                                          <w:marTop w:val="0"/>
                                          <w:marBottom w:val="0"/>
                                          <w:divBdr>
                                            <w:top w:val="none" w:sz="0" w:space="0" w:color="auto"/>
                                            <w:left w:val="none" w:sz="0" w:space="0" w:color="auto"/>
                                            <w:bottom w:val="none" w:sz="0" w:space="0" w:color="auto"/>
                                            <w:right w:val="none" w:sz="0" w:space="0" w:color="auto"/>
                                          </w:divBdr>
                                          <w:divsChild>
                                            <w:div w:id="1245803069">
                                              <w:marLeft w:val="0"/>
                                              <w:marRight w:val="0"/>
                                              <w:marTop w:val="0"/>
                                              <w:marBottom w:val="0"/>
                                              <w:divBdr>
                                                <w:top w:val="none" w:sz="0" w:space="0" w:color="auto"/>
                                                <w:left w:val="none" w:sz="0" w:space="0" w:color="auto"/>
                                                <w:bottom w:val="none" w:sz="0" w:space="0" w:color="auto"/>
                                                <w:right w:val="none" w:sz="0" w:space="0" w:color="auto"/>
                                              </w:divBdr>
                                              <w:divsChild>
                                                <w:div w:id="918516184">
                                                  <w:marLeft w:val="0"/>
                                                  <w:marRight w:val="0"/>
                                                  <w:marTop w:val="0"/>
                                                  <w:marBottom w:val="0"/>
                                                  <w:divBdr>
                                                    <w:top w:val="none" w:sz="0" w:space="0" w:color="auto"/>
                                                    <w:left w:val="none" w:sz="0" w:space="0" w:color="auto"/>
                                                    <w:bottom w:val="none" w:sz="0" w:space="0" w:color="auto"/>
                                                    <w:right w:val="none" w:sz="0" w:space="0" w:color="auto"/>
                                                  </w:divBdr>
                                                  <w:divsChild>
                                                    <w:div w:id="1695037822">
                                                      <w:marLeft w:val="0"/>
                                                      <w:marRight w:val="0"/>
                                                      <w:marTop w:val="0"/>
                                                      <w:marBottom w:val="0"/>
                                                      <w:divBdr>
                                                        <w:top w:val="none" w:sz="0" w:space="0" w:color="auto"/>
                                                        <w:left w:val="none" w:sz="0" w:space="0" w:color="auto"/>
                                                        <w:bottom w:val="none" w:sz="0" w:space="0" w:color="auto"/>
                                                        <w:right w:val="none" w:sz="0" w:space="0" w:color="auto"/>
                                                      </w:divBdr>
                                                      <w:divsChild>
                                                        <w:div w:id="840851423">
                                                          <w:marLeft w:val="0"/>
                                                          <w:marRight w:val="0"/>
                                                          <w:marTop w:val="0"/>
                                                          <w:marBottom w:val="0"/>
                                                          <w:divBdr>
                                                            <w:top w:val="none" w:sz="0" w:space="0" w:color="auto"/>
                                                            <w:left w:val="none" w:sz="0" w:space="0" w:color="auto"/>
                                                            <w:bottom w:val="none" w:sz="0" w:space="0" w:color="auto"/>
                                                            <w:right w:val="none" w:sz="0" w:space="0" w:color="auto"/>
                                                          </w:divBdr>
                                                          <w:divsChild>
                                                            <w:div w:id="805973913">
                                                              <w:marLeft w:val="0"/>
                                                              <w:marRight w:val="0"/>
                                                              <w:marTop w:val="0"/>
                                                              <w:marBottom w:val="0"/>
                                                              <w:divBdr>
                                                                <w:top w:val="none" w:sz="0" w:space="0" w:color="auto"/>
                                                                <w:left w:val="none" w:sz="0" w:space="0" w:color="auto"/>
                                                                <w:bottom w:val="none" w:sz="0" w:space="0" w:color="auto"/>
                                                                <w:right w:val="none" w:sz="0" w:space="0" w:color="auto"/>
                                                              </w:divBdr>
                                                              <w:divsChild>
                                                                <w:div w:id="1088429514">
                                                                  <w:marLeft w:val="0"/>
                                                                  <w:marRight w:val="0"/>
                                                                  <w:marTop w:val="0"/>
                                                                  <w:marBottom w:val="0"/>
                                                                  <w:divBdr>
                                                                    <w:top w:val="none" w:sz="0" w:space="0" w:color="auto"/>
                                                                    <w:left w:val="none" w:sz="0" w:space="0" w:color="auto"/>
                                                                    <w:bottom w:val="none" w:sz="0" w:space="0" w:color="auto"/>
                                                                    <w:right w:val="none" w:sz="0" w:space="0" w:color="auto"/>
                                                                  </w:divBdr>
                                                                  <w:divsChild>
                                                                    <w:div w:id="127019096">
                                                                      <w:marLeft w:val="0"/>
                                                                      <w:marRight w:val="0"/>
                                                                      <w:marTop w:val="0"/>
                                                                      <w:marBottom w:val="0"/>
                                                                      <w:divBdr>
                                                                        <w:top w:val="none" w:sz="0" w:space="0" w:color="auto"/>
                                                                        <w:left w:val="none" w:sz="0" w:space="0" w:color="auto"/>
                                                                        <w:bottom w:val="none" w:sz="0" w:space="0" w:color="auto"/>
                                                                        <w:right w:val="none" w:sz="0" w:space="0" w:color="auto"/>
                                                                      </w:divBdr>
                                                                      <w:divsChild>
                                                                        <w:div w:id="1450315621">
                                                                          <w:marLeft w:val="0"/>
                                                                          <w:marRight w:val="0"/>
                                                                          <w:marTop w:val="0"/>
                                                                          <w:marBottom w:val="0"/>
                                                                          <w:divBdr>
                                                                            <w:top w:val="none" w:sz="0" w:space="0" w:color="auto"/>
                                                                            <w:left w:val="none" w:sz="0" w:space="0" w:color="auto"/>
                                                                            <w:bottom w:val="none" w:sz="0" w:space="0" w:color="auto"/>
                                                                            <w:right w:val="none" w:sz="0" w:space="0" w:color="auto"/>
                                                                          </w:divBdr>
                                                                          <w:divsChild>
                                                                            <w:div w:id="1931964500">
                                                                              <w:marLeft w:val="0"/>
                                                                              <w:marRight w:val="0"/>
                                                                              <w:marTop w:val="0"/>
                                                                              <w:marBottom w:val="0"/>
                                                                              <w:divBdr>
                                                                                <w:top w:val="none" w:sz="0" w:space="0" w:color="auto"/>
                                                                                <w:left w:val="none" w:sz="0" w:space="0" w:color="auto"/>
                                                                                <w:bottom w:val="none" w:sz="0" w:space="0" w:color="auto"/>
                                                                                <w:right w:val="none" w:sz="0" w:space="0" w:color="auto"/>
                                                                              </w:divBdr>
                                                                              <w:divsChild>
                                                                                <w:div w:id="1638030937">
                                                                                  <w:marLeft w:val="0"/>
                                                                                  <w:marRight w:val="0"/>
                                                                                  <w:marTop w:val="0"/>
                                                                                  <w:marBottom w:val="0"/>
                                                                                  <w:divBdr>
                                                                                    <w:top w:val="none" w:sz="0" w:space="0" w:color="auto"/>
                                                                                    <w:left w:val="none" w:sz="0" w:space="0" w:color="auto"/>
                                                                                    <w:bottom w:val="none" w:sz="0" w:space="0" w:color="auto"/>
                                                                                    <w:right w:val="none" w:sz="0" w:space="0" w:color="auto"/>
                                                                                  </w:divBdr>
                                                                                  <w:divsChild>
                                                                                    <w:div w:id="1373000432">
                                                                                      <w:marLeft w:val="0"/>
                                                                                      <w:marRight w:val="0"/>
                                                                                      <w:marTop w:val="0"/>
                                                                                      <w:marBottom w:val="0"/>
                                                                                      <w:divBdr>
                                                                                        <w:top w:val="none" w:sz="0" w:space="0" w:color="auto"/>
                                                                                        <w:left w:val="none" w:sz="0" w:space="0" w:color="auto"/>
                                                                                        <w:bottom w:val="none" w:sz="0" w:space="0" w:color="auto"/>
                                                                                        <w:right w:val="none" w:sz="0" w:space="0" w:color="auto"/>
                                                                                      </w:divBdr>
                                                                                      <w:divsChild>
                                                                                        <w:div w:id="1927305177">
                                                                                          <w:marLeft w:val="0"/>
                                                                                          <w:marRight w:val="0"/>
                                                                                          <w:marTop w:val="0"/>
                                                                                          <w:marBottom w:val="0"/>
                                                                                          <w:divBdr>
                                                                                            <w:top w:val="none" w:sz="0" w:space="0" w:color="auto"/>
                                                                                            <w:left w:val="none" w:sz="0" w:space="0" w:color="auto"/>
                                                                                            <w:bottom w:val="none" w:sz="0" w:space="0" w:color="auto"/>
                                                                                            <w:right w:val="none" w:sz="0" w:space="0" w:color="auto"/>
                                                                                          </w:divBdr>
                                                                                          <w:divsChild>
                                                                                            <w:div w:id="913662470">
                                                                                              <w:marLeft w:val="0"/>
                                                                                              <w:marRight w:val="0"/>
                                                                                              <w:marTop w:val="0"/>
                                                                                              <w:marBottom w:val="0"/>
                                                                                              <w:divBdr>
                                                                                                <w:top w:val="none" w:sz="0" w:space="0" w:color="auto"/>
                                                                                                <w:left w:val="none" w:sz="0" w:space="0" w:color="auto"/>
                                                                                                <w:bottom w:val="none" w:sz="0" w:space="0" w:color="auto"/>
                                                                                                <w:right w:val="none" w:sz="0" w:space="0" w:color="auto"/>
                                                                                              </w:divBdr>
                                                                                              <w:divsChild>
                                                                                                <w:div w:id="786855306">
                                                                                                  <w:marLeft w:val="0"/>
                                                                                                  <w:marRight w:val="0"/>
                                                                                                  <w:marTop w:val="0"/>
                                                                                                  <w:marBottom w:val="0"/>
                                                                                                  <w:divBdr>
                                                                                                    <w:top w:val="none" w:sz="0" w:space="0" w:color="auto"/>
                                                                                                    <w:left w:val="none" w:sz="0" w:space="0" w:color="auto"/>
                                                                                                    <w:bottom w:val="none" w:sz="0" w:space="0" w:color="auto"/>
                                                                                                    <w:right w:val="none" w:sz="0" w:space="0" w:color="auto"/>
                                                                                                  </w:divBdr>
                                                                                                  <w:divsChild>
                                                                                                    <w:div w:id="1860270069">
                                                                                                      <w:marLeft w:val="0"/>
                                                                                                      <w:marRight w:val="0"/>
                                                                                                      <w:marTop w:val="0"/>
                                                                                                      <w:marBottom w:val="0"/>
                                                                                                      <w:divBdr>
                                                                                                        <w:top w:val="none" w:sz="0" w:space="0" w:color="auto"/>
                                                                                                        <w:left w:val="none" w:sz="0" w:space="0" w:color="auto"/>
                                                                                                        <w:bottom w:val="none" w:sz="0" w:space="0" w:color="auto"/>
                                                                                                        <w:right w:val="none" w:sz="0" w:space="0" w:color="auto"/>
                                                                                                      </w:divBdr>
                                                                                                      <w:divsChild>
                                                                                                        <w:div w:id="259487185">
                                                                                                          <w:marLeft w:val="0"/>
                                                                                                          <w:marRight w:val="0"/>
                                                                                                          <w:marTop w:val="0"/>
                                                                                                          <w:marBottom w:val="0"/>
                                                                                                          <w:divBdr>
                                                                                                            <w:top w:val="none" w:sz="0" w:space="0" w:color="auto"/>
                                                                                                            <w:left w:val="none" w:sz="0" w:space="0" w:color="auto"/>
                                                                                                            <w:bottom w:val="none" w:sz="0" w:space="0" w:color="auto"/>
                                                                                                            <w:right w:val="none" w:sz="0" w:space="0" w:color="auto"/>
                                                                                                          </w:divBdr>
                                                                                                          <w:divsChild>
                                                                                                            <w:div w:id="1096753393">
                                                                                                              <w:marLeft w:val="0"/>
                                                                                                              <w:marRight w:val="0"/>
                                                                                                              <w:marTop w:val="0"/>
                                                                                                              <w:marBottom w:val="0"/>
                                                                                                              <w:divBdr>
                                                                                                                <w:top w:val="none" w:sz="0" w:space="0" w:color="auto"/>
                                                                                                                <w:left w:val="none" w:sz="0" w:space="0" w:color="auto"/>
                                                                                                                <w:bottom w:val="none" w:sz="0" w:space="0" w:color="auto"/>
                                                                                                                <w:right w:val="none" w:sz="0" w:space="0" w:color="auto"/>
                                                                                                              </w:divBdr>
                                                                                                              <w:divsChild>
                                                                                                                <w:div w:id="2133396022">
                                                                                                                  <w:marLeft w:val="0"/>
                                                                                                                  <w:marRight w:val="0"/>
                                                                                                                  <w:marTop w:val="0"/>
                                                                                                                  <w:marBottom w:val="0"/>
                                                                                                                  <w:divBdr>
                                                                                                                    <w:top w:val="none" w:sz="0" w:space="0" w:color="auto"/>
                                                                                                                    <w:left w:val="none" w:sz="0" w:space="0" w:color="auto"/>
                                                                                                                    <w:bottom w:val="none" w:sz="0" w:space="0" w:color="auto"/>
                                                                                                                    <w:right w:val="none" w:sz="0" w:space="0" w:color="auto"/>
                                                                                                                  </w:divBdr>
                                                                                                                  <w:divsChild>
                                                                                                                    <w:div w:id="2025352032">
                                                                                                                      <w:marLeft w:val="0"/>
                                                                                                                      <w:marRight w:val="0"/>
                                                                                                                      <w:marTop w:val="0"/>
                                                                                                                      <w:marBottom w:val="0"/>
                                                                                                                      <w:divBdr>
                                                                                                                        <w:top w:val="none" w:sz="0" w:space="0" w:color="auto"/>
                                                                                                                        <w:left w:val="none" w:sz="0" w:space="0" w:color="auto"/>
                                                                                                                        <w:bottom w:val="none" w:sz="0" w:space="0" w:color="auto"/>
                                                                                                                        <w:right w:val="none" w:sz="0" w:space="0" w:color="auto"/>
                                                                                                                      </w:divBdr>
                                                                                                                      <w:divsChild>
                                                                                                                        <w:div w:id="1285312143">
                                                                                                                          <w:marLeft w:val="0"/>
                                                                                                                          <w:marRight w:val="0"/>
                                                                                                                          <w:marTop w:val="0"/>
                                                                                                                          <w:marBottom w:val="0"/>
                                                                                                                          <w:divBdr>
                                                                                                                            <w:top w:val="none" w:sz="0" w:space="0" w:color="auto"/>
                                                                                                                            <w:left w:val="none" w:sz="0" w:space="0" w:color="auto"/>
                                                                                                                            <w:bottom w:val="none" w:sz="0" w:space="0" w:color="auto"/>
                                                                                                                            <w:right w:val="none" w:sz="0" w:space="0" w:color="auto"/>
                                                                                                                          </w:divBdr>
                                                                                                                          <w:divsChild>
                                                                                                                            <w:div w:id="1639333506">
                                                                                                                              <w:marLeft w:val="0"/>
                                                                                                                              <w:marRight w:val="0"/>
                                                                                                                              <w:marTop w:val="0"/>
                                                                                                                              <w:marBottom w:val="0"/>
                                                                                                                              <w:divBdr>
                                                                                                                                <w:top w:val="none" w:sz="0" w:space="0" w:color="auto"/>
                                                                                                                                <w:left w:val="none" w:sz="0" w:space="0" w:color="auto"/>
                                                                                                                                <w:bottom w:val="none" w:sz="0" w:space="0" w:color="auto"/>
                                                                                                                                <w:right w:val="none" w:sz="0" w:space="0" w:color="auto"/>
                                                                                                                              </w:divBdr>
                                                                                                                              <w:divsChild>
                                                                                                                                <w:div w:id="1348212046">
                                                                                                                                  <w:marLeft w:val="0"/>
                                                                                                                                  <w:marRight w:val="0"/>
                                                                                                                                  <w:marTop w:val="0"/>
                                                                                                                                  <w:marBottom w:val="0"/>
                                                                                                                                  <w:divBdr>
                                                                                                                                    <w:top w:val="none" w:sz="0" w:space="0" w:color="auto"/>
                                                                                                                                    <w:left w:val="none" w:sz="0" w:space="0" w:color="auto"/>
                                                                                                                                    <w:bottom w:val="none" w:sz="0" w:space="0" w:color="auto"/>
                                                                                                                                    <w:right w:val="none" w:sz="0" w:space="0" w:color="auto"/>
                                                                                                                                  </w:divBdr>
                                                                                                                                  <w:divsChild>
                                                                                                                                    <w:div w:id="1342321153">
                                                                                                                                      <w:marLeft w:val="0"/>
                                                                                                                                      <w:marRight w:val="0"/>
                                                                                                                                      <w:marTop w:val="0"/>
                                                                                                                                      <w:marBottom w:val="0"/>
                                                                                                                                      <w:divBdr>
                                                                                                                                        <w:top w:val="none" w:sz="0" w:space="0" w:color="auto"/>
                                                                                                                                        <w:left w:val="none" w:sz="0" w:space="0" w:color="auto"/>
                                                                                                                                        <w:bottom w:val="none" w:sz="0" w:space="0" w:color="auto"/>
                                                                                                                                        <w:right w:val="none" w:sz="0" w:space="0" w:color="auto"/>
                                                                                                                                      </w:divBdr>
                                                                                                                                      <w:divsChild>
                                                                                                                                        <w:div w:id="1140001815">
                                                                                                                                          <w:marLeft w:val="0"/>
                                                                                                                                          <w:marRight w:val="0"/>
                                                                                                                                          <w:marTop w:val="0"/>
                                                                                                                                          <w:marBottom w:val="0"/>
                                                                                                                                          <w:divBdr>
                                                                                                                                            <w:top w:val="none" w:sz="0" w:space="0" w:color="auto"/>
                                                                                                                                            <w:left w:val="none" w:sz="0" w:space="0" w:color="auto"/>
                                                                                                                                            <w:bottom w:val="none" w:sz="0" w:space="0" w:color="auto"/>
                                                                                                                                            <w:right w:val="none" w:sz="0" w:space="0" w:color="auto"/>
                                                                                                                                          </w:divBdr>
                                                                                                                                          <w:divsChild>
                                                                                                                                            <w:div w:id="812258214">
                                                                                                                                              <w:marLeft w:val="0"/>
                                                                                                                                              <w:marRight w:val="0"/>
                                                                                                                                              <w:marTop w:val="0"/>
                                                                                                                                              <w:marBottom w:val="0"/>
                                                                                                                                              <w:divBdr>
                                                                                                                                                <w:top w:val="none" w:sz="0" w:space="0" w:color="auto"/>
                                                                                                                                                <w:left w:val="none" w:sz="0" w:space="0" w:color="auto"/>
                                                                                                                                                <w:bottom w:val="none" w:sz="0" w:space="0" w:color="auto"/>
                                                                                                                                                <w:right w:val="none" w:sz="0" w:space="0" w:color="auto"/>
                                                                                                                                              </w:divBdr>
                                                                                                                                              <w:divsChild>
                                                                                                                                                <w:div w:id="480734241">
                                                                                                                                                  <w:marLeft w:val="0"/>
                                                                                                                                                  <w:marRight w:val="0"/>
                                                                                                                                                  <w:marTop w:val="0"/>
                                                                                                                                                  <w:marBottom w:val="0"/>
                                                                                                                                                  <w:divBdr>
                                                                                                                                                    <w:top w:val="none" w:sz="0" w:space="0" w:color="auto"/>
                                                                                                                                                    <w:left w:val="none" w:sz="0" w:space="0" w:color="auto"/>
                                                                                                                                                    <w:bottom w:val="none" w:sz="0" w:space="0" w:color="auto"/>
                                                                                                                                                    <w:right w:val="none" w:sz="0" w:space="0" w:color="auto"/>
                                                                                                                                                  </w:divBdr>
                                                                                                                                                  <w:divsChild>
                                                                                                                                                    <w:div w:id="908422496">
                                                                                                                                                      <w:marLeft w:val="0"/>
                                                                                                                                                      <w:marRight w:val="0"/>
                                                                                                                                                      <w:marTop w:val="0"/>
                                                                                                                                                      <w:marBottom w:val="0"/>
                                                                                                                                                      <w:divBdr>
                                                                                                                                                        <w:top w:val="none" w:sz="0" w:space="0" w:color="auto"/>
                                                                                                                                                        <w:left w:val="none" w:sz="0" w:space="0" w:color="auto"/>
                                                                                                                                                        <w:bottom w:val="none" w:sz="0" w:space="0" w:color="auto"/>
                                                                                                                                                        <w:right w:val="none" w:sz="0" w:space="0" w:color="auto"/>
                                                                                                                                                      </w:divBdr>
                                                                                                                                                      <w:divsChild>
                                                                                                                                                        <w:div w:id="878736822">
                                                                                                                                                          <w:marLeft w:val="0"/>
                                                                                                                                                          <w:marRight w:val="0"/>
                                                                                                                                                          <w:marTop w:val="0"/>
                                                                                                                                                          <w:marBottom w:val="0"/>
                                                                                                                                                          <w:divBdr>
                                                                                                                                                            <w:top w:val="none" w:sz="0" w:space="0" w:color="auto"/>
                                                                                                                                                            <w:left w:val="none" w:sz="0" w:space="0" w:color="auto"/>
                                                                                                                                                            <w:bottom w:val="none" w:sz="0" w:space="0" w:color="auto"/>
                                                                                                                                                            <w:right w:val="none" w:sz="0" w:space="0" w:color="auto"/>
                                                                                                                                                          </w:divBdr>
                                                                                                                                                          <w:divsChild>
                                                                                                                                                            <w:div w:id="603926543">
                                                                                                                                                              <w:marLeft w:val="0"/>
                                                                                                                                                              <w:marRight w:val="0"/>
                                                                                                                                                              <w:marTop w:val="0"/>
                                                                                                                                                              <w:marBottom w:val="0"/>
                                                                                                                                                              <w:divBdr>
                                                                                                                                                                <w:top w:val="none" w:sz="0" w:space="0" w:color="auto"/>
                                                                                                                                                                <w:left w:val="none" w:sz="0" w:space="0" w:color="auto"/>
                                                                                                                                                                <w:bottom w:val="none" w:sz="0" w:space="0" w:color="auto"/>
                                                                                                                                                                <w:right w:val="none" w:sz="0" w:space="0" w:color="auto"/>
                                                                                                                                                              </w:divBdr>
                                                                                                                                                              <w:divsChild>
                                                                                                                                                                <w:div w:id="1953054293">
                                                                                                                                                                  <w:marLeft w:val="0"/>
                                                                                                                                                                  <w:marRight w:val="0"/>
                                                                                                                                                                  <w:marTop w:val="0"/>
                                                                                                                                                                  <w:marBottom w:val="0"/>
                                                                                                                                                                  <w:divBdr>
                                                                                                                                                                    <w:top w:val="none" w:sz="0" w:space="0" w:color="auto"/>
                                                                                                                                                                    <w:left w:val="none" w:sz="0" w:space="0" w:color="auto"/>
                                                                                                                                                                    <w:bottom w:val="none" w:sz="0" w:space="0" w:color="auto"/>
                                                                                                                                                                    <w:right w:val="none" w:sz="0" w:space="0" w:color="auto"/>
                                                                                                                                                                  </w:divBdr>
                                                                                                                                                                  <w:divsChild>
                                                                                                                                                                    <w:div w:id="2085834253">
                                                                                                                                                                      <w:marLeft w:val="0"/>
                                                                                                                                                                      <w:marRight w:val="0"/>
                                                                                                                                                                      <w:marTop w:val="0"/>
                                                                                                                                                                      <w:marBottom w:val="0"/>
                                                                                                                                                                      <w:divBdr>
                                                                                                                                                                        <w:top w:val="none" w:sz="0" w:space="0" w:color="auto"/>
                                                                                                                                                                        <w:left w:val="none" w:sz="0" w:space="0" w:color="auto"/>
                                                                                                                                                                        <w:bottom w:val="none" w:sz="0" w:space="0" w:color="auto"/>
                                                                                                                                                                        <w:right w:val="none" w:sz="0" w:space="0" w:color="auto"/>
                                                                                                                                                                      </w:divBdr>
                                                                                                                                                                      <w:divsChild>
                                                                                                                                                                        <w:div w:id="2012021225">
                                                                                                                                                                          <w:marLeft w:val="0"/>
                                                                                                                                                                          <w:marRight w:val="0"/>
                                                                                                                                                                          <w:marTop w:val="0"/>
                                                                                                                                                                          <w:marBottom w:val="0"/>
                                                                                                                                                                          <w:divBdr>
                                                                                                                                                                            <w:top w:val="none" w:sz="0" w:space="0" w:color="auto"/>
                                                                                                                                                                            <w:left w:val="none" w:sz="0" w:space="0" w:color="auto"/>
                                                                                                                                                                            <w:bottom w:val="none" w:sz="0" w:space="0" w:color="auto"/>
                                                                                                                                                                            <w:right w:val="none" w:sz="0" w:space="0" w:color="auto"/>
                                                                                                                                                                          </w:divBdr>
                                                                                                                                                                          <w:divsChild>
                                                                                                                                                                            <w:div w:id="1586256530">
                                                                                                                                                                              <w:marLeft w:val="0"/>
                                                                                                                                                                              <w:marRight w:val="0"/>
                                                                                                                                                                              <w:marTop w:val="0"/>
                                                                                                                                                                              <w:marBottom w:val="0"/>
                                                                                                                                                                              <w:divBdr>
                                                                                                                                                                                <w:top w:val="none" w:sz="0" w:space="0" w:color="auto"/>
                                                                                                                                                                                <w:left w:val="none" w:sz="0" w:space="0" w:color="auto"/>
                                                                                                                                                                                <w:bottom w:val="none" w:sz="0" w:space="0" w:color="auto"/>
                                                                                                                                                                                <w:right w:val="none" w:sz="0" w:space="0" w:color="auto"/>
                                                                                                                                                                              </w:divBdr>
                                                                                                                                                                              <w:divsChild>
                                                                                                                                                                                <w:div w:id="475688490">
                                                                                                                                                                                  <w:marLeft w:val="0"/>
                                                                                                                                                                                  <w:marRight w:val="0"/>
                                                                                                                                                                                  <w:marTop w:val="0"/>
                                                                                                                                                                                  <w:marBottom w:val="0"/>
                                                                                                                                                                                  <w:divBdr>
                                                                                                                                                                                    <w:top w:val="none" w:sz="0" w:space="0" w:color="auto"/>
                                                                                                                                                                                    <w:left w:val="none" w:sz="0" w:space="0" w:color="auto"/>
                                                                                                                                                                                    <w:bottom w:val="none" w:sz="0" w:space="0" w:color="auto"/>
                                                                                                                                                                                    <w:right w:val="none" w:sz="0" w:space="0" w:color="auto"/>
                                                                                                                                                                                  </w:divBdr>
                                                                                                                                                                                  <w:divsChild>
                                                                                                                                                                                    <w:div w:id="1274751189">
                                                                                                                                                                                      <w:marLeft w:val="0"/>
                                                                                                                                                                                      <w:marRight w:val="0"/>
                                                                                                                                                                                      <w:marTop w:val="0"/>
                                                                                                                                                                                      <w:marBottom w:val="0"/>
                                                                                                                                                                                      <w:divBdr>
                                                                                                                                                                                        <w:top w:val="none" w:sz="0" w:space="0" w:color="auto"/>
                                                                                                                                                                                        <w:left w:val="none" w:sz="0" w:space="0" w:color="auto"/>
                                                                                                                                                                                        <w:bottom w:val="none" w:sz="0" w:space="0" w:color="auto"/>
                                                                                                                                                                                        <w:right w:val="none" w:sz="0" w:space="0" w:color="auto"/>
                                                                                                                                                                                      </w:divBdr>
                                                                                                                                                                                      <w:divsChild>
                                                                                                                                                                                        <w:div w:id="655114657">
                                                                                                                                                                                          <w:marLeft w:val="0"/>
                                                                                                                                                                                          <w:marRight w:val="0"/>
                                                                                                                                                                                          <w:marTop w:val="0"/>
                                                                                                                                                                                          <w:marBottom w:val="0"/>
                                                                                                                                                                                          <w:divBdr>
                                                                                                                                                                                            <w:top w:val="none" w:sz="0" w:space="0" w:color="auto"/>
                                                                                                                                                                                            <w:left w:val="none" w:sz="0" w:space="0" w:color="auto"/>
                                                                                                                                                                                            <w:bottom w:val="none" w:sz="0" w:space="0" w:color="auto"/>
                                                                                                                                                                                            <w:right w:val="none" w:sz="0" w:space="0" w:color="auto"/>
                                                                                                                                                                                          </w:divBdr>
                                                                                                                                                                                          <w:divsChild>
                                                                                                                                                                                            <w:div w:id="896358418">
                                                                                                                                                                                              <w:marLeft w:val="0"/>
                                                                                                                                                                                              <w:marRight w:val="0"/>
                                                                                                                                                                                              <w:marTop w:val="0"/>
                                                                                                                                                                                              <w:marBottom w:val="0"/>
                                                                                                                                                                                              <w:divBdr>
                                                                                                                                                                                                <w:top w:val="none" w:sz="0" w:space="0" w:color="auto"/>
                                                                                                                                                                                                <w:left w:val="none" w:sz="0" w:space="0" w:color="auto"/>
                                                                                                                                                                                                <w:bottom w:val="none" w:sz="0" w:space="0" w:color="auto"/>
                                                                                                                                                                                                <w:right w:val="none" w:sz="0" w:space="0" w:color="auto"/>
                                                                                                                                                                                              </w:divBdr>
                                                                                                                                                                                              <w:divsChild>
                                                                                                                                                                                                <w:div w:id="660963035">
                                                                                                                                                                                                  <w:marLeft w:val="0"/>
                                                                                                                                                                                                  <w:marRight w:val="0"/>
                                                                                                                                                                                                  <w:marTop w:val="0"/>
                                                                                                                                                                                                  <w:marBottom w:val="0"/>
                                                                                                                                                                                                  <w:divBdr>
                                                                                                                                                                                                    <w:top w:val="none" w:sz="0" w:space="0" w:color="auto"/>
                                                                                                                                                                                                    <w:left w:val="none" w:sz="0" w:space="0" w:color="auto"/>
                                                                                                                                                                                                    <w:bottom w:val="none" w:sz="0" w:space="0" w:color="auto"/>
                                                                                                                                                                                                    <w:right w:val="none" w:sz="0" w:space="0" w:color="auto"/>
                                                                                                                                                                                                  </w:divBdr>
                                                                                                                                                                                                  <w:divsChild>
                                                                                                                                                                                                    <w:div w:id="421028670">
                                                                                                                                                                                                      <w:marLeft w:val="0"/>
                                                                                                                                                                                                      <w:marRight w:val="0"/>
                                                                                                                                                                                                      <w:marTop w:val="0"/>
                                                                                                                                                                                                      <w:marBottom w:val="0"/>
                                                                                                                                                                                                      <w:divBdr>
                                                                                                                                                                                                        <w:top w:val="none" w:sz="0" w:space="0" w:color="auto"/>
                                                                                                                                                                                                        <w:left w:val="none" w:sz="0" w:space="0" w:color="auto"/>
                                                                                                                                                                                                        <w:bottom w:val="none" w:sz="0" w:space="0" w:color="auto"/>
                                                                                                                                                                                                        <w:right w:val="none" w:sz="0" w:space="0" w:color="auto"/>
                                                                                                                                                                                                      </w:divBdr>
                                                                                                                                                                                                      <w:divsChild>
                                                                                                                                                                                                        <w:div w:id="169220726">
                                                                                                                                                                                                          <w:marLeft w:val="0"/>
                                                                                                                                                                                                          <w:marRight w:val="0"/>
                                                                                                                                                                                                          <w:marTop w:val="0"/>
                                                                                                                                                                                                          <w:marBottom w:val="0"/>
                                                                                                                                                                                                          <w:divBdr>
                                                                                                                                                                                                            <w:top w:val="none" w:sz="0" w:space="0" w:color="auto"/>
                                                                                                                                                                                                            <w:left w:val="none" w:sz="0" w:space="0" w:color="auto"/>
                                                                                                                                                                                                            <w:bottom w:val="none" w:sz="0" w:space="0" w:color="auto"/>
                                                                                                                                                                                                            <w:right w:val="none" w:sz="0" w:space="0" w:color="auto"/>
                                                                                                                                                                                                          </w:divBdr>
                                                                                                                                                                                                          <w:divsChild>
                                                                                                                                                                                                            <w:div w:id="258417631">
                                                                                                                                                                                                              <w:marLeft w:val="0"/>
                                                                                                                                                                                                              <w:marRight w:val="0"/>
                                                                                                                                                                                                              <w:marTop w:val="0"/>
                                                                                                                                                                                                              <w:marBottom w:val="0"/>
                                                                                                                                                                                                              <w:divBdr>
                                                                                                                                                                                                                <w:top w:val="none" w:sz="0" w:space="0" w:color="auto"/>
                                                                                                                                                                                                                <w:left w:val="none" w:sz="0" w:space="0" w:color="auto"/>
                                                                                                                                                                                                                <w:bottom w:val="none" w:sz="0" w:space="0" w:color="auto"/>
                                                                                                                                                                                                                <w:right w:val="none" w:sz="0" w:space="0" w:color="auto"/>
                                                                                                                                                                                                              </w:divBdr>
                                                                                                                                                                                                              <w:divsChild>
                                                                                                                                                                                                                <w:div w:id="1767338978">
                                                                                                                                                                                                                  <w:marLeft w:val="0"/>
                                                                                                                                                                                                                  <w:marRight w:val="0"/>
                                                                                                                                                                                                                  <w:marTop w:val="0"/>
                                                                                                                                                                                                                  <w:marBottom w:val="0"/>
                                                                                                                                                                                                                  <w:divBdr>
                                                                                                                                                                                                                    <w:top w:val="none" w:sz="0" w:space="0" w:color="auto"/>
                                                                                                                                                                                                                    <w:left w:val="none" w:sz="0" w:space="0" w:color="auto"/>
                                                                                                                                                                                                                    <w:bottom w:val="none" w:sz="0" w:space="0" w:color="auto"/>
                                                                                                                                                                                                                    <w:right w:val="none" w:sz="0" w:space="0" w:color="auto"/>
                                                                                                                                                                                                                  </w:divBdr>
                                                                                                                                                                                                                  <w:divsChild>
                                                                                                                                                                                                                    <w:div w:id="907571576">
                                                                                                                                                                                                                      <w:marLeft w:val="0"/>
                                                                                                                                                                                                                      <w:marRight w:val="0"/>
                                                                                                                                                                                                                      <w:marTop w:val="0"/>
                                                                                                                                                                                                                      <w:marBottom w:val="0"/>
                                                                                                                                                                                                                      <w:divBdr>
                                                                                                                                                                                                                        <w:top w:val="none" w:sz="0" w:space="0" w:color="auto"/>
                                                                                                                                                                                                                        <w:left w:val="none" w:sz="0" w:space="0" w:color="auto"/>
                                                                                                                                                                                                                        <w:bottom w:val="none" w:sz="0" w:space="0" w:color="auto"/>
                                                                                                                                                                                                                        <w:right w:val="none" w:sz="0" w:space="0" w:color="auto"/>
                                                                                                                                                                                                                      </w:divBdr>
                                                                                                                                                                                                                      <w:divsChild>
                                                                                                                                                                                                                        <w:div w:id="1883252065">
                                                                                                                                                                                                                          <w:marLeft w:val="0"/>
                                                                                                                                                                                                                          <w:marRight w:val="0"/>
                                                                                                                                                                                                                          <w:marTop w:val="0"/>
                                                                                                                                                                                                                          <w:marBottom w:val="0"/>
                                                                                                                                                                                                                          <w:divBdr>
                                                                                                                                                                                                                            <w:top w:val="none" w:sz="0" w:space="0" w:color="auto"/>
                                                                                                                                                                                                                            <w:left w:val="none" w:sz="0" w:space="0" w:color="auto"/>
                                                                                                                                                                                                                            <w:bottom w:val="none" w:sz="0" w:space="0" w:color="auto"/>
                                                                                                                                                                                                                            <w:right w:val="none" w:sz="0" w:space="0" w:color="auto"/>
                                                                                                                                                                                                                          </w:divBdr>
                                                                                                                                                                                                                          <w:divsChild>
                                                                                                                                                                                                                            <w:div w:id="1752044989">
                                                                                                                                                                                                                              <w:marLeft w:val="0"/>
                                                                                                                                                                                                                              <w:marRight w:val="0"/>
                                                                                                                                                                                                                              <w:marTop w:val="0"/>
                                                                                                                                                                                                                              <w:marBottom w:val="0"/>
                                                                                                                                                                                                                              <w:divBdr>
                                                                                                                                                                                                                                <w:top w:val="none" w:sz="0" w:space="0" w:color="auto"/>
                                                                                                                                                                                                                                <w:left w:val="none" w:sz="0" w:space="0" w:color="auto"/>
                                                                                                                                                                                                                                <w:bottom w:val="none" w:sz="0" w:space="0" w:color="auto"/>
                                                                                                                                                                                                                                <w:right w:val="none" w:sz="0" w:space="0" w:color="auto"/>
                                                                                                                                                                                                                              </w:divBdr>
                                                                                                                                                                                                                              <w:divsChild>
                                                                                                                                                                                                                                <w:div w:id="2085684207">
                                                                                                                                                                                                                                  <w:marLeft w:val="0"/>
                                                                                                                                                                                                                                  <w:marRight w:val="0"/>
                                                                                                                                                                                                                                  <w:marTop w:val="0"/>
                                                                                                                                                                                                                                  <w:marBottom w:val="0"/>
                                                                                                                                                                                                                                  <w:divBdr>
                                                                                                                                                                                                                                    <w:top w:val="none" w:sz="0" w:space="0" w:color="auto"/>
                                                                                                                                                                                                                                    <w:left w:val="none" w:sz="0" w:space="0" w:color="auto"/>
                                                                                                                                                                                                                                    <w:bottom w:val="none" w:sz="0" w:space="0" w:color="auto"/>
                                                                                                                                                                                                                                    <w:right w:val="none" w:sz="0" w:space="0" w:color="auto"/>
                                                                                                                                                                                                                                  </w:divBdr>
                                                                                                                                                                                                                                  <w:divsChild>
                                                                                                                                                                                                                                    <w:div w:id="1097604914">
                                                                                                                                                                                                                                      <w:marLeft w:val="0"/>
                                                                                                                                                                                                                                      <w:marRight w:val="0"/>
                                                                                                                                                                                                                                      <w:marTop w:val="0"/>
                                                                                                                                                                                                                                      <w:marBottom w:val="0"/>
                                                                                                                                                                                                                                      <w:divBdr>
                                                                                                                                                                                                                                        <w:top w:val="none" w:sz="0" w:space="0" w:color="auto"/>
                                                                                                                                                                                                                                        <w:left w:val="none" w:sz="0" w:space="0" w:color="auto"/>
                                                                                                                                                                                                                                        <w:bottom w:val="none" w:sz="0" w:space="0" w:color="auto"/>
                                                                                                                                                                                                                                        <w:right w:val="none" w:sz="0" w:space="0" w:color="auto"/>
                                                                                                                                                                                                                                      </w:divBdr>
                                                                                                                                                                                                                                      <w:divsChild>
                                                                                                                                                                                                                                        <w:div w:id="1075014892">
                                                                                                                                                                                                                                          <w:marLeft w:val="0"/>
                                                                                                                                                                                                                                          <w:marRight w:val="0"/>
                                                                                                                                                                                                                                          <w:marTop w:val="0"/>
                                                                                                                                                                                                                                          <w:marBottom w:val="0"/>
                                                                                                                                                                                                                                          <w:divBdr>
                                                                                                                                                                                                                                            <w:top w:val="none" w:sz="0" w:space="0" w:color="auto"/>
                                                                                                                                                                                                                                            <w:left w:val="none" w:sz="0" w:space="0" w:color="auto"/>
                                                                                                                                                                                                                                            <w:bottom w:val="none" w:sz="0" w:space="0" w:color="auto"/>
                                                                                                                                                                                                                                            <w:right w:val="none" w:sz="0" w:space="0" w:color="auto"/>
                                                                                                                                                                                                                                          </w:divBdr>
                                                                                                                                                                                                                                          <w:divsChild>
                                                                                                                                                                                                                                            <w:div w:id="2045057558">
                                                                                                                                                                                                                                              <w:marLeft w:val="0"/>
                                                                                                                                                                                                                                              <w:marRight w:val="0"/>
                                                                                                                                                                                                                                              <w:marTop w:val="0"/>
                                                                                                                                                                                                                                              <w:marBottom w:val="0"/>
                                                                                                                                                                                                                                              <w:divBdr>
                                                                                                                                                                                                                                                <w:top w:val="none" w:sz="0" w:space="0" w:color="auto"/>
                                                                                                                                                                                                                                                <w:left w:val="none" w:sz="0" w:space="0" w:color="auto"/>
                                                                                                                                                                                                                                                <w:bottom w:val="none" w:sz="0" w:space="0" w:color="auto"/>
                                                                                                                                                                                                                                                <w:right w:val="none" w:sz="0" w:space="0" w:color="auto"/>
                                                                                                                                                                                                                                              </w:divBdr>
                                                                                                                                                                                                                                              <w:divsChild>
                                                                                                                                                                                                                                                <w:div w:id="836072249">
                                                                                                                                                                                                                                                  <w:marLeft w:val="0"/>
                                                                                                                                                                                                                                                  <w:marRight w:val="0"/>
                                                                                                                                                                                                                                                  <w:marTop w:val="0"/>
                                                                                                                                                                                                                                                  <w:marBottom w:val="0"/>
                                                                                                                                                                                                                                                  <w:divBdr>
                                                                                                                                                                                                                                                    <w:top w:val="none" w:sz="0" w:space="0" w:color="auto"/>
                                                                                                                                                                                                                                                    <w:left w:val="none" w:sz="0" w:space="0" w:color="auto"/>
                                                                                                                                                                                                                                                    <w:bottom w:val="none" w:sz="0" w:space="0" w:color="auto"/>
                                                                                                                                                                                                                                                    <w:right w:val="none" w:sz="0" w:space="0" w:color="auto"/>
                                                                                                                                                                                                                                                  </w:divBdr>
                                                                                                                                                                                                                                                  <w:divsChild>
                                                                                                                                                                                                                                                    <w:div w:id="1445035845">
                                                                                                                                                                                                                                                      <w:marLeft w:val="0"/>
                                                                                                                                                                                                                                                      <w:marRight w:val="0"/>
                                                                                                                                                                                                                                                      <w:marTop w:val="0"/>
                                                                                                                                                                                                                                                      <w:marBottom w:val="0"/>
                                                                                                                                                                                                                                                      <w:divBdr>
                                                                                                                                                                                                                                                        <w:top w:val="none" w:sz="0" w:space="0" w:color="auto"/>
                                                                                                                                                                                                                                                        <w:left w:val="none" w:sz="0" w:space="0" w:color="auto"/>
                                                                                                                                                                                                                                                        <w:bottom w:val="none" w:sz="0" w:space="0" w:color="auto"/>
                                                                                                                                                                                                                                                        <w:right w:val="none" w:sz="0" w:space="0" w:color="auto"/>
                                                                                                                                                                                                                                                      </w:divBdr>
                                                                                                                                                                                                                                                      <w:divsChild>
                                                                                                                                                                                                                                                        <w:div w:id="1604649588">
                                                                                                                                                                                                                                                          <w:marLeft w:val="0"/>
                                                                                                                                                                                                                                                          <w:marRight w:val="0"/>
                                                                                                                                                                                                                                                          <w:marTop w:val="0"/>
                                                                                                                                                                                                                                                          <w:marBottom w:val="0"/>
                                                                                                                                                                                                                                                          <w:divBdr>
                                                                                                                                                                                                                                                            <w:top w:val="none" w:sz="0" w:space="0" w:color="auto"/>
                                                                                                                                                                                                                                                            <w:left w:val="none" w:sz="0" w:space="0" w:color="auto"/>
                                                                                                                                                                                                                                                            <w:bottom w:val="none" w:sz="0" w:space="0" w:color="auto"/>
                                                                                                                                                                                                                                                            <w:right w:val="none" w:sz="0" w:space="0" w:color="auto"/>
                                                                                                                                                                                                                                                          </w:divBdr>
                                                                                                                                                                                                                                                          <w:divsChild>
                                                                                                                                                                                                                                                            <w:div w:id="1974749832">
                                                                                                                                                                                                                                                              <w:marLeft w:val="0"/>
                                                                                                                                                                                                                                                              <w:marRight w:val="0"/>
                                                                                                                                                                                                                                                              <w:marTop w:val="0"/>
                                                                                                                                                                                                                                                              <w:marBottom w:val="0"/>
                                                                                                                                                                                                                                                              <w:divBdr>
                                                                                                                                                                                                                                                                <w:top w:val="none" w:sz="0" w:space="0" w:color="auto"/>
                                                                                                                                                                                                                                                                <w:left w:val="none" w:sz="0" w:space="0" w:color="auto"/>
                                                                                                                                                                                                                                                                <w:bottom w:val="none" w:sz="0" w:space="0" w:color="auto"/>
                                                                                                                                                                                                                                                                <w:right w:val="none" w:sz="0" w:space="0" w:color="auto"/>
                                                                                                                                                                                                                                                              </w:divBdr>
                                                                                                                                                                                                                                                              <w:divsChild>
                                                                                                                                                                                                                                                                <w:div w:id="766077624">
                                                                                                                                                                                                                                                                  <w:marLeft w:val="0"/>
                                                                                                                                                                                                                                                                  <w:marRight w:val="0"/>
                                                                                                                                                                                                                                                                  <w:marTop w:val="0"/>
                                                                                                                                                                                                                                                                  <w:marBottom w:val="0"/>
                                                                                                                                                                                                                                                                  <w:divBdr>
                                                                                                                                                                                                                                                                    <w:top w:val="none" w:sz="0" w:space="0" w:color="auto"/>
                                                                                                                                                                                                                                                                    <w:left w:val="none" w:sz="0" w:space="0" w:color="auto"/>
                                                                                                                                                                                                                                                                    <w:bottom w:val="none" w:sz="0" w:space="0" w:color="auto"/>
                                                                                                                                                                                                                                                                    <w:right w:val="none" w:sz="0" w:space="0" w:color="auto"/>
                                                                                                                                                                                                                                                                  </w:divBdr>
                                                                                                                                                                                                                                                                  <w:divsChild>
                                                                                                                                                                                                                                                                    <w:div w:id="272786342">
                                                                                                                                                                                                                                                                      <w:marLeft w:val="0"/>
                                                                                                                                                                                                                                                                      <w:marRight w:val="0"/>
                                                                                                                                                                                                                                                                      <w:marTop w:val="0"/>
                                                                                                                                                                                                                                                                      <w:marBottom w:val="0"/>
                                                                                                                                                                                                                                                                      <w:divBdr>
                                                                                                                                                                                                                                                                        <w:top w:val="none" w:sz="0" w:space="0" w:color="auto"/>
                                                                                                                                                                                                                                                                        <w:left w:val="none" w:sz="0" w:space="0" w:color="auto"/>
                                                                                                                                                                                                                                                                        <w:bottom w:val="none" w:sz="0" w:space="0" w:color="auto"/>
                                                                                                                                                                                                                                                                        <w:right w:val="none" w:sz="0" w:space="0" w:color="auto"/>
                                                                                                                                                                                                                                                                      </w:divBdr>
                                                                                                                                                                                                                                                                      <w:divsChild>
                                                                                                                                                                                                                                                                        <w:div w:id="654339271">
                                                                                                                                                                                                                                                                          <w:marLeft w:val="0"/>
                                                                                                                                                                                                                                                                          <w:marRight w:val="0"/>
                                                                                                                                                                                                                                                                          <w:marTop w:val="0"/>
                                                                                                                                                                                                                                                                          <w:marBottom w:val="0"/>
                                                                                                                                                                                                                                                                          <w:divBdr>
                                                                                                                                                                                                                                                                            <w:top w:val="none" w:sz="0" w:space="0" w:color="auto"/>
                                                                                                                                                                                                                                                                            <w:left w:val="none" w:sz="0" w:space="0" w:color="auto"/>
                                                                                                                                                                                                                                                                            <w:bottom w:val="none" w:sz="0" w:space="0" w:color="auto"/>
                                                                                                                                                                                                                                                                            <w:right w:val="none" w:sz="0" w:space="0" w:color="auto"/>
                                                                                                                                                                                                                                                                          </w:divBdr>
                                                                                                                                                                                                                                                                          <w:divsChild>
                                                                                                                                                                                                                                                                            <w:div w:id="42023603">
                                                                                                                                                                                                                                                                              <w:marLeft w:val="0"/>
                                                                                                                                                                                                                                                                              <w:marRight w:val="0"/>
                                                                                                                                                                                                                                                                              <w:marTop w:val="0"/>
                                                                                                                                                                                                                                                                              <w:marBottom w:val="0"/>
                                                                                                                                                                                                                                                                              <w:divBdr>
                                                                                                                                                                                                                                                                                <w:top w:val="none" w:sz="0" w:space="0" w:color="auto"/>
                                                                                                                                                                                                                                                                                <w:left w:val="none" w:sz="0" w:space="0" w:color="auto"/>
                                                                                                                                                                                                                                                                                <w:bottom w:val="none" w:sz="0" w:space="0" w:color="auto"/>
                                                                                                                                                                                                                                                                                <w:right w:val="none" w:sz="0" w:space="0" w:color="auto"/>
                                                                                                                                                                                                                                                                              </w:divBdr>
                                                                                                                                                                                                                                                                              <w:divsChild>
                                                                                                                                                                                                                                                                                <w:div w:id="157235540">
                                                                                                                                                                                                                                                                                  <w:marLeft w:val="0"/>
                                                                                                                                                                                                                                                                                  <w:marRight w:val="0"/>
                                                                                                                                                                                                                                                                                  <w:marTop w:val="0"/>
                                                                                                                                                                                                                                                                                  <w:marBottom w:val="0"/>
                                                                                                                                                                                                                                                                                  <w:divBdr>
                                                                                                                                                                                                                                                                                    <w:top w:val="none" w:sz="0" w:space="0" w:color="auto"/>
                                                                                                                                                                                                                                                                                    <w:left w:val="none" w:sz="0" w:space="0" w:color="auto"/>
                                                                                                                                                                                                                                                                                    <w:bottom w:val="none" w:sz="0" w:space="0" w:color="auto"/>
                                                                                                                                                                                                                                                                                    <w:right w:val="none" w:sz="0" w:space="0" w:color="auto"/>
                                                                                                                                                                                                                                                                                  </w:divBdr>
                                                                                                                                                                                                                                                                                  <w:divsChild>
                                                                                                                                                                                                                                                                                    <w:div w:id="1779908521">
                                                                                                                                                                                                                                                                                      <w:marLeft w:val="0"/>
                                                                                                                                                                                                                                                                                      <w:marRight w:val="0"/>
                                                                                                                                                                                                                                                                                      <w:marTop w:val="0"/>
                                                                                                                                                                                                                                                                                      <w:marBottom w:val="0"/>
                                                                                                                                                                                                                                                                                      <w:divBdr>
                                                                                                                                                                                                                                                                                        <w:top w:val="none" w:sz="0" w:space="0" w:color="auto"/>
                                                                                                                                                                                                                                                                                        <w:left w:val="none" w:sz="0" w:space="0" w:color="auto"/>
                                                                                                                                                                                                                                                                                        <w:bottom w:val="none" w:sz="0" w:space="0" w:color="auto"/>
                                                                                                                                                                                                                                                                                        <w:right w:val="none" w:sz="0" w:space="0" w:color="auto"/>
                                                                                                                                                                                                                                                                                      </w:divBdr>
                                                                                                                                                                                                                                                                                      <w:divsChild>
                                                                                                                                                                                                                                                                                        <w:div w:id="1573543616">
                                                                                                                                                                                                                                                                                          <w:marLeft w:val="0"/>
                                                                                                                                                                                                                                                                                          <w:marRight w:val="0"/>
                                                                                                                                                                                                                                                                                          <w:marTop w:val="0"/>
                                                                                                                                                                                                                                                                                          <w:marBottom w:val="0"/>
                                                                                                                                                                                                                                                                                          <w:divBdr>
                                                                                                                                                                                                                                                                                            <w:top w:val="none" w:sz="0" w:space="0" w:color="auto"/>
                                                                                                                                                                                                                                                                                            <w:left w:val="none" w:sz="0" w:space="0" w:color="auto"/>
                                                                                                                                                                                                                                                                                            <w:bottom w:val="none" w:sz="0" w:space="0" w:color="auto"/>
                                                                                                                                                                                                                                                                                            <w:right w:val="none" w:sz="0" w:space="0" w:color="auto"/>
                                                                                                                                                                                                                                                                                          </w:divBdr>
                                                                                                                                                                                                                                                                                          <w:divsChild>
                                                                                                                                                                                                                                                                                            <w:div w:id="8727797">
                                                                                                                                                                                                                                                                                              <w:marLeft w:val="0"/>
                                                                                                                                                                                                                                                                                              <w:marRight w:val="0"/>
                                                                                                                                                                                                                                                                                              <w:marTop w:val="0"/>
                                                                                                                                                                                                                                                                                              <w:marBottom w:val="0"/>
                                                                                                                                                                                                                                                                                              <w:divBdr>
                                                                                                                                                                                                                                                                                                <w:top w:val="none" w:sz="0" w:space="0" w:color="auto"/>
                                                                                                                                                                                                                                                                                                <w:left w:val="none" w:sz="0" w:space="0" w:color="auto"/>
                                                                                                                                                                                                                                                                                                <w:bottom w:val="none" w:sz="0" w:space="0" w:color="auto"/>
                                                                                                                                                                                                                                                                                                <w:right w:val="none" w:sz="0" w:space="0" w:color="auto"/>
                                                                                                                                                                                                                                                                                              </w:divBdr>
                                                                                                                                                                                                                                                                                              <w:divsChild>
                                                                                                                                                                                                                                                                                                <w:div w:id="1556357122">
                                                                                                                                                                                                                                                                                                  <w:marLeft w:val="0"/>
                                                                                                                                                                                                                                                                                                  <w:marRight w:val="0"/>
                                                                                                                                                                                                                                                                                                  <w:marTop w:val="0"/>
                                                                                                                                                                                                                                                                                                  <w:marBottom w:val="0"/>
                                                                                                                                                                                                                                                                                                  <w:divBdr>
                                                                                                                                                                                                                                                                                                    <w:top w:val="none" w:sz="0" w:space="0" w:color="auto"/>
                                                                                                                                                                                                                                                                                                    <w:left w:val="none" w:sz="0" w:space="0" w:color="auto"/>
                                                                                                                                                                                                                                                                                                    <w:bottom w:val="none" w:sz="0" w:space="0" w:color="auto"/>
                                                                                                                                                                                                                                                                                                    <w:right w:val="none" w:sz="0" w:space="0" w:color="auto"/>
                                                                                                                                                                                                                                                                                                  </w:divBdr>
                                                                                                                                                                                                                                                                                                  <w:divsChild>
                                                                                                                                                                                                                                                                                                    <w:div w:id="1098478301">
                                                                                                                                                                                                                                                                                                      <w:marLeft w:val="0"/>
                                                                                                                                                                                                                                                                                                      <w:marRight w:val="0"/>
                                                                                                                                                                                                                                                                                                      <w:marTop w:val="0"/>
                                                                                                                                                                                                                                                                                                      <w:marBottom w:val="0"/>
                                                                                                                                                                                                                                                                                                      <w:divBdr>
                                                                                                                                                                                                                                                                                                        <w:top w:val="none" w:sz="0" w:space="0" w:color="auto"/>
                                                                                                                                                                                                                                                                                                        <w:left w:val="none" w:sz="0" w:space="0" w:color="auto"/>
                                                                                                                                                                                                                                                                                                        <w:bottom w:val="none" w:sz="0" w:space="0" w:color="auto"/>
                                                                                                                                                                                                                                                                                                        <w:right w:val="none" w:sz="0" w:space="0" w:color="auto"/>
                                                                                                                                                                                                                                                                                                      </w:divBdr>
                                                                                                                                                                                                                                                                                                      <w:divsChild>
                                                                                                                                                                                                                                                                                                        <w:div w:id="18558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46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Flasche@lsht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fan.Flasche@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69DB-8115-40C4-92BF-6B0057F0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17</Pages>
  <Words>20878</Words>
  <Characters>119009</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139608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Flasche</dc:creator>
  <cp:lastModifiedBy>Stefan Flasche</cp:lastModifiedBy>
  <cp:revision>66</cp:revision>
  <cp:lastPrinted>2015-06-11T09:26:00Z</cp:lastPrinted>
  <dcterms:created xsi:type="dcterms:W3CDTF">2015-08-24T06:14:00Z</dcterms:created>
  <dcterms:modified xsi:type="dcterms:W3CDTF">2016-01-08T15:58:00Z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stefanflasche@gmx.de@www.mendeley.com</vt:lpwstr>
  </property>
  <property fmtid="{D5CDD505-2E9C-101B-9397-08002B2CF9AE}" pid="4" name="Mendeley Recent Style Id 0_1">
    <vt:lpwstr>http://csl.mendeley.com/styles/2247371/american-journal-of-epidemiology</vt:lpwstr>
  </property>
  <property fmtid="{D5CDD505-2E9C-101B-9397-08002B2CF9AE}" pid="5" name="Mendeley Recent Style Name 0_1">
    <vt:lpwstr>American Journal of Epidemiology - Stefan Flasche</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Citation Style_1">
    <vt:lpwstr>http://csl.mendeley.com/styles/2247371/american-journal-of-epidemiology</vt:lpwstr>
  </property>
</Properties>
</file>