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AAFC" w14:textId="7A4F0DCE" w:rsidR="007848BF" w:rsidRP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b/>
          <w:sz w:val="24"/>
          <w:szCs w:val="24"/>
        </w:rPr>
        <w:t>TRANSLATING NEUROSCIENCE TO THE FRONT LINES: POINT-OF-CARE DETECTION OF NEUROPSYCHIATRIC DISORDERS</w:t>
      </w:r>
    </w:p>
    <w:p w14:paraId="13687F75" w14:textId="0D2C4513" w:rsidR="007848BF" w:rsidRPr="00D635E2" w:rsidRDefault="000F3045" w:rsidP="00D635E2">
      <w:pPr>
        <w:spacing w:after="160" w:line="240" w:lineRule="auto"/>
        <w:jc w:val="both"/>
        <w:outlineLvl w:val="0"/>
        <w:rPr>
          <w:rFonts w:ascii="Times New Roman" w:hAnsi="Times New Roman" w:cs="Times New Roman"/>
          <w:sz w:val="24"/>
          <w:szCs w:val="24"/>
          <w:vertAlign w:val="superscript"/>
        </w:rPr>
      </w:pPr>
      <w:r w:rsidRPr="00D635E2">
        <w:rPr>
          <w:rFonts w:ascii="Times New Roman" w:hAnsi="Times New Roman" w:cs="Times New Roman"/>
          <w:sz w:val="24"/>
          <w:szCs w:val="24"/>
        </w:rPr>
        <w:t xml:space="preserve">Jayashree Dasgupta*, Supriya Bhavnani,*, Georgia Lockwood Estrin, Debarati Mukherjee, Arpan Banerjee, Matthew K Belmonte, Bhismadev Chakrabarti, Gauri Divan, Geraldine Dawson, Mark H Johnson, James </w:t>
      </w:r>
      <w:r w:rsidR="00A52DA5" w:rsidRPr="00D635E2">
        <w:rPr>
          <w:rFonts w:ascii="Times New Roman" w:hAnsi="Times New Roman" w:cs="Times New Roman"/>
          <w:sz w:val="24"/>
          <w:szCs w:val="24"/>
        </w:rPr>
        <w:t xml:space="preserve">C </w:t>
      </w:r>
      <w:r w:rsidRPr="00D635E2">
        <w:rPr>
          <w:rFonts w:ascii="Times New Roman" w:hAnsi="Times New Roman" w:cs="Times New Roman"/>
          <w:sz w:val="24"/>
          <w:szCs w:val="24"/>
        </w:rPr>
        <w:t xml:space="preserve">McPartland, Nandini C Singh, Vikram Patel** </w:t>
      </w:r>
    </w:p>
    <w:p w14:paraId="2AEE735D" w14:textId="77777777" w:rsidR="007848BF" w:rsidRPr="00D635E2" w:rsidRDefault="007848BF" w:rsidP="00D635E2">
      <w:pPr>
        <w:spacing w:after="160" w:line="240" w:lineRule="auto"/>
        <w:jc w:val="both"/>
        <w:outlineLvl w:val="0"/>
        <w:rPr>
          <w:rFonts w:ascii="Times New Roman" w:hAnsi="Times New Roman" w:cs="Times New Roman"/>
          <w:sz w:val="24"/>
          <w:szCs w:val="24"/>
          <w:vertAlign w:val="superscript"/>
        </w:rPr>
      </w:pPr>
    </w:p>
    <w:p w14:paraId="18CC71AE" w14:textId="1D7D31F5"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Centre for Chronic Conditions and Injuries, Public Health Foundation of India, Gurgaon, India</w:t>
      </w:r>
      <w:r w:rsidRPr="00D635E2">
        <w:rPr>
          <w:rFonts w:ascii="Times New Roman" w:hAnsi="Times New Roman" w:cs="Times New Roman"/>
          <w:sz w:val="24"/>
          <w:szCs w:val="24"/>
        </w:rPr>
        <w:t xml:space="preserve"> (J Dasgupta PhD, S Bhavnani PhD, D Mukherjee PhD, Prof V Patel FMedSci)</w:t>
      </w:r>
    </w:p>
    <w:p w14:paraId="7631F135" w14:textId="1C1FA65B"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 xml:space="preserve">Centre for Global Mental Health, London School of Hygiene and Tropical Medicine, London, UK </w:t>
      </w:r>
      <w:r w:rsidRPr="00D635E2">
        <w:rPr>
          <w:rFonts w:ascii="Times New Roman" w:hAnsi="Times New Roman" w:cs="Times New Roman"/>
          <w:sz w:val="24"/>
          <w:szCs w:val="24"/>
        </w:rPr>
        <w:t>(G</w:t>
      </w:r>
      <w:r w:rsidRPr="00D635E2">
        <w:rPr>
          <w:rFonts w:ascii="Times New Roman" w:hAnsi="Times New Roman" w:cs="Times New Roman"/>
          <w:b/>
          <w:sz w:val="24"/>
          <w:szCs w:val="24"/>
        </w:rPr>
        <w:t xml:space="preserve"> </w:t>
      </w:r>
      <w:r w:rsidRPr="00D635E2">
        <w:rPr>
          <w:rFonts w:ascii="Times New Roman" w:hAnsi="Times New Roman" w:cs="Times New Roman"/>
          <w:sz w:val="24"/>
          <w:szCs w:val="24"/>
        </w:rPr>
        <w:t xml:space="preserve">Lockwood Estrin PhD, </w:t>
      </w:r>
      <w:r w:rsidR="00A52DA5" w:rsidRPr="00D635E2">
        <w:rPr>
          <w:rFonts w:ascii="Times New Roman" w:hAnsi="Times New Roman" w:cs="Times New Roman"/>
          <w:sz w:val="24"/>
          <w:szCs w:val="24"/>
        </w:rPr>
        <w:t xml:space="preserve">Prof </w:t>
      </w:r>
      <w:r w:rsidRPr="00D635E2">
        <w:rPr>
          <w:rFonts w:ascii="Times New Roman" w:hAnsi="Times New Roman" w:cs="Times New Roman"/>
          <w:sz w:val="24"/>
          <w:szCs w:val="24"/>
        </w:rPr>
        <w:t>V Patel)</w:t>
      </w:r>
    </w:p>
    <w:p w14:paraId="74FF65A7" w14:textId="02112C42"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National Brain Research Centre, Manesar, India</w:t>
      </w:r>
      <w:r w:rsidRPr="00D635E2">
        <w:rPr>
          <w:rFonts w:ascii="Times New Roman" w:hAnsi="Times New Roman" w:cs="Times New Roman"/>
          <w:sz w:val="24"/>
          <w:szCs w:val="24"/>
        </w:rPr>
        <w:t xml:space="preserve"> (</w:t>
      </w:r>
      <w:r w:rsidR="00A52DA5" w:rsidRPr="00D635E2">
        <w:rPr>
          <w:rFonts w:ascii="Times New Roman" w:hAnsi="Times New Roman" w:cs="Times New Roman"/>
          <w:sz w:val="24"/>
          <w:szCs w:val="24"/>
        </w:rPr>
        <w:t xml:space="preserve">Prof </w:t>
      </w:r>
      <w:r w:rsidRPr="00D635E2">
        <w:rPr>
          <w:rFonts w:ascii="Times New Roman" w:hAnsi="Times New Roman" w:cs="Times New Roman"/>
          <w:sz w:val="24"/>
          <w:szCs w:val="24"/>
        </w:rPr>
        <w:t>N</w:t>
      </w:r>
      <w:r w:rsidR="00A52DA5" w:rsidRPr="00D635E2">
        <w:rPr>
          <w:rFonts w:ascii="Times New Roman" w:hAnsi="Times New Roman" w:cs="Times New Roman"/>
          <w:sz w:val="24"/>
          <w:szCs w:val="24"/>
        </w:rPr>
        <w:t xml:space="preserve"> </w:t>
      </w:r>
      <w:r w:rsidRPr="00D635E2">
        <w:rPr>
          <w:rFonts w:ascii="Times New Roman" w:hAnsi="Times New Roman" w:cs="Times New Roman"/>
          <w:sz w:val="24"/>
          <w:szCs w:val="24"/>
        </w:rPr>
        <w:t>C Singh PhD, A Banerjee PhD)</w:t>
      </w:r>
    </w:p>
    <w:p w14:paraId="04EBAAFD" w14:textId="154B2666"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Department of Psychology, University of Reading, Reading, UK</w:t>
      </w:r>
      <w:r w:rsidRPr="00D635E2">
        <w:rPr>
          <w:rFonts w:ascii="Times New Roman" w:hAnsi="Times New Roman" w:cs="Times New Roman"/>
          <w:sz w:val="24"/>
          <w:szCs w:val="24"/>
        </w:rPr>
        <w:t xml:space="preserve"> </w:t>
      </w:r>
      <w:r w:rsidR="00A52DA5" w:rsidRPr="00D635E2">
        <w:rPr>
          <w:rFonts w:ascii="Times New Roman" w:hAnsi="Times New Roman" w:cs="Times New Roman"/>
          <w:sz w:val="24"/>
          <w:szCs w:val="24"/>
        </w:rPr>
        <w:t>(</w:t>
      </w:r>
      <w:r w:rsidRPr="00D635E2">
        <w:rPr>
          <w:rFonts w:ascii="Times New Roman" w:hAnsi="Times New Roman" w:cs="Times New Roman"/>
          <w:sz w:val="24"/>
          <w:szCs w:val="24"/>
        </w:rPr>
        <w:t>B</w:t>
      </w:r>
      <w:r w:rsidR="00A52DA5" w:rsidRPr="00D635E2">
        <w:rPr>
          <w:rFonts w:ascii="Times New Roman" w:hAnsi="Times New Roman" w:cs="Times New Roman"/>
          <w:sz w:val="24"/>
          <w:szCs w:val="24"/>
        </w:rPr>
        <w:t xml:space="preserve"> </w:t>
      </w:r>
      <w:r w:rsidRPr="00D635E2">
        <w:rPr>
          <w:rFonts w:ascii="Times New Roman" w:hAnsi="Times New Roman" w:cs="Times New Roman"/>
          <w:sz w:val="24"/>
          <w:szCs w:val="24"/>
        </w:rPr>
        <w:t>Chakrabarti PhD</w:t>
      </w:r>
      <w:r w:rsidR="00B55805">
        <w:rPr>
          <w:rFonts w:ascii="Times New Roman" w:hAnsi="Times New Roman" w:cs="Times New Roman"/>
          <w:sz w:val="24"/>
          <w:szCs w:val="24"/>
        </w:rPr>
        <w:t>)</w:t>
      </w:r>
    </w:p>
    <w:p w14:paraId="600B4E00" w14:textId="3AA52535"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Nottingham Trent University, Nottingham, UK</w:t>
      </w:r>
      <w:r w:rsidRPr="00D635E2">
        <w:rPr>
          <w:rFonts w:ascii="Times New Roman" w:hAnsi="Times New Roman" w:cs="Times New Roman"/>
          <w:sz w:val="24"/>
          <w:szCs w:val="24"/>
        </w:rPr>
        <w:t xml:space="preserve"> (M</w:t>
      </w:r>
      <w:r w:rsidR="00A52DA5" w:rsidRPr="00D635E2">
        <w:rPr>
          <w:rFonts w:ascii="Times New Roman" w:hAnsi="Times New Roman" w:cs="Times New Roman"/>
          <w:sz w:val="24"/>
          <w:szCs w:val="24"/>
        </w:rPr>
        <w:t xml:space="preserve"> </w:t>
      </w:r>
      <w:r w:rsidRPr="00D635E2">
        <w:rPr>
          <w:rFonts w:ascii="Times New Roman" w:hAnsi="Times New Roman" w:cs="Times New Roman"/>
          <w:sz w:val="24"/>
          <w:szCs w:val="24"/>
        </w:rPr>
        <w:t>K Belmonte PhD)</w:t>
      </w:r>
    </w:p>
    <w:p w14:paraId="2CBC48A4" w14:textId="77777777"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Sangath, Goa, India</w:t>
      </w:r>
      <w:r w:rsidRPr="00D635E2">
        <w:rPr>
          <w:rFonts w:ascii="Times New Roman" w:hAnsi="Times New Roman" w:cs="Times New Roman"/>
          <w:sz w:val="24"/>
          <w:szCs w:val="24"/>
        </w:rPr>
        <w:t xml:space="preserve"> (G Divan MRCPCH)</w:t>
      </w:r>
    </w:p>
    <w:p w14:paraId="4E3B91F8" w14:textId="77777777" w:rsidR="007848BF" w:rsidRPr="00D635E2" w:rsidRDefault="000F3045" w:rsidP="00D635E2">
      <w:pPr>
        <w:spacing w:after="160" w:line="240" w:lineRule="auto"/>
        <w:jc w:val="both"/>
        <w:outlineLvl w:val="0"/>
        <w:rPr>
          <w:rFonts w:ascii="Times New Roman" w:hAnsi="Times New Roman" w:cs="Times New Roman"/>
          <w:b/>
          <w:sz w:val="24"/>
          <w:szCs w:val="24"/>
        </w:rPr>
      </w:pPr>
      <w:r w:rsidRPr="00D635E2">
        <w:rPr>
          <w:rFonts w:ascii="Times New Roman" w:hAnsi="Times New Roman" w:cs="Times New Roman"/>
          <w:b/>
          <w:sz w:val="24"/>
          <w:szCs w:val="24"/>
        </w:rPr>
        <w:t xml:space="preserve">Centre for Brain and Cognitive Development, Birkbeck College, London UK </w:t>
      </w:r>
      <w:r w:rsidRPr="00D635E2">
        <w:rPr>
          <w:rFonts w:ascii="Times New Roman" w:hAnsi="Times New Roman" w:cs="Times New Roman"/>
          <w:sz w:val="24"/>
          <w:szCs w:val="24"/>
        </w:rPr>
        <w:t>(Prof M H Johnson PhD)</w:t>
      </w:r>
    </w:p>
    <w:p w14:paraId="5E5BC17E" w14:textId="77777777"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b/>
          <w:sz w:val="24"/>
          <w:szCs w:val="24"/>
        </w:rPr>
        <w:t xml:space="preserve">Departments of Psychiatry and Behavioral Sciences, Pediatrics, and Psychology and Neuroscience, Duke Center for Autism and Brain Development, Duke University, North Carolina, USA </w:t>
      </w:r>
      <w:r w:rsidRPr="00D635E2">
        <w:rPr>
          <w:rFonts w:ascii="Times New Roman" w:hAnsi="Times New Roman" w:cs="Times New Roman"/>
          <w:sz w:val="24"/>
          <w:szCs w:val="24"/>
        </w:rPr>
        <w:t>(Prof G Dawson PhD)</w:t>
      </w:r>
    </w:p>
    <w:p w14:paraId="011AD5EB" w14:textId="053DBE50" w:rsidR="007848BF" w:rsidRPr="00D635E2" w:rsidRDefault="000F3045" w:rsidP="00D635E2">
      <w:pPr>
        <w:spacing w:after="160" w:line="240" w:lineRule="auto"/>
        <w:jc w:val="both"/>
        <w:outlineLvl w:val="0"/>
        <w:rPr>
          <w:rFonts w:ascii="Times New Roman" w:hAnsi="Times New Roman" w:cs="Times New Roman"/>
          <w:b/>
          <w:sz w:val="24"/>
          <w:szCs w:val="24"/>
        </w:rPr>
      </w:pPr>
      <w:r w:rsidRPr="00D635E2">
        <w:rPr>
          <w:rFonts w:ascii="Times New Roman" w:hAnsi="Times New Roman" w:cs="Times New Roman"/>
          <w:b/>
          <w:sz w:val="24"/>
          <w:szCs w:val="24"/>
          <w:lang w:val="en-IN"/>
        </w:rPr>
        <w:t xml:space="preserve">Yale Child Study Center, Yale School of Medicine, </w:t>
      </w:r>
      <w:r w:rsidRPr="00D635E2">
        <w:rPr>
          <w:rFonts w:ascii="Times New Roman" w:hAnsi="Times New Roman" w:cs="Times New Roman"/>
          <w:b/>
          <w:sz w:val="24"/>
          <w:szCs w:val="24"/>
        </w:rPr>
        <w:t xml:space="preserve">New Haven, CT, USA </w:t>
      </w:r>
      <w:r w:rsidR="00EE0DF5" w:rsidRPr="00D635E2">
        <w:rPr>
          <w:rFonts w:ascii="Times New Roman" w:hAnsi="Times New Roman" w:cs="Times New Roman"/>
          <w:sz w:val="24"/>
          <w:szCs w:val="24"/>
        </w:rPr>
        <w:t>(</w:t>
      </w:r>
      <w:r w:rsidRPr="00D635E2">
        <w:rPr>
          <w:rFonts w:ascii="Times New Roman" w:hAnsi="Times New Roman" w:cs="Times New Roman"/>
          <w:sz w:val="24"/>
          <w:szCs w:val="24"/>
        </w:rPr>
        <w:t xml:space="preserve">J </w:t>
      </w:r>
      <w:r w:rsidR="00A52DA5" w:rsidRPr="00D635E2">
        <w:rPr>
          <w:rFonts w:ascii="Times New Roman" w:hAnsi="Times New Roman" w:cs="Times New Roman"/>
          <w:sz w:val="24"/>
          <w:szCs w:val="24"/>
        </w:rPr>
        <w:t xml:space="preserve">C </w:t>
      </w:r>
      <w:r w:rsidRPr="00D635E2">
        <w:rPr>
          <w:rFonts w:ascii="Times New Roman" w:hAnsi="Times New Roman" w:cs="Times New Roman"/>
          <w:sz w:val="24"/>
          <w:szCs w:val="24"/>
        </w:rPr>
        <w:t>McPartland</w:t>
      </w:r>
      <w:r w:rsidR="00EE0DF5" w:rsidRPr="00D635E2">
        <w:rPr>
          <w:rFonts w:ascii="Times New Roman" w:hAnsi="Times New Roman" w:cs="Times New Roman"/>
          <w:sz w:val="24"/>
          <w:szCs w:val="24"/>
        </w:rPr>
        <w:t xml:space="preserve"> PhD</w:t>
      </w:r>
      <w:r w:rsidRPr="00D635E2">
        <w:rPr>
          <w:rFonts w:ascii="Times New Roman" w:hAnsi="Times New Roman" w:cs="Times New Roman"/>
          <w:sz w:val="24"/>
          <w:szCs w:val="24"/>
        </w:rPr>
        <w:t>)</w:t>
      </w:r>
    </w:p>
    <w:p w14:paraId="7D8D555C" w14:textId="13892BD5"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sz w:val="24"/>
          <w:szCs w:val="24"/>
        </w:rPr>
        <w:t xml:space="preserve">* </w:t>
      </w:r>
      <w:r w:rsidR="00D37A14" w:rsidRPr="00D635E2">
        <w:rPr>
          <w:rFonts w:ascii="Times New Roman" w:hAnsi="Times New Roman" w:cs="Times New Roman"/>
          <w:sz w:val="24"/>
          <w:szCs w:val="24"/>
        </w:rPr>
        <w:t>Contributed equally</w:t>
      </w:r>
    </w:p>
    <w:p w14:paraId="3210A515" w14:textId="77777777" w:rsidR="007848BF" w:rsidRP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**Corresponding author</w:t>
      </w:r>
    </w:p>
    <w:p w14:paraId="218E9A1E" w14:textId="77777777" w:rsidR="00D458B3" w:rsidRPr="00D635E2" w:rsidRDefault="00D458B3" w:rsidP="00D635E2">
      <w:pPr>
        <w:suppressAutoHyphens w:val="0"/>
        <w:spacing w:after="160" w:line="240" w:lineRule="auto"/>
        <w:jc w:val="both"/>
        <w:rPr>
          <w:rFonts w:ascii="Times New Roman" w:hAnsi="Times New Roman" w:cs="Times New Roman"/>
          <w:sz w:val="24"/>
          <w:szCs w:val="24"/>
        </w:rPr>
      </w:pPr>
    </w:p>
    <w:p w14:paraId="36656CD0" w14:textId="77777777" w:rsidR="00D458B3" w:rsidRPr="00D635E2" w:rsidRDefault="00D458B3" w:rsidP="00A74F83">
      <w:pPr>
        <w:suppressAutoHyphens w:val="0"/>
        <w:spacing w:after="0" w:line="240" w:lineRule="auto"/>
        <w:jc w:val="both"/>
        <w:rPr>
          <w:rFonts w:ascii="Times New Roman" w:hAnsi="Times New Roman" w:cs="Times New Roman"/>
          <w:sz w:val="24"/>
          <w:szCs w:val="24"/>
        </w:rPr>
      </w:pPr>
      <w:r w:rsidRPr="00D635E2">
        <w:rPr>
          <w:rFonts w:ascii="Times New Roman" w:hAnsi="Times New Roman" w:cs="Times New Roman"/>
          <w:sz w:val="24"/>
          <w:szCs w:val="24"/>
        </w:rPr>
        <w:t xml:space="preserve">Correspondence to: </w:t>
      </w:r>
    </w:p>
    <w:p w14:paraId="366C0B9C" w14:textId="0A85F787" w:rsidR="00D458B3" w:rsidRPr="00D635E2" w:rsidRDefault="00D458B3" w:rsidP="00A74F83">
      <w:pPr>
        <w:suppressAutoHyphens w:val="0"/>
        <w:spacing w:after="0" w:line="240" w:lineRule="auto"/>
        <w:jc w:val="both"/>
        <w:rPr>
          <w:rFonts w:ascii="Times New Roman" w:hAnsi="Times New Roman" w:cs="Times New Roman"/>
          <w:sz w:val="24"/>
          <w:szCs w:val="24"/>
        </w:rPr>
      </w:pPr>
      <w:r w:rsidRPr="00D635E2">
        <w:rPr>
          <w:rFonts w:ascii="Times New Roman" w:hAnsi="Times New Roman" w:cs="Times New Roman"/>
          <w:sz w:val="24"/>
          <w:szCs w:val="24"/>
        </w:rPr>
        <w:t>Prof Vikram Patel</w:t>
      </w:r>
    </w:p>
    <w:p w14:paraId="76C43316" w14:textId="495B8422" w:rsidR="00D458B3" w:rsidRDefault="00B55805" w:rsidP="00A74F8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Health Foundation of India</w:t>
      </w:r>
    </w:p>
    <w:p w14:paraId="2C014FB4" w14:textId="3E1BEB43" w:rsidR="00B55805" w:rsidRDefault="00B55805" w:rsidP="00A74F8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Plot no 47, Sector 44</w:t>
      </w:r>
    </w:p>
    <w:p w14:paraId="49953C3F" w14:textId="7F408A3F" w:rsidR="00B55805" w:rsidRDefault="00B55805" w:rsidP="00A74F8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Gurgaon - 122002 </w:t>
      </w:r>
    </w:p>
    <w:p w14:paraId="0E1F2E85" w14:textId="108B7D0D" w:rsidR="00D458B3" w:rsidRPr="00D635E2" w:rsidRDefault="008F6649" w:rsidP="00A74F83">
      <w:pPr>
        <w:suppressAutoHyphens w:val="0"/>
        <w:spacing w:after="0" w:line="240" w:lineRule="auto"/>
        <w:jc w:val="both"/>
        <w:rPr>
          <w:rFonts w:ascii="Times New Roman" w:hAnsi="Times New Roman" w:cs="Times New Roman"/>
          <w:sz w:val="24"/>
          <w:szCs w:val="24"/>
        </w:rPr>
      </w:pPr>
      <w:hyperlink r:id="rId8" w:history="1">
        <w:r w:rsidR="00D458B3" w:rsidRPr="00D635E2">
          <w:rPr>
            <w:rStyle w:val="Hyperlink"/>
            <w:rFonts w:ascii="Times New Roman" w:hAnsi="Times New Roman" w:cs="Times New Roman"/>
            <w:sz w:val="24"/>
            <w:szCs w:val="24"/>
          </w:rPr>
          <w:t>vikram.patel@lshtm.ac.uk</w:t>
        </w:r>
      </w:hyperlink>
    </w:p>
    <w:p w14:paraId="009A59E6" w14:textId="77777777" w:rsidR="00A74F83" w:rsidRDefault="00D458B3" w:rsidP="00A74F83">
      <w:pPr>
        <w:suppressAutoHyphens w:val="0"/>
        <w:spacing w:after="0" w:line="240" w:lineRule="auto"/>
        <w:jc w:val="both"/>
        <w:rPr>
          <w:rFonts w:ascii="Times New Roman" w:hAnsi="Times New Roman" w:cs="Times New Roman"/>
          <w:sz w:val="24"/>
          <w:szCs w:val="24"/>
        </w:rPr>
      </w:pPr>
      <w:r w:rsidRPr="00D635E2">
        <w:rPr>
          <w:rFonts w:ascii="Times New Roman" w:hAnsi="Times New Roman" w:cs="Times New Roman"/>
          <w:sz w:val="24"/>
          <w:szCs w:val="24"/>
        </w:rPr>
        <w:t xml:space="preserve">+91 </w:t>
      </w:r>
      <w:r w:rsidR="001608BE" w:rsidRPr="00D635E2">
        <w:rPr>
          <w:rFonts w:ascii="Times New Roman" w:hAnsi="Times New Roman" w:cs="Times New Roman"/>
          <w:sz w:val="24"/>
          <w:szCs w:val="24"/>
        </w:rPr>
        <w:t>9822132038</w:t>
      </w:r>
    </w:p>
    <w:p w14:paraId="46BA7E73" w14:textId="77777777" w:rsidR="00A74F83" w:rsidRDefault="00A74F83" w:rsidP="00A74F83">
      <w:pPr>
        <w:suppressAutoHyphens w:val="0"/>
        <w:spacing w:after="0" w:line="240" w:lineRule="auto"/>
        <w:jc w:val="both"/>
        <w:rPr>
          <w:rFonts w:ascii="Times New Roman" w:hAnsi="Times New Roman" w:cs="Times New Roman"/>
          <w:sz w:val="24"/>
          <w:szCs w:val="24"/>
        </w:rPr>
      </w:pPr>
    </w:p>
    <w:p w14:paraId="57609DFD" w14:textId="3751152A" w:rsidR="00437623" w:rsidRPr="00D635E2" w:rsidRDefault="00A74F83" w:rsidP="00A74F8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Word count: 99</w:t>
      </w:r>
      <w:r w:rsidR="001F7268">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words</w:t>
      </w:r>
      <w:r w:rsidR="00437623" w:rsidRPr="00D635E2">
        <w:rPr>
          <w:rFonts w:ascii="Times New Roman" w:hAnsi="Times New Roman" w:cs="Times New Roman"/>
          <w:sz w:val="24"/>
          <w:szCs w:val="24"/>
        </w:rPr>
        <w:br w:type="page"/>
      </w:r>
    </w:p>
    <w:p w14:paraId="4177BAF4" w14:textId="6F6D6E53" w:rsid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lastRenderedPageBreak/>
        <w:t>A key challenge facing global mental health has been addressing the large ‘treatment gaps’ for neuropsychiatric disorders, to which large ‘detection gaps’ contribute significantly. The majority of these conditions are diagnosed either very late, or not at all.</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"10.1371/journal.pone.0116820", "ISBN" : "1932-6203 (Electronic)\\r1932-6203 (Linking)", "ISSN" : "1932-6203", "PMID" : "25658103", "abstract" : "BACKGROUND: The Global Burden of Disease Study 2010 (GBD 2010), estimated that a substantial proportion of the world's disease burden came from mental, neurological and substance use disorders. In this paper, we used GBD 2010 data to investigate time, year, region and age specific trends in burden due to mental, neurological and substance use disorders. METHOD: For each disorder, prevalence data were assembled from systematic literature reviews. DisMod-MR, a Bayesian meta-regression tool, was used to model prevalence by country, region, age, sex and year. Prevalence data were combined with disability weights derived from survey data to estimate years lived with disability (YLDs). Years lost to premature mortality (YLLs) were estimated by multiplying deaths occurring as a result of a given disorder by the reference standard life expectancy at the age death occurred. Disability-adjusted life years (DALYs) were computed as the sum of YLDs and YLLs. RESULTS: In 2010, mental, neurological and substance use disorders accounted for 10.4% of global DALYs, 2.3% of global YLLs and, 28.5% of global YLDs, making them the leading cause of YLDs. Mental disorders accounted for the largest proportion of DALYs (56.7%), followed by neurological disorders (28.6%) and substance use disorders (14.7%). DALYs peaked in early adulthood for mental and substance use disorders but were more consistent across age for neurological disorders. Females accounted for more DALYs in all mental and neurological disorders, except for mental disorders occurring in childhood, schizophrenia, substance use disorders, Parkinson's disease and epilepsy where males accounted for more DALYs. Overall DALYs were highest in Eastern Europe/Central Asia and lowest in East Asia/the Pacific. CONCLUSION: Mental, neurological and substance use disorders contribute to a significant proportion of disease burden. Health systems can respond by implementing established, cost effective interventions, or by supporting the research necessary to develop better prevention and treatment options.", "author" : [ { "dropping-particle" : "", "family" : "Whiteford", "given" : "H A", "non-dropping-particle" : "", "parse-names" : false, "suffix" : "" }, { "dropping-particle" : "", "family" : "Ferrari", "given" : "A J", "non-dropping-particle" : "", "parse-names" : false, "suffix" : "" }, { "dropping-particle" : "", "family" : "Degenhardt", "given" : "L", "non-dropping-particle" : "", "parse-names" : false, "suffix" : "" }, { "dropping-particle" : "", "family" : "Feigin", "given" : "V", "non-dropping-particle" : "", "parse-names" : false, "suffix" : "" }, { "dropping-particle" : "", "family" : "Vos", "given" : "T", "non-dropping-particle" : "", "parse-names" : false, "suffix" : "" } ], "container-title" : "PLoS ONE", "id" : "ITEM-1", "issue" : "2", "issued" : { "date-parts" : [ [ "2015" ] ] }, "page" : "e0116820", "title" : "The global burden of mental, neurological and substance use disorders: an analysis from the Global Burden of Disease Study 2010", "type" : "article-journal", "volume" : "10" }, "uris" : [ "http://www.mendeley.com/documents/?uuid=d98ccd34-ed85-4ecc-95d3-847c3117ff38" ] } ], "mendeley" : { "formattedCitation" : "&lt;sup&gt;1&lt;/sup&gt;", "plainTextFormattedCitation" : "1", "previouslyFormattedCitation" : "&lt;sup&gt;1&lt;/sup&gt;"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1" w:name="__Fieldmark__87787_2113572467"/>
      <w:r w:rsidR="00C35D04" w:rsidRPr="00C35D04">
        <w:rPr>
          <w:rFonts w:ascii="Times New Roman" w:hAnsi="Times New Roman" w:cs="Times New Roman"/>
          <w:noProof/>
          <w:sz w:val="24"/>
          <w:szCs w:val="24"/>
          <w:vertAlign w:val="superscript"/>
        </w:rPr>
        <w:t>1</w:t>
      </w:r>
      <w:r w:rsidRPr="00D635E2">
        <w:rPr>
          <w:rFonts w:ascii="Times New Roman" w:hAnsi="Times New Roman" w:cs="Times New Roman"/>
          <w:sz w:val="24"/>
          <w:szCs w:val="24"/>
        </w:rPr>
        <w:fldChar w:fldCharType="end"/>
      </w:r>
      <w:bookmarkEnd w:id="1"/>
      <w:r w:rsidRPr="00D635E2">
        <w:rPr>
          <w:rFonts w:ascii="Times New Roman" w:hAnsi="Times New Roman" w:cs="Times New Roman"/>
          <w:sz w:val="24"/>
          <w:szCs w:val="24"/>
        </w:rPr>
        <w:t xml:space="preserve"> Low- and middle-income countries (LMICs) in particular present three barriers: low help-seeking behavior, in part due to limited awareness and stigma associated with mental disorders; paucity of mental health professionals to conduct diagnostic</w:t>
      </w:r>
      <w:r w:rsidR="007D0059" w:rsidRPr="007D0059">
        <w:rPr>
          <w:rFonts w:ascii="Times New Roman" w:hAnsi="Times New Roman" w:cs="Times New Roman"/>
          <w:sz w:val="24"/>
          <w:szCs w:val="24"/>
        </w:rPr>
        <w:t xml:space="preserve"> </w:t>
      </w:r>
      <w:r w:rsidR="007D0059" w:rsidRPr="00D635E2">
        <w:rPr>
          <w:rFonts w:ascii="Times New Roman" w:hAnsi="Times New Roman" w:cs="Times New Roman"/>
          <w:sz w:val="24"/>
          <w:szCs w:val="24"/>
        </w:rPr>
        <w:t>assessments</w:t>
      </w:r>
      <w:r w:rsidRPr="00D635E2">
        <w:rPr>
          <w:rFonts w:ascii="Times New Roman" w:hAnsi="Times New Roman" w:cs="Times New Roman"/>
          <w:sz w:val="24"/>
          <w:szCs w:val="24"/>
        </w:rPr>
        <w:t xml:space="preserve">; and reliance on diagnostic </w:t>
      </w:r>
      <w:r w:rsidR="007D0059" w:rsidRPr="00D635E2">
        <w:rPr>
          <w:rFonts w:ascii="Times New Roman" w:hAnsi="Times New Roman" w:cs="Times New Roman"/>
          <w:sz w:val="24"/>
          <w:szCs w:val="24"/>
        </w:rPr>
        <w:t xml:space="preserve">interviews </w:t>
      </w:r>
      <w:r w:rsidRPr="00D635E2">
        <w:rPr>
          <w:rFonts w:ascii="Times New Roman" w:hAnsi="Times New Roman" w:cs="Times New Roman"/>
          <w:sz w:val="24"/>
          <w:szCs w:val="24"/>
        </w:rPr>
        <w:t>many of which are time-intensive or proprietary</w:t>
      </w:r>
      <w:r w:rsidR="002D0758">
        <w:rPr>
          <w:rFonts w:ascii="Times New Roman" w:hAnsi="Times New Roman" w:cs="Times New Roman"/>
          <w:sz w:val="24"/>
          <w:szCs w:val="24"/>
        </w:rPr>
        <w:t xml:space="preserve"> and may not be cross-culturally valid</w:t>
      </w:r>
      <w:r w:rsidRPr="00D635E2">
        <w:rPr>
          <w:rFonts w:ascii="Times New Roman" w:hAnsi="Times New Roman" w:cs="Times New Roman"/>
          <w:sz w:val="24"/>
          <w:szCs w:val="24"/>
        </w:rPr>
        <w:t>.</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"10.1002/aur.1575", "ISSN" : "1939-3806", "PMID" : "26437907", "abstract" : "Most research into the epidemiology, etiology, clinical manifestations, diagnosis and treatment of autism is based on studies in high income countries. Moreover, within high income countries, individuals of high socioeconomic status are disproportionately represented among participants in autism research. Corresponding disparities in access to autism screening, diagnosis, and treatment exist globally. One of the barriers perpetuating this imbalance is the high cost of proprietary tools for diagnosing autism and for delivering evidence-based therapies. Another barrier is the high cost of training of professionals and para-professionals to use the tools. Open-source and open access models provide a way to facilitate global collaboration and training. Using these models and technologies, the autism scientific community and clinicians worldwide should be able to work more effectively and efficiently than they have to date to address the global imbalance in autism knowledge and at the same time advance our understanding of autism and our ability to deliver cost-effective services to everyone in need.", "author" : [ { "dropping-particle" : "", "family" : "Durkin", "given" : "Maureen S", "non-dropping-particle" : "", "parse-names" : false, "suffix" : "" }, { "dropping-particle" : "", "family" : "Elsabbagh", "given" : "Mayada", "non-dropping-particle" : "", "parse-names" : false, "suffix" : "" }, { "dropping-particle" : "", "family" : "Barbaro", "given" : "Josephine", "non-dropping-particle" : "", "parse-names" : false, "suffix" : "" }, { "dropping-particle" : "", "family" : "Gladstone", "given" : "Melissa", "non-dropping-particle" : "", "parse-names" : false, "suffix" : "" }, { "dropping-particle" : "", "family" : "Happe", "given" : "Francesca", "non-dropping-particle" : "", "parse-names" : false, "suffix" : "" }, { "dropping-particle" : "", "family" : "Hoekstra", "given" : "Rosa A", "non-dropping-particle" : "", "parse-names" : false, "suffix" : "" }, { "dropping-particle" : "", "family" : "Lee", "given" : "Li-Ching", "non-dropping-particle" : "", "parse-names" : false, "suffix" : "" }, { "dropping-particle" : "", "family" : "Rattazzi", "given" : "Alexia", "non-dropping-particle" : "", "parse-names" : false, "suffix" : "" }, { "dropping-particle" : "", "family" : "Stapel-Wax", "given" : "Jennifer", "non-dropping-particle" : "", "parse-names" : false, "suffix" : "" }, { "dropping-particle" : "", "family" : "Stone", "given" : "Wendy L", "non-dropping-particle" : "", "parse-names" : false, "suffix" : "" }, { "dropping-particle" : "", "family" : "Tager-Flusberg", "given" : "Helen", "non-dropping-particle" : "", "parse-names" : false, "suffix" : "" }, { "dropping-particle" : "", "family" : "Thurm", "given" : "Audrey", "non-dropping-particle" : "", "parse-names" : false, "suffix" : "" }, { "dropping-particle" : "", "family" : "Tomlinson", "given" : "Mark", "non-dropping-particle" : "", "parse-names" : false, "suffix" : "" }, { "dropping-particle" : "", "family" : "Shih", "given" : "Andy", "non-dropping-particle" : "", "parse-names" : false, "suffix" : "" } ], "container-title" : "Autism research : official journal of the International Society for Autism Research", "id" : "ITEM-1", "issue" : "5", "issued" : { "date-parts" : [ [ "2015", "10" ] ] }, "page" : "473-6", "title" : "Autism screening and diagnosis in low resource settings: Challenges and opportunities to enhance research and services worldwide.", "type" : "article-journal", "volume" : "8" }, "uris" : [ "http://www.mendeley.com/documents/?uuid=7cd14652-86c9-4870-b201-9b3af3ba467c" ] } ], "mendeley" : { "formattedCitation" : "&lt;sup&gt;2&lt;/sup&gt;", "plainTextFormattedCitation" : "2", "previouslyFormattedCitation" : "&lt;sup&gt;2&lt;/sup&gt;"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2" w:name="__Fieldmark__87836_2113572467"/>
      <w:r w:rsidR="00C35D04" w:rsidRPr="00C35D04">
        <w:rPr>
          <w:rFonts w:ascii="Times New Roman" w:hAnsi="Times New Roman" w:cs="Times New Roman"/>
          <w:noProof/>
          <w:sz w:val="24"/>
          <w:szCs w:val="24"/>
          <w:vertAlign w:val="superscript"/>
        </w:rPr>
        <w:t>2</w:t>
      </w:r>
      <w:r w:rsidRPr="00D635E2">
        <w:rPr>
          <w:rFonts w:ascii="Times New Roman" w:hAnsi="Times New Roman" w:cs="Times New Roman"/>
          <w:sz w:val="24"/>
          <w:szCs w:val="24"/>
        </w:rPr>
        <w:fldChar w:fldCharType="end"/>
      </w:r>
      <w:bookmarkEnd w:id="2"/>
      <w:r w:rsidRPr="00D635E2">
        <w:rPr>
          <w:rFonts w:ascii="Times New Roman" w:hAnsi="Times New Roman" w:cs="Times New Roman"/>
          <w:sz w:val="24"/>
          <w:szCs w:val="24"/>
        </w:rPr>
        <w:t xml:space="preserve"> Identifying biomarkers that could aid early detection of mental disorders is a major goal for neuroscience research. </w:t>
      </w:r>
      <w:r w:rsidR="00815219" w:rsidRPr="00D635E2">
        <w:rPr>
          <w:rFonts w:ascii="Times New Roman" w:hAnsi="Times New Roman" w:cs="Times New Roman"/>
          <w:sz w:val="24"/>
          <w:szCs w:val="24"/>
        </w:rPr>
        <w:t xml:space="preserve">Biomarkers </w:t>
      </w:r>
      <w:r w:rsidR="002D0758">
        <w:rPr>
          <w:rFonts w:ascii="Times New Roman" w:hAnsi="Times New Roman" w:cs="Times New Roman"/>
          <w:sz w:val="24"/>
          <w:szCs w:val="24"/>
        </w:rPr>
        <w:t>may be</w:t>
      </w:r>
      <w:r w:rsidR="002D0758" w:rsidRPr="00D635E2">
        <w:rPr>
          <w:rFonts w:ascii="Times New Roman" w:hAnsi="Times New Roman" w:cs="Times New Roman"/>
          <w:sz w:val="24"/>
          <w:szCs w:val="24"/>
        </w:rPr>
        <w:t xml:space="preserve"> </w:t>
      </w:r>
      <w:r w:rsidR="00815219" w:rsidRPr="00D635E2">
        <w:rPr>
          <w:rFonts w:ascii="Times New Roman" w:hAnsi="Times New Roman" w:cs="Times New Roman"/>
          <w:sz w:val="24"/>
          <w:szCs w:val="24"/>
        </w:rPr>
        <w:t xml:space="preserve">defined as </w:t>
      </w:r>
      <w:r w:rsidR="00511B63">
        <w:rPr>
          <w:rFonts w:ascii="Times New Roman" w:hAnsi="Times New Roman" w:cs="Times New Roman"/>
          <w:sz w:val="24"/>
          <w:szCs w:val="24"/>
        </w:rPr>
        <w:t>“</w:t>
      </w:r>
      <w:r w:rsidR="00815219" w:rsidRPr="00D635E2">
        <w:rPr>
          <w:rFonts w:ascii="Times New Roman" w:hAnsi="Times New Roman" w:cs="Times New Roman"/>
          <w:sz w:val="24"/>
          <w:szCs w:val="24"/>
        </w:rPr>
        <w:t>any characteristic that is objectively measured and evaluated as an indicator of normal biological processes, pathogenic processes, or pharmacologic responses to a therapeutic intervention</w:t>
      </w:r>
      <w:r w:rsidR="00511B63">
        <w:rPr>
          <w:rFonts w:ascii="Times New Roman" w:hAnsi="Times New Roman" w:cs="Times New Roman"/>
          <w:sz w:val="24"/>
          <w:szCs w:val="24"/>
        </w:rPr>
        <w:t>”</w:t>
      </w:r>
      <w:r w:rsidR="00815219" w:rsidRPr="00D635E2">
        <w:rPr>
          <w:rFonts w:ascii="Times New Roman" w:hAnsi="Times New Roman" w:cs="Times New Roman"/>
          <w:sz w:val="24"/>
          <w:szCs w:val="24"/>
        </w:rPr>
        <w:t>.</w:t>
      </w:r>
      <w:r w:rsidR="00C35D04">
        <w:rPr>
          <w:rFonts w:ascii="Times New Roman" w:hAnsi="Times New Roman" w:cs="Times New Roman"/>
          <w:sz w:val="24"/>
          <w:szCs w:val="24"/>
        </w:rPr>
        <w:fldChar w:fldCharType="begin" w:fldLock="1"/>
      </w:r>
      <w:r w:rsidR="00244F36">
        <w:rPr>
          <w:rFonts w:ascii="Times New Roman" w:hAnsi="Times New Roman" w:cs="Times New Roman"/>
          <w:sz w:val="24"/>
          <w:szCs w:val="24"/>
        </w:rPr>
        <w:instrText>ADDIN CSL_CITATION { "citationItems" : [ { "id" : "ITEM-1", "itemData" : { "DOI" : "10.1067/mcp.2001.113989", "ISBN" : "0009-9236 (Print)\\n0009-9236 (Linking)", "ISSN" : "00099236", "PMID" : "11240971", "abstract" : "Technologies used in sequencing of the human genome are dramatically reshaping the research and development pathways for drugs, vaccines, and diagnostics. The growth in the number of molecular entities entering the drug development pipeline has accelerated as a consequence of powerful discovery and screening technologies such as combinatorial chemistry, mass spectrometry, high throughput screening, cell- and tissue-based DNA microarrays, and proteomic approaches.", "container-title" : "Clinical Pharmacology and Therapeutics", "id" : "ITEM-1", "issue" : "3", "issued" : { "date-parts" : [ [ "2001", "3" ] ] }, "page" : "89-95", "title" : "Biomarkers and surrogate endpoints: Preferred definitions and conceptual framework", "type" : "article", "volume" : "69" }, "uris" : [ "http://www.mendeley.com/documents/?uuid=2c6fca5a-a594-495f-8796-f588e05e5618" ] } ], "mendeley" : { "formattedCitation" : "&lt;sup&gt;3&lt;/sup&gt;", "plainTextFormattedCitation" : "3", "previouslyFormattedCitation" : "&lt;sup&gt;3&lt;/sup&gt;" }, "properties" : { "noteIndex" : 0 }, "schema" : "https://github.com/citation-style-language/schema/raw/master/csl-citation.json" }</w:instrText>
      </w:r>
      <w:r w:rsidR="00C35D04">
        <w:rPr>
          <w:rFonts w:ascii="Times New Roman" w:hAnsi="Times New Roman" w:cs="Times New Roman"/>
          <w:sz w:val="24"/>
          <w:szCs w:val="24"/>
        </w:rPr>
        <w:fldChar w:fldCharType="separate"/>
      </w:r>
      <w:r w:rsidR="00C35D04" w:rsidRPr="00C35D04">
        <w:rPr>
          <w:rFonts w:ascii="Times New Roman" w:hAnsi="Times New Roman" w:cs="Times New Roman"/>
          <w:noProof/>
          <w:sz w:val="24"/>
          <w:szCs w:val="24"/>
          <w:vertAlign w:val="superscript"/>
        </w:rPr>
        <w:t>3</w:t>
      </w:r>
      <w:r w:rsidR="00C35D04">
        <w:rPr>
          <w:rFonts w:ascii="Times New Roman" w:hAnsi="Times New Roman" w:cs="Times New Roman"/>
          <w:sz w:val="24"/>
          <w:szCs w:val="24"/>
        </w:rPr>
        <w:fldChar w:fldCharType="end"/>
      </w:r>
      <w:r w:rsidR="00815219" w:rsidRPr="00D635E2">
        <w:rPr>
          <w:rFonts w:ascii="Times New Roman" w:hAnsi="Times New Roman" w:cs="Times New Roman"/>
          <w:sz w:val="24"/>
          <w:szCs w:val="24"/>
        </w:rPr>
        <w:t xml:space="preserve"> </w:t>
      </w:r>
      <w:r w:rsidR="00131B0B" w:rsidRPr="00D635E2">
        <w:rPr>
          <w:rFonts w:ascii="Times New Roman" w:hAnsi="Times New Roman" w:cs="Times New Roman"/>
          <w:sz w:val="24"/>
          <w:szCs w:val="24"/>
        </w:rPr>
        <w:t xml:space="preserve">Identification and characterization of </w:t>
      </w:r>
      <w:r w:rsidR="00815219" w:rsidRPr="00D635E2">
        <w:rPr>
          <w:rFonts w:ascii="Times New Roman" w:hAnsi="Times New Roman" w:cs="Times New Roman"/>
          <w:sz w:val="24"/>
          <w:szCs w:val="24"/>
        </w:rPr>
        <w:t xml:space="preserve">biomarkers </w:t>
      </w:r>
      <w:r w:rsidRPr="00D635E2">
        <w:rPr>
          <w:rFonts w:ascii="Times New Roman" w:hAnsi="Times New Roman" w:cs="Times New Roman"/>
          <w:sz w:val="24"/>
          <w:szCs w:val="24"/>
        </w:rPr>
        <w:t>offers a tantalizing new translational opportunity to address detection gaps in LMIC</w:t>
      </w:r>
      <w:r w:rsidR="007D0059">
        <w:rPr>
          <w:rFonts w:ascii="Times New Roman" w:hAnsi="Times New Roman" w:cs="Times New Roman"/>
          <w:sz w:val="24"/>
          <w:szCs w:val="24"/>
        </w:rPr>
        <w:t>s</w:t>
      </w:r>
      <w:r w:rsidRPr="00D635E2">
        <w:rPr>
          <w:rFonts w:ascii="Times New Roman" w:hAnsi="Times New Roman" w:cs="Times New Roman"/>
          <w:sz w:val="24"/>
          <w:szCs w:val="24"/>
        </w:rPr>
        <w:t xml:space="preserve"> by enabling point-of-care detection by non-specialist health workers. We illustrate our proposal through the example of Autism Spectrum Disorders (ASD).</w:t>
      </w:r>
    </w:p>
    <w:p w14:paraId="114D59AA" w14:textId="18D3DFD3" w:rsid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 xml:space="preserve">The priority placed on early detection </w:t>
      </w:r>
      <w:r w:rsidR="002D0758">
        <w:rPr>
          <w:rFonts w:ascii="Times New Roman" w:hAnsi="Times New Roman" w:cs="Times New Roman"/>
          <w:sz w:val="24"/>
          <w:szCs w:val="24"/>
        </w:rPr>
        <w:t xml:space="preserve">of ASD </w:t>
      </w:r>
      <w:r w:rsidRPr="00D635E2">
        <w:rPr>
          <w:rFonts w:ascii="Times New Roman" w:hAnsi="Times New Roman" w:cs="Times New Roman"/>
          <w:sz w:val="24"/>
          <w:szCs w:val="24"/>
        </w:rPr>
        <w:t xml:space="preserve">has been </w:t>
      </w:r>
      <w:r w:rsidR="00815219" w:rsidRPr="00D635E2">
        <w:rPr>
          <w:rFonts w:ascii="Times New Roman" w:hAnsi="Times New Roman" w:cs="Times New Roman"/>
          <w:sz w:val="24"/>
          <w:szCs w:val="24"/>
        </w:rPr>
        <w:t>recognized</w:t>
      </w:r>
      <w:r w:rsidRPr="00D635E2">
        <w:rPr>
          <w:rFonts w:ascii="Times New Roman" w:hAnsi="Times New Roman" w:cs="Times New Roman"/>
          <w:sz w:val="24"/>
          <w:szCs w:val="24"/>
        </w:rPr>
        <w:t xml:space="preserve"> by high-income countries' (HIC</w:t>
      </w:r>
      <w:r w:rsidR="007D0059">
        <w:rPr>
          <w:rFonts w:ascii="Times New Roman" w:hAnsi="Times New Roman" w:cs="Times New Roman"/>
          <w:sz w:val="24"/>
          <w:szCs w:val="24"/>
        </w:rPr>
        <w:t>s</w:t>
      </w:r>
      <w:r w:rsidRPr="00D635E2">
        <w:rPr>
          <w:rFonts w:ascii="Times New Roman" w:hAnsi="Times New Roman" w:cs="Times New Roman"/>
          <w:sz w:val="24"/>
          <w:szCs w:val="24"/>
        </w:rPr>
        <w:t>) development of large consortia that integrate multidisciplinary expertise for biomarker discovery</w:t>
      </w:r>
      <w:r w:rsidR="005C3EE7" w:rsidRPr="00D635E2">
        <w:rPr>
          <w:rFonts w:ascii="Times New Roman" w:hAnsi="Times New Roman" w:cs="Times New Roman"/>
          <w:sz w:val="24"/>
          <w:szCs w:val="24"/>
        </w:rPr>
        <w:t>, such as the EU-AIMS (www.eu-aims.eu)</w:t>
      </w:r>
      <w:r w:rsidR="00815219" w:rsidRPr="00D635E2">
        <w:rPr>
          <w:rFonts w:ascii="Times New Roman" w:hAnsi="Times New Roman" w:cs="Times New Roman"/>
          <w:sz w:val="24"/>
          <w:szCs w:val="24"/>
        </w:rPr>
        <w:t xml:space="preserve"> and the ABC-CT (www.asdbiomarkers.org)</w:t>
      </w:r>
      <w:r w:rsidRPr="00D635E2">
        <w:rPr>
          <w:rFonts w:ascii="Times New Roman" w:hAnsi="Times New Roman" w:cs="Times New Roman"/>
          <w:sz w:val="24"/>
          <w:szCs w:val="24"/>
        </w:rPr>
        <w:t>. A variety of biomarkers, including genetic variations, proteomic and metabolic profiles, brain anatomy and function, and markers of cognitive and behavioral deficits offer promise in discriminating typically developing children from those with ASD.</w:t>
      </w:r>
      <w:r w:rsidRPr="00D635E2">
        <w:rPr>
          <w:rFonts w:ascii="Times New Roman" w:hAnsi="Times New Roman" w:cs="Times New Roman"/>
          <w:sz w:val="24"/>
          <w:szCs w:val="24"/>
          <w:highlight w:val="yellow"/>
        </w:rPr>
        <w:fldChar w:fldCharType="begin" w:fldLock="1"/>
      </w:r>
      <w:r w:rsidR="00C35D04">
        <w:rPr>
          <w:rFonts w:ascii="Times New Roman" w:hAnsi="Times New Roman" w:cs="Times New Roman"/>
          <w:sz w:val="24"/>
          <w:szCs w:val="24"/>
        </w:rPr>
        <w:instrText>ADDIN CSL_CITATION { "citationItems" : [ { "id" : "ITEM-1", "itemData" : { "DOI" : "10.1038/nrn3113", "ISSN" : "1471-0048", "PMID" : "21931335", "abstract" : "There is widespread hope that the discovery of valid biomarkers for autism will both reveal the causes of autism and enable earlier and more targeted methods for diagnosis and intervention. However, growing enthusiasm about recent advances in this area of autism research needs to be tempered by an awareness of the major scientific challenges and the important social and ethical concerns arising from the development of biomarkers and their clinical application. Collaborative approaches involving scientists and other stakeholders must combine the search for valid, clinically useful autism biomarkers with efforts to ensure that individuals with autism and their families are treated with respect and understanding.", "author" : [ { "dropping-particle" : "", "family" : "Walsh", "given" : "Pat", "non-dropping-particle" : "", "parse-names" : false, "suffix" : "" }, { "dropping-particle" : "", "family" : "Elsabbagh", "given" : "Mayada", "non-dropping-particle" : "", "parse-names" : false, "suffix" : "" }, { "dropping-particle" : "", "family" : "Bolton", "given" : "Patrick", "non-dropping-particle" : "", "parse-names" : false, "suffix" : "" }, { "dropping-particle" : "", "family" : "Singh", "given" : "Ilina", "non-dropping-particle" : "", "parse-names" : false, "suffix" : "" } ], "container-title" : "Nature reviews. Neuroscience", "id" : "ITEM-1", "issue" : "10", "issued" : { "date-parts" : [ [ "2011", "10" ] ] }, "page" : "603-12", "title" : "In search of biomarkers for autism: scientific, social and ethical challenges.", "type" : "article-journal", "volume" : "12" }, "uris" : [ "http://www.mendeley.com/documents/?uuid=ca036785-95d0-4ad0-b311-12b8bbb699bb" ] } ], "mendeley" : { "formattedCitation" : "&lt;sup&gt;4&lt;/sup&gt;", "plainTextFormattedCitation" : "4", "previouslyFormattedCitation" : "&lt;sup&gt;4&lt;/sup&gt;" }, "properties" : { "noteIndex" : 0 }, "schema" : "https://github.com/citation-style-language/schema/raw/master/csl-citation.json" }</w:instrText>
      </w:r>
      <w:r w:rsidRPr="00D635E2">
        <w:rPr>
          <w:rFonts w:ascii="Times New Roman" w:hAnsi="Times New Roman" w:cs="Times New Roman"/>
          <w:sz w:val="24"/>
          <w:szCs w:val="24"/>
          <w:highlight w:val="yellow"/>
        </w:rPr>
        <w:fldChar w:fldCharType="separate"/>
      </w:r>
      <w:bookmarkStart w:id="3" w:name="__Fieldmark__87897_2113572467"/>
      <w:r w:rsidR="00C35D04" w:rsidRPr="00C35D04">
        <w:rPr>
          <w:rFonts w:ascii="Times New Roman" w:hAnsi="Times New Roman" w:cs="Times New Roman"/>
          <w:noProof/>
          <w:sz w:val="24"/>
          <w:szCs w:val="24"/>
          <w:vertAlign w:val="superscript"/>
        </w:rPr>
        <w:t>4</w:t>
      </w:r>
      <w:r w:rsidRPr="00D635E2">
        <w:rPr>
          <w:rFonts w:ascii="Times New Roman" w:hAnsi="Times New Roman" w:cs="Times New Roman"/>
          <w:sz w:val="24"/>
          <w:szCs w:val="24"/>
          <w:highlight w:val="yellow"/>
        </w:rPr>
        <w:fldChar w:fldCharType="end"/>
      </w:r>
      <w:bookmarkEnd w:id="3"/>
      <w:r w:rsidRPr="00D635E2">
        <w:rPr>
          <w:rFonts w:ascii="Times New Roman" w:hAnsi="Times New Roman" w:cs="Times New Roman"/>
          <w:sz w:val="24"/>
          <w:szCs w:val="24"/>
        </w:rPr>
        <w:t xml:space="preserve"> For LMICs to benefit from such research, however, </w:t>
      </w:r>
      <w:r w:rsidR="00567EA1">
        <w:rPr>
          <w:rFonts w:ascii="Times New Roman" w:hAnsi="Times New Roman" w:cs="Times New Roman"/>
          <w:sz w:val="24"/>
          <w:szCs w:val="24"/>
        </w:rPr>
        <w:t>biomarker screening and detection methods</w:t>
      </w:r>
      <w:r w:rsidR="003D7285" w:rsidRPr="00D635E2">
        <w:rPr>
          <w:rFonts w:ascii="Times New Roman" w:hAnsi="Times New Roman" w:cs="Times New Roman"/>
          <w:sz w:val="24"/>
          <w:szCs w:val="24"/>
        </w:rPr>
        <w:t xml:space="preserve"> </w:t>
      </w:r>
      <w:r w:rsidRPr="00D635E2">
        <w:rPr>
          <w:rFonts w:ascii="Times New Roman" w:hAnsi="Times New Roman" w:cs="Times New Roman"/>
          <w:sz w:val="24"/>
          <w:szCs w:val="24"/>
        </w:rPr>
        <w:t xml:space="preserve">must be low-cost, scalable, acceptable </w:t>
      </w:r>
      <w:r w:rsidR="00EB4861" w:rsidRPr="00D635E2">
        <w:rPr>
          <w:rFonts w:ascii="Times New Roman" w:hAnsi="Times New Roman" w:cs="Times New Roman"/>
          <w:sz w:val="24"/>
          <w:szCs w:val="24"/>
        </w:rPr>
        <w:t xml:space="preserve">to the end user </w:t>
      </w:r>
      <w:r w:rsidRPr="00D635E2">
        <w:rPr>
          <w:rFonts w:ascii="Times New Roman" w:hAnsi="Times New Roman" w:cs="Times New Roman"/>
          <w:sz w:val="24"/>
          <w:szCs w:val="24"/>
        </w:rPr>
        <w:t xml:space="preserve">and feasible for use in community settings and for delivery by non-specialist frontline workers. Additionally, selected biomarkers must be highly sensitive and specific, being able to identify children with ASD during community-level screening, </w:t>
      </w:r>
      <w:r w:rsidR="001C3399" w:rsidRPr="00D635E2">
        <w:rPr>
          <w:rFonts w:ascii="Times New Roman" w:hAnsi="Times New Roman" w:cs="Times New Roman"/>
          <w:sz w:val="24"/>
          <w:szCs w:val="24"/>
        </w:rPr>
        <w:t xml:space="preserve">while </w:t>
      </w:r>
      <w:r w:rsidRPr="00D635E2">
        <w:rPr>
          <w:rFonts w:ascii="Times New Roman" w:hAnsi="Times New Roman" w:cs="Times New Roman"/>
          <w:sz w:val="24"/>
          <w:szCs w:val="24"/>
        </w:rPr>
        <w:t>limit</w:t>
      </w:r>
      <w:r w:rsidR="001C3399" w:rsidRPr="00D635E2">
        <w:rPr>
          <w:rFonts w:ascii="Times New Roman" w:hAnsi="Times New Roman" w:cs="Times New Roman"/>
          <w:sz w:val="24"/>
          <w:szCs w:val="24"/>
        </w:rPr>
        <w:t>ing</w:t>
      </w:r>
      <w:r w:rsidRPr="00D635E2">
        <w:rPr>
          <w:rFonts w:ascii="Times New Roman" w:hAnsi="Times New Roman" w:cs="Times New Roman"/>
          <w:sz w:val="24"/>
          <w:szCs w:val="24"/>
        </w:rPr>
        <w:t xml:space="preserve"> the number of false positives to avoid straining the limited health resources in LMICs</w:t>
      </w:r>
      <w:r w:rsidR="002D0758">
        <w:rPr>
          <w:rFonts w:ascii="Times New Roman" w:hAnsi="Times New Roman" w:cs="Times New Roman"/>
          <w:sz w:val="24"/>
          <w:szCs w:val="24"/>
        </w:rPr>
        <w:t xml:space="preserve"> and minimizing adverse social consequences to those who do not have this condition</w:t>
      </w:r>
      <w:r w:rsidRPr="00D635E2">
        <w:rPr>
          <w:rFonts w:ascii="Times New Roman" w:hAnsi="Times New Roman" w:cs="Times New Roman"/>
          <w:sz w:val="24"/>
          <w:szCs w:val="24"/>
        </w:rPr>
        <w:t>. Such ‘point-of-care’ detection tools would pave the way for targeted referral to specialists for confirmatory diagnostic assessments and early intervention programs.</w:t>
      </w:r>
    </w:p>
    <w:p w14:paraId="6D4C4972" w14:textId="23F051C6" w:rsidR="007848BF" w:rsidRP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Among direct child assessment measures, atypical eye gaze is one of the most promising biomarkers of ASD.</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"10.1016/j.neubiorev.2013.12.001", "ISSN" : "1873-7528", "PMID" : "24361967", "abstract" : "Autism Spectrum Disorders (ASDs) are neurodevelopmental disorders characterized by impairments in social interaction and communication, and the presence of restrictive and repetitive behaviors. Symptoms of ASD likely emerge from a complex interaction between pre-existing neurodevelopmental vulnerabilities and the child's environment, modified by compensatory skills and protective factors. Prospective studies of infants at high familial risk for ASD (who have an older sibling with a diagnosis) are beginning to characterize these developmental pathways to the emergence of clinical symptoms. Here, we review the range of behavioral and neurocognitive markers for later ASD that have been identified in high-risk infants in the first years of life. We discuss theoretical implications of emerging patterns, and identify key directions for future work, including potential resolutions to several methodological challenges for the field. Mapping how ASD unfolds from birth is critical to our understanding of the developmental mechanisms underlying this disorder. A more nuanced understanding of developmental pathways to ASD will help us not only to identify children who need early intervention, but also to improve the range of interventions available to them.", "author" : [ { "dropping-particle" : "", "family" : "Jones", "given" : "Emily J H", "non-dropping-particle" : "", "parse-names" : false, "suffix" : "" }, { "dropping-particle" : "", "family" : "Gliga", "given" : "Teodora", "non-dropping-particle" : "", "parse-names" : false, "suffix" : "" }, { "dropping-particle" : "", "family" : "Bedford", "given" : "Rachael", "non-dropping-particle" : "", "parse-names" : false, "suffix" : "" }, { "dropping-particle" : "", "family" : "Charman", "given" : "Tony", "non-dropping-particle" : "", "parse-names" : false, "suffix" : "" }, { "dropping-particle" : "", "family" : "Johnson", "given" : "Mark H", "non-dropping-particle" : "", "parse-names" : false, "suffix" : "" } ], "container-title" : "Neuroscience and biobehavioral reviews", "id" : "ITEM-1", "issued" : { "date-parts" : [ [ "2014", "2" ] ] }, "page" : "1-33", "title" : "Developmental pathways to autism: a review of prospective studies of infants at risk.", "type" : "article-journal", "volume" : "39" }, "uris" : [ "http://www.mendeley.com/documents/?uuid=8884bef2-0b55-400b-adde-197baddd1d3e" ] } ], "mendeley" : { "formattedCitation" : "&lt;sup&gt;5&lt;/sup&gt;", "plainTextFormattedCitation" : "5", "previouslyFormattedCitation" : "&lt;sup&gt;5&lt;/sup&gt;"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4" w:name="__Fieldmark__87962_2113572467"/>
      <w:r w:rsidR="00C35D04" w:rsidRPr="00C35D04">
        <w:rPr>
          <w:rFonts w:ascii="Times New Roman" w:hAnsi="Times New Roman" w:cs="Times New Roman"/>
          <w:noProof/>
          <w:sz w:val="24"/>
          <w:szCs w:val="24"/>
          <w:vertAlign w:val="superscript"/>
        </w:rPr>
        <w:t>5</w:t>
      </w:r>
      <w:r w:rsidRPr="00D635E2">
        <w:rPr>
          <w:rFonts w:ascii="Times New Roman" w:hAnsi="Times New Roman" w:cs="Times New Roman"/>
          <w:sz w:val="24"/>
          <w:szCs w:val="24"/>
        </w:rPr>
        <w:fldChar w:fldCharType="end"/>
      </w:r>
      <w:bookmarkEnd w:id="4"/>
      <w:r w:rsidRPr="00D635E2">
        <w:rPr>
          <w:rFonts w:ascii="Times New Roman" w:hAnsi="Times New Roman" w:cs="Times New Roman"/>
          <w:sz w:val="24"/>
          <w:szCs w:val="24"/>
        </w:rPr>
        <w:t xml:space="preserve"> Various measures of neural connectivity and specific neural functions are also associated with ASD.</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"10.1016/S1474-4422(15)00050-2", "ISSN" : "14744422", "PMID" : "25891007", "abstract" : "Over the past decade, in-vivo MRI studies have provided many invaluable insights into the neural substrates underlying autism spectrum disorder (ASD), which is now known to be associated with neurodevelopmental variations in brain anatomy, functioning, and connectivity. These systems-level features of ASD pathology seem to develop differentially across the human lifespan so that the cortical abnormalities that occur in children with ASD differ from those noted at other stages of life. Thus, investigation of the brain in ASD poses particular methodological challenges, which must be addressed to enable the comparison of results across studies. Novel analytical approaches are also being developed to facilitate the translation of findings from the research to the clinical setting. In the future, the insights provided by human neuroimaging studies could contribute to biomarker development for ASD and other neurodevelopmental disorders, and to new approaches to diagnosis and treatment.", "author" : [ { "dropping-particle" : "", "family" : "Ecker", "given" : "Christine", "non-dropping-particle" : "", "parse-names" : false, "suffix" : "" }, { "dropping-particle" : "", "family" : "Bookheimer", "given" : "Susan Y", "non-dropping-particle" : "", "parse-names" : false, "suffix" : "" }, { "dropping-particle" : "", "family" : "Murphy", "given" : "Declan G M", "non-dropping-particle" : "", "parse-names" : false, "suffix" : "" } ], "container-title" : "The Lancet Neurology", "id" : "ITEM-1", "issue" : "11", "issued" : { "date-parts" : [ [ "2015", "4" ] ] }, "page" : "1121-34", "title" : "Neuroimaging in autism spectrum disorder: brain structure and function across the lifespan", "type" : "article-journal", "volume" : "14" }, "uris" : [ "http://www.mendeley.com/documents/?uuid=22b573f1-0011-4f21-a6fa-82298487a7de" ] } ], "mendeley" : { "formattedCitation" : "&lt;sup&gt;6&lt;/sup&gt;", "plainTextFormattedCitation" : "6", "previouslyFormattedCitation" : "&lt;sup&gt;6&lt;/sup&gt;"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5" w:name="__Fieldmark__87977_2113572467"/>
      <w:r w:rsidR="00C35D04" w:rsidRPr="00C35D04">
        <w:rPr>
          <w:rFonts w:ascii="Times New Roman" w:hAnsi="Times New Roman" w:cs="Times New Roman"/>
          <w:noProof/>
          <w:sz w:val="24"/>
          <w:szCs w:val="24"/>
          <w:vertAlign w:val="superscript"/>
        </w:rPr>
        <w:t>6</w:t>
      </w:r>
      <w:r w:rsidRPr="00D635E2">
        <w:rPr>
          <w:rFonts w:ascii="Times New Roman" w:hAnsi="Times New Roman" w:cs="Times New Roman"/>
          <w:sz w:val="24"/>
          <w:szCs w:val="24"/>
        </w:rPr>
        <w:fldChar w:fldCharType="end"/>
      </w:r>
      <w:bookmarkEnd w:id="5"/>
      <w:r w:rsidRPr="00D635E2">
        <w:rPr>
          <w:rFonts w:ascii="Times New Roman" w:hAnsi="Times New Roman" w:cs="Times New Roman"/>
          <w:sz w:val="24"/>
          <w:szCs w:val="24"/>
        </w:rPr>
        <w:t xml:space="preserve"> Bearing scalability in mind, portable eye-tracking technology and electroencephalography currently have </w:t>
      </w:r>
      <w:r w:rsidR="005677C2" w:rsidRPr="00D635E2">
        <w:rPr>
          <w:rFonts w:ascii="Times New Roman" w:hAnsi="Times New Roman" w:cs="Times New Roman"/>
          <w:sz w:val="24"/>
          <w:szCs w:val="24"/>
        </w:rPr>
        <w:t xml:space="preserve">the </w:t>
      </w:r>
      <w:r w:rsidRPr="00D635E2">
        <w:rPr>
          <w:rFonts w:ascii="Times New Roman" w:hAnsi="Times New Roman" w:cs="Times New Roman"/>
          <w:sz w:val="24"/>
          <w:szCs w:val="24"/>
        </w:rPr>
        <w:t xml:space="preserve">most promise for ASD screening. These technologies are non-invasive, </w:t>
      </w:r>
      <w:r w:rsidR="005677C2" w:rsidRPr="00D635E2">
        <w:rPr>
          <w:rFonts w:ascii="Times New Roman" w:hAnsi="Times New Roman" w:cs="Times New Roman"/>
          <w:sz w:val="24"/>
          <w:szCs w:val="24"/>
        </w:rPr>
        <w:t xml:space="preserve">applicable </w:t>
      </w:r>
      <w:r w:rsidRPr="00D635E2">
        <w:rPr>
          <w:rFonts w:ascii="Times New Roman" w:hAnsi="Times New Roman" w:cs="Times New Roman"/>
          <w:sz w:val="24"/>
          <w:szCs w:val="24"/>
        </w:rPr>
        <w:t xml:space="preserve">from infancy to adulthood and can be </w:t>
      </w:r>
      <w:r w:rsidR="005677C2" w:rsidRPr="00D635E2">
        <w:rPr>
          <w:rFonts w:ascii="Times New Roman" w:hAnsi="Times New Roman" w:cs="Times New Roman"/>
          <w:sz w:val="24"/>
          <w:szCs w:val="24"/>
        </w:rPr>
        <w:t xml:space="preserve">acquired </w:t>
      </w:r>
      <w:r w:rsidRPr="00D635E2">
        <w:rPr>
          <w:rFonts w:ascii="Times New Roman" w:hAnsi="Times New Roman" w:cs="Times New Roman"/>
          <w:sz w:val="24"/>
          <w:szCs w:val="24"/>
        </w:rPr>
        <w:t>on commercially available</w:t>
      </w:r>
      <w:r w:rsidR="00380604" w:rsidRPr="00D635E2">
        <w:rPr>
          <w:rFonts w:ascii="Times New Roman" w:hAnsi="Times New Roman" w:cs="Times New Roman"/>
          <w:sz w:val="24"/>
          <w:szCs w:val="24"/>
        </w:rPr>
        <w:t>,</w:t>
      </w:r>
      <w:r w:rsidRPr="00D635E2">
        <w:rPr>
          <w:rFonts w:ascii="Times New Roman" w:hAnsi="Times New Roman" w:cs="Times New Roman"/>
          <w:sz w:val="24"/>
          <w:szCs w:val="24"/>
        </w:rPr>
        <w:t xml:space="preserve"> portable platforms. While near infrared spectroscopy shares some of these advantages, there is currently limited evidence available to inform on</w:t>
      </w:r>
      <w:r w:rsidRPr="00D635E2">
        <w:rPr>
          <w:rFonts w:ascii="Times New Roman" w:hAnsi="Times New Roman" w:cs="Times New Roman"/>
          <w:sz w:val="24"/>
          <w:szCs w:val="24"/>
          <w:lang w:val="en-IN"/>
        </w:rPr>
        <w:t xml:space="preserve"> </w:t>
      </w:r>
      <w:r w:rsidR="005677C2" w:rsidRPr="00D635E2">
        <w:rPr>
          <w:rFonts w:ascii="Times New Roman" w:hAnsi="Times New Roman" w:cs="Times New Roman"/>
          <w:sz w:val="24"/>
          <w:szCs w:val="24"/>
          <w:lang w:val="en-IN"/>
        </w:rPr>
        <w:t>its</w:t>
      </w:r>
      <w:r w:rsidRPr="00D635E2">
        <w:rPr>
          <w:rFonts w:ascii="Times New Roman" w:hAnsi="Times New Roman" w:cs="Times New Roman"/>
          <w:sz w:val="24"/>
          <w:szCs w:val="24"/>
          <w:lang w:val="en-IN"/>
        </w:rPr>
        <w:t xml:space="preserve"> potential for </w:t>
      </w:r>
      <w:r w:rsidRPr="00D635E2">
        <w:rPr>
          <w:rFonts w:ascii="Times New Roman" w:hAnsi="Times New Roman" w:cs="Times New Roman"/>
          <w:sz w:val="24"/>
          <w:szCs w:val="24"/>
        </w:rPr>
        <w:t xml:space="preserve">use in detection of ASD. LMICs can assess the potential of these promising biomarkers when evaluated on rapidly evolving portable hardware, in less controlled recording environments, administered by non-specialist </w:t>
      </w:r>
      <w:r w:rsidR="00F67274" w:rsidRPr="00D635E2">
        <w:rPr>
          <w:rFonts w:ascii="Times New Roman" w:hAnsi="Times New Roman" w:cs="Times New Roman"/>
          <w:sz w:val="24"/>
          <w:szCs w:val="24"/>
        </w:rPr>
        <w:t>community workers</w:t>
      </w:r>
      <w:r w:rsidRPr="00D635E2">
        <w:rPr>
          <w:rFonts w:ascii="Times New Roman" w:hAnsi="Times New Roman" w:cs="Times New Roman"/>
          <w:sz w:val="24"/>
          <w:szCs w:val="24"/>
        </w:rPr>
        <w:t>.</w:t>
      </w:r>
    </w:p>
    <w:p w14:paraId="1F0AD72B" w14:textId="5FA82395" w:rsid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Although</w:t>
      </w:r>
      <w:r w:rsidRPr="00D635E2">
        <w:rPr>
          <w:rFonts w:ascii="Times New Roman" w:hAnsi="Times New Roman" w:cs="Times New Roman"/>
          <w:b/>
          <w:sz w:val="24"/>
          <w:szCs w:val="24"/>
        </w:rPr>
        <w:t xml:space="preserve"> </w:t>
      </w:r>
      <w:r w:rsidRPr="00D635E2">
        <w:rPr>
          <w:rFonts w:ascii="Times New Roman" w:hAnsi="Times New Roman" w:cs="Times New Roman"/>
          <w:sz w:val="24"/>
          <w:szCs w:val="24"/>
        </w:rPr>
        <w:t>complex interactions between genetic vulnerability and environmental factors have long been viewed as being causal to ASD, apart from a few single-gene disorders, no common set of loci can reliably predict ASD.</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"10.1038/nrn3113", "ISSN" : "1471-0048", "PMID" : "21931335", "abstract" : "There is widespread hope that the discovery of valid biomarkers for autism will both reveal the causes of autism and enable earlier and more targeted methods for diagnosis and intervention. However, growing enthusiasm about recent advances in this area of autism research needs to be tempered by an awareness of the major scientific challenges and the important social and ethical concerns arising from the development of biomarkers and their clinical application. Collaborative approaches involving scientists and other stakeholders must combine the search for valid, clinically useful autism biomarkers with efforts to ensure that individuals with autism and their families are treated with respect and understanding.", "author" : [ { "dropping-particle" : "", "family" : "Walsh", "given" : "Pat", "non-dropping-particle" : "", "parse-names" : false, "suffix" : "" }, { "dropping-particle" : "", "family" : "Elsabbagh", "given" : "Mayada", "non-dropping-particle" : "", "parse-names" : false, "suffix" : "" }, { "dropping-particle" : "", "family" : "Bolton", "given" : "Patrick", "non-dropping-particle" : "", "parse-names" : false, "suffix" : "" }, { "dropping-particle" : "", "family" : "Singh", "given" : "Ilina", "non-dropping-particle" : "", "parse-names" : false, "suffix" : "" } ], "container-title" : "Nature reviews. Neuroscience", "id" : "ITEM-1", "issue" : "10", "issued" : { "date-parts" : [ [ "2011", "10" ] ] }, "page" : "603-12", "title" : "In search of biomarkers for autism: scientific, social and ethical challenges.", "type" : "article-journal", "volume" : "12" }, "uris" : [ "http://www.mendeley.com/documents/?uuid=ca036785-95d0-4ad0-b311-12b8bbb699bb" ] } ], "mendeley" : { "formattedCitation" : "&lt;sup&gt;4&lt;/sup&gt;", "plainTextFormattedCitation" : "4", "previouslyFormattedCitation" : "&lt;sup&gt;4&lt;/sup&gt;"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6" w:name="__Fieldmark__88070_2113572467"/>
      <w:r w:rsidR="00C35D04" w:rsidRPr="00C35D04">
        <w:rPr>
          <w:rFonts w:ascii="Times New Roman" w:hAnsi="Times New Roman" w:cs="Times New Roman"/>
          <w:noProof/>
          <w:sz w:val="24"/>
          <w:szCs w:val="24"/>
          <w:vertAlign w:val="superscript"/>
        </w:rPr>
        <w:t>4</w:t>
      </w:r>
      <w:r w:rsidRPr="00D635E2">
        <w:rPr>
          <w:rFonts w:ascii="Times New Roman" w:hAnsi="Times New Roman" w:cs="Times New Roman"/>
          <w:sz w:val="24"/>
          <w:szCs w:val="24"/>
        </w:rPr>
        <w:fldChar w:fldCharType="end"/>
      </w:r>
      <w:bookmarkEnd w:id="6"/>
      <w:r w:rsidRPr="00D635E2">
        <w:rPr>
          <w:rFonts w:ascii="Times New Roman" w:hAnsi="Times New Roman" w:cs="Times New Roman"/>
          <w:sz w:val="24"/>
          <w:szCs w:val="24"/>
        </w:rPr>
        <w:t xml:space="preserve"> The identification of biomarkers in peripheral blood, such as altered serotonin and glutamate and GABA levels,</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"10.3389/fpsyt.2014.00100", "ISSN" : "1664-0640", "PMID" : "25161627", "abstract" : "Autism spectrum disorders (ASDs) are complex, heterogeneous disorders caused by an interaction between genetic vulnerability and environmental factors. In an effort to better target the underlying roots of ASD for diagnosis and treatment, efforts to identify reliable biomarkers in genetics, neuroimaging, gene expression, and measures of the body's metabolism are growing. For this article, we review the published studies of potential biomarkers in autism and conclude that while there is increasing promise of finding biomarkers that can help us target treatment, there are none with enough evidence to support routine clinical use unless medical illness is suspected. Promising biomarkers include those for mitochondrial function, oxidative stress, and immune function. Genetic clusters are also suggesting the potential for useful biomarkers.", "author" : [ { "dropping-particle" : "", "family" : "Goldani", "given" : "Andre A S", "non-dropping-particle" : "", "parse-names" : false, "suffix" : "" }, { "dropping-particle" : "", "family" : "Downs", "given" : "Susan R", "non-dropping-particle" : "", "parse-names" : false, "suffix" : "" }, { "dropping-particle" : "", "family" : "Widjaja", "given" : "Felicia", "non-dropping-particle" : "", "parse-names" : false, "suffix" : "" }, { "dropping-particle" : "", "family" : "Lawton", "given" : "Brittany", "non-dropping-particle" : "", "parse-names" : false, "suffix" : "" }, { "dropping-particle" : "", "family" : "Hendren", "given" : "Robert L", "non-dropping-particle" : "", "parse-names" : false, "suffix" : "" } ], "container-title" : "Frontiers in psychiatry", "id" : "ITEM-1", "issued" : { "date-parts" : [ [ "2014", "1" ] ] }, "page" : "100", "title" : "Biomarkers in autism.", "type" : "article-journal", "volume" : "5" }, "uris" : [ "http://www.mendeley.com/documents/?uuid=c1500c7a-0191-48fe-897c-6ff16e4be82b" ] } ], "mendeley" : { "formattedCitation" : "&lt;sup&gt;7&lt;/sup&gt;", "plainTextFormattedCitation" : "7", "previouslyFormattedCitation" : "&lt;sup&gt;7&lt;/sup&gt;"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7" w:name="__Fieldmark__88086_2113572467"/>
      <w:r w:rsidR="00C35D04" w:rsidRPr="00C35D04">
        <w:rPr>
          <w:rFonts w:ascii="Times New Roman" w:hAnsi="Times New Roman" w:cs="Times New Roman"/>
          <w:noProof/>
          <w:sz w:val="24"/>
          <w:szCs w:val="24"/>
          <w:vertAlign w:val="superscript"/>
        </w:rPr>
        <w:t>7</w:t>
      </w:r>
      <w:r w:rsidRPr="00D635E2">
        <w:rPr>
          <w:rFonts w:ascii="Times New Roman" w:hAnsi="Times New Roman" w:cs="Times New Roman"/>
          <w:sz w:val="24"/>
          <w:szCs w:val="24"/>
        </w:rPr>
        <w:fldChar w:fldCharType="end"/>
      </w:r>
      <w:bookmarkEnd w:id="7"/>
      <w:r w:rsidRPr="00D635E2">
        <w:rPr>
          <w:rFonts w:ascii="Times New Roman" w:hAnsi="Times New Roman" w:cs="Times New Roman"/>
          <w:sz w:val="24"/>
          <w:szCs w:val="24"/>
        </w:rPr>
        <w:t xml:space="preserve"> </w:t>
      </w:r>
      <w:r w:rsidR="005C3EE7" w:rsidRPr="00D635E2">
        <w:rPr>
          <w:rFonts w:ascii="Times New Roman" w:hAnsi="Times New Roman" w:cs="Times New Roman"/>
          <w:sz w:val="24"/>
          <w:szCs w:val="24"/>
        </w:rPr>
        <w:t>c</w:t>
      </w:r>
      <w:r w:rsidRPr="00D635E2">
        <w:rPr>
          <w:rFonts w:ascii="Times New Roman" w:hAnsi="Times New Roman" w:cs="Times New Roman"/>
          <w:sz w:val="24"/>
          <w:szCs w:val="24"/>
        </w:rPr>
        <w:t xml:space="preserve">ould be particularly useful because the logistics of cold-chain transport of biomaterials to analytical laboratories have been established in most countries. Currently, the requirement of state-of-the-art, expensive, laboratory-based genomic and proteomic technologies to assess these biomarkers poses a limitation in LMICs; however, as with </w:t>
      </w:r>
      <w:r w:rsidRPr="00D635E2">
        <w:rPr>
          <w:rFonts w:ascii="Times New Roman" w:hAnsi="Times New Roman" w:cs="Times New Roman"/>
          <w:sz w:val="24"/>
          <w:szCs w:val="24"/>
        </w:rPr>
        <w:lastRenderedPageBreak/>
        <w:t xml:space="preserve">polymerase chain reaction technologies for the diagnosis of infectious diseases, there is a potential for investment in their adaptation for scalability if diagnostic properties prove to be robust. </w:t>
      </w:r>
    </w:p>
    <w:p w14:paraId="7AAD07F5" w14:textId="206C9FBE" w:rsid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Mobile health (mHealth) platforms have immense potential to address the multiple challenges illustrated above.</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"ISSN" : "1916-9736", "PMID" : "27157176", "abstract" : "The purpose of this review was to determine whether mHealth interventions were effective in low- and middle-income countries in order to create a baseline for the evidence to support mHealth in developing countries. Studies were identified by searching Medline on 02 October 2014 for articles published in the English language between January 2000 and September 2014. Inclusion criteria were: 1) written in English, 2) completion of an mHealth intervention in a low or middle-income country, 3) measurement of patient outcomes, and 4) participants 18 years of age or older. 7,920 titles were reviewed and 7 were determined eligible based on inclusion criteria. Interventions included a cluster randomized trial, mixed methods study, retrospective comparison of an opt-in text message program, a two-arm proof of concept, single arm trial, a randomized trial, and a single subject design. Five out of seven of the studies showed significant difference between the control and intervention. Currently there is little evidence on mHealth interventions in developing countries, and existing studies are very diverse; however initial studies show changes in clinical outcomes, adherence, and health communication, including improved communication with providers, decrease in travel time, ability to receive expert advice, changes in clinical outcomes, and new forms of cost-effective education. While this initial review is promising, more evidence is needed to support and direct system-level resource investment.", "author" : [ { "dropping-particle" : "", "family" : "Hurt", "given" : "Kathryn", "non-dropping-particle" : "", "parse-names" : false, "suffix" : "" }, { "dropping-particle" : "", "family" : "Walker", "given" : "Rebekah J", "non-dropping-particle" : "", "parse-names" : false, "suffix" : "" }, { "dropping-particle" : "", "family" : "Campbell", "given" : "Jennifer A", "non-dropping-particle" : "", "parse-names" : false, "suffix" : "" }, { "dropping-particle" : "", "family" : "Egede", "given" : "Leonard E", "non-dropping-particle" : "", "parse-names" : false, "suffix" : "" } ], "container-title" : "Global journal of health science", "id" : "ITEM-1", "issue" : "9", "issued" : { "date-parts" : [ [ "2016", "1" ] ] }, "page" : "54429", "title" : "mHealth Interventions in Low and Middle-Income Countries: A Systematic Review.", "type" : "article-journal", "volume" : "8" }, "uris" : [ "http://www.mendeley.com/documents/?uuid=eea6cab1-ac31-447b-aa4d-a790fbca4f1b" ] } ], "mendeley" : { "formattedCitation" : "&lt;sup&gt;8&lt;/sup&gt;", "plainTextFormattedCitation" : "8", "previouslyFormattedCitation" : "&lt;sup&gt;8&lt;/sup&gt;"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8" w:name="__Fieldmark__88138_2113572467"/>
      <w:r w:rsidR="00C35D04" w:rsidRPr="00C35D04">
        <w:rPr>
          <w:rFonts w:ascii="Times New Roman" w:hAnsi="Times New Roman" w:cs="Times New Roman"/>
          <w:noProof/>
          <w:sz w:val="24"/>
          <w:szCs w:val="24"/>
          <w:vertAlign w:val="superscript"/>
        </w:rPr>
        <w:t>8</w:t>
      </w:r>
      <w:r w:rsidRPr="00D635E2">
        <w:rPr>
          <w:rFonts w:ascii="Times New Roman" w:hAnsi="Times New Roman" w:cs="Times New Roman"/>
          <w:sz w:val="24"/>
          <w:szCs w:val="24"/>
        </w:rPr>
        <w:fldChar w:fldCharType="end"/>
      </w:r>
      <w:bookmarkEnd w:id="8"/>
      <w:r w:rsidRPr="00D635E2">
        <w:rPr>
          <w:rFonts w:ascii="Times New Roman" w:hAnsi="Times New Roman" w:cs="Times New Roman"/>
          <w:sz w:val="24"/>
          <w:szCs w:val="24"/>
        </w:rPr>
        <w:t xml:space="preserve"> In the context of ASD, while there are a number of tablet-based </w:t>
      </w:r>
      <w:r w:rsidRPr="00D635E2">
        <w:rPr>
          <w:rFonts w:ascii="Times New Roman" w:hAnsi="Times New Roman" w:cs="Times New Roman"/>
          <w:i/>
          <w:sz w:val="24"/>
          <w:szCs w:val="24"/>
        </w:rPr>
        <w:t>interventions</w:t>
      </w:r>
      <w:r w:rsidRPr="00D635E2">
        <w:rPr>
          <w:rFonts w:ascii="Times New Roman" w:hAnsi="Times New Roman" w:cs="Times New Roman"/>
          <w:sz w:val="24"/>
          <w:szCs w:val="24"/>
        </w:rPr>
        <w:t xml:space="preserve"> readily available,</w:t>
      </w:r>
      <w:r w:rsidRPr="00D635E2">
        <w:rPr>
          <w:rFonts w:ascii="Times New Roman" w:hAnsi="Times New Roman" w:cs="Times New Roman"/>
          <w:sz w:val="24"/>
          <w:szCs w:val="24"/>
        </w:rPr>
        <w:fldChar w:fldCharType="begin" w:fldLock="1"/>
      </w:r>
      <w:r w:rsidR="00C35D04">
        <w:rPr>
          <w:rFonts w:ascii="Times New Roman" w:hAnsi="Times New Roman" w:cs="Times New Roman"/>
          <w:sz w:val="24"/>
          <w:szCs w:val="24"/>
        </w:rPr>
        <w:instrText>ADDIN CSL_CITATION { "citationItems" : [ { "id" : "ITEM-1", "itemData" : { "DOI" : "10.1177/1362361313476767", "ISSN" : "1461-7005", "PMID" : "24092843", "abstract" : "This article reports the results of a meta-analysis of technology-based intervention studies for children with autism spectrum disorders. We conducted a systematic review of research that used a pre-post design to assess innovative technology interventions, including computer programs, virtual reality, and robotics. The selected studies provided interventions via a desktop computer, interactive DVD, shared active surface, and virtual reality. None employed robotics. The results provide evidence for the overall effectiveness of technology-based training. The overall mean effect size for posttests of controlled studies of children with autism spectrum disorders who received technology-based interventions was significantly different from zero and approached the medium magnitude, d = 0.47 (confidence interval: 0.08-0.86). The influence of age and IQ was not significant. Differences in training procedures are discussed in the light of the negative correlation that was found between the intervention durations and the studies' effect sizes. The results of this meta-analysis provide support for the continuing development, evaluation, and clinical usage of technology-based intervention for individuals with autism spectrum disorders.", "author" : [ { "dropping-particle" : "", "family" : "Grynszpan", "given" : "Ouriel", "non-dropping-particle" : "", "parse-names" : false, "suffix" : "" }, { "dropping-particle" : "", "family" : "Weiss", "given" : "Patrice L Tamar", "non-dropping-particle" : "", "parse-names" : false, "suffix" : "" }, { "dropping-particle" : "", "family" : "Perez-Diaz", "given" : "Fernando", "non-dropping-particle" : "", "parse-names" : false, "suffix" : "" }, { "dropping-particle" : "", "family" : "Gal", "given" : "Eynat", "non-dropping-particle" : "", "parse-names" : false, "suffix" : "" } ], "container-title" : "Autism : the international journal of research and practice", "id" : "ITEM-1", "issue" : "4", "issued" : { "date-parts" : [ [ "2014", "5" ] ] }, "page" : "346-61", "title" : "Innovative technology-based interventions for autism spectrum disorders: a meta-analysis.", "type" : "article-journal", "volume" : "18" }, "uris" : [ "http://www.mendeley.com/documents/?uuid=ea2dd2a2-2fe0-4411-afe1-df031209ff7d" ] } ], "mendeley" : { "formattedCitation" : "&lt;sup&gt;9&lt;/sup&gt;", "plainTextFormattedCitation" : "9", "previouslyFormattedCitation" : "&lt;sup&gt;9&lt;/sup&gt;"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9" w:name="__Fieldmark__88151_2113572467"/>
      <w:r w:rsidR="00C35D04" w:rsidRPr="00C35D04">
        <w:rPr>
          <w:rFonts w:ascii="Times New Roman" w:hAnsi="Times New Roman" w:cs="Times New Roman"/>
          <w:noProof/>
          <w:sz w:val="24"/>
          <w:szCs w:val="24"/>
          <w:vertAlign w:val="superscript"/>
        </w:rPr>
        <w:t>9</w:t>
      </w:r>
      <w:r w:rsidRPr="00D635E2">
        <w:rPr>
          <w:rFonts w:ascii="Times New Roman" w:hAnsi="Times New Roman" w:cs="Times New Roman"/>
          <w:sz w:val="24"/>
          <w:szCs w:val="24"/>
        </w:rPr>
        <w:fldChar w:fldCharType="end"/>
      </w:r>
      <w:bookmarkEnd w:id="9"/>
      <w:r w:rsidRPr="00D635E2">
        <w:rPr>
          <w:rFonts w:ascii="Times New Roman" w:hAnsi="Times New Roman" w:cs="Times New Roman"/>
          <w:sz w:val="24"/>
          <w:szCs w:val="24"/>
        </w:rPr>
        <w:t xml:space="preserve"> there are relatively few tablet-based </w:t>
      </w:r>
      <w:r w:rsidRPr="00D635E2">
        <w:rPr>
          <w:rFonts w:ascii="Times New Roman" w:hAnsi="Times New Roman" w:cs="Times New Roman"/>
          <w:i/>
          <w:sz w:val="24"/>
          <w:szCs w:val="24"/>
        </w:rPr>
        <w:t>detection</w:t>
      </w:r>
      <w:r w:rsidRPr="00D635E2">
        <w:rPr>
          <w:rFonts w:ascii="Times New Roman" w:hAnsi="Times New Roman" w:cs="Times New Roman"/>
          <w:sz w:val="24"/>
          <w:szCs w:val="24"/>
        </w:rPr>
        <w:t xml:space="preserve"> tools. For instance, screening questionnaires such as the Modified Checklist for Autism in Toddlers and the Social Communication Disorder Checklist, which are now being used routinely in some HICs, can readily be adapted onto mobile platforms from traditional paper-pencil methods, containing programmed algorithms for scoring. </w:t>
      </w:r>
      <w:r w:rsidR="005C3EE7" w:rsidRPr="00D635E2">
        <w:rPr>
          <w:rFonts w:ascii="Times New Roman" w:hAnsi="Times New Roman" w:cs="Times New Roman"/>
          <w:sz w:val="24"/>
          <w:szCs w:val="24"/>
        </w:rPr>
        <w:t xml:space="preserve">A first step to such mHealth adaptations is to ensure availability of culturally validated tools for screening and diagnosis in local languages. </w:t>
      </w:r>
      <w:r w:rsidRPr="00D635E2">
        <w:rPr>
          <w:rFonts w:ascii="Times New Roman" w:hAnsi="Times New Roman" w:cs="Times New Roman"/>
          <w:sz w:val="24"/>
          <w:szCs w:val="24"/>
        </w:rPr>
        <w:t>These could be supplemented by videos demonstrating typical and ASD behavioural biomarkers to assist parents in diverse cultural contexts to respond accurately to questions (http://asdetect.org/)</w:t>
      </w:r>
      <w:r w:rsidRPr="00D635E2">
        <w:rPr>
          <w:rStyle w:val="CommentReference"/>
          <w:rFonts w:ascii="Times New Roman" w:hAnsi="Times New Roman" w:cs="Times New Roman"/>
          <w:sz w:val="24"/>
          <w:szCs w:val="24"/>
        </w:rPr>
        <w:t>.</w:t>
      </w:r>
      <w:r w:rsidRPr="00D635E2">
        <w:rPr>
          <w:rFonts w:ascii="Times New Roman" w:hAnsi="Times New Roman" w:cs="Times New Roman"/>
          <w:sz w:val="24"/>
          <w:szCs w:val="24"/>
        </w:rPr>
        <w:t xml:space="preserve"> </w:t>
      </w:r>
      <w:r w:rsidRPr="00D635E2">
        <w:rPr>
          <w:rFonts w:ascii="Times New Roman" w:hAnsi="Times New Roman" w:cs="Times New Roman"/>
          <w:sz w:val="24"/>
          <w:szCs w:val="24"/>
          <w:lang w:val="en-IN"/>
        </w:rPr>
        <w:t>Mobile applications containing automatic</w:t>
      </w:r>
      <w:r w:rsidRPr="00D635E2">
        <w:rPr>
          <w:rFonts w:ascii="Times New Roman" w:hAnsi="Times New Roman" w:cs="Times New Roman"/>
          <w:sz w:val="24"/>
          <w:szCs w:val="24"/>
        </w:rPr>
        <w:t xml:space="preserve"> coding and analysis of video recordings of a child’s facial expressions are also being currently tested.</w:t>
      </w:r>
      <w:r w:rsidR="00244F36">
        <w:rPr>
          <w:rFonts w:ascii="Times New Roman" w:hAnsi="Times New Roman" w:cs="Times New Roman"/>
          <w:sz w:val="24"/>
          <w:szCs w:val="24"/>
        </w:rPr>
        <w:fldChar w:fldCharType="begin" w:fldLock="1"/>
      </w:r>
      <w:r w:rsidR="00392700">
        <w:rPr>
          <w:rFonts w:ascii="Times New Roman" w:hAnsi="Times New Roman" w:cs="Times New Roman"/>
          <w:sz w:val="24"/>
          <w:szCs w:val="24"/>
        </w:rPr>
        <w:instrText>ADDIN CSL_CITATION { "citationItems" : [ { "id" : "ITEM-1", "itemData" : { "author" : [ { "dropping-particle" : "", "family" : "Campbell K, Hashemi J, Espinosa S, Marsan S, Schaich Borg J, Harris A, Chang Z, Qiu Q, Tepper M, Calderbank R, Baker JP, Sapiro G, Egger H", "given" : "Dawson G", "non-dropping-particle" : "", "parse-names" : false, "suffix" : "" } ], "container-title" : "Presented in the International Society for Autism Research", "id" : "ITEM-1", "issued" : { "date-parts" : [ [ "2016" ] ] }, "publisher-place" : "Baltimore, MD", "title" : "Computer Vision Detects Delayed Social Orienting in Toddlers with Autism", "type" : "paper-conference" }, "uris" : [ "http://www.mendeley.com/documents/?uuid=bc5f2a98-2b66-4dfa-aba6-a85a5a964f13" ] } ], "mendeley" : { "formattedCitation" : "&lt;sup&gt;10&lt;/sup&gt;", "plainTextFormattedCitation" : "10", "previouslyFormattedCitation" : "&lt;sup&gt;10&lt;/sup&gt;" }, "properties" : { "noteIndex" : 0 }, "schema" : "https://github.com/citation-style-language/schema/raw/master/csl-citation.json" }</w:instrText>
      </w:r>
      <w:r w:rsidR="00244F36">
        <w:rPr>
          <w:rFonts w:ascii="Times New Roman" w:hAnsi="Times New Roman" w:cs="Times New Roman"/>
          <w:sz w:val="24"/>
          <w:szCs w:val="24"/>
        </w:rPr>
        <w:fldChar w:fldCharType="separate"/>
      </w:r>
      <w:r w:rsidR="00244F36" w:rsidRPr="00244F36">
        <w:rPr>
          <w:rFonts w:ascii="Times New Roman" w:hAnsi="Times New Roman" w:cs="Times New Roman"/>
          <w:noProof/>
          <w:sz w:val="24"/>
          <w:szCs w:val="24"/>
          <w:vertAlign w:val="superscript"/>
        </w:rPr>
        <w:t>10</w:t>
      </w:r>
      <w:r w:rsidR="00244F36">
        <w:rPr>
          <w:rFonts w:ascii="Times New Roman" w:hAnsi="Times New Roman" w:cs="Times New Roman"/>
          <w:sz w:val="24"/>
          <w:szCs w:val="24"/>
        </w:rPr>
        <w:fldChar w:fldCharType="end"/>
      </w:r>
      <w:r w:rsidRPr="00D635E2">
        <w:rPr>
          <w:rFonts w:ascii="Times New Roman" w:hAnsi="Times New Roman" w:cs="Times New Roman"/>
          <w:sz w:val="24"/>
          <w:szCs w:val="24"/>
        </w:rPr>
        <w:t xml:space="preserve"> Eye-tracking assessments could </w:t>
      </w:r>
      <w:r w:rsidR="007D0059">
        <w:rPr>
          <w:rFonts w:ascii="Times New Roman" w:hAnsi="Times New Roman" w:cs="Times New Roman"/>
          <w:sz w:val="24"/>
          <w:szCs w:val="24"/>
        </w:rPr>
        <w:t xml:space="preserve">also </w:t>
      </w:r>
      <w:r w:rsidRPr="00D635E2">
        <w:rPr>
          <w:rFonts w:ascii="Times New Roman" w:hAnsi="Times New Roman" w:cs="Times New Roman"/>
          <w:sz w:val="24"/>
          <w:szCs w:val="24"/>
        </w:rPr>
        <w:t>be fully integrated within such mHealth platforms.</w:t>
      </w:r>
    </w:p>
    <w:p w14:paraId="76540C52" w14:textId="5E0DA7F5" w:rsid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 xml:space="preserve">While ASD cannot yet be </w:t>
      </w:r>
      <w:r w:rsidR="006B646C">
        <w:rPr>
          <w:rFonts w:ascii="Times New Roman" w:hAnsi="Times New Roman" w:cs="Times New Roman"/>
          <w:sz w:val="24"/>
          <w:szCs w:val="24"/>
        </w:rPr>
        <w:t xml:space="preserve">definitively </w:t>
      </w:r>
      <w:r w:rsidRPr="00D635E2">
        <w:rPr>
          <w:rFonts w:ascii="Times New Roman" w:hAnsi="Times New Roman" w:cs="Times New Roman"/>
          <w:sz w:val="24"/>
          <w:szCs w:val="24"/>
        </w:rPr>
        <w:t xml:space="preserve">differentiated from typical development </w:t>
      </w:r>
      <w:r w:rsidR="006B646C">
        <w:rPr>
          <w:rFonts w:ascii="Times New Roman" w:hAnsi="Times New Roman" w:cs="Times New Roman"/>
          <w:sz w:val="24"/>
          <w:szCs w:val="24"/>
        </w:rPr>
        <w:t xml:space="preserve">in an individual </w:t>
      </w:r>
      <w:r w:rsidRPr="00D635E2">
        <w:rPr>
          <w:rFonts w:ascii="Times New Roman" w:hAnsi="Times New Roman" w:cs="Times New Roman"/>
          <w:sz w:val="24"/>
          <w:szCs w:val="24"/>
        </w:rPr>
        <w:t>on the basis of any single biomarker, mHealth platforms offer the potential of combining and triangulating information from assessment of multiple biomarkers. Bayesian statistical models can be used to estimate the probability of ‘caseness’ based on findings drawn from a combination of assessment methods to improve the accuracy of ASD risk prediction (Figure 1). In addition, the integration of big data analytics and machine learning algorithms during development of such a screening platform will allow refinement of screening algorithms through feedback of data on the actual diagnosis of the individual. Such data from large-scale population-based surveillance using an integrated mHealth platform may ultimately provide the evidence base for development of a point-of-care diagnostic tool for ASD.</w:t>
      </w:r>
    </w:p>
    <w:p w14:paraId="765D267A" w14:textId="2053F40D" w:rsidR="007848BF" w:rsidRPr="00D635E2" w:rsidRDefault="000F3045" w:rsidP="00D635E2">
      <w:pPr>
        <w:spacing w:after="160" w:line="240" w:lineRule="auto"/>
        <w:jc w:val="both"/>
        <w:rPr>
          <w:rFonts w:ascii="Times New Roman" w:hAnsi="Times New Roman" w:cs="Times New Roman"/>
          <w:sz w:val="24"/>
          <w:szCs w:val="24"/>
        </w:rPr>
      </w:pPr>
      <w:r w:rsidRPr="00D635E2">
        <w:rPr>
          <w:rFonts w:ascii="Times New Roman" w:hAnsi="Times New Roman" w:cs="Times New Roman"/>
          <w:sz w:val="24"/>
          <w:szCs w:val="24"/>
        </w:rPr>
        <w:t>Despite a growing body of evidence on ASD biomarkers, and similar research in other mental disorders, data on their application at the community level or in LMIC</w:t>
      </w:r>
      <w:r w:rsidR="007D0059">
        <w:rPr>
          <w:rFonts w:ascii="Times New Roman" w:hAnsi="Times New Roman" w:cs="Times New Roman"/>
          <w:sz w:val="24"/>
          <w:szCs w:val="24"/>
        </w:rPr>
        <w:t>s</w:t>
      </w:r>
      <w:r w:rsidRPr="00D635E2">
        <w:rPr>
          <w:rFonts w:ascii="Times New Roman" w:hAnsi="Times New Roman" w:cs="Times New Roman"/>
          <w:sz w:val="24"/>
          <w:szCs w:val="24"/>
        </w:rPr>
        <w:t xml:space="preserve"> are limited. In parallel, technologies need to evolve to fulfil the criteria of scalability and demonstrate potential for use in natural, uncontrolled settings. Such advances also would benefit low-resource settings within HIC</w:t>
      </w:r>
      <w:r w:rsidR="007D0059">
        <w:rPr>
          <w:rFonts w:ascii="Times New Roman" w:hAnsi="Times New Roman" w:cs="Times New Roman"/>
          <w:sz w:val="24"/>
          <w:szCs w:val="24"/>
        </w:rPr>
        <w:t>s</w:t>
      </w:r>
      <w:r w:rsidRPr="00D635E2">
        <w:rPr>
          <w:rFonts w:ascii="Times New Roman" w:hAnsi="Times New Roman" w:cs="Times New Roman"/>
          <w:sz w:val="24"/>
          <w:szCs w:val="24"/>
        </w:rPr>
        <w:t xml:space="preserve">. Further, the </w:t>
      </w:r>
      <w:r w:rsidRPr="00D635E2">
        <w:rPr>
          <w:rFonts w:ascii="Times New Roman" w:hAnsi="Times New Roman" w:cs="Times New Roman"/>
          <w:sz w:val="24"/>
          <w:szCs w:val="24"/>
          <w:lang w:val="en-IN"/>
        </w:rPr>
        <w:t xml:space="preserve">expansion of research initiatives to LMIC populations would allow evaluation of </w:t>
      </w:r>
      <w:r w:rsidRPr="00D635E2">
        <w:rPr>
          <w:rFonts w:ascii="Times New Roman" w:hAnsi="Times New Roman" w:cs="Times New Roman"/>
          <w:sz w:val="24"/>
          <w:szCs w:val="24"/>
        </w:rPr>
        <w:t>biomarkers at global scales, incorporating diverse genetic and socio-cultural milieu. This is an opportune time for neuroscientists, clinicians, public health researchers and engineers to establish collaborative networks to design innovative solutions for detection of mental disorders and to usher in a new era for global mental health.</w:t>
      </w:r>
      <w:r w:rsidRPr="00D635E2">
        <w:rPr>
          <w:rFonts w:ascii="Times New Roman" w:hAnsi="Times New Roman" w:cs="Times New Roman"/>
          <w:sz w:val="24"/>
          <w:szCs w:val="24"/>
        </w:rPr>
        <w:fldChar w:fldCharType="begin" w:fldLock="1"/>
      </w:r>
      <w:r w:rsidR="005879B3">
        <w:rPr>
          <w:rFonts w:ascii="Times New Roman" w:hAnsi="Times New Roman" w:cs="Times New Roman"/>
          <w:sz w:val="24"/>
          <w:szCs w:val="24"/>
        </w:rPr>
        <w:instrText>ADDIN CSL_CITATION { "citationItems" : [ { "id" : "ITEM-1", "itemData" : { "DOI" : "10.1016/S2215-0366(15)00014-0", "ISSN" : "2215-0374", "PMID" : "26359754", "abstract" : "Global mental health has emerged as an important specialty. It has drawn attention to the burden of mental illness and to the relative gap in mental health research and services around the world. Global mental health has raised the question of whether this gap is a developmental issue, a health issue, a human rights issue, or a combination of these issues-and it has raised awareness of the need to develop new approaches for building capacity, mobilising resources, and closing the research and treatment gap. Translational neuroscience has also advanced. It comprises an important conceptual approach to understanding the neurocircuitry and molecular basis of mental disorders, to rethinking how best to undertake research on the aetiology, assessment, and treatment of these disorders, with the ultimate aim to develop entirely new approaches to prevention and intervention. Some apparent contrasts exist between these fields; global mental health emphasises knowledge translation, moving away from the bedside to a focus on health systems, whereas translational neuroscience emphasises molecular neuroscience, focusing on transitions between the bench and bedside. Meanwhile, important opportunities exist for synergy between the two paradigms, to ensure that present opportunities in mental health research and services are maximised. Here, we review the approaches of global mental health and clinical neuroscience to diagnosis, pathogenesis, and intervention, and make recommendations for facilitating an integration of these two perspectives.", "author" : [ { "dropping-particle" : "", "family" : "Stein", "given" : "Dan J", "non-dropping-particle" : "", "parse-names" : false, "suffix" : "" }, { "dropping-particle" : "", "family" : "He", "given" : "Yanling", "non-dropping-particle" : "", "parse-names" : false, "suffix" : "" }, { "dropping-particle" : "", "family" : "Phillips", "given" : "Anthony", "non-dropping-particle" : "", "parse-names" : false, "suffix" : "" }, { "dropping-particle" : "", "family" : "Sahakian", "given" : "Barbara J", "non-dropping-particle" : "", "parse-names" : false, "suffix" : "" }, { "dropping-particle" : "", "family" : "Williams", "given" : "John", "non-dropping-particle" : "", "parse-names" : false, "suffix" : "" }, { "dropping-particle" : "", "family" : "Patel", "given" : "Vikram", "non-dropping-particle" : "", "parse-names" : false, "suffix" : "" } ], "container-title" : "The lancet. Psychiatry", "id" : "ITEM-1", "issue" : "2", "issued" : { "date-parts" : [ [ "2015", "2", "1" ] ] }, "language" : "English", "page" : "178-85", "publisher" : "Elsevier", "title" : "Global mental health and neuroscience: potential synergies.", "type" : "article-journal", "volume" : "2" }, "uris" : [ "http://www.mendeley.com/documents/?uuid=6fddf15c-faa9-4cc7-87ff-380679110f6c" ] } ], "mendeley" : { "formattedCitation" : "&lt;sup&gt;11&lt;/sup&gt;", "plainTextFormattedCitation" : "11", "previouslyFormattedCitation" : "&lt;sup&gt;11&lt;/sup&gt;" }, "properties" : { "noteIndex" : 0 }, "schema" : "https://github.com/citation-style-language/schema/raw/master/csl-citation.json" }</w:instrText>
      </w:r>
      <w:r w:rsidRPr="00D635E2">
        <w:rPr>
          <w:rFonts w:ascii="Times New Roman" w:hAnsi="Times New Roman" w:cs="Times New Roman"/>
          <w:sz w:val="24"/>
          <w:szCs w:val="24"/>
        </w:rPr>
        <w:fldChar w:fldCharType="separate"/>
      </w:r>
      <w:bookmarkStart w:id="10" w:name="__Fieldmark__88282_2113572467"/>
      <w:r w:rsidR="00244F36" w:rsidRPr="00244F36">
        <w:rPr>
          <w:rFonts w:ascii="Times New Roman" w:hAnsi="Times New Roman" w:cs="Times New Roman"/>
          <w:noProof/>
          <w:sz w:val="24"/>
          <w:szCs w:val="24"/>
          <w:vertAlign w:val="superscript"/>
        </w:rPr>
        <w:t>11</w:t>
      </w:r>
      <w:r w:rsidRPr="00D635E2">
        <w:rPr>
          <w:rFonts w:ascii="Times New Roman" w:hAnsi="Times New Roman" w:cs="Times New Roman"/>
          <w:sz w:val="24"/>
          <w:szCs w:val="24"/>
        </w:rPr>
        <w:fldChar w:fldCharType="end"/>
      </w:r>
      <w:bookmarkEnd w:id="10"/>
      <w:r w:rsidRPr="00D635E2">
        <w:rPr>
          <w:rFonts w:ascii="Times New Roman" w:hAnsi="Times New Roman" w:cs="Times New Roman"/>
          <w:sz w:val="24"/>
          <w:szCs w:val="24"/>
        </w:rPr>
        <w:t xml:space="preserve"> </w:t>
      </w:r>
    </w:p>
    <w:p w14:paraId="5E4E0D3F" w14:textId="5F9215B6" w:rsidR="00A34E62" w:rsidRPr="00D635E2" w:rsidRDefault="000251E6" w:rsidP="00D635E2">
      <w:pPr>
        <w:spacing w:after="16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Declaration </w:t>
      </w:r>
      <w:r w:rsidR="00A34E62" w:rsidRPr="00D635E2">
        <w:rPr>
          <w:rFonts w:ascii="Times New Roman" w:hAnsi="Times New Roman" w:cs="Times New Roman"/>
          <w:sz w:val="24"/>
          <w:szCs w:val="24"/>
        </w:rPr>
        <w:t>of interest</w:t>
      </w:r>
      <w:r>
        <w:rPr>
          <w:rFonts w:ascii="Times New Roman" w:hAnsi="Times New Roman" w:cs="Times New Roman"/>
          <w:sz w:val="24"/>
          <w:szCs w:val="24"/>
        </w:rPr>
        <w:t>s</w:t>
      </w:r>
      <w:r w:rsidR="00A34E62" w:rsidRPr="00D635E2">
        <w:rPr>
          <w:rFonts w:ascii="Times New Roman" w:hAnsi="Times New Roman" w:cs="Times New Roman"/>
          <w:sz w:val="24"/>
          <w:szCs w:val="24"/>
        </w:rPr>
        <w:t>: The authors report no conflicting interests</w:t>
      </w:r>
    </w:p>
    <w:p w14:paraId="7547567B" w14:textId="77777777" w:rsidR="00A34E62" w:rsidRPr="00D635E2" w:rsidRDefault="00A34E62" w:rsidP="00D635E2">
      <w:pPr>
        <w:spacing w:after="160" w:line="240" w:lineRule="auto"/>
        <w:jc w:val="both"/>
        <w:outlineLvl w:val="0"/>
        <w:rPr>
          <w:rFonts w:ascii="Times New Roman" w:hAnsi="Times New Roman" w:cs="Times New Roman"/>
          <w:sz w:val="24"/>
          <w:szCs w:val="24"/>
        </w:rPr>
      </w:pPr>
    </w:p>
    <w:p w14:paraId="6E9A1E76" w14:textId="735F0B24" w:rsidR="007848BF" w:rsidRPr="00D635E2" w:rsidRDefault="000F3045" w:rsidP="00D635E2">
      <w:pPr>
        <w:spacing w:after="160" w:line="240" w:lineRule="auto"/>
        <w:jc w:val="both"/>
        <w:outlineLvl w:val="0"/>
        <w:rPr>
          <w:rFonts w:ascii="Times New Roman" w:hAnsi="Times New Roman" w:cs="Times New Roman"/>
          <w:sz w:val="24"/>
          <w:szCs w:val="24"/>
        </w:rPr>
      </w:pPr>
      <w:r w:rsidRPr="00D635E2">
        <w:rPr>
          <w:rFonts w:ascii="Times New Roman" w:hAnsi="Times New Roman" w:cs="Times New Roman"/>
          <w:sz w:val="24"/>
          <w:szCs w:val="24"/>
        </w:rPr>
        <w:br w:type="page"/>
      </w:r>
    </w:p>
    <w:p w14:paraId="0495E272" w14:textId="6AB28B62" w:rsidR="007848BF" w:rsidRPr="00D635E2" w:rsidRDefault="000F3045" w:rsidP="00D635E2">
      <w:pPr>
        <w:spacing w:after="160" w:line="240" w:lineRule="auto"/>
        <w:jc w:val="both"/>
        <w:rPr>
          <w:rFonts w:ascii="Times New Roman" w:hAnsi="Times New Roman" w:cs="Times New Roman"/>
          <w:b/>
          <w:sz w:val="24"/>
          <w:szCs w:val="24"/>
        </w:rPr>
      </w:pPr>
      <w:r w:rsidRPr="00D635E2">
        <w:rPr>
          <w:rFonts w:ascii="Times New Roman" w:hAnsi="Times New Roman" w:cs="Times New Roman"/>
          <w:b/>
          <w:sz w:val="24"/>
          <w:szCs w:val="24"/>
        </w:rPr>
        <w:lastRenderedPageBreak/>
        <w:t>Figure Legend</w:t>
      </w:r>
    </w:p>
    <w:p w14:paraId="051CDB7A" w14:textId="77777777" w:rsidR="007848BF" w:rsidRPr="00D635E2" w:rsidRDefault="000F3045" w:rsidP="00D635E2">
      <w:pPr>
        <w:spacing w:after="160" w:line="240" w:lineRule="auto"/>
        <w:jc w:val="both"/>
        <w:rPr>
          <w:rFonts w:ascii="Times New Roman" w:hAnsi="Times New Roman" w:cs="Times New Roman"/>
          <w:b/>
          <w:bCs/>
          <w:sz w:val="24"/>
          <w:szCs w:val="24"/>
          <w:lang w:val="en-IN"/>
        </w:rPr>
      </w:pPr>
      <w:r w:rsidRPr="00D635E2">
        <w:rPr>
          <w:rFonts w:ascii="Times New Roman" w:hAnsi="Times New Roman" w:cs="Times New Roman"/>
          <w:b/>
          <w:bCs/>
          <w:sz w:val="24"/>
          <w:szCs w:val="24"/>
          <w:lang w:val="en-IN"/>
        </w:rPr>
        <w:t>Figure 1: Development of point-of-care ASD detection/diagnostic tool</w:t>
      </w:r>
    </w:p>
    <w:p w14:paraId="43E612B7" w14:textId="0AEAAC11" w:rsidR="007848BF" w:rsidRPr="00D635E2" w:rsidRDefault="000F3045" w:rsidP="00D635E2">
      <w:pPr>
        <w:pStyle w:val="ListParagraph"/>
        <w:numPr>
          <w:ilvl w:val="0"/>
          <w:numId w:val="1"/>
        </w:numPr>
        <w:spacing w:after="160" w:line="240" w:lineRule="auto"/>
        <w:jc w:val="both"/>
        <w:rPr>
          <w:rFonts w:ascii="Times New Roman" w:hAnsi="Times New Roman" w:cs="Times New Roman"/>
          <w:sz w:val="24"/>
          <w:szCs w:val="24"/>
        </w:rPr>
      </w:pPr>
      <w:r w:rsidRPr="00D635E2">
        <w:rPr>
          <w:rFonts w:ascii="Times New Roman" w:hAnsi="Times New Roman" w:cs="Times New Roman"/>
          <w:bCs/>
          <w:sz w:val="24"/>
          <w:szCs w:val="24"/>
          <w:lang w:val="en-IN"/>
        </w:rPr>
        <w:t>Promising biomarkers, assessed using scalable technologies, can be integrated onto a mobile screening platform. Probabilistic modelling can identify thresholds for each biomarker individually and in combination to detect ASD.</w:t>
      </w:r>
    </w:p>
    <w:p w14:paraId="6C68C5FA" w14:textId="12E347CE" w:rsidR="007848BF" w:rsidRPr="00D635E2" w:rsidRDefault="000F3045" w:rsidP="00D635E2">
      <w:pPr>
        <w:pStyle w:val="ListParagraph"/>
        <w:numPr>
          <w:ilvl w:val="0"/>
          <w:numId w:val="1"/>
        </w:numPr>
        <w:spacing w:after="160" w:line="240" w:lineRule="auto"/>
        <w:jc w:val="both"/>
        <w:rPr>
          <w:rFonts w:ascii="Times New Roman" w:hAnsi="Times New Roman" w:cs="Times New Roman"/>
          <w:sz w:val="24"/>
          <w:szCs w:val="24"/>
        </w:rPr>
      </w:pPr>
      <w:r w:rsidRPr="00D635E2">
        <w:rPr>
          <w:rFonts w:ascii="Times New Roman" w:hAnsi="Times New Roman" w:cs="Times New Roman"/>
          <w:bCs/>
          <w:sz w:val="24"/>
          <w:szCs w:val="24"/>
          <w:lang w:val="en-IN"/>
        </w:rPr>
        <w:t>Using scalable technologies, validation of the ‘biomarker package’ in large-scale population studies will allow machine learning algorithms to refine biomarker thresholds for a point-of-care diagnostic/detection tool for ASD.</w:t>
      </w:r>
    </w:p>
    <w:p w14:paraId="48771BE1" w14:textId="77777777" w:rsidR="00E5074E" w:rsidRPr="00D635E2" w:rsidRDefault="00E5074E" w:rsidP="00D635E2">
      <w:pPr>
        <w:spacing w:after="160" w:line="240" w:lineRule="auto"/>
        <w:jc w:val="both"/>
        <w:rPr>
          <w:rFonts w:ascii="Times New Roman" w:hAnsi="Times New Roman" w:cs="Times New Roman"/>
          <w:bCs/>
          <w:sz w:val="24"/>
          <w:szCs w:val="24"/>
          <w:lang w:val="en-IN"/>
        </w:rPr>
      </w:pPr>
    </w:p>
    <w:p w14:paraId="1B6C2139" w14:textId="38DE649B" w:rsidR="007848BF" w:rsidRDefault="000F3045" w:rsidP="00D635E2">
      <w:pPr>
        <w:spacing w:after="160" w:line="240" w:lineRule="auto"/>
        <w:jc w:val="both"/>
        <w:rPr>
          <w:rFonts w:ascii="Times New Roman" w:hAnsi="Times New Roman" w:cs="Times New Roman"/>
          <w:b/>
          <w:bCs/>
          <w:sz w:val="24"/>
          <w:szCs w:val="24"/>
          <w:lang w:val="en-IN"/>
        </w:rPr>
      </w:pPr>
      <w:r w:rsidRPr="00D635E2">
        <w:rPr>
          <w:rFonts w:ascii="Times New Roman" w:hAnsi="Times New Roman" w:cs="Times New Roman"/>
          <w:b/>
          <w:bCs/>
          <w:sz w:val="24"/>
          <w:szCs w:val="24"/>
          <w:lang w:val="en-IN"/>
        </w:rPr>
        <w:t>References:</w:t>
      </w:r>
    </w:p>
    <w:p w14:paraId="7DC3CAF0" w14:textId="7FDC61BC" w:rsidR="00392700" w:rsidRPr="00392700" w:rsidRDefault="00C35D04"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Pr>
          <w:rFonts w:ascii="Times New Roman" w:hAnsi="Times New Roman" w:cs="Times New Roman"/>
          <w:b/>
          <w:bCs/>
          <w:sz w:val="24"/>
          <w:szCs w:val="24"/>
          <w:lang w:val="en-IN"/>
        </w:rPr>
        <w:fldChar w:fldCharType="begin" w:fldLock="1"/>
      </w:r>
      <w:r>
        <w:rPr>
          <w:rFonts w:ascii="Times New Roman" w:hAnsi="Times New Roman" w:cs="Times New Roman"/>
          <w:b/>
          <w:bCs/>
          <w:sz w:val="24"/>
          <w:szCs w:val="24"/>
          <w:lang w:val="en-IN"/>
        </w:rPr>
        <w:instrText xml:space="preserve">ADDIN Mendeley Bibliography CSL_BIBLIOGRAPHY </w:instrText>
      </w:r>
      <w:r>
        <w:rPr>
          <w:rFonts w:ascii="Times New Roman" w:hAnsi="Times New Roman" w:cs="Times New Roman"/>
          <w:b/>
          <w:bCs/>
          <w:sz w:val="24"/>
          <w:szCs w:val="24"/>
          <w:lang w:val="en-IN"/>
        </w:rPr>
        <w:fldChar w:fldCharType="separate"/>
      </w:r>
      <w:r w:rsidR="00392700" w:rsidRPr="00392700">
        <w:rPr>
          <w:rFonts w:ascii="Times New Roman" w:hAnsi="Times New Roman" w:cs="Times New Roman"/>
          <w:noProof/>
          <w:sz w:val="24"/>
          <w:szCs w:val="24"/>
        </w:rPr>
        <w:t>1</w:t>
      </w:r>
      <w:r w:rsidR="00392700" w:rsidRPr="00392700">
        <w:rPr>
          <w:rFonts w:ascii="Times New Roman" w:hAnsi="Times New Roman" w:cs="Times New Roman"/>
          <w:noProof/>
          <w:sz w:val="24"/>
          <w:szCs w:val="24"/>
        </w:rPr>
        <w:tab/>
        <w:t xml:space="preserve">Whiteford HA, Ferrari AJ, Degenhardt L, Feigin V, Vos T. The global burden of mental, neurological and substance use disorders: an analysis from the Global Burden of Disease Study 2010. </w:t>
      </w:r>
      <w:r w:rsidR="00392700" w:rsidRPr="00392700">
        <w:rPr>
          <w:rFonts w:ascii="Times New Roman" w:hAnsi="Times New Roman" w:cs="Times New Roman"/>
          <w:i/>
          <w:iCs/>
          <w:noProof/>
          <w:sz w:val="24"/>
          <w:szCs w:val="24"/>
        </w:rPr>
        <w:t>PLoS One</w:t>
      </w:r>
      <w:r w:rsidR="00392700" w:rsidRPr="00392700">
        <w:rPr>
          <w:rFonts w:ascii="Times New Roman" w:hAnsi="Times New Roman" w:cs="Times New Roman"/>
          <w:noProof/>
          <w:sz w:val="24"/>
          <w:szCs w:val="24"/>
        </w:rPr>
        <w:t xml:space="preserve"> 2015; </w:t>
      </w:r>
      <w:r w:rsidR="00392700" w:rsidRPr="00392700">
        <w:rPr>
          <w:rFonts w:ascii="Times New Roman" w:hAnsi="Times New Roman" w:cs="Times New Roman"/>
          <w:b/>
          <w:bCs/>
          <w:noProof/>
          <w:sz w:val="24"/>
          <w:szCs w:val="24"/>
        </w:rPr>
        <w:t>10</w:t>
      </w:r>
      <w:r w:rsidR="00392700" w:rsidRPr="00392700">
        <w:rPr>
          <w:rFonts w:ascii="Times New Roman" w:hAnsi="Times New Roman" w:cs="Times New Roman"/>
          <w:noProof/>
          <w:sz w:val="24"/>
          <w:szCs w:val="24"/>
        </w:rPr>
        <w:t>: e0116820.</w:t>
      </w:r>
    </w:p>
    <w:p w14:paraId="5B4D62E8"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2</w:t>
      </w:r>
      <w:r w:rsidRPr="00392700">
        <w:rPr>
          <w:rFonts w:ascii="Times New Roman" w:hAnsi="Times New Roman" w:cs="Times New Roman"/>
          <w:noProof/>
          <w:sz w:val="24"/>
          <w:szCs w:val="24"/>
        </w:rPr>
        <w:tab/>
        <w:t xml:space="preserve">Durkin MS, Elsabbagh M, Barbaro J, </w:t>
      </w:r>
      <w:r w:rsidRPr="00392700">
        <w:rPr>
          <w:rFonts w:ascii="Times New Roman" w:hAnsi="Times New Roman" w:cs="Times New Roman"/>
          <w:i/>
          <w:iCs/>
          <w:noProof/>
          <w:sz w:val="24"/>
          <w:szCs w:val="24"/>
        </w:rPr>
        <w:t>et al.</w:t>
      </w:r>
      <w:r w:rsidRPr="00392700">
        <w:rPr>
          <w:rFonts w:ascii="Times New Roman" w:hAnsi="Times New Roman" w:cs="Times New Roman"/>
          <w:noProof/>
          <w:sz w:val="24"/>
          <w:szCs w:val="24"/>
        </w:rPr>
        <w:t xml:space="preserve"> Autism screening and diagnosis in low resource settings: Challenges and opportunities to enhance research and services worldwide. </w:t>
      </w:r>
      <w:r w:rsidRPr="00392700">
        <w:rPr>
          <w:rFonts w:ascii="Times New Roman" w:hAnsi="Times New Roman" w:cs="Times New Roman"/>
          <w:i/>
          <w:iCs/>
          <w:noProof/>
          <w:sz w:val="24"/>
          <w:szCs w:val="24"/>
        </w:rPr>
        <w:t>Autism Res</w:t>
      </w:r>
      <w:r w:rsidRPr="00392700">
        <w:rPr>
          <w:rFonts w:ascii="Times New Roman" w:hAnsi="Times New Roman" w:cs="Times New Roman"/>
          <w:noProof/>
          <w:sz w:val="24"/>
          <w:szCs w:val="24"/>
        </w:rPr>
        <w:t xml:space="preserve"> 2015; </w:t>
      </w:r>
      <w:r w:rsidRPr="00392700">
        <w:rPr>
          <w:rFonts w:ascii="Times New Roman" w:hAnsi="Times New Roman" w:cs="Times New Roman"/>
          <w:b/>
          <w:bCs/>
          <w:noProof/>
          <w:sz w:val="24"/>
          <w:szCs w:val="24"/>
        </w:rPr>
        <w:t>8</w:t>
      </w:r>
      <w:r w:rsidRPr="00392700">
        <w:rPr>
          <w:rFonts w:ascii="Times New Roman" w:hAnsi="Times New Roman" w:cs="Times New Roman"/>
          <w:noProof/>
          <w:sz w:val="24"/>
          <w:szCs w:val="24"/>
        </w:rPr>
        <w:t>: 473–6.</w:t>
      </w:r>
    </w:p>
    <w:p w14:paraId="42D832BA"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3</w:t>
      </w:r>
      <w:r w:rsidRPr="00392700">
        <w:rPr>
          <w:rFonts w:ascii="Times New Roman" w:hAnsi="Times New Roman" w:cs="Times New Roman"/>
          <w:noProof/>
          <w:sz w:val="24"/>
          <w:szCs w:val="24"/>
        </w:rPr>
        <w:tab/>
        <w:t xml:space="preserve">Biomarkers and surrogate endpoints: Preferred definitions and conceptual framework. Clin. Pharmacol. Ther. 2001; </w:t>
      </w:r>
      <w:r w:rsidRPr="00392700">
        <w:rPr>
          <w:rFonts w:ascii="Times New Roman" w:hAnsi="Times New Roman" w:cs="Times New Roman"/>
          <w:b/>
          <w:bCs/>
          <w:noProof/>
          <w:sz w:val="24"/>
          <w:szCs w:val="24"/>
        </w:rPr>
        <w:t>69</w:t>
      </w:r>
      <w:r w:rsidRPr="00392700">
        <w:rPr>
          <w:rFonts w:ascii="Times New Roman" w:hAnsi="Times New Roman" w:cs="Times New Roman"/>
          <w:noProof/>
          <w:sz w:val="24"/>
          <w:szCs w:val="24"/>
        </w:rPr>
        <w:t>: 89–95.</w:t>
      </w:r>
    </w:p>
    <w:p w14:paraId="7B1ED83E"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4</w:t>
      </w:r>
      <w:r w:rsidRPr="00392700">
        <w:rPr>
          <w:rFonts w:ascii="Times New Roman" w:hAnsi="Times New Roman" w:cs="Times New Roman"/>
          <w:noProof/>
          <w:sz w:val="24"/>
          <w:szCs w:val="24"/>
        </w:rPr>
        <w:tab/>
        <w:t xml:space="preserve">Walsh P, Elsabbagh M, Bolton P, Singh I. In search of biomarkers for autism: scientific, social and ethical challenges. </w:t>
      </w:r>
      <w:r w:rsidRPr="00392700">
        <w:rPr>
          <w:rFonts w:ascii="Times New Roman" w:hAnsi="Times New Roman" w:cs="Times New Roman"/>
          <w:i/>
          <w:iCs/>
          <w:noProof/>
          <w:sz w:val="24"/>
          <w:szCs w:val="24"/>
        </w:rPr>
        <w:t>Nat Rev Neurosci</w:t>
      </w:r>
      <w:r w:rsidRPr="00392700">
        <w:rPr>
          <w:rFonts w:ascii="Times New Roman" w:hAnsi="Times New Roman" w:cs="Times New Roman"/>
          <w:noProof/>
          <w:sz w:val="24"/>
          <w:szCs w:val="24"/>
        </w:rPr>
        <w:t xml:space="preserve"> 2011; </w:t>
      </w:r>
      <w:r w:rsidRPr="00392700">
        <w:rPr>
          <w:rFonts w:ascii="Times New Roman" w:hAnsi="Times New Roman" w:cs="Times New Roman"/>
          <w:b/>
          <w:bCs/>
          <w:noProof/>
          <w:sz w:val="24"/>
          <w:szCs w:val="24"/>
        </w:rPr>
        <w:t>12</w:t>
      </w:r>
      <w:r w:rsidRPr="00392700">
        <w:rPr>
          <w:rFonts w:ascii="Times New Roman" w:hAnsi="Times New Roman" w:cs="Times New Roman"/>
          <w:noProof/>
          <w:sz w:val="24"/>
          <w:szCs w:val="24"/>
        </w:rPr>
        <w:t>: 603–12.</w:t>
      </w:r>
    </w:p>
    <w:p w14:paraId="695AB815"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5</w:t>
      </w:r>
      <w:r w:rsidRPr="00392700">
        <w:rPr>
          <w:rFonts w:ascii="Times New Roman" w:hAnsi="Times New Roman" w:cs="Times New Roman"/>
          <w:noProof/>
          <w:sz w:val="24"/>
          <w:szCs w:val="24"/>
        </w:rPr>
        <w:tab/>
        <w:t xml:space="preserve">Jones EJH, Gliga T, Bedford R, Charman T, Johnson MH. Developmental pathways to autism: a review of prospective studies of infants at risk. </w:t>
      </w:r>
      <w:r w:rsidRPr="00392700">
        <w:rPr>
          <w:rFonts w:ascii="Times New Roman" w:hAnsi="Times New Roman" w:cs="Times New Roman"/>
          <w:i/>
          <w:iCs/>
          <w:noProof/>
          <w:sz w:val="24"/>
          <w:szCs w:val="24"/>
        </w:rPr>
        <w:t>Neurosci Biobehav Rev</w:t>
      </w:r>
      <w:r w:rsidRPr="00392700">
        <w:rPr>
          <w:rFonts w:ascii="Times New Roman" w:hAnsi="Times New Roman" w:cs="Times New Roman"/>
          <w:noProof/>
          <w:sz w:val="24"/>
          <w:szCs w:val="24"/>
        </w:rPr>
        <w:t xml:space="preserve"> 2014; </w:t>
      </w:r>
      <w:r w:rsidRPr="00392700">
        <w:rPr>
          <w:rFonts w:ascii="Times New Roman" w:hAnsi="Times New Roman" w:cs="Times New Roman"/>
          <w:b/>
          <w:bCs/>
          <w:noProof/>
          <w:sz w:val="24"/>
          <w:szCs w:val="24"/>
        </w:rPr>
        <w:t>39</w:t>
      </w:r>
      <w:r w:rsidRPr="00392700">
        <w:rPr>
          <w:rFonts w:ascii="Times New Roman" w:hAnsi="Times New Roman" w:cs="Times New Roman"/>
          <w:noProof/>
          <w:sz w:val="24"/>
          <w:szCs w:val="24"/>
        </w:rPr>
        <w:t>: 1–33.</w:t>
      </w:r>
    </w:p>
    <w:p w14:paraId="5854FDAE"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6</w:t>
      </w:r>
      <w:r w:rsidRPr="00392700">
        <w:rPr>
          <w:rFonts w:ascii="Times New Roman" w:hAnsi="Times New Roman" w:cs="Times New Roman"/>
          <w:noProof/>
          <w:sz w:val="24"/>
          <w:szCs w:val="24"/>
        </w:rPr>
        <w:tab/>
        <w:t xml:space="preserve">Ecker C, Bookheimer SY, Murphy DGM. Neuroimaging in autism spectrum disorder: brain structure and function across the lifespan. </w:t>
      </w:r>
      <w:r w:rsidRPr="00392700">
        <w:rPr>
          <w:rFonts w:ascii="Times New Roman" w:hAnsi="Times New Roman" w:cs="Times New Roman"/>
          <w:i/>
          <w:iCs/>
          <w:noProof/>
          <w:sz w:val="24"/>
          <w:szCs w:val="24"/>
        </w:rPr>
        <w:t>Lancet Neurol</w:t>
      </w:r>
      <w:r w:rsidRPr="00392700">
        <w:rPr>
          <w:rFonts w:ascii="Times New Roman" w:hAnsi="Times New Roman" w:cs="Times New Roman"/>
          <w:noProof/>
          <w:sz w:val="24"/>
          <w:szCs w:val="24"/>
        </w:rPr>
        <w:t xml:space="preserve"> 2015; </w:t>
      </w:r>
      <w:r w:rsidRPr="00392700">
        <w:rPr>
          <w:rFonts w:ascii="Times New Roman" w:hAnsi="Times New Roman" w:cs="Times New Roman"/>
          <w:b/>
          <w:bCs/>
          <w:noProof/>
          <w:sz w:val="24"/>
          <w:szCs w:val="24"/>
        </w:rPr>
        <w:t>14</w:t>
      </w:r>
      <w:r w:rsidRPr="00392700">
        <w:rPr>
          <w:rFonts w:ascii="Times New Roman" w:hAnsi="Times New Roman" w:cs="Times New Roman"/>
          <w:noProof/>
          <w:sz w:val="24"/>
          <w:szCs w:val="24"/>
        </w:rPr>
        <w:t>: 1121–34.</w:t>
      </w:r>
    </w:p>
    <w:p w14:paraId="4F94E64F"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7</w:t>
      </w:r>
      <w:r w:rsidRPr="00392700">
        <w:rPr>
          <w:rFonts w:ascii="Times New Roman" w:hAnsi="Times New Roman" w:cs="Times New Roman"/>
          <w:noProof/>
          <w:sz w:val="24"/>
          <w:szCs w:val="24"/>
        </w:rPr>
        <w:tab/>
        <w:t xml:space="preserve">Goldani AAS, Downs SR, Widjaja F, Lawton B, Hendren RL. Biomarkers in autism. </w:t>
      </w:r>
      <w:r w:rsidRPr="00392700">
        <w:rPr>
          <w:rFonts w:ascii="Times New Roman" w:hAnsi="Times New Roman" w:cs="Times New Roman"/>
          <w:i/>
          <w:iCs/>
          <w:noProof/>
          <w:sz w:val="24"/>
          <w:szCs w:val="24"/>
        </w:rPr>
        <w:t>Front psychiatry</w:t>
      </w:r>
      <w:r w:rsidRPr="00392700">
        <w:rPr>
          <w:rFonts w:ascii="Times New Roman" w:hAnsi="Times New Roman" w:cs="Times New Roman"/>
          <w:noProof/>
          <w:sz w:val="24"/>
          <w:szCs w:val="24"/>
        </w:rPr>
        <w:t xml:space="preserve"> 2014; </w:t>
      </w:r>
      <w:r w:rsidRPr="00392700">
        <w:rPr>
          <w:rFonts w:ascii="Times New Roman" w:hAnsi="Times New Roman" w:cs="Times New Roman"/>
          <w:b/>
          <w:bCs/>
          <w:noProof/>
          <w:sz w:val="24"/>
          <w:szCs w:val="24"/>
        </w:rPr>
        <w:t>5</w:t>
      </w:r>
      <w:r w:rsidRPr="00392700">
        <w:rPr>
          <w:rFonts w:ascii="Times New Roman" w:hAnsi="Times New Roman" w:cs="Times New Roman"/>
          <w:noProof/>
          <w:sz w:val="24"/>
          <w:szCs w:val="24"/>
        </w:rPr>
        <w:t>: 100.</w:t>
      </w:r>
    </w:p>
    <w:p w14:paraId="1E544655"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8</w:t>
      </w:r>
      <w:r w:rsidRPr="00392700">
        <w:rPr>
          <w:rFonts w:ascii="Times New Roman" w:hAnsi="Times New Roman" w:cs="Times New Roman"/>
          <w:noProof/>
          <w:sz w:val="24"/>
          <w:szCs w:val="24"/>
        </w:rPr>
        <w:tab/>
        <w:t xml:space="preserve">Hurt K, Walker RJ, Campbell JA, Egede LE. mHealth Interventions in Low and Middle-Income Countries: A Systematic Review. </w:t>
      </w:r>
      <w:r w:rsidRPr="00392700">
        <w:rPr>
          <w:rFonts w:ascii="Times New Roman" w:hAnsi="Times New Roman" w:cs="Times New Roman"/>
          <w:i/>
          <w:iCs/>
          <w:noProof/>
          <w:sz w:val="24"/>
          <w:szCs w:val="24"/>
        </w:rPr>
        <w:t>Glob J Health Sci</w:t>
      </w:r>
      <w:r w:rsidRPr="00392700">
        <w:rPr>
          <w:rFonts w:ascii="Times New Roman" w:hAnsi="Times New Roman" w:cs="Times New Roman"/>
          <w:noProof/>
          <w:sz w:val="24"/>
          <w:szCs w:val="24"/>
        </w:rPr>
        <w:t xml:space="preserve"> 2016; </w:t>
      </w:r>
      <w:r w:rsidRPr="00392700">
        <w:rPr>
          <w:rFonts w:ascii="Times New Roman" w:hAnsi="Times New Roman" w:cs="Times New Roman"/>
          <w:b/>
          <w:bCs/>
          <w:noProof/>
          <w:sz w:val="24"/>
          <w:szCs w:val="24"/>
        </w:rPr>
        <w:t>8</w:t>
      </w:r>
      <w:r w:rsidRPr="00392700">
        <w:rPr>
          <w:rFonts w:ascii="Times New Roman" w:hAnsi="Times New Roman" w:cs="Times New Roman"/>
          <w:noProof/>
          <w:sz w:val="24"/>
          <w:szCs w:val="24"/>
        </w:rPr>
        <w:t>: 54429.</w:t>
      </w:r>
    </w:p>
    <w:p w14:paraId="221AF85B"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9</w:t>
      </w:r>
      <w:r w:rsidRPr="00392700">
        <w:rPr>
          <w:rFonts w:ascii="Times New Roman" w:hAnsi="Times New Roman" w:cs="Times New Roman"/>
          <w:noProof/>
          <w:sz w:val="24"/>
          <w:szCs w:val="24"/>
        </w:rPr>
        <w:tab/>
        <w:t xml:space="preserve">Grynszpan O, Weiss PLT, Perez-Diaz F, Gal E. Innovative technology-based interventions for autism spectrum disorders: a meta-analysis. </w:t>
      </w:r>
      <w:r w:rsidRPr="00392700">
        <w:rPr>
          <w:rFonts w:ascii="Times New Roman" w:hAnsi="Times New Roman" w:cs="Times New Roman"/>
          <w:i/>
          <w:iCs/>
          <w:noProof/>
          <w:sz w:val="24"/>
          <w:szCs w:val="24"/>
        </w:rPr>
        <w:t>Autism</w:t>
      </w:r>
      <w:r w:rsidRPr="00392700">
        <w:rPr>
          <w:rFonts w:ascii="Times New Roman" w:hAnsi="Times New Roman" w:cs="Times New Roman"/>
          <w:noProof/>
          <w:sz w:val="24"/>
          <w:szCs w:val="24"/>
        </w:rPr>
        <w:t xml:space="preserve"> 2014; </w:t>
      </w:r>
      <w:r w:rsidRPr="00392700">
        <w:rPr>
          <w:rFonts w:ascii="Times New Roman" w:hAnsi="Times New Roman" w:cs="Times New Roman"/>
          <w:b/>
          <w:bCs/>
          <w:noProof/>
          <w:sz w:val="24"/>
          <w:szCs w:val="24"/>
        </w:rPr>
        <w:t>18</w:t>
      </w:r>
      <w:r w:rsidRPr="00392700">
        <w:rPr>
          <w:rFonts w:ascii="Times New Roman" w:hAnsi="Times New Roman" w:cs="Times New Roman"/>
          <w:noProof/>
          <w:sz w:val="24"/>
          <w:szCs w:val="24"/>
        </w:rPr>
        <w:t>: 346–61.</w:t>
      </w:r>
    </w:p>
    <w:p w14:paraId="7FB68DDA" w14:textId="77777777" w:rsidR="00392700" w:rsidRPr="00392700" w:rsidRDefault="00392700" w:rsidP="00392700">
      <w:pPr>
        <w:widowControl w:val="0"/>
        <w:autoSpaceDE w:val="0"/>
        <w:autoSpaceDN w:val="0"/>
        <w:adjustRightInd w:val="0"/>
        <w:spacing w:after="160" w:line="240" w:lineRule="auto"/>
        <w:ind w:left="640" w:hanging="640"/>
        <w:rPr>
          <w:rFonts w:ascii="Times New Roman" w:hAnsi="Times New Roman" w:cs="Times New Roman"/>
          <w:noProof/>
          <w:sz w:val="24"/>
          <w:szCs w:val="24"/>
        </w:rPr>
      </w:pPr>
      <w:r w:rsidRPr="00392700">
        <w:rPr>
          <w:rFonts w:ascii="Times New Roman" w:hAnsi="Times New Roman" w:cs="Times New Roman"/>
          <w:noProof/>
          <w:sz w:val="24"/>
          <w:szCs w:val="24"/>
        </w:rPr>
        <w:t>10</w:t>
      </w:r>
      <w:r w:rsidRPr="00392700">
        <w:rPr>
          <w:rFonts w:ascii="Times New Roman" w:hAnsi="Times New Roman" w:cs="Times New Roman"/>
          <w:noProof/>
          <w:sz w:val="24"/>
          <w:szCs w:val="24"/>
        </w:rPr>
        <w:tab/>
        <w:t>Campbell K, Hashemi J, Espinosa S, Marsan S, Schaich Borg J, Harris A, Chang Z, Qiu Q, Tepper M, Calderbank R, Baker JP, Sapiro G, Egger H DG. Computer Vision Detects Delayed Social Orienting in Toddlers with Autism. In: Presented in the International Society for Autism Research. Baltimore, MD, 2016.</w:t>
      </w:r>
    </w:p>
    <w:p w14:paraId="6AA8EC65" w14:textId="4272153C" w:rsidR="00C35D04" w:rsidRPr="00D635E2" w:rsidRDefault="00392700" w:rsidP="00011A33">
      <w:pPr>
        <w:widowControl w:val="0"/>
        <w:autoSpaceDE w:val="0"/>
        <w:autoSpaceDN w:val="0"/>
        <w:adjustRightInd w:val="0"/>
        <w:spacing w:after="160" w:line="240" w:lineRule="auto"/>
        <w:ind w:left="640" w:hanging="640"/>
        <w:rPr>
          <w:rFonts w:ascii="Times New Roman" w:hAnsi="Times New Roman" w:cs="Times New Roman"/>
          <w:bCs/>
          <w:sz w:val="24"/>
          <w:szCs w:val="24"/>
          <w:lang w:val="en-IN"/>
        </w:rPr>
      </w:pPr>
      <w:r w:rsidRPr="00392700">
        <w:rPr>
          <w:rFonts w:ascii="Times New Roman" w:hAnsi="Times New Roman" w:cs="Times New Roman"/>
          <w:noProof/>
          <w:sz w:val="24"/>
          <w:szCs w:val="24"/>
        </w:rPr>
        <w:t>11</w:t>
      </w:r>
      <w:r w:rsidRPr="00392700">
        <w:rPr>
          <w:rFonts w:ascii="Times New Roman" w:hAnsi="Times New Roman" w:cs="Times New Roman"/>
          <w:noProof/>
          <w:sz w:val="24"/>
          <w:szCs w:val="24"/>
        </w:rPr>
        <w:tab/>
        <w:t xml:space="preserve">Stein DJ, He Y, Phillips A, Sahakian BJ, Williams J, Patel V. Global mental health and neuroscience: potential synergies. </w:t>
      </w:r>
      <w:r w:rsidRPr="00392700">
        <w:rPr>
          <w:rFonts w:ascii="Times New Roman" w:hAnsi="Times New Roman" w:cs="Times New Roman"/>
          <w:i/>
          <w:iCs/>
          <w:noProof/>
          <w:sz w:val="24"/>
          <w:szCs w:val="24"/>
        </w:rPr>
        <w:t>The lancet Psychiatry</w:t>
      </w:r>
      <w:r w:rsidRPr="00392700">
        <w:rPr>
          <w:rFonts w:ascii="Times New Roman" w:hAnsi="Times New Roman" w:cs="Times New Roman"/>
          <w:noProof/>
          <w:sz w:val="24"/>
          <w:szCs w:val="24"/>
        </w:rPr>
        <w:t xml:space="preserve"> 2015; </w:t>
      </w:r>
      <w:r w:rsidRPr="00392700">
        <w:rPr>
          <w:rFonts w:ascii="Times New Roman" w:hAnsi="Times New Roman" w:cs="Times New Roman"/>
          <w:b/>
          <w:bCs/>
          <w:noProof/>
          <w:sz w:val="24"/>
          <w:szCs w:val="24"/>
        </w:rPr>
        <w:t>2</w:t>
      </w:r>
      <w:r w:rsidRPr="00392700">
        <w:rPr>
          <w:rFonts w:ascii="Times New Roman" w:hAnsi="Times New Roman" w:cs="Times New Roman"/>
          <w:noProof/>
          <w:sz w:val="24"/>
          <w:szCs w:val="24"/>
        </w:rPr>
        <w:t>: 178–85.</w:t>
      </w:r>
      <w:r w:rsidR="00C35D04">
        <w:rPr>
          <w:rFonts w:ascii="Times New Roman" w:hAnsi="Times New Roman" w:cs="Times New Roman"/>
          <w:b/>
          <w:bCs/>
          <w:sz w:val="24"/>
          <w:szCs w:val="24"/>
          <w:lang w:val="en-IN"/>
        </w:rPr>
        <w:fldChar w:fldCharType="end"/>
      </w:r>
    </w:p>
    <w:sectPr w:rsidR="00C35D04" w:rsidRPr="00D635E2">
      <w:footerReference w:type="default" r:id="rId9"/>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6877" w14:textId="77777777" w:rsidR="008F6649" w:rsidRDefault="008F6649">
      <w:pPr>
        <w:spacing w:after="0" w:line="240" w:lineRule="auto"/>
      </w:pPr>
      <w:r>
        <w:separator/>
      </w:r>
    </w:p>
  </w:endnote>
  <w:endnote w:type="continuationSeparator" w:id="0">
    <w:p w14:paraId="38C46602" w14:textId="77777777" w:rsidR="008F6649" w:rsidRDefault="008F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2491"/>
      <w:docPartObj>
        <w:docPartGallery w:val="Page Numbers (Bottom of Page)"/>
        <w:docPartUnique/>
      </w:docPartObj>
    </w:sdtPr>
    <w:sdtEndPr/>
    <w:sdtContent>
      <w:p w14:paraId="4442168C" w14:textId="77777777" w:rsidR="005C3EE7" w:rsidRDefault="005C3EE7">
        <w:pPr>
          <w:pStyle w:val="Footer"/>
          <w:jc w:val="right"/>
        </w:pPr>
        <w:r>
          <w:fldChar w:fldCharType="begin"/>
        </w:r>
        <w:r>
          <w:instrText>PAGE</w:instrText>
        </w:r>
        <w:r>
          <w:fldChar w:fldCharType="separate"/>
        </w:r>
        <w:r w:rsidR="001F7268">
          <w:rPr>
            <w:noProof/>
          </w:rPr>
          <w:t>1</w:t>
        </w:r>
        <w:r>
          <w:fldChar w:fldCharType="end"/>
        </w:r>
      </w:p>
    </w:sdtContent>
  </w:sdt>
  <w:p w14:paraId="3667E462" w14:textId="77777777" w:rsidR="005C3EE7" w:rsidRDefault="005C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3B3C7" w14:textId="77777777" w:rsidR="008F6649" w:rsidRDefault="008F6649">
      <w:pPr>
        <w:spacing w:after="0" w:line="240" w:lineRule="auto"/>
      </w:pPr>
      <w:r>
        <w:separator/>
      </w:r>
    </w:p>
  </w:footnote>
  <w:footnote w:type="continuationSeparator" w:id="0">
    <w:p w14:paraId="41D6DE67" w14:textId="77777777" w:rsidR="008F6649" w:rsidRDefault="008F6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C7E"/>
    <w:multiLevelType w:val="multilevel"/>
    <w:tmpl w:val="824C1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892E1D"/>
    <w:multiLevelType w:val="multilevel"/>
    <w:tmpl w:val="B7B88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BF"/>
    <w:rsid w:val="00011A33"/>
    <w:rsid w:val="0001473D"/>
    <w:rsid w:val="000251E6"/>
    <w:rsid w:val="000F3045"/>
    <w:rsid w:val="00131B0B"/>
    <w:rsid w:val="001608BE"/>
    <w:rsid w:val="0019664F"/>
    <w:rsid w:val="001C3399"/>
    <w:rsid w:val="001F7268"/>
    <w:rsid w:val="00222B65"/>
    <w:rsid w:val="00233990"/>
    <w:rsid w:val="00244F36"/>
    <w:rsid w:val="002A3812"/>
    <w:rsid w:val="002D0758"/>
    <w:rsid w:val="00380604"/>
    <w:rsid w:val="00392700"/>
    <w:rsid w:val="003D7285"/>
    <w:rsid w:val="004268AF"/>
    <w:rsid w:val="00437623"/>
    <w:rsid w:val="004F32FF"/>
    <w:rsid w:val="00511B63"/>
    <w:rsid w:val="005677C2"/>
    <w:rsid w:val="00567EA1"/>
    <w:rsid w:val="005879B3"/>
    <w:rsid w:val="005C3EE7"/>
    <w:rsid w:val="005D0F7E"/>
    <w:rsid w:val="006215EC"/>
    <w:rsid w:val="0064419D"/>
    <w:rsid w:val="00651F1E"/>
    <w:rsid w:val="00693CB9"/>
    <w:rsid w:val="006B646C"/>
    <w:rsid w:val="006F1DBC"/>
    <w:rsid w:val="007078D9"/>
    <w:rsid w:val="007360AC"/>
    <w:rsid w:val="007848BF"/>
    <w:rsid w:val="007D0059"/>
    <w:rsid w:val="007F641E"/>
    <w:rsid w:val="00815219"/>
    <w:rsid w:val="00837488"/>
    <w:rsid w:val="008F6649"/>
    <w:rsid w:val="00902B46"/>
    <w:rsid w:val="009C1211"/>
    <w:rsid w:val="009D5E9D"/>
    <w:rsid w:val="00A25703"/>
    <w:rsid w:val="00A30A59"/>
    <w:rsid w:val="00A34E62"/>
    <w:rsid w:val="00A52DA5"/>
    <w:rsid w:val="00A74F83"/>
    <w:rsid w:val="00AD7A09"/>
    <w:rsid w:val="00B10552"/>
    <w:rsid w:val="00B4519D"/>
    <w:rsid w:val="00B55805"/>
    <w:rsid w:val="00B7268F"/>
    <w:rsid w:val="00C35D04"/>
    <w:rsid w:val="00C37FD5"/>
    <w:rsid w:val="00D02EA6"/>
    <w:rsid w:val="00D062A5"/>
    <w:rsid w:val="00D17759"/>
    <w:rsid w:val="00D37A14"/>
    <w:rsid w:val="00D458B3"/>
    <w:rsid w:val="00D635E2"/>
    <w:rsid w:val="00D76228"/>
    <w:rsid w:val="00E5074E"/>
    <w:rsid w:val="00E57419"/>
    <w:rsid w:val="00EA16AE"/>
    <w:rsid w:val="00EB4861"/>
    <w:rsid w:val="00EB5E2B"/>
    <w:rsid w:val="00EE0DF5"/>
    <w:rsid w:val="00F67274"/>
    <w:rsid w:val="00FC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3E2EA"/>
  <w15:docId w15:val="{CC4D5CE7-7AB3-484A-9965-4E642663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link w:val="Heading1Char"/>
    <w:uiPriority w:val="9"/>
    <w:qFormat/>
    <w:rsid w:val="00FC220B"/>
    <w:pPr>
      <w:spacing w:before="280" w:after="280" w:line="240" w:lineRule="auto"/>
      <w:outlineLvl w:val="0"/>
    </w:pPr>
    <w:rPr>
      <w:rFonts w:ascii="Times" w:hAnsi="Times"/>
      <w:b/>
      <w:bCs/>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2BB"/>
    <w:rPr>
      <w:sz w:val="16"/>
      <w:szCs w:val="16"/>
    </w:rPr>
  </w:style>
  <w:style w:type="character" w:customStyle="1" w:styleId="CommentTextChar">
    <w:name w:val="Comment Text Char"/>
    <w:basedOn w:val="DefaultParagraphFont"/>
    <w:link w:val="CommentText"/>
    <w:uiPriority w:val="99"/>
    <w:rsid w:val="00E472BB"/>
    <w:rPr>
      <w:sz w:val="20"/>
      <w:szCs w:val="20"/>
    </w:rPr>
  </w:style>
  <w:style w:type="character" w:customStyle="1" w:styleId="CommentSubjectChar">
    <w:name w:val="Comment Subject Char"/>
    <w:basedOn w:val="CommentTextChar"/>
    <w:link w:val="CommentSubject"/>
    <w:uiPriority w:val="99"/>
    <w:semiHidden/>
    <w:rsid w:val="00E472BB"/>
    <w:rPr>
      <w:b/>
      <w:bCs/>
      <w:sz w:val="20"/>
      <w:szCs w:val="20"/>
    </w:rPr>
  </w:style>
  <w:style w:type="character" w:customStyle="1" w:styleId="BalloonTextChar">
    <w:name w:val="Balloon Text Char"/>
    <w:basedOn w:val="DefaultParagraphFont"/>
    <w:link w:val="BalloonText"/>
    <w:uiPriority w:val="99"/>
    <w:semiHidden/>
    <w:rsid w:val="00E472BB"/>
    <w:rPr>
      <w:rFonts w:ascii="Segoe UI" w:hAnsi="Segoe UI" w:cs="Segoe UI"/>
      <w:sz w:val="18"/>
      <w:szCs w:val="18"/>
    </w:rPr>
  </w:style>
  <w:style w:type="character" w:customStyle="1" w:styleId="HeaderChar">
    <w:name w:val="Header Char"/>
    <w:basedOn w:val="DefaultParagraphFont"/>
    <w:link w:val="Header"/>
    <w:uiPriority w:val="99"/>
    <w:rsid w:val="00737FF7"/>
  </w:style>
  <w:style w:type="character" w:customStyle="1" w:styleId="FooterChar">
    <w:name w:val="Footer Char"/>
    <w:basedOn w:val="DefaultParagraphFont"/>
    <w:link w:val="Footer"/>
    <w:uiPriority w:val="99"/>
    <w:rsid w:val="00737FF7"/>
  </w:style>
  <w:style w:type="character" w:customStyle="1" w:styleId="InternetLink">
    <w:name w:val="Internet Link"/>
    <w:basedOn w:val="DefaultParagraphFont"/>
    <w:uiPriority w:val="99"/>
    <w:unhideWhenUsed/>
    <w:rsid w:val="00FC220B"/>
    <w:rPr>
      <w:color w:val="0000FF" w:themeColor="hyperlink"/>
      <w:u w:val="single"/>
      <w:lang w:val="uz-Cyrl-UZ" w:eastAsia="uz-Cyrl-UZ" w:bidi="uz-Cyrl-UZ"/>
    </w:rPr>
  </w:style>
  <w:style w:type="character" w:customStyle="1" w:styleId="Heading1Char">
    <w:name w:val="Heading 1 Char"/>
    <w:basedOn w:val="DefaultParagraphFont"/>
    <w:link w:val="Heading1"/>
    <w:uiPriority w:val="9"/>
    <w:rsid w:val="00FC220B"/>
    <w:rPr>
      <w:rFonts w:ascii="Times" w:hAnsi="Times"/>
      <w:b/>
      <w:bCs/>
      <w:sz w:val="48"/>
      <w:szCs w:val="48"/>
      <w:lang w:val="en-GB"/>
    </w:rPr>
  </w:style>
  <w:style w:type="character" w:customStyle="1" w:styleId="ListLabel1">
    <w:name w:val="ListLabel 1"/>
    <w:rPr>
      <w:rFonts w:cs="Courier New"/>
    </w:rPr>
  </w:style>
  <w:style w:type="character" w:customStyle="1" w:styleId="ListLabel2">
    <w:name w:val="ListLabel 2"/>
    <w:rPr>
      <w:rFonts w:cs="Times New Roman"/>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rsid w:val="008C57CC"/>
    <w:pPr>
      <w:ind w:left="720"/>
      <w:contextualSpacing/>
    </w:pPr>
  </w:style>
  <w:style w:type="paragraph" w:styleId="CommentText">
    <w:name w:val="annotation text"/>
    <w:basedOn w:val="Normal"/>
    <w:link w:val="CommentTextChar"/>
    <w:unhideWhenUsed/>
    <w:rsid w:val="00E472BB"/>
    <w:pPr>
      <w:spacing w:line="240" w:lineRule="auto"/>
    </w:pPr>
    <w:rPr>
      <w:sz w:val="20"/>
      <w:szCs w:val="20"/>
    </w:rPr>
  </w:style>
  <w:style w:type="paragraph" w:styleId="CommentSubject">
    <w:name w:val="annotation subject"/>
    <w:basedOn w:val="CommentText"/>
    <w:link w:val="CommentSubjectChar"/>
    <w:uiPriority w:val="99"/>
    <w:semiHidden/>
    <w:unhideWhenUsed/>
    <w:rsid w:val="00E472BB"/>
    <w:rPr>
      <w:b/>
      <w:bCs/>
    </w:rPr>
  </w:style>
  <w:style w:type="paragraph" w:styleId="BalloonText">
    <w:name w:val="Balloon Text"/>
    <w:basedOn w:val="Normal"/>
    <w:link w:val="BalloonTextChar"/>
    <w:uiPriority w:val="99"/>
    <w:semiHidden/>
    <w:unhideWhenUsed/>
    <w:rsid w:val="00E472BB"/>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737FF7"/>
    <w:pPr>
      <w:tabs>
        <w:tab w:val="center" w:pos="4513"/>
        <w:tab w:val="right" w:pos="9026"/>
      </w:tabs>
      <w:spacing w:after="0" w:line="240" w:lineRule="auto"/>
    </w:pPr>
  </w:style>
  <w:style w:type="paragraph" w:styleId="Footer">
    <w:name w:val="footer"/>
    <w:basedOn w:val="Normal"/>
    <w:link w:val="FooterChar"/>
    <w:uiPriority w:val="99"/>
    <w:unhideWhenUsed/>
    <w:rsid w:val="00737FF7"/>
    <w:pPr>
      <w:tabs>
        <w:tab w:val="center" w:pos="4513"/>
        <w:tab w:val="right" w:pos="9026"/>
      </w:tabs>
      <w:spacing w:after="0" w:line="240" w:lineRule="auto"/>
    </w:pPr>
  </w:style>
  <w:style w:type="paragraph" w:styleId="NormalWeb">
    <w:name w:val="Normal (Web)"/>
    <w:basedOn w:val="Normal"/>
    <w:uiPriority w:val="99"/>
    <w:semiHidden/>
    <w:unhideWhenUsed/>
    <w:rsid w:val="00DB7638"/>
    <w:pPr>
      <w:spacing w:before="280" w:after="280" w:line="240" w:lineRule="auto"/>
    </w:pPr>
    <w:rPr>
      <w:rFonts w:ascii="Times New Roman" w:eastAsia="Times New Roman" w:hAnsi="Times New Roman" w:cs="Times New Roman"/>
      <w:sz w:val="24"/>
      <w:szCs w:val="24"/>
      <w:lang w:val="en-IN" w:eastAsia="en-IN"/>
    </w:rPr>
  </w:style>
  <w:style w:type="paragraph" w:styleId="Revision">
    <w:name w:val="Revision"/>
    <w:uiPriority w:val="99"/>
    <w:semiHidden/>
    <w:rsid w:val="001A4F49"/>
    <w:pPr>
      <w:suppressAutoHyphens/>
      <w:spacing w:line="240" w:lineRule="auto"/>
    </w:pPr>
  </w:style>
  <w:style w:type="paragraph" w:styleId="Bibliography">
    <w:name w:val="Bibliography"/>
    <w:basedOn w:val="Normal"/>
    <w:next w:val="Normal"/>
    <w:uiPriority w:val="37"/>
    <w:unhideWhenUsed/>
    <w:rsid w:val="00F01092"/>
    <w:pPr>
      <w:tabs>
        <w:tab w:val="left" w:pos="144"/>
      </w:tabs>
      <w:spacing w:after="240" w:line="240" w:lineRule="auto"/>
      <w:ind w:left="144" w:hanging="144"/>
    </w:pPr>
  </w:style>
  <w:style w:type="table" w:styleId="TableGrid">
    <w:name w:val="Table Grid"/>
    <w:basedOn w:val="TableNormal"/>
    <w:uiPriority w:val="59"/>
    <w:rsid w:val="007F53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5812">
      <w:bodyDiv w:val="1"/>
      <w:marLeft w:val="0"/>
      <w:marRight w:val="0"/>
      <w:marTop w:val="0"/>
      <w:marBottom w:val="0"/>
      <w:divBdr>
        <w:top w:val="none" w:sz="0" w:space="0" w:color="auto"/>
        <w:left w:val="none" w:sz="0" w:space="0" w:color="auto"/>
        <w:bottom w:val="none" w:sz="0" w:space="0" w:color="auto"/>
        <w:right w:val="none" w:sz="0" w:space="0" w:color="auto"/>
      </w:divBdr>
    </w:div>
    <w:div w:id="391467568">
      <w:bodyDiv w:val="1"/>
      <w:marLeft w:val="0"/>
      <w:marRight w:val="0"/>
      <w:marTop w:val="0"/>
      <w:marBottom w:val="0"/>
      <w:divBdr>
        <w:top w:val="none" w:sz="0" w:space="0" w:color="auto"/>
        <w:left w:val="none" w:sz="0" w:space="0" w:color="auto"/>
        <w:bottom w:val="none" w:sz="0" w:space="0" w:color="auto"/>
        <w:right w:val="none" w:sz="0" w:space="0" w:color="auto"/>
      </w:divBdr>
      <w:divsChild>
        <w:div w:id="1402210732">
          <w:marLeft w:val="0"/>
          <w:marRight w:val="0"/>
          <w:marTop w:val="0"/>
          <w:marBottom w:val="0"/>
          <w:divBdr>
            <w:top w:val="none" w:sz="0" w:space="0" w:color="auto"/>
            <w:left w:val="none" w:sz="0" w:space="0" w:color="auto"/>
            <w:bottom w:val="none" w:sz="0" w:space="0" w:color="auto"/>
            <w:right w:val="none" w:sz="0" w:space="0" w:color="auto"/>
          </w:divBdr>
        </w:div>
        <w:div w:id="352804150">
          <w:marLeft w:val="0"/>
          <w:marRight w:val="0"/>
          <w:marTop w:val="0"/>
          <w:marBottom w:val="0"/>
          <w:divBdr>
            <w:top w:val="none" w:sz="0" w:space="0" w:color="auto"/>
            <w:left w:val="none" w:sz="0" w:space="0" w:color="auto"/>
            <w:bottom w:val="none" w:sz="0" w:space="0" w:color="auto"/>
            <w:right w:val="none" w:sz="0" w:space="0" w:color="auto"/>
          </w:divBdr>
        </w:div>
      </w:divsChild>
    </w:div>
    <w:div w:id="603419880">
      <w:bodyDiv w:val="1"/>
      <w:marLeft w:val="0"/>
      <w:marRight w:val="0"/>
      <w:marTop w:val="0"/>
      <w:marBottom w:val="0"/>
      <w:divBdr>
        <w:top w:val="none" w:sz="0" w:space="0" w:color="auto"/>
        <w:left w:val="none" w:sz="0" w:space="0" w:color="auto"/>
        <w:bottom w:val="none" w:sz="0" w:space="0" w:color="auto"/>
        <w:right w:val="none" w:sz="0" w:space="0" w:color="auto"/>
      </w:divBdr>
    </w:div>
    <w:div w:id="1037969949">
      <w:bodyDiv w:val="1"/>
      <w:marLeft w:val="0"/>
      <w:marRight w:val="0"/>
      <w:marTop w:val="0"/>
      <w:marBottom w:val="0"/>
      <w:divBdr>
        <w:top w:val="none" w:sz="0" w:space="0" w:color="auto"/>
        <w:left w:val="none" w:sz="0" w:space="0" w:color="auto"/>
        <w:bottom w:val="none" w:sz="0" w:space="0" w:color="auto"/>
        <w:right w:val="none" w:sz="0" w:space="0" w:color="auto"/>
      </w:divBdr>
      <w:divsChild>
        <w:div w:id="1432122638">
          <w:marLeft w:val="0"/>
          <w:marRight w:val="0"/>
          <w:marTop w:val="0"/>
          <w:marBottom w:val="0"/>
          <w:divBdr>
            <w:top w:val="none" w:sz="0" w:space="0" w:color="auto"/>
            <w:left w:val="none" w:sz="0" w:space="0" w:color="auto"/>
            <w:bottom w:val="none" w:sz="0" w:space="0" w:color="auto"/>
            <w:right w:val="none" w:sz="0" w:space="0" w:color="auto"/>
          </w:divBdr>
        </w:div>
      </w:divsChild>
    </w:div>
    <w:div w:id="1404452598">
      <w:bodyDiv w:val="1"/>
      <w:marLeft w:val="0"/>
      <w:marRight w:val="0"/>
      <w:marTop w:val="0"/>
      <w:marBottom w:val="0"/>
      <w:divBdr>
        <w:top w:val="none" w:sz="0" w:space="0" w:color="auto"/>
        <w:left w:val="none" w:sz="0" w:space="0" w:color="auto"/>
        <w:bottom w:val="none" w:sz="0" w:space="0" w:color="auto"/>
        <w:right w:val="none" w:sz="0" w:space="0" w:color="auto"/>
      </w:divBdr>
      <w:divsChild>
        <w:div w:id="164057463">
          <w:marLeft w:val="0"/>
          <w:marRight w:val="0"/>
          <w:marTop w:val="0"/>
          <w:marBottom w:val="0"/>
          <w:divBdr>
            <w:top w:val="none" w:sz="0" w:space="0" w:color="auto"/>
            <w:left w:val="none" w:sz="0" w:space="0" w:color="auto"/>
            <w:bottom w:val="none" w:sz="0" w:space="0" w:color="auto"/>
            <w:right w:val="none" w:sz="0" w:space="0" w:color="auto"/>
          </w:divBdr>
        </w:div>
        <w:div w:id="1372151967">
          <w:marLeft w:val="0"/>
          <w:marRight w:val="0"/>
          <w:marTop w:val="0"/>
          <w:marBottom w:val="0"/>
          <w:divBdr>
            <w:top w:val="none" w:sz="0" w:space="0" w:color="auto"/>
            <w:left w:val="none" w:sz="0" w:space="0" w:color="auto"/>
            <w:bottom w:val="none" w:sz="0" w:space="0" w:color="auto"/>
            <w:right w:val="none" w:sz="0" w:space="0" w:color="auto"/>
          </w:divBdr>
        </w:div>
      </w:divsChild>
    </w:div>
    <w:div w:id="1524435586">
      <w:bodyDiv w:val="1"/>
      <w:marLeft w:val="0"/>
      <w:marRight w:val="0"/>
      <w:marTop w:val="0"/>
      <w:marBottom w:val="0"/>
      <w:divBdr>
        <w:top w:val="none" w:sz="0" w:space="0" w:color="auto"/>
        <w:left w:val="none" w:sz="0" w:space="0" w:color="auto"/>
        <w:bottom w:val="none" w:sz="0" w:space="0" w:color="auto"/>
        <w:right w:val="none" w:sz="0" w:space="0" w:color="auto"/>
      </w:divBdr>
      <w:divsChild>
        <w:div w:id="312763102">
          <w:marLeft w:val="0"/>
          <w:marRight w:val="0"/>
          <w:marTop w:val="0"/>
          <w:marBottom w:val="0"/>
          <w:divBdr>
            <w:top w:val="none" w:sz="0" w:space="0" w:color="auto"/>
            <w:left w:val="none" w:sz="0" w:space="0" w:color="auto"/>
            <w:bottom w:val="none" w:sz="0" w:space="0" w:color="auto"/>
            <w:right w:val="none" w:sz="0" w:space="0" w:color="auto"/>
          </w:divBdr>
        </w:div>
        <w:div w:id="33890412">
          <w:marLeft w:val="0"/>
          <w:marRight w:val="0"/>
          <w:marTop w:val="0"/>
          <w:marBottom w:val="0"/>
          <w:divBdr>
            <w:top w:val="none" w:sz="0" w:space="0" w:color="auto"/>
            <w:left w:val="none" w:sz="0" w:space="0" w:color="auto"/>
            <w:bottom w:val="none" w:sz="0" w:space="0" w:color="auto"/>
            <w:right w:val="none" w:sz="0" w:space="0" w:color="auto"/>
          </w:divBdr>
        </w:div>
      </w:divsChild>
    </w:div>
    <w:div w:id="1878929579">
      <w:bodyDiv w:val="1"/>
      <w:marLeft w:val="0"/>
      <w:marRight w:val="0"/>
      <w:marTop w:val="0"/>
      <w:marBottom w:val="0"/>
      <w:divBdr>
        <w:top w:val="none" w:sz="0" w:space="0" w:color="auto"/>
        <w:left w:val="none" w:sz="0" w:space="0" w:color="auto"/>
        <w:bottom w:val="none" w:sz="0" w:space="0" w:color="auto"/>
        <w:right w:val="none" w:sz="0" w:space="0" w:color="auto"/>
      </w:divBdr>
    </w:div>
    <w:div w:id="1917933458">
      <w:bodyDiv w:val="1"/>
      <w:marLeft w:val="0"/>
      <w:marRight w:val="0"/>
      <w:marTop w:val="0"/>
      <w:marBottom w:val="0"/>
      <w:divBdr>
        <w:top w:val="none" w:sz="0" w:space="0" w:color="auto"/>
        <w:left w:val="none" w:sz="0" w:space="0" w:color="auto"/>
        <w:bottom w:val="none" w:sz="0" w:space="0" w:color="auto"/>
        <w:right w:val="none" w:sz="0" w:space="0" w:color="auto"/>
      </w:divBdr>
      <w:divsChild>
        <w:div w:id="880630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ram.patel@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9236-A498-449A-8E8A-F280962C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bbk</Company>
  <LinksUpToDate>false</LinksUpToDate>
  <CharactersWithSpaces>41858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dc:creator>
  <cp:lastModifiedBy>Supriya Bhavnani</cp:lastModifiedBy>
  <cp:revision>2</cp:revision>
  <cp:lastPrinted>2016-06-06T10:02:00Z</cp:lastPrinted>
  <dcterms:created xsi:type="dcterms:W3CDTF">2016-06-07T10:35:00Z</dcterms:created>
  <dcterms:modified xsi:type="dcterms:W3CDTF">2016-06-07T10:35:00Z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debarati@ccdcindia.org@www.mendeley.com</vt:lpwstr>
  </property>
  <property fmtid="{D5CDD505-2E9C-101B-9397-08002B2CF9AE}" pid="4" name="Mendeley Citation Style_1">
    <vt:lpwstr>http://www.zotero.org/styles/the-lancet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http://www.zotero.org/styles/social-science-and-medicine</vt:lpwstr>
  </property>
  <property fmtid="{D5CDD505-2E9C-101B-9397-08002B2CF9AE}" pid="22" name="Mendeley Recent Style Name 8_1">
    <vt:lpwstr>Social Science &amp; Medicine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