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B1C76" w14:textId="77777777" w:rsidR="005A400C" w:rsidRPr="005A400C" w:rsidRDefault="005A400C" w:rsidP="00173225">
      <w:pPr>
        <w:jc w:val="center"/>
      </w:pPr>
      <w:bookmarkStart w:id="0" w:name="_GoBack"/>
      <w:bookmarkEnd w:id="0"/>
    </w:p>
    <w:p w14:paraId="0F0FCEB6" w14:textId="77777777" w:rsidR="005A400C" w:rsidRPr="005A400C" w:rsidRDefault="005A400C" w:rsidP="00173225">
      <w:pPr>
        <w:jc w:val="center"/>
      </w:pPr>
    </w:p>
    <w:p w14:paraId="6C79C88C" w14:textId="77777777" w:rsidR="005A400C" w:rsidRPr="005A400C" w:rsidRDefault="005A400C" w:rsidP="00173225">
      <w:pPr>
        <w:jc w:val="center"/>
      </w:pPr>
    </w:p>
    <w:p w14:paraId="170F980D" w14:textId="77777777" w:rsidR="005A400C" w:rsidRPr="005A400C" w:rsidRDefault="005A400C" w:rsidP="00173225">
      <w:pPr>
        <w:jc w:val="center"/>
      </w:pPr>
    </w:p>
    <w:p w14:paraId="4C48E17F" w14:textId="77777777" w:rsidR="005A400C" w:rsidRPr="005A400C" w:rsidRDefault="005A400C" w:rsidP="00173225">
      <w:pPr>
        <w:jc w:val="center"/>
      </w:pPr>
    </w:p>
    <w:p w14:paraId="22FF9683" w14:textId="77777777" w:rsidR="005A400C" w:rsidRPr="005A400C" w:rsidRDefault="005A400C" w:rsidP="00173225">
      <w:pPr>
        <w:jc w:val="center"/>
      </w:pPr>
    </w:p>
    <w:p w14:paraId="423DDD1B" w14:textId="77777777" w:rsidR="005A400C" w:rsidRPr="005A400C" w:rsidRDefault="005A400C" w:rsidP="00173225">
      <w:pPr>
        <w:jc w:val="center"/>
      </w:pPr>
    </w:p>
    <w:p w14:paraId="5A583384" w14:textId="77777777" w:rsidR="005A400C" w:rsidRPr="005A400C" w:rsidRDefault="005A400C" w:rsidP="00173225">
      <w:pPr>
        <w:jc w:val="center"/>
      </w:pPr>
    </w:p>
    <w:p w14:paraId="525AD097" w14:textId="0C7B3FFB" w:rsidR="006C13A6" w:rsidRDefault="00567B9C" w:rsidP="00173225">
      <w:pPr>
        <w:jc w:val="center"/>
        <w:rPr>
          <w:b/>
        </w:rPr>
      </w:pPr>
      <w:r>
        <w:rPr>
          <w:b/>
        </w:rPr>
        <w:t>A</w:t>
      </w:r>
      <w:r w:rsidR="000532C0">
        <w:rPr>
          <w:b/>
        </w:rPr>
        <w:t>n initial</w:t>
      </w:r>
      <w:r w:rsidR="00FA1855">
        <w:rPr>
          <w:b/>
        </w:rPr>
        <w:t xml:space="preserve"> typology of contexts of </w:t>
      </w:r>
      <w:r w:rsidR="00DC7AD8">
        <w:rPr>
          <w:b/>
        </w:rPr>
        <w:t>dyadic sexual encounters</w:t>
      </w:r>
      <w:r w:rsidR="00FA1855">
        <w:rPr>
          <w:b/>
        </w:rPr>
        <w:t xml:space="preserve"> between men and associations with sexual </w:t>
      </w:r>
      <w:r>
        <w:rPr>
          <w:b/>
        </w:rPr>
        <w:t>risk and pleasure</w:t>
      </w:r>
      <w:r w:rsidR="00B64AC7">
        <w:rPr>
          <w:b/>
        </w:rPr>
        <w:t>: findings from an observational study</w:t>
      </w:r>
    </w:p>
    <w:p w14:paraId="0719B0FA" w14:textId="77777777" w:rsidR="00173225" w:rsidRPr="005A400C" w:rsidRDefault="00173225" w:rsidP="00173225">
      <w:pPr>
        <w:jc w:val="center"/>
      </w:pPr>
    </w:p>
    <w:p w14:paraId="01011C28" w14:textId="3ACB2E4F" w:rsidR="006C13A6" w:rsidRDefault="00061CBA" w:rsidP="00173225">
      <w:pPr>
        <w:rPr>
          <w:vertAlign w:val="superscript"/>
        </w:rPr>
      </w:pPr>
      <w:r>
        <w:t>G.J. Melendez-Torres</w:t>
      </w:r>
      <w:r w:rsidR="00B64AC7">
        <w:t xml:space="preserve"> DPhil RN</w:t>
      </w:r>
      <w:r>
        <w:rPr>
          <w:vertAlign w:val="superscript"/>
        </w:rPr>
        <w:t>a</w:t>
      </w:r>
      <w:r>
        <w:t>, Ford Hickson</w:t>
      </w:r>
      <w:r w:rsidR="00B64AC7">
        <w:t xml:space="preserve"> PhD</w:t>
      </w:r>
      <w:r>
        <w:rPr>
          <w:vertAlign w:val="superscript"/>
        </w:rPr>
        <w:t>b</w:t>
      </w:r>
      <w:r>
        <w:t>, David Reid</w:t>
      </w:r>
      <w:r w:rsidR="00B64AC7">
        <w:t xml:space="preserve"> MSc</w:t>
      </w:r>
      <w:r>
        <w:rPr>
          <w:vertAlign w:val="superscript"/>
        </w:rPr>
        <w:t>b</w:t>
      </w:r>
      <w:r>
        <w:t>, Peter Weatherburn</w:t>
      </w:r>
      <w:r w:rsidR="00B64AC7">
        <w:t xml:space="preserve"> MSc</w:t>
      </w:r>
      <w:r>
        <w:rPr>
          <w:vertAlign w:val="superscript"/>
        </w:rPr>
        <w:t>b</w:t>
      </w:r>
      <w:r>
        <w:t>, Chris Bonell</w:t>
      </w:r>
      <w:r w:rsidR="00B64AC7">
        <w:t xml:space="preserve"> PhD</w:t>
      </w:r>
      <w:r>
        <w:rPr>
          <w:vertAlign w:val="superscript"/>
        </w:rPr>
        <w:t>c</w:t>
      </w:r>
    </w:p>
    <w:p w14:paraId="1DFCFF77" w14:textId="77777777" w:rsidR="00173225" w:rsidRDefault="00173225" w:rsidP="00173225"/>
    <w:p w14:paraId="6545DF1C" w14:textId="627A125D" w:rsidR="00061CBA" w:rsidRDefault="00061CBA" w:rsidP="00173225">
      <w:r>
        <w:rPr>
          <w:vertAlign w:val="superscript"/>
        </w:rPr>
        <w:t>a</w:t>
      </w:r>
      <w:r w:rsidR="00C34F74">
        <w:rPr>
          <w:vertAlign w:val="superscript"/>
        </w:rPr>
        <w:t xml:space="preserve"> </w:t>
      </w:r>
      <w:r w:rsidR="00C34F74">
        <w:t>Division of Health Sciences, Warwick Medical School, University of Warwick, Coventry, UK</w:t>
      </w:r>
    </w:p>
    <w:p w14:paraId="0DE13E71" w14:textId="77777777" w:rsidR="00173225" w:rsidRDefault="00173225" w:rsidP="00173225"/>
    <w:p w14:paraId="571816AE" w14:textId="51F0F815" w:rsidR="00C34F74" w:rsidRDefault="00C34F74" w:rsidP="00173225">
      <w:r w:rsidRPr="00C34F74">
        <w:rPr>
          <w:vertAlign w:val="superscript"/>
        </w:rPr>
        <w:t>b</w:t>
      </w:r>
      <w:r>
        <w:rPr>
          <w:vertAlign w:val="superscript"/>
        </w:rPr>
        <w:t xml:space="preserve"> </w:t>
      </w:r>
      <w:r>
        <w:t>Sigma Research, London School of Hygiene and Tropical Medicine, London, UK</w:t>
      </w:r>
    </w:p>
    <w:p w14:paraId="15253019" w14:textId="77777777" w:rsidR="00173225" w:rsidRDefault="00173225" w:rsidP="00173225"/>
    <w:p w14:paraId="6F4BB432" w14:textId="001F75A5" w:rsidR="00C34F74" w:rsidRDefault="00C34F74" w:rsidP="00173225">
      <w:r w:rsidRPr="00C34F74">
        <w:rPr>
          <w:vertAlign w:val="superscript"/>
        </w:rPr>
        <w:t>c</w:t>
      </w:r>
      <w:r>
        <w:t xml:space="preserve"> Department of Social Science, UCL Institute of Education, University College London, London, UK</w:t>
      </w:r>
    </w:p>
    <w:p w14:paraId="7FA718F2" w14:textId="77777777" w:rsidR="00173225" w:rsidRDefault="00173225" w:rsidP="00173225"/>
    <w:p w14:paraId="4874E99C" w14:textId="62427B6F" w:rsidR="00173225" w:rsidRDefault="00173225" w:rsidP="00173225">
      <w:r>
        <w:t>G.J. Melendez-Torres (corresponding author)</w:t>
      </w:r>
    </w:p>
    <w:p w14:paraId="4832DC83" w14:textId="7B28AB0A" w:rsidR="00173225" w:rsidRDefault="00173225" w:rsidP="00173225">
      <w:r>
        <w:t>G.Melendez-Torres@warwick.ac.uk</w:t>
      </w:r>
    </w:p>
    <w:p w14:paraId="56364602" w14:textId="08F2789B" w:rsidR="00173225" w:rsidRDefault="00173225" w:rsidP="00173225">
      <w:r>
        <w:t xml:space="preserve">+44 (0) </w:t>
      </w:r>
      <w:r w:rsidR="00B64AC7" w:rsidRPr="00B64AC7">
        <w:t>24765</w:t>
      </w:r>
      <w:r w:rsidR="00B64AC7">
        <w:t xml:space="preserve"> </w:t>
      </w:r>
      <w:r w:rsidR="00B64AC7" w:rsidRPr="00B64AC7">
        <w:t>74877</w:t>
      </w:r>
    </w:p>
    <w:p w14:paraId="4B1E8D18" w14:textId="77777777" w:rsidR="00852C93" w:rsidRDefault="00852C93" w:rsidP="00173225"/>
    <w:p w14:paraId="1D3CFD33" w14:textId="77777777" w:rsidR="00852C93" w:rsidRDefault="00852C93" w:rsidP="00852C93">
      <w:pPr>
        <w:rPr>
          <w:b/>
        </w:rPr>
      </w:pPr>
      <w:r>
        <w:rPr>
          <w:b/>
        </w:rPr>
        <w:t>Acknowledgements</w:t>
      </w:r>
    </w:p>
    <w:p w14:paraId="3525FC91" w14:textId="77777777" w:rsidR="00852C93" w:rsidRPr="00311BB9" w:rsidRDefault="00852C93" w:rsidP="00852C93"/>
    <w:p w14:paraId="6E17AC61" w14:textId="603D9264" w:rsidR="00852C93" w:rsidRDefault="00852C93" w:rsidP="00852C93">
      <w:r>
        <w:t xml:space="preserve">We thank </w:t>
      </w:r>
      <w:r w:rsidRPr="00B76BB5">
        <w:t>Bobby Pickering (Demographix), David Novak (Online Buddies Inc.) and all the men who took part in the Sigma Panel 2011.</w:t>
      </w:r>
      <w:r>
        <w:t xml:space="preserve">  </w:t>
      </w:r>
      <w:r w:rsidRPr="00B63076">
        <w:t>This work was supported by the Department of Health for England through the CHAPS programme.</w:t>
      </w:r>
      <w:r>
        <w:t xml:space="preserve">  The survey was conducted with the approval of the London School of Hygiene and Tropical Medicine Ethics Committee (approval number 5834).  Approval for this specific analysis was granted by the Department of Social Policy and Intervention Research Ethics Committee at the University of Oxford.</w:t>
      </w:r>
    </w:p>
    <w:p w14:paraId="1BCD80ED" w14:textId="736F3C2B" w:rsidR="006C13A6" w:rsidRPr="00C34F74" w:rsidRDefault="006C13A6">
      <w:r>
        <w:rPr>
          <w:b/>
        </w:rPr>
        <w:br w:type="page"/>
      </w:r>
    </w:p>
    <w:p w14:paraId="5C96E819" w14:textId="406DD0D4" w:rsidR="00316B1F" w:rsidRDefault="00173225" w:rsidP="00B64AC7">
      <w:pPr>
        <w:spacing w:line="480" w:lineRule="auto"/>
        <w:rPr>
          <w:b/>
        </w:rPr>
      </w:pPr>
      <w:r>
        <w:rPr>
          <w:b/>
        </w:rPr>
        <w:lastRenderedPageBreak/>
        <w:t>Abstract</w:t>
      </w:r>
    </w:p>
    <w:p w14:paraId="4EB2E7A7" w14:textId="273A39C4" w:rsidR="00173225" w:rsidRDefault="00173225" w:rsidP="00173225">
      <w:pPr>
        <w:spacing w:line="480" w:lineRule="auto"/>
      </w:pPr>
      <w:r>
        <w:rPr>
          <w:b/>
        </w:rPr>
        <w:t>Background.</w:t>
      </w:r>
      <w:r>
        <w:t xml:space="preserve">  </w:t>
      </w:r>
      <w:r w:rsidR="00076E6A">
        <w:t>Though many within-subjects comparisons conducted on samples of men who have sex with men have sought to understand the association between specific situational characteristics (e.g. drug use or location of sex) and sexual risk behaviour, none have considered the ‘clustering’ of patterns of situational characteristics.  We derive an initial typo</w:t>
      </w:r>
      <w:r w:rsidR="00AF2D71">
        <w:t>logy of sexual encounters and</w:t>
      </w:r>
      <w:r w:rsidR="00076E6A">
        <w:t xml:space="preserve"> test the relationship of this typology to </w:t>
      </w:r>
      <w:r w:rsidR="001F1815">
        <w:t>condomless</w:t>
      </w:r>
      <w:r w:rsidR="00076E6A">
        <w:t xml:space="preserve"> anal intercourse (</w:t>
      </w:r>
      <w:r w:rsidR="001F1815">
        <w:t>CAI</w:t>
      </w:r>
      <w:r w:rsidR="00076E6A">
        <w:t>) and pleasure.</w:t>
      </w:r>
    </w:p>
    <w:p w14:paraId="1D2D0F0C" w14:textId="7FC6E6D8" w:rsidR="00076E6A" w:rsidRDefault="00076E6A" w:rsidP="00173225">
      <w:pPr>
        <w:spacing w:line="480" w:lineRule="auto"/>
      </w:pPr>
      <w:r>
        <w:rPr>
          <w:b/>
        </w:rPr>
        <w:t>Methods.</w:t>
      </w:r>
      <w:r>
        <w:t xml:space="preserve">  We used data from a longitudinal survey of men who have sex with men living in England.  We estimated multilevel latent class analyses to determine an optimal class solution on the situational characteristics and then used pseudo-imputation to estimate the association between class and both </w:t>
      </w:r>
      <w:r w:rsidR="001F1815">
        <w:t>CAI</w:t>
      </w:r>
      <w:r>
        <w:t xml:space="preserve"> and pleasure.</w:t>
      </w:r>
    </w:p>
    <w:p w14:paraId="484AA50F" w14:textId="0C92FA16" w:rsidR="00076E6A" w:rsidRDefault="00076E6A" w:rsidP="00076E6A">
      <w:pPr>
        <w:spacing w:line="480" w:lineRule="auto"/>
      </w:pPr>
      <w:r>
        <w:rPr>
          <w:b/>
        </w:rPr>
        <w:t>Results.</w:t>
      </w:r>
      <w:r>
        <w:t xml:space="preserve">  A three-class solution fit the data best, with scaled relative entropy of 92.4%.  Classes were characterised as featuring regular steady partners in private locations with low drug use (class 1), casual partners with increased probability of sex occurring in a sex-on-premises venue (class 2), and high levels of polydrug use together increased probability of partners that were not regular steady (class 3).  Encounters were different both in pairwise comparisons and overall on probability of </w:t>
      </w:r>
      <w:r w:rsidR="001F1815">
        <w:t>CAI</w:t>
      </w:r>
      <w:r>
        <w:t>.  They were different overall but not necessarily pairwise on pleasure.</w:t>
      </w:r>
    </w:p>
    <w:p w14:paraId="680F7ED0" w14:textId="166DC715" w:rsidR="00076E6A" w:rsidRPr="00076E6A" w:rsidRDefault="00B64AC7" w:rsidP="00173225">
      <w:pPr>
        <w:spacing w:line="480" w:lineRule="auto"/>
      </w:pPr>
      <w:r>
        <w:rPr>
          <w:b/>
        </w:rPr>
        <w:t>Conclusions</w:t>
      </w:r>
      <w:r w:rsidR="00076E6A">
        <w:rPr>
          <w:b/>
        </w:rPr>
        <w:t>.</w:t>
      </w:r>
      <w:r w:rsidR="00076E6A">
        <w:t xml:space="preserve">  These initial findings demonstrate the possibility of understanding sexual encounters in terms of the contexts, or classes, within which they occur.  This may have implications for tailoring HIV prevention to specific encounter types.  </w:t>
      </w:r>
      <w:r w:rsidR="00AF2D71">
        <w:t>Future research should seek to extend encounter-level typologies to specific drug use variables.</w:t>
      </w:r>
    </w:p>
    <w:p w14:paraId="5489558A" w14:textId="6BB87072" w:rsidR="00852C93" w:rsidRDefault="00B1411D" w:rsidP="00B64AC7">
      <w:pPr>
        <w:spacing w:line="480" w:lineRule="auto"/>
      </w:pPr>
      <w:r>
        <w:rPr>
          <w:b/>
        </w:rPr>
        <w:t>Keywords:</w:t>
      </w:r>
      <w:r w:rsidR="00C34F74">
        <w:t xml:space="preserve"> observational epidemiology; men who have sex with men; latent variable modelling;</w:t>
      </w:r>
      <w:r>
        <w:t xml:space="preserve"> HIV risk</w:t>
      </w:r>
      <w:r w:rsidR="00C34F74">
        <w:t xml:space="preserve"> behaviour</w:t>
      </w:r>
      <w:r w:rsidR="00852C93">
        <w:br w:type="page"/>
      </w:r>
    </w:p>
    <w:p w14:paraId="77B4033D" w14:textId="77777777" w:rsidR="00EA4FD7" w:rsidRPr="00EA4FD7" w:rsidRDefault="00EA4FD7" w:rsidP="003559A2">
      <w:pPr>
        <w:spacing w:line="480" w:lineRule="auto"/>
        <w:rPr>
          <w:b/>
        </w:rPr>
      </w:pPr>
      <w:r>
        <w:rPr>
          <w:b/>
        </w:rPr>
        <w:lastRenderedPageBreak/>
        <w:t>Introduction</w:t>
      </w:r>
    </w:p>
    <w:p w14:paraId="4FED4567" w14:textId="10AF4579" w:rsidR="00D20861" w:rsidRDefault="00982DD4" w:rsidP="003559A2">
      <w:pPr>
        <w:spacing w:line="480" w:lineRule="auto"/>
      </w:pPr>
      <w:r>
        <w:tab/>
      </w:r>
      <w:r w:rsidR="00D20861">
        <w:t xml:space="preserve">To understand associations between situational characteristics and sexual risk behaviour, it is most effective to compare </w:t>
      </w:r>
      <w:r w:rsidR="00E40F20">
        <w:t xml:space="preserve">multiple </w:t>
      </w:r>
      <w:r w:rsidR="00D20861">
        <w:t xml:space="preserve">encounters within </w:t>
      </w:r>
      <w:r w:rsidR="00E40F20">
        <w:t xml:space="preserve">the same </w:t>
      </w:r>
      <w:r w:rsidR="00D20861">
        <w:t xml:space="preserve">subjects </w:t>
      </w:r>
      <w:r w:rsidR="00124470">
        <w:fldChar w:fldCharType="begin" w:fldLock="1"/>
      </w:r>
      <w:r w:rsidR="00287891">
        <w:instrText>ADDIN CSL_CITATION { "citationItems" : [ { "id" : "ITEM-1", "itemData" : { "author" : [ { "dropping-particle" : "", "family" : "Leigh", "given" : "Barbara C", "non-dropping-particle" : "", "parse-names" : false, "suffix" : "" }, { "dropping-particle" : "", "family" : "Stall", "given" : "Ron", "non-dropping-particle" : "", "parse-names" : false, "suffix" : "" } ], "container-title" : "American Psychologist", "id" : "ITEM-1", "issue" : "10", "issued" : { "date-parts" : [ [ "1993" ] ] }, "page" : "1035-1045", "title" : "Substance use and risky sexual behavior for exposure to HIV: issues in methdology, interpretation, and prevention", "type" : "article-journal", "volume" : "48" }, "uris" : [ "http://www.mendeley.com/documents/?uuid=19a47efa-3fe8-4625-a4a4-04cf6c9e5bdc" ] } ], "mendeley" : { "formattedCitation" : "(1)", "plainTextFormattedCitation" : "(1)", "previouslyFormattedCitation" : "(1)" }, "properties" : { "noteIndex" : 0 }, "schema" : "https://github.com/citation-style-language/schema/raw/master/csl-citation.json" }</w:instrText>
      </w:r>
      <w:r w:rsidR="00124470">
        <w:fldChar w:fldCharType="separate"/>
      </w:r>
      <w:r w:rsidR="00612211" w:rsidRPr="00612211">
        <w:rPr>
          <w:noProof/>
        </w:rPr>
        <w:t>(1)</w:t>
      </w:r>
      <w:r w:rsidR="00124470">
        <w:fldChar w:fldCharType="end"/>
      </w:r>
      <w:r w:rsidR="00D20861">
        <w:t xml:space="preserve">. </w:t>
      </w:r>
      <w:r w:rsidR="00852C93">
        <w:t xml:space="preserve"> </w:t>
      </w:r>
      <w:r w:rsidR="00D20861">
        <w:t xml:space="preserve">Within-subjects comparisons can be made in case-crossover analyses or in multilevel models. </w:t>
      </w:r>
      <w:r w:rsidR="00852C93">
        <w:t xml:space="preserve"> </w:t>
      </w:r>
      <w:r w:rsidR="00D20861">
        <w:t xml:space="preserve">Both address confounding by partitioning out variance due to person-level characteristics </w:t>
      </w:r>
      <w:r w:rsidR="00124470">
        <w:fldChar w:fldCharType="begin" w:fldLock="1"/>
      </w:r>
      <w:r w:rsidR="00287891">
        <w:instrText>ADDIN CSL_CITATION { "citationItems" : [ { "id" : "ITEM-1", "itemData" : { "author" : [ { "dropping-particle" : "", "family" : "Maclure", "given" : "M", "non-dropping-particle" : "", "parse-names" : false, "suffix" : "" }, { "dropping-particle" : "", "family" : "Mittleman", "given" : "M A", "non-dropping-particle" : "", "parse-names" : false, "suffix" : "" } ], "container-title" : "Annual review of public health", "id" : "ITEM-1", "issued" : { "date-parts" : [ [ "2000" ] ] }, "page" : "193-221", "title" : "Should we use a case-crossover design?", "type" : "article-journal", "volume" : "21" }, "uris" : [ "http://www.mendeley.com/documents/?uuid=15e05504-8ed5-4f22-a62c-af60f50315e7" ] } ], "mendeley" : { "formattedCitation" : "(2)", "plainTextFormattedCitation" : "(2)", "previouslyFormattedCitation" : "(2)" }, "properties" : { "noteIndex" : 0 }, "schema" : "https://github.com/citation-style-language/schema/raw/master/csl-citation.json" }</w:instrText>
      </w:r>
      <w:r w:rsidR="00124470">
        <w:fldChar w:fldCharType="separate"/>
      </w:r>
      <w:r w:rsidR="00612211" w:rsidRPr="00612211">
        <w:rPr>
          <w:noProof/>
        </w:rPr>
        <w:t>(2)</w:t>
      </w:r>
      <w:r w:rsidR="00124470">
        <w:fldChar w:fldCharType="end"/>
      </w:r>
      <w:r w:rsidR="006407DD">
        <w:t>.</w:t>
      </w:r>
    </w:p>
    <w:p w14:paraId="5C8C5F33" w14:textId="2A9F2330" w:rsidR="00A64710" w:rsidRDefault="006407DD" w:rsidP="00A64710">
      <w:pPr>
        <w:spacing w:line="480" w:lineRule="auto"/>
      </w:pPr>
      <w:r>
        <w:tab/>
      </w:r>
      <w:r w:rsidR="00474B16">
        <w:t>There have been several w</w:t>
      </w:r>
      <w:r w:rsidR="00982DD4">
        <w:t xml:space="preserve">ithin-subjects comparisons </w:t>
      </w:r>
      <w:r w:rsidR="00474B16">
        <w:t xml:space="preserve">of the </w:t>
      </w:r>
      <w:r w:rsidR="00982DD4">
        <w:t xml:space="preserve">situational characteristics </w:t>
      </w:r>
      <w:r w:rsidR="00474B16">
        <w:t>associated with</w:t>
      </w:r>
      <w:r w:rsidR="008D5D35">
        <w:t xml:space="preserve"> </w:t>
      </w:r>
      <w:r w:rsidR="001F1815">
        <w:t>condomless</w:t>
      </w:r>
      <w:r w:rsidR="00982DD4">
        <w:t xml:space="preserve"> anal intercourse </w:t>
      </w:r>
      <w:r w:rsidR="00F051F6">
        <w:t>(</w:t>
      </w:r>
      <w:r w:rsidR="001F1815">
        <w:t>CAI</w:t>
      </w:r>
      <w:r w:rsidR="00F051F6">
        <w:t xml:space="preserve">) </w:t>
      </w:r>
      <w:r w:rsidR="00474B16">
        <w:t>among</w:t>
      </w:r>
      <w:r w:rsidR="00982DD4">
        <w:t xml:space="preserve"> men who have sex with men (MSM), </w:t>
      </w:r>
      <w:r w:rsidR="00474B16">
        <w:t xml:space="preserve">including consideration of </w:t>
      </w:r>
      <w:r w:rsidR="00982DD4">
        <w:t xml:space="preserve">drug use </w:t>
      </w:r>
      <w:r w:rsidR="00124470">
        <w:fldChar w:fldCharType="begin" w:fldLock="1"/>
      </w:r>
      <w:r w:rsidR="00BF6441">
        <w:instrText>ADDIN CSL_CITATION { "citationItems" : [ { "id" : "ITEM-1", "itemData" : { "DOI" : "10.1093/aje/kwh135", "ISBN" : "0002-9262",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J",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"ITEM-1", "issue" : "10", "issued" : { "date-parts" : [ [ "2004" ] ] }, "language" : "English", "note" : "From Duplicate 1 (Substance use and sexual risk: A participant- and episode-level analysis among a cohort of men who have sex with men - Colfax, Grant N; Vittinghoff, E; Husnik, M J; McKirnan, D; Buchbinder, S; Koblin, B; Celum, C; Chesney, M; Huang, Y; Mayer, K; Bozeman, S; Judson, F N; Bryant, K J; Coates, T J)\n\nFrom Duplicate 1 ( \n\n\nSubstance Use and Sexual Risk: A Participant- and Episode-level Analysis among a Cohort of Men Who Have Sex with Men\n\n\n- Colfax, Grant; Vittinghoff, E; Husnik, M J; McKirnan, D; Buchbinder, S; Koblin, B; Celum, C; Chesney, M; Huang, Y; Mayer, K; Bozeman, S; Judson, F N; Bryant, K J; Coates, T J )\n\n\n\n\nFrom Duplicate 1 ( \n\n\nSubstance use and sexual risk: a participant- and episode-level analysis among a cohort of men who have sex with men.\n\n\n- Colfax, G; Vittinghoff, E; Husnik, M J; McKirnan, D; Buchbinder, S; Koblin, B; Celum, C; Chesney, M; Huang, Y; Mayer, K; Bozeman, S; Judson, F N; Bryant, K J; Coates, T J )\n\n\n\nAccession Number: 2005071270. Corporate Author: EXPLORE Study Team. Language: English. Entry Date: 20050429. Revision Date: 20091218. Publication Type: journal article; research; tables/charts. Journal Subset: Biomedical; Editorial Board Reviewed; Expert Peer Reviewed; Online/Print; Peer Reviewed; Public Health; USA. Special Interest: Public Health. Grant Information: HIV Preventiion Trials Network and was sponsored by the National Institute of Allergy and Infectious Diseases and the National Institute on Alcohol Abuse and Alcoholism of the National Institutes of Health, US Department of Health and Human Services, through contract N01 AI35176 with Abt Associates Inc; contract N01 AI45200 with the Fred Hutchinson Cancer Research Center; and subcontracts with the Denver Department of Health and Hospitals, the Fenway Community Health Center, the Howard Brown Health Center, the New York Blood Center, the Public Health Foundation Inc., and the University of Washington; also supported in part by the National Institute on Drug Abuse through a mentored patient-oriented research (K23) award. No. of Refs: 40 ref. NLM UID: 7910653. Email: Grant_Colfax@sfdph.org", "page" : "1002-1012", "title" : "Substance use and sexual risk: A participant- and episode-level analysis among a cohort of men who have sex with men", "type" : "article-journal", "volume" : "159" }, "uris" : [ "http://www.mendeley.com/documents/?uuid=bc65d885-0b6f-485b-bfa8-316af26be35d" ] }, { "id" : "ITEM-2", "itemData" : { "ISBN" : "1573-3254", "ISSN" : "1573-3254", "PMID" : "22392156", "abstract" : "Men who have sex with men (MSM) make up nearly half of all people living with HIV in the United States. The prevalence of the epidemic in this population makes it vitally important to understand the transmission of the infection and to develop methods to prevent its spread. The current study uses longitudinal diary methods to examine relationships between substance use and unprotected anal intercourse in a sample of 158 HIV-positive, mostly ethnic minority MSM. Results indicate that both general substance use and use of specific drugs (i.e., inhalants, cocaine, crack, and club drugs) have a substantial impact on the sexual risk behavior of this population.", "author" : [ { "dropping-particle" : "", "family" : "Boone", "given" : "Melissa R", "non-dropping-particle" : "", "parse-names" : false, "suffix" : "" }, { "dropping-particle" : "", "family" : "Cook", "given" : "Stephanie H", "non-dropping-particle" : "", "parse-names" : false, "suffix" : "" }, { "dropping-particle" : "", "family" : "Wilson", "given" : "Patrick", "non-dropping-particle" : "", "parse-names" : false, "suffix" : "" } ], "container-title" : "AIDS and behavior", "id" : "ITEM-2", "issue" : "5", "issued" : { "date-parts" : [ [ "2013" ] ] }, "page" : "1883-1887", "title" : "Substance use and sexual risk behavior in HIV-positive men who have sex with men: An episode-level analysis.", "type" : "article-journal", "volume" : "17" }, "uris" : [ "http://www.mendeley.com/documents/?uuid=260cfa18-781d-4a03-82e5-0b3bec386e42" ] }, { "id" : "ITEM-3", "itemData" : { "ISBN" : "1082-6084, 1082-6084", "ISSN" : "1082-6084", "abstract" : "A 2004 - 2005 survey among 503 men who have sex with men who attend public venues in New York City was used to examine the relationship of amphetamine use with sexual risk behaviors. Among the men recruited, 51.1% were under 30 years of age, 27.4% were Latino, and 23.3% were African American. Most identified as either gay ( 78.9%) or bisexual ( 18.1%). A standardized questionnaire collected data on demographics, sexual risk behaviors, drug and alcohol use, history of HIV testing, and occurrences of sexually transmitted infections. Amphetamine use in the past year was reported by 13.8%. Of those, 71.0% used amphetamines with sex. Amphetamine use was associated with unprotected receptive anal intercourse with non- main partners. In event- specific analysis, amphetamine use was higher with unprotected encounters compared with protected encounters. This study confirms the association between amphetamine use and sexual risk furthers our understanding of risky circumstances and lays the groundwork for the design of interventions.", "author" : [ { "dropping-particle" : "", "family" : "Koblin", "given" : "Beryl A", "non-dropping-particle" : "", "parse-names" : false, "suffix" : "" }, { "dropping-particle" : "", "family" : "Murrill", "given" : "Christopher", "non-dropping-particle" : "", "parse-names" : false, "suffix" : "" }, { "dropping-particle" : "", "family" : "Camacho", "given" : "Michael", "non-dropping-particle" : "", "parse-names" : false, "suffix" : "" }, { "dropping-particle" : "", "family" : "Xu", "given" : "Guozhen", "non-dropping-particle" : "", "parse-names" : false, "suffix" : "" }, { "dropping-particle" : "", "family" : "Liu", "given" : "Kai-Lih", "non-dropping-particle" : "", "parse-names" : false, "suffix" : "" }, { "dropping-particle" : "", "family" : "Raj-Singh", "given" : "Shavvy", "non-dropping-particle" : "", "parse-names" : false, "suffix" : "" }, { "dropping-particle" : "", "family" : "Torian", "given" : "Lucia", "non-dropping-particle" : "", "parse-names" : false, "suffix" : "" } ], "container-title" : "SUBSTANCE USE &amp; MISUSE", "id" : "ITEM-3", "issue" : "10", "issued" : { "date-parts" : [ [ "2007" ] ] }, "page" : "1613-1628", "title" : "Amphetamine use and sexual risk among men who have sex with men: Results from the National HIV Behavioral Surveillance study - New York City", "type" : "article-journal", "volume" : "42" }, "uris" : [ "http://www.mendeley.com/documents/?uuid=d90094d3-f8c4-471b-adfa-ce402f3f9246" ] }, { "id" : "ITEM-4", "itemData" : { "ISBN" : "1573-3254", "abstract" : "Men who have sex with men (MSM) are substantially impacted by HIV/AIDS in the United States. Alcohol use is frequently studied as a predictor of sexual risk in MSM, but findings for this association have been mixed. Developmental differences in this effect may help to explain equivocal findings. 143 MSM (analytic sample 137) ages 16-40 completed weekly diaries of sexual encounters and associated situational factors for 12weeks. Analyses were conducted with Hierarchical Linear Modeling. Alcohol use before sex was not associated with sexual risk across all participants. Participant age moderated this effect; alcohol use before sex was associated with increased odds of sexual risk in younger MSM only. These analyses expand on previous findings by utilizing a wider age range than most prior studies and adjusting for the effects of several theoretically-selected covariates. Young MSM are an important group to target for addressing alcohol use in the context of sexual behavior.", "author" : [ { "dropping-particle" : "", "family" : "Newcomb", "given" : "Michael E", "non-dropping-particle" : "", "parse-names" : false, "suffix" : "" } ], "container-title" : "AIDS and behavior", "id" : "ITEM-4", "issue" : "5", "issued" : { "date-parts" : [ [ "2013" ] ] }, "page" : "1746-1754", "title" : "Moderating effect of age on the association between alcohol use and sexual risk in MSM: Evidence for elevated risk among younger MSM.", "type" : "article-journal", "volume" : "17" }, "uris" : [ "http://www.mendeley.com/documents/?uuid=ca4c0a64-651b-4c2d-90b6-befb788dcd47" ] } ], "mendeley" : { "formattedCitation" : "(3\u20136)", "plainTextFormattedCitation" : "(3\u20136)", "previouslyFormattedCitation" : "(3\u20136)" }, "properties" : { "noteIndex" : 0 }, "schema" : "https://github.com/citation-style-language/schema/raw/master/csl-citation.json" }</w:instrText>
      </w:r>
      <w:r w:rsidR="00124470">
        <w:fldChar w:fldCharType="separate"/>
      </w:r>
      <w:r w:rsidR="00612211" w:rsidRPr="00612211">
        <w:rPr>
          <w:noProof/>
        </w:rPr>
        <w:t>(3–6)</w:t>
      </w:r>
      <w:r w:rsidR="00124470">
        <w:fldChar w:fldCharType="end"/>
      </w:r>
      <w:r w:rsidR="00982DD4">
        <w:t xml:space="preserve">, venue of sex </w:t>
      </w:r>
      <w:r w:rsidR="00124470">
        <w:fldChar w:fldCharType="begin" w:fldLock="1"/>
      </w:r>
      <w:r w:rsidR="00BF6441">
        <w:instrText>ADDIN CSL_CITATION { "citationItems" : [ { "id" : "ITEM-1",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"ITEM-1", "issue" : "1", "issued" : { "date-parts" : [ [ "2005" ] ] }, "note" : "From Duplicate 2 ( \n\n\nContexts for last occasions of unprotected anal intercourse among HIV-negative gay men in Sydney: the health in men cohort\n\n\n- de Ven, P Van; Grulich, A; Kaldor, J; Kippax, S; Mao, L; Prestage, G; Van de Ven, P )\n\n\n\n\nFrom Duplicate 2 ( \n\n\nContexts for last occasions of unprotected anal intercourse among HIV-negative gay men in Sydney: the health in men cohort\n\n\n- de Ven, P Van; Grulich, A; Kaldor, J; Kippax, S; Mao, L; Prestage, G )\n\n\n\nDate revised - 2005-06-13\n\n\nLanguage of summary - English\n\n\nPages - 23-32\n\n\nProQuest ID - 57132420\n\n\nDocument feature - refs. tbls.\n\n\nSubjectsTermNotLitGenreText - HIV; Homosexuals; Men; Anal intercourse; Risk behaviour; Contextual factors; Australia; Sydney\n\n\nLast updated - 2011-11-01\n\n\nBritish nursing index edition - AIDS Care; 17 (1) Jan 2005, pp.23-32\n\n\nCorporate institution author - de Ven, P Van; Grulich, A; Kaldor, J; Kippax, S; Mao, L; Prestage, G\n\n\nDOI - ASIA-301198199; 345667; 0773.083190; 0954-0121", "page" : "23-32", "title" : "Contexts for last occasions of unprotected anal intercourse among HIV-negative gay men in Sydney: the health in men cohort.", "type" : "article-journal", "volume" : "17" }, "uris" : [ "http://www.mendeley.com/documents/?uuid=e28415b8-0d6c-457e-b3d1-53f26fd4dd9a" ] }, { "id" : "ITEM-2", "itemData" : {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"ITEM-2", "issue" : "6", "issued" : { "date-parts" : [ [ "2008" ] ] }, "page" : "506-508", "title" : "Situational predictors of sexual risk episodes among men with HIV who have sex with men", "type" : "article-journal", "volume" : "84" }, "uris" : [ "http://www.mendeley.com/documents/?uuid=9e7297a7-0d52-42d1-b7d7-43e0e12a7a78" ] }, { "id" : "ITEM-3", "itemData" : { "ISSN" : "0954-0121, 0954-0121", "abstract" : "Latino men who have sex with men (MSM) constitute a group at high risk for HIV. Recent approaches to understanding sexual risk have emphasized the role that contextual factors can play in shaping behavior. This study examined sexual behavior of Latino MSM in private and public settings. First, a within-person comparison of behaviors performed in sexual encounters that occurred in public and private settings was conducted. Unprotected anal intercourse (UAI) and other sexual behaviors involving anal stimulation were more common in private settings; group sex was more likely in public settings. Second, a between-person analysis compared sexual behaviors of MSM who went to three different types of public sex settings during the past six months. The types were: (1) commercial sex venues (CSVs), which were defined as businesses with the function of providing a space where MSM can go to have sexual encounters, such as gay bathhouses; (2) commercial sex environments (CSEs), which were defined as businesses with another apparent function, but in which MSM sometimes have sexual encounters, such as gay bars or pornographic movie houses; and (3) public sex environments (PSEs), which were defined as free public areas where MSM can go to find partners for anonymous sex, such as parks or public restrooms. Results indicated that anal sexual behavior was most likely to occur in CSVs and least likely in PSEs, but the probability of UAI was not found to differ among the three types of settings. Behavioral differences were discussed in terms of structural conditions related to privacy and safety, and psychological factors related to intimacy. Adapted from the source document.", "author" : [ { "dropping-particle" : "", "family" : "Reisen", "given" : "Carol A", "non-dropping-particle" : "", "parse-names" : false, "suffix" : "" }, { "dropping-particle" : "", "family" : "Iracheta", "given" : "Miguel A", "non-dropping-particle" : "", "parse-names" : false, "suffix" : "" }, { "dropping-particle" : "", "family" : "Zea", "given" : "Maria Cecilia", "non-dropping-particle" : "", "parse-names" : false, "suffix" : "" }, { "dropping-particle" : "", "family" : "Bianchi", "given" : "Fernanda T", "non-dropping-particle" : "", "parse-names" : false, "suffix" : "" }, { "dropping-particle" : "", "family" : "Poppen", "given" : "Paul J", "non-dropping-particle" : "", "parse-names" : false, "suffix" : "" } ], "container-title" : "AIDS Care", "id" : "ITEM-3", "issue" : "6", "issued" : { "date-parts" : [ [ "2010" ] ] }, "language" : "English", "note" : "Date revised - 2010-10-21\n\n\nLast updated - 2011-11-01\n\n\nCODEN - AIDCEF\n\n\nSubjectsTermNotLitGenreText - Homosexuals; Sexual behaviour; Latin American people; Businesses; Sex venues; Houses", "page" : "697-704", "title" : "Sex in public and private settings among Latino MSM", "type" : "article-journal", "volume" : "22" }, "uris" : [ "http://www.mendeley.com/documents/?uuid=80be694c-6324-408e-a930-ee9732ebe181" ] }, { "id" : "ITEM-4", "itemData" : { "ISBN" : "1368-4973", "abstract" : "OBJECTIVE: To describe individual, social network and encounter specific factors associated with protected anal intercourse (PAI) and unprotected anal intercourse (UAI)., METHODS: This was a cross sectional survey conducted between April and November 2002. A total of 733 sexual encounters were reported by 202 men recruited from the gay community in Melbourne, Australia. Predictors of self reported PAI and UAI were examined., RESULTS: Of the 733 sexual events most (56.3%) did not involve anal intercourse, and more involved PAI than UAI (30.6% versus 13.1%). PAI was more likely than no anal intercourse (NAI) if the participant's social network was mostly homosexual, the partner was an occasional or casual partner, or was HIV positive. PAI was less likely if sex took place at a \"beat\" but more likely if it took place at a sauna. PAI was more likely if the partner was affected by drugs or alcohol. UAI was more likely than NAI if the participant had injected drugs in the year before interview. It was less likely if the partner was occasional or casual or was HIV positive but more likely if the partner's HIV status was unknown. UAI was much more likely than NAI if the encounter took place at a \"sex on premises\" venue., CONCLUSIONS: In this analysis it is the characteristics of the sexual encounter that predict whether PAI or UAI rather than NAI takes place.", "author" : [ { "dropping-particle" : "", "family" : "Smith", "given" : "A M A", "non-dropping-particle" : "", "parse-names" : false, "suffix" : "" }, { "dropping-particle" : "", "family" : "Grierson", "given" : "J", "non-dropping-particle" : "", "parse-names" : false, "suffix" : "" }, { "dropping-particle" : "", "family" : "Pitts", "given" : "M", "non-dropping-particle" : "", "parse-names" : false, "suffix" : "" }, { "dropping-particle" : "", "family" : "Pattison", "given" : "P", "non-dropping-particle" : "", "parse-names" : false, "suffix" : "" } ], "container-title" : "Sexually Transmitted Infections", "id" : "ITEM-4", "issue" : "6", "issued" : { "date-parts" : [ [ "2006" ] ] }, "page" : "474-477", "title" : "Individual characteristics are less important than event characteristics in predicting protected and unprotected anal intercourse among homosexual and bisexual men in Melbourne, Australia.", "type" : "article-journal", "volume" : "82" }, "uris" : [ "http://www.mendeley.com/documents/?uuid=4fd8c5a8-56af-4456-ad1e-b4cefe46db5f" ] } ], "mendeley" : { "formattedCitation" : "(7\u201310)", "plainTextFormattedCitation" : "(7\u201310)", "previouslyFormattedCitation" : "(7\u201310)" }, "properties" : { "noteIndex" : 0 }, "schema" : "https://github.com/citation-style-language/schema/raw/master/csl-citation.json" }</w:instrText>
      </w:r>
      <w:r w:rsidR="00124470">
        <w:fldChar w:fldCharType="separate"/>
      </w:r>
      <w:r w:rsidR="00612211" w:rsidRPr="00612211">
        <w:rPr>
          <w:noProof/>
        </w:rPr>
        <w:t>(7–10)</w:t>
      </w:r>
      <w:r w:rsidR="00124470">
        <w:fldChar w:fldCharType="end"/>
      </w:r>
      <w:r w:rsidR="00982DD4">
        <w:t>, partner seroconcordance</w:t>
      </w:r>
      <w:r w:rsidR="00FF731D">
        <w:t xml:space="preserve"> </w:t>
      </w:r>
      <w:r w:rsidR="00124470">
        <w:fldChar w:fldCharType="begin" w:fldLock="1"/>
      </w:r>
      <w:r w:rsidR="00BF6441">
        <w:instrText>ADDIN CSL_CITATION { "citationItems" : [ { "id" : "ITEM-1", "itemData" : { "ISBN" : "1573-3254", "ISSN" : "1573-3254", "PMID" : "18985447", "abstract" : "It is important to understand situational factors linked to episodes of unprotected sexual intercourse among Latino gay men (LGM), who are disproportionately affected by HIV/AIDS in the U.S. Past research has suggested that participation in difficult sexual situations mediates the relationship between socio-cultural factors and sexual risk behaviors among LGM. This study examined drug use by self and sex partners, interpersonal factors, and other key variables, each examined at the situation-level of analysis, as predictors of episodes of unprotected anal intercourse (UAI) among LGM. Study participants included 270 LGM living in New York City, Miami, and Los Angeles who reported inconsistent condom use during anal intercourse in the last year. Men participated in structured interviews in which they were asked sets of detailed questions about their most recent episode of anal intercourse in which they used condoms, and their most recent anal intercourse episode in which they did not use condoms. Conditional logistic regression was used to compare the relevance of specific situational factors to participants' episodes of UAI and protected anal intercourse. We found that drug use by a sex partner and lacks of discussions about condom use with partners, among other situational factors, were significantly related to episodes of UAI. The findings highlight the importance of considering the impact of sexual situations and interactions with sex partners when studying HIV risk among LGM and when designing interventions.", "author" : [ { "dropping-particle" : "", "family" : "Wilson", "given" : "Patrick A", "non-dropping-particle" : "", "parse-names" : false, "suffix" : "" }, { "dropping-particle" : "", "family" : "D\u00edaz", "given" : "Rafael M", "non-dropping-particle" : "", "parse-names" : false, "suffix" : "" }, { "dropping-particle" : "", "family" : "Yoshikawa", "given" : "Hirokazu", "non-dropping-particle" : "", "parse-names" : false, "suffix" : "" }, { "dropping-particle" : "", "family" : "Shrout", "given" : "Patrick E Y", "non-dropping-particle" : "", "parse-names" : false, "suffix" : "" }, { "dropping-particle" : "", "family" : "Diaz", "given" : "Rafael M", "non-dropping-particle" : "", "parse-names" : false, "suffix" : "" } ], "container-title" : "AIDS and behavior", "id" : "ITEM-1", "issue" : "4", "issued" : { "date-parts" : [ [ "2009" ] ] }, "note" : "From Duplicate 1 ( \n\n\nDrug Use, Interpersonal Attraction, and Communication: Situational Factors as Predictors of Episodes of Unprotected Anal Intercourse among Latino Gay Men\n\n\n- Wilson, Patrick A; Diaz, Rafael M; Yoshikawa, Hirokazu; Shrout, Patrick E Y )\n\n\n\n\n\n\n\n\nFrom Duplicate 2 ( \n\n\nDrug use, interpersonal attraction, and communication: situational factors as predictors of episodes of unprotected anal intercourse among Latino gay men.\n\n\n- Wilson, Patrick; D\u00edaz, Rafael M; Yoshikawa, Hirokazu; Shrout, Patrick E; Diaz, Rafael M )\n\n\n\n\nFrom Duplicate 2 ( \n\n\nDrug use, interpersonal attraction, and communication: situational factors as predictors of episodes of unprotected anal intercourse among Latino gay men.\n\n\n- Wilson, Patrick a; D\u00edaz, Rafael M; Yoshikawa, Hirokazu; Shrout, Patrick E; Diaz, Rafael M )\n\n\n\n\nFrom Duplicate 1 ( \n\n\nDrug use, interpersonal attraction, and communication: situational factors as predictors of episodes of unprotected anal intercourse among Latino gay men.\n\n\n- Wilson, Patrick a; D\u00edaz, Rafael M; Yoshikawa, Hirokazu; Shrout, Patrick E; Diaz, Rafael M )\n\n\n\n\nFrom Duplicate 1 ( \n\n\nDrug Use, Interpersonal Attraction, and Communication: Situational Factors as Predictors of Episodes of Unprotected Anal Intercourse among Latino Gay Men\n\n\n- Wilson, Patrick A; Diaz, Rafael M; Yoshikawa, Hirokazu; Shrout, Patrick E )\n\n\n\nDate revised - 2010-02-01\n\n\nLanguage of summary - English\n\n\nPages - 691-699\n\n\nProQuest ID - 293846334\n\n\nSubjectsTermNotLitGenreText - Interpersonal Attraction; Males; Homosexuality; Sexual Behavior; Condoms; Latin American Cultural Groups; Drug Abuse\n\n\nLast updated - 2011-11-05\n\n\nCorporate institution author - Wilson, Patrick A; Diaz, Rafael M; Yoshikawa, Hirokazu; Shrout, Patrick E\n\n\nDOI - OB-MD-0010123559; 10306522; 1090-7165; 1573-3254", "page" : "691-9", "title" : "Drug use, interpersonal attraction, and communication: situational factors as predictors of episodes of unprotected anal intercourse among Latino gay men.", "type" : "article-journal", "volume" : "13" }, "uris" : [ "http://www.mendeley.com/documents/?uuid=95eeb411-607f-46a2-9e81-a604d9292c0f" ] }, { "id" : "ITEM-2", "itemData" : { "ISBN" : "1525-4135", "abstract" : "Background: Men who have sex with men (MSM) account for more than half of new HIV infections each year, and young black MSM experience the highest incidence rates. Black MSM have not been found to engage in more HIV risk behaviors, and it has been proposed that sexual network factors (racially homophilous networks) and partnership characteristics (influence of older partners and familiarity with partners) may help account for this disparity. Methods: One hundred forty-three ethnically diverse MSM were enrolled in an online prospective diary study of sexual behavior. Participants completed weekly diaries of sexual encounters and associated situational factors for 12 weeks. All analyses were conducted with Hierarchical Linear Modeling software. Results: Black MSM reported significantly less unprotected sex than other groups and were the most racially homophilous group in terms of sexual partnerships. Having older sexual partners and familiarity with partners were both associated with increased odds of sexual risk in black MSM only. A 3-way interaction between participant age, participant race, and sexual partner age revealed a strong association between having older partners and odds of sexual risk for young black MSM, and a strong association between having younger partners and sexual risk for older nonblack MSM. Conclusions: Findings expand upon previous theory and crosssectional research. Results indicate that some of the driving forces behind the disproportionate HIV incidence in black MSM may be the greater likelihood of racially homophilous sexual networks combined with the stronger influence of sexual partner age and familiarity with partners on condom use. Copyright 2012 by Lippincott Williams and Wilkins.", "author" : [ { "dropping-particle" : "", "family" : "Newcomb", "given" : "Michael E", "non-dropping-particle" : "", "parse-names" : false, "suffix" : "" }, { "dropping-particle" : "", "family" : "Mustanski", "given" : "Brian S", "non-dropping-particle" : "", "parse-names" : false, "suffix" : "" } ], "container-title" : "Journal of Acquired Immune Deficiency Syndromes", "id" : "ITEM-2", "issue" : "3", "issued" : { "date-parts" : [ [ "2013" ] ] }, "page" : "329-333", "title" : "Racial differences in same-race partnering and the effects of sexual partnership characteristics on HIV risk in MSM: A prospective sexual diary study", "type" : "article-journal", "volume" : "62" }, "uris" : [ "http://www.mendeley.com/documents/?uuid=8c9aeec8-789c-4e8d-9ea6-c418a7185453" ] }, { "id" : "ITEM-3", "itemData" : { "ISBN" : "1573-3254", "abstract" : "Theoretical models of sexual risk-taking have traditionally focused on personal characteristics, but conceptual approaches emphasizing the social and situational context have also been proposed. This study examined the impact of characteristics of the person and of the sexual encounter on unprotected anal intercourse (UAI) among 482 immigrant Latino MSM. Analyses included logistic regression and hierarchical linear modeling. The personal characteristic of self-efficacy for safer sex was negatively associated with UAI over the previous three months, at the most recent encounter, and over multiple encounters reported by each participant. In addition, a cross-level interaction of self-efficacy at the person-level and sexual desire at the encounter-level showed that increased sexual desire was associated with greater likelihood of UAI for those with low self-efficacy, but not those with high self-efficacy. Likelihood of UAI was also linked to the situational characteristics of closeness to the partner, seroconcordance, and concern about STIs in the encounter.", "author" : [ { "dropping-particle" : "", "family" : "Zea", "given" : "Maria Cecilia", "non-dropping-particle" : "", "parse-names" : false, "suffix" : "" }, { "dropping-particle" : "", "family" : "Reisen", "given" : "Carol A", "non-dropping-particle" : "", "parse-names" : false, "suffix" : "" }, { "dropping-particle" : "", "family" : "Poppen", "given" : "Paul J", "non-dropping-particle" : "", "parse-names" : false, "suffix" : "" }, { "dropping-particle" : "", "family" : "Bianchi", "given" : "Fernanda T", "non-dropping-particle" : "", "parse-names" : false, "suffix" : "" } ], "container-title" : "AIDS and behavior", "id" : "ITEM-3", "issue" : "4", "issued" : { "date-parts" : [ [ "2009" ] ] }, "page" : "700-715", "title" : "Unprotected anal intercourse among immigrant Latino MSM: the role of characteristics of the person and the sexual encounter.", "type" : "article-journal", "volume" : "13" }, "uris" : [ "http://www.mendeley.com/documents/?uuid=2985c366-3828-4709-9f6a-91b3923f9628" ] } ], "mendeley" : { "formattedCitation" : "(11\u201313)", "plainTextFormattedCitation" : "(11\u201313)", "previouslyFormattedCitation" : "(11\u201313)" }, "properties" : { "noteIndex" : 0 }, "schema" : "https://github.com/citation-style-language/schema/raw/master/csl-citation.json" }</w:instrText>
      </w:r>
      <w:r w:rsidR="00124470">
        <w:fldChar w:fldCharType="separate"/>
      </w:r>
      <w:r w:rsidR="00612211" w:rsidRPr="00612211">
        <w:rPr>
          <w:noProof/>
        </w:rPr>
        <w:t>(11–13)</w:t>
      </w:r>
      <w:r w:rsidR="00124470">
        <w:fldChar w:fldCharType="end"/>
      </w:r>
      <w:r w:rsidR="008D5D35">
        <w:t xml:space="preserve"> and </w:t>
      </w:r>
      <w:r w:rsidR="00474B16">
        <w:t xml:space="preserve">the </w:t>
      </w:r>
      <w:r w:rsidR="008D5D35">
        <w:t xml:space="preserve">relationship </w:t>
      </w:r>
      <w:r w:rsidR="00474B16">
        <w:t>between partners</w:t>
      </w:r>
      <w:r w:rsidR="008D5D35">
        <w:t xml:space="preserve"> </w:t>
      </w:r>
      <w:r w:rsidR="00124470">
        <w:fldChar w:fldCharType="begin" w:fldLock="1"/>
      </w:r>
      <w:r w:rsidR="00BF6441">
        <w:instrText>ADDIN CSL_CITATION { "citationItems" : [ { "id" : "ITEM-1", "itemData" : { "ISBN" : "1573-3254", "ISSN" : "1573-3254", "PMID" : "18985447", "abstract" : "It is important to understand situational factors linked to episodes of unprotected sexual intercourse among Latino gay men (LGM), who are disproportionately affected by HIV/AIDS in the U.S. Past research has suggested that participation in difficult sexual situations mediates the relationship between socio-cultural factors and sexual risk behaviors among LGM. This study examined drug use by self and sex partners, interpersonal factors, and other key variables, each examined at the situation-level of analysis, as predictors of episodes of unprotected anal intercourse (UAI) among LGM. Study participants included 270 LGM living in New York City, Miami, and Los Angeles who reported inconsistent condom use during anal intercourse in the last year. Men participated in structured interviews in which they were asked sets of detailed questions about their most recent episode of anal intercourse in which they used condoms, and their most recent anal intercourse episode in which they did not use condoms. Conditional logistic regression was used to compare the relevance of specific situational factors to participants' episodes of UAI and protected anal intercourse. We found that drug use by a sex partner and lacks of discussions about condom use with partners, among other situational factors, were significantly related to episodes of UAI. The findings highlight the importance of considering the impact of sexual situations and interactions with sex partners when studying HIV risk among LGM and when designing interventions.", "author" : [ { "dropping-particle" : "", "family" : "Wilson", "given" : "Patrick A", "non-dropping-particle" : "", "parse-names" : false, "suffix" : "" }, { "dropping-particle" : "", "family" : "D\u00edaz", "given" : "Rafael M", "non-dropping-particle" : "", "parse-names" : false, "suffix" : "" }, { "dropping-particle" : "", "family" : "Yoshikawa", "given" : "Hirokazu", "non-dropping-particle" : "", "parse-names" : false, "suffix" : "" }, { "dropping-particle" : "", "family" : "Shrout", "given" : "Patrick E Y", "non-dropping-particle" : "", "parse-names" : false, "suffix" : "" }, { "dropping-particle" : "", "family" : "Diaz", "given" : "Rafael M", "non-dropping-particle" : "", "parse-names" : false, "suffix" : "" } ], "container-title" : "AIDS and behavior", "id" : "ITEM-1", "issue" : "4", "issued" : { "date-parts" : [ [ "2009" ] ] }, "note" : "From Duplicate 1 ( \n\n\nDrug Use, Interpersonal Attraction, and Communication: Situational Factors as Predictors of Episodes of Unprotected Anal Intercourse among Latino Gay Men\n\n\n- Wilson, Patrick A; Diaz, Rafael M; Yoshikawa, Hirokazu; Shrout, Patrick E Y )\n\n\n\n\n\n\n\n\nFrom Duplicate 2 ( \n\n\nDrug use, interpersonal attraction, and communication: situational factors as predictors of episodes of unprotected anal intercourse among Latino gay men.\n\n\n- Wilson, Patrick; D\u00edaz, Rafael M; Yoshikawa, Hirokazu; Shrout, Patrick E; Diaz, Rafael M )\n\n\n\n\nFrom Duplicate 2 ( \n\n\nDrug use, interpersonal attraction, and communication: situational factors as predictors of episodes of unprotected anal intercourse among Latino gay men.\n\n\n- Wilson, Patrick a; D\u00edaz, Rafael M; Yoshikawa, Hirokazu; Shrout, Patrick E; Diaz, Rafael M )\n\n\n\n\nFrom Duplicate 1 ( \n\n\nDrug use, interpersonal attraction, and communication: situational factors as predictors of episodes of unprotected anal intercourse among Latino gay men.\n\n\n- Wilson, Patrick a; D\u00edaz, Rafael M; Yoshikawa, Hirokazu; Shrout, Patrick E; Diaz, Rafael M )\n\n\n\n\nFrom Duplicate 1 ( \n\n\nDrug Use, Interpersonal Attraction, and Communication: Situational Factors as Predictors of Episodes of Unprotected Anal Intercourse among Latino Gay Men\n\n\n- Wilson, Patrick A; Diaz, Rafael M; Yoshikawa, Hirokazu; Shrout, Patrick E )\n\n\n\nDate revised - 2010-02-01\n\n\nLanguage of summary - English\n\n\nPages - 691-699\n\n\nProQuest ID - 293846334\n\n\nSubjectsTermNotLitGenreText - Interpersonal Attraction; Males; Homosexuality; Sexual Behavior; Condoms; Latin American Cultural Groups; Drug Abuse\n\n\nLast updated - 2011-11-05\n\n\nCorporate institution author - Wilson, Patrick A; Diaz, Rafael M; Yoshikawa, Hirokazu; Shrout, Patrick E\n\n\nDOI - OB-MD-0010123559; 10306522; 1090-7165; 1573-3254", "page" : "691-9", "title" : "Drug use, interpersonal attraction, and communication: situational factors as predictors of episodes of unprotected anal intercourse among Latino gay men.", "type" : "article-journal", "volume" : "13" }, "uris" : [ "http://www.mendeley.com/documents/?uuid=95eeb411-607f-46a2-9e81-a604d9292c0f" ] }, { "id" : "ITEM-2", "itemData" : { "ISBN" : "1368-4973", "abstract" : "OBJECTIVE: To describe individual, social network and encounter specific factors associated with protected anal intercourse (PAI) and unprotected anal intercourse (UAI)., METHODS: This was a cross sectional survey conducted between April and November 2002. A total of 733 sexual encounters were reported by 202 men recruited from the gay community in Melbourne, Australia. Predictors of self reported PAI and UAI were examined., RESULTS: Of the 733 sexual events most (56.3%) did not involve anal intercourse, and more involved PAI than UAI (30.6% versus 13.1%). PAI was more likely than no anal intercourse (NAI) if the participant's social network was mostly homosexual, the partner was an occasional or casual partner, or was HIV positive. PAI was less likely if sex took place at a \"beat\" but more likely if it took place at a sauna. PAI was more likely if the partner was affected by drugs or alcohol. UAI was more likely than NAI if the participant had injected drugs in the year before interview. It was less likely if the partner was occasional or casual or was HIV positive but more likely if the partner's HIV status was unknown. UAI was much more likely than NAI if the encounter took place at a \"sex on premises\" venue., CONCLUSIONS: In this analysis it is the characteristics of the sexual encounter that predict whether PAI or UAI rather than NAI takes place.", "author" : [ { "dropping-particle" : "", "family" : "Smith", "given" : "A M A", "non-dropping-particle" : "", "parse-names" : false, "suffix" : "" }, { "dropping-particle" : "", "family" : "Grierson", "given" : "J", "non-dropping-particle" : "", "parse-names" : false, "suffix" : "" }, { "dropping-particle" : "", "family" : "Pitts", "given" : "M", "non-dropping-particle" : "", "parse-names" : false, "suffix" : "" }, { "dropping-particle" : "", "family" : "Pattison", "given" : "P", "non-dropping-particle" : "", "parse-names" : false, "suffix" : "" } ], "container-title" : "Sexually Transmitted Infections", "id" : "ITEM-2", "issue" : "6", "issued" : { "date-parts" : [ [ "2006" ] ] }, "page" : "474-477", "title" : "Individual characteristics are less important than event characteristics in predicting protected and unprotected anal intercourse among homosexual and bisexual men in Melbourne, Australia.", "type" : "article-journal", "volume" : "82" }, "uris" : [ "http://www.mendeley.com/documents/?uuid=4fd8c5a8-56af-4456-ad1e-b4cefe46db5f" ] }, { "id" : "ITEM-3", "itemData" : { "ISBN" : "1573-3254", "abstract" : "Men who have sex with men (MSM) are substantially impacted by HIV/AIDS in the United States. Alcohol use is frequently studied as a predictor of sexual risk in MSM, but findings for this association have been mixed. Developmental differences in this effect may help to explain equivocal findings. 143 MSM (analytic sample 137) ages 16-40 completed weekly diaries of sexual encounters and associated situational factors for 12weeks. Analyses were conducted with Hierarchical Linear Modeling. Alcohol use before sex was not associated with sexual risk across all participants. Participant age moderated this effect; alcohol use before sex was associated with increased odds of sexual risk in younger MSM only. These analyses expand on previous findings by utilizing a wider age range than most prior studies and adjusting for the effects of several theoretically-selected covariates. Young MSM are an important group to target for addressing alcohol use in the context of sexual behavior.", "author" : [ { "dropping-particle" : "", "family" : "Newcomb", "given" : "Michael E", "non-dropping-particle" : "", "parse-names" : false, "suffix" : "" } ], "container-title" : "AIDS and behavior", "id" : "ITEM-3", "issue" : "5", "issued" : { "date-parts" : [ [ "2013" ] ] }, "page" : "1746-1754", "title" : "Moderating effect of age on the association between alcohol use and sexual risk in MSM: Evidence for elevated risk among younger MSM.", "type" : "article-journal", "volume" : "17" }, "uris" : [ "http://www.mendeley.com/documents/?uuid=ca4c0a64-651b-4c2d-90b6-befb788dcd47" ] } ], "mendeley" : { "formattedCitation" : "(6,10,11)", "plainTextFormattedCitation" : "(6,10,11)", "previouslyFormattedCitation" : "(6,10,11)" }, "properties" : { "noteIndex" : 0 }, "schema" : "https://github.com/citation-style-language/schema/raw/master/csl-citation.json" }</w:instrText>
      </w:r>
      <w:r w:rsidR="00124470">
        <w:fldChar w:fldCharType="separate"/>
      </w:r>
      <w:r w:rsidR="00612211" w:rsidRPr="00612211">
        <w:rPr>
          <w:noProof/>
        </w:rPr>
        <w:t>(6,10,11)</w:t>
      </w:r>
      <w:r w:rsidR="00124470">
        <w:fldChar w:fldCharType="end"/>
      </w:r>
      <w:r w:rsidR="008D5D35">
        <w:t>.</w:t>
      </w:r>
      <w:r w:rsidR="00A64710" w:rsidRPr="00A64710">
        <w:t xml:space="preserve"> </w:t>
      </w:r>
      <w:r w:rsidR="00BA18A7">
        <w:t xml:space="preserve"> </w:t>
      </w:r>
      <w:r w:rsidR="0029392A">
        <w:t xml:space="preserve">Findings on drug use </w:t>
      </w:r>
      <w:r w:rsidR="00124470">
        <w:fldChar w:fldCharType="begin" w:fldLock="1"/>
      </w:r>
      <w:r w:rsidR="00394E80">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"container-title" : "AIDS &amp; Behavior", "id" : "ITEM-1", "issue" : "6", "issued" : { "date-parts" : [ [ "2012" ] ] }, "page" : "1394-1410", "title" : "A review of the literature on event-level substance use and sexual risk behavior among men who have sex with men.", "type" : "article-journal", "volume" : "16" }, "uris" : [ "http://www.mendeley.com/documents/?uuid=8fb530c3-1bc2-49fb-8cfc-bb64fa06310b" ] } ], "mendeley" : { "formattedCitation" : "(14)", "plainTextFormattedCitation" : "(14)", "previouslyFormattedCitation" : "(14)" }, "properties" : { "noteIndex" : 0 }, "schema" : "https://github.com/citation-style-language/schema/raw/master/csl-citation.json" }</w:instrText>
      </w:r>
      <w:r w:rsidR="00124470">
        <w:fldChar w:fldCharType="separate"/>
      </w:r>
      <w:r w:rsidR="00612211" w:rsidRPr="00612211">
        <w:rPr>
          <w:noProof/>
        </w:rPr>
        <w:t>(14)</w:t>
      </w:r>
      <w:r w:rsidR="00124470">
        <w:fldChar w:fldCharType="end"/>
      </w:r>
      <w:r w:rsidR="0029392A">
        <w:t xml:space="preserve"> and venue of sex </w:t>
      </w:r>
      <w:r w:rsidR="00124470">
        <w:fldChar w:fldCharType="begin" w:fldLock="1"/>
      </w:r>
      <w:r w:rsidR="00394E80">
        <w:instrText>ADDIN CSL_CITATION { "citationItems" : [ { "id" : "ITEM-1", "itemData" : { "ISSN" : "1090-7165", "author" : [ { "dropping-particle" : "", "family" : "Melendez-Torres", "given" : "G.J.", "non-dropping-particle" : "", "parse-names" : false, "suffix" : "" }, { "dropping-particle" : "", "family" : "Nye", "given" : "Elizabeth", "non-dropping-particle" : "", "parse-names" : false, "suffix" : "" }, { "dropping-particle" : "", "family" : "Bonell", "given" : "Chris", "non-dropping-particle" : "", "parse-names" : false, "suffix" : "" } ], "container-title" : "AIDS and Behavior", "id" : "ITEM-1", "issued" : { "date-parts" : [ [ "2015" ] ] }, "title" : "Is Location of Sex Associated with Sexual Risk Behaviour in Men Who Have Sex with Men? Systematic Review of Within-Subjects Studies", "type" : "article-journal" }, "uris" : [ "http://www.mendeley.com/documents/?uuid=f557a94a-9399-42ab-b1cd-ef9589f658f2" ] } ], "mendeley" : { "formattedCitation" : "(15)", "plainTextFormattedCitation" : "(15)", "previouslyFormattedCitation" : "(15)" }, "properties" : { "noteIndex" : 0 }, "schema" : "https://github.com/citation-style-language/schema/raw/master/csl-citation.json" }</w:instrText>
      </w:r>
      <w:r w:rsidR="00124470">
        <w:fldChar w:fldCharType="separate"/>
      </w:r>
      <w:r w:rsidR="00612211" w:rsidRPr="00612211">
        <w:rPr>
          <w:noProof/>
        </w:rPr>
        <w:t>(15)</w:t>
      </w:r>
      <w:r w:rsidR="00124470">
        <w:fldChar w:fldCharType="end"/>
      </w:r>
      <w:r w:rsidR="0029392A">
        <w:t xml:space="preserve"> are inconsistent, but partner seroconcordance and increased partner familiarity appear to be associated with increased </w:t>
      </w:r>
      <w:r w:rsidR="007821F7">
        <w:t xml:space="preserve">likelihood </w:t>
      </w:r>
      <w:r w:rsidR="0029392A">
        <w:t xml:space="preserve">of </w:t>
      </w:r>
      <w:r w:rsidR="001F1815">
        <w:t>CAI</w:t>
      </w:r>
      <w:r w:rsidR="0029392A">
        <w:t>.</w:t>
      </w:r>
    </w:p>
    <w:p w14:paraId="2E0F717B" w14:textId="2AB23A2C" w:rsidR="00474B16" w:rsidRDefault="00A64710" w:rsidP="00182B84">
      <w:pPr>
        <w:spacing w:line="480" w:lineRule="auto"/>
      </w:pPr>
      <w:r>
        <w:tab/>
        <w:t>However, situational characteristics do not occur in isolation</w:t>
      </w:r>
      <w:r w:rsidR="00182B84">
        <w:t xml:space="preserve"> </w:t>
      </w:r>
      <w:r w:rsidR="007821F7">
        <w:t>and</w:t>
      </w:r>
      <w:r>
        <w:t xml:space="preserve"> may ‘cluster’ together</w:t>
      </w:r>
      <w:r w:rsidR="00E40F20">
        <w:t>;</w:t>
      </w:r>
      <w:r>
        <w:t xml:space="preserve"> that is, groups of characteristics may be more likely to appear together.  These ‘clusters’ could be meaningfully interpreted as the contexts within which sex occurs.  </w:t>
      </w:r>
      <w:r w:rsidR="00343341">
        <w:t xml:space="preserve">Contexts of sexual encounters </w:t>
      </w:r>
      <w:r w:rsidR="00F051F6">
        <w:t>are critical in understanding how sexual risk occurs</w:t>
      </w:r>
      <w:r w:rsidR="00474B16">
        <w:t xml:space="preserve"> in that they provide both the opportunity and sometimes the motivation for the behaviour</w:t>
      </w:r>
      <w:r w:rsidR="00F051F6">
        <w:t xml:space="preserve">.  </w:t>
      </w:r>
      <w:r w:rsidR="00443EC3">
        <w:t xml:space="preserve">Contexts may serve to frame and structure what is possible and what is anticipated in a sexual encounter, possibly dissuading condom use and enabling ‘slip-ups’ </w:t>
      </w:r>
      <w:r w:rsidR="00443EC3">
        <w:fldChar w:fldCharType="begin" w:fldLock="1"/>
      </w:r>
      <w:r w:rsidR="00443EC3">
        <w:instrText>ADDIN CSL_CITATION { "citationItems" : [ { "id" : "ITEM-1", "itemData" : { "ISBN" : "0956-4624", "PMID" : "19982007097", "abstract" : "In an earlier study, we found that sexual risk-taking in gay men was reduced by getting them to evaluate the self-justifications for having unsafe sex which they had used on a specific occasion when they 'slipped up' (broke their safe sex rules by having unprotected anal intercourse). This study investigated whether the earlier finding occurred simply because recalling vividly a specific encounter in which a slip-up took place brought the men's risk-taking home to them very strongly and whether the intervention would still work if translated into posters suitable for the mass media. Gay men (n=92) who had slipped up kept diaries of their sexual behaviour for 16 weeks. After 4 weeks, they were allocated to one of 3 conditions: Specific Encounter (detailed reconstruction of a slip-up, but without any questions about self-justifications); Posters (examination of posters, specially designed for the study, that focused on self-justifications); and Control (no intervention). All 3 groups slipped up to the same extent in the post-intervention period. The results for the Specific Encounter group indicate that the earlier finding is not attributable to the alternative explanation above, while those for the Posters group suggest the importance of ensuring personal 'ownership' of the self-justifications presented. Implications for AIDS education are discussed.", "author" : [ { "dropping-particle" : "", "family" : "Gold", "given" : "R S", "non-dropping-particle" : "", "parse-names" : false, "suffix" : "" }, { "dropping-particle" : "", "family" : "Rosenthal", "given" : "D A", "non-dropping-particle" : "", "parse-names" : false, "suffix" : "" } ], "container-title" : "International journal of STD &amp; AIDS", "id" : "ITEM-1", "issue" : "4", "issued" : { "date-parts" : [ [ "1998" ] ] }, "note" : "From Duplicate 2 (Examining self-justifications for unsafe sex as a technique of AIDS education: the importance of personal relevance - )\n\nGold, R. S.\nRosenthal, D. A.\nUsing Smart Source Parsing\n12 ref", "page" : "208-213", "publisher" : "Deakin University, Victoria, Australia.", "publisher-place" : "ENGLAND", "title" : "Examining self-justifications for unsafe sex as a technique of AIDS education: the importance of personal relevance.", "type" : "article-journal", "volume" : "9" }, "uris" : [ "http://www.mendeley.com/documents/?uuid=d540cf39-8508-4c66-a689-35be7e458d8c" ] } ], "mendeley" : { "formattedCitation" : "(16)", "plainTextFormattedCitation" : "(16)" }, "properties" : { "noteIndex" : 0 }, "schema" : "https://github.com/citation-style-language/schema/raw/master/csl-citation.json" }</w:instrText>
      </w:r>
      <w:r w:rsidR="00443EC3">
        <w:fldChar w:fldCharType="separate"/>
      </w:r>
      <w:r w:rsidR="00443EC3" w:rsidRPr="00443EC3">
        <w:rPr>
          <w:noProof/>
        </w:rPr>
        <w:t>(16)</w:t>
      </w:r>
      <w:r w:rsidR="00443EC3">
        <w:fldChar w:fldCharType="end"/>
      </w:r>
      <w:r w:rsidR="00443EC3">
        <w:t xml:space="preserve">.  </w:t>
      </w:r>
      <w:r w:rsidR="00F051F6">
        <w:t xml:space="preserve">In their germinal work on cognitive escape as a </w:t>
      </w:r>
      <w:r w:rsidR="00474B16">
        <w:t>motivation for</w:t>
      </w:r>
      <w:r w:rsidR="00F051F6">
        <w:t xml:space="preserve"> </w:t>
      </w:r>
      <w:r w:rsidR="001F1815">
        <w:t>CAI</w:t>
      </w:r>
      <w:r w:rsidR="00F051F6">
        <w:t xml:space="preserve"> occurs, McKirnan, Ostrow and Hope </w:t>
      </w:r>
      <w:r w:rsidR="00124470">
        <w:fldChar w:fldCharType="begin" w:fldLock="1"/>
      </w:r>
      <w:r w:rsidR="00443EC3">
        <w:instrText>ADDIN CSL_CITATION { "citationItems" : [ { "id" : "ITEM-1", "itemData" : { "ISBN" : "0954-0121, 0954-0121", "ISSN" : "0954-0121", "abstract" : "The lack of an effective HIV vaccine or other biomedical intervention means that behavioural change will continue to be critical to the prevention of HIV infection. Despite near universal knowledge of HIV and sexual safety, and widespread intentions to be safe, rates of unprotected sex and HIV sero-conversion remain high among gay and bisexual men. Explanatory models that link risk-taking and prevention to rational processes such as knowledge, social norms, behavioural intentions, or perceived vulnerability to infection, cannot fully account for the continued risk behaviours observed in virtually all cohorts of gay men. We feel that innovative conceptions of risk and risk prevention are needed, that emphasize non-rational, affective processes in risk-taking and decision-making. Consistent with recent models from social psychology, we propose that for many people sexual risk does not stem from a lack of community norms or personal standards, but from a desire to escape cognitive awareness of very rigorous norms and standards. Being self-aware of HIV risk arouses anxiety and precludes highly-desired activities: fatigue, fatalism, or other negative affect over HIV may lead people to \"cognitively disengage\" within the sexual situation, and not to follow their norms or intentions toward safety. We propose that both substance use and the approach of high stimulation or other sexual settings facilitates this cognitive disengagement, wherein people enact \"automatic\" sexual scripts and/or become more responsive to external pressures toward risk. We briefly review current psychosocial models of HIV risk behaviour, outline a cognitive escape model with particular emphasis on substance use as a behavioural risk factor, and discuss implications of an escape model for behavioural interventions among gay and bisexual men.", "author" : [ { "dropping-particle" : "", "family" : "McKirnan", "given" : "David J", "non-dropping-particle" : "", "parse-names" : false, "suffix" : "" }, { "dropping-particle" : "", "family" : "Ostrow", "given" : "David G", "non-dropping-particle" : "", "parse-names" : false, "suffix" : "" }, { "dropping-particle" : "", "family" : "Hope", "given" : "B Y", "non-dropping-particle" : "", "parse-names" : false, "suffix" : "" } ], "container-title" : "AIDS care", "id" : "ITEM-1", "issue" : "6", "issued" : { "date-parts" : [ [ "1996" ] ] }, "note" : "From Duplicate 1 ( \n\n\nSex, drugs and escape: a psychological model of HIV-risk sexual behaviours.\n\n\n- McKirnan, David J; Ostrow, David G; Hope, B )\n\n\n\n\nFrom Duplicate 1 ( \n\n\nSex, drugs and escape: a psychological model of HIV-risk sexual behaviours.\n\n\n- McKirnan, D J; Ostrow, D G; Hope, B )\n\n\n\nAccession Number: 1997044636. Language: English. Entry Date: 19971201. Revision Date: 20091218. Publication Type: journal article; research. Journal Subset: Biomedical; Europe; Peer Reviewed; UK &amp;amp; Ireland. No. of Refs: 92 ref. NLM UID: 8915313. Email: E-mail: davidmck@uic.edu", "page" : "655-670", "title" : "Sex, drugs and escape: a psychological model of HIV-risk sexual behaviours.", "type" : "article-journal", "volume" : "8" }, "uris" : [ "http://www.mendeley.com/documents/?uuid=ab78e148-c479-419e-bfec-0f7920bd9a64" ] } ], "mendeley" : { "formattedCitation" : "(17)", "plainTextFormattedCitation" : "(17)", "previouslyFormattedCitation" : "(16)" }, "properties" : { "noteIndex" : 0 }, "schema" : "https://github.com/citation-style-language/schema/raw/master/csl-citation.json" }</w:instrText>
      </w:r>
      <w:r w:rsidR="00124470">
        <w:fldChar w:fldCharType="separate"/>
      </w:r>
      <w:r w:rsidR="00443EC3" w:rsidRPr="00443EC3">
        <w:rPr>
          <w:noProof/>
        </w:rPr>
        <w:t>(17)</w:t>
      </w:r>
      <w:r w:rsidR="00124470">
        <w:fldChar w:fldCharType="end"/>
      </w:r>
      <w:r w:rsidR="00F051F6">
        <w:t xml:space="preserve"> point to the role of ‘highly stimulating sexual contexts’ in facilitating </w:t>
      </w:r>
      <w:r w:rsidR="001F1815">
        <w:t>CAI</w:t>
      </w:r>
      <w:r w:rsidR="00F051F6">
        <w:t xml:space="preserve">.  It follows, then, that contexts of sex may be differentially associated with </w:t>
      </w:r>
      <w:r w:rsidR="001F1815">
        <w:t>CAI</w:t>
      </w:r>
      <w:r>
        <w:t>.</w:t>
      </w:r>
      <w:r w:rsidR="00E40F20">
        <w:t xml:space="preserve"> </w:t>
      </w:r>
      <w:r w:rsidR="00852C93">
        <w:t xml:space="preserve"> </w:t>
      </w:r>
      <w:r w:rsidR="007821F7">
        <w:t>T</w:t>
      </w:r>
      <w:r w:rsidR="00474B16">
        <w:t xml:space="preserve">he cognitive escape theory of </w:t>
      </w:r>
      <w:r w:rsidR="001F1815">
        <w:t>CAI</w:t>
      </w:r>
      <w:r w:rsidR="00474B16">
        <w:t xml:space="preserve"> suggests that </w:t>
      </w:r>
      <w:r w:rsidR="001F1815">
        <w:t>CAI</w:t>
      </w:r>
      <w:r w:rsidR="00474B16">
        <w:t xml:space="preserve"> arises when </w:t>
      </w:r>
      <w:r>
        <w:t>the avoidance of</w:t>
      </w:r>
      <w:r w:rsidR="00474B16">
        <w:t xml:space="preserve"> </w:t>
      </w:r>
      <w:r w:rsidR="00474B16">
        <w:lastRenderedPageBreak/>
        <w:t xml:space="preserve">sexual risk is a weaker motivation than the cognitive escape anticipated by engagement </w:t>
      </w:r>
      <w:r>
        <w:t xml:space="preserve">in </w:t>
      </w:r>
      <w:r w:rsidR="001F1815">
        <w:t>CAI</w:t>
      </w:r>
      <w:r w:rsidR="00182B84">
        <w:t>—</w:t>
      </w:r>
      <w:r w:rsidR="00474B16">
        <w:t xml:space="preserve">participants place greater value on the immediate, </w:t>
      </w:r>
      <w:r>
        <w:t>probable and multi</w:t>
      </w:r>
      <w:r w:rsidR="00474B16">
        <w:t xml:space="preserve">faceted pleasures arising from sex than the more doubtful and difficult to imagine harms of HIV/STIs. </w:t>
      </w:r>
      <w:r w:rsidR="006407DD">
        <w:t xml:space="preserve"> This suggests that pleasure should also be considered as a possible sexual outcome al</w:t>
      </w:r>
      <w:r w:rsidR="00182B84">
        <w:t>ongside sexual risk behaviour.</w:t>
      </w:r>
      <w:r w:rsidR="00443EC3">
        <w:t xml:space="preserve">  It also suggests that pleasure may be a strong motivation in considering self-justifications for CAI </w:t>
      </w:r>
      <w:r w:rsidR="00443EC3">
        <w:fldChar w:fldCharType="begin" w:fldLock="1"/>
      </w:r>
      <w:r w:rsidR="00443EC3">
        <w:instrText>ADDIN CSL_CITATION { "citationItems" : [ { "id" : "ITEM-1", "itemData" : { "ISBN" : "0956-4624", "PMID" : "19982007097", "abstract" : "In an earlier study, we found that sexual risk-taking in gay men was reduced by getting them to evaluate the self-justifications for having unsafe sex which they had used on a specific occasion when they 'slipped up' (broke their safe sex rules by having unprotected anal intercourse). This study investigated whether the earlier finding occurred simply because recalling vividly a specific encounter in which a slip-up took place brought the men's risk-taking home to them very strongly and whether the intervention would still work if translated into posters suitable for the mass media. Gay men (n=92) who had slipped up kept diaries of their sexual behaviour for 16 weeks. After 4 weeks, they were allocated to one of 3 conditions: Specific Encounter (detailed reconstruction of a slip-up, but without any questions about self-justifications); Posters (examination of posters, specially designed for the study, that focused on self-justifications); and Control (no intervention). All 3 groups slipped up to the same extent in the post-intervention period. The results for the Specific Encounter group indicate that the earlier finding is not attributable to the alternative explanation above, while those for the Posters group suggest the importance of ensuring personal 'ownership' of the self-justifications presented. Implications for AIDS education are discussed.", "author" : [ { "dropping-particle" : "", "family" : "Gold", "given" : "R S", "non-dropping-particle" : "", "parse-names" : false, "suffix" : "" }, { "dropping-particle" : "", "family" : "Rosenthal", "given" : "D A", "non-dropping-particle" : "", "parse-names" : false, "suffix" : "" } ], "container-title" : "International journal of STD &amp; AIDS", "id" : "ITEM-1", "issue" : "4", "issued" : { "date-parts" : [ [ "1998" ] ] }, "note" : "From Duplicate 2 (Examining self-justifications for unsafe sex as a technique of AIDS education: the importance of personal relevance - )\n\nGold, R. S.\nRosenthal, D. A.\nUsing Smart Source Parsing\n12 ref", "page" : "208-213", "publisher" : "Deakin University, Victoria, Australia.", "publisher-place" : "ENGLAND", "title" : "Examining self-justifications for unsafe sex as a technique of AIDS education: the importance of personal relevance.", "type" : "article-journal", "volume" : "9" }, "uris" : [ "http://www.mendeley.com/documents/?uuid=d540cf39-8508-4c66-a689-35be7e458d8c" ] } ], "mendeley" : { "formattedCitation" : "(16)", "plainTextFormattedCitation" : "(16)" }, "properties" : { "noteIndex" : 0 }, "schema" : "https://github.com/citation-style-language/schema/raw/master/csl-citation.json" }</w:instrText>
      </w:r>
      <w:r w:rsidR="00443EC3">
        <w:fldChar w:fldCharType="separate"/>
      </w:r>
      <w:r w:rsidR="00443EC3" w:rsidRPr="00443EC3">
        <w:rPr>
          <w:noProof/>
        </w:rPr>
        <w:t>(16)</w:t>
      </w:r>
      <w:r w:rsidR="00443EC3">
        <w:fldChar w:fldCharType="end"/>
      </w:r>
      <w:r w:rsidR="00443EC3">
        <w:t>.</w:t>
      </w:r>
    </w:p>
    <w:p w14:paraId="21813C46" w14:textId="32AA7F82" w:rsidR="003559A2" w:rsidRPr="003559A2" w:rsidRDefault="00474B16" w:rsidP="00474B16">
      <w:pPr>
        <w:spacing w:line="480" w:lineRule="auto"/>
        <w:ind w:firstLine="720"/>
      </w:pPr>
      <w:r>
        <w:t xml:space="preserve">The current analysis uses sexual encounter-level data from a longitudinal survey of MSM living in England. </w:t>
      </w:r>
      <w:r w:rsidR="00852C93">
        <w:t xml:space="preserve"> </w:t>
      </w:r>
      <w:r>
        <w:t xml:space="preserve">Situational characteristics include the relationship between partners, perceptions of HIV status seroconcordance, location of sex and concurrent use of substances. </w:t>
      </w:r>
      <w:r w:rsidR="00852C93">
        <w:t xml:space="preserve"> </w:t>
      </w:r>
      <w:r>
        <w:t xml:space="preserve">We apply an innovative methodology, multilevel latent class analysis, to </w:t>
      </w:r>
      <w:r w:rsidR="00E40F20">
        <w:t xml:space="preserve">derive </w:t>
      </w:r>
      <w:r>
        <w:t xml:space="preserve">empirically </w:t>
      </w:r>
      <w:r w:rsidR="005C0266">
        <w:t xml:space="preserve">for the first time </w:t>
      </w:r>
      <w:r>
        <w:t xml:space="preserve">an initial typology of sexual encounters and to test the relationship of this typology to </w:t>
      </w:r>
      <w:r w:rsidR="001F1815">
        <w:t>CAI</w:t>
      </w:r>
      <w:r w:rsidR="00182B84">
        <w:t xml:space="preserve"> and</w:t>
      </w:r>
      <w:r>
        <w:t xml:space="preserve"> pleasure</w:t>
      </w:r>
      <w:r w:rsidR="00D47671">
        <w:t>.</w:t>
      </w:r>
      <w:r w:rsidR="001F1815">
        <w:t xml:space="preserve">  Latent class analysis is a statistical method used to describe underlying typologies in data based on ‘clusters’ of variables.  That is, it describes how specific characteristics co-occur and separates observations into classes on that basis.</w:t>
      </w:r>
    </w:p>
    <w:p w14:paraId="75F212EE" w14:textId="77777777" w:rsidR="00316B1F" w:rsidRDefault="00316B1F" w:rsidP="00D37006">
      <w:pPr>
        <w:spacing w:line="480" w:lineRule="auto"/>
        <w:rPr>
          <w:b/>
        </w:rPr>
      </w:pPr>
      <w:r>
        <w:rPr>
          <w:b/>
        </w:rPr>
        <w:t>M</w:t>
      </w:r>
      <w:r w:rsidR="00FF1F78">
        <w:rPr>
          <w:b/>
        </w:rPr>
        <w:t>ethods</w:t>
      </w:r>
    </w:p>
    <w:p w14:paraId="62CD3BEE" w14:textId="5CB2A4CB" w:rsidR="00474B16" w:rsidRDefault="00474B16" w:rsidP="00474B16">
      <w:pPr>
        <w:spacing w:line="480" w:lineRule="auto"/>
      </w:pPr>
      <w:r>
        <w:tab/>
        <w:t xml:space="preserve">Data are from a </w:t>
      </w:r>
      <w:r w:rsidR="00DC7AD8">
        <w:t>year</w:t>
      </w:r>
      <w:r w:rsidR="00654E42">
        <w:t>-</w:t>
      </w:r>
      <w:r w:rsidR="00DC7AD8">
        <w:t>long</w:t>
      </w:r>
      <w:r>
        <w:t xml:space="preserve"> longitudinal study using monthly internet surveys, conducted in 2011-2012 among MSM living in England aged 16 years and over.  Detailed survey methods are published elsewhere </w:t>
      </w:r>
      <w:r w:rsidR="00124470">
        <w:fldChar w:fldCharType="begin" w:fldLock="1"/>
      </w:r>
      <w:r w:rsidR="00443EC3">
        <w:instrText>ADDIN CSL_CITATION { "citationItems" : [ { "id" : "ITEM-1", "itemData" : { "ISSN" : "1472-3263", "PMID" : "25270006", "abstract" : "OBJECTIVES: Increasing HIV testing among men who have sex with men (MSM) is a major policy goal in the UK. Social marketing is a common intervention to increase testing uptake. We used an online panel of MSM to examine rates of HIV testing behaviour and the impact of a social marketing intervention on them. METHOD: MSM in England were recruited to a longitudinal internet panel through community websites and a previous survey. Following an enrolment survey, respondents were invited to self-complete 13 surveys at monthly intervals throughout 2011. A unique alphanumeric code linked surveys for individuals. Rates of HIV testing were compared relative to prompted recognition of a multi-part media campaign aiming to normalise HIV testing. RESULTS: Of 3386 unique enrolments, 2047 respondents were included in the analysis, between them submitting 15 353 monthly surveys (equivalent to 1279 years of follow-up), and recording 1517 HIV tests taken, giving an annual rate of tests per participant of 1.19 (95% CI 1.13 to 1.25). Tests were highly clustered in individuals (61% reported no test during the study). Testing rates were higher in London, single men and those aged 25-34 years. Only 7.6% recognised the intervention when prompted. After controlling for sociodemographic characteristics and exposure to other health promotion campaigns, intervention recognition was not associated with increased likelihood of testing. Higher rates of testing were strongly associated with higher number of casual sexual partners and how recently men had HIV tested before study enrolment. CONCLUSIONS: This social marketing intervention was not associated with increased rates of HIV testing. More effective promotion of HIV testing is needed among MSM in England to reduce the average duration of undiagnosed infection.", "author" : [ { "dropping-particle" : "", "family" : "Hickson", "given" : "Ford", "non-dropping-particle" : "", "parse-names" : false, "suffix" : "" }, { "dropping-particle" : "", "family" : "Tomlin", "given" : "Keith", "non-dropping-particle" : "", "parse-names" : false, "suffix" : "" }, { "dropping-particle" : "", "family" : "Hargreaves", "given" : "James", "non-dropping-particle" : "", "parse-names" : false, "suffix" : "" }, { "dropping-particle" : "", "family" : "Bonell", "given" : "Chris", "non-dropping-particle" : "", "parse-names" : false, "suffix" : "" }, { "dropping-particle" : "", "family" : "Reid", "given" : "David", "non-dropping-particle" : "", "parse-names" : false, "suffix" : "" }, { "dropping-particle" : "", "family" : "Weatherburn", "given" : "Peter", "non-dropping-particle" : "", "parse-names" : false, "suffix" : "" } ], "container-title" : "Sexually transmitted infections", "id" : "ITEM-1", "issue" : "1", "issued" : { "date-parts" : [ [ "2015" ] ] }, "page" : "24-30", "title" : "Internet-based cohort study of HIV testing over 1 year among men who have sex with men living in England and exposed to a social marketing intervention promoting testing.", "type" : "article-journal", "volume" : "91" }, "uris" : [ "http://www.mendeley.com/documents/?uuid=60e94cdf-b62a-4aab-bdd9-2bc849ad5d0c" ] } ], "mendeley" : { "formattedCitation" : "(18)", "plainTextFormattedCitation" : "(18)", "previouslyFormattedCitation" : "(17)" }, "properties" : { "noteIndex" : 0 }, "schema" : "https://github.com/citation-style-language/schema/raw/master/csl-citation.json" }</w:instrText>
      </w:r>
      <w:r w:rsidR="00124470">
        <w:fldChar w:fldCharType="separate"/>
      </w:r>
      <w:r w:rsidR="00443EC3" w:rsidRPr="00443EC3">
        <w:rPr>
          <w:noProof/>
        </w:rPr>
        <w:t>(18)</w:t>
      </w:r>
      <w:r w:rsidR="00124470">
        <w:fldChar w:fldCharType="end"/>
      </w:r>
      <w:r>
        <w:t xml:space="preserve">.  </w:t>
      </w:r>
      <w:r w:rsidRPr="00F91BEB">
        <w:t xml:space="preserve">The survey </w:t>
      </w:r>
      <w:r>
        <w:t xml:space="preserve">was </w:t>
      </w:r>
      <w:r w:rsidRPr="00F91BEB">
        <w:t>approv</w:t>
      </w:r>
      <w:r>
        <w:t>ed by</w:t>
      </w:r>
      <w:r w:rsidRPr="00F91BEB">
        <w:t xml:space="preserve"> the London School of Hygiene and Tropical Medicine </w:t>
      </w:r>
      <w:r>
        <w:t>e</w:t>
      </w:r>
      <w:r w:rsidRPr="00F91BEB">
        <w:t xml:space="preserve">thics </w:t>
      </w:r>
      <w:r>
        <w:t>c</w:t>
      </w:r>
      <w:r w:rsidRPr="00F91BEB">
        <w:t xml:space="preserve">ommittee (approval number 5834).  </w:t>
      </w:r>
      <w:r>
        <w:t>T</w:t>
      </w:r>
      <w:r w:rsidRPr="00F91BEB">
        <w:t xml:space="preserve">his analysis </w:t>
      </w:r>
      <w:r>
        <w:t xml:space="preserve">was approved by </w:t>
      </w:r>
      <w:r w:rsidRPr="00F91BEB">
        <w:t xml:space="preserve">the Department of Social Policy and Intervention </w:t>
      </w:r>
      <w:r>
        <w:t>r</w:t>
      </w:r>
      <w:r w:rsidRPr="00F91BEB">
        <w:t xml:space="preserve">esearch </w:t>
      </w:r>
      <w:r>
        <w:t>e</w:t>
      </w:r>
      <w:r w:rsidRPr="00F91BEB">
        <w:t xml:space="preserve">thics </w:t>
      </w:r>
      <w:r>
        <w:t>c</w:t>
      </w:r>
      <w:r w:rsidRPr="00F91BEB">
        <w:t>ommittee at the University of Oxford.</w:t>
      </w:r>
    </w:p>
    <w:p w14:paraId="768102E2" w14:textId="7B304087" w:rsidR="00474B16" w:rsidRDefault="007821F7" w:rsidP="00474B16">
      <w:pPr>
        <w:spacing w:line="480" w:lineRule="auto"/>
        <w:ind w:firstLine="720"/>
      </w:pPr>
      <w:r>
        <w:t>‘S</w:t>
      </w:r>
      <w:r w:rsidRPr="00DF24B8">
        <w:t>ex</w:t>
      </w:r>
      <w:r>
        <w:t>’</w:t>
      </w:r>
      <w:r w:rsidRPr="00DF24B8">
        <w:t xml:space="preserve"> </w:t>
      </w:r>
      <w:r>
        <w:t>was defined for p</w:t>
      </w:r>
      <w:r w:rsidR="00474B16">
        <w:t xml:space="preserve">articipants </w:t>
      </w:r>
      <w:r w:rsidR="00E40F20">
        <w:t>as</w:t>
      </w:r>
      <w:r w:rsidR="00474B16" w:rsidRPr="00DF24B8">
        <w:t xml:space="preserve"> </w:t>
      </w:r>
      <w:r>
        <w:t>‘</w:t>
      </w:r>
      <w:r w:rsidR="00474B16" w:rsidRPr="00DF24B8">
        <w:t>physical contact to orgasm (or close to orgasm) for one or both partners</w:t>
      </w:r>
      <w:r>
        <w:t>’</w:t>
      </w:r>
      <w:r w:rsidR="00474B16" w:rsidRPr="00DF24B8">
        <w:t xml:space="preserve">. </w:t>
      </w:r>
      <w:r w:rsidR="00474B16">
        <w:t xml:space="preserve"> </w:t>
      </w:r>
      <w:r w:rsidR="00474B16" w:rsidRPr="00DF24B8">
        <w:t>‘Sex with men</w:t>
      </w:r>
      <w:r w:rsidR="00474B16">
        <w:t>’</w:t>
      </w:r>
      <w:r w:rsidR="00474B16" w:rsidRPr="00DF24B8">
        <w:t xml:space="preserve"> </w:t>
      </w:r>
      <w:r w:rsidR="006A2941">
        <w:t xml:space="preserve">was defined as </w:t>
      </w:r>
      <w:r w:rsidR="00474B16" w:rsidRPr="00DF24B8">
        <w:t>includ</w:t>
      </w:r>
      <w:r w:rsidR="006A2941">
        <w:t>ing</w:t>
      </w:r>
      <w:r w:rsidR="00474B16" w:rsidRPr="00DF24B8">
        <w:t xml:space="preserve"> but not </w:t>
      </w:r>
      <w:r w:rsidR="00474B16" w:rsidRPr="00DF24B8">
        <w:lastRenderedPageBreak/>
        <w:t>l</w:t>
      </w:r>
      <w:r w:rsidR="00474B16">
        <w:t>imited to anal intercourse.  In five waves of the study (in surveys sent on 1</w:t>
      </w:r>
      <w:r w:rsidR="00474B16" w:rsidRPr="0072117F">
        <w:rPr>
          <w:vertAlign w:val="superscript"/>
        </w:rPr>
        <w:t>st</w:t>
      </w:r>
      <w:r w:rsidR="00474B16">
        <w:t xml:space="preserve"> March 2011, 1</w:t>
      </w:r>
      <w:r w:rsidR="00474B16" w:rsidRPr="0072117F">
        <w:rPr>
          <w:vertAlign w:val="superscript"/>
        </w:rPr>
        <w:t>st</w:t>
      </w:r>
      <w:r w:rsidR="00474B16">
        <w:t xml:space="preserve"> June 2011, 1</w:t>
      </w:r>
      <w:r w:rsidR="00474B16" w:rsidRPr="0072117F">
        <w:rPr>
          <w:vertAlign w:val="superscript"/>
        </w:rPr>
        <w:t>st</w:t>
      </w:r>
      <w:r w:rsidR="00474B16">
        <w:t xml:space="preserve"> August 2011, 1</w:t>
      </w:r>
      <w:r w:rsidR="00474B16" w:rsidRPr="0072117F">
        <w:rPr>
          <w:vertAlign w:val="superscript"/>
        </w:rPr>
        <w:t>st</w:t>
      </w:r>
      <w:r w:rsidR="00474B16">
        <w:t xml:space="preserve"> November 2011 and 1</w:t>
      </w:r>
      <w:r w:rsidR="00474B16" w:rsidRPr="0072117F">
        <w:rPr>
          <w:vertAlign w:val="superscript"/>
        </w:rPr>
        <w:t>st</w:t>
      </w:r>
      <w:r w:rsidR="00474B16">
        <w:t xml:space="preserve"> February 2012) men were asked: ‘Please think about the </w:t>
      </w:r>
      <w:r w:rsidR="00474B16" w:rsidRPr="00543812">
        <w:rPr>
          <w:b/>
          <w:u w:val="single"/>
        </w:rPr>
        <w:t>most recent occasion you had any kind of sex with a man</w:t>
      </w:r>
      <w:r w:rsidR="00474B16">
        <w:t>, whether that was with a new partner or someone you had sex with before</w:t>
      </w:r>
      <w:r w:rsidR="00654E42">
        <w:t>’</w:t>
      </w:r>
      <w:r w:rsidR="00474B16">
        <w:t xml:space="preserve">. </w:t>
      </w:r>
      <w:r w:rsidR="00852C93">
        <w:t xml:space="preserve"> </w:t>
      </w:r>
      <w:r w:rsidR="00474B16">
        <w:t>They were then asked a series of questions about that encounter.</w:t>
      </w:r>
    </w:p>
    <w:p w14:paraId="4E5887BF" w14:textId="7C4BBF22" w:rsidR="0053553F" w:rsidRDefault="0053553F" w:rsidP="00D37006">
      <w:pPr>
        <w:spacing w:line="480" w:lineRule="auto"/>
      </w:pPr>
      <w:r>
        <w:tab/>
      </w:r>
      <w:r>
        <w:rPr>
          <w:b/>
        </w:rPr>
        <w:t>Situational characteristics.</w:t>
      </w:r>
      <w:r>
        <w:t xml:space="preserve">  </w:t>
      </w:r>
      <w:r w:rsidR="00474B16">
        <w:t>W</w:t>
      </w:r>
      <w:r>
        <w:t xml:space="preserve">e chose several situational characteristics that have been shown in previous encounter-level analyses to </w:t>
      </w:r>
      <w:r w:rsidR="00EF656B">
        <w:t xml:space="preserve">be associated with sexual risk behaviour in MSM.  To </w:t>
      </w:r>
      <w:r w:rsidR="00D47710">
        <w:t>describe</w:t>
      </w:r>
      <w:r w:rsidR="00EF656B">
        <w:t xml:space="preserve"> </w:t>
      </w:r>
      <w:r w:rsidR="009C3E02">
        <w:t xml:space="preserve">the </w:t>
      </w:r>
      <w:r w:rsidR="00EF656B">
        <w:t>extent and variety of drug use, we included a manifest indicator for number of drugs (including alcohol and poppers) that the respondent reported consuming before sex.  We measured partner relationship as a three-category variable including ‘regular steady’</w:t>
      </w:r>
      <w:r w:rsidR="00D47710">
        <w:t xml:space="preserve"> (</w:t>
      </w:r>
      <w:r w:rsidR="00EF656B">
        <w:t xml:space="preserve">partners the respondent regarded as a primary sexual partner </w:t>
      </w:r>
      <w:r w:rsidR="00D47710">
        <w:t xml:space="preserve">such as a </w:t>
      </w:r>
      <w:r w:rsidR="00EF656B">
        <w:t xml:space="preserve">boyfriend or husband); ‘regular </w:t>
      </w:r>
      <w:r w:rsidR="00AB5ACD">
        <w:t xml:space="preserve">but </w:t>
      </w:r>
      <w:r w:rsidR="00EF656B">
        <w:t>non-steady’</w:t>
      </w:r>
      <w:r w:rsidR="00D47710">
        <w:t xml:space="preserve"> (</w:t>
      </w:r>
      <w:r w:rsidR="00EF656B">
        <w:t>partners with wh</w:t>
      </w:r>
      <w:r w:rsidR="00D47710">
        <w:t>om</w:t>
      </w:r>
      <w:r w:rsidR="00EF656B">
        <w:t xml:space="preserve"> the respondent reported some familiarity, but not as a primary sex partner</w:t>
      </w:r>
      <w:r w:rsidR="00D47710">
        <w:t>)</w:t>
      </w:r>
      <w:r w:rsidR="00EF656B">
        <w:t>; and ‘one-off’</w:t>
      </w:r>
      <w:r w:rsidR="00D47710">
        <w:t xml:space="preserve"> (</w:t>
      </w:r>
      <w:r w:rsidR="00EF656B">
        <w:t xml:space="preserve">characterised by no expectation of repeat sexual contact </w:t>
      </w:r>
      <w:r w:rsidR="00D47710">
        <w:t xml:space="preserve">such as </w:t>
      </w:r>
      <w:r w:rsidR="00EF656B">
        <w:t xml:space="preserve">a one-night stand or partner met anonymously).  We classified encounters by the respondent’s views as to whether he and his partner were of the same HIV serostatus (HIV seroconcordant), of different HIV serostatus (HIV serodiscordant), or of unclear HIV serostatus match (e.g. where the respondent reported not </w:t>
      </w:r>
      <w:r w:rsidR="009C3E02">
        <w:t xml:space="preserve">knowing </w:t>
      </w:r>
      <w:r w:rsidR="00EF656B">
        <w:t>his partner’s HIV serostatus).  Finally, we classified encounters by where they occurred: in a private location (at home or a hotel), in a sex-on-premises venue (e.g. a sex club or sauna) or in an outdoor cruising location.</w:t>
      </w:r>
    </w:p>
    <w:p w14:paraId="355C76BD" w14:textId="2B7D10CE" w:rsidR="00EF656B" w:rsidRDefault="00EF656B" w:rsidP="00D37006">
      <w:pPr>
        <w:spacing w:line="480" w:lineRule="auto"/>
      </w:pPr>
      <w:r>
        <w:tab/>
      </w:r>
      <w:r w:rsidR="001F1815">
        <w:rPr>
          <w:b/>
        </w:rPr>
        <w:t>Outcomes</w:t>
      </w:r>
      <w:r>
        <w:rPr>
          <w:b/>
        </w:rPr>
        <w:t>.</w:t>
      </w:r>
      <w:r>
        <w:t xml:space="preserve">  Another goal of this analysis was to examine how the typology of situational characteristics was associated with key sexual outcomes.  We used </w:t>
      </w:r>
      <w:r w:rsidR="001E47CA">
        <w:t>two</w:t>
      </w:r>
      <w:r>
        <w:t xml:space="preserve"> sexual outcomes: </w:t>
      </w:r>
      <w:r w:rsidR="001F1815">
        <w:t>CAI</w:t>
      </w:r>
      <w:r>
        <w:t xml:space="preserve">, </w:t>
      </w:r>
      <w:r w:rsidR="00964D2C">
        <w:t xml:space="preserve">defined as any sexual encounter in which the respondent </w:t>
      </w:r>
      <w:r w:rsidR="00964D2C">
        <w:lastRenderedPageBreak/>
        <w:t>reported both anal intercourse an</w:t>
      </w:r>
      <w:r w:rsidR="001E47CA">
        <w:t>d inconsistent or no condom use, and</w:t>
      </w:r>
      <w:r w:rsidR="00964D2C">
        <w:t xml:space="preserve"> pleasure, measured on a scale of 1 to 10 with 10 being ‘the best sex ever’ and 1 being ‘the worst sex ever’</w:t>
      </w:r>
      <w:r w:rsidR="007821F7">
        <w:t xml:space="preserve"> (intermediate ratings</w:t>
      </w:r>
      <w:r w:rsidR="007821F7" w:rsidDel="007821F7">
        <w:t xml:space="preserve"> </w:t>
      </w:r>
      <w:r w:rsidR="007821F7">
        <w:t>were not labelled</w:t>
      </w:r>
      <w:r w:rsidR="001E47CA">
        <w:t>)</w:t>
      </w:r>
      <w:r w:rsidR="0068518A">
        <w:t>.</w:t>
      </w:r>
    </w:p>
    <w:p w14:paraId="37440E06" w14:textId="4E257B70" w:rsidR="000C7251" w:rsidRDefault="0068518A" w:rsidP="0068518A">
      <w:pPr>
        <w:spacing w:line="480" w:lineRule="auto"/>
      </w:pPr>
      <w:r>
        <w:tab/>
      </w:r>
      <w:r>
        <w:rPr>
          <w:b/>
        </w:rPr>
        <w:t>Analytic strategy.</w:t>
      </w:r>
      <w:r>
        <w:t xml:space="preserve">  </w:t>
      </w:r>
      <w:r w:rsidR="000C7251" w:rsidRPr="009A4209">
        <w:t xml:space="preserve">Latent class analysis </w:t>
      </w:r>
      <w:r w:rsidR="006A2941">
        <w:t xml:space="preserve">aims to </w:t>
      </w:r>
      <w:r w:rsidR="000C7251" w:rsidRPr="009A4209">
        <w:t xml:space="preserve">describe exhaustive and probabilistic </w:t>
      </w:r>
      <w:r w:rsidR="006A2941">
        <w:t xml:space="preserve">unmeasured </w:t>
      </w:r>
      <w:r w:rsidR="000C7251" w:rsidRPr="009A4209">
        <w:t xml:space="preserve">classes to which individual </w:t>
      </w:r>
      <w:r w:rsidR="006A2941">
        <w:t>empirical data</w:t>
      </w:r>
      <w:r w:rsidR="000C7251" w:rsidRPr="009A4209">
        <w:t xml:space="preserve"> belong </w:t>
      </w:r>
      <w:r w:rsidR="00124470" w:rsidRPr="009A4209">
        <w:fldChar w:fldCharType="begin" w:fldLock="1"/>
      </w:r>
      <w:r w:rsidR="00443EC3">
        <w:instrText>ADDIN CSL_CITATION { "citationItems" : [ { "id" : "ITEM-1", "itemData" : { "author" : [ { "dropping-particle" : "", "family" : "Vermunt", "given" : "Jeroen K", "non-dropping-particle" : "", "parse-names" : false, "suffix" : "" } ], "container-title" : "Sociological methodology", "id" : "ITEM-1", "issued" : { "date-parts" : [ [ "2003" ] ] }, "page" : "213-239", "title" : "Multilevel latent class models", "type" : "article-journal", "volume" : "33" }, "uris" : [ "http://www.mendeley.com/documents/?uuid=0acaa5dd-9da3-448e-ba61-cb91c4aeb1b7" ] }, { "id" : "ITEM-2", "itemData" : { "author" : [ { "dropping-particle" : "", "family" : "Henry", "given" : "KL", "non-dropping-particle" : "", "parse-names" : false, "suffix" : "" }, { "dropping-particle" : "", "family" : "Muth\u00e9n", "given" : "B", "non-dropping-particle" : "", "parse-names" : false, "suffix" : "" } ], "container-title" : "Structural Equation Modeling", "id" : "ITEM-2", "issue" : "2", "issued" : { "date-parts" : [ [ "2010" ] ] }, "page" : "193-215", "title" : "Multilevel latent class analysis: An application of adolescent smoking typologies with individual and contextual predictors", "type" : "article-journal", "volume" : "17" }, "uris" : [ "http://www.mendeley.com/documents/?uuid=37486eb4-1ab7-4f05-a172-554e192fb1bd" ] } ], "mendeley" : { "formattedCitation" : "(19,20)", "plainTextFormattedCitation" : "(19,20)", "previouslyFormattedCitation" : "(18,19)" }, "properties" : { "noteIndex" : 0 }, "schema" : "https://github.com/citation-style-language/schema/raw/master/csl-citation.json" }</w:instrText>
      </w:r>
      <w:r w:rsidR="00124470" w:rsidRPr="009A4209">
        <w:fldChar w:fldCharType="separate"/>
      </w:r>
      <w:r w:rsidR="00443EC3" w:rsidRPr="00443EC3">
        <w:rPr>
          <w:noProof/>
        </w:rPr>
        <w:t>(19,20)</w:t>
      </w:r>
      <w:r w:rsidR="00124470" w:rsidRPr="009A4209">
        <w:fldChar w:fldCharType="end"/>
      </w:r>
      <w:r w:rsidR="007821F7">
        <w:t>,</w:t>
      </w:r>
      <w:r w:rsidR="006A2941" w:rsidRPr="006A2941">
        <w:t xml:space="preserve"> </w:t>
      </w:r>
      <w:r w:rsidR="006A2941" w:rsidRPr="006A2941">
        <w:rPr>
          <w:rStyle w:val="tgc"/>
          <w:color w:val="222222"/>
        </w:rPr>
        <w:t>using categorical and/or continuous observed variables</w:t>
      </w:r>
      <w:r w:rsidR="000C7251" w:rsidRPr="006A2941">
        <w:t xml:space="preserve"> </w:t>
      </w:r>
      <w:r w:rsidR="00124470" w:rsidRPr="009A4209">
        <w:fldChar w:fldCharType="begin" w:fldLock="1"/>
      </w:r>
      <w:r w:rsidR="00443EC3">
        <w:instrText>ADDIN CSL_CITATION { "citationItems" : [ { "id" : "ITEM-1", "itemData" : { "author" : [ { "dropping-particle" : "", "family" : "Collins", "given" : "Linda M", "non-dropping-particle" : "", "parse-names" : false, "suffix" : "" }, { "dropping-particle" : "", "family" : "Lanza", "given" : "Stephanie T", "non-dropping-particle" : "", "parse-names" : false, "suffix" : "" } ], "id" : "ITEM-1", "issued" : { "date-parts" : [ [ "2010" ] ] }, "publisher" : "Wiley-Blackwell", "publisher-place" : "New York", "title" : "Latent Class and Latent Transition Analysis: with Applications in the Social, Behavioral, and Health Sciences", "type" : "book" }, "uris" : [ "http://www.mendeley.com/documents/?uuid=b7da4c39-8e8b-4400-a6fe-e32045c1faff" ] } ], "mendeley" : { "formattedCitation" : "(21)", "plainTextFormattedCitation" : "(21)", "previouslyFormattedCitation" : "(20)" }, "properties" : { "noteIndex" : 0 }, "schema" : "https://github.com/citation-style-language/schema/raw/master/csl-citation.json" }</w:instrText>
      </w:r>
      <w:r w:rsidR="00124470" w:rsidRPr="009A4209">
        <w:fldChar w:fldCharType="separate"/>
      </w:r>
      <w:r w:rsidR="00443EC3" w:rsidRPr="00443EC3">
        <w:rPr>
          <w:noProof/>
        </w:rPr>
        <w:t>(21)</w:t>
      </w:r>
      <w:r w:rsidR="00124470" w:rsidRPr="009A4209">
        <w:fldChar w:fldCharType="end"/>
      </w:r>
      <w:r w:rsidR="000C7251">
        <w:t>.</w:t>
      </w:r>
      <w:r w:rsidR="000C7251" w:rsidRPr="00AD70AB">
        <w:t xml:space="preserve"> </w:t>
      </w:r>
      <w:r w:rsidR="000C7251">
        <w:t xml:space="preserve"> Multilevel latent class models account for the nested structure of the data by placing random </w:t>
      </w:r>
      <w:r w:rsidR="001E6D34">
        <w:t>mean</w:t>
      </w:r>
      <w:r w:rsidR="001E47CA">
        <w:t>s for</w:t>
      </w:r>
      <w:r w:rsidR="000C7251">
        <w:t xml:space="preserve"> each latent class at the second level of the analysis.</w:t>
      </w:r>
      <w:r w:rsidR="001E47CA">
        <w:t xml:space="preserve">  These random </w:t>
      </w:r>
      <w:r w:rsidR="001E6D34">
        <w:t>mean</w:t>
      </w:r>
      <w:r w:rsidR="001E47CA">
        <w:t>s allowed for the probability of an encounter’s assignment to a latent class to vary over persons.</w:t>
      </w:r>
    </w:p>
    <w:p w14:paraId="48DABC18" w14:textId="6A4A8AA1" w:rsidR="00AD70AB" w:rsidRDefault="000C7251" w:rsidP="0068518A">
      <w:pPr>
        <w:spacing w:line="480" w:lineRule="auto"/>
      </w:pPr>
      <w:r>
        <w:tab/>
        <w:t>We estimated multilevel l</w:t>
      </w:r>
      <w:r w:rsidRPr="009A4209">
        <w:t xml:space="preserve">atent class models </w:t>
      </w:r>
      <w:r>
        <w:t xml:space="preserve">in </w:t>
      </w:r>
      <w:r w:rsidRPr="009A4209">
        <w:t>M</w:t>
      </w:r>
      <w:r w:rsidRPr="009A4209">
        <w:rPr>
          <w:i/>
        </w:rPr>
        <w:t>plus</w:t>
      </w:r>
      <w:r w:rsidRPr="009A4209">
        <w:t xml:space="preserve"> using </w:t>
      </w:r>
      <w:r>
        <w:t>maximum likelihood estimation and robust standard errors, with missing data handled via full information maximum likelihood</w:t>
      </w:r>
      <w:r w:rsidRPr="009A4209">
        <w:t xml:space="preserve">.  </w:t>
      </w:r>
      <w:r>
        <w:t>We estimated models with two, three and four latent classes on the encounter-level situational characteristics and a factor on the person-level means, and compared these models using a variety of model fit indices, including</w:t>
      </w:r>
      <w:r w:rsidRPr="009A4209">
        <w:t xml:space="preserve"> scaled relative entropy and the </w:t>
      </w:r>
      <w:r>
        <w:t>Akaike information</w:t>
      </w:r>
      <w:r w:rsidRPr="009A4209">
        <w:t xml:space="preserve"> criterion. </w:t>
      </w:r>
      <w:r>
        <w:t xml:space="preserve"> </w:t>
      </w:r>
      <w:r w:rsidRPr="009A4209">
        <w:t xml:space="preserve">Additionally, the Vuong-Lo-Mendell-Rubin likelihood ratio test was used to compare the explanatory power of each latent class solution against the solution with one </w:t>
      </w:r>
      <w:r w:rsidR="006A2941">
        <w:t>fewer</w:t>
      </w:r>
      <w:r w:rsidRPr="009A4209">
        <w:t xml:space="preserve"> latent class </w:t>
      </w:r>
      <w:r w:rsidR="00124470" w:rsidRPr="009A4209">
        <w:fldChar w:fldCharType="begin" w:fldLock="1"/>
      </w:r>
      <w:r w:rsidR="00443EC3">
        <w:instrText>ADDIN CSL_CITATION { "citationItems" : [ { "id" : "ITEM-1", "itemData" : { "ISBN" : "0165025409", "author" : [ { "dropping-particle" : "", "family" : "Ram", "given" : "N", "non-dropping-particle" : "", "parse-names" : false, "suffix" : "" }, { "dropping-particle" : "", "family" : "Grimm", "given" : "KJ", "non-dropping-particle" : "", "parse-names" : false, "suffix" : "" } ], "container-title" : "International Journal of Behavioral Development", "id" : "ITEM-1", "issue" : "6", "issued" : { "date-parts" : [ [ "2009" ] ] }, "page" : "565-576", "title" : "Growth Mixture Modeling: A Method for Identifying Differences in Longitudinal Change Among Unobserved Groups", "type" : "article-journal", "volume" : "33" }, "uris" : [ "http://www.mendeley.com/documents/?uuid=618784da-49a0-49f5-9fa2-05439bc5896c" ] } ], "mendeley" : { "formattedCitation" : "(22)", "plainTextFormattedCitation" : "(22)", "previouslyFormattedCitation" : "(21)" }, "properties" : { "noteIndex" : 0 }, "schema" : "https://github.com/citation-style-language/schema/raw/master/csl-citation.json" }</w:instrText>
      </w:r>
      <w:r w:rsidR="00124470" w:rsidRPr="009A4209">
        <w:fldChar w:fldCharType="separate"/>
      </w:r>
      <w:r w:rsidR="00443EC3" w:rsidRPr="00443EC3">
        <w:rPr>
          <w:noProof/>
        </w:rPr>
        <w:t>(22)</w:t>
      </w:r>
      <w:r w:rsidR="00124470" w:rsidRPr="009A4209">
        <w:fldChar w:fldCharType="end"/>
      </w:r>
      <w:r w:rsidRPr="009A4209">
        <w:t xml:space="preserve">.  </w:t>
      </w:r>
      <w:r>
        <w:t xml:space="preserve">When we selected a </w:t>
      </w:r>
      <w:r w:rsidRPr="009A4209">
        <w:t xml:space="preserve">model based on these initial tests, the model was rerun with random </w:t>
      </w:r>
      <w:r w:rsidR="001E6D34">
        <w:t>effect</w:t>
      </w:r>
      <w:r w:rsidRPr="009A4209">
        <w:t>s correlated instead of modelled on a factor variable to reap any benefits in fit.</w:t>
      </w:r>
    </w:p>
    <w:p w14:paraId="0A6EBC3D" w14:textId="451315BC" w:rsidR="00316B1F" w:rsidRDefault="00AD70AB" w:rsidP="0068518A">
      <w:pPr>
        <w:spacing w:line="480" w:lineRule="auto"/>
      </w:pPr>
      <w:r>
        <w:tab/>
      </w:r>
      <w:r w:rsidR="000C7251">
        <w:t>Once we identified the optimal latent class model, w</w:t>
      </w:r>
      <w:r w:rsidR="005C0266">
        <w:t>e distinguished between</w:t>
      </w:r>
      <w:r w:rsidR="00DC7AD8">
        <w:t xml:space="preserve"> </w:t>
      </w:r>
      <w:r w:rsidR="000C7251">
        <w:t xml:space="preserve">the </w:t>
      </w:r>
      <w:r w:rsidR="00DC7AD8">
        <w:t>l</w:t>
      </w:r>
      <w:r w:rsidR="00316B1F" w:rsidRPr="009A4209">
        <w:t xml:space="preserve">atent classes </w:t>
      </w:r>
      <w:r w:rsidR="000C7251">
        <w:t xml:space="preserve">and named them </w:t>
      </w:r>
      <w:r w:rsidR="00316B1F" w:rsidRPr="009A4209">
        <w:t xml:space="preserve">based on </w:t>
      </w:r>
      <w:r w:rsidR="005C0266">
        <w:t xml:space="preserve">the differences between </w:t>
      </w:r>
      <w:r>
        <w:t xml:space="preserve">the </w:t>
      </w:r>
      <w:r w:rsidR="005C0266">
        <w:t xml:space="preserve">classes on the </w:t>
      </w:r>
      <w:r w:rsidR="000C7251">
        <w:t xml:space="preserve">average values of </w:t>
      </w:r>
      <w:r w:rsidR="005C0266">
        <w:t>the situational characteristics</w:t>
      </w:r>
      <w:r w:rsidR="000C7251">
        <w:t xml:space="preserve"> in each class</w:t>
      </w:r>
      <w:r>
        <w:t xml:space="preserve">.  </w:t>
      </w:r>
      <w:r w:rsidR="000C7251">
        <w:t xml:space="preserve">For situational characteristics measured using categorical variables, these average values are called conditional probabilities, whereas for continuously measured characteristics, the mean </w:t>
      </w:r>
      <w:r w:rsidR="000C7251">
        <w:lastRenderedPageBreak/>
        <w:t>is used</w:t>
      </w:r>
      <w:r w:rsidR="00316B1F" w:rsidRPr="009A4209">
        <w:t xml:space="preserve">. </w:t>
      </w:r>
      <w:r>
        <w:t xml:space="preserve"> For example, we compared how likely it was in each class that an encounter was with a partner believed to be serodiscordant, or with a regular steady pa</w:t>
      </w:r>
      <w:r w:rsidR="000C7251">
        <w:t>rtner; similarly, we examined the average number of drugs used in each class.</w:t>
      </w:r>
    </w:p>
    <w:p w14:paraId="553829A1" w14:textId="77FA80F4" w:rsidR="00316B1F" w:rsidRPr="009A4209" w:rsidRDefault="0068518A" w:rsidP="0068518A">
      <w:pPr>
        <w:spacing w:line="480" w:lineRule="auto"/>
      </w:pPr>
      <w:r>
        <w:tab/>
      </w:r>
      <w:r w:rsidR="00D60084">
        <w:t>W</w:t>
      </w:r>
      <w:r>
        <w:t xml:space="preserve">e </w:t>
      </w:r>
      <w:r w:rsidR="000C7251">
        <w:t xml:space="preserve">then </w:t>
      </w:r>
      <w:r w:rsidR="00D60084">
        <w:t>tested whether</w:t>
      </w:r>
      <w:r>
        <w:t xml:space="preserve"> the latent classes of situational characteristic</w:t>
      </w:r>
      <w:r w:rsidR="00D60084">
        <w:t>s predicted the outcomes</w:t>
      </w:r>
      <w:r>
        <w:t xml:space="preserve"> </w:t>
      </w:r>
      <w:r w:rsidR="00D60084">
        <w:t>using</w:t>
      </w:r>
      <w:r>
        <w:t xml:space="preserve"> </w:t>
      </w:r>
      <w:r w:rsidR="00316B1F" w:rsidRPr="009A4209">
        <w:t xml:space="preserve">the pseudo-class draws method </w:t>
      </w:r>
      <w:r w:rsidR="00124470" w:rsidRPr="009A4209">
        <w:fldChar w:fldCharType="begin" w:fldLock="1"/>
      </w:r>
      <w:r w:rsidR="00443EC3">
        <w:instrText>ADDIN CSL_CITATION { "citationItems" : [ { "id" : "ITEM-1", "itemData" : { "author" : [ { "dropping-particle" : "", "family" : "Asparouhov", "given" : "Tihomir", "non-dropping-particle" : "", "parse-names" : false, "suffix" : "" }, { "dropping-particle" : "", "family" : "Muth\u00e9n", "given" : "Bengt O", "non-dropping-particle" : "", "parse-names" : false, "suffix" : "" } ], "collection-title" : "Mplus Web Nite", "id" : "ITEM-1", "issued" : { "date-parts" : [ [ "2010" ] ] }, "number-of-pages" : "1-3", "title" : "Wald Test of Mean Equality for Potential Latent Class Predictors in Mixture Modeling", "type" : "report" }, "uris" : [ "http://www.mendeley.com/documents/?uuid=5dc48235-0984-4e07-839f-61f8e952e65d" ] }, { "id" : "ITEM-2", "itemData" : { "author" : [ { "dropping-particle" : "", "family" : "Asparouhov", "given" : "Tihomir", "non-dropping-particle" : "", "parse-names" : false, "suffix" : "" }, { "dropping-particle" : "", "family" : "Muth\u00e9n", "given" : "Bengt O", "non-dropping-particle" : "", "parse-names" : false, "suffix" : "" } ], "collection-title" : "Mplus Web Note", "id" : "ITEM-2", "issue" : "15", "issued" : { "date-parts" : [ [ "2013" ] ] }, "number" : "15", "number-of-pages" : "1-48", "title" : "Auxiliary Variables in Mixture Modeling : 3-Step Approaches Using Mplus", "type" : "report" }, "uris" : [ "http://www.mendeley.com/documents/?uuid=9eb3f158-4681-415a-a177-30417f48f80f" ] } ], "mendeley" : { "formattedCitation" : "(23,24)", "plainTextFormattedCitation" : "(23,24)", "previouslyFormattedCitation" : "(22,23)" }, "properties" : { "noteIndex" : 0 }, "schema" : "https://github.com/citation-style-language/schema/raw/master/csl-citation.json" }</w:instrText>
      </w:r>
      <w:r w:rsidR="00124470" w:rsidRPr="009A4209">
        <w:fldChar w:fldCharType="separate"/>
      </w:r>
      <w:r w:rsidR="00443EC3" w:rsidRPr="00443EC3">
        <w:rPr>
          <w:noProof/>
        </w:rPr>
        <w:t>(23,24)</w:t>
      </w:r>
      <w:r w:rsidR="00124470" w:rsidRPr="009A4209">
        <w:fldChar w:fldCharType="end"/>
      </w:r>
      <w:r w:rsidR="00316B1F" w:rsidRPr="009A4209">
        <w:t xml:space="preserve">.  The underlying logic of this approach is that classification probabilities for each observation themselves form a distribution from which can be drawn a series of estimates of ‘most likely classes’ </w:t>
      </w:r>
      <w:r w:rsidR="00124470" w:rsidRPr="009A4209">
        <w:fldChar w:fldCharType="begin" w:fldLock="1"/>
      </w:r>
      <w:r w:rsidR="00443EC3">
        <w:instrText>ADDIN CSL_CITATION { "citationItems" : [ { "id" : "ITEM-1", "itemData" : { "ISSN" : "0162-1459", "author" : [ { "dropping-particle" : "", "family" : "Wang", "given" : "Chen-Pin", "non-dropping-particle" : "", "parse-names" : false, "suffix" : "" }, { "dropping-particle" : "", "family" : "Brown", "given" : "C. Hendrics", "non-dropping-particle" : "", "parse-names" : false, "suffix" : "" }, { "dropping-particle" : "", "family" : "Bandeen-Roche", "given" : "Karen", "non-dropping-particle" : "", "parse-names" : false, "suffix" : "" } ], "container-title" : "Journal of the American Statistical Association", "id" : "ITEM-1", "issue" : "471", "issued" : { "date-parts" : [ [ "2005" ] ] }, "page" : "1054-1076", "title" : "Residual Diagnostics for Growth Mixture Models", "type" : "article-journal", "volume" : "100" }, "uris" : [ "http://www.mendeley.com/documents/?uuid=118ae1a0-feeb-46e8-b47b-c99eb64852f1" ] } ], "mendeley" : { "formattedCitation" : "(25)", "plainTextFormattedCitation" : "(25)", "previouslyFormattedCitation" : "(24)" }, "properties" : { "noteIndex" : 0 }, "schema" : "https://github.com/citation-style-language/schema/raw/master/csl-citation.json" }</w:instrText>
      </w:r>
      <w:r w:rsidR="00124470" w:rsidRPr="009A4209">
        <w:fldChar w:fldCharType="separate"/>
      </w:r>
      <w:r w:rsidR="00443EC3" w:rsidRPr="00443EC3">
        <w:rPr>
          <w:noProof/>
        </w:rPr>
        <w:t>(25)</w:t>
      </w:r>
      <w:r w:rsidR="00124470" w:rsidRPr="009A4209">
        <w:fldChar w:fldCharType="end"/>
      </w:r>
      <w:r w:rsidR="00316B1F" w:rsidRPr="009A4209">
        <w:t>.</w:t>
      </w:r>
    </w:p>
    <w:p w14:paraId="66A1EB8A" w14:textId="77777777" w:rsidR="00316B1F" w:rsidRPr="00316B1F" w:rsidRDefault="00FF1F78" w:rsidP="00316B1F">
      <w:pPr>
        <w:spacing w:line="480" w:lineRule="auto"/>
        <w:rPr>
          <w:b/>
        </w:rPr>
      </w:pPr>
      <w:r>
        <w:rPr>
          <w:b/>
        </w:rPr>
        <w:t>Results</w:t>
      </w:r>
    </w:p>
    <w:p w14:paraId="6CD5F61B" w14:textId="57BEA9F7" w:rsidR="00291385" w:rsidRDefault="003D62D1" w:rsidP="00316B1F">
      <w:pPr>
        <w:spacing w:line="480" w:lineRule="auto"/>
      </w:pPr>
      <w:r>
        <w:rPr>
          <w:b/>
        </w:rPr>
        <w:tab/>
      </w:r>
      <w:r w:rsidR="00291385" w:rsidRPr="00291385">
        <w:t xml:space="preserve">Overall, 2,142 MSM reported at least one dyadic sexual encounters. </w:t>
      </w:r>
      <w:r w:rsidR="00852C93">
        <w:t xml:space="preserve"> </w:t>
      </w:r>
      <w:r w:rsidR="00291385" w:rsidRPr="00291385">
        <w:t>Between them they contributed 6,742 encounters to the analytic sample.  Participants had an average age of 42.5 (SD=11.9)</w:t>
      </w:r>
      <w:r w:rsidR="006A2941">
        <w:t xml:space="preserve"> years</w:t>
      </w:r>
      <w:r w:rsidR="00291385" w:rsidRPr="00291385">
        <w:t xml:space="preserve">.  Almost half (49.6%) had a university degree.  </w:t>
      </w:r>
      <w:r w:rsidR="00057101">
        <w:t xml:space="preserve">In ethnic composition, 81.5% were White British, 13.0% were White other, 1.7% were Black, and 2.5% were Asian, while 1.2% described themselves as of another racial category.  </w:t>
      </w:r>
      <w:r w:rsidR="00291385" w:rsidRPr="00291385">
        <w:t xml:space="preserve">At time of enrolment, </w:t>
      </w:r>
      <w:r w:rsidR="00057101">
        <w:t xml:space="preserve">52.0% described themselves as being single and 85.5% identified as gay or homosexual, whereas 14.5% identified as straight, bisexual or other.  </w:t>
      </w:r>
      <w:r w:rsidR="00B27775">
        <w:t>Concerning HIV testing history, 15.8% had never received an HIV test result, 17.5% had received a positive HIV test result, and 66.7% had last received a negative test result.</w:t>
      </w:r>
    </w:p>
    <w:p w14:paraId="674F5601" w14:textId="3C9A02BE" w:rsidR="00316B1F" w:rsidRDefault="00316B1F" w:rsidP="00316B1F">
      <w:pPr>
        <w:spacing w:line="480" w:lineRule="auto"/>
      </w:pPr>
      <w:r w:rsidRPr="009A4209">
        <w:rPr>
          <w:b/>
        </w:rPr>
        <w:tab/>
        <w:t>Model selection</w:t>
      </w:r>
      <w:r w:rsidR="00DE3772">
        <w:rPr>
          <w:b/>
        </w:rPr>
        <w:t xml:space="preserve"> and fit</w:t>
      </w:r>
      <w:r w:rsidRPr="009A4209">
        <w:rPr>
          <w:b/>
        </w:rPr>
        <w:t>.</w:t>
      </w:r>
      <w:r w:rsidRPr="009A4209">
        <w:t xml:space="preserve">  Compared </w:t>
      </w:r>
      <w:r w:rsidR="006A2941">
        <w:t>with</w:t>
      </w:r>
      <w:r w:rsidRPr="009A4209">
        <w:t xml:space="preserve"> a two-class model</w:t>
      </w:r>
      <w:r w:rsidR="007C008E">
        <w:t xml:space="preserve"> with factors on the random means</w:t>
      </w:r>
      <w:r w:rsidRPr="009A4209">
        <w:t xml:space="preserve">, a three-class model </w:t>
      </w:r>
      <w:r w:rsidR="007C008E">
        <w:t>with factors on the random means</w:t>
      </w:r>
      <w:r w:rsidR="007C008E" w:rsidRPr="009A4209">
        <w:t xml:space="preserve"> </w:t>
      </w:r>
      <w:r w:rsidRPr="009A4209">
        <w:t xml:space="preserve">had lower scores </w:t>
      </w:r>
      <w:r w:rsidR="007C008E">
        <w:t>on the Akaike information criterion, higher s</w:t>
      </w:r>
      <w:r w:rsidRPr="009A4209">
        <w:t>caled relative entropy</w:t>
      </w:r>
      <w:r w:rsidR="007C008E">
        <w:t>, and a statistically significant improvement in fit (see Table 1)</w:t>
      </w:r>
      <w:r w:rsidRPr="009A4209">
        <w:t xml:space="preserve">. </w:t>
      </w:r>
      <w:r w:rsidR="007C008E">
        <w:t xml:space="preserve"> </w:t>
      </w:r>
      <w:r w:rsidRPr="009A4209">
        <w:t xml:space="preserve">A four-class model did not replicate log likelihood, despite </w:t>
      </w:r>
      <w:r w:rsidR="007C008E">
        <w:t>several attempts at model estimation with increased numbers of random starts</w:t>
      </w:r>
      <w:r w:rsidR="00DE3772">
        <w:t xml:space="preserve">, and did not offer better fit as compared </w:t>
      </w:r>
      <w:r w:rsidR="00875BB3">
        <w:t>with</w:t>
      </w:r>
      <w:r w:rsidR="00DE3772">
        <w:t xml:space="preserve"> a three-class model</w:t>
      </w:r>
      <w:r w:rsidR="007C008E">
        <w:t xml:space="preserve">. </w:t>
      </w:r>
      <w:r w:rsidR="00DE3772">
        <w:t xml:space="preserve"> </w:t>
      </w:r>
      <w:r w:rsidR="007C008E">
        <w:t xml:space="preserve">When </w:t>
      </w:r>
      <w:r w:rsidR="007C008E">
        <w:lastRenderedPageBreak/>
        <w:t>we re-estimated the three-class model without the factor on the random means, we saw a marginal improvement in model fit and thus chose this model.</w:t>
      </w:r>
    </w:p>
    <w:p w14:paraId="69A3494A" w14:textId="77777777" w:rsidR="00DE3772" w:rsidRPr="009A4209" w:rsidRDefault="00DE3772" w:rsidP="00DE3772">
      <w:pPr>
        <w:spacing w:line="480" w:lineRule="auto"/>
      </w:pPr>
      <w:r>
        <w:tab/>
        <w:t xml:space="preserve">Examination of both the scaled relative entropy for the chosen model </w:t>
      </w:r>
      <w:r w:rsidR="00B55E39">
        <w:t xml:space="preserve">(92.4%) </w:t>
      </w:r>
      <w:r>
        <w:t xml:space="preserve">and the </w:t>
      </w:r>
      <w:r w:rsidR="00B55E39">
        <w:t xml:space="preserve">mean probabilities for most likely class membership by most likely latent class (see Table 2) revealed well-separated latent classes.  </w:t>
      </w:r>
      <w:r w:rsidR="00E45A73">
        <w:t>That is,</w:t>
      </w:r>
      <w:r w:rsidR="00B55E39">
        <w:t xml:space="preserve"> the three latent classes identified in this model distinguish strongly between different encounters.  </w:t>
      </w:r>
      <w:r w:rsidRPr="009A4209">
        <w:t xml:space="preserve">For example, among encounters with most likely class 1, the mean probability of assignment to class 1 was 97.1%.  This </w:t>
      </w:r>
      <w:r w:rsidR="00E45A73">
        <w:t>means</w:t>
      </w:r>
      <w:r w:rsidRPr="009A4209">
        <w:t xml:space="preserve"> that for encounters where the highest class probability was for class 1, the average of</w:t>
      </w:r>
      <w:r w:rsidR="00E45A73">
        <w:t xml:space="preserve"> those probabilities was 97.1%.  Mean probability of assignment for each class matched closely with the appropriate latent class.</w:t>
      </w:r>
    </w:p>
    <w:p w14:paraId="383F8F6C" w14:textId="77777777" w:rsidR="00316B1F" w:rsidRPr="009A4209" w:rsidRDefault="00316B1F" w:rsidP="00316B1F">
      <w:pPr>
        <w:spacing w:line="480" w:lineRule="auto"/>
      </w:pPr>
      <w:r w:rsidRPr="009A4209">
        <w:rPr>
          <w:b/>
        </w:rPr>
        <w:tab/>
        <w:t>Class descriptions.</w:t>
      </w:r>
      <w:r w:rsidRPr="009A4209">
        <w:t xml:space="preserve">  Based on examination of conditional probabilities, class 1 was identified as ‘</w:t>
      </w:r>
      <w:r w:rsidR="004B4BB9">
        <w:t>familiar encounters</w:t>
      </w:r>
      <w:r w:rsidRPr="009A4209">
        <w:t>’, class 2 was identified as ‘</w:t>
      </w:r>
      <w:r w:rsidR="004B4BB9">
        <w:t>casual</w:t>
      </w:r>
      <w:r w:rsidRPr="009A4209">
        <w:t xml:space="preserve"> partners’ and class 3 was identified as ‘poly</w:t>
      </w:r>
      <w:r w:rsidR="004B4BB9">
        <w:t>drug</w:t>
      </w:r>
      <w:r w:rsidRPr="009A4209">
        <w:t xml:space="preserve"> use’.</w:t>
      </w:r>
    </w:p>
    <w:p w14:paraId="796DFF84" w14:textId="3E78F5F0" w:rsidR="00316B1F" w:rsidRPr="009A4209" w:rsidRDefault="00316B1F" w:rsidP="00316B1F">
      <w:pPr>
        <w:spacing w:line="480" w:lineRule="auto"/>
      </w:pPr>
      <w:r w:rsidRPr="009A4209">
        <w:rPr>
          <w:b/>
        </w:rPr>
        <w:tab/>
      </w:r>
      <w:r w:rsidRPr="009A4209">
        <w:rPr>
          <w:b/>
          <w:i/>
        </w:rPr>
        <w:t xml:space="preserve">Class 1: </w:t>
      </w:r>
      <w:r w:rsidR="00B76E8F">
        <w:rPr>
          <w:b/>
          <w:i/>
        </w:rPr>
        <w:t>familiar encounters</w:t>
      </w:r>
      <w:r w:rsidRPr="009A4209">
        <w:rPr>
          <w:b/>
          <w:i/>
        </w:rPr>
        <w:t>.</w:t>
      </w:r>
      <w:r w:rsidRPr="009A4209">
        <w:t xml:space="preserve">  </w:t>
      </w:r>
      <w:r w:rsidR="00D70E4F">
        <w:t xml:space="preserve">Of the included encounters in this model, 31.5% were most likely to be assigned to class 1 (see Table 3).  </w:t>
      </w:r>
      <w:r w:rsidRPr="009A4209">
        <w:t xml:space="preserve">Encounters in this class were </w:t>
      </w:r>
      <w:r w:rsidR="006E6C56">
        <w:t xml:space="preserve">characteristically those </w:t>
      </w:r>
      <w:r w:rsidRPr="009A4209">
        <w:t>with regular steady partner</w:t>
      </w:r>
      <w:r w:rsidR="00D70E4F">
        <w:t>s (conditional probability 94.1</w:t>
      </w:r>
      <w:r w:rsidRPr="009A4209">
        <w:t>%).  Encounters were almost always at</w:t>
      </w:r>
      <w:r w:rsidR="00D70E4F">
        <w:t xml:space="preserve"> home (99.1</w:t>
      </w:r>
      <w:r w:rsidRPr="009A4209">
        <w:t xml:space="preserve">%).  </w:t>
      </w:r>
      <w:r w:rsidR="002430FF">
        <w:t>Nearly three-quarters (71.6%) of encounters in this class were with partners believed to be HIV seroconcordant</w:t>
      </w:r>
      <w:r w:rsidRPr="009A4209">
        <w:t>.  Encounters in this class had a low average number of substances used</w:t>
      </w:r>
      <w:r w:rsidR="0068456C">
        <w:t xml:space="preserve"> by respondents at 0.41 (SE=0.02</w:t>
      </w:r>
      <w:r w:rsidRPr="009A4209">
        <w:t xml:space="preserve">), though the distribution of this mean was right-skewed and bounded at zero.  Thus, this class likely encompassed encounters with </w:t>
      </w:r>
      <w:r w:rsidR="000D73F4">
        <w:t xml:space="preserve">zero, </w:t>
      </w:r>
      <w:r w:rsidRPr="009A4209">
        <w:t>one or two substances used.</w:t>
      </w:r>
    </w:p>
    <w:p w14:paraId="0BF070A1" w14:textId="7021FF09" w:rsidR="00316B1F" w:rsidRPr="009A4209" w:rsidRDefault="00316B1F" w:rsidP="00316B1F">
      <w:pPr>
        <w:spacing w:line="480" w:lineRule="auto"/>
      </w:pPr>
      <w:r w:rsidRPr="009A4209">
        <w:rPr>
          <w:b/>
          <w:i/>
        </w:rPr>
        <w:tab/>
        <w:t>Class 2: casual partners.</w:t>
      </w:r>
      <w:r w:rsidRPr="009A4209">
        <w:t xml:space="preserve">  </w:t>
      </w:r>
      <w:r w:rsidR="00D70E4F">
        <w:t xml:space="preserve">Of the included encounters in this model, 61.8% were mostly likely to be assigned to class 2.  </w:t>
      </w:r>
      <w:r w:rsidRPr="009A4209">
        <w:t>Encounters in this class were characteris</w:t>
      </w:r>
      <w:r w:rsidR="006E6C56">
        <w:t xml:space="preserve">tically </w:t>
      </w:r>
      <w:r w:rsidR="006E6C56">
        <w:lastRenderedPageBreak/>
        <w:t xml:space="preserve">those </w:t>
      </w:r>
      <w:r w:rsidRPr="009A4209">
        <w:t>with either regular</w:t>
      </w:r>
      <w:r w:rsidR="00AB5ACD">
        <w:t xml:space="preserve"> but</w:t>
      </w:r>
      <w:r w:rsidRPr="009A4209">
        <w:t xml:space="preserve"> non-steady partner</w:t>
      </w:r>
      <w:r w:rsidR="00D70E4F">
        <w:t>s (conditional probability 35.9</w:t>
      </w:r>
      <w:r w:rsidRPr="009A4209">
        <w:t xml:space="preserve">%) or </w:t>
      </w:r>
      <w:r w:rsidR="00D34E33">
        <w:t>one-off</w:t>
      </w:r>
      <w:r w:rsidRPr="009A4209">
        <w:t xml:space="preserve"> partner</w:t>
      </w:r>
      <w:r w:rsidR="00D70E4F">
        <w:t>s (conditional probability 62.8</w:t>
      </w:r>
      <w:r w:rsidRPr="009A4209">
        <w:t xml:space="preserve">%).  Encounters with regular steady partners only </w:t>
      </w:r>
      <w:r w:rsidR="00D70E4F">
        <w:t>had conditional probability 1.2</w:t>
      </w:r>
      <w:r w:rsidRPr="009A4209">
        <w:t>% in this class.</w:t>
      </w:r>
      <w:r w:rsidR="002430FF">
        <w:t xml:space="preserve">  Most encounters in this class were with partners</w:t>
      </w:r>
      <w:r w:rsidR="000D73F4">
        <w:t xml:space="preserve"> of unclear </w:t>
      </w:r>
      <w:r w:rsidR="00567B9C">
        <w:t xml:space="preserve">HIV </w:t>
      </w:r>
      <w:r w:rsidR="000D73F4">
        <w:t>serostatus match (68.3</w:t>
      </w:r>
      <w:r w:rsidR="002430FF">
        <w:t>%)</w:t>
      </w:r>
      <w:r w:rsidRPr="009A4209">
        <w:t xml:space="preserve">. </w:t>
      </w:r>
      <w:r w:rsidR="000D73F4">
        <w:t xml:space="preserve"> </w:t>
      </w:r>
      <w:r w:rsidR="00035453">
        <w:t>Class 2 e</w:t>
      </w:r>
      <w:r w:rsidRPr="009A4209">
        <w:t>ncounters were less likely to occur in private settin</w:t>
      </w:r>
      <w:r w:rsidR="001F789B">
        <w:t>gs (conditional probability 80.</w:t>
      </w:r>
      <w:r w:rsidRPr="009A4209">
        <w:t>7% vs. 87.2% in the whole sample).  Finally, like class 1 encounters, class 2 encounters involved low levels of responden</w:t>
      </w:r>
      <w:r w:rsidR="0068456C">
        <w:t>t substance use (M=0.50, SE=0.02</w:t>
      </w:r>
      <w:r w:rsidRPr="009A4209">
        <w:t>), though as above some polysubstance use was likely included in this class as well.</w:t>
      </w:r>
    </w:p>
    <w:p w14:paraId="221D85C4" w14:textId="0D168E38" w:rsidR="00316B1F" w:rsidRPr="009A4209" w:rsidRDefault="00316B1F" w:rsidP="00316B1F">
      <w:pPr>
        <w:spacing w:line="480" w:lineRule="auto"/>
      </w:pPr>
      <w:r w:rsidRPr="009A4209">
        <w:rPr>
          <w:b/>
          <w:i/>
        </w:rPr>
        <w:tab/>
        <w:t>Class 3: poly</w:t>
      </w:r>
      <w:r w:rsidR="00D34E33">
        <w:rPr>
          <w:b/>
          <w:i/>
        </w:rPr>
        <w:t>drug</w:t>
      </w:r>
      <w:r w:rsidRPr="009A4209">
        <w:rPr>
          <w:b/>
          <w:i/>
        </w:rPr>
        <w:t xml:space="preserve"> use.</w:t>
      </w:r>
      <w:r w:rsidRPr="009A4209">
        <w:t xml:space="preserve">  </w:t>
      </w:r>
      <w:r w:rsidR="000D73F4">
        <w:t xml:space="preserve">Of the included encounters, 6.7% were most likely to be assigned to class 3.  </w:t>
      </w:r>
      <w:r w:rsidRPr="009A4209">
        <w:t>Encounters in this class</w:t>
      </w:r>
      <w:r w:rsidR="000D73F4">
        <w:t xml:space="preserve"> </w:t>
      </w:r>
      <w:r w:rsidRPr="009A4209">
        <w:t xml:space="preserve">were characterised by high polysubstance use.  </w:t>
      </w:r>
      <w:r w:rsidR="00035453">
        <w:t>E</w:t>
      </w:r>
      <w:r w:rsidRPr="009A4209">
        <w:t xml:space="preserve">ncounters in this class </w:t>
      </w:r>
      <w:r w:rsidR="00035453">
        <w:t xml:space="preserve">also </w:t>
      </w:r>
      <w:r w:rsidRPr="009A4209">
        <w:t>included an average of 3.52 substances used by respondent (</w:t>
      </w:r>
      <w:r w:rsidR="0068456C">
        <w:t>SE=0.13</w:t>
      </w:r>
      <w:r w:rsidRPr="009A4209">
        <w:t>).  These encounters were less likely to include regular steady partner</w:t>
      </w:r>
      <w:r w:rsidR="001F789B">
        <w:t>s (conditional probability 22.3</w:t>
      </w:r>
      <w:r w:rsidRPr="009A4209">
        <w:t xml:space="preserve">%) and more likely to include regular </w:t>
      </w:r>
      <w:r w:rsidR="00AB5ACD">
        <w:t>but non-steady</w:t>
      </w:r>
      <w:r w:rsidR="001F789B">
        <w:t xml:space="preserve"> (conditional probability 37.7</w:t>
      </w:r>
      <w:r w:rsidRPr="009A4209">
        <w:t>%) than all encounters</w:t>
      </w:r>
      <w:r w:rsidR="000D73F4">
        <w:t xml:space="preserve">, though the conditional probability of encounters including one-off partners (40.1%) was not substantially different </w:t>
      </w:r>
      <w:r w:rsidR="00875BB3">
        <w:t>from</w:t>
      </w:r>
      <w:r w:rsidR="000D73F4">
        <w:t xml:space="preserve"> all encounters</w:t>
      </w:r>
      <w:r w:rsidRPr="009A4209">
        <w:t>.  Conditional probabilities for location of sex were not absolutely different from the general sample of encounters, though encounters in cruising or outdoor locations were less likely in class</w:t>
      </w:r>
      <w:r w:rsidR="001F789B">
        <w:t xml:space="preserve"> 3 (conditional probability 1.6</w:t>
      </w:r>
      <w:r w:rsidRPr="009A4209">
        <w:t xml:space="preserve">%) than in the population of encounters generally (5.5%).  Encounters in this class had a conditional probability of serodiscordant encounters twice as high as compared </w:t>
      </w:r>
      <w:r w:rsidR="00875BB3">
        <w:t>with</w:t>
      </w:r>
      <w:r w:rsidRPr="009A4209">
        <w:t xml:space="preserve"> the probability of serodiscordant encoun</w:t>
      </w:r>
      <w:r w:rsidR="001F789B">
        <w:t>ters in the entire sample (14.9</w:t>
      </w:r>
      <w:r w:rsidRPr="009A4209">
        <w:t>% vs. 7.0%).</w:t>
      </w:r>
    </w:p>
    <w:p w14:paraId="08517230" w14:textId="7807AAF0" w:rsidR="00316B1F" w:rsidRPr="001E6D34" w:rsidRDefault="00316B1F" w:rsidP="00316B1F">
      <w:pPr>
        <w:spacing w:line="480" w:lineRule="auto"/>
      </w:pPr>
      <w:r w:rsidRPr="009A4209">
        <w:rPr>
          <w:b/>
          <w:i/>
        </w:rPr>
        <w:tab/>
      </w:r>
      <w:r w:rsidR="001F1815">
        <w:rPr>
          <w:b/>
        </w:rPr>
        <w:t>Relationship between latent classes and outcomes</w:t>
      </w:r>
      <w:r w:rsidRPr="009A4209">
        <w:rPr>
          <w:b/>
        </w:rPr>
        <w:t>.</w:t>
      </w:r>
      <w:r w:rsidRPr="009A4209">
        <w:t xml:space="preserve"> </w:t>
      </w:r>
      <w:r w:rsidR="005365A6">
        <w:t xml:space="preserve"> </w:t>
      </w:r>
      <w:r w:rsidRPr="009A4209">
        <w:t xml:space="preserve">On average, encounter assignment to class 2 was associated with a 23.0% probability of </w:t>
      </w:r>
      <w:r w:rsidR="001F1815">
        <w:t>CAI</w:t>
      </w:r>
      <w:r w:rsidRPr="009A4209">
        <w:t xml:space="preserve">, whereas encounter assignment to class 1 was associated with a 41.5% probability of </w:t>
      </w:r>
      <w:r w:rsidR="001F1815">
        <w:t>CAI</w:t>
      </w:r>
      <w:r w:rsidRPr="009A4209">
        <w:t xml:space="preserve"> and </w:t>
      </w:r>
      <w:r w:rsidRPr="009A4209">
        <w:lastRenderedPageBreak/>
        <w:t>assignment to class 3 was associated with a probability of 52.9%.  An overall test for differences between classes was statistically significant (χ</w:t>
      </w:r>
      <w:r w:rsidRPr="009A4209">
        <w:rPr>
          <w:vertAlign w:val="superscript"/>
        </w:rPr>
        <w:t>2</w:t>
      </w:r>
      <w:r w:rsidRPr="009A4209">
        <w:t xml:space="preserve">(2)=312.58, </w:t>
      </w:r>
      <w:r w:rsidRPr="009A4209">
        <w:rPr>
          <w:i/>
        </w:rPr>
        <w:t>p</w:t>
      </w:r>
      <w:r w:rsidRPr="009A4209">
        <w:t xml:space="preserve">&lt;0.001), as were all pairwise tests between classes (see </w:t>
      </w:r>
      <w:r w:rsidR="005365A6" w:rsidRPr="005365A6">
        <w:t>Table 4</w:t>
      </w:r>
      <w:r w:rsidRPr="009A4209">
        <w:t xml:space="preserve">).  This indicated that each class was statistically associated with a different probability of </w:t>
      </w:r>
      <w:r w:rsidR="001F1815">
        <w:t>CAI</w:t>
      </w:r>
      <w:r w:rsidRPr="009A4209">
        <w:t>.</w:t>
      </w:r>
      <w:r w:rsidR="001E6D34">
        <w:t xml:space="preserve">  </w:t>
      </w:r>
      <w:r w:rsidR="00F65E9F">
        <w:t xml:space="preserve">In contrast, while both class 1 and class 3 had higher average reported pleasure than class 2, class 1 and class 3 were not statistically distinguishable </w:t>
      </w:r>
      <w:r w:rsidR="00F65E9F" w:rsidRPr="009A4209">
        <w:t>(χ</w:t>
      </w:r>
      <w:r w:rsidR="00F65E9F" w:rsidRPr="009A4209">
        <w:rPr>
          <w:vertAlign w:val="superscript"/>
        </w:rPr>
        <w:t>2</w:t>
      </w:r>
      <w:r w:rsidR="00F65E9F" w:rsidRPr="009A4209">
        <w:t xml:space="preserve">(1)=0.5, </w:t>
      </w:r>
      <w:r w:rsidR="00F65E9F" w:rsidRPr="009A4209">
        <w:rPr>
          <w:i/>
        </w:rPr>
        <w:t>p</w:t>
      </w:r>
      <w:r w:rsidR="00F65E9F" w:rsidRPr="009A4209">
        <w:t>=0.50)</w:t>
      </w:r>
      <w:r w:rsidR="00F65E9F">
        <w:t xml:space="preserve"> and an overall test of differences was significant </w:t>
      </w:r>
      <w:r w:rsidR="00F65E9F" w:rsidRPr="009A4209">
        <w:t>(χ</w:t>
      </w:r>
      <w:r w:rsidR="00F65E9F" w:rsidRPr="009A4209">
        <w:rPr>
          <w:vertAlign w:val="superscript"/>
        </w:rPr>
        <w:t>2</w:t>
      </w:r>
      <w:r w:rsidR="00F65E9F" w:rsidRPr="009A4209">
        <w:t xml:space="preserve">(2)=159.11, </w:t>
      </w:r>
      <w:r w:rsidR="00F65E9F" w:rsidRPr="009A4209">
        <w:rPr>
          <w:i/>
        </w:rPr>
        <w:t>p</w:t>
      </w:r>
      <w:r w:rsidR="00F65E9F" w:rsidRPr="009A4209">
        <w:t>&lt;0.001)</w:t>
      </w:r>
      <w:r w:rsidR="001E6D34">
        <w:t>.</w:t>
      </w:r>
    </w:p>
    <w:p w14:paraId="356AB338" w14:textId="77777777" w:rsidR="00612211" w:rsidRDefault="00612211" w:rsidP="00316B1F">
      <w:pPr>
        <w:spacing w:line="480" w:lineRule="auto"/>
        <w:rPr>
          <w:b/>
        </w:rPr>
      </w:pPr>
    </w:p>
    <w:p w14:paraId="37964C4B" w14:textId="77777777" w:rsidR="00316B1F" w:rsidRPr="00FF1F78" w:rsidRDefault="00FF1F78" w:rsidP="00316B1F">
      <w:pPr>
        <w:spacing w:line="480" w:lineRule="auto"/>
      </w:pPr>
      <w:r>
        <w:rPr>
          <w:b/>
        </w:rPr>
        <w:t>Discussion</w:t>
      </w:r>
    </w:p>
    <w:p w14:paraId="1BF99D35" w14:textId="7CB7276A" w:rsidR="00316B1F" w:rsidRDefault="00D34E33" w:rsidP="00D34E33">
      <w:pPr>
        <w:spacing w:line="480" w:lineRule="auto"/>
      </w:pPr>
      <w:r>
        <w:tab/>
      </w:r>
      <w:r w:rsidR="003319AD">
        <w:t>In the first analysis of its kind, we</w:t>
      </w:r>
      <w:r>
        <w:t xml:space="preserve"> used multilevel latent class analysis to construct a working typology of </w:t>
      </w:r>
      <w:r w:rsidR="00506780">
        <w:t xml:space="preserve">contexts of </w:t>
      </w:r>
      <w:r>
        <w:t xml:space="preserve">sexual encounters between men.  The three classes that arose were readily distinguishable with clear separation between them.  Classes were characterised as </w:t>
      </w:r>
      <w:r w:rsidR="00542F15">
        <w:t>featuring</w:t>
      </w:r>
      <w:r>
        <w:t xml:space="preserve"> regular steady partners in private locations with low drug use (class 1), </w:t>
      </w:r>
      <w:r w:rsidR="00542F15">
        <w:t>casual</w:t>
      </w:r>
      <w:r>
        <w:t xml:space="preserve"> </w:t>
      </w:r>
      <w:r w:rsidR="00755C81">
        <w:t xml:space="preserve">(regular but not steady and one-off) </w:t>
      </w:r>
      <w:r>
        <w:t xml:space="preserve">partners with increased probability of </w:t>
      </w:r>
      <w:r w:rsidR="00AC7CFF">
        <w:t xml:space="preserve">sex occurring in </w:t>
      </w:r>
      <w:r>
        <w:t>a sex-on-premises venue</w:t>
      </w:r>
      <w:r w:rsidR="001E6D34">
        <w:t xml:space="preserve"> (class 2)</w:t>
      </w:r>
      <w:r>
        <w:t xml:space="preserve">, and high levels of polydrug use </w:t>
      </w:r>
      <w:r w:rsidR="00047414">
        <w:t xml:space="preserve">together increased probability of partners that were </w:t>
      </w:r>
      <w:r w:rsidR="00755C81">
        <w:t>regular but not steady and one-off</w:t>
      </w:r>
      <w:r w:rsidR="00047414">
        <w:t xml:space="preserve"> </w:t>
      </w:r>
      <w:r>
        <w:t xml:space="preserve">(class 3).  Encounters were different both in pairwise comparisons and overall on probability of </w:t>
      </w:r>
      <w:r w:rsidR="001F1815">
        <w:t>CAI</w:t>
      </w:r>
      <w:r w:rsidR="001E6D34">
        <w:t xml:space="preserve">. </w:t>
      </w:r>
      <w:r w:rsidR="00852C93">
        <w:t xml:space="preserve"> </w:t>
      </w:r>
      <w:r w:rsidR="001E6D34">
        <w:t>They were different</w:t>
      </w:r>
      <w:r>
        <w:t xml:space="preserve"> overall </w:t>
      </w:r>
      <w:r w:rsidR="00DE7D76">
        <w:t xml:space="preserve">but </w:t>
      </w:r>
      <w:r w:rsidR="00875BB3">
        <w:t xml:space="preserve">not </w:t>
      </w:r>
      <w:r w:rsidR="00852C93">
        <w:t xml:space="preserve">necessarily </w:t>
      </w:r>
      <w:r w:rsidR="00875BB3">
        <w:t xml:space="preserve">pairwise </w:t>
      </w:r>
      <w:r>
        <w:t>on pleasure</w:t>
      </w:r>
      <w:r w:rsidR="001E6D34">
        <w:t>.</w:t>
      </w:r>
    </w:p>
    <w:p w14:paraId="74E8520A" w14:textId="01D529AA" w:rsidR="00BF6441" w:rsidRDefault="00C56DAA" w:rsidP="00D34E33">
      <w:pPr>
        <w:spacing w:line="480" w:lineRule="auto"/>
      </w:pPr>
      <w:r>
        <w:tab/>
      </w:r>
      <w:r w:rsidR="005F6679">
        <w:t>Encounters</w:t>
      </w:r>
      <w:r w:rsidR="00BA6AF3">
        <w:t xml:space="preserve"> in class </w:t>
      </w:r>
      <w:r w:rsidR="005F6679">
        <w:t xml:space="preserve">1, </w:t>
      </w:r>
      <w:r w:rsidR="00BA6AF3">
        <w:t>marked by regular steady partners</w:t>
      </w:r>
      <w:r w:rsidR="005F6679">
        <w:t>, we</w:t>
      </w:r>
      <w:r w:rsidR="00BA6AF3">
        <w:t xml:space="preserve">re associated with higher </w:t>
      </w:r>
      <w:r w:rsidR="000A0893">
        <w:t xml:space="preserve">likelihood </w:t>
      </w:r>
      <w:r w:rsidR="00BA6AF3">
        <w:t xml:space="preserve">of </w:t>
      </w:r>
      <w:r w:rsidR="001F1815">
        <w:t>CAI</w:t>
      </w:r>
      <w:r w:rsidR="00BA6AF3">
        <w:t xml:space="preserve"> compared </w:t>
      </w:r>
      <w:r w:rsidR="00875BB3">
        <w:t>with</w:t>
      </w:r>
      <w:r w:rsidR="00BA6AF3">
        <w:t xml:space="preserve"> </w:t>
      </w:r>
      <w:r w:rsidR="005F6679">
        <w:t>encounters in class 2, which was</w:t>
      </w:r>
      <w:r w:rsidR="00BA6AF3">
        <w:t xml:space="preserve"> defined by encounters with </w:t>
      </w:r>
      <w:r w:rsidR="000A0893">
        <w:t>casual</w:t>
      </w:r>
      <w:r w:rsidR="00BA6AF3">
        <w:t xml:space="preserve"> partners and higher odds of sex-on-premises venues.  </w:t>
      </w:r>
      <w:r w:rsidR="0091717F">
        <w:t xml:space="preserve">This could </w:t>
      </w:r>
      <w:r w:rsidR="007A25DA">
        <w:t>suggest</w:t>
      </w:r>
      <w:r w:rsidR="0091717F">
        <w:t xml:space="preserve"> that explanations for sexual risk behaviour in the face of risk of HIV </w:t>
      </w:r>
      <w:r w:rsidR="0091717F">
        <w:lastRenderedPageBreak/>
        <w:t xml:space="preserve">transmission possibly ignore planned </w:t>
      </w:r>
      <w:r w:rsidR="001F1815">
        <w:t>CAI</w:t>
      </w:r>
      <w:r w:rsidR="0091717F">
        <w:t xml:space="preserve">, a finding that is reflected in qualitative research on the subject </w:t>
      </w:r>
      <w:r w:rsidR="00BF6441">
        <w:fldChar w:fldCharType="begin" w:fldLock="1"/>
      </w:r>
      <w:r w:rsidR="00443EC3">
        <w:instrText>ADDIN CSL_CITATION { "citationItems" : [ { "id" : "ITEM-1", "itemData" : { "ISBN" : "0-306-46731-3 (Hardcover)", "abstract" : "(from the preface) Describes research on \"negotiated safety\" agreements among men who have sex with men. In this approach, men who test HIV-seroconcordant (more advisable when both are negative) agree to abandon use of condoms with each other but to avoid risk behavior with others, thus protecting the dyad. While this chapter focuses on gay men, the approach may also be effective for some heterosexual couples, particularly those who wish to conceive children. HIV antibody testing is an important, and until recently, underestimated tool in the prevention armamentarium. While individuals testing negative do not reliably reduce their behavioral risk, a number of reviews and meta-analyses have indicated that those who test positive, including serodiscordant couples, do. Negotiated safety, and the agreements that comprise it, is a complex HIV prevention strategy. The debate about whether it is an effective personal and community strategy needs to continue. The author suggests a framework within which the debate should continue. (PsycINFO Database Record (c) 2012 APA, all rights reserved)", "author" : [ { "dropping-particle" : "", "family" : "Kippax", "given" : "Susan", "non-dropping-particle" : "", "parse-names" : false, "suffix" : "" } ], "container-title" : "Beyond condoms: Alternative approaches to HIV prevention.", "editor" : [ { "dropping-particle" : "", "family" : "Adam  Bochow, Bosga, Butto, Callen, Davidovich, Davies, Davies, Dawson, Detels, Doll, Ekstrand, Ekstrand, Elford, Flowers, Grunseit, Hickson, Hoff, Jeannin, Kinder, Kippax, Kippax, Kippax, Kippax, Kippax, Mackie, McLean, Myers, Parnell, Patton, Piot, Ridg", "given" : "Adam", "non-dropping-particle" : "", "parse-names" : false, "suffix" : "" } ], "id" : "ITEM-1", "issued" : { "date-parts" : [ [ "2002" ] ] }, "page" : "1-15", "publisher" : "Kluwer Academic/Plenum Publishers", "publisher-place" : "New York, NY, US", "title" : "Negotiated safety agreements among gay men.", "type" : "article" }, "uris" : [ "http://www.mendeley.com/documents/?uuid=176cafaa-b5fa-49bb-a0d0-73bd7351b130" ] }, { "id" : "ITEM-2", "itemData" : { "DOI" : "10.1521/aeap.2014.26.3.214", "ISBN" : "0899-9546", "abstract" : "Since the mid-1980s, Australian social researchers have investigated the sexual practices of gay men, describing those that protect men from HIV or put them at risk of infection. Ground-breaking (and controversial) publications have highlighted a variety of ways in which gay men protect themselves and their partners, including condom use and non-condom-based risk reduction strategies. HIV social research in Australia has been heavily influenced by a distinctive network of experts or epistemic community with shared principles and beliefs and a commitment to influencing policy and practice. This epistemic community has articulated a 'social public health' view of HIV that emphasises partnership, agency, understanding practices and reflexivity. This approach has clashed with those of other epistemic communities, notably around ideas of relapse and unsafe sex. This article uses the examples of negotiated safety and serosorting to illustrate this Australian epistemic community's approach to HIV risk reduction among gay men.", "author" : [ { "dropping-particle" : "", "family" : "Holt", "given" : "Martin", "non-dropping-particle" : "", "parse-names" : false, "suffix" : "" } ], "container-title" : "AIDS Education &amp; Prevention", "id" : "ITEM-2", "issue" : "3", "issued" : { "date-parts" : [ [ "2014" ] ] }, "note" : "Blind Peer Reviewed; Editorial Board Reviewed; Expert Peer Reviewed; Health Promotion/Education; Online/Print; Peer Reviewed; USA. Special Interest: Men&amp;#039;s Health; Public Health. Grant Information: Australian Government Department of Health and Ageing.. NLM UID: 9002873.\nPMID: 24846484", "page" : "214-223", "title" : "Gay Men's HIV Risk Reduction Practices: The Influence of Epistemic Communities in HIV Social and Behavioral Research", "type" : "article-journal", "volume" : "26" }, "uris" : [ "http://www.mendeley.com/documents/?uuid=f66e1f12-43e2-4e60-bb20-3b51a11b5408" ] } ], "mendeley" : { "formattedCitation" : "(26,27)", "plainTextFormattedCitation" : "(26,27)", "previouslyFormattedCitation" : "(25,26)" }, "properties" : { "noteIndex" : 0 }, "schema" : "https://github.com/citation-style-language/schema/raw/master/csl-citation.json" }</w:instrText>
      </w:r>
      <w:r w:rsidR="00BF6441">
        <w:fldChar w:fldCharType="separate"/>
      </w:r>
      <w:r w:rsidR="00443EC3" w:rsidRPr="00443EC3">
        <w:rPr>
          <w:noProof/>
        </w:rPr>
        <w:t>(26,27)</w:t>
      </w:r>
      <w:r w:rsidR="00BF6441">
        <w:fldChar w:fldCharType="end"/>
      </w:r>
      <w:r w:rsidR="000A0893">
        <w:t>.</w:t>
      </w:r>
    </w:p>
    <w:p w14:paraId="13489A1A" w14:textId="0A13502A" w:rsidR="00BF6441" w:rsidRDefault="005F6679" w:rsidP="00061C42">
      <w:pPr>
        <w:spacing w:line="480" w:lineRule="auto"/>
        <w:ind w:firstLine="720"/>
      </w:pPr>
      <w:r>
        <w:t xml:space="preserve">Moreover, </w:t>
      </w:r>
      <w:r w:rsidR="001F1815">
        <w:t>CAI</w:t>
      </w:r>
      <w:r>
        <w:t xml:space="preserve"> in the context of steady partnerships where partners are </w:t>
      </w:r>
      <w:r w:rsidR="00AC7CFF">
        <w:t xml:space="preserve">assumed to be </w:t>
      </w:r>
      <w:r>
        <w:t xml:space="preserve">seroconcordant—as in most of the encounters in class 1—carry </w:t>
      </w:r>
      <w:r w:rsidR="00AC7CFF">
        <w:t xml:space="preserve">a much </w:t>
      </w:r>
      <w:r>
        <w:t>lower risk for HIV transmission.</w:t>
      </w:r>
      <w:r w:rsidR="00BF6441">
        <w:t xml:space="preserve">  This is especially important since not all CAI is the same in terms of risk.  That is, CAI with a regular and steady partner, even when that relationship is not monogamous, may occur in the context of negotiated safety </w:t>
      </w:r>
      <w:r w:rsidR="00BF6441">
        <w:fldChar w:fldCharType="begin" w:fldLock="1"/>
      </w:r>
      <w:r w:rsidR="00443EC3">
        <w:instrText>ADDIN CSL_CITATION { "citationItems" : [ { "id" : "ITEM-1", "itemData" : { "ISBN" : "0-306-46731-3 (Hardcover)", "abstract" : "(from the preface) Describes research on \"negotiated safety\" agreements among men who have sex with men. In this approach, men who test HIV-seroconcordant (more advisable when both are negative) agree to abandon use of condoms with each other but to avoid risk behavior with others, thus protecting the dyad. While this chapter focuses on gay men, the approach may also be effective for some heterosexual couples, particularly those who wish to conceive children. HIV antibody testing is an important, and until recently, underestimated tool in the prevention armamentarium. While individuals testing negative do not reliably reduce their behavioral risk, a number of reviews and meta-analyses have indicated that those who test positive, including serodiscordant couples, do. Negotiated safety, and the agreements that comprise it, is a complex HIV prevention strategy. The debate about whether it is an effective personal and community strategy needs to continue. The author suggests a framework within which the debate should continue. (PsycINFO Database Record (c) 2012 APA, all rights reserved)", "author" : [ { "dropping-particle" : "", "family" : "Kippax", "given" : "Susan", "non-dropping-particle" : "", "parse-names" : false, "suffix" : "" } ], "container-title" : "Beyond condoms: Alternative approaches to HIV prevention.", "editor" : [ { "dropping-particle" : "", "family" : "Adam  Bochow, Bosga, Butto, Callen, Davidovich, Davies, Davies, Dawson, Detels, Doll, Ekstrand, Ekstrand, Elford, Flowers, Grunseit, Hickson, Hoff, Jeannin, Kinder, Kippax, Kippax, Kippax, Kippax, Kippax, Mackie, McLean, Myers, Parnell, Patton, Piot, Ridg", "given" : "Adam", "non-dropping-particle" : "", "parse-names" : false, "suffix" : "" } ], "id" : "ITEM-1", "issued" : { "date-parts" : [ [ "2002" ] ] }, "page" : "1-15", "publisher" : "Kluwer Academic/Plenum Publishers", "publisher-place" : "New York, NY, US", "title" : "Negotiated safety agreements among gay men.", "type" : "article" }, "uris" : [ "http://www.mendeley.com/documents/?uuid=176cafaa-b5fa-49bb-a0d0-73bd7351b130" ] }, { "id" : "ITEM-2", "itemData" : { "DOI" : "10.1521/aeap.2014.26.3.214", "ISBN" : "0899-9546", "abstract" : "Since the mid-1980s, Australian social researchers have investigated the sexual practices of gay men, describing those that protect men from HIV or put them at risk of infection. Ground-breaking (and controversial) publications have highlighted a variety of ways in which gay men protect themselves and their partners, including condom use and non-condom-based risk reduction strategies. HIV social research in Australia has been heavily influenced by a distinctive network of experts or epistemic community with shared principles and beliefs and a commitment to influencing policy and practice. This epistemic community has articulated a 'social public health' view of HIV that emphasises partnership, agency, understanding practices and reflexivity. This approach has clashed with those of other epistemic communities, notably around ideas of relapse and unsafe sex. This article uses the examples of negotiated safety and serosorting to illustrate this Australian epistemic community's approach to HIV risk reduction among gay men.", "author" : [ { "dropping-particle" : "", "family" : "Holt", "given" : "Martin", "non-dropping-particle" : "", "parse-names" : false, "suffix" : "" } ], "container-title" : "AIDS Education &amp; Prevention", "id" : "ITEM-2", "issue" : "3", "issued" : { "date-parts" : [ [ "2014" ] ] }, "note" : "Blind Peer Reviewed; Editorial Board Reviewed; Expert Peer Reviewed; Health Promotion/Education; Online/Print; Peer Reviewed; USA. Special Interest: Men&amp;#039;s Health; Public Health. Grant Information: Australian Government Department of Health and Ageing.. NLM UID: 9002873.\nPMID: 24846484", "page" : "214-223", "title" : "Gay Men's HIV Risk Reduction Practices: The Influence of Epistemic Communities in HIV Social and Behavioral Research", "type" : "article-journal", "volume" : "26" }, "uris" : [ "http://www.mendeley.com/documents/?uuid=f66e1f12-43e2-4e60-bb20-3b51a11b5408" ] } ], "mendeley" : { "formattedCitation" : "(26,27)", "plainTextFormattedCitation" : "(26,27)", "previouslyFormattedCitation" : "(25,26)" }, "properties" : { "noteIndex" : 0 }, "schema" : "https://github.com/citation-style-language/schema/raw/master/csl-citation.json" }</w:instrText>
      </w:r>
      <w:r w:rsidR="00BF6441">
        <w:fldChar w:fldCharType="separate"/>
      </w:r>
      <w:r w:rsidR="00443EC3" w:rsidRPr="00443EC3">
        <w:rPr>
          <w:noProof/>
        </w:rPr>
        <w:t>(26,27)</w:t>
      </w:r>
      <w:r w:rsidR="00BF6441">
        <w:fldChar w:fldCharType="end"/>
      </w:r>
      <w:r w:rsidR="00BF6441">
        <w:t xml:space="preserve">.  </w:t>
      </w:r>
      <w:r w:rsidR="00755C81">
        <w:t xml:space="preserve">Negotiated safety and strategic positioning have, in cohort studies, not been associated with an increase in HIV transmission </w:t>
      </w:r>
      <w:r w:rsidR="00755C81">
        <w:fldChar w:fldCharType="begin" w:fldLock="1"/>
      </w:r>
      <w:r w:rsidR="00443EC3">
        <w:instrText>ADDIN CSL_CITATION { "citationItems" : [ { "id" : "ITEM-1", "itemData" : { "DOI" : "10.1097/QAD.0b013e32831fb51a", "ISSN" : "0269-9370", "abstract" : "Objective: A range of risk reduction behaviours in which homosexual men\npractise unprotected anal intercourse (UAI) has been described. We aimed\nto assess the extent of any reduction in HIV risk associated with these\nbehaviours.\nDesign: A prospective cohort study of HIV-negative homosexual men in\nSydney, Australia.\nMethods: Men were followed up with 6-monthly detailed behavioural\ninterviews and annual testing for HIV. The four risk reduction\nbehaviours (behaviourally defined) examined were serosorting, negotiated\nsafety, strategic positioning, and withdrawal during receptive UAI\n(UAI-R).\nResults: In 88% of follow-up periods in which UAI was reported, it\noccurred in the context of consistent risk reduction behaviours.\nCompared with those who reported no UAI,the risk of HIV infection was\nnot raised in negotiated safety {[}hazard ratio= 1.67, 95% confidence\ninterval (CI) 0.59-4.76] and strategic positioning (hazard ratio= 1.54,\n95%CI 0.45-5.26). Serosorting outside negotiated safety was associated\nwith an intermediate rate of HIV infection (hazard ratio= 3.11, 95%CI\n1.09-8.88). Withdrawal was associated with a higher risk than no UAI\n(hazard ratio = 5.00, 95% Cl 1.94-12.92). Patterns of UAI differed\ngreatly according to partner's serostatus. Men who reported serosorting\nwere less likely to report either strategic positioning or withdrawal.\nConclusion: Each behaviour examined was associated with an intermediate\nHIV incidence between the lowest and highest risk sexual behaviours. The\ninverse association between individual behaviours suggests that men who\npractise serosorting rely on this protection. The high prevalence of\nthese behaviours demands that researchers address the contexts and risks\nassociated with specific types of UAI. (C) 2009 Wolters Kluwer Health\nvertical bar Lippincott Williams &amp; Wilkins", "author" : [ { "dropping-particle" : "", "family" : "Jin", "given" : "Fengyi", "non-dropping-particle" : "", "parse-names" : false, "suffix" : "" }, { "dropping-particle" : "", "family" : "Crawford", "given" : "June", "non-dropping-particle" : "", "parse-names" : false, "suffix" : "" }, { "dropping-particle" : "", "family" : "Prestage", "given" : "Garrett P", "non-dropping-particle" : "", "parse-names" : false, "suffix" : "" }, { "dropping-particle" : "", "family" : "Zablotska", "given" : "Iryna", "non-dropping-particle" : "", "parse-names" : false, "suffix" : "" }, { "dropping-particle" : "", "family" : "Imrie", "given" : "John", "non-dropping-particle" : "", "parse-names" : false, "suffix" : "" }, { "dropping-particle" : "", "family" : "Kippax", "given" : "Susan C", "non-dropping-particle" : "", "parse-names" : false, "suffix" : "" }, { "dropping-particle" : "", "family" : "Kaldor", "given" : "John M", "non-dropping-particle" : "", "parse-names" : false, "suffix" : "" }, { "dropping-particle" : "", "family" : "Grulich", "given" : "Andrew E", "non-dropping-particle" : "", "parse-names" : false, "suffix" : "" } ], "container-title" : "AIDS", "id" : "ITEM-1", "issue" : "2", "issued" : { "date-parts" : [ [ "2009", "1" ] ] }, "page" : "243-252", "title" : "Unprotected anal intercourse, risk reduction behaviours, and subsequent HIV infection in a cohort of homosexual men", "type" : "article-journal", "volume" : "23" }, "uris" : [ "http://www.mendeley.com/documents/?uuid=384ba4ee-db8e-4fdb-abbc-918f762de7e1" ] } ], "mendeley" : { "formattedCitation" : "(28)", "plainTextFormattedCitation" : "(28)", "previouslyFormattedCitation" : "(27)" }, "properties" : { "noteIndex" : 0 }, "schema" : "https://github.com/citation-style-language/schema/raw/master/csl-citation.json" }</w:instrText>
      </w:r>
      <w:r w:rsidR="00755C81">
        <w:fldChar w:fldCharType="separate"/>
      </w:r>
      <w:r w:rsidR="00443EC3" w:rsidRPr="00443EC3">
        <w:rPr>
          <w:noProof/>
        </w:rPr>
        <w:t>(28)</w:t>
      </w:r>
      <w:r w:rsidR="00755C81">
        <w:fldChar w:fldCharType="end"/>
      </w:r>
      <w:r w:rsidR="00755C81">
        <w:t xml:space="preserve">.  Moreover, the higher rate of CAI in the context of regular and steady partnerships has long been established </w:t>
      </w:r>
      <w:r w:rsidR="00755C81">
        <w:fldChar w:fldCharType="begin" w:fldLock="1"/>
      </w:r>
      <w:r w:rsidR="00443EC3">
        <w:instrText>ADDIN CSL_CITATION { "citationItems" : [ { "id" : "ITEM-1", "itemData" : { "ISBN" : "0954-0121, 0954-0121", "abstract" : "Examines the role of gay sexual exclusivity in relation to the spread of human immunodeficiency virus (HIV), &amp; adherence to safety rules in nonexclusive (open) relationships, based on data from interviews in 1990 with 387 homosexually active men. The most common sexual/relational configuration among these men is that of open relationships. Sexual nonexclusivity was found to be associated with longer relationships, &amp; a greater age difference between partners. Strategies that some men use to maintain sexually nonexclusive relationships are outlined. These rules pertain both to interpersonal dynamics &amp; HIV prevention. Differing epidemiological significance of the rules &amp; implications for health education are discussed. 1 Table, 25 References. Adapted from the source document.", "author" : [ { "dropping-particle" : "", "family" : "Hickson", "given" : "Ford C I", "non-dropping-particle" : "", "parse-names" : false, "suffix" : "" }, { "dropping-particle" : "", "family" : "Davies", "given" : "P M", "non-dropping-particle" : "", "parse-names" : false, "suffix" : "" }, { "dropping-particle" : "", "family" : "Hunt", "given" : "A J", "non-dropping-particle" : "", "parse-names" : false, "suffix" : "" }, { "dropping-particle" : "", "family" : "Weatherburn", "given" : "P", "non-dropping-particle" : "", "parse-names" : false, "suffix" : "" }, { "dropping-particle" : "", "family" : "McManus", "given" : "T J", "non-dropping-particle" : "", "parse-names" : false, "suffix" : "" }, { "dropping-particle" : "", "family" : "Coxon", "given" : "A P M", "non-dropping-particle" : "", "parse-names" : false, "suffix" : "" } ], "container-title" : "AIDS care", "id" : "ITEM-1", "issue" : "4", "issued" : { "date-parts" : [ [ "1992" ] ] }, "language" : "English", "note" : "Date revised - 2007-04-01\nLast updated - 2011-12-15\nCODEN - AIDCEF\nSubjectsTermNotLitGenreText - *Acquired Immune Deficiency Syndrome; *Homosexuality; *Males", "page" : "409-419", "title" : "Maintenance of Open Gay Relationships: Some Strategies for Protection against HIV", "type" : "article-journal", "volume" : "4" }, "uris" : [ "http://www.mendeley.com/documents/?uuid=6e6a3ba4-8538-4496-8c0c-69359767429d" ] } ], "mendeley" : { "formattedCitation" : "(29)", "plainTextFormattedCitation" : "(29)", "previouslyFormattedCitation" : "(28)" }, "properties" : { "noteIndex" : 0 }, "schema" : "https://github.com/citation-style-language/schema/raw/master/csl-citation.json" }</w:instrText>
      </w:r>
      <w:r w:rsidR="00755C81">
        <w:fldChar w:fldCharType="separate"/>
      </w:r>
      <w:r w:rsidR="00443EC3" w:rsidRPr="00443EC3">
        <w:rPr>
          <w:noProof/>
        </w:rPr>
        <w:t>(29)</w:t>
      </w:r>
      <w:r w:rsidR="00755C81">
        <w:fldChar w:fldCharType="end"/>
      </w:r>
      <w:r w:rsidR="00755C81">
        <w:t>.  Thus, while encounters in class 1 have a higher rate of CAI than encounters in class 2, it may be that on the whole class 2 encounters present a greater risk for HIV transmission.</w:t>
      </w:r>
    </w:p>
    <w:p w14:paraId="69329F12" w14:textId="4252E4AF" w:rsidR="0091717F" w:rsidRDefault="000A0893" w:rsidP="000A0893">
      <w:pPr>
        <w:spacing w:line="480" w:lineRule="auto"/>
        <w:ind w:firstLine="720"/>
      </w:pPr>
      <w:r>
        <w:t>What is notable</w:t>
      </w:r>
      <w:r w:rsidR="00BA6AF3">
        <w:t xml:space="preserve">, especially as regards highly stimulating sexual contexts </w:t>
      </w:r>
      <w:r w:rsidR="00124470">
        <w:fldChar w:fldCharType="begin" w:fldLock="1"/>
      </w:r>
      <w:r w:rsidR="00443EC3">
        <w:instrText>ADDIN CSL_CITATION { "citationItems" : [ { "id" : "ITEM-1", "itemData" : { "ISBN" : "0954-0121, 0954-0121", "ISSN" : "0954-0121", "abstract" : "The lack of an effective HIV vaccine or other biomedical intervention means that behavioural change will continue to be critical to the prevention of HIV infection. Despite near universal knowledge of HIV and sexual safety, and widespread intentions to be safe, rates of unprotected sex and HIV sero-conversion remain high among gay and bisexual men. Explanatory models that link risk-taking and prevention to rational processes such as knowledge, social norms, behavioural intentions, or perceived vulnerability to infection, cannot fully account for the continued risk behaviours observed in virtually all cohorts of gay men. We feel that innovative conceptions of risk and risk prevention are needed, that emphasize non-rational, affective processes in risk-taking and decision-making. Consistent with recent models from social psychology, we propose that for many people sexual risk does not stem from a lack of community norms or personal standards, but from a desire to escape cognitive awareness of very rigorous norms and standards. Being self-aware of HIV risk arouses anxiety and precludes highly-desired activities: fatigue, fatalism, or other negative affect over HIV may lead people to \"cognitively disengage\" within the sexual situation, and not to follow their norms or intentions toward safety. We propose that both substance use and the approach of high stimulation or other sexual settings facilitates this cognitive disengagement, wherein people enact \"automatic\" sexual scripts and/or become more responsive to external pressures toward risk. We briefly review current psychosocial models of HIV risk behaviour, outline a cognitive escape model with particular emphasis on substance use as a behavioural risk factor, and discuss implications of an escape model for behavioural interventions among gay and bisexual men.", "author" : [ { "dropping-particle" : "", "family" : "McKirnan", "given" : "David J", "non-dropping-particle" : "", "parse-names" : false, "suffix" : "" }, { "dropping-particle" : "", "family" : "Ostrow", "given" : "David G", "non-dropping-particle" : "", "parse-names" : false, "suffix" : "" }, { "dropping-particle" : "", "family" : "Hope", "given" : "B Y", "non-dropping-particle" : "", "parse-names" : false, "suffix" : "" } ], "container-title" : "AIDS care", "id" : "ITEM-1", "issue" : "6", "issued" : { "date-parts" : [ [ "1996" ] ] }, "note" : "From Duplicate 1 ( \n\n\nSex, drugs and escape: a psychological model of HIV-risk sexual behaviours.\n\n\n- McKirnan, David J; Ostrow, David G; Hope, B )\n\n\n\n\nFrom Duplicate 1 ( \n\n\nSex, drugs and escape: a psychological model of HIV-risk sexual behaviours.\n\n\n- McKirnan, D J; Ostrow, D G; Hope, B )\n\n\n\nAccession Number: 1997044636. Language: English. Entry Date: 19971201. Revision Date: 20091218. Publication Type: journal article; research. Journal Subset: Biomedical; Europe; Peer Reviewed; UK &amp;amp; Ireland. No. of Refs: 92 ref. NLM UID: 8915313. Email: E-mail: davidmck@uic.edu", "page" : "655-670", "title" : "Sex, drugs and escape: a psychological model of HIV-risk sexual behaviours.", "type" : "article-journal", "volume" : "8" }, "uris" : [ "http://www.mendeley.com/documents/?uuid=ab78e148-c479-419e-bfec-0f7920bd9a64" ] }, { "id" : "ITEM-2", "itemData" : { "ISBN" : "1573-3254", "abstract" : "Research demonstrates a consistent association between substance use and sexual risk, particularly among men who have sex with men (MSM). The present study builds upon two existing theories (Cognitive Escape Theory and Expectancy Theory) to examine the synergistic role of sexual conflict (surrounding unsafe sex) and expectancies in sexual behavior among 135 MSM. Two conflicts were examined: (1) The conflict between motivation to practice safer sex and temptation for unprotected sex; and (2) The conflict between motivation to practice safer sex and perceived benefits of unprotected sex. Factorial ANOVAs (2 x 2; high versus low expectancies and conflict versus no conflict) revealed a significant interaction between conflict and expectancies-individuals who reported high levels of conflict were more sensitive to the effect of expectancies than were those experiencing low levels of sexual conflict. Results demonstrate the synergistic effects of conflict and expectancies and highlight the importance of integrating existing theories to more fully consider the intrapsychic operation and experience of sexual conflicts.", "author" : [ { "dropping-particle" : "", "family" : "Wells", "given" : "Brooke E", "non-dropping-particle" : "", "parse-names" : false, "suffix" : "" }, { "dropping-particle" : "", "family" : "Golub", "given" : "Sarit A", "non-dropping-particle" : "", "parse-names" : false, "suffix" : "" }, { "dropping-particle" : "", "family" : "Parsons", "given" : "Jeffrey T", "non-dropping-particle" : "", "parse-names" : false, "suffix" : "" } ], "container-title" : "AIDS and behavior", "id" : "ITEM-2", "issue" : "3", "issued" : { "date-parts" : [ [ "2011" ] ] }, "page" : "509-520", "title" : "An integrated theoretical approach to substance use and risky sexual behavior among men who have sex with men.", "type" : "article", "volume" : "15" }, "uris" : [ "http://www.mendeley.com/documents/?uuid=3c23eb1e-ece5-4f6d-83be-55119d6dcd7a" ] } ], "mendeley" : { "formattedCitation" : "(17,30)", "plainTextFormattedCitation" : "(17,30)", "previouslyFormattedCitation" : "(16,29)" }, "properties" : { "noteIndex" : 0 }, "schema" : "https://github.com/citation-style-language/schema/raw/master/csl-citation.json" }</w:instrText>
      </w:r>
      <w:r w:rsidR="00124470">
        <w:fldChar w:fldCharType="separate"/>
      </w:r>
      <w:r w:rsidR="00443EC3" w:rsidRPr="00443EC3">
        <w:rPr>
          <w:noProof/>
        </w:rPr>
        <w:t>(17,30)</w:t>
      </w:r>
      <w:r w:rsidR="00124470">
        <w:fldChar w:fldCharType="end"/>
      </w:r>
      <w:r w:rsidR="00BA6AF3">
        <w:t xml:space="preserve">, is </w:t>
      </w:r>
      <w:r>
        <w:t>our finding that</w:t>
      </w:r>
      <w:r w:rsidR="00BA6AF3">
        <w:t xml:space="preserve"> the encounters </w:t>
      </w:r>
      <w:r w:rsidR="007A2AC6">
        <w:t xml:space="preserve">with the highest risk of </w:t>
      </w:r>
      <w:r w:rsidR="001F1815">
        <w:t>CAI</w:t>
      </w:r>
      <w:r w:rsidR="007A2AC6">
        <w:t xml:space="preserve"> </w:t>
      </w:r>
      <w:r w:rsidR="00BA6AF3">
        <w:t xml:space="preserve">were in the presence of polydrug use, with roughly </w:t>
      </w:r>
      <w:r w:rsidR="005F6679">
        <w:t>three-quarters</w:t>
      </w:r>
      <w:r w:rsidR="00BA6AF3">
        <w:t xml:space="preserve"> of t</w:t>
      </w:r>
      <w:r w:rsidR="005F6679">
        <w:t>he</w:t>
      </w:r>
      <w:r w:rsidR="00BA6AF3">
        <w:t xml:space="preserve"> encounters</w:t>
      </w:r>
      <w:r w:rsidR="005F6679">
        <w:t xml:space="preserve"> in class 3</w:t>
      </w:r>
      <w:r w:rsidR="00BA6AF3">
        <w:t xml:space="preserve"> occurring with </w:t>
      </w:r>
      <w:r>
        <w:t>casual</w:t>
      </w:r>
      <w:r w:rsidR="00BA6AF3">
        <w:t xml:space="preserve"> partners.  That is to say, this model indicates that polydrug use in the presence of unfamiliar partners may be enough to create a highly stimulating sexual context where risk of </w:t>
      </w:r>
      <w:r w:rsidR="001F1815">
        <w:t>CAI</w:t>
      </w:r>
      <w:r w:rsidR="00BA6AF3">
        <w:t xml:space="preserve"> exceeds even that of encounters at home with regular and steady partners</w:t>
      </w:r>
      <w:r w:rsidR="00D71D2F">
        <w:t>, especially given that pleasure on average was equal between both classes of encounters</w:t>
      </w:r>
      <w:r w:rsidR="00D4425C">
        <w:t xml:space="preserve">.  This </w:t>
      </w:r>
      <w:r w:rsidR="00D71D2F">
        <w:t xml:space="preserve">specific conclusion </w:t>
      </w:r>
      <w:r w:rsidR="00D4425C">
        <w:t xml:space="preserve">matches with </w:t>
      </w:r>
      <w:r w:rsidR="0091717F">
        <w:t xml:space="preserve">the statistically similar levels of reported pleasure between both classes.  It also matched with </w:t>
      </w:r>
      <w:r w:rsidR="00D4425C">
        <w:t xml:space="preserve">recent </w:t>
      </w:r>
      <w:r w:rsidR="007673B0">
        <w:t xml:space="preserve">encounter-level </w:t>
      </w:r>
      <w:r w:rsidR="00D4425C">
        <w:t xml:space="preserve">evidence indicating that drug use moderates the relationship between venue of sex and </w:t>
      </w:r>
      <w:r w:rsidR="001F1815">
        <w:t>CAI</w:t>
      </w:r>
      <w:r w:rsidR="007673B0">
        <w:t xml:space="preserve"> in encounters reported by MSM with new partners; that is, whereas sex-on-premises venues are associated with decreased sexual risk as compared </w:t>
      </w:r>
      <w:r w:rsidR="00875BB3">
        <w:t>with</w:t>
      </w:r>
      <w:r w:rsidR="007673B0">
        <w:t xml:space="preserve"> encounters </w:t>
      </w:r>
      <w:r w:rsidR="007673B0">
        <w:lastRenderedPageBreak/>
        <w:t xml:space="preserve">at home, in the presence of drug use, sexual risk is elevated and roughly equal across all settings </w:t>
      </w:r>
      <w:r w:rsidR="00124470">
        <w:fldChar w:fldCharType="begin" w:fldLock="1"/>
      </w:r>
      <w:r w:rsidR="00443EC3">
        <w:instrText>ADDIN CSL_CITATION { "citationItems" : [ { "id" : "ITEM-1", "itemData" : { "ISSN" : "1368-4973", "author" : [ { "dropping-particle" : "", "family" : "Melendez-Torres", "given" : "G.J.", "non-dropping-particle" : "", "parse-names" : false, "suffix" : "" }, { "dropping-particle" : "", "family" : "Hickson", "given" : "Ford", "non-dropping-particle" : "", "parse-names" : false, "suffix" : "" }, { "dropping-particle" : "", "family" : "Reid", "given" : "David", "non-dropping-particle" : "", "parse-names" : false, "suffix" : "" }, { "dropping-particle" : "", "family" : "Weatherburn", "given" : "Peter", "non-dropping-particle" : "", "parse-names" : false, "suffix" : "" }, { "dropping-particle" : "", "family" : "Bonell", "given" : "Chris", "non-dropping-particle" : "", "parse-names" : false, "suffix" : "" } ], "container-title" : "Sexually Transmitted Infections", "id" : "ITEM-1", "issued" : { "date-parts" : [ [ "2015" ] ] }, "title" : "Drug use moderates associations between location of sex and unprotected anal intercourse in men who have sex with men: nested cross-sectional study of dyadic encounters with new partners", "type" : "article-journal" }, "uris" : [ "http://www.mendeley.com/documents/?uuid=5739dd49-ffee-4841-a40d-35e1937ad1cf" ] } ], "mendeley" : { "formattedCitation" : "(31)", "plainTextFormattedCitation" : "(31)", "previouslyFormattedCitation" : "(30)" }, "properties" : { "noteIndex" : 0 }, "schema" : "https://github.com/citation-style-language/schema/raw/master/csl-citation.json" }</w:instrText>
      </w:r>
      <w:r w:rsidR="00124470">
        <w:fldChar w:fldCharType="separate"/>
      </w:r>
      <w:r w:rsidR="00443EC3" w:rsidRPr="00443EC3">
        <w:rPr>
          <w:noProof/>
        </w:rPr>
        <w:t>(31)</w:t>
      </w:r>
      <w:r w:rsidR="00124470">
        <w:fldChar w:fldCharType="end"/>
      </w:r>
      <w:r w:rsidR="007673B0">
        <w:t>.</w:t>
      </w:r>
      <w:r w:rsidR="00E44FFA">
        <w:t xml:space="preserve">  Of course, these findings cannot be used to assert a causal link between polydrug use, pleasure and CAI.  However, </w:t>
      </w:r>
      <w:r w:rsidR="00261152">
        <w:t xml:space="preserve">it does raise interesting questions about whether the primary goal of polydrug use is an intensely pleasurable experience, in which considerations of sexual risk are secondary, or whether polydrug use is a device used both for intense pleasure and </w:t>
      </w:r>
      <w:r w:rsidR="00B15168">
        <w:t>removal of inhibitions</w:t>
      </w:r>
      <w:r w:rsidR="00BF6441">
        <w:t xml:space="preserve"> </w:t>
      </w:r>
      <w:r w:rsidR="00BF6441">
        <w:fldChar w:fldCharType="begin" w:fldLock="1"/>
      </w:r>
      <w:r w:rsidR="00443EC3">
        <w:instrText>ADDIN CSL_CITATION { "citationItems" : [ { "id" : "ITEM-1", "itemData" : { "DOI" : "10.1080/13691050902721853", "ISSN" : "1369-1058", "abstract" : "Intensive sex partying is a framework developed to analyse specific frequent behaviours amongst a small minority of gay men in Sydney, Australia. The behaviours included a higher frequency of dance party attendance, more frequent sex, more anal sex, multiple sex partners, more unprotected anal intercourse with casual partners and more frequent drug taking. These occur at a contextual intersection between a sub-group of sexually adventurous gay men and 'party boys'. The men appear to be involved in both high-risk, adventurous sex practices and a specific form of partying distinguishable from dance partying and 'clubbing'. Sex partying occurs on multiple sites (domestic spaces; within dance parties; sex parties; sex-on-premises venues) and appears to be geared to the maximisation of sexual pleasure. Intensive sex partying describes this coincidence of factors and locates them in relation to the multiple pleasures offered by sex partying. It emphasises the importance of 'intensity' in order to understand better the relations between sex, drug use, pleasure, care and risk in some gay men's lives.", "author" : [ { "dropping-particle" : "", "family" : "Hurley", "given" : "M", "non-dropping-particle" : "", "parse-names" : false, "suffix" : "" }, { "dropping-particle" : "", "family" : "Prestage", "given" : "G", "non-dropping-particle" : "", "parse-names" : false, "suffix" : "" } ], "container-title" : "Culture, Health &amp; Sexuality", "id" : "ITEM-1", "issue" : "6", "issued" : { "date-parts" : [ [ "2009" ] ] }, "note" : "Accession Number: 2010574491. Language: English. Entry Date: 20100618. Revision Date: 20110527. Publication Type: journal article. Journal Subset: Allied Health; Biomedical; Blind Peer Reviewed; Europe; Online/Print; Peer Reviewed; UK &amp;amp; Ireland. NLM UID: 100883416.", "page" : "597-610", "title" : "Intensive sex partying amongst gay men in Sydney.", "type" : "article-journal", "volume" : "11" }, "uris" : [ "http://www.mendeley.com/documents/?uuid=6a9aa746-2ffc-4e2c-a5d0-812265352b48" ] } ], "mendeley" : { "formattedCitation" : "(32)", "plainTextFormattedCitation" : "(32)", "previouslyFormattedCitation" : "(31)" }, "properties" : { "noteIndex" : 0 }, "schema" : "https://github.com/citation-style-language/schema/raw/master/csl-citation.json" }</w:instrText>
      </w:r>
      <w:r w:rsidR="00BF6441">
        <w:fldChar w:fldCharType="separate"/>
      </w:r>
      <w:r w:rsidR="00443EC3" w:rsidRPr="00443EC3">
        <w:rPr>
          <w:noProof/>
        </w:rPr>
        <w:t>(32)</w:t>
      </w:r>
      <w:r w:rsidR="00BF6441">
        <w:fldChar w:fldCharType="end"/>
      </w:r>
      <w:r w:rsidR="00BF6441">
        <w:t>.  Another possibility is that a person-level mechanism drives this situational relationship between polydrug use, pleasure and sexual risk, though we were unable to examine this specific relationship.</w:t>
      </w:r>
    </w:p>
    <w:p w14:paraId="74692384" w14:textId="7E7AB51D" w:rsidR="0017071D" w:rsidRDefault="0017071D" w:rsidP="00D34E33">
      <w:pPr>
        <w:spacing w:line="480" w:lineRule="auto"/>
      </w:pPr>
      <w:r>
        <w:tab/>
        <w:t xml:space="preserve">Finally, it is worth noting that though we used a three-category variable to describe partner relationships, </w:t>
      </w:r>
      <w:r w:rsidR="00927E4A">
        <w:t xml:space="preserve">we did not find that encounters with regular and non-steady partners and encounters with one-off partners were statistically separated in our model.  That is, class 1 was defined by encounters with partners who were both regular </w:t>
      </w:r>
      <w:r w:rsidR="00927E4A" w:rsidRPr="00061C42">
        <w:rPr>
          <w:i/>
        </w:rPr>
        <w:t>and</w:t>
      </w:r>
      <w:r w:rsidR="00927E4A">
        <w:t xml:space="preserve"> steady (e.g. a boyfriend or a husband), but classes 2 and 3 were defined by non-steady partners.  Thus, some ambiguity remains about how to understand the level of sexual risk embedded in contexts of sex involving encounters with regular, non-steady partners, who are neither long-term primary partners nor one-off, anonymous or opportunity partners </w:t>
      </w:r>
      <w:r w:rsidR="00927E4A">
        <w:fldChar w:fldCharType="begin" w:fldLock="1"/>
      </w:r>
      <w:r w:rsidR="00443EC3">
        <w:instrText>ADDIN CSL_CITATION { "citationItems" : [ { "id" : "ITEM-1", "itemData" : { "ISBN" : "1573-3254", "abstract" : "Unprotected anal intercourse with casual partners (UAIC) is the strongest predictor of HIV incidence among gay men. Familiarity between sex partners has been associated with likelihood to engage in UAIC, but the decision to use condoms with partners who are previously acquainted is complex and multifaceted. Using data from the Pleasure and Sexual Health survey 2009, we investigated the association between aspects of familiarity with casual partners and disclosure of HIV serostatus. Compared with occasions when they engaged in protected anal intercourse (PAIC), when men engaged in UAIC they were more likely to report having previously met their partners (PAIC 45.9%; UAIC 54.9%), knowing them very well (PAIC 7.9%; UAIC 19.7%), and having previously had sex with them (PAIC 32.2%; UAIC 44.8%) (McNemar P &lt; 0.001). Men were also more likely to disclose their HIV serostatus to their casual partners on occasions of UAIC, were more confident they knew their partner's HIV serostatus and trusted them more. Overall, UAIC was associated with both the broad concept of 'familiarity' (composed of elements of prior acquaintance and trust) and HIV disclosure. When men engage in UAIC without some prior familiarity, disclosure of HIV serostatus, or confidence and trust in their partners, they are probably at greater risk than on occasions when they engage in UAIC with partners with whom they do have these qualities. However, for some men, their trust in knowing specific details about their partners may not always be well-informed or reliable. These different circumstances are challenging for HIV prevention work.", "author" : [ { "dropping-particle" : "", "family" : "Rouwenhorst", "given" : "Evelien", "non-dropping-particle" : "", "parse-names" : false, "suffix" : "" }, { "dropping-particle" : "", "family" : "Mallitt", "given" : "Kylie-Ann", "non-dropping-particle" : "", "parse-names" : false, "suffix" : "" }, { "dropping-particle" : "", "family" : "Prestage", "given" : "Garrett", "non-dropping-particle" : "", "parse-names" : false, "suffix" : "" } ], "container-title" : "AIDS and behavior", "id" : "ITEM-1", "issue" : "6", "issued" : { "date-parts" : [ [ "2012" ] ] }, "page" : "1589-1596", "publisher" : "Kirby Institute, University of NSW, Sydney, Australia. rouwenhorstevelien@hotmail.com", "publisher-place" : "United States", "title" : "Gay men's use of condoms with casual partners depends on the extent of their prior acquaintance.", "type" : "article", "volume" : "16" }, "uris" : [ "http://www.mendeley.com/documents/?uuid=7daf87ca-a0d2-4a3d-93bc-938e68d87bd6" ] } ], "mendeley" : { "formattedCitation" : "(33)", "plainTextFormattedCitation" : "(33)", "previouslyFormattedCitation" : "(32)" }, "properties" : { "noteIndex" : 0 }, "schema" : "https://github.com/citation-style-language/schema/raw/master/csl-citation.json" }</w:instrText>
      </w:r>
      <w:r w:rsidR="00927E4A">
        <w:fldChar w:fldCharType="separate"/>
      </w:r>
      <w:r w:rsidR="00443EC3" w:rsidRPr="00443EC3">
        <w:rPr>
          <w:noProof/>
        </w:rPr>
        <w:t>(33)</w:t>
      </w:r>
      <w:r w:rsidR="00927E4A">
        <w:fldChar w:fldCharType="end"/>
      </w:r>
      <w:r w:rsidR="00927E4A">
        <w:t>.</w:t>
      </w:r>
    </w:p>
    <w:p w14:paraId="560D6FD2" w14:textId="1D042BFE" w:rsidR="000532C0" w:rsidRDefault="007673B0" w:rsidP="00D34E33">
      <w:pPr>
        <w:spacing w:line="480" w:lineRule="auto"/>
      </w:pPr>
      <w:r>
        <w:tab/>
      </w:r>
      <w:r w:rsidR="000A0893">
        <w:t>Our analysis has a number of limitations</w:t>
      </w:r>
      <w:r>
        <w:t xml:space="preserve">.  Survey participants </w:t>
      </w:r>
      <w:r w:rsidR="000532C0">
        <w:t>were drawn from a co</w:t>
      </w:r>
      <w:r w:rsidR="007A2AC6">
        <w:t>nvenience</w:t>
      </w:r>
      <w:r w:rsidR="000532C0">
        <w:t xml:space="preserve"> sample, rather than a random sample of MSM living in England.  </w:t>
      </w:r>
      <w:r w:rsidR="005F6679">
        <w:t>They are thus more likely to be gay-identified and to report higher levels of sexual risk than probabilistic samples</w:t>
      </w:r>
      <w:r w:rsidR="00D36815">
        <w:t xml:space="preserve"> </w:t>
      </w:r>
      <w:r w:rsidR="00124470">
        <w:fldChar w:fldCharType="begin" w:fldLock="1"/>
      </w:r>
      <w:r w:rsidR="00443EC3">
        <w:instrText>ADDIN CSL_CITATION { "citationItems" : [ { "id" : "ITEM-1", "itemData" : { "ISSN" : "1368-4973", "PMID" : "16461615", "abstract" : "We compared characteristics of men who have sex with men (MSM) in a probability sample survey with a community based study in London. The majority of men in both surveys reported male sex partner(s) in the last year but MSM recruited through the population based survey had lower levels of HIV risk behaviour, reported fewer sexually transmitted infections and HIV testing than those recruited from gay venues. Community samples are likely to overestimate levels of risk behaviour among all MSM.", "author" : [ { "dropping-particle" : "", "family" : "Dodds", "given" : "J P", "non-dropping-particle" : "", "parse-names" : false, "suffix" : "" }, { "dropping-particle" : "", "family" : "Mercer", "given" : "C H", "non-dropping-particle" : "", "parse-names" : false, "suffix" : "" }, { "dropping-particle" : "", "family" : "Mercey", "given" : "D E", "non-dropping-particle" : "", "parse-names" : false, "suffix" : "" }, { "dropping-particle" : "", "family" : "Copas", "given" : "A J", "non-dropping-particle" : "", "parse-names" : false, "suffix" : "" }, { "dropping-particle" : "", "family" : "Johnson", "given" : "A M", "non-dropping-particle" : "", "parse-names" : false, "suffix" : "" } ], "container-title" : "Sexually transmitted infections", "id" : "ITEM-1", "issue" : "1", "issued" : { "date-parts" : [ [ "2006" ] ] }, "page" : "86-87", "title" : "Men who have sex with men: a comparison of a probability sample survey and a community based study.", "type" : "article-journal", "volume" : "82" }, "uris" : [ "http://www.mendeley.com/documents/?uuid=61ee55db-5925-4c7c-a3c3-5c2c47559b99" ] } ], "mendeley" : { "formattedCitation" : "(34)", "plainTextFormattedCitation" : "(34)", "previouslyFormattedCitation" : "(33)" }, "properties" : { "noteIndex" : 0 }, "schema" : "https://github.com/citation-style-language/schema/raw/master/csl-citation.json" }</w:instrText>
      </w:r>
      <w:r w:rsidR="00124470">
        <w:fldChar w:fldCharType="separate"/>
      </w:r>
      <w:r w:rsidR="00443EC3" w:rsidRPr="00443EC3">
        <w:rPr>
          <w:noProof/>
        </w:rPr>
        <w:t>(34)</w:t>
      </w:r>
      <w:r w:rsidR="00124470">
        <w:fldChar w:fldCharType="end"/>
      </w:r>
      <w:r w:rsidR="00D36815">
        <w:t>.</w:t>
      </w:r>
      <w:r w:rsidR="005F6679">
        <w:t xml:space="preserve">  </w:t>
      </w:r>
      <w:r w:rsidR="000532C0">
        <w:t xml:space="preserve">All retrospective surveys are subject to recall </w:t>
      </w:r>
      <w:r w:rsidR="00D36815">
        <w:t xml:space="preserve">error, recall bias based on length of time from the sexual encounter, </w:t>
      </w:r>
      <w:r w:rsidR="000532C0">
        <w:t>and reactivity bias</w:t>
      </w:r>
      <w:r w:rsidR="00D36815">
        <w:t xml:space="preserve"> over multiple waves of data collection</w:t>
      </w:r>
      <w:r w:rsidR="000532C0">
        <w:t xml:space="preserve">.  Because our analysis was restricted to dyadic encounters, our findings may not be generalisable to multipartner encounters, though this does reduce </w:t>
      </w:r>
      <w:r w:rsidR="000532C0">
        <w:lastRenderedPageBreak/>
        <w:t>the risk of confounding by number of partners.</w:t>
      </w:r>
      <w:r w:rsidR="006C13A6">
        <w:t xml:space="preserve">  Finally, we had initially hoped to construct a typology of encounters also including specific drug use variable, rather than the overall exposure variable we used here.  However, these analyses did not converge and thus we were unable to pursue this line of inquiry.</w:t>
      </w:r>
    </w:p>
    <w:p w14:paraId="5C87B5E9" w14:textId="011BE612" w:rsidR="007673B0" w:rsidRDefault="000532C0" w:rsidP="00D34E33">
      <w:pPr>
        <w:spacing w:line="480" w:lineRule="auto"/>
      </w:pPr>
      <w:r>
        <w:tab/>
        <w:t xml:space="preserve">There are </w:t>
      </w:r>
      <w:r w:rsidR="000A0893">
        <w:t xml:space="preserve">also </w:t>
      </w:r>
      <w:r>
        <w:t xml:space="preserve">several limitations </w:t>
      </w:r>
      <w:r w:rsidR="000A0893">
        <w:t xml:space="preserve">with </w:t>
      </w:r>
      <w:r w:rsidR="00AC7CFF">
        <w:t xml:space="preserve">our </w:t>
      </w:r>
      <w:r>
        <w:t xml:space="preserve">specific analytic approach.  </w:t>
      </w:r>
      <w:r w:rsidR="001F1815">
        <w:t xml:space="preserve">First, given the advent of pre-exposure prophylaxis and treatment as prevention, CAI is by now a blunt measure for sexual risk.  Future analyses may collect data that allows sexual risk to be more clearly understood at the encounter level.  </w:t>
      </w:r>
      <w:r>
        <w:t>While our study had an exceptionally large number of encounters and participants relative to other simil</w:t>
      </w:r>
      <w:r w:rsidR="00A220D0">
        <w:t>ar within-subjects comparisons—</w:t>
      </w:r>
      <w:r>
        <w:t xml:space="preserve">to our knowledge, only one within-subjects comparison </w:t>
      </w:r>
      <w:r w:rsidR="00124470">
        <w:fldChar w:fldCharType="begin" w:fldLock="1"/>
      </w:r>
      <w:r w:rsidR="00BF6441">
        <w:instrText>ADDIN CSL_CITATION { "citationItems" : [ { "id" : "ITEM-1", "itemData" : { "DOI" : "10.1093/aje/kwh135", "ISBN" : "0002-9262",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J",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"ITEM-1", "issue" : "10", "issued" : { "date-parts" : [ [ "2004" ] ] }, "language" : "English", "note" : "From Duplicate 1 (Substance use and sexual risk: A participant- and episode-level analysis among a cohort of men who have sex with men - Colfax, Grant N; Vittinghoff, E; Husnik, M J; McKirnan, D; Buchbinder, S; Koblin, B; Celum, C; Chesney, M; Huang, Y; Mayer, K; Bozeman, S; Judson, F N; Bryant, K J; Coates, T J)\n\nFrom Duplicate 1 ( \n\n\nSubstance Use and Sexual Risk: A Participant- and Episode-level Analysis among a Cohort of Men Who Have Sex with Men\n\n\n- Colfax, Grant; Vittinghoff, E; Husnik, M J; McKirnan, D; Buchbinder, S; Koblin, B; Celum, C; Chesney, M; Huang, Y; Mayer, K; Bozeman, S; Judson, F N; Bryant, K J; Coates, T J )\n\n\n\n\nFrom Duplicate 1 ( \n\n\nSubstance use and sexual risk: a participant- and episode-level analysis among a cohort of men who have sex with men.\n\n\n- Colfax, G; Vittinghoff, E; Husnik, M J; McKirnan, D; Buchbinder, S; Koblin, B; Celum, C; Chesney, M; Huang, Y; Mayer, K; Bozeman, S; Judson, F N; Bryant, K J; Coates, T J )\n\n\n\nAccession Number: 2005071270. Corporate Author: EXPLORE Study Team. Language: English. Entry Date: 20050429. Revision Date: 20091218. Publication Type: journal article; research; tables/charts. Journal Subset: Biomedical; Editorial Board Reviewed; Expert Peer Reviewed; Online/Print; Peer Reviewed; Public Health; USA. Special Interest: Public Health. Grant Information: HIV Preventiion Trials Network and was sponsored by the National Institute of Allergy and Infectious Diseases and the National Institute on Alcohol Abuse and Alcoholism of the National Institutes of Health, US Department of Health and Human Services, through contract N01 AI35176 with Abt Associates Inc; contract N01 AI45200 with the Fred Hutchinson Cancer Research Center; and subcontracts with the Denver Department of Health and Hospitals, the Fenway Community Health Center, the Howard Brown Health Center, the New York Blood Center, the Public Health Foundation Inc., and the University of Washington; also supported in part by the National Institute on Drug Abuse through a mentored patient-oriented research (K23) award. No. of Refs: 40 ref. NLM UID: 7910653. Email: Grant_Colfax@sfdph.org", "page" : "1002-1012", "title" : "Substance use and sexual risk: A participant- and episode-level analysis among a cohort of men who have sex with men", "type" : "article-journal", "volume" : "159" }, "uris" : [ "http://www.mendeley.com/documents/?uuid=bc65d885-0b6f-485b-bfa8-316af26be35d" ] } ], "mendeley" : { "formattedCitation" : "(3)", "plainTextFormattedCitation" : "(3)", "previouslyFormattedCitation" : "(3)" }, "properties" : { "noteIndex" : 0 }, "schema" : "https://github.com/citation-style-language/schema/raw/master/csl-citation.json" }</w:instrText>
      </w:r>
      <w:r w:rsidR="00124470">
        <w:fldChar w:fldCharType="separate"/>
      </w:r>
      <w:r w:rsidR="00612211" w:rsidRPr="00612211">
        <w:rPr>
          <w:noProof/>
        </w:rPr>
        <w:t>(3)</w:t>
      </w:r>
      <w:r w:rsidR="00124470">
        <w:fldChar w:fldCharType="end"/>
      </w:r>
      <w:r w:rsidR="00A220D0">
        <w:t xml:space="preserve"> </w:t>
      </w:r>
      <w:r>
        <w:t xml:space="preserve">has </w:t>
      </w:r>
      <w:r w:rsidR="00A220D0">
        <w:t xml:space="preserve">recruited more than 1,000 MSM—we were limited by the number of encounters we had per respondent, which was not more than five.  </w:t>
      </w:r>
      <w:r w:rsidR="001F356D">
        <w:t>It is possible that a model including more encounters per respondent would have been able to meaningfully compare a four-class model with a three-class model.  In this regard, our findings should be considered tentative.</w:t>
      </w:r>
      <w:r w:rsidR="00D71D2F">
        <w:t xml:space="preserve">  Because of the limitations of what is possible in statistical software programmes, we were unable to examine person-level classes (i.e. is there a typology of persons in respect of their probability of engaging in the different types of sexual encounters we identified?) in respect of the outcomes.</w:t>
      </w:r>
    </w:p>
    <w:p w14:paraId="5D5A97B1" w14:textId="30011CC6" w:rsidR="00D71D2F" w:rsidRPr="00FC3928" w:rsidRDefault="00D71D2F" w:rsidP="00D34E33">
      <w:pPr>
        <w:spacing w:line="480" w:lineRule="auto"/>
      </w:pPr>
      <w:r>
        <w:tab/>
        <w:t xml:space="preserve">Though these findings are </w:t>
      </w:r>
      <w:r w:rsidR="001E6D34">
        <w:t>tentative</w:t>
      </w:r>
      <w:r>
        <w:t>, they offer several important directions for epidemiological and intervention research.  First, our demonstration of the use of this method in the context of within-subjects comparisons creates the possibility that other relevant typologies of sexual encounters could be derived, for exampl</w:t>
      </w:r>
      <w:r w:rsidR="00E62FF9">
        <w:t xml:space="preserve">e in typologies of polydrug use, as has been done with person-level data </w:t>
      </w:r>
      <w:r w:rsidR="00124470">
        <w:fldChar w:fldCharType="begin" w:fldLock="1"/>
      </w:r>
      <w:r w:rsidR="00443EC3">
        <w:instrText>ADDIN CSL_CITATION { "citationItems" : [ { "id" : "ITEM-1", "itemData" : { "ISBN" : "1090-7165", "ISSN" : "1573-3254", "PMID" : "24065437", "abstract" : "This study examined patterns of drug use among gay men and other men who have sex with men (MSM) to identify sub-categories of men whose drug use and sexual behavior place them at especially high risk for HIV. A latent class analysis of a sample of MSM yielded a four-class model with two distinct high drug use sub-groups: one whose drug use concentrated on \"sex-drugs'' (SDU); and a distinct polydrug use class that showed higher probabilities of using all other drugs assessed. Comparative follow-up analyses indicated the SDU group was also more likely to engage in particular potentially high-risk sexual behaviors, be older, and to be HIV positive. Implications of distinguishing between patterns of drug use for HIV-risk prevention efforts with MSM are discussed.", "author" : [ { "dropping-particle" : "", "family" : "McCarty-Caplan", "given" : "David", "non-dropping-particle" : "", "parse-names" : false, "suffix" : "" }, { "dropping-particle" : "", "family" : "Jantz", "given" : "Ian", "non-dropping-particle" : "", "parse-names" : false, "suffix" : "" }, { "dropping-particle" : "", "family" : "Swartz", "given" : "James", "non-dropping-particle" : "", "parse-names" : false, "suffix" : "" } ], "container-title" : "AIDS and behavior", "id" : "ITEM-1", "issue" : "7", "issued" : { "date-parts" : [ [ "2014" ] ] }, "page" : "1339-1351", "title" : "MSM and Drug Use: A Latent Class Analysis of Drug Use and Related Sexual Risk Behaviors", "type" : "article-journal", "volume" : "18" }, "uris" : [ "http://www.mendeley.com/documents/?uuid=1d7bc11a-1244-440d-9701-5085c1bb4817" ] } ], "mendeley" : { "formattedCitation" : "(35)", "plainTextFormattedCitation" : "(35)", "previouslyFormattedCitation" : "(34)" }, "properties" : { "noteIndex" : 0 }, "schema" : "https://github.com/citation-style-language/schema/raw/master/csl-citation.json" }</w:instrText>
      </w:r>
      <w:r w:rsidR="00124470">
        <w:fldChar w:fldCharType="separate"/>
      </w:r>
      <w:r w:rsidR="00443EC3" w:rsidRPr="00443EC3">
        <w:rPr>
          <w:noProof/>
        </w:rPr>
        <w:t>(35)</w:t>
      </w:r>
      <w:r w:rsidR="00124470">
        <w:fldChar w:fldCharType="end"/>
      </w:r>
      <w:r w:rsidR="00E62FF9">
        <w:t xml:space="preserve">.  Second, the construction of typologies of sexual encounters can help guide future HIV prevention efforts, including </w:t>
      </w:r>
      <w:r w:rsidR="00E62FF9">
        <w:lastRenderedPageBreak/>
        <w:t xml:space="preserve">the development of interventions such as personalised cognitive counselling </w:t>
      </w:r>
      <w:r w:rsidR="00124470">
        <w:fldChar w:fldCharType="begin" w:fldLock="1"/>
      </w:r>
      <w:r w:rsidR="00443EC3">
        <w:instrText>ADDIN CSL_CITATION { "citationItems" : [ { "id" : "ITEM-1", "itemData" : { "ISSN" : "1573-3254", "abstract" : "Episodic drug use and binge drinking are associated with HIV risk among substance-using men who have sex with men (SUMSM), yet no evidence-based interventions exist for these men. We adapted personalized cognitive counseling (PCC) to address self-justifications for high-risk sex among HIV-negative, episodic SUMSM, then randomized men to PCC (n = 162) with HIV testing or control (n = 164) with HIV testing alone. No significant between-group differences were found in the three primary study outcomes: number of unprotected anal intercourse events (UAI), number of UAI partners, and UAI with three most recent non-primary partners. In a planned subgroup analysis of non-substance dependent men, there were significant reductions in UAI with most recent non-primary partners among PCC participants (RR = 0.56; 95 %CI 0.34-0.92; P = 0.02). We did not find evidence that PCC reduced sexual risk behaviors overall, but observed significant reductions in UAI events among non-dependent SUMSM. PCC may be beneficial among SUMSM screening negative for substance dependence.", "author" : [ { "dropping-particle" : "", "family" : "Coffin", "given" : "Phillip O", "non-dropping-particle" : "", "parse-names" : false, "suffix" : "" }, { "dropping-particle" : "", "family" : "Santos", "given" : "Glenn-Milo", "non-dropping-particle" : "", "parse-names" : false, "suffix" : "" }, { "dropping-particle" : "", "family" : "Colfax", "given" : "Grant", "non-dropping-particle" : "", "parse-names" : false, "suffix" : "" }, { "dropping-particle" : "", "family" : "Das", "given" : "Moupali", "non-dropping-particle" : "", "parse-names" : false, "suffix" : "" }, { "dropping-particle" : "", "family" : "Matheson", "given" : "Tim", "non-dropping-particle" : "", "parse-names" : false, "suffix" : "" }, { "dropping-particle" : "", "family" : "DeMicco", "given" : "Erin", "non-dropping-particle" : "", "parse-names" : false, "suffix" : "" }, { "dropping-particle" : "", "family" : "Dilley", "given" : "James", "non-dropping-particle" : "", "parse-names" : false, "suffix" : "" }, { "dropping-particle" : "", "family" : "Vittinghoff", "given" : "Eric", "non-dropping-particle" : "", "parse-names" : false, "suffix" : "" }, { "dropping-particle" : "", "family" : "Raiford", "given" : "Jerris L", "non-dropping-particle" : "", "parse-names" : false, "suffix" : "" }, { "dropping-particle" : "", "family" : "Carry", "given" : "Monique", "non-dropping-particle" : "", "parse-names" : false, "suffix" : "" }, { "dropping-particle" : "", "family" : "Herbst", "given" : "Jeffrey H", "non-dropping-particle" : "", "parse-names" : false, "suffix" : "" } ], "container-title" : "AIDS and behavior", "id" : "ITEM-1", "issue" : "7", "issued" : { "date-parts" : [ [ "2014" ] ] }, "page" : "1390-1400", "title" : "Adapted personalized cognitive counseling for episodic substance-using men who have sex with men: a randomized controlled trial.", "type" : "article-journal", "volume" : "18" }, "uris" : [ "http://www.mendeley.com/documents/?uuid=ba80a37d-b2d2-4121-97fb-888db136cdf4" ] } ], "mendeley" : { "formattedCitation" : "(36)", "plainTextFormattedCitation" : "(36)", "previouslyFormattedCitation" : "(35)" }, "properties" : { "noteIndex" : 0 }, "schema" : "https://github.com/citation-style-language/schema/raw/master/csl-citation.json" }</w:instrText>
      </w:r>
      <w:r w:rsidR="00124470">
        <w:fldChar w:fldCharType="separate"/>
      </w:r>
      <w:r w:rsidR="00443EC3" w:rsidRPr="00443EC3">
        <w:rPr>
          <w:noProof/>
        </w:rPr>
        <w:t>(36)</w:t>
      </w:r>
      <w:r w:rsidR="00124470">
        <w:fldChar w:fldCharType="end"/>
      </w:r>
      <w:r w:rsidR="00E62FF9">
        <w:t xml:space="preserve"> and other interventions that seek to develop sex</w:t>
      </w:r>
      <w:r w:rsidR="00AC7CFF">
        <w:t>ual</w:t>
      </w:r>
      <w:r w:rsidR="001E6D34">
        <w:t xml:space="preserve"> </w:t>
      </w:r>
      <w:r w:rsidR="00E62FF9">
        <w:t xml:space="preserve">negotiation skills </w:t>
      </w:r>
      <w:r w:rsidR="00875BB3">
        <w:t xml:space="preserve">that consider contextual factors specific to particular </w:t>
      </w:r>
      <w:r w:rsidR="00E62FF9">
        <w:t>sexual encounter</w:t>
      </w:r>
      <w:r w:rsidR="00875BB3">
        <w:t>s</w:t>
      </w:r>
      <w:r w:rsidR="005A2026">
        <w:t>, that is, ‘in the heat of the moment’</w:t>
      </w:r>
      <w:r w:rsidR="00E62FF9">
        <w:t>.  This can help move interventions from their focus on either person-level characteristics or individual situational characteristics to a perspective that examines the whole of the context within which sex occurs</w:t>
      </w:r>
      <w:r w:rsidR="00FC3928">
        <w:t>, and that aims to target specific types of encounters rather than overall sexual behaviour</w:t>
      </w:r>
      <w:r w:rsidR="00E62FF9">
        <w:t>.</w:t>
      </w:r>
      <w:r w:rsidR="00FC3928">
        <w:t xml:space="preserve">  In particular, it may be of use to target encounters characterised by polydrug use, and those characterised by encounters in sex-on-premises venues with regular and non-steady or one-off partners—in the first instance because these encounters carry the highest risk of CAI and in the second instance because these encounters, though lowest in risk for CAI, may have the </w:t>
      </w:r>
      <w:r w:rsidR="00FC3928">
        <w:rPr>
          <w:i/>
        </w:rPr>
        <w:t>riskier</w:t>
      </w:r>
      <w:r w:rsidR="00FC3928">
        <w:t xml:space="preserve"> CAI than encounters in class 1.</w:t>
      </w:r>
    </w:p>
    <w:p w14:paraId="31EC0147" w14:textId="77777777" w:rsidR="00B066A8" w:rsidRDefault="00B066A8">
      <w:pPr>
        <w:rPr>
          <w:b/>
        </w:rPr>
      </w:pPr>
      <w:r>
        <w:rPr>
          <w:b/>
        </w:rPr>
        <w:br w:type="page"/>
      </w:r>
    </w:p>
    <w:p w14:paraId="26CE6AAB" w14:textId="77777777" w:rsidR="00FB58E9" w:rsidRDefault="00634D8C" w:rsidP="00634D8C">
      <w:pPr>
        <w:jc w:val="center"/>
        <w:rPr>
          <w:b/>
        </w:rPr>
      </w:pPr>
      <w:r>
        <w:rPr>
          <w:b/>
        </w:rPr>
        <w:lastRenderedPageBreak/>
        <w:t>Works cited</w:t>
      </w:r>
    </w:p>
    <w:p w14:paraId="1D676385" w14:textId="6289D2C1" w:rsidR="00443EC3" w:rsidRPr="00443EC3" w:rsidRDefault="00124470">
      <w:pPr>
        <w:widowControl w:val="0"/>
        <w:autoSpaceDE w:val="0"/>
        <w:autoSpaceDN w:val="0"/>
        <w:adjustRightInd w:val="0"/>
        <w:spacing w:after="140" w:line="288" w:lineRule="auto"/>
        <w:rPr>
          <w:noProof/>
          <w:lang w:val="en-US"/>
        </w:rPr>
      </w:pPr>
      <w:r>
        <w:rPr>
          <w:b/>
        </w:rPr>
        <w:fldChar w:fldCharType="begin" w:fldLock="1"/>
      </w:r>
      <w:r w:rsidR="00FB58E9">
        <w:rPr>
          <w:b/>
        </w:rPr>
        <w:instrText xml:space="preserve">ADDIN Mendeley Bibliography CSL_BIBLIOGRAPHY </w:instrText>
      </w:r>
      <w:r>
        <w:rPr>
          <w:b/>
        </w:rPr>
        <w:fldChar w:fldCharType="separate"/>
      </w:r>
    </w:p>
    <w:p w14:paraId="2261BA4A"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 </w:t>
      </w:r>
      <w:r w:rsidRPr="00443EC3">
        <w:rPr>
          <w:noProof/>
          <w:lang w:val="en-US"/>
        </w:rPr>
        <w:tab/>
        <w:t xml:space="preserve">Leigh BC, Stall R. Substance use and risky sexual behavior for exposure to HIV: issues in methdology, interpretation, and prevention. Am Psychol. 1993;48(10):1035–45. </w:t>
      </w:r>
    </w:p>
    <w:p w14:paraId="1A345B9D" w14:textId="77777777" w:rsidR="00443EC3" w:rsidRPr="00443EC3" w:rsidRDefault="00443EC3">
      <w:pPr>
        <w:widowControl w:val="0"/>
        <w:autoSpaceDE w:val="0"/>
        <w:autoSpaceDN w:val="0"/>
        <w:adjustRightInd w:val="0"/>
        <w:spacing w:after="140" w:line="288" w:lineRule="auto"/>
        <w:rPr>
          <w:noProof/>
          <w:lang w:val="en-US"/>
        </w:rPr>
      </w:pPr>
    </w:p>
    <w:p w14:paraId="65AB4863"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 </w:t>
      </w:r>
      <w:r w:rsidRPr="00443EC3">
        <w:rPr>
          <w:noProof/>
          <w:lang w:val="en-US"/>
        </w:rPr>
        <w:tab/>
        <w:t xml:space="preserve">Maclure M, Mittleman MA. Should we use a case-crossover design? Annu Rev Public Health. 2000;21:193–221. </w:t>
      </w:r>
    </w:p>
    <w:p w14:paraId="7704DA33" w14:textId="77777777" w:rsidR="00443EC3" w:rsidRPr="00443EC3" w:rsidRDefault="00443EC3">
      <w:pPr>
        <w:widowControl w:val="0"/>
        <w:autoSpaceDE w:val="0"/>
        <w:autoSpaceDN w:val="0"/>
        <w:adjustRightInd w:val="0"/>
        <w:spacing w:after="140" w:line="288" w:lineRule="auto"/>
        <w:rPr>
          <w:noProof/>
          <w:lang w:val="en-US"/>
        </w:rPr>
      </w:pPr>
    </w:p>
    <w:p w14:paraId="1033C75F"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3. </w:t>
      </w:r>
      <w:r w:rsidRPr="00443EC3">
        <w:rPr>
          <w:noProof/>
          <w:lang w:val="en-US"/>
        </w:rPr>
        <w:tab/>
        <w:t xml:space="preserve">Colfax GN, Vittinghoff E, Husnik MJ, McKirnan D, Buchbinder S, Koblin B, et al. Substance use and sexual risk: A participant- and episode-level analysis among a cohort of men who have sex with men. Am J Epidemiol. 2004;159(10):1002–12. </w:t>
      </w:r>
    </w:p>
    <w:p w14:paraId="2D745045" w14:textId="77777777" w:rsidR="00443EC3" w:rsidRPr="00443EC3" w:rsidRDefault="00443EC3">
      <w:pPr>
        <w:widowControl w:val="0"/>
        <w:autoSpaceDE w:val="0"/>
        <w:autoSpaceDN w:val="0"/>
        <w:adjustRightInd w:val="0"/>
        <w:spacing w:after="140" w:line="288" w:lineRule="auto"/>
        <w:rPr>
          <w:noProof/>
          <w:lang w:val="en-US"/>
        </w:rPr>
      </w:pPr>
    </w:p>
    <w:p w14:paraId="623828DA"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4. </w:t>
      </w:r>
      <w:r w:rsidRPr="00443EC3">
        <w:rPr>
          <w:noProof/>
          <w:lang w:val="en-US"/>
        </w:rPr>
        <w:tab/>
        <w:t xml:space="preserve">Boone MR, Cook SH, Wilson P. Substance use and sexual risk behavior in HIV-positive men who have sex with men: An episode-level analysis. AIDS Behav. 2013;17(5):1883–7. </w:t>
      </w:r>
    </w:p>
    <w:p w14:paraId="1F841F78" w14:textId="77777777" w:rsidR="00443EC3" w:rsidRPr="00443EC3" w:rsidRDefault="00443EC3">
      <w:pPr>
        <w:widowControl w:val="0"/>
        <w:autoSpaceDE w:val="0"/>
        <w:autoSpaceDN w:val="0"/>
        <w:adjustRightInd w:val="0"/>
        <w:spacing w:after="140" w:line="288" w:lineRule="auto"/>
        <w:rPr>
          <w:noProof/>
          <w:lang w:val="en-US"/>
        </w:rPr>
      </w:pPr>
    </w:p>
    <w:p w14:paraId="2AB80421"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5. </w:t>
      </w:r>
      <w:r w:rsidRPr="00443EC3">
        <w:rPr>
          <w:noProof/>
          <w:lang w:val="en-US"/>
        </w:rPr>
        <w:tab/>
        <w:t xml:space="preserve">Koblin BA, Murrill C, Camacho M, Xu G, Liu K-L, Raj-Singh S, et al. Amphetamine use and sexual risk among men who have sex with men: Results from the National HIV Behavioral Surveillance study - New York City. Subst Use Misuse. 2007;42(10):1613–28. </w:t>
      </w:r>
    </w:p>
    <w:p w14:paraId="70832F0A" w14:textId="77777777" w:rsidR="00443EC3" w:rsidRPr="00443EC3" w:rsidRDefault="00443EC3">
      <w:pPr>
        <w:widowControl w:val="0"/>
        <w:autoSpaceDE w:val="0"/>
        <w:autoSpaceDN w:val="0"/>
        <w:adjustRightInd w:val="0"/>
        <w:spacing w:after="140" w:line="288" w:lineRule="auto"/>
        <w:rPr>
          <w:noProof/>
          <w:lang w:val="en-US"/>
        </w:rPr>
      </w:pPr>
    </w:p>
    <w:p w14:paraId="73B096A7"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6. </w:t>
      </w:r>
      <w:r w:rsidRPr="00443EC3">
        <w:rPr>
          <w:noProof/>
          <w:lang w:val="en-US"/>
        </w:rPr>
        <w:tab/>
        <w:t xml:space="preserve">Newcomb ME. Moderating effect of age on the association between alcohol use and sexual risk in MSM: Evidence for elevated risk among younger MSM. AIDS Behav. 2013;17(5):1746–54. </w:t>
      </w:r>
    </w:p>
    <w:p w14:paraId="589086F8" w14:textId="77777777" w:rsidR="00443EC3" w:rsidRPr="00443EC3" w:rsidRDefault="00443EC3">
      <w:pPr>
        <w:widowControl w:val="0"/>
        <w:autoSpaceDE w:val="0"/>
        <w:autoSpaceDN w:val="0"/>
        <w:adjustRightInd w:val="0"/>
        <w:spacing w:after="140" w:line="288" w:lineRule="auto"/>
        <w:rPr>
          <w:noProof/>
          <w:lang w:val="en-US"/>
        </w:rPr>
      </w:pPr>
    </w:p>
    <w:p w14:paraId="3B96AD23"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7. </w:t>
      </w:r>
      <w:r w:rsidRPr="00443EC3">
        <w:rPr>
          <w:noProof/>
          <w:lang w:val="en-US"/>
        </w:rPr>
        <w:tab/>
        <w:t xml:space="preserve">Prestage G, Van de Ven P, Grulich A, Kaldor J, Kippax S, Mao L. Contexts for last occasions of unprotected anal intercourse among HIV-negative gay men in Sydney: the health in men cohort. AIDS Care. 2005;17(1):23–32. </w:t>
      </w:r>
    </w:p>
    <w:p w14:paraId="1E7CF7C6" w14:textId="77777777" w:rsidR="00443EC3" w:rsidRPr="00443EC3" w:rsidRDefault="00443EC3">
      <w:pPr>
        <w:widowControl w:val="0"/>
        <w:autoSpaceDE w:val="0"/>
        <w:autoSpaceDN w:val="0"/>
        <w:adjustRightInd w:val="0"/>
        <w:spacing w:after="140" w:line="288" w:lineRule="auto"/>
        <w:rPr>
          <w:noProof/>
          <w:lang w:val="en-US"/>
        </w:rPr>
      </w:pPr>
    </w:p>
    <w:p w14:paraId="3B3A3B86"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8. </w:t>
      </w:r>
      <w:r w:rsidRPr="00443EC3">
        <w:rPr>
          <w:noProof/>
          <w:lang w:val="en-US"/>
        </w:rPr>
        <w:tab/>
        <w:t xml:space="preserve">Wilson PA, Cook S, McGaskey J, Rowe M, Dennis N. Situational predictors of sexual risk episodes among men with HIV who have sex with men. Sex Transm Infect. 2008;84(6):506–8. </w:t>
      </w:r>
    </w:p>
    <w:p w14:paraId="440A604B" w14:textId="77777777" w:rsidR="00443EC3" w:rsidRPr="00443EC3" w:rsidRDefault="00443EC3">
      <w:pPr>
        <w:widowControl w:val="0"/>
        <w:autoSpaceDE w:val="0"/>
        <w:autoSpaceDN w:val="0"/>
        <w:adjustRightInd w:val="0"/>
        <w:spacing w:after="140" w:line="288" w:lineRule="auto"/>
        <w:rPr>
          <w:noProof/>
          <w:lang w:val="en-US"/>
        </w:rPr>
      </w:pPr>
    </w:p>
    <w:p w14:paraId="5D1CE434"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9. </w:t>
      </w:r>
      <w:r w:rsidRPr="00443EC3">
        <w:rPr>
          <w:noProof/>
          <w:lang w:val="en-US"/>
        </w:rPr>
        <w:tab/>
        <w:t xml:space="preserve">Reisen CA, Iracheta MA, Zea MC, Bianchi FT, Poppen PJ. Sex in public and private settings among Latino MSM. AIDS Care. 2010;22(6):697–704. </w:t>
      </w:r>
    </w:p>
    <w:p w14:paraId="386B7941" w14:textId="77777777" w:rsidR="00443EC3" w:rsidRPr="00443EC3" w:rsidRDefault="00443EC3">
      <w:pPr>
        <w:widowControl w:val="0"/>
        <w:autoSpaceDE w:val="0"/>
        <w:autoSpaceDN w:val="0"/>
        <w:adjustRightInd w:val="0"/>
        <w:spacing w:after="140" w:line="288" w:lineRule="auto"/>
        <w:rPr>
          <w:noProof/>
          <w:lang w:val="en-US"/>
        </w:rPr>
      </w:pPr>
    </w:p>
    <w:p w14:paraId="0E178EB4"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10. </w:t>
      </w:r>
      <w:r w:rsidRPr="00443EC3">
        <w:rPr>
          <w:noProof/>
          <w:lang w:val="en-US"/>
        </w:rPr>
        <w:tab/>
        <w:t xml:space="preserve">Smith AMA, Grierson J, Pitts M, Pattison P. Individual characteristics are less important than event characteristics in predicting protected and unprotected anal intercourse among homosexual and bisexual men in Melbourne, Australia. Sex </w:t>
      </w:r>
      <w:r w:rsidRPr="00443EC3">
        <w:rPr>
          <w:noProof/>
          <w:lang w:val="en-US"/>
        </w:rPr>
        <w:lastRenderedPageBreak/>
        <w:t xml:space="preserve">Transm Infect. 2006;82(6):474–7. </w:t>
      </w:r>
    </w:p>
    <w:p w14:paraId="38CA4BEF" w14:textId="77777777" w:rsidR="00443EC3" w:rsidRPr="00443EC3" w:rsidRDefault="00443EC3">
      <w:pPr>
        <w:widowControl w:val="0"/>
        <w:autoSpaceDE w:val="0"/>
        <w:autoSpaceDN w:val="0"/>
        <w:adjustRightInd w:val="0"/>
        <w:spacing w:after="140" w:line="288" w:lineRule="auto"/>
        <w:rPr>
          <w:noProof/>
          <w:lang w:val="en-US"/>
        </w:rPr>
      </w:pPr>
    </w:p>
    <w:p w14:paraId="43CFE0AC"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11. </w:t>
      </w:r>
      <w:r w:rsidRPr="00443EC3">
        <w:rPr>
          <w:noProof/>
          <w:lang w:val="en-US"/>
        </w:rPr>
        <w:tab/>
        <w:t xml:space="preserve">Wilson PA, Díaz RM, Yoshikawa H, Shrout PEY, Diaz RM. Drug use, interpersonal attraction, and communication: situational factors as predictors of episodes of unprotected anal intercourse among Latino gay men. AIDS Behav. 2009;13(4):691–9. </w:t>
      </w:r>
    </w:p>
    <w:p w14:paraId="18EAFFF4" w14:textId="77777777" w:rsidR="00443EC3" w:rsidRPr="00443EC3" w:rsidRDefault="00443EC3">
      <w:pPr>
        <w:widowControl w:val="0"/>
        <w:autoSpaceDE w:val="0"/>
        <w:autoSpaceDN w:val="0"/>
        <w:adjustRightInd w:val="0"/>
        <w:spacing w:after="140" w:line="288" w:lineRule="auto"/>
        <w:rPr>
          <w:noProof/>
          <w:lang w:val="en-US"/>
        </w:rPr>
      </w:pPr>
    </w:p>
    <w:p w14:paraId="0A69E279"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12. </w:t>
      </w:r>
      <w:r w:rsidRPr="00443EC3">
        <w:rPr>
          <w:noProof/>
          <w:lang w:val="en-US"/>
        </w:rPr>
        <w:tab/>
        <w:t xml:space="preserve">Newcomb ME, Mustanski BS. Racial differences in same-race partnering and the effects of sexual partnership characteristics on HIV risk in MSM: A prospective sexual diary study. J Acquir Immune Defic Syndr. 2013;62(3):329–33. </w:t>
      </w:r>
    </w:p>
    <w:p w14:paraId="1B220397" w14:textId="77777777" w:rsidR="00443EC3" w:rsidRPr="00443EC3" w:rsidRDefault="00443EC3">
      <w:pPr>
        <w:widowControl w:val="0"/>
        <w:autoSpaceDE w:val="0"/>
        <w:autoSpaceDN w:val="0"/>
        <w:adjustRightInd w:val="0"/>
        <w:spacing w:after="140" w:line="288" w:lineRule="auto"/>
        <w:rPr>
          <w:noProof/>
          <w:lang w:val="en-US"/>
        </w:rPr>
      </w:pPr>
    </w:p>
    <w:p w14:paraId="02F08436"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13. </w:t>
      </w:r>
      <w:r w:rsidRPr="00443EC3">
        <w:rPr>
          <w:noProof/>
          <w:lang w:val="en-US"/>
        </w:rPr>
        <w:tab/>
        <w:t xml:space="preserve">Zea MC, Reisen CA, Poppen PJ, Bianchi FT. Unprotected anal intercourse among immigrant Latino MSM: the role of characteristics of the person and the sexual encounter. AIDS Behav. 2009;13(4):700–15. </w:t>
      </w:r>
    </w:p>
    <w:p w14:paraId="600CC29D" w14:textId="77777777" w:rsidR="00443EC3" w:rsidRPr="00443EC3" w:rsidRDefault="00443EC3">
      <w:pPr>
        <w:widowControl w:val="0"/>
        <w:autoSpaceDE w:val="0"/>
        <w:autoSpaceDN w:val="0"/>
        <w:adjustRightInd w:val="0"/>
        <w:spacing w:after="140" w:line="288" w:lineRule="auto"/>
        <w:rPr>
          <w:noProof/>
          <w:lang w:val="en-US"/>
        </w:rPr>
      </w:pPr>
    </w:p>
    <w:p w14:paraId="6492E750"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14. </w:t>
      </w:r>
      <w:r w:rsidRPr="00443EC3">
        <w:rPr>
          <w:noProof/>
          <w:lang w:val="en-US"/>
        </w:rPr>
        <w:tab/>
        <w:t xml:space="preserve">Vosburgh HW, Mansergh G, Sullivan PS, Purcell DW. A review of the literature on event-level substance use and sexual risk behavior among men who have sex with men. AIDS Behav. 2012;16(6):1394–410. </w:t>
      </w:r>
    </w:p>
    <w:p w14:paraId="72C0D694" w14:textId="77777777" w:rsidR="00443EC3" w:rsidRPr="00443EC3" w:rsidRDefault="00443EC3">
      <w:pPr>
        <w:widowControl w:val="0"/>
        <w:autoSpaceDE w:val="0"/>
        <w:autoSpaceDN w:val="0"/>
        <w:adjustRightInd w:val="0"/>
        <w:spacing w:after="140" w:line="288" w:lineRule="auto"/>
        <w:rPr>
          <w:noProof/>
          <w:lang w:val="en-US"/>
        </w:rPr>
      </w:pPr>
    </w:p>
    <w:p w14:paraId="6AF4E8E5"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15. </w:t>
      </w:r>
      <w:r w:rsidRPr="00443EC3">
        <w:rPr>
          <w:noProof/>
          <w:lang w:val="en-US"/>
        </w:rPr>
        <w:tab/>
        <w:t xml:space="preserve">Melendez-Torres GJ, Nye E, Bonell C. Is Location of Sex Associated with Sexual Risk Behaviour in Men Who Have Sex with Men? Systematic Review of Within-Subjects Studies. AIDS Behav. 2015; </w:t>
      </w:r>
    </w:p>
    <w:p w14:paraId="50978038" w14:textId="77777777" w:rsidR="00443EC3" w:rsidRPr="00443EC3" w:rsidRDefault="00443EC3">
      <w:pPr>
        <w:widowControl w:val="0"/>
        <w:autoSpaceDE w:val="0"/>
        <w:autoSpaceDN w:val="0"/>
        <w:adjustRightInd w:val="0"/>
        <w:spacing w:after="140" w:line="288" w:lineRule="auto"/>
        <w:rPr>
          <w:noProof/>
          <w:lang w:val="en-US"/>
        </w:rPr>
      </w:pPr>
    </w:p>
    <w:p w14:paraId="5F1EB4E4" w14:textId="2183F886" w:rsidR="00443EC3" w:rsidRPr="00443EC3" w:rsidRDefault="00443EC3">
      <w:pPr>
        <w:widowControl w:val="0"/>
        <w:autoSpaceDE w:val="0"/>
        <w:autoSpaceDN w:val="0"/>
        <w:adjustRightInd w:val="0"/>
        <w:ind w:left="640" w:hanging="640"/>
        <w:rPr>
          <w:noProof/>
          <w:lang w:val="en-US"/>
        </w:rPr>
      </w:pPr>
      <w:r w:rsidRPr="00443EC3">
        <w:rPr>
          <w:noProof/>
          <w:lang w:val="en-US"/>
        </w:rPr>
        <w:t xml:space="preserve">16. </w:t>
      </w:r>
      <w:r w:rsidRPr="00443EC3">
        <w:rPr>
          <w:noProof/>
          <w:lang w:val="en-US"/>
        </w:rPr>
        <w:tab/>
        <w:t>Gold RS, Rosenthal DA. Examining self-justifications for unsafe sex as a technique of AIDS education: the importance of personal relevance. Int J STD AIDS. 1998;9(4):208–13.</w:t>
      </w:r>
    </w:p>
    <w:p w14:paraId="380E72C9" w14:textId="77777777" w:rsidR="00443EC3" w:rsidRPr="00443EC3" w:rsidRDefault="00443EC3">
      <w:pPr>
        <w:widowControl w:val="0"/>
        <w:autoSpaceDE w:val="0"/>
        <w:autoSpaceDN w:val="0"/>
        <w:adjustRightInd w:val="0"/>
        <w:spacing w:after="140" w:line="288" w:lineRule="auto"/>
        <w:rPr>
          <w:noProof/>
          <w:lang w:val="en-US"/>
        </w:rPr>
      </w:pPr>
    </w:p>
    <w:p w14:paraId="1D564856"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17. </w:t>
      </w:r>
      <w:r w:rsidRPr="00443EC3">
        <w:rPr>
          <w:noProof/>
          <w:lang w:val="en-US"/>
        </w:rPr>
        <w:tab/>
        <w:t xml:space="preserve">McKirnan DJ, Ostrow DG, Hope BY. Sex, drugs and escape: a psychological model of HIV-risk sexual behaviours. AIDS Care. 1996;8(6):655–70. </w:t>
      </w:r>
    </w:p>
    <w:p w14:paraId="1221D161" w14:textId="77777777" w:rsidR="00443EC3" w:rsidRPr="00443EC3" w:rsidRDefault="00443EC3">
      <w:pPr>
        <w:widowControl w:val="0"/>
        <w:autoSpaceDE w:val="0"/>
        <w:autoSpaceDN w:val="0"/>
        <w:adjustRightInd w:val="0"/>
        <w:spacing w:after="140" w:line="288" w:lineRule="auto"/>
        <w:rPr>
          <w:noProof/>
          <w:lang w:val="en-US"/>
        </w:rPr>
      </w:pPr>
    </w:p>
    <w:p w14:paraId="366A2A50"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18. </w:t>
      </w:r>
      <w:r w:rsidRPr="00443EC3">
        <w:rPr>
          <w:noProof/>
          <w:lang w:val="en-US"/>
        </w:rPr>
        <w:tab/>
        <w:t xml:space="preserve">Hickson F, Tomlin K, Hargreaves J, Bonell C, Reid D, Weatherburn P. Internet-based cohort study of HIV testing over 1 year among men who have sex with men living in England and exposed to a social marketing intervention promoting testing. Sex Transm Infect. 2015;91(1):24–30. </w:t>
      </w:r>
    </w:p>
    <w:p w14:paraId="21E6221F" w14:textId="77777777" w:rsidR="00443EC3" w:rsidRPr="00443EC3" w:rsidRDefault="00443EC3">
      <w:pPr>
        <w:widowControl w:val="0"/>
        <w:autoSpaceDE w:val="0"/>
        <w:autoSpaceDN w:val="0"/>
        <w:adjustRightInd w:val="0"/>
        <w:spacing w:after="140" w:line="288" w:lineRule="auto"/>
        <w:rPr>
          <w:noProof/>
          <w:lang w:val="en-US"/>
        </w:rPr>
      </w:pPr>
    </w:p>
    <w:p w14:paraId="14B7B7B0"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19. </w:t>
      </w:r>
      <w:r w:rsidRPr="00443EC3">
        <w:rPr>
          <w:noProof/>
          <w:lang w:val="en-US"/>
        </w:rPr>
        <w:tab/>
        <w:t xml:space="preserve">Vermunt JK. Multilevel latent class models. Sociol Methodol. 2003;33:213–39. </w:t>
      </w:r>
    </w:p>
    <w:p w14:paraId="670E85CB" w14:textId="77777777" w:rsidR="00443EC3" w:rsidRPr="00443EC3" w:rsidRDefault="00443EC3">
      <w:pPr>
        <w:widowControl w:val="0"/>
        <w:autoSpaceDE w:val="0"/>
        <w:autoSpaceDN w:val="0"/>
        <w:adjustRightInd w:val="0"/>
        <w:spacing w:after="140" w:line="288" w:lineRule="auto"/>
        <w:rPr>
          <w:noProof/>
          <w:lang w:val="en-US"/>
        </w:rPr>
      </w:pPr>
    </w:p>
    <w:p w14:paraId="332FB90E"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20. </w:t>
      </w:r>
      <w:r w:rsidRPr="00443EC3">
        <w:rPr>
          <w:noProof/>
          <w:lang w:val="en-US"/>
        </w:rPr>
        <w:tab/>
        <w:t xml:space="preserve">Henry K, Muthén B. Multilevel latent class analysis: An application of adolescent smoking typologies with individual and contextual predictors. Struct Equ Model. 2010;17(2):193–215. </w:t>
      </w:r>
    </w:p>
    <w:p w14:paraId="48DB0EAD" w14:textId="77777777" w:rsidR="00443EC3" w:rsidRPr="00443EC3" w:rsidRDefault="00443EC3">
      <w:pPr>
        <w:widowControl w:val="0"/>
        <w:autoSpaceDE w:val="0"/>
        <w:autoSpaceDN w:val="0"/>
        <w:adjustRightInd w:val="0"/>
        <w:spacing w:after="140" w:line="288" w:lineRule="auto"/>
        <w:rPr>
          <w:noProof/>
          <w:lang w:val="en-US"/>
        </w:rPr>
      </w:pPr>
    </w:p>
    <w:p w14:paraId="16CECC5B" w14:textId="77777777" w:rsidR="00443EC3" w:rsidRPr="00443EC3" w:rsidRDefault="00443EC3">
      <w:pPr>
        <w:widowControl w:val="0"/>
        <w:autoSpaceDE w:val="0"/>
        <w:autoSpaceDN w:val="0"/>
        <w:adjustRightInd w:val="0"/>
        <w:ind w:left="640" w:hanging="640"/>
        <w:rPr>
          <w:noProof/>
          <w:lang w:val="en-US"/>
        </w:rPr>
      </w:pPr>
      <w:r w:rsidRPr="00443EC3">
        <w:rPr>
          <w:noProof/>
          <w:lang w:val="en-US"/>
        </w:rPr>
        <w:lastRenderedPageBreak/>
        <w:t xml:space="preserve">21. </w:t>
      </w:r>
      <w:r w:rsidRPr="00443EC3">
        <w:rPr>
          <w:noProof/>
          <w:lang w:val="en-US"/>
        </w:rPr>
        <w:tab/>
        <w:t xml:space="preserve">Collins LM, Lanza ST. Latent Class and Latent Transition Analysis: with Applications in the Social, Behavioral, and Health Sciences. New York: Wiley-Blackwell; 2010. </w:t>
      </w:r>
    </w:p>
    <w:p w14:paraId="168279CE" w14:textId="77777777" w:rsidR="00443EC3" w:rsidRPr="00443EC3" w:rsidRDefault="00443EC3">
      <w:pPr>
        <w:widowControl w:val="0"/>
        <w:autoSpaceDE w:val="0"/>
        <w:autoSpaceDN w:val="0"/>
        <w:adjustRightInd w:val="0"/>
        <w:spacing w:after="140" w:line="288" w:lineRule="auto"/>
        <w:rPr>
          <w:noProof/>
          <w:lang w:val="en-US"/>
        </w:rPr>
      </w:pPr>
    </w:p>
    <w:p w14:paraId="268796E6"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22. </w:t>
      </w:r>
      <w:r w:rsidRPr="00443EC3">
        <w:rPr>
          <w:noProof/>
          <w:lang w:val="en-US"/>
        </w:rPr>
        <w:tab/>
        <w:t xml:space="preserve">Ram N, Grimm K. Growth Mixture Modeling: A Method for Identifying Differences in Longitudinal Change Among Unobserved Groups. Int J Behav Dev. 2009;33(6):565–76. </w:t>
      </w:r>
    </w:p>
    <w:p w14:paraId="3AB4BED6" w14:textId="77777777" w:rsidR="00443EC3" w:rsidRPr="00443EC3" w:rsidRDefault="00443EC3">
      <w:pPr>
        <w:widowControl w:val="0"/>
        <w:autoSpaceDE w:val="0"/>
        <w:autoSpaceDN w:val="0"/>
        <w:adjustRightInd w:val="0"/>
        <w:spacing w:after="140" w:line="288" w:lineRule="auto"/>
        <w:rPr>
          <w:noProof/>
          <w:lang w:val="en-US"/>
        </w:rPr>
      </w:pPr>
    </w:p>
    <w:p w14:paraId="4309E3F2"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23. </w:t>
      </w:r>
      <w:r w:rsidRPr="00443EC3">
        <w:rPr>
          <w:noProof/>
          <w:lang w:val="en-US"/>
        </w:rPr>
        <w:tab/>
        <w:t xml:space="preserve">Asparouhov T, Muthén BO. Wald Test of Mean Equality for Potential Latent Class Predictors in Mixture Modeling. 2010. </w:t>
      </w:r>
    </w:p>
    <w:p w14:paraId="6D7A8A56" w14:textId="77777777" w:rsidR="00443EC3" w:rsidRPr="00443EC3" w:rsidRDefault="00443EC3">
      <w:pPr>
        <w:widowControl w:val="0"/>
        <w:autoSpaceDE w:val="0"/>
        <w:autoSpaceDN w:val="0"/>
        <w:adjustRightInd w:val="0"/>
        <w:spacing w:after="140" w:line="288" w:lineRule="auto"/>
        <w:rPr>
          <w:noProof/>
          <w:lang w:val="en-US"/>
        </w:rPr>
      </w:pPr>
    </w:p>
    <w:p w14:paraId="1119F3C4"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24. </w:t>
      </w:r>
      <w:r w:rsidRPr="00443EC3">
        <w:rPr>
          <w:noProof/>
          <w:lang w:val="en-US"/>
        </w:rPr>
        <w:tab/>
        <w:t xml:space="preserve">Asparouhov T, Muthén BO. Auxiliary Variables in Mixture Modeling : 3-Step Approaches Using Mplus. 2013. Report No.: 15. </w:t>
      </w:r>
    </w:p>
    <w:p w14:paraId="2BA956AF" w14:textId="77777777" w:rsidR="00443EC3" w:rsidRPr="00443EC3" w:rsidRDefault="00443EC3">
      <w:pPr>
        <w:widowControl w:val="0"/>
        <w:autoSpaceDE w:val="0"/>
        <w:autoSpaceDN w:val="0"/>
        <w:adjustRightInd w:val="0"/>
        <w:spacing w:after="140" w:line="288" w:lineRule="auto"/>
        <w:rPr>
          <w:noProof/>
          <w:lang w:val="en-US"/>
        </w:rPr>
      </w:pPr>
    </w:p>
    <w:p w14:paraId="1A6F3F0F"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25. </w:t>
      </w:r>
      <w:r w:rsidRPr="00443EC3">
        <w:rPr>
          <w:noProof/>
          <w:lang w:val="en-US"/>
        </w:rPr>
        <w:tab/>
        <w:t xml:space="preserve">Wang C-P, Brown CH, Bandeen-Roche K. Residual Diagnostics for Growth Mixture Models. J Am Stat Assoc. 2005;100(471):1054–76. </w:t>
      </w:r>
    </w:p>
    <w:p w14:paraId="38D2E0DE" w14:textId="77777777" w:rsidR="00443EC3" w:rsidRPr="00443EC3" w:rsidRDefault="00443EC3">
      <w:pPr>
        <w:widowControl w:val="0"/>
        <w:autoSpaceDE w:val="0"/>
        <w:autoSpaceDN w:val="0"/>
        <w:adjustRightInd w:val="0"/>
        <w:spacing w:after="140" w:line="288" w:lineRule="auto"/>
        <w:rPr>
          <w:noProof/>
          <w:lang w:val="en-US"/>
        </w:rPr>
      </w:pPr>
    </w:p>
    <w:p w14:paraId="0D0963E4" w14:textId="2D54B18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26. </w:t>
      </w:r>
      <w:r w:rsidRPr="00443EC3">
        <w:rPr>
          <w:noProof/>
          <w:lang w:val="en-US"/>
        </w:rPr>
        <w:tab/>
        <w:t>Kippax S. Negotiated safety agreements among gay men. Beyond condoms: Alternative approaches to HIV prevention. New York, NY, US: Kluwer Academic/Plenum Publishers; 2002. p. 1–15.</w:t>
      </w:r>
    </w:p>
    <w:p w14:paraId="3C49E0FE" w14:textId="77777777" w:rsidR="00443EC3" w:rsidRPr="00443EC3" w:rsidRDefault="00443EC3">
      <w:pPr>
        <w:widowControl w:val="0"/>
        <w:autoSpaceDE w:val="0"/>
        <w:autoSpaceDN w:val="0"/>
        <w:adjustRightInd w:val="0"/>
        <w:spacing w:after="140" w:line="288" w:lineRule="auto"/>
        <w:rPr>
          <w:noProof/>
          <w:lang w:val="en-US"/>
        </w:rPr>
      </w:pPr>
    </w:p>
    <w:p w14:paraId="79494ED4" w14:textId="3F279CF8" w:rsidR="00443EC3" w:rsidRPr="00443EC3" w:rsidRDefault="00443EC3">
      <w:pPr>
        <w:widowControl w:val="0"/>
        <w:autoSpaceDE w:val="0"/>
        <w:autoSpaceDN w:val="0"/>
        <w:adjustRightInd w:val="0"/>
        <w:ind w:left="640" w:hanging="640"/>
        <w:rPr>
          <w:noProof/>
          <w:lang w:val="en-US"/>
        </w:rPr>
      </w:pPr>
      <w:r w:rsidRPr="00443EC3">
        <w:rPr>
          <w:noProof/>
          <w:lang w:val="en-US"/>
        </w:rPr>
        <w:t xml:space="preserve">27. </w:t>
      </w:r>
      <w:r w:rsidRPr="00443EC3">
        <w:rPr>
          <w:noProof/>
          <w:lang w:val="en-US"/>
        </w:rPr>
        <w:tab/>
        <w:t xml:space="preserve">Holt M. Gay Men’s HIV Risk Reduction Practices: The Influence of Epistemic Communities in HIV Social and Behavioral Research. AIDS Educ Prev. 2014;26(3):214–23. </w:t>
      </w:r>
    </w:p>
    <w:p w14:paraId="0C622410" w14:textId="77777777" w:rsidR="00443EC3" w:rsidRPr="00443EC3" w:rsidRDefault="00443EC3">
      <w:pPr>
        <w:widowControl w:val="0"/>
        <w:autoSpaceDE w:val="0"/>
        <w:autoSpaceDN w:val="0"/>
        <w:adjustRightInd w:val="0"/>
        <w:spacing w:after="140" w:line="288" w:lineRule="auto"/>
        <w:rPr>
          <w:noProof/>
          <w:lang w:val="en-US"/>
        </w:rPr>
      </w:pPr>
    </w:p>
    <w:p w14:paraId="2C0E35D5"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28. </w:t>
      </w:r>
      <w:r w:rsidRPr="00443EC3">
        <w:rPr>
          <w:noProof/>
          <w:lang w:val="en-US"/>
        </w:rPr>
        <w:tab/>
        <w:t xml:space="preserve">Jin F, Crawford J, Prestage GP, Zablotska I, Imrie J, Kippax SC, et al. Unprotected anal intercourse, risk reduction behaviours, and subsequent HIV infection in a cohort of homosexual men. AIDS. 2009 Jan;23(2):243–52. </w:t>
      </w:r>
    </w:p>
    <w:p w14:paraId="3833F2D0" w14:textId="77777777" w:rsidR="00443EC3" w:rsidRPr="00443EC3" w:rsidRDefault="00443EC3">
      <w:pPr>
        <w:widowControl w:val="0"/>
        <w:autoSpaceDE w:val="0"/>
        <w:autoSpaceDN w:val="0"/>
        <w:adjustRightInd w:val="0"/>
        <w:spacing w:after="140" w:line="288" w:lineRule="auto"/>
        <w:rPr>
          <w:noProof/>
          <w:lang w:val="en-US"/>
        </w:rPr>
      </w:pPr>
    </w:p>
    <w:p w14:paraId="3BF6E583" w14:textId="04727967" w:rsidR="00443EC3" w:rsidRPr="00443EC3" w:rsidRDefault="00443EC3">
      <w:pPr>
        <w:widowControl w:val="0"/>
        <w:autoSpaceDE w:val="0"/>
        <w:autoSpaceDN w:val="0"/>
        <w:adjustRightInd w:val="0"/>
        <w:ind w:left="640" w:hanging="640"/>
        <w:rPr>
          <w:noProof/>
          <w:lang w:val="en-US"/>
        </w:rPr>
      </w:pPr>
      <w:r w:rsidRPr="00443EC3">
        <w:rPr>
          <w:noProof/>
          <w:lang w:val="en-US"/>
        </w:rPr>
        <w:t xml:space="preserve">29. </w:t>
      </w:r>
      <w:r w:rsidRPr="00443EC3">
        <w:rPr>
          <w:noProof/>
          <w:lang w:val="en-US"/>
        </w:rPr>
        <w:tab/>
        <w:t xml:space="preserve">Hickson FCI, Davies PM, Hunt AJ, Weatherburn P, McManus TJ, Coxon APM. Maintenance of Open Gay Relationships: Some Strategies for Protection against HIV. AIDS Care. 1992;4(4):409–19. </w:t>
      </w:r>
    </w:p>
    <w:p w14:paraId="09CFA52A" w14:textId="77777777" w:rsidR="00443EC3" w:rsidRPr="00443EC3" w:rsidRDefault="00443EC3">
      <w:pPr>
        <w:widowControl w:val="0"/>
        <w:autoSpaceDE w:val="0"/>
        <w:autoSpaceDN w:val="0"/>
        <w:adjustRightInd w:val="0"/>
        <w:spacing w:after="140" w:line="288" w:lineRule="auto"/>
        <w:rPr>
          <w:noProof/>
          <w:lang w:val="en-US"/>
        </w:rPr>
      </w:pPr>
    </w:p>
    <w:p w14:paraId="7DFFF62D"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30. </w:t>
      </w:r>
      <w:r w:rsidRPr="00443EC3">
        <w:rPr>
          <w:noProof/>
          <w:lang w:val="en-US"/>
        </w:rPr>
        <w:tab/>
        <w:t xml:space="preserve">Wells BE, Golub SA, Parsons JT. An integrated theoretical approach to substance use and risky sexual behavior among men who have sex with men. AIDS and behavior. 2011. p. 509–20. </w:t>
      </w:r>
    </w:p>
    <w:p w14:paraId="5F9405D8" w14:textId="77777777" w:rsidR="00443EC3" w:rsidRPr="00443EC3" w:rsidRDefault="00443EC3">
      <w:pPr>
        <w:widowControl w:val="0"/>
        <w:autoSpaceDE w:val="0"/>
        <w:autoSpaceDN w:val="0"/>
        <w:adjustRightInd w:val="0"/>
        <w:spacing w:after="140" w:line="288" w:lineRule="auto"/>
        <w:rPr>
          <w:noProof/>
          <w:lang w:val="en-US"/>
        </w:rPr>
      </w:pPr>
    </w:p>
    <w:p w14:paraId="4CB12614"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31. </w:t>
      </w:r>
      <w:r w:rsidRPr="00443EC3">
        <w:rPr>
          <w:noProof/>
          <w:lang w:val="en-US"/>
        </w:rPr>
        <w:tab/>
        <w:t xml:space="preserve">Melendez-Torres GJ, Hickson F, Reid D, Weatherburn P, Bonell C. Drug use moderates associations between location of sex and unprotected anal intercourse in men who have sex with men: nested cross-sectional study of dyadic encounters with new partners. Sex Transm Infect. 2015; </w:t>
      </w:r>
    </w:p>
    <w:p w14:paraId="430EBBB6" w14:textId="77777777" w:rsidR="00443EC3" w:rsidRPr="00443EC3" w:rsidRDefault="00443EC3">
      <w:pPr>
        <w:widowControl w:val="0"/>
        <w:autoSpaceDE w:val="0"/>
        <w:autoSpaceDN w:val="0"/>
        <w:adjustRightInd w:val="0"/>
        <w:spacing w:after="140" w:line="288" w:lineRule="auto"/>
        <w:rPr>
          <w:noProof/>
          <w:lang w:val="en-US"/>
        </w:rPr>
      </w:pPr>
    </w:p>
    <w:p w14:paraId="274404EB" w14:textId="694AA221" w:rsidR="00443EC3" w:rsidRPr="00443EC3" w:rsidRDefault="00443EC3">
      <w:pPr>
        <w:widowControl w:val="0"/>
        <w:autoSpaceDE w:val="0"/>
        <w:autoSpaceDN w:val="0"/>
        <w:adjustRightInd w:val="0"/>
        <w:ind w:left="640" w:hanging="640"/>
        <w:rPr>
          <w:noProof/>
          <w:lang w:val="en-US"/>
        </w:rPr>
      </w:pPr>
      <w:r w:rsidRPr="00443EC3">
        <w:rPr>
          <w:noProof/>
          <w:lang w:val="en-US"/>
        </w:rPr>
        <w:t xml:space="preserve">32. </w:t>
      </w:r>
      <w:r w:rsidRPr="00443EC3">
        <w:rPr>
          <w:noProof/>
          <w:lang w:val="en-US"/>
        </w:rPr>
        <w:tab/>
        <w:t>Hurley M, Prestage G. Intensive sex partying amongst gay men in Sydney. Cult Health Sex. 2009;11(6):597–610.</w:t>
      </w:r>
    </w:p>
    <w:p w14:paraId="777D7001" w14:textId="77777777" w:rsidR="00443EC3" w:rsidRPr="00443EC3" w:rsidRDefault="00443EC3">
      <w:pPr>
        <w:widowControl w:val="0"/>
        <w:autoSpaceDE w:val="0"/>
        <w:autoSpaceDN w:val="0"/>
        <w:adjustRightInd w:val="0"/>
        <w:spacing w:after="140" w:line="288" w:lineRule="auto"/>
        <w:rPr>
          <w:noProof/>
          <w:lang w:val="en-US"/>
        </w:rPr>
      </w:pPr>
    </w:p>
    <w:p w14:paraId="223EBEE4" w14:textId="76007FF7" w:rsidR="00443EC3" w:rsidRPr="00443EC3" w:rsidRDefault="00443EC3">
      <w:pPr>
        <w:widowControl w:val="0"/>
        <w:autoSpaceDE w:val="0"/>
        <w:autoSpaceDN w:val="0"/>
        <w:adjustRightInd w:val="0"/>
        <w:ind w:left="640" w:hanging="640"/>
        <w:rPr>
          <w:noProof/>
          <w:lang w:val="en-US"/>
        </w:rPr>
      </w:pPr>
      <w:r w:rsidRPr="00443EC3">
        <w:rPr>
          <w:noProof/>
          <w:lang w:val="en-US"/>
        </w:rPr>
        <w:t xml:space="preserve">33. </w:t>
      </w:r>
      <w:r w:rsidRPr="00443EC3">
        <w:rPr>
          <w:noProof/>
          <w:lang w:val="en-US"/>
        </w:rPr>
        <w:tab/>
        <w:t xml:space="preserve">Rouwenhorst E, Mallitt K-A, Prestage G. Gay men’s use of condoms with casual partners depends on the extent of their prior acquaintance. AIDS and behavior. 2012. p. 1589–96. </w:t>
      </w:r>
    </w:p>
    <w:p w14:paraId="5C2DF34A" w14:textId="77777777" w:rsidR="00443EC3" w:rsidRPr="00443EC3" w:rsidRDefault="00443EC3">
      <w:pPr>
        <w:widowControl w:val="0"/>
        <w:autoSpaceDE w:val="0"/>
        <w:autoSpaceDN w:val="0"/>
        <w:adjustRightInd w:val="0"/>
        <w:spacing w:after="140" w:line="288" w:lineRule="auto"/>
        <w:rPr>
          <w:noProof/>
          <w:lang w:val="en-US"/>
        </w:rPr>
      </w:pPr>
    </w:p>
    <w:p w14:paraId="69DB3C24"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34. </w:t>
      </w:r>
      <w:r w:rsidRPr="00443EC3">
        <w:rPr>
          <w:noProof/>
          <w:lang w:val="en-US"/>
        </w:rPr>
        <w:tab/>
        <w:t xml:space="preserve">Dodds JP, Mercer CH, Mercey DE, Copas AJ, Johnson AM. Men who have sex with men: a comparison of a probability sample survey and a community based study. Sex Transm Infect. 2006;82(1):86–7. </w:t>
      </w:r>
    </w:p>
    <w:p w14:paraId="1A9F1E40" w14:textId="77777777" w:rsidR="00443EC3" w:rsidRPr="00443EC3" w:rsidRDefault="00443EC3">
      <w:pPr>
        <w:widowControl w:val="0"/>
        <w:autoSpaceDE w:val="0"/>
        <w:autoSpaceDN w:val="0"/>
        <w:adjustRightInd w:val="0"/>
        <w:spacing w:after="140" w:line="288" w:lineRule="auto"/>
        <w:rPr>
          <w:noProof/>
          <w:lang w:val="en-US"/>
        </w:rPr>
      </w:pPr>
    </w:p>
    <w:p w14:paraId="655849AD" w14:textId="77777777" w:rsidR="00443EC3" w:rsidRPr="00443EC3" w:rsidRDefault="00443EC3">
      <w:pPr>
        <w:widowControl w:val="0"/>
        <w:autoSpaceDE w:val="0"/>
        <w:autoSpaceDN w:val="0"/>
        <w:adjustRightInd w:val="0"/>
        <w:ind w:left="640" w:hanging="640"/>
        <w:rPr>
          <w:noProof/>
          <w:lang w:val="en-US"/>
        </w:rPr>
      </w:pPr>
      <w:r w:rsidRPr="00443EC3">
        <w:rPr>
          <w:noProof/>
          <w:lang w:val="en-US"/>
        </w:rPr>
        <w:t xml:space="preserve">35. </w:t>
      </w:r>
      <w:r w:rsidRPr="00443EC3">
        <w:rPr>
          <w:noProof/>
          <w:lang w:val="en-US"/>
        </w:rPr>
        <w:tab/>
        <w:t xml:space="preserve">McCarty-Caplan D, Jantz I, Swartz J. MSM and Drug Use: A Latent Class Analysis of Drug Use and Related Sexual Risk Behaviors. AIDS Behav. 2014;18(7):1339–51. </w:t>
      </w:r>
    </w:p>
    <w:p w14:paraId="070F562E" w14:textId="77777777" w:rsidR="00443EC3" w:rsidRPr="00443EC3" w:rsidRDefault="00443EC3">
      <w:pPr>
        <w:widowControl w:val="0"/>
        <w:autoSpaceDE w:val="0"/>
        <w:autoSpaceDN w:val="0"/>
        <w:adjustRightInd w:val="0"/>
        <w:spacing w:after="140" w:line="288" w:lineRule="auto"/>
        <w:rPr>
          <w:noProof/>
          <w:lang w:val="en-US"/>
        </w:rPr>
      </w:pPr>
    </w:p>
    <w:p w14:paraId="7269DE80" w14:textId="77777777" w:rsidR="00443EC3" w:rsidRPr="00443EC3" w:rsidRDefault="00443EC3">
      <w:pPr>
        <w:widowControl w:val="0"/>
        <w:autoSpaceDE w:val="0"/>
        <w:autoSpaceDN w:val="0"/>
        <w:adjustRightInd w:val="0"/>
        <w:ind w:left="640" w:hanging="640"/>
        <w:rPr>
          <w:noProof/>
        </w:rPr>
      </w:pPr>
      <w:r w:rsidRPr="00443EC3">
        <w:rPr>
          <w:noProof/>
          <w:lang w:val="en-US"/>
        </w:rPr>
        <w:t xml:space="preserve">36. </w:t>
      </w:r>
      <w:r w:rsidRPr="00443EC3">
        <w:rPr>
          <w:noProof/>
          <w:lang w:val="en-US"/>
        </w:rPr>
        <w:tab/>
        <w:t xml:space="preserve">Coffin PO, Santos G-M, Colfax G, Das M, Matheson T, DeMicco E, et al. Adapted personalized cognitive counseling for episodic substance-using men who have sex with men: a randomized controlled trial. AIDS Behav. 2014;18(7):1390–400. </w:t>
      </w:r>
    </w:p>
    <w:p w14:paraId="23513C91" w14:textId="35B9A721" w:rsidR="00FB58E9" w:rsidRPr="00FB58E9" w:rsidRDefault="00124470" w:rsidP="00443EC3">
      <w:pPr>
        <w:widowControl w:val="0"/>
        <w:autoSpaceDE w:val="0"/>
        <w:autoSpaceDN w:val="0"/>
        <w:adjustRightInd w:val="0"/>
        <w:spacing w:after="140" w:line="288" w:lineRule="auto"/>
        <w:rPr>
          <w:b/>
        </w:rPr>
        <w:sectPr w:rsidR="00FB58E9" w:rsidRPr="00FB58E9" w:rsidSect="00215516">
          <w:headerReference w:type="default" r:id="rId7"/>
          <w:footerReference w:type="default" r:id="rId8"/>
          <w:pgSz w:w="11900" w:h="16840"/>
          <w:pgMar w:top="1701" w:right="1701" w:bottom="1701" w:left="1701" w:header="708" w:footer="708" w:gutter="0"/>
          <w:cols w:space="708"/>
          <w:docGrid w:linePitch="360"/>
        </w:sectPr>
      </w:pPr>
      <w:r>
        <w:rPr>
          <w:b/>
        </w:rPr>
        <w:fldChar w:fldCharType="end"/>
      </w:r>
    </w:p>
    <w:p w14:paraId="7E8D392D" w14:textId="77777777" w:rsidR="00316B1F" w:rsidRPr="009A4209" w:rsidRDefault="00316B1F" w:rsidP="00316B1F">
      <w:r>
        <w:rPr>
          <w:b/>
        </w:rPr>
        <w:lastRenderedPageBreak/>
        <w:t>Table 1</w:t>
      </w:r>
      <w:r w:rsidRPr="009A4209">
        <w:rPr>
          <w:b/>
        </w:rPr>
        <w:t>.</w:t>
      </w:r>
      <w:r w:rsidRPr="009A4209">
        <w:t xml:space="preserve">  Diagnostic statistics for latent class models tested.</w:t>
      </w:r>
    </w:p>
    <w:p w14:paraId="0AD75D86" w14:textId="77777777" w:rsidR="00316B1F" w:rsidRPr="009A4209" w:rsidRDefault="00316B1F" w:rsidP="00316B1F"/>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1236"/>
        <w:gridCol w:w="1101"/>
        <w:gridCol w:w="1795"/>
        <w:gridCol w:w="1643"/>
      </w:tblGrid>
      <w:tr w:rsidR="00634D8C" w:rsidRPr="009A4209" w14:paraId="5A0372F2" w14:textId="77777777" w:rsidTr="00B64AC7">
        <w:trPr>
          <w:trHeight w:val="600"/>
        </w:trPr>
        <w:tc>
          <w:tcPr>
            <w:tcW w:w="3016" w:type="dxa"/>
            <w:shd w:val="clear" w:color="auto" w:fill="auto"/>
            <w:vAlign w:val="center"/>
            <w:hideMark/>
          </w:tcPr>
          <w:p w14:paraId="032B9FFF" w14:textId="77777777" w:rsidR="0068518A" w:rsidRPr="009A4209" w:rsidRDefault="00634D8C" w:rsidP="0053553F">
            <w:pPr>
              <w:rPr>
                <w:rFonts w:eastAsia="Times New Roman"/>
                <w:b/>
                <w:bCs/>
                <w:color w:val="000000"/>
              </w:rPr>
            </w:pPr>
            <w:r>
              <w:rPr>
                <w:rFonts w:eastAsia="Times New Roman"/>
                <w:b/>
                <w:bCs/>
                <w:color w:val="000000"/>
              </w:rPr>
              <w:t>Model specification</w:t>
            </w:r>
          </w:p>
        </w:tc>
        <w:tc>
          <w:tcPr>
            <w:tcW w:w="1236" w:type="dxa"/>
            <w:shd w:val="clear" w:color="auto" w:fill="auto"/>
            <w:vAlign w:val="center"/>
            <w:hideMark/>
          </w:tcPr>
          <w:p w14:paraId="3BA5A399" w14:textId="77777777" w:rsidR="0068518A" w:rsidRPr="009A4209" w:rsidRDefault="0068518A" w:rsidP="0053553F">
            <w:pPr>
              <w:rPr>
                <w:rFonts w:eastAsia="Times New Roman"/>
                <w:b/>
                <w:bCs/>
                <w:color w:val="000000"/>
              </w:rPr>
            </w:pPr>
            <w:r w:rsidRPr="009A4209">
              <w:rPr>
                <w:rFonts w:eastAsia="Times New Roman"/>
                <w:b/>
                <w:bCs/>
                <w:color w:val="000000"/>
              </w:rPr>
              <w:t>-2LL</w:t>
            </w:r>
          </w:p>
        </w:tc>
        <w:tc>
          <w:tcPr>
            <w:tcW w:w="1101" w:type="dxa"/>
            <w:shd w:val="clear" w:color="auto" w:fill="auto"/>
            <w:vAlign w:val="center"/>
            <w:hideMark/>
          </w:tcPr>
          <w:p w14:paraId="5C81F3A2" w14:textId="77777777" w:rsidR="0068518A" w:rsidRPr="009A4209" w:rsidRDefault="0068518A" w:rsidP="0053553F">
            <w:pPr>
              <w:rPr>
                <w:rFonts w:eastAsia="Times New Roman"/>
                <w:b/>
                <w:bCs/>
                <w:color w:val="000000"/>
              </w:rPr>
            </w:pPr>
            <w:r w:rsidRPr="009A4209">
              <w:rPr>
                <w:rFonts w:eastAsia="Times New Roman"/>
                <w:b/>
                <w:bCs/>
                <w:color w:val="000000"/>
              </w:rPr>
              <w:t>Scaled relative entropy</w:t>
            </w:r>
          </w:p>
        </w:tc>
        <w:tc>
          <w:tcPr>
            <w:tcW w:w="1795" w:type="dxa"/>
            <w:shd w:val="clear" w:color="auto" w:fill="auto"/>
            <w:vAlign w:val="center"/>
            <w:hideMark/>
          </w:tcPr>
          <w:p w14:paraId="006C7089" w14:textId="77777777" w:rsidR="0068518A" w:rsidRPr="009A4209" w:rsidRDefault="0068518A" w:rsidP="00634D8C">
            <w:pPr>
              <w:rPr>
                <w:rFonts w:eastAsia="Times New Roman"/>
                <w:b/>
                <w:bCs/>
                <w:color w:val="000000"/>
              </w:rPr>
            </w:pPr>
            <w:r w:rsidRPr="009A4209">
              <w:rPr>
                <w:rFonts w:eastAsia="Times New Roman"/>
                <w:b/>
                <w:bCs/>
                <w:color w:val="000000"/>
              </w:rPr>
              <w:t>A</w:t>
            </w:r>
            <w:r w:rsidR="00634D8C">
              <w:rPr>
                <w:rFonts w:eastAsia="Times New Roman"/>
                <w:b/>
                <w:bCs/>
                <w:color w:val="000000"/>
              </w:rPr>
              <w:t>kaike information criterion</w:t>
            </w:r>
          </w:p>
        </w:tc>
        <w:tc>
          <w:tcPr>
            <w:tcW w:w="1643" w:type="dxa"/>
            <w:shd w:val="clear" w:color="auto" w:fill="auto"/>
            <w:vAlign w:val="center"/>
            <w:hideMark/>
          </w:tcPr>
          <w:p w14:paraId="5B25F3B6" w14:textId="77777777" w:rsidR="0068518A" w:rsidRPr="009A4209" w:rsidRDefault="0068518A" w:rsidP="0053553F">
            <w:pPr>
              <w:rPr>
                <w:rFonts w:eastAsia="Times New Roman"/>
                <w:b/>
                <w:bCs/>
                <w:color w:val="000000"/>
              </w:rPr>
            </w:pPr>
            <w:r w:rsidRPr="009A4209">
              <w:rPr>
                <w:rFonts w:eastAsia="Times New Roman"/>
                <w:b/>
                <w:bCs/>
                <w:color w:val="000000"/>
              </w:rPr>
              <w:t>VLMR-LRT</w:t>
            </w:r>
          </w:p>
        </w:tc>
      </w:tr>
      <w:tr w:rsidR="00634D8C" w:rsidRPr="009A4209" w14:paraId="252E3B92" w14:textId="77777777" w:rsidTr="00B64AC7">
        <w:trPr>
          <w:trHeight w:val="300"/>
        </w:trPr>
        <w:tc>
          <w:tcPr>
            <w:tcW w:w="3016" w:type="dxa"/>
            <w:shd w:val="clear" w:color="auto" w:fill="auto"/>
            <w:noWrap/>
            <w:vAlign w:val="center"/>
            <w:hideMark/>
          </w:tcPr>
          <w:p w14:paraId="515D8D72" w14:textId="77777777" w:rsidR="0068518A" w:rsidRPr="009A4209" w:rsidRDefault="0068518A" w:rsidP="0053553F">
            <w:pPr>
              <w:rPr>
                <w:rFonts w:eastAsia="Times New Roman"/>
                <w:color w:val="000000"/>
              </w:rPr>
            </w:pPr>
            <w:r w:rsidRPr="009A4209">
              <w:rPr>
                <w:rFonts w:eastAsia="Times New Roman"/>
                <w:color w:val="000000"/>
              </w:rPr>
              <w:t>2 classes, factor on means</w:t>
            </w:r>
          </w:p>
        </w:tc>
        <w:tc>
          <w:tcPr>
            <w:tcW w:w="1236" w:type="dxa"/>
            <w:shd w:val="clear" w:color="auto" w:fill="auto"/>
            <w:noWrap/>
            <w:vAlign w:val="center"/>
            <w:hideMark/>
          </w:tcPr>
          <w:p w14:paraId="0D083EF6" w14:textId="77777777" w:rsidR="0068518A" w:rsidRPr="009A4209" w:rsidRDefault="0068518A" w:rsidP="0053553F">
            <w:pPr>
              <w:rPr>
                <w:rFonts w:eastAsia="Times New Roman"/>
                <w:color w:val="000000"/>
              </w:rPr>
            </w:pPr>
            <w:r w:rsidRPr="009A4209">
              <w:rPr>
                <w:rFonts w:eastAsia="Times New Roman"/>
                <w:color w:val="000000"/>
              </w:rPr>
              <w:t>47712.40</w:t>
            </w:r>
          </w:p>
        </w:tc>
        <w:tc>
          <w:tcPr>
            <w:tcW w:w="1101" w:type="dxa"/>
            <w:shd w:val="clear" w:color="auto" w:fill="auto"/>
            <w:noWrap/>
            <w:vAlign w:val="center"/>
            <w:hideMark/>
          </w:tcPr>
          <w:p w14:paraId="1064101A" w14:textId="77777777" w:rsidR="0068518A" w:rsidRPr="009A4209" w:rsidRDefault="0068518A" w:rsidP="0053553F">
            <w:pPr>
              <w:rPr>
                <w:rFonts w:eastAsia="Times New Roman"/>
                <w:color w:val="000000"/>
              </w:rPr>
            </w:pPr>
            <w:r w:rsidRPr="009A4209">
              <w:rPr>
                <w:rFonts w:eastAsia="Times New Roman"/>
                <w:color w:val="000000"/>
              </w:rPr>
              <w:t>90.2%</w:t>
            </w:r>
          </w:p>
        </w:tc>
        <w:tc>
          <w:tcPr>
            <w:tcW w:w="1795" w:type="dxa"/>
            <w:shd w:val="clear" w:color="auto" w:fill="auto"/>
            <w:noWrap/>
            <w:vAlign w:val="center"/>
            <w:hideMark/>
          </w:tcPr>
          <w:p w14:paraId="69CA79C7" w14:textId="77777777" w:rsidR="0068518A" w:rsidRPr="009A4209" w:rsidRDefault="0068518A" w:rsidP="0053553F">
            <w:pPr>
              <w:rPr>
                <w:rFonts w:eastAsia="Times New Roman"/>
                <w:color w:val="000000"/>
              </w:rPr>
            </w:pPr>
            <w:r w:rsidRPr="009A4209">
              <w:rPr>
                <w:rFonts w:eastAsia="Times New Roman"/>
                <w:color w:val="000000"/>
              </w:rPr>
              <w:t>47754.40</w:t>
            </w:r>
          </w:p>
        </w:tc>
        <w:tc>
          <w:tcPr>
            <w:tcW w:w="1643" w:type="dxa"/>
            <w:shd w:val="clear" w:color="auto" w:fill="auto"/>
            <w:noWrap/>
            <w:vAlign w:val="center"/>
            <w:hideMark/>
          </w:tcPr>
          <w:p w14:paraId="17AEBA50" w14:textId="77777777" w:rsidR="0068518A" w:rsidRPr="009A4209" w:rsidRDefault="0068518A" w:rsidP="0053553F">
            <w:pPr>
              <w:rPr>
                <w:rFonts w:eastAsia="Times New Roman"/>
                <w:color w:val="000000"/>
              </w:rPr>
            </w:pPr>
            <w:r w:rsidRPr="009A4209">
              <w:rPr>
                <w:rFonts w:eastAsia="Times New Roman"/>
                <w:color w:val="000000"/>
              </w:rPr>
              <w:t>p = 0.0004</w:t>
            </w:r>
          </w:p>
        </w:tc>
      </w:tr>
      <w:tr w:rsidR="00634D8C" w:rsidRPr="009A4209" w14:paraId="24D64340" w14:textId="77777777" w:rsidTr="00B64AC7">
        <w:trPr>
          <w:trHeight w:val="300"/>
        </w:trPr>
        <w:tc>
          <w:tcPr>
            <w:tcW w:w="3016" w:type="dxa"/>
            <w:shd w:val="clear" w:color="auto" w:fill="auto"/>
            <w:noWrap/>
            <w:vAlign w:val="center"/>
            <w:hideMark/>
          </w:tcPr>
          <w:p w14:paraId="79B025D4" w14:textId="77777777" w:rsidR="0068518A" w:rsidRPr="009A4209" w:rsidRDefault="0068518A" w:rsidP="0053553F">
            <w:pPr>
              <w:rPr>
                <w:rFonts w:eastAsia="Times New Roman"/>
                <w:color w:val="000000"/>
              </w:rPr>
            </w:pPr>
            <w:r w:rsidRPr="009A4209">
              <w:rPr>
                <w:rFonts w:eastAsia="Times New Roman"/>
                <w:color w:val="000000"/>
              </w:rPr>
              <w:t>3 classes, factor on means</w:t>
            </w:r>
          </w:p>
        </w:tc>
        <w:tc>
          <w:tcPr>
            <w:tcW w:w="1236" w:type="dxa"/>
            <w:shd w:val="clear" w:color="auto" w:fill="auto"/>
            <w:noWrap/>
            <w:vAlign w:val="center"/>
            <w:hideMark/>
          </w:tcPr>
          <w:p w14:paraId="75A83564" w14:textId="77777777" w:rsidR="0068518A" w:rsidRPr="009A4209" w:rsidRDefault="0068518A" w:rsidP="0053553F">
            <w:pPr>
              <w:rPr>
                <w:rFonts w:eastAsia="Times New Roman"/>
                <w:color w:val="000000"/>
              </w:rPr>
            </w:pPr>
            <w:r w:rsidRPr="009A4209">
              <w:rPr>
                <w:rFonts w:eastAsia="Times New Roman"/>
                <w:color w:val="000000"/>
              </w:rPr>
              <w:t>44886.08</w:t>
            </w:r>
          </w:p>
        </w:tc>
        <w:tc>
          <w:tcPr>
            <w:tcW w:w="1101" w:type="dxa"/>
            <w:shd w:val="clear" w:color="auto" w:fill="auto"/>
            <w:noWrap/>
            <w:vAlign w:val="center"/>
            <w:hideMark/>
          </w:tcPr>
          <w:p w14:paraId="51153570" w14:textId="77777777" w:rsidR="0068518A" w:rsidRPr="009A4209" w:rsidRDefault="0068518A" w:rsidP="0053553F">
            <w:pPr>
              <w:rPr>
                <w:rFonts w:eastAsia="Times New Roman"/>
                <w:color w:val="000000"/>
              </w:rPr>
            </w:pPr>
            <w:r w:rsidRPr="009A4209">
              <w:rPr>
                <w:rFonts w:eastAsia="Times New Roman"/>
                <w:color w:val="000000"/>
              </w:rPr>
              <w:t>92.1%</w:t>
            </w:r>
          </w:p>
        </w:tc>
        <w:tc>
          <w:tcPr>
            <w:tcW w:w="1795" w:type="dxa"/>
            <w:shd w:val="clear" w:color="auto" w:fill="auto"/>
            <w:noWrap/>
            <w:vAlign w:val="center"/>
            <w:hideMark/>
          </w:tcPr>
          <w:p w14:paraId="35AFEA1F" w14:textId="77777777" w:rsidR="0068518A" w:rsidRPr="009A4209" w:rsidRDefault="0068518A" w:rsidP="0053553F">
            <w:pPr>
              <w:rPr>
                <w:rFonts w:eastAsia="Times New Roman"/>
                <w:color w:val="000000"/>
              </w:rPr>
            </w:pPr>
            <w:r w:rsidRPr="009A4209">
              <w:rPr>
                <w:rFonts w:eastAsia="Times New Roman"/>
                <w:color w:val="000000"/>
              </w:rPr>
              <w:t>44954.08</w:t>
            </w:r>
          </w:p>
        </w:tc>
        <w:tc>
          <w:tcPr>
            <w:tcW w:w="1643" w:type="dxa"/>
            <w:shd w:val="clear" w:color="auto" w:fill="auto"/>
            <w:noWrap/>
            <w:vAlign w:val="center"/>
            <w:hideMark/>
          </w:tcPr>
          <w:p w14:paraId="38B57856" w14:textId="77777777" w:rsidR="0068518A" w:rsidRPr="009A4209" w:rsidRDefault="0068518A" w:rsidP="0053553F">
            <w:pPr>
              <w:rPr>
                <w:rFonts w:eastAsia="Times New Roman"/>
                <w:color w:val="000000"/>
              </w:rPr>
            </w:pPr>
            <w:r w:rsidRPr="009A4209">
              <w:rPr>
                <w:rFonts w:eastAsia="Times New Roman"/>
                <w:color w:val="000000"/>
              </w:rPr>
              <w:t>p &lt; 0.0001</w:t>
            </w:r>
          </w:p>
        </w:tc>
      </w:tr>
      <w:tr w:rsidR="00634D8C" w:rsidRPr="009A4209" w14:paraId="6C80C288" w14:textId="77777777" w:rsidTr="00B64AC7">
        <w:trPr>
          <w:trHeight w:val="300"/>
        </w:trPr>
        <w:tc>
          <w:tcPr>
            <w:tcW w:w="3016" w:type="dxa"/>
            <w:shd w:val="clear" w:color="auto" w:fill="auto"/>
            <w:noWrap/>
            <w:vAlign w:val="center"/>
            <w:hideMark/>
          </w:tcPr>
          <w:p w14:paraId="4ADEB714" w14:textId="77777777" w:rsidR="0068518A" w:rsidRPr="009A4209" w:rsidRDefault="0068518A" w:rsidP="0053553F">
            <w:pPr>
              <w:rPr>
                <w:rFonts w:eastAsia="Times New Roman"/>
                <w:color w:val="000000"/>
              </w:rPr>
            </w:pPr>
            <w:r w:rsidRPr="009A4209">
              <w:rPr>
                <w:rFonts w:eastAsia="Times New Roman"/>
                <w:color w:val="000000"/>
              </w:rPr>
              <w:t>3 classes, no factor on means</w:t>
            </w:r>
          </w:p>
        </w:tc>
        <w:tc>
          <w:tcPr>
            <w:tcW w:w="1236" w:type="dxa"/>
            <w:shd w:val="clear" w:color="auto" w:fill="auto"/>
            <w:noWrap/>
            <w:vAlign w:val="center"/>
            <w:hideMark/>
          </w:tcPr>
          <w:p w14:paraId="5D226962" w14:textId="77777777" w:rsidR="0068518A" w:rsidRPr="009A4209" w:rsidRDefault="0068518A" w:rsidP="0053553F">
            <w:pPr>
              <w:rPr>
                <w:rFonts w:eastAsia="Times New Roman"/>
                <w:color w:val="000000"/>
              </w:rPr>
            </w:pPr>
            <w:r w:rsidRPr="009A4209">
              <w:rPr>
                <w:rFonts w:eastAsia="Times New Roman"/>
                <w:color w:val="000000"/>
              </w:rPr>
              <w:t>44662.05</w:t>
            </w:r>
          </w:p>
        </w:tc>
        <w:tc>
          <w:tcPr>
            <w:tcW w:w="1101" w:type="dxa"/>
            <w:shd w:val="clear" w:color="auto" w:fill="auto"/>
            <w:noWrap/>
            <w:vAlign w:val="center"/>
            <w:hideMark/>
          </w:tcPr>
          <w:p w14:paraId="0C31BCC1" w14:textId="77777777" w:rsidR="0068518A" w:rsidRPr="009A4209" w:rsidRDefault="0068518A" w:rsidP="0053553F">
            <w:pPr>
              <w:rPr>
                <w:rFonts w:eastAsia="Times New Roman"/>
                <w:color w:val="000000"/>
              </w:rPr>
            </w:pPr>
            <w:r w:rsidRPr="009A4209">
              <w:rPr>
                <w:rFonts w:eastAsia="Times New Roman"/>
                <w:color w:val="000000"/>
              </w:rPr>
              <w:t>92.4%</w:t>
            </w:r>
          </w:p>
        </w:tc>
        <w:tc>
          <w:tcPr>
            <w:tcW w:w="1795" w:type="dxa"/>
            <w:shd w:val="clear" w:color="auto" w:fill="auto"/>
            <w:noWrap/>
            <w:vAlign w:val="center"/>
            <w:hideMark/>
          </w:tcPr>
          <w:p w14:paraId="6B22FE05" w14:textId="77777777" w:rsidR="0068518A" w:rsidRPr="009A4209" w:rsidRDefault="0068518A" w:rsidP="0053553F">
            <w:pPr>
              <w:rPr>
                <w:rFonts w:eastAsia="Times New Roman"/>
                <w:color w:val="000000"/>
              </w:rPr>
            </w:pPr>
            <w:r w:rsidRPr="009A4209">
              <w:rPr>
                <w:rFonts w:eastAsia="Times New Roman"/>
                <w:color w:val="000000"/>
              </w:rPr>
              <w:t>44732.05</w:t>
            </w:r>
          </w:p>
        </w:tc>
        <w:tc>
          <w:tcPr>
            <w:tcW w:w="1643" w:type="dxa"/>
            <w:shd w:val="clear" w:color="auto" w:fill="auto"/>
            <w:noWrap/>
            <w:vAlign w:val="center"/>
            <w:hideMark/>
          </w:tcPr>
          <w:p w14:paraId="3877F1B7" w14:textId="77777777" w:rsidR="0068518A" w:rsidRPr="009A4209" w:rsidRDefault="0068518A" w:rsidP="0053553F">
            <w:pPr>
              <w:rPr>
                <w:rFonts w:eastAsia="Times New Roman"/>
                <w:color w:val="000000"/>
              </w:rPr>
            </w:pPr>
            <w:r w:rsidRPr="009A4209">
              <w:rPr>
                <w:rFonts w:eastAsia="Times New Roman"/>
                <w:color w:val="000000"/>
              </w:rPr>
              <w:t>p &lt; 0.0001</w:t>
            </w:r>
          </w:p>
        </w:tc>
      </w:tr>
      <w:tr w:rsidR="00634D8C" w:rsidRPr="009A4209" w14:paraId="6CCDD764" w14:textId="77777777" w:rsidTr="00B64AC7">
        <w:trPr>
          <w:trHeight w:val="300"/>
        </w:trPr>
        <w:tc>
          <w:tcPr>
            <w:tcW w:w="3016" w:type="dxa"/>
            <w:shd w:val="clear" w:color="auto" w:fill="auto"/>
            <w:noWrap/>
            <w:vAlign w:val="center"/>
            <w:hideMark/>
          </w:tcPr>
          <w:p w14:paraId="22B3DF6F" w14:textId="77777777" w:rsidR="0068518A" w:rsidRPr="009A4209" w:rsidRDefault="0068518A" w:rsidP="0053553F">
            <w:pPr>
              <w:rPr>
                <w:rFonts w:eastAsia="Times New Roman"/>
                <w:color w:val="000000"/>
              </w:rPr>
            </w:pPr>
            <w:r w:rsidRPr="009A4209">
              <w:rPr>
                <w:rFonts w:eastAsia="Times New Roman"/>
                <w:color w:val="000000"/>
              </w:rPr>
              <w:t>4 classes, factor on means</w:t>
            </w:r>
          </w:p>
        </w:tc>
        <w:tc>
          <w:tcPr>
            <w:tcW w:w="1236" w:type="dxa"/>
            <w:shd w:val="clear" w:color="auto" w:fill="auto"/>
            <w:noWrap/>
            <w:vAlign w:val="center"/>
            <w:hideMark/>
          </w:tcPr>
          <w:p w14:paraId="698F5AE5" w14:textId="77777777" w:rsidR="0068518A" w:rsidRPr="009A4209" w:rsidRDefault="0068518A" w:rsidP="0053553F">
            <w:pPr>
              <w:rPr>
                <w:rFonts w:eastAsia="Times New Roman"/>
                <w:color w:val="000000"/>
              </w:rPr>
            </w:pPr>
            <w:r w:rsidRPr="009A4209">
              <w:rPr>
                <w:rFonts w:eastAsia="Times New Roman"/>
                <w:color w:val="000000"/>
              </w:rPr>
              <w:t>43709.278</w:t>
            </w:r>
          </w:p>
        </w:tc>
        <w:tc>
          <w:tcPr>
            <w:tcW w:w="1101" w:type="dxa"/>
            <w:shd w:val="clear" w:color="auto" w:fill="auto"/>
            <w:noWrap/>
            <w:vAlign w:val="center"/>
            <w:hideMark/>
          </w:tcPr>
          <w:p w14:paraId="3B9EFE86" w14:textId="77777777" w:rsidR="0068518A" w:rsidRPr="009A4209" w:rsidRDefault="0068518A" w:rsidP="0053553F">
            <w:pPr>
              <w:rPr>
                <w:rFonts w:eastAsia="Times New Roman"/>
                <w:color w:val="000000"/>
              </w:rPr>
            </w:pPr>
            <w:r w:rsidRPr="009A4209">
              <w:rPr>
                <w:rFonts w:eastAsia="Times New Roman"/>
                <w:color w:val="000000"/>
              </w:rPr>
              <w:t>86.7%</w:t>
            </w:r>
          </w:p>
        </w:tc>
        <w:tc>
          <w:tcPr>
            <w:tcW w:w="1795" w:type="dxa"/>
            <w:shd w:val="clear" w:color="auto" w:fill="auto"/>
            <w:noWrap/>
            <w:vAlign w:val="center"/>
            <w:hideMark/>
          </w:tcPr>
          <w:p w14:paraId="5D9733C5" w14:textId="77777777" w:rsidR="0068518A" w:rsidRPr="009A4209" w:rsidRDefault="0068518A" w:rsidP="0053553F">
            <w:pPr>
              <w:rPr>
                <w:rFonts w:eastAsia="Times New Roman"/>
                <w:color w:val="000000"/>
              </w:rPr>
            </w:pPr>
            <w:r w:rsidRPr="009A4209">
              <w:rPr>
                <w:rFonts w:eastAsia="Times New Roman"/>
                <w:color w:val="000000"/>
              </w:rPr>
              <w:t>43803.28</w:t>
            </w:r>
          </w:p>
        </w:tc>
        <w:tc>
          <w:tcPr>
            <w:tcW w:w="1643" w:type="dxa"/>
            <w:shd w:val="clear" w:color="auto" w:fill="auto"/>
            <w:noWrap/>
            <w:vAlign w:val="center"/>
            <w:hideMark/>
          </w:tcPr>
          <w:p w14:paraId="0CA9E549" w14:textId="77777777" w:rsidR="0068518A" w:rsidRPr="009A4209" w:rsidRDefault="0068518A" w:rsidP="0053553F">
            <w:pPr>
              <w:rPr>
                <w:rFonts w:eastAsia="Times New Roman"/>
                <w:color w:val="000000"/>
              </w:rPr>
            </w:pPr>
            <w:r w:rsidRPr="009A4209">
              <w:rPr>
                <w:rFonts w:eastAsia="Times New Roman"/>
                <w:color w:val="000000"/>
              </w:rPr>
              <w:t>p = 0.25</w:t>
            </w:r>
          </w:p>
        </w:tc>
      </w:tr>
    </w:tbl>
    <w:p w14:paraId="2FCD082C" w14:textId="77777777" w:rsidR="00DE3772" w:rsidRDefault="00DE3772" w:rsidP="00316B1F"/>
    <w:p w14:paraId="67BF48BD" w14:textId="77777777" w:rsidR="00DE3772" w:rsidRPr="009A4209" w:rsidRDefault="00DE3772" w:rsidP="00DE3772">
      <w:r w:rsidRPr="009A4209">
        <w:rPr>
          <w:b/>
        </w:rPr>
        <w:t xml:space="preserve">Table </w:t>
      </w:r>
      <w:r>
        <w:rPr>
          <w:b/>
        </w:rPr>
        <w:t>2</w:t>
      </w:r>
      <w:r w:rsidRPr="009A4209">
        <w:rPr>
          <w:b/>
        </w:rPr>
        <w:t>.</w:t>
      </w:r>
      <w:r w:rsidRPr="009A4209">
        <w:t xml:space="preserve">  Mean probabilities for most likely class membership by latent class.</w:t>
      </w:r>
    </w:p>
    <w:p w14:paraId="305662D0" w14:textId="77777777" w:rsidR="00DE3772" w:rsidRPr="009A4209" w:rsidRDefault="00DE3772" w:rsidP="00DE3772"/>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43"/>
        <w:gridCol w:w="943"/>
        <w:gridCol w:w="943"/>
      </w:tblGrid>
      <w:tr w:rsidR="00DE3772" w:rsidRPr="009A4209" w14:paraId="76A21AA2" w14:textId="77777777" w:rsidTr="00B55E39">
        <w:trPr>
          <w:trHeight w:val="300"/>
        </w:trPr>
        <w:tc>
          <w:tcPr>
            <w:tcW w:w="0" w:type="auto"/>
            <w:shd w:val="clear" w:color="auto" w:fill="auto"/>
            <w:vAlign w:val="center"/>
            <w:hideMark/>
          </w:tcPr>
          <w:p w14:paraId="7D198B78" w14:textId="77777777" w:rsidR="00DE3772" w:rsidRPr="009A4209" w:rsidRDefault="00DE3772" w:rsidP="00B55E39">
            <w:pPr>
              <w:rPr>
                <w:rFonts w:eastAsia="Times New Roman"/>
                <w:b/>
                <w:bCs/>
                <w:color w:val="000000"/>
              </w:rPr>
            </w:pPr>
            <w:r w:rsidRPr="009A4209">
              <w:rPr>
                <w:rFonts w:eastAsia="Times New Roman"/>
                <w:b/>
                <w:bCs/>
                <w:color w:val="000000"/>
              </w:rPr>
              <w:t>Most likely class</w:t>
            </w:r>
          </w:p>
        </w:tc>
        <w:tc>
          <w:tcPr>
            <w:tcW w:w="0" w:type="auto"/>
            <w:shd w:val="clear" w:color="auto" w:fill="auto"/>
            <w:noWrap/>
            <w:vAlign w:val="center"/>
            <w:hideMark/>
          </w:tcPr>
          <w:p w14:paraId="5808667D" w14:textId="77777777" w:rsidR="00DE3772" w:rsidRPr="009A4209" w:rsidRDefault="00DE3772" w:rsidP="00B55E39">
            <w:pPr>
              <w:rPr>
                <w:rFonts w:eastAsia="Times New Roman"/>
                <w:b/>
                <w:bCs/>
                <w:color w:val="000000"/>
              </w:rPr>
            </w:pPr>
            <w:r w:rsidRPr="009A4209">
              <w:rPr>
                <w:rFonts w:eastAsia="Times New Roman"/>
                <w:b/>
                <w:bCs/>
                <w:color w:val="000000"/>
              </w:rPr>
              <w:t>Class 1</w:t>
            </w:r>
          </w:p>
        </w:tc>
        <w:tc>
          <w:tcPr>
            <w:tcW w:w="0" w:type="auto"/>
            <w:shd w:val="clear" w:color="auto" w:fill="auto"/>
            <w:noWrap/>
            <w:vAlign w:val="center"/>
            <w:hideMark/>
          </w:tcPr>
          <w:p w14:paraId="5550B8D4" w14:textId="77777777" w:rsidR="00DE3772" w:rsidRPr="009A4209" w:rsidRDefault="00DE3772" w:rsidP="00B55E39">
            <w:pPr>
              <w:rPr>
                <w:rFonts w:eastAsia="Times New Roman"/>
                <w:b/>
                <w:bCs/>
                <w:color w:val="000000"/>
              </w:rPr>
            </w:pPr>
            <w:r w:rsidRPr="009A4209">
              <w:rPr>
                <w:rFonts w:eastAsia="Times New Roman"/>
                <w:b/>
                <w:bCs/>
                <w:color w:val="000000"/>
              </w:rPr>
              <w:t>Class 2</w:t>
            </w:r>
          </w:p>
        </w:tc>
        <w:tc>
          <w:tcPr>
            <w:tcW w:w="0" w:type="auto"/>
            <w:shd w:val="clear" w:color="auto" w:fill="auto"/>
            <w:noWrap/>
            <w:vAlign w:val="center"/>
            <w:hideMark/>
          </w:tcPr>
          <w:p w14:paraId="14CF7AAE" w14:textId="77777777" w:rsidR="00DE3772" w:rsidRPr="009A4209" w:rsidRDefault="00DE3772" w:rsidP="00B55E39">
            <w:pPr>
              <w:rPr>
                <w:rFonts w:eastAsia="Times New Roman"/>
                <w:b/>
                <w:bCs/>
                <w:color w:val="000000"/>
              </w:rPr>
            </w:pPr>
            <w:r w:rsidRPr="009A4209">
              <w:rPr>
                <w:rFonts w:eastAsia="Times New Roman"/>
                <w:b/>
                <w:bCs/>
                <w:color w:val="000000"/>
              </w:rPr>
              <w:t>Class 3</w:t>
            </w:r>
          </w:p>
        </w:tc>
      </w:tr>
      <w:tr w:rsidR="00DE3772" w:rsidRPr="009A4209" w14:paraId="0D90DB83" w14:textId="77777777" w:rsidTr="00B55E39">
        <w:trPr>
          <w:trHeight w:val="300"/>
        </w:trPr>
        <w:tc>
          <w:tcPr>
            <w:tcW w:w="0" w:type="auto"/>
            <w:shd w:val="clear" w:color="auto" w:fill="auto"/>
            <w:noWrap/>
            <w:vAlign w:val="center"/>
            <w:hideMark/>
          </w:tcPr>
          <w:p w14:paraId="43E4A63F" w14:textId="77777777" w:rsidR="00DE3772" w:rsidRPr="009A4209" w:rsidRDefault="00DE3772" w:rsidP="00B55E39">
            <w:pPr>
              <w:rPr>
                <w:rFonts w:eastAsia="Times New Roman"/>
                <w:b/>
                <w:bCs/>
                <w:color w:val="000000"/>
              </w:rPr>
            </w:pPr>
            <w:r w:rsidRPr="009A4209">
              <w:rPr>
                <w:rFonts w:eastAsia="Times New Roman"/>
                <w:b/>
                <w:bCs/>
                <w:color w:val="000000"/>
              </w:rPr>
              <w:t>Class 1</w:t>
            </w:r>
          </w:p>
        </w:tc>
        <w:tc>
          <w:tcPr>
            <w:tcW w:w="0" w:type="auto"/>
            <w:shd w:val="clear" w:color="auto" w:fill="auto"/>
            <w:noWrap/>
            <w:vAlign w:val="center"/>
            <w:hideMark/>
          </w:tcPr>
          <w:p w14:paraId="35CAA038" w14:textId="77777777" w:rsidR="00DE3772" w:rsidRPr="009A4209" w:rsidRDefault="00DE3772" w:rsidP="00B55E39">
            <w:pPr>
              <w:rPr>
                <w:rFonts w:eastAsia="Times New Roman"/>
                <w:color w:val="000000"/>
              </w:rPr>
            </w:pPr>
            <w:r w:rsidRPr="009A4209">
              <w:rPr>
                <w:rFonts w:eastAsia="Times New Roman"/>
                <w:color w:val="000000"/>
              </w:rPr>
              <w:t>97.1%</w:t>
            </w:r>
          </w:p>
        </w:tc>
        <w:tc>
          <w:tcPr>
            <w:tcW w:w="0" w:type="auto"/>
            <w:shd w:val="clear" w:color="auto" w:fill="auto"/>
            <w:noWrap/>
            <w:vAlign w:val="center"/>
            <w:hideMark/>
          </w:tcPr>
          <w:p w14:paraId="39715C4F" w14:textId="77777777" w:rsidR="00DE3772" w:rsidRPr="009A4209" w:rsidRDefault="00DE3772" w:rsidP="00B55E39">
            <w:pPr>
              <w:rPr>
                <w:rFonts w:eastAsia="Times New Roman"/>
                <w:color w:val="000000"/>
              </w:rPr>
            </w:pPr>
            <w:r w:rsidRPr="009A4209">
              <w:rPr>
                <w:rFonts w:eastAsia="Times New Roman"/>
                <w:color w:val="000000"/>
              </w:rPr>
              <w:t>2.6%</w:t>
            </w:r>
          </w:p>
        </w:tc>
        <w:tc>
          <w:tcPr>
            <w:tcW w:w="0" w:type="auto"/>
            <w:shd w:val="clear" w:color="auto" w:fill="auto"/>
            <w:noWrap/>
            <w:vAlign w:val="center"/>
            <w:hideMark/>
          </w:tcPr>
          <w:p w14:paraId="4CEF25FB" w14:textId="77777777" w:rsidR="00DE3772" w:rsidRPr="009A4209" w:rsidRDefault="00DE3772" w:rsidP="00B55E39">
            <w:pPr>
              <w:rPr>
                <w:rFonts w:eastAsia="Times New Roman"/>
                <w:color w:val="000000"/>
              </w:rPr>
            </w:pPr>
            <w:r w:rsidRPr="009A4209">
              <w:rPr>
                <w:rFonts w:eastAsia="Times New Roman"/>
                <w:color w:val="000000"/>
              </w:rPr>
              <w:t>0.3%</w:t>
            </w:r>
          </w:p>
        </w:tc>
      </w:tr>
      <w:tr w:rsidR="00DE3772" w:rsidRPr="009A4209" w14:paraId="5645852F" w14:textId="77777777" w:rsidTr="00B55E39">
        <w:trPr>
          <w:trHeight w:val="300"/>
        </w:trPr>
        <w:tc>
          <w:tcPr>
            <w:tcW w:w="0" w:type="auto"/>
            <w:shd w:val="clear" w:color="auto" w:fill="auto"/>
            <w:noWrap/>
            <w:vAlign w:val="center"/>
            <w:hideMark/>
          </w:tcPr>
          <w:p w14:paraId="0941F574" w14:textId="77777777" w:rsidR="00DE3772" w:rsidRPr="009A4209" w:rsidRDefault="00DE3772" w:rsidP="00B55E39">
            <w:pPr>
              <w:rPr>
                <w:rFonts w:eastAsia="Times New Roman"/>
                <w:b/>
                <w:bCs/>
                <w:color w:val="000000"/>
              </w:rPr>
            </w:pPr>
            <w:r w:rsidRPr="009A4209">
              <w:rPr>
                <w:rFonts w:eastAsia="Times New Roman"/>
                <w:b/>
                <w:bCs/>
                <w:color w:val="000000"/>
              </w:rPr>
              <w:t>Class 2</w:t>
            </w:r>
          </w:p>
        </w:tc>
        <w:tc>
          <w:tcPr>
            <w:tcW w:w="0" w:type="auto"/>
            <w:shd w:val="clear" w:color="auto" w:fill="auto"/>
            <w:noWrap/>
            <w:vAlign w:val="center"/>
            <w:hideMark/>
          </w:tcPr>
          <w:p w14:paraId="427213D8" w14:textId="77777777" w:rsidR="00DE3772" w:rsidRPr="009A4209" w:rsidRDefault="00DE3772" w:rsidP="00B55E39">
            <w:pPr>
              <w:rPr>
                <w:rFonts w:eastAsia="Times New Roman"/>
                <w:color w:val="000000"/>
              </w:rPr>
            </w:pPr>
            <w:r w:rsidRPr="009A4209">
              <w:rPr>
                <w:rFonts w:eastAsia="Times New Roman"/>
                <w:color w:val="000000"/>
              </w:rPr>
              <w:t>2.0%</w:t>
            </w:r>
          </w:p>
        </w:tc>
        <w:tc>
          <w:tcPr>
            <w:tcW w:w="0" w:type="auto"/>
            <w:shd w:val="clear" w:color="auto" w:fill="auto"/>
            <w:noWrap/>
            <w:vAlign w:val="center"/>
            <w:hideMark/>
          </w:tcPr>
          <w:p w14:paraId="2D7021DB" w14:textId="77777777" w:rsidR="00DE3772" w:rsidRPr="009A4209" w:rsidRDefault="00DE3772" w:rsidP="00B55E39">
            <w:pPr>
              <w:rPr>
                <w:rFonts w:eastAsia="Times New Roman"/>
                <w:color w:val="000000"/>
              </w:rPr>
            </w:pPr>
            <w:r w:rsidRPr="009A4209">
              <w:rPr>
                <w:rFonts w:eastAsia="Times New Roman"/>
                <w:color w:val="000000"/>
              </w:rPr>
              <w:t>97.3%</w:t>
            </w:r>
          </w:p>
        </w:tc>
        <w:tc>
          <w:tcPr>
            <w:tcW w:w="0" w:type="auto"/>
            <w:shd w:val="clear" w:color="auto" w:fill="auto"/>
            <w:noWrap/>
            <w:vAlign w:val="center"/>
            <w:hideMark/>
          </w:tcPr>
          <w:p w14:paraId="41CFA6F9" w14:textId="77777777" w:rsidR="00DE3772" w:rsidRPr="009A4209" w:rsidRDefault="00DE3772" w:rsidP="00B55E39">
            <w:pPr>
              <w:rPr>
                <w:rFonts w:eastAsia="Times New Roman"/>
                <w:color w:val="000000"/>
              </w:rPr>
            </w:pPr>
            <w:r w:rsidRPr="009A4209">
              <w:rPr>
                <w:rFonts w:eastAsia="Times New Roman"/>
                <w:color w:val="000000"/>
              </w:rPr>
              <w:t>0.6%</w:t>
            </w:r>
          </w:p>
        </w:tc>
      </w:tr>
      <w:tr w:rsidR="00DE3772" w:rsidRPr="009A4209" w14:paraId="74611745" w14:textId="77777777" w:rsidTr="00B55E39">
        <w:trPr>
          <w:trHeight w:val="300"/>
        </w:trPr>
        <w:tc>
          <w:tcPr>
            <w:tcW w:w="0" w:type="auto"/>
            <w:shd w:val="clear" w:color="auto" w:fill="auto"/>
            <w:noWrap/>
            <w:vAlign w:val="center"/>
            <w:hideMark/>
          </w:tcPr>
          <w:p w14:paraId="4413370A" w14:textId="77777777" w:rsidR="00DE3772" w:rsidRPr="009A4209" w:rsidRDefault="00DE3772" w:rsidP="00B55E39">
            <w:pPr>
              <w:rPr>
                <w:rFonts w:eastAsia="Times New Roman"/>
                <w:b/>
                <w:bCs/>
                <w:color w:val="000000"/>
              </w:rPr>
            </w:pPr>
            <w:r w:rsidRPr="009A4209">
              <w:rPr>
                <w:rFonts w:eastAsia="Times New Roman"/>
                <w:b/>
                <w:bCs/>
                <w:color w:val="000000"/>
              </w:rPr>
              <w:t>Class 3</w:t>
            </w:r>
          </w:p>
        </w:tc>
        <w:tc>
          <w:tcPr>
            <w:tcW w:w="0" w:type="auto"/>
            <w:shd w:val="clear" w:color="auto" w:fill="auto"/>
            <w:noWrap/>
            <w:vAlign w:val="center"/>
            <w:hideMark/>
          </w:tcPr>
          <w:p w14:paraId="303341BE" w14:textId="77777777" w:rsidR="00DE3772" w:rsidRPr="009A4209" w:rsidRDefault="00DE3772" w:rsidP="00B55E39">
            <w:pPr>
              <w:rPr>
                <w:rFonts w:eastAsia="Times New Roman"/>
                <w:color w:val="000000"/>
              </w:rPr>
            </w:pPr>
            <w:r w:rsidRPr="009A4209">
              <w:rPr>
                <w:rFonts w:eastAsia="Times New Roman"/>
                <w:color w:val="000000"/>
              </w:rPr>
              <w:t>1.1%</w:t>
            </w:r>
          </w:p>
        </w:tc>
        <w:tc>
          <w:tcPr>
            <w:tcW w:w="0" w:type="auto"/>
            <w:shd w:val="clear" w:color="auto" w:fill="auto"/>
            <w:noWrap/>
            <w:vAlign w:val="center"/>
            <w:hideMark/>
          </w:tcPr>
          <w:p w14:paraId="396DD7F6" w14:textId="77777777" w:rsidR="00DE3772" w:rsidRPr="009A4209" w:rsidRDefault="00DE3772" w:rsidP="00B55E39">
            <w:pPr>
              <w:rPr>
                <w:rFonts w:eastAsia="Times New Roman"/>
                <w:color w:val="000000"/>
              </w:rPr>
            </w:pPr>
            <w:r w:rsidRPr="009A4209">
              <w:rPr>
                <w:rFonts w:eastAsia="Times New Roman"/>
                <w:color w:val="000000"/>
              </w:rPr>
              <w:t>4.0%</w:t>
            </w:r>
          </w:p>
        </w:tc>
        <w:tc>
          <w:tcPr>
            <w:tcW w:w="0" w:type="auto"/>
            <w:shd w:val="clear" w:color="auto" w:fill="auto"/>
            <w:noWrap/>
            <w:vAlign w:val="center"/>
            <w:hideMark/>
          </w:tcPr>
          <w:p w14:paraId="4602CC36" w14:textId="77777777" w:rsidR="00DE3772" w:rsidRPr="009A4209" w:rsidRDefault="00DE3772" w:rsidP="00B55E39">
            <w:pPr>
              <w:rPr>
                <w:rFonts w:eastAsia="Times New Roman"/>
                <w:color w:val="000000"/>
              </w:rPr>
            </w:pPr>
            <w:r w:rsidRPr="009A4209">
              <w:rPr>
                <w:rFonts w:eastAsia="Times New Roman"/>
                <w:color w:val="000000"/>
              </w:rPr>
              <w:t>94.9%</w:t>
            </w:r>
          </w:p>
        </w:tc>
      </w:tr>
    </w:tbl>
    <w:p w14:paraId="4BC6A23C" w14:textId="77777777" w:rsidR="00DE3772" w:rsidRPr="009A4209" w:rsidRDefault="00DE3772" w:rsidP="00DE3772"/>
    <w:p w14:paraId="1E4AAE7E" w14:textId="77777777" w:rsidR="00DE3772" w:rsidRDefault="00DE3772" w:rsidP="00316B1F">
      <w:pPr>
        <w:sectPr w:rsidR="00DE3772" w:rsidSect="00B64AC7">
          <w:headerReference w:type="even" r:id="rId9"/>
          <w:headerReference w:type="default" r:id="rId10"/>
          <w:footerReference w:type="even" r:id="rId11"/>
          <w:pgSz w:w="16840" w:h="11900" w:orient="landscape"/>
          <w:pgMar w:top="1701" w:right="1701" w:bottom="1701" w:left="1701" w:header="709" w:footer="709" w:gutter="0"/>
          <w:cols w:space="708"/>
          <w:docGrid w:linePitch="360"/>
        </w:sectPr>
      </w:pPr>
    </w:p>
    <w:p w14:paraId="3214D152" w14:textId="77777777" w:rsidR="00316B1F" w:rsidRPr="009A4209" w:rsidRDefault="00316B1F" w:rsidP="00316B1F">
      <w:r w:rsidRPr="009A4209">
        <w:rPr>
          <w:b/>
        </w:rPr>
        <w:lastRenderedPageBreak/>
        <w:t xml:space="preserve">Table </w:t>
      </w:r>
      <w:r w:rsidR="005365A6">
        <w:rPr>
          <w:b/>
        </w:rPr>
        <w:t>3</w:t>
      </w:r>
      <w:r w:rsidRPr="009A4209">
        <w:rPr>
          <w:b/>
        </w:rPr>
        <w:t>.</w:t>
      </w:r>
      <w:r w:rsidRPr="009A4209">
        <w:t xml:space="preserve">  Model specifications and conditional probabilities.</w:t>
      </w:r>
    </w:p>
    <w:p w14:paraId="63AEFD72" w14:textId="77777777" w:rsidR="00316B1F" w:rsidRPr="009A4209" w:rsidRDefault="00316B1F" w:rsidP="00316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703"/>
        <w:gridCol w:w="1596"/>
        <w:gridCol w:w="936"/>
        <w:gridCol w:w="1596"/>
        <w:gridCol w:w="936"/>
        <w:gridCol w:w="1356"/>
        <w:gridCol w:w="936"/>
      </w:tblGrid>
      <w:tr w:rsidR="00634D8C" w:rsidRPr="005467A2" w14:paraId="0053676F" w14:textId="77777777" w:rsidTr="005467A2">
        <w:trPr>
          <w:trHeight w:val="255"/>
        </w:trPr>
        <w:tc>
          <w:tcPr>
            <w:tcW w:w="0" w:type="auto"/>
            <w:vMerge w:val="restart"/>
            <w:shd w:val="clear" w:color="auto" w:fill="auto"/>
            <w:vAlign w:val="center"/>
            <w:hideMark/>
          </w:tcPr>
          <w:p w14:paraId="4B3DE344" w14:textId="77777777" w:rsidR="00634D8C" w:rsidRPr="005467A2" w:rsidRDefault="00634D8C" w:rsidP="005467A2">
            <w:pPr>
              <w:rPr>
                <w:rFonts w:eastAsia="Times New Roman"/>
                <w:b/>
                <w:bCs/>
                <w:color w:val="000000"/>
              </w:rPr>
            </w:pPr>
            <w:r w:rsidRPr="005467A2">
              <w:rPr>
                <w:rFonts w:eastAsia="Times New Roman"/>
                <w:b/>
                <w:bCs/>
                <w:color w:val="000000"/>
              </w:rPr>
              <w:t>Manifest indicators</w:t>
            </w:r>
            <w:r w:rsidRPr="005467A2">
              <w:rPr>
                <w:rFonts w:eastAsia="Times New Roman"/>
                <w:b/>
                <w:bCs/>
                <w:color w:val="000000"/>
              </w:rPr>
              <w:br/>
              <w:t>n=6,742 in 2,142 groups</w:t>
            </w:r>
          </w:p>
        </w:tc>
        <w:tc>
          <w:tcPr>
            <w:tcW w:w="0" w:type="auto"/>
            <w:vAlign w:val="center"/>
          </w:tcPr>
          <w:p w14:paraId="20449447" w14:textId="77777777" w:rsidR="00634D8C" w:rsidRPr="005467A2" w:rsidRDefault="00ED43D0" w:rsidP="005467A2">
            <w:pPr>
              <w:rPr>
                <w:rFonts w:eastAsia="Times New Roman"/>
                <w:b/>
                <w:bCs/>
                <w:color w:val="000000"/>
              </w:rPr>
            </w:pPr>
            <w:r w:rsidRPr="005467A2">
              <w:rPr>
                <w:rFonts w:eastAsia="Times New Roman"/>
                <w:b/>
                <w:bCs/>
                <w:color w:val="000000"/>
              </w:rPr>
              <w:t>All encounters</w:t>
            </w:r>
          </w:p>
        </w:tc>
        <w:tc>
          <w:tcPr>
            <w:tcW w:w="0" w:type="auto"/>
            <w:gridSpan w:val="2"/>
            <w:shd w:val="clear" w:color="auto" w:fill="auto"/>
            <w:vAlign w:val="center"/>
            <w:hideMark/>
          </w:tcPr>
          <w:p w14:paraId="01F922D7" w14:textId="77777777" w:rsidR="00634D8C" w:rsidRPr="005467A2" w:rsidRDefault="00634D8C" w:rsidP="005467A2">
            <w:pPr>
              <w:rPr>
                <w:rFonts w:eastAsia="Times New Roman"/>
                <w:b/>
                <w:bCs/>
                <w:color w:val="000000"/>
              </w:rPr>
            </w:pPr>
            <w:r w:rsidRPr="005467A2">
              <w:rPr>
                <w:rFonts w:eastAsia="Times New Roman"/>
                <w:b/>
                <w:bCs/>
                <w:color w:val="000000"/>
              </w:rPr>
              <w:t>Class 1</w:t>
            </w:r>
          </w:p>
        </w:tc>
        <w:tc>
          <w:tcPr>
            <w:tcW w:w="0" w:type="auto"/>
            <w:gridSpan w:val="2"/>
            <w:shd w:val="clear" w:color="auto" w:fill="auto"/>
            <w:vAlign w:val="center"/>
            <w:hideMark/>
          </w:tcPr>
          <w:p w14:paraId="4DBA4AAD" w14:textId="77777777" w:rsidR="00634D8C" w:rsidRPr="005467A2" w:rsidRDefault="00634D8C" w:rsidP="005467A2">
            <w:pPr>
              <w:rPr>
                <w:rFonts w:eastAsia="Times New Roman"/>
                <w:b/>
                <w:bCs/>
                <w:color w:val="000000"/>
              </w:rPr>
            </w:pPr>
            <w:r w:rsidRPr="005467A2">
              <w:rPr>
                <w:rFonts w:eastAsia="Times New Roman"/>
                <w:b/>
                <w:bCs/>
                <w:color w:val="000000"/>
              </w:rPr>
              <w:t>Class 2</w:t>
            </w:r>
          </w:p>
        </w:tc>
        <w:tc>
          <w:tcPr>
            <w:tcW w:w="0" w:type="auto"/>
            <w:gridSpan w:val="2"/>
            <w:shd w:val="clear" w:color="auto" w:fill="auto"/>
            <w:vAlign w:val="center"/>
            <w:hideMark/>
          </w:tcPr>
          <w:p w14:paraId="7ECFAE01" w14:textId="77777777" w:rsidR="00634D8C" w:rsidRPr="005467A2" w:rsidRDefault="00634D8C" w:rsidP="005467A2">
            <w:pPr>
              <w:rPr>
                <w:rFonts w:eastAsia="Times New Roman"/>
                <w:b/>
                <w:bCs/>
                <w:color w:val="000000"/>
              </w:rPr>
            </w:pPr>
            <w:r w:rsidRPr="005467A2">
              <w:rPr>
                <w:rFonts w:eastAsia="Times New Roman"/>
                <w:b/>
                <w:bCs/>
                <w:color w:val="000000"/>
              </w:rPr>
              <w:t>Class 3</w:t>
            </w:r>
          </w:p>
        </w:tc>
      </w:tr>
      <w:tr w:rsidR="00634D8C" w:rsidRPr="005467A2" w14:paraId="73D9A857" w14:textId="77777777" w:rsidTr="005467A2">
        <w:trPr>
          <w:trHeight w:val="255"/>
        </w:trPr>
        <w:tc>
          <w:tcPr>
            <w:tcW w:w="0" w:type="auto"/>
            <w:vMerge/>
            <w:vAlign w:val="center"/>
            <w:hideMark/>
          </w:tcPr>
          <w:p w14:paraId="1AB3C599" w14:textId="77777777" w:rsidR="00634D8C" w:rsidRPr="005467A2" w:rsidRDefault="00634D8C" w:rsidP="005467A2">
            <w:pPr>
              <w:rPr>
                <w:rFonts w:eastAsia="Times New Roman"/>
                <w:b/>
                <w:bCs/>
                <w:color w:val="000000"/>
              </w:rPr>
            </w:pPr>
          </w:p>
        </w:tc>
        <w:tc>
          <w:tcPr>
            <w:tcW w:w="0" w:type="auto"/>
            <w:vAlign w:val="center"/>
          </w:tcPr>
          <w:p w14:paraId="7DB041DE" w14:textId="77777777" w:rsidR="00634D8C" w:rsidRPr="005467A2" w:rsidRDefault="00634D8C" w:rsidP="005467A2">
            <w:pPr>
              <w:rPr>
                <w:rFonts w:eastAsia="Times New Roman"/>
                <w:color w:val="000000"/>
              </w:rPr>
            </w:pPr>
            <w:r w:rsidRPr="005467A2">
              <w:rPr>
                <w:rFonts w:eastAsia="Times New Roman"/>
                <w:color w:val="000000"/>
              </w:rPr>
              <w:t>Probability</w:t>
            </w:r>
            <w:r w:rsidRPr="005467A2">
              <w:rPr>
                <w:rFonts w:eastAsia="Times New Roman"/>
                <w:color w:val="000000"/>
              </w:rPr>
              <w:br/>
              <w:t>Mean (SE)</w:t>
            </w:r>
          </w:p>
        </w:tc>
        <w:tc>
          <w:tcPr>
            <w:tcW w:w="0" w:type="auto"/>
            <w:shd w:val="clear" w:color="auto" w:fill="auto"/>
            <w:vAlign w:val="center"/>
            <w:hideMark/>
          </w:tcPr>
          <w:p w14:paraId="6DDBCE38" w14:textId="77777777" w:rsidR="00634D8C" w:rsidRPr="005467A2" w:rsidRDefault="00634D8C" w:rsidP="005467A2">
            <w:pPr>
              <w:rPr>
                <w:rFonts w:eastAsia="Times New Roman"/>
                <w:color w:val="000000"/>
              </w:rPr>
            </w:pPr>
            <w:r w:rsidRPr="005467A2">
              <w:rPr>
                <w:rFonts w:eastAsia="Times New Roman"/>
                <w:color w:val="000000"/>
              </w:rPr>
              <w:t>Probability</w:t>
            </w:r>
            <w:r w:rsidRPr="005467A2">
              <w:rPr>
                <w:rFonts w:eastAsia="Times New Roman"/>
                <w:color w:val="000000"/>
              </w:rPr>
              <w:br/>
              <w:t>Mean (SE)</w:t>
            </w:r>
          </w:p>
        </w:tc>
        <w:tc>
          <w:tcPr>
            <w:tcW w:w="0" w:type="auto"/>
            <w:shd w:val="clear" w:color="auto" w:fill="auto"/>
            <w:noWrap/>
            <w:vAlign w:val="center"/>
            <w:hideMark/>
          </w:tcPr>
          <w:p w14:paraId="24831BD4" w14:textId="77777777" w:rsidR="00634D8C" w:rsidRPr="005467A2" w:rsidRDefault="00634D8C" w:rsidP="005467A2">
            <w:pPr>
              <w:rPr>
                <w:rFonts w:eastAsia="Times New Roman"/>
                <w:color w:val="000000"/>
              </w:rPr>
            </w:pPr>
            <w:r w:rsidRPr="005467A2">
              <w:rPr>
                <w:rFonts w:eastAsia="Times New Roman"/>
                <w:i/>
                <w:iCs/>
                <w:color w:val="000000"/>
              </w:rPr>
              <w:t>p</w:t>
            </w:r>
            <w:r w:rsidRPr="005467A2">
              <w:rPr>
                <w:rFonts w:eastAsia="Times New Roman"/>
                <w:color w:val="000000"/>
              </w:rPr>
              <w:t>-value</w:t>
            </w:r>
          </w:p>
        </w:tc>
        <w:tc>
          <w:tcPr>
            <w:tcW w:w="0" w:type="auto"/>
            <w:shd w:val="clear" w:color="auto" w:fill="auto"/>
            <w:vAlign w:val="center"/>
            <w:hideMark/>
          </w:tcPr>
          <w:p w14:paraId="54CF53A1" w14:textId="77777777" w:rsidR="00634D8C" w:rsidRPr="005467A2" w:rsidRDefault="00634D8C" w:rsidP="005467A2">
            <w:pPr>
              <w:rPr>
                <w:rFonts w:eastAsia="Times New Roman"/>
                <w:color w:val="000000"/>
              </w:rPr>
            </w:pPr>
            <w:r w:rsidRPr="005467A2">
              <w:rPr>
                <w:rFonts w:eastAsia="Times New Roman"/>
                <w:color w:val="000000"/>
              </w:rPr>
              <w:t>Probability</w:t>
            </w:r>
            <w:r w:rsidRPr="005467A2">
              <w:rPr>
                <w:rFonts w:eastAsia="Times New Roman"/>
                <w:color w:val="000000"/>
              </w:rPr>
              <w:br/>
              <w:t>Mean (SE)</w:t>
            </w:r>
          </w:p>
        </w:tc>
        <w:tc>
          <w:tcPr>
            <w:tcW w:w="0" w:type="auto"/>
            <w:shd w:val="clear" w:color="auto" w:fill="auto"/>
            <w:noWrap/>
            <w:vAlign w:val="center"/>
            <w:hideMark/>
          </w:tcPr>
          <w:p w14:paraId="30C8297F" w14:textId="77777777" w:rsidR="00634D8C" w:rsidRPr="005467A2" w:rsidRDefault="00634D8C" w:rsidP="005467A2">
            <w:pPr>
              <w:rPr>
                <w:rFonts w:eastAsia="Times New Roman"/>
                <w:color w:val="000000"/>
              </w:rPr>
            </w:pPr>
            <w:r w:rsidRPr="005467A2">
              <w:rPr>
                <w:rFonts w:eastAsia="Times New Roman"/>
                <w:i/>
                <w:iCs/>
                <w:color w:val="000000"/>
              </w:rPr>
              <w:t>p</w:t>
            </w:r>
            <w:r w:rsidRPr="005467A2">
              <w:rPr>
                <w:rFonts w:eastAsia="Times New Roman"/>
                <w:color w:val="000000"/>
              </w:rPr>
              <w:t>-value</w:t>
            </w:r>
          </w:p>
        </w:tc>
        <w:tc>
          <w:tcPr>
            <w:tcW w:w="0" w:type="auto"/>
            <w:shd w:val="clear" w:color="auto" w:fill="auto"/>
            <w:vAlign w:val="center"/>
            <w:hideMark/>
          </w:tcPr>
          <w:p w14:paraId="09ECB718" w14:textId="77777777" w:rsidR="00634D8C" w:rsidRPr="005467A2" w:rsidRDefault="00634D8C" w:rsidP="005467A2">
            <w:pPr>
              <w:rPr>
                <w:rFonts w:eastAsia="Times New Roman"/>
                <w:color w:val="000000"/>
              </w:rPr>
            </w:pPr>
            <w:r w:rsidRPr="005467A2">
              <w:rPr>
                <w:rFonts w:eastAsia="Times New Roman"/>
                <w:color w:val="000000"/>
              </w:rPr>
              <w:t>Probability</w:t>
            </w:r>
            <w:r w:rsidRPr="005467A2">
              <w:rPr>
                <w:rFonts w:eastAsia="Times New Roman"/>
                <w:color w:val="000000"/>
              </w:rPr>
              <w:br/>
              <w:t>Mean (SE)</w:t>
            </w:r>
          </w:p>
        </w:tc>
        <w:tc>
          <w:tcPr>
            <w:tcW w:w="0" w:type="auto"/>
            <w:shd w:val="clear" w:color="auto" w:fill="auto"/>
            <w:noWrap/>
            <w:vAlign w:val="center"/>
            <w:hideMark/>
          </w:tcPr>
          <w:p w14:paraId="5938D1E8" w14:textId="77777777" w:rsidR="00634D8C" w:rsidRPr="005467A2" w:rsidRDefault="00634D8C" w:rsidP="005467A2">
            <w:pPr>
              <w:rPr>
                <w:rFonts w:eastAsia="Times New Roman"/>
                <w:color w:val="000000"/>
              </w:rPr>
            </w:pPr>
            <w:r w:rsidRPr="005467A2">
              <w:rPr>
                <w:rFonts w:eastAsia="Times New Roman"/>
                <w:i/>
                <w:iCs/>
                <w:color w:val="000000"/>
              </w:rPr>
              <w:t>p</w:t>
            </w:r>
            <w:r w:rsidRPr="005467A2">
              <w:rPr>
                <w:rFonts w:eastAsia="Times New Roman"/>
                <w:color w:val="000000"/>
              </w:rPr>
              <w:t>-value</w:t>
            </w:r>
          </w:p>
        </w:tc>
      </w:tr>
      <w:tr w:rsidR="00634D8C" w:rsidRPr="005467A2" w14:paraId="10181A01" w14:textId="77777777" w:rsidTr="005467A2">
        <w:trPr>
          <w:trHeight w:val="255"/>
        </w:trPr>
        <w:tc>
          <w:tcPr>
            <w:tcW w:w="0" w:type="auto"/>
            <w:shd w:val="clear" w:color="auto" w:fill="auto"/>
            <w:noWrap/>
            <w:vAlign w:val="center"/>
            <w:hideMark/>
          </w:tcPr>
          <w:p w14:paraId="001C0380" w14:textId="77777777" w:rsidR="00634D8C" w:rsidRPr="005467A2" w:rsidRDefault="00634D8C" w:rsidP="005467A2">
            <w:pPr>
              <w:rPr>
                <w:rFonts w:eastAsia="Times New Roman"/>
                <w:b/>
                <w:bCs/>
                <w:color w:val="000000"/>
              </w:rPr>
            </w:pPr>
            <w:r w:rsidRPr="005467A2">
              <w:rPr>
                <w:rFonts w:eastAsia="Times New Roman"/>
                <w:b/>
                <w:bCs/>
                <w:color w:val="000000"/>
              </w:rPr>
              <w:t>Most likely class probability (count)</w:t>
            </w:r>
          </w:p>
        </w:tc>
        <w:tc>
          <w:tcPr>
            <w:tcW w:w="0" w:type="auto"/>
            <w:vAlign w:val="center"/>
          </w:tcPr>
          <w:p w14:paraId="4DBEFC92" w14:textId="77777777" w:rsidR="00634D8C" w:rsidRPr="005467A2" w:rsidRDefault="00634D8C" w:rsidP="005467A2">
            <w:pPr>
              <w:rPr>
                <w:rFonts w:eastAsia="Times New Roman"/>
                <w:color w:val="000000"/>
              </w:rPr>
            </w:pPr>
          </w:p>
        </w:tc>
        <w:tc>
          <w:tcPr>
            <w:tcW w:w="0" w:type="auto"/>
            <w:shd w:val="clear" w:color="auto" w:fill="auto"/>
            <w:noWrap/>
            <w:vAlign w:val="center"/>
            <w:hideMark/>
          </w:tcPr>
          <w:p w14:paraId="32EC5A49" w14:textId="77777777" w:rsidR="00634D8C" w:rsidRPr="005467A2" w:rsidRDefault="002430FF" w:rsidP="005467A2">
            <w:pPr>
              <w:rPr>
                <w:rFonts w:eastAsia="Times New Roman"/>
                <w:color w:val="000000"/>
              </w:rPr>
            </w:pPr>
            <w:r w:rsidRPr="005467A2">
              <w:rPr>
                <w:rFonts w:eastAsia="Times New Roman"/>
                <w:color w:val="000000"/>
              </w:rPr>
              <w:t>31.5</w:t>
            </w:r>
            <w:r w:rsidR="00634D8C" w:rsidRPr="005467A2">
              <w:rPr>
                <w:rFonts w:eastAsia="Times New Roman"/>
                <w:color w:val="000000"/>
              </w:rPr>
              <w:t>% (2,124)</w:t>
            </w:r>
          </w:p>
        </w:tc>
        <w:tc>
          <w:tcPr>
            <w:tcW w:w="0" w:type="auto"/>
            <w:shd w:val="clear" w:color="000000" w:fill="D9D9D9"/>
            <w:noWrap/>
            <w:vAlign w:val="center"/>
            <w:hideMark/>
          </w:tcPr>
          <w:p w14:paraId="3050844D"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1BF05963" w14:textId="77777777" w:rsidR="00634D8C" w:rsidRPr="005467A2" w:rsidRDefault="002430FF" w:rsidP="005467A2">
            <w:pPr>
              <w:rPr>
                <w:rFonts w:eastAsia="Times New Roman"/>
                <w:color w:val="000000"/>
              </w:rPr>
            </w:pPr>
            <w:r w:rsidRPr="005467A2">
              <w:rPr>
                <w:rFonts w:eastAsia="Times New Roman"/>
                <w:color w:val="000000"/>
              </w:rPr>
              <w:t>61.8</w:t>
            </w:r>
            <w:r w:rsidR="00634D8C" w:rsidRPr="005467A2">
              <w:rPr>
                <w:rFonts w:eastAsia="Times New Roman"/>
                <w:color w:val="000000"/>
              </w:rPr>
              <w:t>% (4,167)</w:t>
            </w:r>
          </w:p>
        </w:tc>
        <w:tc>
          <w:tcPr>
            <w:tcW w:w="0" w:type="auto"/>
            <w:shd w:val="clear" w:color="000000" w:fill="D9D9D9"/>
            <w:noWrap/>
            <w:vAlign w:val="center"/>
            <w:hideMark/>
          </w:tcPr>
          <w:p w14:paraId="6EA1F584"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5654BEE4" w14:textId="77777777" w:rsidR="00634D8C" w:rsidRPr="005467A2" w:rsidRDefault="002430FF" w:rsidP="005467A2">
            <w:pPr>
              <w:rPr>
                <w:rFonts w:eastAsia="Times New Roman"/>
                <w:color w:val="000000"/>
              </w:rPr>
            </w:pPr>
            <w:r w:rsidRPr="005467A2">
              <w:rPr>
                <w:rFonts w:eastAsia="Times New Roman"/>
                <w:color w:val="000000"/>
              </w:rPr>
              <w:t>6.7</w:t>
            </w:r>
            <w:r w:rsidR="00634D8C" w:rsidRPr="005467A2">
              <w:rPr>
                <w:rFonts w:eastAsia="Times New Roman"/>
                <w:color w:val="000000"/>
              </w:rPr>
              <w:t>% (451)</w:t>
            </w:r>
          </w:p>
        </w:tc>
        <w:tc>
          <w:tcPr>
            <w:tcW w:w="0" w:type="auto"/>
            <w:shd w:val="clear" w:color="000000" w:fill="D9D9D9"/>
            <w:noWrap/>
            <w:vAlign w:val="center"/>
            <w:hideMark/>
          </w:tcPr>
          <w:p w14:paraId="0C2C0713" w14:textId="77777777" w:rsidR="00634D8C" w:rsidRPr="005467A2" w:rsidRDefault="00634D8C" w:rsidP="005467A2">
            <w:pPr>
              <w:rPr>
                <w:rFonts w:eastAsia="Times New Roman"/>
                <w:color w:val="000000"/>
              </w:rPr>
            </w:pPr>
            <w:r w:rsidRPr="005467A2">
              <w:rPr>
                <w:rFonts w:eastAsia="Times New Roman"/>
                <w:color w:val="000000"/>
              </w:rPr>
              <w:t> </w:t>
            </w:r>
          </w:p>
        </w:tc>
      </w:tr>
      <w:tr w:rsidR="00634D8C" w:rsidRPr="005467A2" w14:paraId="61BB4BAD" w14:textId="77777777" w:rsidTr="005467A2">
        <w:trPr>
          <w:trHeight w:val="255"/>
        </w:trPr>
        <w:tc>
          <w:tcPr>
            <w:tcW w:w="0" w:type="auto"/>
            <w:shd w:val="clear" w:color="auto" w:fill="auto"/>
            <w:noWrap/>
            <w:vAlign w:val="center"/>
            <w:hideMark/>
          </w:tcPr>
          <w:p w14:paraId="07AA5163" w14:textId="77777777" w:rsidR="00634D8C" w:rsidRPr="005467A2" w:rsidRDefault="00634D8C" w:rsidP="005467A2">
            <w:pPr>
              <w:rPr>
                <w:rFonts w:eastAsia="Times New Roman"/>
                <w:b/>
                <w:bCs/>
                <w:color w:val="000000"/>
              </w:rPr>
            </w:pPr>
            <w:r w:rsidRPr="005467A2">
              <w:rPr>
                <w:rFonts w:eastAsia="Times New Roman"/>
                <w:b/>
                <w:bCs/>
                <w:color w:val="000000"/>
              </w:rPr>
              <w:t>Number of substances used</w:t>
            </w:r>
          </w:p>
        </w:tc>
        <w:tc>
          <w:tcPr>
            <w:tcW w:w="0" w:type="auto"/>
            <w:vAlign w:val="center"/>
          </w:tcPr>
          <w:p w14:paraId="2C00FF35" w14:textId="77777777" w:rsidR="00634D8C" w:rsidRPr="005467A2" w:rsidRDefault="00ED43D0" w:rsidP="005467A2">
            <w:pPr>
              <w:rPr>
                <w:rFonts w:eastAsia="Times New Roman"/>
                <w:color w:val="000000"/>
              </w:rPr>
            </w:pPr>
            <w:r w:rsidRPr="005467A2">
              <w:rPr>
                <w:rFonts w:eastAsia="Times New Roman"/>
                <w:color w:val="000000"/>
              </w:rPr>
              <w:t>0.68 (0.01)</w:t>
            </w:r>
          </w:p>
        </w:tc>
        <w:tc>
          <w:tcPr>
            <w:tcW w:w="0" w:type="auto"/>
            <w:shd w:val="clear" w:color="auto" w:fill="auto"/>
            <w:noWrap/>
            <w:vAlign w:val="center"/>
            <w:hideMark/>
          </w:tcPr>
          <w:p w14:paraId="3D4B6F98" w14:textId="77777777" w:rsidR="00634D8C" w:rsidRPr="005467A2" w:rsidRDefault="00634D8C" w:rsidP="005467A2">
            <w:pPr>
              <w:rPr>
                <w:rFonts w:eastAsia="Times New Roman"/>
                <w:color w:val="000000"/>
              </w:rPr>
            </w:pPr>
            <w:r w:rsidRPr="005467A2">
              <w:rPr>
                <w:rFonts w:eastAsia="Times New Roman"/>
                <w:color w:val="000000"/>
              </w:rPr>
              <w:t>0.41 (0.02)</w:t>
            </w:r>
          </w:p>
        </w:tc>
        <w:tc>
          <w:tcPr>
            <w:tcW w:w="0" w:type="auto"/>
            <w:shd w:val="clear" w:color="000000" w:fill="D9D9D9"/>
            <w:noWrap/>
            <w:vAlign w:val="center"/>
            <w:hideMark/>
          </w:tcPr>
          <w:p w14:paraId="1204DDCF"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5FBDFB87" w14:textId="77777777" w:rsidR="00634D8C" w:rsidRPr="005467A2" w:rsidRDefault="00634D8C" w:rsidP="005467A2">
            <w:pPr>
              <w:rPr>
                <w:rFonts w:eastAsia="Times New Roman"/>
                <w:color w:val="000000"/>
              </w:rPr>
            </w:pPr>
            <w:r w:rsidRPr="005467A2">
              <w:rPr>
                <w:rFonts w:eastAsia="Times New Roman"/>
                <w:color w:val="000000"/>
              </w:rPr>
              <w:t>0.50 (0.02)</w:t>
            </w:r>
          </w:p>
        </w:tc>
        <w:tc>
          <w:tcPr>
            <w:tcW w:w="0" w:type="auto"/>
            <w:shd w:val="clear" w:color="000000" w:fill="D9D9D9"/>
            <w:noWrap/>
            <w:vAlign w:val="center"/>
            <w:hideMark/>
          </w:tcPr>
          <w:p w14:paraId="16676621"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17C5ABAD" w14:textId="77777777" w:rsidR="00634D8C" w:rsidRPr="005467A2" w:rsidRDefault="00634D8C" w:rsidP="005467A2">
            <w:pPr>
              <w:rPr>
                <w:rFonts w:eastAsia="Times New Roman"/>
                <w:color w:val="000000"/>
              </w:rPr>
            </w:pPr>
            <w:r w:rsidRPr="005467A2">
              <w:rPr>
                <w:rFonts w:eastAsia="Times New Roman"/>
                <w:color w:val="000000"/>
              </w:rPr>
              <w:t>3.52 (0.13)</w:t>
            </w:r>
          </w:p>
        </w:tc>
        <w:tc>
          <w:tcPr>
            <w:tcW w:w="0" w:type="auto"/>
            <w:shd w:val="clear" w:color="000000" w:fill="D9D9D9"/>
            <w:noWrap/>
            <w:vAlign w:val="center"/>
            <w:hideMark/>
          </w:tcPr>
          <w:p w14:paraId="1557BB5B" w14:textId="77777777" w:rsidR="00634D8C" w:rsidRPr="005467A2" w:rsidRDefault="00634D8C" w:rsidP="005467A2">
            <w:pPr>
              <w:rPr>
                <w:rFonts w:eastAsia="Times New Roman"/>
                <w:color w:val="000000"/>
              </w:rPr>
            </w:pPr>
            <w:r w:rsidRPr="005467A2">
              <w:rPr>
                <w:rFonts w:eastAsia="Times New Roman"/>
                <w:color w:val="000000"/>
              </w:rPr>
              <w:t> </w:t>
            </w:r>
          </w:p>
        </w:tc>
      </w:tr>
      <w:tr w:rsidR="00ED43D0" w:rsidRPr="005467A2" w14:paraId="34F9357A" w14:textId="77777777" w:rsidTr="005467A2">
        <w:trPr>
          <w:trHeight w:val="255"/>
        </w:trPr>
        <w:tc>
          <w:tcPr>
            <w:tcW w:w="0" w:type="auto"/>
            <w:gridSpan w:val="8"/>
            <w:shd w:val="clear" w:color="auto" w:fill="auto"/>
            <w:noWrap/>
            <w:vAlign w:val="center"/>
            <w:hideMark/>
          </w:tcPr>
          <w:p w14:paraId="69531FD6" w14:textId="77777777" w:rsidR="00ED43D0" w:rsidRPr="005467A2" w:rsidRDefault="00ED43D0" w:rsidP="005467A2">
            <w:pPr>
              <w:rPr>
                <w:rFonts w:eastAsia="Times New Roman"/>
                <w:b/>
                <w:bCs/>
                <w:color w:val="000000"/>
              </w:rPr>
            </w:pPr>
            <w:r w:rsidRPr="005467A2">
              <w:rPr>
                <w:rFonts w:eastAsia="Times New Roman"/>
                <w:b/>
                <w:bCs/>
                <w:color w:val="000000"/>
              </w:rPr>
              <w:t>Relationship status with partner(s)</w:t>
            </w:r>
          </w:p>
        </w:tc>
      </w:tr>
      <w:tr w:rsidR="00634D8C" w:rsidRPr="005467A2" w14:paraId="7F97072A" w14:textId="77777777" w:rsidTr="005467A2">
        <w:trPr>
          <w:trHeight w:val="255"/>
        </w:trPr>
        <w:tc>
          <w:tcPr>
            <w:tcW w:w="0" w:type="auto"/>
            <w:shd w:val="clear" w:color="auto" w:fill="auto"/>
            <w:noWrap/>
            <w:vAlign w:val="center"/>
            <w:hideMark/>
          </w:tcPr>
          <w:p w14:paraId="57854FE7" w14:textId="62188813" w:rsidR="00634D8C" w:rsidRPr="005467A2" w:rsidRDefault="001E6D34" w:rsidP="005467A2">
            <w:pPr>
              <w:rPr>
                <w:rFonts w:eastAsia="Times New Roman"/>
                <w:color w:val="000000"/>
              </w:rPr>
            </w:pPr>
            <w:r>
              <w:rPr>
                <w:rFonts w:eastAsia="Times New Roman"/>
                <w:color w:val="000000"/>
              </w:rPr>
              <w:t>Regular</w:t>
            </w:r>
            <w:r w:rsidR="00634D8C" w:rsidRPr="005467A2">
              <w:rPr>
                <w:rFonts w:eastAsia="Times New Roman"/>
                <w:color w:val="000000"/>
              </w:rPr>
              <w:t xml:space="preserve"> steady</w:t>
            </w:r>
          </w:p>
        </w:tc>
        <w:tc>
          <w:tcPr>
            <w:tcW w:w="0" w:type="auto"/>
            <w:vAlign w:val="center"/>
          </w:tcPr>
          <w:p w14:paraId="30572ECE" w14:textId="77777777" w:rsidR="00634D8C" w:rsidRPr="005467A2" w:rsidRDefault="00ED43D0" w:rsidP="005467A2">
            <w:pPr>
              <w:rPr>
                <w:rFonts w:eastAsia="Times New Roman"/>
                <w:color w:val="000000"/>
              </w:rPr>
            </w:pPr>
            <w:r w:rsidRPr="005467A2">
              <w:rPr>
                <w:rFonts w:eastAsia="Times New Roman"/>
                <w:color w:val="000000"/>
              </w:rPr>
              <w:t>32.3%</w:t>
            </w:r>
          </w:p>
        </w:tc>
        <w:tc>
          <w:tcPr>
            <w:tcW w:w="0" w:type="auto"/>
            <w:shd w:val="clear" w:color="auto" w:fill="auto"/>
            <w:noWrap/>
            <w:vAlign w:val="center"/>
            <w:hideMark/>
          </w:tcPr>
          <w:p w14:paraId="1BAB5F2B" w14:textId="77777777" w:rsidR="00634D8C" w:rsidRPr="005467A2" w:rsidRDefault="006F4503" w:rsidP="005467A2">
            <w:pPr>
              <w:rPr>
                <w:rFonts w:eastAsia="Times New Roman"/>
                <w:color w:val="000000"/>
              </w:rPr>
            </w:pPr>
            <w:r w:rsidRPr="005467A2">
              <w:rPr>
                <w:rFonts w:eastAsia="Times New Roman"/>
                <w:color w:val="000000"/>
              </w:rPr>
              <w:t>94.1</w:t>
            </w:r>
            <w:r w:rsidR="00634D8C" w:rsidRPr="005467A2">
              <w:rPr>
                <w:rFonts w:eastAsia="Times New Roman"/>
                <w:color w:val="000000"/>
              </w:rPr>
              <w:t>%</w:t>
            </w:r>
          </w:p>
        </w:tc>
        <w:tc>
          <w:tcPr>
            <w:tcW w:w="0" w:type="auto"/>
            <w:shd w:val="clear" w:color="auto" w:fill="auto"/>
            <w:noWrap/>
            <w:vAlign w:val="center"/>
            <w:hideMark/>
          </w:tcPr>
          <w:p w14:paraId="186EAF4B" w14:textId="77777777" w:rsidR="00634D8C" w:rsidRPr="005467A2" w:rsidRDefault="00634D8C" w:rsidP="005467A2">
            <w:pPr>
              <w:rPr>
                <w:rFonts w:eastAsia="Times New Roman"/>
                <w:color w:val="000000"/>
              </w:rPr>
            </w:pPr>
            <w:r w:rsidRPr="005467A2">
              <w:rPr>
                <w:rFonts w:eastAsia="Times New Roman"/>
                <w:color w:val="000000"/>
              </w:rPr>
              <w:t>0.001</w:t>
            </w:r>
          </w:p>
        </w:tc>
        <w:tc>
          <w:tcPr>
            <w:tcW w:w="0" w:type="auto"/>
            <w:shd w:val="clear" w:color="auto" w:fill="auto"/>
            <w:noWrap/>
            <w:vAlign w:val="center"/>
            <w:hideMark/>
          </w:tcPr>
          <w:p w14:paraId="69478C56" w14:textId="77777777" w:rsidR="00634D8C" w:rsidRPr="005467A2" w:rsidRDefault="00634D8C" w:rsidP="005467A2">
            <w:pPr>
              <w:rPr>
                <w:rFonts w:eastAsia="Times New Roman"/>
                <w:color w:val="000000"/>
              </w:rPr>
            </w:pPr>
            <w:r w:rsidRPr="005467A2">
              <w:rPr>
                <w:rFonts w:eastAsia="Times New Roman"/>
                <w:color w:val="000000"/>
              </w:rPr>
              <w:t>1.23%</w:t>
            </w:r>
          </w:p>
        </w:tc>
        <w:tc>
          <w:tcPr>
            <w:tcW w:w="0" w:type="auto"/>
            <w:shd w:val="clear" w:color="auto" w:fill="auto"/>
            <w:noWrap/>
            <w:vAlign w:val="center"/>
            <w:hideMark/>
          </w:tcPr>
          <w:p w14:paraId="78DFB301" w14:textId="77777777" w:rsidR="00634D8C" w:rsidRPr="005467A2" w:rsidRDefault="00634D8C" w:rsidP="005467A2">
            <w:pPr>
              <w:rPr>
                <w:rFonts w:eastAsia="Times New Roman"/>
                <w:color w:val="000000"/>
              </w:rPr>
            </w:pPr>
            <w:r w:rsidRPr="005467A2">
              <w:rPr>
                <w:rFonts w:eastAsia="Times New Roman"/>
                <w:color w:val="000000"/>
              </w:rPr>
              <w:t>&lt;0.001</w:t>
            </w:r>
          </w:p>
        </w:tc>
        <w:tc>
          <w:tcPr>
            <w:tcW w:w="0" w:type="auto"/>
            <w:shd w:val="clear" w:color="auto" w:fill="auto"/>
            <w:noWrap/>
            <w:vAlign w:val="center"/>
            <w:hideMark/>
          </w:tcPr>
          <w:p w14:paraId="38E31F8E" w14:textId="77777777" w:rsidR="00634D8C" w:rsidRPr="005467A2" w:rsidRDefault="00113F90" w:rsidP="005467A2">
            <w:pPr>
              <w:rPr>
                <w:rFonts w:eastAsia="Times New Roman"/>
                <w:color w:val="000000"/>
              </w:rPr>
            </w:pPr>
            <w:r w:rsidRPr="005467A2">
              <w:rPr>
                <w:rFonts w:eastAsia="Times New Roman"/>
                <w:color w:val="000000"/>
              </w:rPr>
              <w:t>22.3</w:t>
            </w:r>
            <w:r w:rsidR="00634D8C" w:rsidRPr="005467A2">
              <w:rPr>
                <w:rFonts w:eastAsia="Times New Roman"/>
                <w:color w:val="000000"/>
              </w:rPr>
              <w:t>%</w:t>
            </w:r>
          </w:p>
        </w:tc>
        <w:tc>
          <w:tcPr>
            <w:tcW w:w="0" w:type="auto"/>
            <w:shd w:val="clear" w:color="auto" w:fill="auto"/>
            <w:noWrap/>
            <w:vAlign w:val="center"/>
            <w:hideMark/>
          </w:tcPr>
          <w:p w14:paraId="7C3E5D87" w14:textId="77777777" w:rsidR="00634D8C" w:rsidRPr="005467A2" w:rsidRDefault="00634D8C" w:rsidP="005467A2">
            <w:pPr>
              <w:rPr>
                <w:rFonts w:eastAsia="Times New Roman"/>
                <w:color w:val="000000"/>
              </w:rPr>
            </w:pPr>
            <w:r w:rsidRPr="005467A2">
              <w:rPr>
                <w:rFonts w:eastAsia="Times New Roman"/>
                <w:color w:val="000000"/>
              </w:rPr>
              <w:t>0.002</w:t>
            </w:r>
          </w:p>
        </w:tc>
      </w:tr>
      <w:tr w:rsidR="00634D8C" w:rsidRPr="005467A2" w14:paraId="7C9B6E7E" w14:textId="77777777" w:rsidTr="005467A2">
        <w:trPr>
          <w:trHeight w:val="255"/>
        </w:trPr>
        <w:tc>
          <w:tcPr>
            <w:tcW w:w="0" w:type="auto"/>
            <w:shd w:val="clear" w:color="auto" w:fill="auto"/>
            <w:noWrap/>
            <w:vAlign w:val="center"/>
            <w:hideMark/>
          </w:tcPr>
          <w:p w14:paraId="5FFAD1AA" w14:textId="625A89FF" w:rsidR="00634D8C" w:rsidRPr="005467A2" w:rsidRDefault="001E6D34" w:rsidP="005467A2">
            <w:pPr>
              <w:rPr>
                <w:rFonts w:eastAsia="Times New Roman"/>
                <w:color w:val="000000"/>
              </w:rPr>
            </w:pPr>
            <w:r>
              <w:rPr>
                <w:rFonts w:eastAsia="Times New Roman"/>
                <w:color w:val="000000"/>
              </w:rPr>
              <w:t>Regular</w:t>
            </w:r>
            <w:r w:rsidR="00634D8C" w:rsidRPr="005467A2">
              <w:rPr>
                <w:rFonts w:eastAsia="Times New Roman"/>
                <w:color w:val="000000"/>
              </w:rPr>
              <w:t xml:space="preserve"> non-steady</w:t>
            </w:r>
          </w:p>
        </w:tc>
        <w:tc>
          <w:tcPr>
            <w:tcW w:w="0" w:type="auto"/>
            <w:vAlign w:val="center"/>
          </w:tcPr>
          <w:p w14:paraId="344A46E4" w14:textId="77777777" w:rsidR="00634D8C" w:rsidRPr="005467A2" w:rsidRDefault="00ED43D0" w:rsidP="005467A2">
            <w:pPr>
              <w:rPr>
                <w:rFonts w:eastAsia="Times New Roman"/>
                <w:color w:val="000000"/>
              </w:rPr>
            </w:pPr>
            <w:r w:rsidRPr="005467A2">
              <w:rPr>
                <w:rFonts w:eastAsia="Times New Roman"/>
                <w:color w:val="000000"/>
              </w:rPr>
              <w:t>26.3%</w:t>
            </w:r>
          </w:p>
        </w:tc>
        <w:tc>
          <w:tcPr>
            <w:tcW w:w="0" w:type="auto"/>
            <w:shd w:val="clear" w:color="auto" w:fill="auto"/>
            <w:noWrap/>
            <w:vAlign w:val="center"/>
            <w:hideMark/>
          </w:tcPr>
          <w:p w14:paraId="208E7465" w14:textId="77777777" w:rsidR="00634D8C" w:rsidRPr="005467A2" w:rsidRDefault="006F4503" w:rsidP="005467A2">
            <w:pPr>
              <w:rPr>
                <w:rFonts w:eastAsia="Times New Roman"/>
                <w:color w:val="000000"/>
              </w:rPr>
            </w:pPr>
            <w:r w:rsidRPr="005467A2">
              <w:rPr>
                <w:rFonts w:eastAsia="Times New Roman"/>
                <w:color w:val="000000"/>
              </w:rPr>
              <w:t>5.3</w:t>
            </w:r>
            <w:r w:rsidR="00634D8C" w:rsidRPr="005467A2">
              <w:rPr>
                <w:rFonts w:eastAsia="Times New Roman"/>
                <w:color w:val="000000"/>
              </w:rPr>
              <w:t>%</w:t>
            </w:r>
          </w:p>
        </w:tc>
        <w:tc>
          <w:tcPr>
            <w:tcW w:w="0" w:type="auto"/>
            <w:shd w:val="clear" w:color="auto" w:fill="auto"/>
            <w:noWrap/>
            <w:vAlign w:val="center"/>
            <w:hideMark/>
          </w:tcPr>
          <w:p w14:paraId="1413F8D2" w14:textId="77777777" w:rsidR="00634D8C" w:rsidRPr="005467A2" w:rsidRDefault="00634D8C" w:rsidP="005467A2">
            <w:pPr>
              <w:rPr>
                <w:rFonts w:eastAsia="Times New Roman"/>
                <w:color w:val="000000"/>
              </w:rPr>
            </w:pPr>
            <w:r w:rsidRPr="005467A2">
              <w:rPr>
                <w:rFonts w:eastAsia="Times New Roman"/>
                <w:color w:val="000000"/>
              </w:rPr>
              <w:t>0.097</w:t>
            </w:r>
          </w:p>
        </w:tc>
        <w:tc>
          <w:tcPr>
            <w:tcW w:w="0" w:type="auto"/>
            <w:shd w:val="clear" w:color="auto" w:fill="auto"/>
            <w:noWrap/>
            <w:vAlign w:val="center"/>
            <w:hideMark/>
          </w:tcPr>
          <w:p w14:paraId="5D3D579F" w14:textId="77777777" w:rsidR="00634D8C" w:rsidRPr="005467A2" w:rsidRDefault="00634D8C" w:rsidP="005467A2">
            <w:pPr>
              <w:rPr>
                <w:rFonts w:eastAsia="Times New Roman"/>
                <w:color w:val="000000"/>
              </w:rPr>
            </w:pPr>
            <w:r w:rsidRPr="005467A2">
              <w:rPr>
                <w:rFonts w:eastAsia="Times New Roman"/>
                <w:color w:val="000000"/>
              </w:rPr>
              <w:t>35.93%</w:t>
            </w:r>
          </w:p>
        </w:tc>
        <w:tc>
          <w:tcPr>
            <w:tcW w:w="0" w:type="auto"/>
            <w:shd w:val="clear" w:color="auto" w:fill="auto"/>
            <w:noWrap/>
            <w:vAlign w:val="center"/>
            <w:hideMark/>
          </w:tcPr>
          <w:p w14:paraId="1557459B" w14:textId="77777777" w:rsidR="00634D8C" w:rsidRPr="005467A2" w:rsidRDefault="00634D8C" w:rsidP="005467A2">
            <w:pPr>
              <w:rPr>
                <w:rFonts w:eastAsia="Times New Roman"/>
                <w:color w:val="000000"/>
              </w:rPr>
            </w:pPr>
            <w:r w:rsidRPr="005467A2">
              <w:rPr>
                <w:rFonts w:eastAsia="Times New Roman"/>
                <w:color w:val="000000"/>
              </w:rPr>
              <w:t>&lt;0.001</w:t>
            </w:r>
          </w:p>
        </w:tc>
        <w:tc>
          <w:tcPr>
            <w:tcW w:w="0" w:type="auto"/>
            <w:shd w:val="clear" w:color="auto" w:fill="auto"/>
            <w:noWrap/>
            <w:vAlign w:val="center"/>
            <w:hideMark/>
          </w:tcPr>
          <w:p w14:paraId="501612CA" w14:textId="77777777" w:rsidR="00634D8C" w:rsidRPr="005467A2" w:rsidRDefault="00113F90" w:rsidP="005467A2">
            <w:pPr>
              <w:rPr>
                <w:rFonts w:eastAsia="Times New Roman"/>
                <w:color w:val="000000"/>
              </w:rPr>
            </w:pPr>
            <w:r w:rsidRPr="005467A2">
              <w:rPr>
                <w:rFonts w:eastAsia="Times New Roman"/>
                <w:color w:val="000000"/>
              </w:rPr>
              <w:t>37.7</w:t>
            </w:r>
            <w:r w:rsidR="00634D8C" w:rsidRPr="005467A2">
              <w:rPr>
                <w:rFonts w:eastAsia="Times New Roman"/>
                <w:color w:val="000000"/>
              </w:rPr>
              <w:t>%</w:t>
            </w:r>
          </w:p>
        </w:tc>
        <w:tc>
          <w:tcPr>
            <w:tcW w:w="0" w:type="auto"/>
            <w:shd w:val="clear" w:color="auto" w:fill="auto"/>
            <w:noWrap/>
            <w:vAlign w:val="center"/>
            <w:hideMark/>
          </w:tcPr>
          <w:p w14:paraId="79DBB428" w14:textId="77777777" w:rsidR="00634D8C" w:rsidRPr="005467A2" w:rsidRDefault="00634D8C" w:rsidP="005467A2">
            <w:pPr>
              <w:rPr>
                <w:rFonts w:eastAsia="Times New Roman"/>
                <w:color w:val="000000"/>
              </w:rPr>
            </w:pPr>
            <w:r w:rsidRPr="005467A2">
              <w:rPr>
                <w:rFonts w:eastAsia="Times New Roman"/>
                <w:color w:val="000000"/>
              </w:rPr>
              <w:t>0.663</w:t>
            </w:r>
          </w:p>
        </w:tc>
      </w:tr>
      <w:tr w:rsidR="00634D8C" w:rsidRPr="005467A2" w14:paraId="33A1FE31" w14:textId="77777777" w:rsidTr="005467A2">
        <w:trPr>
          <w:trHeight w:val="255"/>
        </w:trPr>
        <w:tc>
          <w:tcPr>
            <w:tcW w:w="0" w:type="auto"/>
            <w:shd w:val="clear" w:color="auto" w:fill="auto"/>
            <w:noWrap/>
            <w:vAlign w:val="center"/>
            <w:hideMark/>
          </w:tcPr>
          <w:p w14:paraId="71EAE3A9" w14:textId="77777777" w:rsidR="00634D8C" w:rsidRPr="005467A2" w:rsidRDefault="00634D8C" w:rsidP="005467A2">
            <w:pPr>
              <w:rPr>
                <w:rFonts w:eastAsia="Times New Roman"/>
                <w:color w:val="000000"/>
              </w:rPr>
            </w:pPr>
            <w:r w:rsidRPr="005467A2">
              <w:rPr>
                <w:rFonts w:eastAsia="Times New Roman"/>
                <w:color w:val="000000"/>
              </w:rPr>
              <w:t>Opportunity/anonymous</w:t>
            </w:r>
          </w:p>
        </w:tc>
        <w:tc>
          <w:tcPr>
            <w:tcW w:w="0" w:type="auto"/>
            <w:vAlign w:val="center"/>
          </w:tcPr>
          <w:p w14:paraId="5B2CCF64" w14:textId="77777777" w:rsidR="00634D8C" w:rsidRPr="005467A2" w:rsidRDefault="00ED43D0" w:rsidP="005467A2">
            <w:pPr>
              <w:rPr>
                <w:rFonts w:eastAsia="Times New Roman"/>
                <w:color w:val="000000"/>
              </w:rPr>
            </w:pPr>
            <w:r w:rsidRPr="005467A2">
              <w:rPr>
                <w:rFonts w:eastAsia="Times New Roman"/>
                <w:color w:val="000000"/>
              </w:rPr>
              <w:t>41.4%</w:t>
            </w:r>
          </w:p>
        </w:tc>
        <w:tc>
          <w:tcPr>
            <w:tcW w:w="0" w:type="auto"/>
            <w:shd w:val="clear" w:color="auto" w:fill="auto"/>
            <w:noWrap/>
            <w:vAlign w:val="center"/>
            <w:hideMark/>
          </w:tcPr>
          <w:p w14:paraId="611D190D" w14:textId="77777777" w:rsidR="00634D8C" w:rsidRPr="005467A2" w:rsidRDefault="006F4503" w:rsidP="005467A2">
            <w:pPr>
              <w:rPr>
                <w:rFonts w:eastAsia="Times New Roman"/>
                <w:color w:val="000000"/>
              </w:rPr>
            </w:pPr>
            <w:r w:rsidRPr="005467A2">
              <w:rPr>
                <w:rFonts w:eastAsia="Times New Roman"/>
                <w:color w:val="000000"/>
              </w:rPr>
              <w:t>0.6</w:t>
            </w:r>
            <w:r w:rsidR="00634D8C" w:rsidRPr="005467A2">
              <w:rPr>
                <w:rFonts w:eastAsia="Times New Roman"/>
                <w:color w:val="000000"/>
              </w:rPr>
              <w:t>%</w:t>
            </w:r>
          </w:p>
        </w:tc>
        <w:tc>
          <w:tcPr>
            <w:tcW w:w="0" w:type="auto"/>
            <w:shd w:val="clear" w:color="000000" w:fill="D9D9D9"/>
            <w:noWrap/>
            <w:vAlign w:val="center"/>
            <w:hideMark/>
          </w:tcPr>
          <w:p w14:paraId="3456ECE0"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05CA2F76" w14:textId="77777777" w:rsidR="00634D8C" w:rsidRPr="005467A2" w:rsidRDefault="00634D8C" w:rsidP="005467A2">
            <w:pPr>
              <w:rPr>
                <w:rFonts w:eastAsia="Times New Roman"/>
                <w:color w:val="000000"/>
              </w:rPr>
            </w:pPr>
            <w:r w:rsidRPr="005467A2">
              <w:rPr>
                <w:rFonts w:eastAsia="Times New Roman"/>
                <w:color w:val="000000"/>
              </w:rPr>
              <w:t>62.84%</w:t>
            </w:r>
          </w:p>
        </w:tc>
        <w:tc>
          <w:tcPr>
            <w:tcW w:w="0" w:type="auto"/>
            <w:shd w:val="clear" w:color="000000" w:fill="D9D9D9"/>
            <w:noWrap/>
            <w:vAlign w:val="center"/>
            <w:hideMark/>
          </w:tcPr>
          <w:p w14:paraId="388B6C6D"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57CB7207" w14:textId="77777777" w:rsidR="00634D8C" w:rsidRPr="005467A2" w:rsidRDefault="00113F90" w:rsidP="005467A2">
            <w:pPr>
              <w:rPr>
                <w:rFonts w:eastAsia="Times New Roman"/>
                <w:color w:val="000000"/>
              </w:rPr>
            </w:pPr>
            <w:r w:rsidRPr="005467A2">
              <w:rPr>
                <w:rFonts w:eastAsia="Times New Roman"/>
                <w:color w:val="000000"/>
              </w:rPr>
              <w:t>40.1</w:t>
            </w:r>
            <w:r w:rsidR="00634D8C" w:rsidRPr="005467A2">
              <w:rPr>
                <w:rFonts w:eastAsia="Times New Roman"/>
                <w:color w:val="000000"/>
              </w:rPr>
              <w:t>%</w:t>
            </w:r>
          </w:p>
        </w:tc>
        <w:tc>
          <w:tcPr>
            <w:tcW w:w="0" w:type="auto"/>
            <w:shd w:val="clear" w:color="000000" w:fill="D9D9D9"/>
            <w:noWrap/>
            <w:vAlign w:val="center"/>
            <w:hideMark/>
          </w:tcPr>
          <w:p w14:paraId="32E26DFB" w14:textId="77777777" w:rsidR="00634D8C" w:rsidRPr="005467A2" w:rsidRDefault="00634D8C" w:rsidP="005467A2">
            <w:pPr>
              <w:rPr>
                <w:rFonts w:eastAsia="Times New Roman"/>
                <w:color w:val="000000"/>
              </w:rPr>
            </w:pPr>
            <w:r w:rsidRPr="005467A2">
              <w:rPr>
                <w:rFonts w:eastAsia="Times New Roman"/>
                <w:color w:val="000000"/>
              </w:rPr>
              <w:t> </w:t>
            </w:r>
          </w:p>
        </w:tc>
      </w:tr>
      <w:tr w:rsidR="00ED43D0" w:rsidRPr="005467A2" w14:paraId="12EB1D9C" w14:textId="77777777" w:rsidTr="005467A2">
        <w:trPr>
          <w:trHeight w:val="255"/>
        </w:trPr>
        <w:tc>
          <w:tcPr>
            <w:tcW w:w="0" w:type="auto"/>
            <w:gridSpan w:val="8"/>
            <w:shd w:val="clear" w:color="auto" w:fill="auto"/>
            <w:noWrap/>
            <w:vAlign w:val="center"/>
            <w:hideMark/>
          </w:tcPr>
          <w:p w14:paraId="68A166A1" w14:textId="77777777" w:rsidR="00ED43D0" w:rsidRPr="005467A2" w:rsidRDefault="00ED43D0" w:rsidP="005467A2">
            <w:pPr>
              <w:rPr>
                <w:rFonts w:eastAsia="Times New Roman"/>
                <w:b/>
                <w:bCs/>
                <w:color w:val="000000"/>
              </w:rPr>
            </w:pPr>
            <w:r w:rsidRPr="005467A2">
              <w:rPr>
                <w:rFonts w:eastAsia="Times New Roman"/>
                <w:b/>
                <w:bCs/>
                <w:color w:val="000000"/>
              </w:rPr>
              <w:t>Seroconcordance</w:t>
            </w:r>
          </w:p>
        </w:tc>
      </w:tr>
      <w:tr w:rsidR="00634D8C" w:rsidRPr="005467A2" w14:paraId="0E461CB6" w14:textId="77777777" w:rsidTr="005467A2">
        <w:trPr>
          <w:trHeight w:val="255"/>
        </w:trPr>
        <w:tc>
          <w:tcPr>
            <w:tcW w:w="0" w:type="auto"/>
            <w:shd w:val="clear" w:color="auto" w:fill="auto"/>
            <w:noWrap/>
            <w:vAlign w:val="center"/>
            <w:hideMark/>
          </w:tcPr>
          <w:p w14:paraId="60DBAB75" w14:textId="77777777" w:rsidR="00634D8C" w:rsidRPr="005467A2" w:rsidRDefault="00634D8C" w:rsidP="005467A2">
            <w:pPr>
              <w:rPr>
                <w:rFonts w:eastAsia="Times New Roman"/>
                <w:color w:val="000000"/>
              </w:rPr>
            </w:pPr>
            <w:r w:rsidRPr="005467A2">
              <w:rPr>
                <w:rFonts w:eastAsia="Times New Roman"/>
                <w:color w:val="000000"/>
              </w:rPr>
              <w:t>Both partners believed HIV+ or HIV-</w:t>
            </w:r>
          </w:p>
        </w:tc>
        <w:tc>
          <w:tcPr>
            <w:tcW w:w="0" w:type="auto"/>
            <w:vAlign w:val="center"/>
          </w:tcPr>
          <w:p w14:paraId="664D93C6" w14:textId="77777777" w:rsidR="00634D8C" w:rsidRPr="005467A2" w:rsidRDefault="00ED43D0" w:rsidP="005467A2">
            <w:pPr>
              <w:rPr>
                <w:rFonts w:eastAsia="Times New Roman"/>
                <w:color w:val="000000"/>
              </w:rPr>
            </w:pPr>
            <w:r w:rsidRPr="005467A2">
              <w:rPr>
                <w:rFonts w:eastAsia="Times New Roman"/>
                <w:color w:val="000000"/>
              </w:rPr>
              <w:t>43.0%</w:t>
            </w:r>
          </w:p>
        </w:tc>
        <w:tc>
          <w:tcPr>
            <w:tcW w:w="0" w:type="auto"/>
            <w:shd w:val="clear" w:color="auto" w:fill="auto"/>
            <w:noWrap/>
            <w:vAlign w:val="center"/>
            <w:hideMark/>
          </w:tcPr>
          <w:p w14:paraId="492AFED4" w14:textId="77777777" w:rsidR="00634D8C" w:rsidRPr="005467A2" w:rsidRDefault="006F4503" w:rsidP="005467A2">
            <w:pPr>
              <w:rPr>
                <w:rFonts w:eastAsia="Times New Roman"/>
                <w:color w:val="000000"/>
              </w:rPr>
            </w:pPr>
            <w:r w:rsidRPr="005467A2">
              <w:rPr>
                <w:rFonts w:eastAsia="Times New Roman"/>
                <w:color w:val="000000"/>
              </w:rPr>
              <w:t>71.6</w:t>
            </w:r>
            <w:r w:rsidR="00634D8C" w:rsidRPr="005467A2">
              <w:rPr>
                <w:rFonts w:eastAsia="Times New Roman"/>
                <w:color w:val="000000"/>
              </w:rPr>
              <w:t>%</w:t>
            </w:r>
          </w:p>
        </w:tc>
        <w:tc>
          <w:tcPr>
            <w:tcW w:w="0" w:type="auto"/>
            <w:shd w:val="clear" w:color="auto" w:fill="auto"/>
            <w:noWrap/>
            <w:vAlign w:val="center"/>
            <w:hideMark/>
          </w:tcPr>
          <w:p w14:paraId="117ED413" w14:textId="77777777" w:rsidR="00634D8C" w:rsidRPr="005467A2" w:rsidRDefault="00634D8C" w:rsidP="005467A2">
            <w:pPr>
              <w:rPr>
                <w:rFonts w:eastAsia="Times New Roman"/>
                <w:color w:val="000000"/>
              </w:rPr>
            </w:pPr>
            <w:r w:rsidRPr="005467A2">
              <w:rPr>
                <w:rFonts w:eastAsia="Times New Roman"/>
                <w:color w:val="000000"/>
              </w:rPr>
              <w:t>&lt;0.001</w:t>
            </w:r>
          </w:p>
        </w:tc>
        <w:tc>
          <w:tcPr>
            <w:tcW w:w="0" w:type="auto"/>
            <w:shd w:val="clear" w:color="auto" w:fill="auto"/>
            <w:noWrap/>
            <w:vAlign w:val="center"/>
            <w:hideMark/>
          </w:tcPr>
          <w:p w14:paraId="499A9433" w14:textId="77777777" w:rsidR="00634D8C" w:rsidRPr="005467A2" w:rsidRDefault="006F4503" w:rsidP="005467A2">
            <w:pPr>
              <w:rPr>
                <w:rFonts w:eastAsia="Times New Roman"/>
                <w:color w:val="000000"/>
              </w:rPr>
            </w:pPr>
            <w:r w:rsidRPr="005467A2">
              <w:rPr>
                <w:rFonts w:eastAsia="Times New Roman"/>
                <w:color w:val="000000"/>
              </w:rPr>
              <w:t>27.9</w:t>
            </w:r>
            <w:r w:rsidR="00634D8C" w:rsidRPr="005467A2">
              <w:rPr>
                <w:rFonts w:eastAsia="Times New Roman"/>
                <w:color w:val="000000"/>
              </w:rPr>
              <w:t>%</w:t>
            </w:r>
          </w:p>
        </w:tc>
        <w:tc>
          <w:tcPr>
            <w:tcW w:w="0" w:type="auto"/>
            <w:shd w:val="clear" w:color="auto" w:fill="auto"/>
            <w:noWrap/>
            <w:vAlign w:val="center"/>
            <w:hideMark/>
          </w:tcPr>
          <w:p w14:paraId="4A344450" w14:textId="77777777" w:rsidR="00634D8C" w:rsidRPr="005467A2" w:rsidRDefault="00634D8C" w:rsidP="005467A2">
            <w:pPr>
              <w:rPr>
                <w:rFonts w:eastAsia="Times New Roman"/>
                <w:color w:val="000000"/>
              </w:rPr>
            </w:pPr>
            <w:r w:rsidRPr="005467A2">
              <w:rPr>
                <w:rFonts w:eastAsia="Times New Roman"/>
                <w:color w:val="000000"/>
              </w:rPr>
              <w:t>&lt;0.001</w:t>
            </w:r>
          </w:p>
        </w:tc>
        <w:tc>
          <w:tcPr>
            <w:tcW w:w="0" w:type="auto"/>
            <w:shd w:val="clear" w:color="auto" w:fill="auto"/>
            <w:noWrap/>
            <w:vAlign w:val="center"/>
            <w:hideMark/>
          </w:tcPr>
          <w:p w14:paraId="522D9E75" w14:textId="77777777" w:rsidR="00634D8C" w:rsidRPr="005467A2" w:rsidRDefault="00113F90" w:rsidP="005467A2">
            <w:pPr>
              <w:rPr>
                <w:rFonts w:eastAsia="Times New Roman"/>
                <w:color w:val="000000"/>
              </w:rPr>
            </w:pPr>
            <w:r w:rsidRPr="005467A2">
              <w:rPr>
                <w:rFonts w:eastAsia="Times New Roman"/>
                <w:color w:val="000000"/>
              </w:rPr>
              <w:t>45.3</w:t>
            </w:r>
            <w:r w:rsidR="00634D8C" w:rsidRPr="005467A2">
              <w:rPr>
                <w:rFonts w:eastAsia="Times New Roman"/>
                <w:color w:val="000000"/>
              </w:rPr>
              <w:t>%</w:t>
            </w:r>
          </w:p>
        </w:tc>
        <w:tc>
          <w:tcPr>
            <w:tcW w:w="0" w:type="auto"/>
            <w:shd w:val="clear" w:color="auto" w:fill="auto"/>
            <w:noWrap/>
            <w:vAlign w:val="center"/>
            <w:hideMark/>
          </w:tcPr>
          <w:p w14:paraId="3B24CFD6" w14:textId="77777777" w:rsidR="00634D8C" w:rsidRPr="005467A2" w:rsidRDefault="00634D8C" w:rsidP="005467A2">
            <w:pPr>
              <w:rPr>
                <w:rFonts w:eastAsia="Times New Roman"/>
                <w:color w:val="000000"/>
              </w:rPr>
            </w:pPr>
            <w:r w:rsidRPr="005467A2">
              <w:rPr>
                <w:rFonts w:eastAsia="Times New Roman"/>
                <w:color w:val="000000"/>
              </w:rPr>
              <w:t>&lt;0.001</w:t>
            </w:r>
          </w:p>
        </w:tc>
      </w:tr>
      <w:tr w:rsidR="00634D8C" w:rsidRPr="005467A2" w14:paraId="388013D3" w14:textId="77777777" w:rsidTr="005467A2">
        <w:trPr>
          <w:trHeight w:val="255"/>
        </w:trPr>
        <w:tc>
          <w:tcPr>
            <w:tcW w:w="0" w:type="auto"/>
            <w:shd w:val="clear" w:color="auto" w:fill="auto"/>
            <w:noWrap/>
            <w:vAlign w:val="center"/>
            <w:hideMark/>
          </w:tcPr>
          <w:p w14:paraId="32C82F09" w14:textId="77777777" w:rsidR="00634D8C" w:rsidRPr="005467A2" w:rsidRDefault="00634D8C" w:rsidP="005467A2">
            <w:pPr>
              <w:rPr>
                <w:rFonts w:eastAsia="Times New Roman"/>
                <w:color w:val="000000"/>
              </w:rPr>
            </w:pPr>
            <w:r w:rsidRPr="005467A2">
              <w:rPr>
                <w:rFonts w:eastAsia="Times New Roman"/>
                <w:color w:val="000000"/>
              </w:rPr>
              <w:t>Didn't care, didn't notice, didn't remember</w:t>
            </w:r>
          </w:p>
        </w:tc>
        <w:tc>
          <w:tcPr>
            <w:tcW w:w="0" w:type="auto"/>
            <w:vAlign w:val="center"/>
          </w:tcPr>
          <w:p w14:paraId="44C13998" w14:textId="77777777" w:rsidR="00634D8C" w:rsidRPr="005467A2" w:rsidRDefault="00ED43D0" w:rsidP="005467A2">
            <w:pPr>
              <w:rPr>
                <w:rFonts w:eastAsia="Times New Roman"/>
                <w:color w:val="000000"/>
              </w:rPr>
            </w:pPr>
            <w:r w:rsidRPr="005467A2">
              <w:rPr>
                <w:rFonts w:eastAsia="Times New Roman"/>
                <w:color w:val="000000"/>
              </w:rPr>
              <w:t>50.0%</w:t>
            </w:r>
          </w:p>
        </w:tc>
        <w:tc>
          <w:tcPr>
            <w:tcW w:w="0" w:type="auto"/>
            <w:shd w:val="clear" w:color="auto" w:fill="auto"/>
            <w:noWrap/>
            <w:vAlign w:val="center"/>
            <w:hideMark/>
          </w:tcPr>
          <w:p w14:paraId="43CB6771" w14:textId="77777777" w:rsidR="00634D8C" w:rsidRPr="005467A2" w:rsidRDefault="006F4503" w:rsidP="005467A2">
            <w:pPr>
              <w:rPr>
                <w:rFonts w:eastAsia="Times New Roman"/>
                <w:color w:val="000000"/>
              </w:rPr>
            </w:pPr>
            <w:r w:rsidRPr="005467A2">
              <w:rPr>
                <w:rFonts w:eastAsia="Times New Roman"/>
                <w:color w:val="000000"/>
              </w:rPr>
              <w:t>17.1</w:t>
            </w:r>
            <w:r w:rsidR="00634D8C" w:rsidRPr="005467A2">
              <w:rPr>
                <w:rFonts w:eastAsia="Times New Roman"/>
                <w:color w:val="000000"/>
              </w:rPr>
              <w:t>%</w:t>
            </w:r>
          </w:p>
        </w:tc>
        <w:tc>
          <w:tcPr>
            <w:tcW w:w="0" w:type="auto"/>
            <w:shd w:val="clear" w:color="auto" w:fill="auto"/>
            <w:noWrap/>
            <w:vAlign w:val="center"/>
            <w:hideMark/>
          </w:tcPr>
          <w:p w14:paraId="6D4C311D" w14:textId="77777777" w:rsidR="00634D8C" w:rsidRPr="005467A2" w:rsidRDefault="00634D8C" w:rsidP="005467A2">
            <w:pPr>
              <w:rPr>
                <w:rFonts w:eastAsia="Times New Roman"/>
                <w:color w:val="000000"/>
              </w:rPr>
            </w:pPr>
            <w:r w:rsidRPr="005467A2">
              <w:rPr>
                <w:rFonts w:eastAsia="Times New Roman"/>
                <w:color w:val="000000"/>
              </w:rPr>
              <w:t>&lt;0.001</w:t>
            </w:r>
          </w:p>
        </w:tc>
        <w:tc>
          <w:tcPr>
            <w:tcW w:w="0" w:type="auto"/>
            <w:shd w:val="clear" w:color="auto" w:fill="auto"/>
            <w:noWrap/>
            <w:vAlign w:val="center"/>
            <w:hideMark/>
          </w:tcPr>
          <w:p w14:paraId="1F05284A" w14:textId="77777777" w:rsidR="00634D8C" w:rsidRPr="005467A2" w:rsidRDefault="006F4503" w:rsidP="005467A2">
            <w:pPr>
              <w:rPr>
                <w:rFonts w:eastAsia="Times New Roman"/>
                <w:color w:val="000000"/>
              </w:rPr>
            </w:pPr>
            <w:r w:rsidRPr="005467A2">
              <w:rPr>
                <w:rFonts w:eastAsia="Times New Roman"/>
                <w:color w:val="000000"/>
              </w:rPr>
              <w:t>68.3</w:t>
            </w:r>
            <w:r w:rsidR="00634D8C" w:rsidRPr="005467A2">
              <w:rPr>
                <w:rFonts w:eastAsia="Times New Roman"/>
                <w:color w:val="000000"/>
              </w:rPr>
              <w:t>%</w:t>
            </w:r>
          </w:p>
        </w:tc>
        <w:tc>
          <w:tcPr>
            <w:tcW w:w="0" w:type="auto"/>
            <w:shd w:val="clear" w:color="auto" w:fill="auto"/>
            <w:noWrap/>
            <w:vAlign w:val="center"/>
            <w:hideMark/>
          </w:tcPr>
          <w:p w14:paraId="23E75103" w14:textId="77777777" w:rsidR="00634D8C" w:rsidRPr="005467A2" w:rsidRDefault="00634D8C" w:rsidP="005467A2">
            <w:pPr>
              <w:rPr>
                <w:rFonts w:eastAsia="Times New Roman"/>
                <w:color w:val="000000"/>
              </w:rPr>
            </w:pPr>
            <w:r w:rsidRPr="005467A2">
              <w:rPr>
                <w:rFonts w:eastAsia="Times New Roman"/>
                <w:color w:val="000000"/>
              </w:rPr>
              <w:t>0.06</w:t>
            </w:r>
          </w:p>
        </w:tc>
        <w:tc>
          <w:tcPr>
            <w:tcW w:w="0" w:type="auto"/>
            <w:shd w:val="clear" w:color="auto" w:fill="auto"/>
            <w:noWrap/>
            <w:vAlign w:val="center"/>
            <w:hideMark/>
          </w:tcPr>
          <w:p w14:paraId="7C1BA76B" w14:textId="77777777" w:rsidR="00634D8C" w:rsidRPr="005467A2" w:rsidRDefault="00113F90" w:rsidP="005467A2">
            <w:pPr>
              <w:rPr>
                <w:rFonts w:eastAsia="Times New Roman"/>
                <w:color w:val="000000"/>
              </w:rPr>
            </w:pPr>
            <w:r w:rsidRPr="005467A2">
              <w:rPr>
                <w:rFonts w:eastAsia="Times New Roman"/>
                <w:color w:val="000000"/>
              </w:rPr>
              <w:t>39.8</w:t>
            </w:r>
            <w:r w:rsidR="00634D8C" w:rsidRPr="005467A2">
              <w:rPr>
                <w:rFonts w:eastAsia="Times New Roman"/>
                <w:color w:val="000000"/>
              </w:rPr>
              <w:t>%</w:t>
            </w:r>
          </w:p>
        </w:tc>
        <w:tc>
          <w:tcPr>
            <w:tcW w:w="0" w:type="auto"/>
            <w:shd w:val="clear" w:color="auto" w:fill="auto"/>
            <w:noWrap/>
            <w:vAlign w:val="center"/>
            <w:hideMark/>
          </w:tcPr>
          <w:p w14:paraId="4BF2B113" w14:textId="77777777" w:rsidR="00634D8C" w:rsidRPr="005467A2" w:rsidRDefault="00634D8C" w:rsidP="005467A2">
            <w:pPr>
              <w:rPr>
                <w:rFonts w:eastAsia="Times New Roman"/>
                <w:color w:val="000000"/>
              </w:rPr>
            </w:pPr>
            <w:r w:rsidRPr="005467A2">
              <w:rPr>
                <w:rFonts w:eastAsia="Times New Roman"/>
                <w:color w:val="000000"/>
              </w:rPr>
              <w:t>&lt;0.001</w:t>
            </w:r>
          </w:p>
        </w:tc>
      </w:tr>
      <w:tr w:rsidR="00634D8C" w:rsidRPr="005467A2" w14:paraId="683B13DB" w14:textId="77777777" w:rsidTr="005467A2">
        <w:trPr>
          <w:trHeight w:val="255"/>
        </w:trPr>
        <w:tc>
          <w:tcPr>
            <w:tcW w:w="0" w:type="auto"/>
            <w:shd w:val="clear" w:color="auto" w:fill="auto"/>
            <w:noWrap/>
            <w:vAlign w:val="center"/>
            <w:hideMark/>
          </w:tcPr>
          <w:p w14:paraId="24854B0A" w14:textId="77777777" w:rsidR="00634D8C" w:rsidRPr="005467A2" w:rsidRDefault="00634D8C" w:rsidP="005467A2">
            <w:pPr>
              <w:rPr>
                <w:rFonts w:eastAsia="Times New Roman"/>
                <w:color w:val="000000"/>
              </w:rPr>
            </w:pPr>
            <w:r w:rsidRPr="005467A2">
              <w:rPr>
                <w:rFonts w:eastAsia="Times New Roman"/>
                <w:color w:val="000000"/>
              </w:rPr>
              <w:t>One partner HIV+ and one HIV-</w:t>
            </w:r>
          </w:p>
        </w:tc>
        <w:tc>
          <w:tcPr>
            <w:tcW w:w="0" w:type="auto"/>
            <w:vAlign w:val="center"/>
          </w:tcPr>
          <w:p w14:paraId="289C79C1" w14:textId="77777777" w:rsidR="00634D8C" w:rsidRPr="005467A2" w:rsidRDefault="00ED43D0" w:rsidP="005467A2">
            <w:pPr>
              <w:rPr>
                <w:rFonts w:eastAsia="Times New Roman"/>
                <w:color w:val="000000"/>
              </w:rPr>
            </w:pPr>
            <w:r w:rsidRPr="005467A2">
              <w:rPr>
                <w:rFonts w:eastAsia="Times New Roman"/>
                <w:color w:val="000000"/>
              </w:rPr>
              <w:t>7.0%</w:t>
            </w:r>
          </w:p>
        </w:tc>
        <w:tc>
          <w:tcPr>
            <w:tcW w:w="0" w:type="auto"/>
            <w:shd w:val="clear" w:color="auto" w:fill="auto"/>
            <w:noWrap/>
            <w:vAlign w:val="center"/>
            <w:hideMark/>
          </w:tcPr>
          <w:p w14:paraId="15F7A0A8" w14:textId="77777777" w:rsidR="00634D8C" w:rsidRPr="005467A2" w:rsidRDefault="006F4503" w:rsidP="005467A2">
            <w:pPr>
              <w:rPr>
                <w:rFonts w:eastAsia="Times New Roman"/>
                <w:color w:val="000000"/>
              </w:rPr>
            </w:pPr>
            <w:r w:rsidRPr="005467A2">
              <w:rPr>
                <w:rFonts w:eastAsia="Times New Roman"/>
                <w:color w:val="000000"/>
              </w:rPr>
              <w:t>11.3</w:t>
            </w:r>
            <w:r w:rsidR="00634D8C" w:rsidRPr="005467A2">
              <w:rPr>
                <w:rFonts w:eastAsia="Times New Roman"/>
                <w:color w:val="000000"/>
              </w:rPr>
              <w:t>%</w:t>
            </w:r>
          </w:p>
        </w:tc>
        <w:tc>
          <w:tcPr>
            <w:tcW w:w="0" w:type="auto"/>
            <w:shd w:val="clear" w:color="000000" w:fill="D9D9D9"/>
            <w:noWrap/>
            <w:vAlign w:val="center"/>
            <w:hideMark/>
          </w:tcPr>
          <w:p w14:paraId="57DB01B4"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07DD4AD5" w14:textId="77777777" w:rsidR="00634D8C" w:rsidRPr="005467A2" w:rsidRDefault="006F4503" w:rsidP="005467A2">
            <w:pPr>
              <w:rPr>
                <w:rFonts w:eastAsia="Times New Roman"/>
                <w:color w:val="000000"/>
              </w:rPr>
            </w:pPr>
            <w:r w:rsidRPr="005467A2">
              <w:rPr>
                <w:rFonts w:eastAsia="Times New Roman"/>
                <w:color w:val="000000"/>
              </w:rPr>
              <w:t>3.8</w:t>
            </w:r>
            <w:r w:rsidR="00634D8C" w:rsidRPr="005467A2">
              <w:rPr>
                <w:rFonts w:eastAsia="Times New Roman"/>
                <w:color w:val="000000"/>
              </w:rPr>
              <w:t>%</w:t>
            </w:r>
          </w:p>
        </w:tc>
        <w:tc>
          <w:tcPr>
            <w:tcW w:w="0" w:type="auto"/>
            <w:shd w:val="clear" w:color="000000" w:fill="D9D9D9"/>
            <w:noWrap/>
            <w:vAlign w:val="center"/>
            <w:hideMark/>
          </w:tcPr>
          <w:p w14:paraId="4F8C8B32"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5DC4D162" w14:textId="77777777" w:rsidR="00634D8C" w:rsidRPr="005467A2" w:rsidRDefault="00113F90" w:rsidP="005467A2">
            <w:pPr>
              <w:rPr>
                <w:rFonts w:eastAsia="Times New Roman"/>
                <w:color w:val="000000"/>
              </w:rPr>
            </w:pPr>
            <w:r w:rsidRPr="005467A2">
              <w:rPr>
                <w:rFonts w:eastAsia="Times New Roman"/>
                <w:color w:val="000000"/>
              </w:rPr>
              <w:t>14.9</w:t>
            </w:r>
            <w:r w:rsidR="00634D8C" w:rsidRPr="005467A2">
              <w:rPr>
                <w:rFonts w:eastAsia="Times New Roman"/>
                <w:color w:val="000000"/>
              </w:rPr>
              <w:t>%</w:t>
            </w:r>
          </w:p>
        </w:tc>
        <w:tc>
          <w:tcPr>
            <w:tcW w:w="0" w:type="auto"/>
            <w:shd w:val="clear" w:color="000000" w:fill="D9D9D9"/>
            <w:noWrap/>
            <w:vAlign w:val="center"/>
            <w:hideMark/>
          </w:tcPr>
          <w:p w14:paraId="62A17CBC" w14:textId="77777777" w:rsidR="00634D8C" w:rsidRPr="005467A2" w:rsidRDefault="00634D8C" w:rsidP="005467A2">
            <w:pPr>
              <w:rPr>
                <w:rFonts w:eastAsia="Times New Roman"/>
                <w:color w:val="000000"/>
              </w:rPr>
            </w:pPr>
            <w:r w:rsidRPr="005467A2">
              <w:rPr>
                <w:rFonts w:eastAsia="Times New Roman"/>
                <w:color w:val="000000"/>
              </w:rPr>
              <w:t> </w:t>
            </w:r>
          </w:p>
        </w:tc>
      </w:tr>
      <w:tr w:rsidR="00ED43D0" w:rsidRPr="005467A2" w14:paraId="680A24D6" w14:textId="77777777" w:rsidTr="005467A2">
        <w:trPr>
          <w:trHeight w:val="255"/>
        </w:trPr>
        <w:tc>
          <w:tcPr>
            <w:tcW w:w="0" w:type="auto"/>
            <w:gridSpan w:val="8"/>
            <w:shd w:val="clear" w:color="auto" w:fill="auto"/>
            <w:noWrap/>
            <w:vAlign w:val="center"/>
            <w:hideMark/>
          </w:tcPr>
          <w:p w14:paraId="3D75B76A" w14:textId="77777777" w:rsidR="00ED43D0" w:rsidRPr="005467A2" w:rsidRDefault="00ED43D0" w:rsidP="005467A2">
            <w:pPr>
              <w:rPr>
                <w:rFonts w:eastAsia="Times New Roman"/>
                <w:b/>
                <w:bCs/>
                <w:color w:val="000000"/>
              </w:rPr>
            </w:pPr>
            <w:r w:rsidRPr="005467A2">
              <w:rPr>
                <w:rFonts w:eastAsia="Times New Roman"/>
                <w:b/>
                <w:bCs/>
                <w:color w:val="000000"/>
              </w:rPr>
              <w:t>Location of sex</w:t>
            </w:r>
          </w:p>
        </w:tc>
      </w:tr>
      <w:tr w:rsidR="00634D8C" w:rsidRPr="005467A2" w14:paraId="2778E9B5" w14:textId="77777777" w:rsidTr="005467A2">
        <w:trPr>
          <w:trHeight w:val="255"/>
        </w:trPr>
        <w:tc>
          <w:tcPr>
            <w:tcW w:w="0" w:type="auto"/>
            <w:shd w:val="clear" w:color="auto" w:fill="auto"/>
            <w:noWrap/>
            <w:vAlign w:val="center"/>
            <w:hideMark/>
          </w:tcPr>
          <w:p w14:paraId="683422F2" w14:textId="77777777" w:rsidR="00634D8C" w:rsidRPr="005467A2" w:rsidRDefault="00634D8C" w:rsidP="005467A2">
            <w:pPr>
              <w:rPr>
                <w:rFonts w:eastAsia="Times New Roman"/>
                <w:color w:val="000000"/>
              </w:rPr>
            </w:pPr>
            <w:r w:rsidRPr="005467A2">
              <w:rPr>
                <w:rFonts w:eastAsia="Times New Roman"/>
                <w:color w:val="000000"/>
              </w:rPr>
              <w:t>Private (residence, hotel)</w:t>
            </w:r>
          </w:p>
        </w:tc>
        <w:tc>
          <w:tcPr>
            <w:tcW w:w="0" w:type="auto"/>
            <w:vAlign w:val="center"/>
          </w:tcPr>
          <w:p w14:paraId="332D8BC3" w14:textId="77777777" w:rsidR="00634D8C" w:rsidRPr="005467A2" w:rsidRDefault="00ED43D0" w:rsidP="005467A2">
            <w:pPr>
              <w:rPr>
                <w:rFonts w:eastAsia="Times New Roman"/>
                <w:color w:val="000000"/>
              </w:rPr>
            </w:pPr>
            <w:r w:rsidRPr="005467A2">
              <w:rPr>
                <w:rFonts w:eastAsia="Times New Roman"/>
                <w:color w:val="000000"/>
              </w:rPr>
              <w:t>87.2%</w:t>
            </w:r>
          </w:p>
        </w:tc>
        <w:tc>
          <w:tcPr>
            <w:tcW w:w="0" w:type="auto"/>
            <w:shd w:val="clear" w:color="auto" w:fill="auto"/>
            <w:noWrap/>
            <w:vAlign w:val="center"/>
            <w:hideMark/>
          </w:tcPr>
          <w:p w14:paraId="75577641" w14:textId="77777777" w:rsidR="00634D8C" w:rsidRPr="005467A2" w:rsidRDefault="006F4503" w:rsidP="005467A2">
            <w:pPr>
              <w:rPr>
                <w:rFonts w:eastAsia="Times New Roman"/>
                <w:color w:val="000000"/>
              </w:rPr>
            </w:pPr>
            <w:r w:rsidRPr="005467A2">
              <w:rPr>
                <w:rFonts w:eastAsia="Times New Roman"/>
                <w:color w:val="000000"/>
              </w:rPr>
              <w:t>99.1</w:t>
            </w:r>
            <w:r w:rsidR="00634D8C" w:rsidRPr="005467A2">
              <w:rPr>
                <w:rFonts w:eastAsia="Times New Roman"/>
                <w:color w:val="000000"/>
              </w:rPr>
              <w:t>%</w:t>
            </w:r>
          </w:p>
        </w:tc>
        <w:tc>
          <w:tcPr>
            <w:tcW w:w="0" w:type="auto"/>
            <w:shd w:val="clear" w:color="auto" w:fill="auto"/>
            <w:noWrap/>
            <w:vAlign w:val="center"/>
            <w:hideMark/>
          </w:tcPr>
          <w:p w14:paraId="37608138" w14:textId="77777777" w:rsidR="00634D8C" w:rsidRPr="005467A2" w:rsidRDefault="00634D8C" w:rsidP="005467A2">
            <w:pPr>
              <w:rPr>
                <w:rFonts w:eastAsia="Times New Roman"/>
                <w:color w:val="000000"/>
              </w:rPr>
            </w:pPr>
            <w:r w:rsidRPr="005467A2">
              <w:rPr>
                <w:rFonts w:eastAsia="Times New Roman"/>
                <w:color w:val="000000"/>
              </w:rPr>
              <w:t>&lt;0.001</w:t>
            </w:r>
          </w:p>
        </w:tc>
        <w:tc>
          <w:tcPr>
            <w:tcW w:w="0" w:type="auto"/>
            <w:shd w:val="clear" w:color="auto" w:fill="auto"/>
            <w:noWrap/>
            <w:vAlign w:val="center"/>
            <w:hideMark/>
          </w:tcPr>
          <w:p w14:paraId="0C4A0083" w14:textId="77777777" w:rsidR="00634D8C" w:rsidRPr="005467A2" w:rsidRDefault="00113F90" w:rsidP="005467A2">
            <w:pPr>
              <w:rPr>
                <w:rFonts w:eastAsia="Times New Roman"/>
                <w:color w:val="000000"/>
              </w:rPr>
            </w:pPr>
            <w:r w:rsidRPr="005467A2">
              <w:rPr>
                <w:rFonts w:eastAsia="Times New Roman"/>
                <w:color w:val="000000"/>
              </w:rPr>
              <w:t>80.7</w:t>
            </w:r>
            <w:r w:rsidR="00634D8C" w:rsidRPr="005467A2">
              <w:rPr>
                <w:rFonts w:eastAsia="Times New Roman"/>
                <w:color w:val="000000"/>
              </w:rPr>
              <w:t>%</w:t>
            </w:r>
          </w:p>
        </w:tc>
        <w:tc>
          <w:tcPr>
            <w:tcW w:w="0" w:type="auto"/>
            <w:shd w:val="clear" w:color="auto" w:fill="auto"/>
            <w:noWrap/>
            <w:vAlign w:val="center"/>
            <w:hideMark/>
          </w:tcPr>
          <w:p w14:paraId="0E0259CA" w14:textId="77777777" w:rsidR="00634D8C" w:rsidRPr="005467A2" w:rsidRDefault="00634D8C" w:rsidP="005467A2">
            <w:pPr>
              <w:rPr>
                <w:rFonts w:eastAsia="Times New Roman"/>
                <w:color w:val="000000"/>
              </w:rPr>
            </w:pPr>
            <w:r w:rsidRPr="005467A2">
              <w:rPr>
                <w:rFonts w:eastAsia="Times New Roman"/>
                <w:color w:val="000000"/>
              </w:rPr>
              <w:t>&lt;0.001</w:t>
            </w:r>
          </w:p>
        </w:tc>
        <w:tc>
          <w:tcPr>
            <w:tcW w:w="0" w:type="auto"/>
            <w:shd w:val="clear" w:color="auto" w:fill="auto"/>
            <w:noWrap/>
            <w:vAlign w:val="center"/>
            <w:hideMark/>
          </w:tcPr>
          <w:p w14:paraId="0B3B56B4" w14:textId="77777777" w:rsidR="00634D8C" w:rsidRPr="005467A2" w:rsidRDefault="00113F90" w:rsidP="005467A2">
            <w:pPr>
              <w:rPr>
                <w:rFonts w:eastAsia="Times New Roman"/>
                <w:color w:val="000000"/>
              </w:rPr>
            </w:pPr>
            <w:r w:rsidRPr="005467A2">
              <w:rPr>
                <w:rFonts w:eastAsia="Times New Roman"/>
                <w:color w:val="000000"/>
              </w:rPr>
              <w:t>89.8</w:t>
            </w:r>
            <w:r w:rsidR="00634D8C" w:rsidRPr="005467A2">
              <w:rPr>
                <w:rFonts w:eastAsia="Times New Roman"/>
                <w:color w:val="000000"/>
              </w:rPr>
              <w:t>%</w:t>
            </w:r>
          </w:p>
        </w:tc>
        <w:tc>
          <w:tcPr>
            <w:tcW w:w="0" w:type="auto"/>
            <w:shd w:val="clear" w:color="auto" w:fill="auto"/>
            <w:noWrap/>
            <w:vAlign w:val="center"/>
            <w:hideMark/>
          </w:tcPr>
          <w:p w14:paraId="7E79F354" w14:textId="77777777" w:rsidR="00634D8C" w:rsidRPr="005467A2" w:rsidRDefault="00634D8C" w:rsidP="005467A2">
            <w:pPr>
              <w:rPr>
                <w:rFonts w:eastAsia="Times New Roman"/>
                <w:color w:val="000000"/>
              </w:rPr>
            </w:pPr>
            <w:r w:rsidRPr="005467A2">
              <w:rPr>
                <w:rFonts w:eastAsia="Times New Roman"/>
                <w:color w:val="000000"/>
              </w:rPr>
              <w:t>&lt;0.001</w:t>
            </w:r>
          </w:p>
        </w:tc>
      </w:tr>
      <w:tr w:rsidR="00634D8C" w:rsidRPr="005467A2" w14:paraId="4AD2CC4A" w14:textId="77777777" w:rsidTr="005467A2">
        <w:trPr>
          <w:trHeight w:val="255"/>
        </w:trPr>
        <w:tc>
          <w:tcPr>
            <w:tcW w:w="0" w:type="auto"/>
            <w:shd w:val="clear" w:color="auto" w:fill="auto"/>
            <w:noWrap/>
            <w:vAlign w:val="center"/>
            <w:hideMark/>
          </w:tcPr>
          <w:p w14:paraId="64AA98E5" w14:textId="77777777" w:rsidR="00634D8C" w:rsidRPr="005467A2" w:rsidRDefault="00634D8C" w:rsidP="005467A2">
            <w:pPr>
              <w:rPr>
                <w:rFonts w:eastAsia="Times New Roman"/>
                <w:color w:val="000000"/>
              </w:rPr>
            </w:pPr>
            <w:r w:rsidRPr="005467A2">
              <w:rPr>
                <w:rFonts w:eastAsia="Times New Roman"/>
                <w:color w:val="000000"/>
              </w:rPr>
              <w:t>Sex-on-premises venue</w:t>
            </w:r>
          </w:p>
        </w:tc>
        <w:tc>
          <w:tcPr>
            <w:tcW w:w="0" w:type="auto"/>
            <w:vAlign w:val="center"/>
          </w:tcPr>
          <w:p w14:paraId="7FB888B7" w14:textId="77777777" w:rsidR="00634D8C" w:rsidRPr="005467A2" w:rsidRDefault="00ED43D0" w:rsidP="005467A2">
            <w:pPr>
              <w:rPr>
                <w:rFonts w:eastAsia="Times New Roman"/>
                <w:color w:val="000000"/>
              </w:rPr>
            </w:pPr>
            <w:r w:rsidRPr="005467A2">
              <w:rPr>
                <w:rFonts w:eastAsia="Times New Roman"/>
                <w:color w:val="000000"/>
              </w:rPr>
              <w:t>7.3%</w:t>
            </w:r>
          </w:p>
        </w:tc>
        <w:tc>
          <w:tcPr>
            <w:tcW w:w="0" w:type="auto"/>
            <w:shd w:val="clear" w:color="auto" w:fill="auto"/>
            <w:noWrap/>
            <w:vAlign w:val="center"/>
            <w:hideMark/>
          </w:tcPr>
          <w:p w14:paraId="6561DA86" w14:textId="77777777" w:rsidR="00634D8C" w:rsidRPr="005467A2" w:rsidRDefault="00634D8C" w:rsidP="005467A2">
            <w:pPr>
              <w:rPr>
                <w:rFonts w:eastAsia="Times New Roman"/>
                <w:color w:val="000000"/>
              </w:rPr>
            </w:pPr>
            <w:r w:rsidRPr="005467A2">
              <w:rPr>
                <w:rFonts w:eastAsia="Times New Roman"/>
                <w:color w:val="000000"/>
              </w:rPr>
              <w:t>0.0%</w:t>
            </w:r>
          </w:p>
        </w:tc>
        <w:tc>
          <w:tcPr>
            <w:tcW w:w="0" w:type="auto"/>
            <w:shd w:val="clear" w:color="auto" w:fill="auto"/>
            <w:noWrap/>
            <w:vAlign w:val="center"/>
            <w:hideMark/>
          </w:tcPr>
          <w:p w14:paraId="7609453B" w14:textId="77777777" w:rsidR="00634D8C" w:rsidRPr="005467A2" w:rsidRDefault="00634D8C" w:rsidP="005467A2">
            <w:pPr>
              <w:rPr>
                <w:rFonts w:eastAsia="Times New Roman"/>
                <w:color w:val="000000"/>
              </w:rPr>
            </w:pPr>
            <w:r w:rsidRPr="005467A2">
              <w:rPr>
                <w:rFonts w:eastAsia="Times New Roman"/>
                <w:color w:val="000000"/>
              </w:rPr>
              <w:t>&lt;0.001</w:t>
            </w:r>
          </w:p>
        </w:tc>
        <w:tc>
          <w:tcPr>
            <w:tcW w:w="0" w:type="auto"/>
            <w:shd w:val="clear" w:color="auto" w:fill="auto"/>
            <w:noWrap/>
            <w:vAlign w:val="center"/>
            <w:hideMark/>
          </w:tcPr>
          <w:p w14:paraId="5CB1E09E" w14:textId="77777777" w:rsidR="00634D8C" w:rsidRPr="005467A2" w:rsidRDefault="00113F90" w:rsidP="005467A2">
            <w:pPr>
              <w:rPr>
                <w:rFonts w:eastAsia="Times New Roman"/>
                <w:color w:val="000000"/>
              </w:rPr>
            </w:pPr>
            <w:r w:rsidRPr="005467A2">
              <w:rPr>
                <w:rFonts w:eastAsia="Times New Roman"/>
                <w:color w:val="000000"/>
              </w:rPr>
              <w:t>11.0</w:t>
            </w:r>
            <w:r w:rsidR="00634D8C" w:rsidRPr="005467A2">
              <w:rPr>
                <w:rFonts w:eastAsia="Times New Roman"/>
                <w:color w:val="000000"/>
              </w:rPr>
              <w:t>%</w:t>
            </w:r>
          </w:p>
        </w:tc>
        <w:tc>
          <w:tcPr>
            <w:tcW w:w="0" w:type="auto"/>
            <w:shd w:val="clear" w:color="auto" w:fill="auto"/>
            <w:noWrap/>
            <w:vAlign w:val="center"/>
            <w:hideMark/>
          </w:tcPr>
          <w:p w14:paraId="2F02F4BA" w14:textId="77777777" w:rsidR="00634D8C" w:rsidRPr="005467A2" w:rsidRDefault="00634D8C" w:rsidP="005467A2">
            <w:pPr>
              <w:rPr>
                <w:rFonts w:eastAsia="Times New Roman"/>
                <w:color w:val="000000"/>
              </w:rPr>
            </w:pPr>
            <w:r w:rsidRPr="005467A2">
              <w:rPr>
                <w:rFonts w:eastAsia="Times New Roman"/>
                <w:color w:val="000000"/>
              </w:rPr>
              <w:t>0.007</w:t>
            </w:r>
          </w:p>
        </w:tc>
        <w:tc>
          <w:tcPr>
            <w:tcW w:w="0" w:type="auto"/>
            <w:shd w:val="clear" w:color="auto" w:fill="auto"/>
            <w:noWrap/>
            <w:vAlign w:val="center"/>
            <w:hideMark/>
          </w:tcPr>
          <w:p w14:paraId="1F73498E" w14:textId="77777777" w:rsidR="00634D8C" w:rsidRPr="005467A2" w:rsidRDefault="00113F90" w:rsidP="005467A2">
            <w:pPr>
              <w:rPr>
                <w:rFonts w:eastAsia="Times New Roman"/>
                <w:color w:val="000000"/>
              </w:rPr>
            </w:pPr>
            <w:r w:rsidRPr="005467A2">
              <w:rPr>
                <w:rFonts w:eastAsia="Times New Roman"/>
                <w:color w:val="000000"/>
              </w:rPr>
              <w:t>8.6</w:t>
            </w:r>
            <w:r w:rsidR="00634D8C" w:rsidRPr="005467A2">
              <w:rPr>
                <w:rFonts w:eastAsia="Times New Roman"/>
                <w:color w:val="000000"/>
              </w:rPr>
              <w:t>%</w:t>
            </w:r>
          </w:p>
        </w:tc>
        <w:tc>
          <w:tcPr>
            <w:tcW w:w="0" w:type="auto"/>
            <w:shd w:val="clear" w:color="auto" w:fill="auto"/>
            <w:noWrap/>
            <w:vAlign w:val="center"/>
            <w:hideMark/>
          </w:tcPr>
          <w:p w14:paraId="24D99917" w14:textId="77777777" w:rsidR="00634D8C" w:rsidRPr="005467A2" w:rsidRDefault="00634D8C" w:rsidP="005467A2">
            <w:pPr>
              <w:rPr>
                <w:rFonts w:eastAsia="Times New Roman"/>
                <w:color w:val="000000"/>
              </w:rPr>
            </w:pPr>
            <w:r w:rsidRPr="005467A2">
              <w:rPr>
                <w:rFonts w:eastAsia="Times New Roman"/>
                <w:color w:val="000000"/>
              </w:rPr>
              <w:t>&lt;0.001</w:t>
            </w:r>
          </w:p>
        </w:tc>
      </w:tr>
      <w:tr w:rsidR="00634D8C" w:rsidRPr="005467A2" w14:paraId="0CE62174" w14:textId="77777777" w:rsidTr="005467A2">
        <w:trPr>
          <w:trHeight w:val="255"/>
        </w:trPr>
        <w:tc>
          <w:tcPr>
            <w:tcW w:w="0" w:type="auto"/>
            <w:shd w:val="clear" w:color="auto" w:fill="auto"/>
            <w:noWrap/>
            <w:vAlign w:val="center"/>
            <w:hideMark/>
          </w:tcPr>
          <w:p w14:paraId="13F410EC" w14:textId="77777777" w:rsidR="00634D8C" w:rsidRPr="005467A2" w:rsidRDefault="00634D8C" w:rsidP="005467A2">
            <w:pPr>
              <w:rPr>
                <w:rFonts w:eastAsia="Times New Roman"/>
                <w:color w:val="000000"/>
              </w:rPr>
            </w:pPr>
            <w:r w:rsidRPr="005467A2">
              <w:rPr>
                <w:rFonts w:eastAsia="Times New Roman"/>
                <w:color w:val="000000"/>
              </w:rPr>
              <w:t>Cruising or outdoors location</w:t>
            </w:r>
          </w:p>
        </w:tc>
        <w:tc>
          <w:tcPr>
            <w:tcW w:w="0" w:type="auto"/>
            <w:vAlign w:val="center"/>
          </w:tcPr>
          <w:p w14:paraId="1539DFA4" w14:textId="77777777" w:rsidR="00634D8C" w:rsidRPr="005467A2" w:rsidRDefault="00ED43D0" w:rsidP="005467A2">
            <w:pPr>
              <w:rPr>
                <w:rFonts w:eastAsia="Times New Roman"/>
                <w:color w:val="000000"/>
              </w:rPr>
            </w:pPr>
            <w:r w:rsidRPr="005467A2">
              <w:rPr>
                <w:rFonts w:eastAsia="Times New Roman"/>
                <w:color w:val="000000"/>
              </w:rPr>
              <w:t>5.5%</w:t>
            </w:r>
          </w:p>
        </w:tc>
        <w:tc>
          <w:tcPr>
            <w:tcW w:w="0" w:type="auto"/>
            <w:shd w:val="clear" w:color="auto" w:fill="auto"/>
            <w:noWrap/>
            <w:vAlign w:val="center"/>
            <w:hideMark/>
          </w:tcPr>
          <w:p w14:paraId="68454901" w14:textId="77777777" w:rsidR="00634D8C" w:rsidRPr="005467A2" w:rsidRDefault="006F4503" w:rsidP="005467A2">
            <w:pPr>
              <w:rPr>
                <w:rFonts w:eastAsia="Times New Roman"/>
                <w:color w:val="000000"/>
              </w:rPr>
            </w:pPr>
            <w:r w:rsidRPr="005467A2">
              <w:rPr>
                <w:rFonts w:eastAsia="Times New Roman"/>
                <w:color w:val="000000"/>
              </w:rPr>
              <w:t>0.9</w:t>
            </w:r>
            <w:r w:rsidR="00634D8C" w:rsidRPr="005467A2">
              <w:rPr>
                <w:rFonts w:eastAsia="Times New Roman"/>
                <w:color w:val="000000"/>
              </w:rPr>
              <w:t>%</w:t>
            </w:r>
          </w:p>
        </w:tc>
        <w:tc>
          <w:tcPr>
            <w:tcW w:w="0" w:type="auto"/>
            <w:shd w:val="clear" w:color="000000" w:fill="D9D9D9"/>
            <w:noWrap/>
            <w:vAlign w:val="center"/>
            <w:hideMark/>
          </w:tcPr>
          <w:p w14:paraId="450E8E91"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5A803D65" w14:textId="77777777" w:rsidR="00634D8C" w:rsidRPr="005467A2" w:rsidRDefault="00113F90" w:rsidP="005467A2">
            <w:pPr>
              <w:rPr>
                <w:rFonts w:eastAsia="Times New Roman"/>
                <w:color w:val="000000"/>
              </w:rPr>
            </w:pPr>
            <w:r w:rsidRPr="005467A2">
              <w:rPr>
                <w:rFonts w:eastAsia="Times New Roman"/>
                <w:color w:val="000000"/>
              </w:rPr>
              <w:t>8.4</w:t>
            </w:r>
            <w:r w:rsidR="00634D8C" w:rsidRPr="005467A2">
              <w:rPr>
                <w:rFonts w:eastAsia="Times New Roman"/>
                <w:color w:val="000000"/>
              </w:rPr>
              <w:t>%</w:t>
            </w:r>
          </w:p>
        </w:tc>
        <w:tc>
          <w:tcPr>
            <w:tcW w:w="0" w:type="auto"/>
            <w:shd w:val="clear" w:color="000000" w:fill="D9D9D9"/>
            <w:noWrap/>
            <w:vAlign w:val="center"/>
            <w:hideMark/>
          </w:tcPr>
          <w:p w14:paraId="04C03B0A"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5DA59EF6" w14:textId="77777777" w:rsidR="00634D8C" w:rsidRPr="005467A2" w:rsidRDefault="00113F90" w:rsidP="005467A2">
            <w:pPr>
              <w:rPr>
                <w:rFonts w:eastAsia="Times New Roman"/>
                <w:color w:val="000000"/>
              </w:rPr>
            </w:pPr>
            <w:r w:rsidRPr="005467A2">
              <w:rPr>
                <w:rFonts w:eastAsia="Times New Roman"/>
                <w:color w:val="000000"/>
              </w:rPr>
              <w:t>1.6</w:t>
            </w:r>
            <w:r w:rsidR="00634D8C" w:rsidRPr="005467A2">
              <w:rPr>
                <w:rFonts w:eastAsia="Times New Roman"/>
                <w:color w:val="000000"/>
              </w:rPr>
              <w:t>%</w:t>
            </w:r>
          </w:p>
        </w:tc>
        <w:tc>
          <w:tcPr>
            <w:tcW w:w="0" w:type="auto"/>
            <w:shd w:val="clear" w:color="000000" w:fill="D9D9D9"/>
            <w:noWrap/>
            <w:vAlign w:val="center"/>
            <w:hideMark/>
          </w:tcPr>
          <w:p w14:paraId="35D02347" w14:textId="77777777" w:rsidR="00634D8C" w:rsidRPr="005467A2" w:rsidRDefault="00634D8C" w:rsidP="005467A2">
            <w:pPr>
              <w:rPr>
                <w:rFonts w:eastAsia="Times New Roman"/>
                <w:color w:val="000000"/>
              </w:rPr>
            </w:pPr>
            <w:r w:rsidRPr="005467A2">
              <w:rPr>
                <w:rFonts w:eastAsia="Times New Roman"/>
                <w:color w:val="000000"/>
              </w:rPr>
              <w:t> </w:t>
            </w:r>
          </w:p>
        </w:tc>
      </w:tr>
      <w:tr w:rsidR="00634D8C" w:rsidRPr="005467A2" w14:paraId="17847E3B" w14:textId="77777777" w:rsidTr="005467A2">
        <w:trPr>
          <w:trHeight w:val="255"/>
        </w:trPr>
        <w:tc>
          <w:tcPr>
            <w:tcW w:w="0" w:type="auto"/>
            <w:shd w:val="clear" w:color="auto" w:fill="auto"/>
            <w:noWrap/>
            <w:vAlign w:val="center"/>
            <w:hideMark/>
          </w:tcPr>
          <w:p w14:paraId="739E1DA1" w14:textId="2AE693C0" w:rsidR="00634D8C" w:rsidRPr="005467A2" w:rsidRDefault="00634D8C" w:rsidP="005467A2">
            <w:pPr>
              <w:rPr>
                <w:rFonts w:eastAsia="Times New Roman"/>
                <w:b/>
                <w:bCs/>
                <w:color w:val="000000"/>
              </w:rPr>
            </w:pPr>
            <w:r w:rsidRPr="005467A2">
              <w:rPr>
                <w:rFonts w:eastAsia="Times New Roman"/>
                <w:b/>
                <w:bCs/>
                <w:color w:val="000000"/>
              </w:rPr>
              <w:t xml:space="preserve">Mean level of </w:t>
            </w:r>
            <w:r w:rsidR="001F1815">
              <w:rPr>
                <w:rFonts w:eastAsia="Times New Roman"/>
                <w:b/>
                <w:bCs/>
                <w:color w:val="000000"/>
              </w:rPr>
              <w:t>CAI</w:t>
            </w:r>
          </w:p>
        </w:tc>
        <w:tc>
          <w:tcPr>
            <w:tcW w:w="0" w:type="auto"/>
            <w:vAlign w:val="center"/>
          </w:tcPr>
          <w:p w14:paraId="13E39610" w14:textId="77777777" w:rsidR="00634D8C" w:rsidRPr="005467A2" w:rsidRDefault="005467A2" w:rsidP="005467A2">
            <w:pPr>
              <w:rPr>
                <w:rFonts w:eastAsia="Times New Roman"/>
                <w:color w:val="000000"/>
              </w:rPr>
            </w:pPr>
            <w:r w:rsidRPr="005467A2">
              <w:rPr>
                <w:rFonts w:eastAsia="Times New Roman"/>
                <w:color w:val="000000"/>
              </w:rPr>
              <w:t>30.9%</w:t>
            </w:r>
          </w:p>
        </w:tc>
        <w:tc>
          <w:tcPr>
            <w:tcW w:w="0" w:type="auto"/>
            <w:shd w:val="clear" w:color="auto" w:fill="auto"/>
            <w:noWrap/>
            <w:vAlign w:val="center"/>
            <w:hideMark/>
          </w:tcPr>
          <w:p w14:paraId="1D009EEF" w14:textId="77777777" w:rsidR="00634D8C" w:rsidRPr="005467A2" w:rsidRDefault="00634D8C" w:rsidP="005467A2">
            <w:pPr>
              <w:rPr>
                <w:rFonts w:eastAsia="Times New Roman"/>
                <w:color w:val="000000"/>
              </w:rPr>
            </w:pPr>
            <w:r w:rsidRPr="005467A2">
              <w:rPr>
                <w:rFonts w:eastAsia="Times New Roman"/>
                <w:color w:val="000000"/>
              </w:rPr>
              <w:t>41.5% (1.1)</w:t>
            </w:r>
          </w:p>
        </w:tc>
        <w:tc>
          <w:tcPr>
            <w:tcW w:w="0" w:type="auto"/>
            <w:shd w:val="clear" w:color="000000" w:fill="D9D9D9"/>
            <w:noWrap/>
            <w:vAlign w:val="center"/>
            <w:hideMark/>
          </w:tcPr>
          <w:p w14:paraId="3BDDF65D"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4D4128D3" w14:textId="77777777" w:rsidR="00634D8C" w:rsidRPr="005467A2" w:rsidRDefault="00634D8C" w:rsidP="005467A2">
            <w:pPr>
              <w:rPr>
                <w:rFonts w:eastAsia="Times New Roman"/>
                <w:color w:val="000000"/>
              </w:rPr>
            </w:pPr>
            <w:r w:rsidRPr="005467A2">
              <w:rPr>
                <w:rFonts w:eastAsia="Times New Roman"/>
                <w:color w:val="000000"/>
              </w:rPr>
              <w:t>23.0% (0.7)</w:t>
            </w:r>
          </w:p>
        </w:tc>
        <w:tc>
          <w:tcPr>
            <w:tcW w:w="0" w:type="auto"/>
            <w:shd w:val="clear" w:color="000000" w:fill="D9D9D9"/>
            <w:noWrap/>
            <w:vAlign w:val="center"/>
            <w:hideMark/>
          </w:tcPr>
          <w:p w14:paraId="57C7F4BA"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2D0467C0" w14:textId="77777777" w:rsidR="00634D8C" w:rsidRPr="005467A2" w:rsidRDefault="00634D8C" w:rsidP="005467A2">
            <w:pPr>
              <w:rPr>
                <w:rFonts w:eastAsia="Times New Roman"/>
                <w:color w:val="000000"/>
              </w:rPr>
            </w:pPr>
            <w:r w:rsidRPr="005467A2">
              <w:rPr>
                <w:rFonts w:eastAsia="Times New Roman"/>
                <w:color w:val="000000"/>
              </w:rPr>
              <w:t>52.9% (2.4)</w:t>
            </w:r>
          </w:p>
        </w:tc>
        <w:tc>
          <w:tcPr>
            <w:tcW w:w="0" w:type="auto"/>
            <w:shd w:val="clear" w:color="000000" w:fill="D9D9D9"/>
            <w:noWrap/>
            <w:vAlign w:val="center"/>
            <w:hideMark/>
          </w:tcPr>
          <w:p w14:paraId="1D0D04F9" w14:textId="77777777" w:rsidR="00634D8C" w:rsidRPr="005467A2" w:rsidRDefault="00634D8C" w:rsidP="005467A2">
            <w:pPr>
              <w:rPr>
                <w:rFonts w:eastAsia="Times New Roman"/>
                <w:color w:val="000000"/>
              </w:rPr>
            </w:pPr>
            <w:r w:rsidRPr="005467A2">
              <w:rPr>
                <w:rFonts w:eastAsia="Times New Roman"/>
                <w:color w:val="000000"/>
              </w:rPr>
              <w:t> </w:t>
            </w:r>
          </w:p>
        </w:tc>
      </w:tr>
      <w:tr w:rsidR="00634D8C" w:rsidRPr="005467A2" w14:paraId="6D47BBAD" w14:textId="77777777" w:rsidTr="005467A2">
        <w:trPr>
          <w:trHeight w:val="255"/>
        </w:trPr>
        <w:tc>
          <w:tcPr>
            <w:tcW w:w="0" w:type="auto"/>
            <w:shd w:val="clear" w:color="auto" w:fill="auto"/>
            <w:noWrap/>
            <w:vAlign w:val="center"/>
            <w:hideMark/>
          </w:tcPr>
          <w:p w14:paraId="50EB52A2" w14:textId="77777777" w:rsidR="00634D8C" w:rsidRPr="005467A2" w:rsidRDefault="00634D8C" w:rsidP="005467A2">
            <w:pPr>
              <w:rPr>
                <w:rFonts w:eastAsia="Times New Roman"/>
                <w:b/>
                <w:bCs/>
                <w:color w:val="000000"/>
              </w:rPr>
            </w:pPr>
            <w:r w:rsidRPr="005467A2">
              <w:rPr>
                <w:rFonts w:eastAsia="Times New Roman"/>
                <w:b/>
                <w:bCs/>
                <w:color w:val="000000"/>
              </w:rPr>
              <w:t>Mean level of pleasure</w:t>
            </w:r>
          </w:p>
        </w:tc>
        <w:tc>
          <w:tcPr>
            <w:tcW w:w="0" w:type="auto"/>
            <w:vAlign w:val="center"/>
          </w:tcPr>
          <w:p w14:paraId="6ECDE957" w14:textId="77777777" w:rsidR="00634D8C" w:rsidRPr="005467A2" w:rsidRDefault="005467A2" w:rsidP="005467A2">
            <w:pPr>
              <w:rPr>
                <w:rFonts w:eastAsia="Times New Roman"/>
                <w:color w:val="000000"/>
              </w:rPr>
            </w:pPr>
            <w:r w:rsidRPr="005467A2">
              <w:rPr>
                <w:rFonts w:eastAsia="Times New Roman"/>
                <w:color w:val="000000"/>
              </w:rPr>
              <w:t>6.5 (0.02)</w:t>
            </w:r>
          </w:p>
        </w:tc>
        <w:tc>
          <w:tcPr>
            <w:tcW w:w="0" w:type="auto"/>
            <w:shd w:val="clear" w:color="auto" w:fill="auto"/>
            <w:noWrap/>
            <w:vAlign w:val="center"/>
            <w:hideMark/>
          </w:tcPr>
          <w:p w14:paraId="6C7D9C4C" w14:textId="77777777" w:rsidR="00634D8C" w:rsidRPr="005467A2" w:rsidRDefault="002430FF" w:rsidP="005467A2">
            <w:pPr>
              <w:rPr>
                <w:rFonts w:eastAsia="Times New Roman"/>
                <w:color w:val="000000"/>
              </w:rPr>
            </w:pPr>
            <w:r w:rsidRPr="005467A2">
              <w:rPr>
                <w:rFonts w:eastAsia="Times New Roman"/>
                <w:color w:val="000000"/>
              </w:rPr>
              <w:t>6.9</w:t>
            </w:r>
            <w:r w:rsidR="00634D8C" w:rsidRPr="005467A2">
              <w:rPr>
                <w:rFonts w:eastAsia="Times New Roman"/>
                <w:color w:val="000000"/>
              </w:rPr>
              <w:t xml:space="preserve"> (0.04)</w:t>
            </w:r>
          </w:p>
        </w:tc>
        <w:tc>
          <w:tcPr>
            <w:tcW w:w="0" w:type="auto"/>
            <w:shd w:val="clear" w:color="000000" w:fill="D9D9D9"/>
            <w:noWrap/>
            <w:vAlign w:val="center"/>
            <w:hideMark/>
          </w:tcPr>
          <w:p w14:paraId="29E20CD1"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6012757B" w14:textId="77777777" w:rsidR="00634D8C" w:rsidRPr="005467A2" w:rsidRDefault="002430FF" w:rsidP="005467A2">
            <w:pPr>
              <w:rPr>
                <w:rFonts w:eastAsia="Times New Roman"/>
                <w:color w:val="000000"/>
              </w:rPr>
            </w:pPr>
            <w:r w:rsidRPr="005467A2">
              <w:rPr>
                <w:rFonts w:eastAsia="Times New Roman"/>
                <w:color w:val="000000"/>
              </w:rPr>
              <w:t>6.2</w:t>
            </w:r>
            <w:r w:rsidR="00634D8C" w:rsidRPr="005467A2">
              <w:rPr>
                <w:rFonts w:eastAsia="Times New Roman"/>
                <w:color w:val="000000"/>
              </w:rPr>
              <w:t xml:space="preserve"> (0.03)</w:t>
            </w:r>
          </w:p>
        </w:tc>
        <w:tc>
          <w:tcPr>
            <w:tcW w:w="0" w:type="auto"/>
            <w:shd w:val="clear" w:color="000000" w:fill="D9D9D9"/>
            <w:noWrap/>
            <w:vAlign w:val="center"/>
            <w:hideMark/>
          </w:tcPr>
          <w:p w14:paraId="3F31DB6E" w14:textId="77777777" w:rsidR="00634D8C" w:rsidRPr="005467A2" w:rsidRDefault="00634D8C" w:rsidP="005467A2">
            <w:pPr>
              <w:rPr>
                <w:rFonts w:eastAsia="Times New Roman"/>
                <w:color w:val="000000"/>
              </w:rPr>
            </w:pPr>
            <w:r w:rsidRPr="005467A2">
              <w:rPr>
                <w:rFonts w:eastAsia="Times New Roman"/>
                <w:color w:val="000000"/>
              </w:rPr>
              <w:t> </w:t>
            </w:r>
          </w:p>
        </w:tc>
        <w:tc>
          <w:tcPr>
            <w:tcW w:w="0" w:type="auto"/>
            <w:shd w:val="clear" w:color="auto" w:fill="auto"/>
            <w:noWrap/>
            <w:vAlign w:val="center"/>
            <w:hideMark/>
          </w:tcPr>
          <w:p w14:paraId="76BBEC71" w14:textId="77777777" w:rsidR="00634D8C" w:rsidRPr="005467A2" w:rsidRDefault="002430FF" w:rsidP="005467A2">
            <w:pPr>
              <w:rPr>
                <w:rFonts w:eastAsia="Times New Roman"/>
                <w:color w:val="000000"/>
              </w:rPr>
            </w:pPr>
            <w:r w:rsidRPr="005467A2">
              <w:rPr>
                <w:rFonts w:eastAsia="Times New Roman"/>
                <w:color w:val="000000"/>
              </w:rPr>
              <w:t>6.8</w:t>
            </w:r>
            <w:r w:rsidR="00634D8C" w:rsidRPr="005467A2">
              <w:rPr>
                <w:rFonts w:eastAsia="Times New Roman"/>
                <w:color w:val="000000"/>
              </w:rPr>
              <w:t xml:space="preserve"> (0.09)</w:t>
            </w:r>
          </w:p>
        </w:tc>
        <w:tc>
          <w:tcPr>
            <w:tcW w:w="0" w:type="auto"/>
            <w:shd w:val="clear" w:color="000000" w:fill="D9D9D9"/>
            <w:noWrap/>
            <w:vAlign w:val="center"/>
            <w:hideMark/>
          </w:tcPr>
          <w:p w14:paraId="226A90F5" w14:textId="77777777" w:rsidR="00634D8C" w:rsidRPr="005467A2" w:rsidRDefault="00634D8C" w:rsidP="005467A2">
            <w:pPr>
              <w:rPr>
                <w:rFonts w:eastAsia="Times New Roman"/>
                <w:color w:val="000000"/>
              </w:rPr>
            </w:pPr>
            <w:r w:rsidRPr="005467A2">
              <w:rPr>
                <w:rFonts w:eastAsia="Times New Roman"/>
                <w:color w:val="000000"/>
              </w:rPr>
              <w:t> </w:t>
            </w:r>
          </w:p>
        </w:tc>
      </w:tr>
    </w:tbl>
    <w:p w14:paraId="5A1890E7" w14:textId="77777777" w:rsidR="00316B1F" w:rsidRPr="009A4209" w:rsidRDefault="00316B1F" w:rsidP="00316B1F"/>
    <w:p w14:paraId="7B7BCBF3" w14:textId="77777777" w:rsidR="00316B1F" w:rsidRPr="009A4209" w:rsidRDefault="00316B1F" w:rsidP="00316B1F">
      <w:pPr>
        <w:sectPr w:rsidR="00316B1F" w:rsidRPr="009A4209" w:rsidSect="00215516">
          <w:pgSz w:w="16840" w:h="11900" w:orient="landscape"/>
          <w:pgMar w:top="1701" w:right="1701" w:bottom="1701" w:left="1701" w:header="709" w:footer="709" w:gutter="0"/>
          <w:cols w:space="708"/>
          <w:docGrid w:linePitch="360"/>
        </w:sectPr>
      </w:pPr>
    </w:p>
    <w:p w14:paraId="574C27E8" w14:textId="6ABEEF22" w:rsidR="00316B1F" w:rsidRPr="00316B1F" w:rsidRDefault="005365A6" w:rsidP="00316B1F">
      <w:r w:rsidRPr="005365A6">
        <w:rPr>
          <w:b/>
        </w:rPr>
        <w:lastRenderedPageBreak/>
        <w:t>Table 4.</w:t>
      </w:r>
      <w:r>
        <w:t xml:space="preserve">  </w:t>
      </w:r>
      <w:r w:rsidR="00316B1F" w:rsidRPr="009A4209">
        <w:t>Chi-square tests for equality of means on outcomes between classes</w:t>
      </w:r>
      <w:r>
        <w:t>.</w:t>
      </w:r>
    </w:p>
    <w:p w14:paraId="1FA3C839" w14:textId="77777777" w:rsidR="00316B1F" w:rsidRPr="009A4209" w:rsidRDefault="00316B1F" w:rsidP="00316B1F"/>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307"/>
      </w:tblGrid>
      <w:tr w:rsidR="00451598" w:rsidRPr="00134ECF" w14:paraId="7A799EC5" w14:textId="77777777" w:rsidTr="00451598">
        <w:trPr>
          <w:trHeight w:val="300"/>
        </w:trPr>
        <w:tc>
          <w:tcPr>
            <w:tcW w:w="2103" w:type="dxa"/>
            <w:shd w:val="clear" w:color="auto" w:fill="auto"/>
            <w:noWrap/>
            <w:vAlign w:val="center"/>
            <w:hideMark/>
          </w:tcPr>
          <w:p w14:paraId="6944FD7C" w14:textId="77777777" w:rsidR="00451598" w:rsidRPr="00134ECF" w:rsidRDefault="00451598" w:rsidP="0053553F">
            <w:pPr>
              <w:rPr>
                <w:rFonts w:eastAsia="Times New Roman"/>
                <w:b/>
                <w:bCs/>
                <w:color w:val="000000"/>
              </w:rPr>
            </w:pPr>
            <w:r w:rsidRPr="00134ECF">
              <w:rPr>
                <w:rFonts w:eastAsia="Times New Roman"/>
                <w:b/>
                <w:bCs/>
                <w:color w:val="000000"/>
              </w:rPr>
              <w:t>Comparison</w:t>
            </w:r>
          </w:p>
        </w:tc>
        <w:tc>
          <w:tcPr>
            <w:tcW w:w="2307" w:type="dxa"/>
            <w:shd w:val="clear" w:color="auto" w:fill="auto"/>
            <w:noWrap/>
            <w:vAlign w:val="center"/>
            <w:hideMark/>
          </w:tcPr>
          <w:p w14:paraId="16BD6287" w14:textId="77777777" w:rsidR="00451598" w:rsidRPr="00134ECF" w:rsidRDefault="00451598" w:rsidP="00134ECF">
            <w:pPr>
              <w:rPr>
                <w:rFonts w:eastAsia="Times New Roman"/>
                <w:b/>
                <w:bCs/>
                <w:color w:val="000000"/>
              </w:rPr>
            </w:pPr>
            <w:r w:rsidRPr="00134ECF">
              <w:rPr>
                <w:rFonts w:eastAsia="Times New Roman"/>
                <w:b/>
                <w:bCs/>
                <w:color w:val="000000"/>
              </w:rPr>
              <w:t>Wald test</w:t>
            </w:r>
            <w:r>
              <w:rPr>
                <w:rFonts w:eastAsia="Times New Roman"/>
                <w:b/>
                <w:bCs/>
                <w:color w:val="000000"/>
              </w:rPr>
              <w:t>(</w:t>
            </w:r>
            <w:r w:rsidRPr="00134ECF">
              <w:rPr>
                <w:rFonts w:eastAsia="Times New Roman"/>
                <w:b/>
                <w:bCs/>
                <w:color w:val="000000"/>
              </w:rPr>
              <w:t>χ</w:t>
            </w:r>
            <w:r w:rsidRPr="00134ECF">
              <w:rPr>
                <w:rFonts w:eastAsia="Times New Roman"/>
                <w:b/>
                <w:bCs/>
                <w:color w:val="000000"/>
                <w:vertAlign w:val="superscript"/>
              </w:rPr>
              <w:t>2</w:t>
            </w:r>
            <w:r>
              <w:rPr>
                <w:rFonts w:eastAsia="Times New Roman"/>
                <w:b/>
                <w:bCs/>
                <w:color w:val="000000"/>
              </w:rPr>
              <w:t xml:space="preserve">, df, </w:t>
            </w:r>
            <w:r w:rsidRPr="00134ECF">
              <w:rPr>
                <w:rFonts w:eastAsia="Times New Roman"/>
                <w:b/>
                <w:bCs/>
                <w:i/>
                <w:color w:val="000000"/>
              </w:rPr>
              <w:t>p</w:t>
            </w:r>
            <w:r>
              <w:rPr>
                <w:rFonts w:eastAsia="Times New Roman"/>
                <w:b/>
                <w:bCs/>
                <w:color w:val="000000"/>
              </w:rPr>
              <w:t>)</w:t>
            </w:r>
          </w:p>
        </w:tc>
      </w:tr>
      <w:tr w:rsidR="00451598" w:rsidRPr="00134ECF" w14:paraId="1CF6C7E7" w14:textId="77777777" w:rsidTr="00451598">
        <w:trPr>
          <w:trHeight w:val="300"/>
        </w:trPr>
        <w:tc>
          <w:tcPr>
            <w:tcW w:w="4410" w:type="dxa"/>
            <w:gridSpan w:val="2"/>
            <w:shd w:val="clear" w:color="auto" w:fill="auto"/>
            <w:vAlign w:val="center"/>
          </w:tcPr>
          <w:p w14:paraId="26CCE195" w14:textId="39E8E902" w:rsidR="00451598" w:rsidRPr="00451598" w:rsidRDefault="001F1815" w:rsidP="0053553F">
            <w:pPr>
              <w:rPr>
                <w:rFonts w:eastAsia="Times New Roman"/>
                <w:b/>
                <w:color w:val="000000"/>
              </w:rPr>
            </w:pPr>
            <w:r>
              <w:rPr>
                <w:rFonts w:eastAsia="Times New Roman"/>
                <w:b/>
                <w:color w:val="000000"/>
              </w:rPr>
              <w:t>CAI</w:t>
            </w:r>
          </w:p>
        </w:tc>
      </w:tr>
      <w:tr w:rsidR="00451598" w:rsidRPr="00134ECF" w14:paraId="1176F38D" w14:textId="77777777" w:rsidTr="00451598">
        <w:trPr>
          <w:trHeight w:val="300"/>
        </w:trPr>
        <w:tc>
          <w:tcPr>
            <w:tcW w:w="2103" w:type="dxa"/>
            <w:shd w:val="clear" w:color="auto" w:fill="auto"/>
            <w:vAlign w:val="center"/>
            <w:hideMark/>
          </w:tcPr>
          <w:p w14:paraId="425FBA4A" w14:textId="77777777" w:rsidR="00451598" w:rsidRPr="00451598" w:rsidRDefault="00451598" w:rsidP="0053553F">
            <w:pPr>
              <w:rPr>
                <w:rFonts w:eastAsia="Times New Roman"/>
                <w:bCs/>
                <w:color w:val="000000"/>
              </w:rPr>
            </w:pPr>
            <w:r w:rsidRPr="00451598">
              <w:rPr>
                <w:rFonts w:eastAsia="Times New Roman"/>
                <w:bCs/>
                <w:color w:val="000000"/>
              </w:rPr>
              <w:t>Class 1 v. Class 2</w:t>
            </w:r>
          </w:p>
        </w:tc>
        <w:tc>
          <w:tcPr>
            <w:tcW w:w="2307" w:type="dxa"/>
            <w:shd w:val="clear" w:color="auto" w:fill="auto"/>
            <w:vAlign w:val="center"/>
            <w:hideMark/>
          </w:tcPr>
          <w:p w14:paraId="6D7A8CC3" w14:textId="77777777" w:rsidR="00451598" w:rsidRPr="00134ECF" w:rsidRDefault="00451598" w:rsidP="0053553F">
            <w:pPr>
              <w:rPr>
                <w:rFonts w:eastAsia="Times New Roman"/>
                <w:color w:val="000000"/>
              </w:rPr>
            </w:pPr>
            <w:r w:rsidRPr="00134ECF">
              <w:rPr>
                <w:rFonts w:eastAsia="Times New Roman"/>
                <w:color w:val="000000"/>
              </w:rPr>
              <w:t>202.26</w:t>
            </w:r>
            <w:r>
              <w:rPr>
                <w:rFonts w:eastAsia="Times New Roman"/>
                <w:color w:val="000000"/>
              </w:rPr>
              <w:t>, 1, &lt;0.001</w:t>
            </w:r>
          </w:p>
        </w:tc>
      </w:tr>
      <w:tr w:rsidR="00451598" w:rsidRPr="00134ECF" w14:paraId="4FC2322E" w14:textId="77777777" w:rsidTr="00451598">
        <w:trPr>
          <w:trHeight w:val="300"/>
        </w:trPr>
        <w:tc>
          <w:tcPr>
            <w:tcW w:w="2103" w:type="dxa"/>
            <w:shd w:val="clear" w:color="auto" w:fill="auto"/>
            <w:vAlign w:val="center"/>
            <w:hideMark/>
          </w:tcPr>
          <w:p w14:paraId="1B6A327B" w14:textId="77777777" w:rsidR="00451598" w:rsidRPr="00451598" w:rsidRDefault="00451598" w:rsidP="0053553F">
            <w:pPr>
              <w:rPr>
                <w:rFonts w:eastAsia="Times New Roman"/>
                <w:bCs/>
                <w:color w:val="000000"/>
              </w:rPr>
            </w:pPr>
            <w:r w:rsidRPr="00451598">
              <w:rPr>
                <w:rFonts w:eastAsia="Times New Roman"/>
                <w:bCs/>
                <w:color w:val="000000"/>
              </w:rPr>
              <w:t>Class 1 v. Class 3</w:t>
            </w:r>
          </w:p>
        </w:tc>
        <w:tc>
          <w:tcPr>
            <w:tcW w:w="2307" w:type="dxa"/>
            <w:shd w:val="clear" w:color="auto" w:fill="auto"/>
            <w:vAlign w:val="center"/>
            <w:hideMark/>
          </w:tcPr>
          <w:p w14:paraId="541F4C62" w14:textId="77777777" w:rsidR="00451598" w:rsidRPr="00134ECF" w:rsidRDefault="00451598" w:rsidP="0053553F">
            <w:pPr>
              <w:rPr>
                <w:rFonts w:eastAsia="Times New Roman"/>
                <w:color w:val="000000"/>
              </w:rPr>
            </w:pPr>
            <w:r w:rsidRPr="00134ECF">
              <w:rPr>
                <w:rFonts w:eastAsia="Times New Roman"/>
                <w:color w:val="000000"/>
              </w:rPr>
              <w:t>18.21</w:t>
            </w:r>
            <w:r>
              <w:rPr>
                <w:rFonts w:eastAsia="Times New Roman"/>
                <w:color w:val="000000"/>
              </w:rPr>
              <w:t>, 1, &lt;0.001</w:t>
            </w:r>
          </w:p>
        </w:tc>
      </w:tr>
      <w:tr w:rsidR="00451598" w:rsidRPr="00134ECF" w14:paraId="6B088146" w14:textId="77777777" w:rsidTr="00451598">
        <w:trPr>
          <w:trHeight w:val="300"/>
        </w:trPr>
        <w:tc>
          <w:tcPr>
            <w:tcW w:w="2103" w:type="dxa"/>
            <w:shd w:val="clear" w:color="auto" w:fill="auto"/>
            <w:vAlign w:val="center"/>
            <w:hideMark/>
          </w:tcPr>
          <w:p w14:paraId="680BDBBC" w14:textId="77777777" w:rsidR="00451598" w:rsidRPr="00451598" w:rsidRDefault="00451598" w:rsidP="0053553F">
            <w:pPr>
              <w:rPr>
                <w:rFonts w:eastAsia="Times New Roman"/>
                <w:bCs/>
                <w:color w:val="000000"/>
              </w:rPr>
            </w:pPr>
            <w:r w:rsidRPr="00451598">
              <w:rPr>
                <w:rFonts w:eastAsia="Times New Roman"/>
                <w:bCs/>
                <w:color w:val="000000"/>
              </w:rPr>
              <w:t>Class 2 v. Class 3</w:t>
            </w:r>
          </w:p>
        </w:tc>
        <w:tc>
          <w:tcPr>
            <w:tcW w:w="2307" w:type="dxa"/>
            <w:shd w:val="clear" w:color="auto" w:fill="auto"/>
            <w:noWrap/>
            <w:vAlign w:val="center"/>
            <w:hideMark/>
          </w:tcPr>
          <w:p w14:paraId="29F9B103" w14:textId="77777777" w:rsidR="00451598" w:rsidRPr="00134ECF" w:rsidRDefault="00451598" w:rsidP="0053553F">
            <w:pPr>
              <w:rPr>
                <w:rFonts w:eastAsia="Times New Roman"/>
                <w:color w:val="000000"/>
              </w:rPr>
            </w:pPr>
            <w:r w:rsidRPr="00134ECF">
              <w:rPr>
                <w:rFonts w:eastAsia="Times New Roman"/>
                <w:color w:val="000000"/>
              </w:rPr>
              <w:t>138.49</w:t>
            </w:r>
            <w:r>
              <w:rPr>
                <w:rFonts w:eastAsia="Times New Roman"/>
                <w:color w:val="000000"/>
              </w:rPr>
              <w:t>, 1, &lt;0.001</w:t>
            </w:r>
          </w:p>
        </w:tc>
      </w:tr>
      <w:tr w:rsidR="00451598" w:rsidRPr="00134ECF" w14:paraId="6FB3FA68" w14:textId="77777777" w:rsidTr="00451598">
        <w:trPr>
          <w:trHeight w:val="300"/>
        </w:trPr>
        <w:tc>
          <w:tcPr>
            <w:tcW w:w="2103" w:type="dxa"/>
            <w:shd w:val="clear" w:color="auto" w:fill="auto"/>
            <w:noWrap/>
            <w:vAlign w:val="center"/>
            <w:hideMark/>
          </w:tcPr>
          <w:p w14:paraId="40545BAE" w14:textId="77777777" w:rsidR="00451598" w:rsidRPr="00451598" w:rsidRDefault="00451598" w:rsidP="0053553F">
            <w:pPr>
              <w:rPr>
                <w:rFonts w:eastAsia="Times New Roman"/>
                <w:bCs/>
                <w:color w:val="000000"/>
              </w:rPr>
            </w:pPr>
            <w:r w:rsidRPr="00451598">
              <w:rPr>
                <w:rFonts w:eastAsia="Times New Roman"/>
                <w:bCs/>
                <w:color w:val="000000"/>
              </w:rPr>
              <w:t>Overall test</w:t>
            </w:r>
          </w:p>
        </w:tc>
        <w:tc>
          <w:tcPr>
            <w:tcW w:w="2307" w:type="dxa"/>
            <w:shd w:val="clear" w:color="auto" w:fill="auto"/>
            <w:noWrap/>
            <w:vAlign w:val="center"/>
            <w:hideMark/>
          </w:tcPr>
          <w:p w14:paraId="7F4E08C9" w14:textId="77777777" w:rsidR="00451598" w:rsidRPr="00134ECF" w:rsidRDefault="00451598" w:rsidP="0053553F">
            <w:pPr>
              <w:rPr>
                <w:rFonts w:eastAsia="Times New Roman"/>
                <w:color w:val="000000"/>
              </w:rPr>
            </w:pPr>
            <w:r w:rsidRPr="00134ECF">
              <w:rPr>
                <w:rFonts w:eastAsia="Times New Roman"/>
                <w:color w:val="000000"/>
              </w:rPr>
              <w:t>312.58</w:t>
            </w:r>
            <w:r>
              <w:rPr>
                <w:rFonts w:eastAsia="Times New Roman"/>
                <w:color w:val="000000"/>
              </w:rPr>
              <w:t>, 2, &lt;0.001</w:t>
            </w:r>
          </w:p>
        </w:tc>
      </w:tr>
      <w:tr w:rsidR="00451598" w:rsidRPr="00134ECF" w14:paraId="4B019266" w14:textId="77777777" w:rsidTr="00451598">
        <w:trPr>
          <w:trHeight w:val="300"/>
        </w:trPr>
        <w:tc>
          <w:tcPr>
            <w:tcW w:w="4410" w:type="dxa"/>
            <w:gridSpan w:val="2"/>
            <w:shd w:val="clear" w:color="auto" w:fill="auto"/>
            <w:vAlign w:val="center"/>
          </w:tcPr>
          <w:p w14:paraId="669A5D7E" w14:textId="77777777" w:rsidR="00451598" w:rsidRPr="00451598" w:rsidRDefault="00451598" w:rsidP="0053553F">
            <w:pPr>
              <w:rPr>
                <w:rFonts w:eastAsia="Times New Roman"/>
                <w:b/>
                <w:color w:val="000000"/>
              </w:rPr>
            </w:pPr>
            <w:r w:rsidRPr="00451598">
              <w:rPr>
                <w:rFonts w:eastAsia="Times New Roman"/>
                <w:b/>
                <w:color w:val="000000"/>
              </w:rPr>
              <w:t>Pleasure</w:t>
            </w:r>
          </w:p>
        </w:tc>
      </w:tr>
      <w:tr w:rsidR="00451598" w:rsidRPr="00134ECF" w14:paraId="05101FFB" w14:textId="77777777" w:rsidTr="00451598">
        <w:trPr>
          <w:trHeight w:val="300"/>
        </w:trPr>
        <w:tc>
          <w:tcPr>
            <w:tcW w:w="2103" w:type="dxa"/>
            <w:shd w:val="clear" w:color="auto" w:fill="auto"/>
            <w:vAlign w:val="center"/>
            <w:hideMark/>
          </w:tcPr>
          <w:p w14:paraId="165A34EA" w14:textId="77777777" w:rsidR="00451598" w:rsidRPr="00451598" w:rsidRDefault="00451598" w:rsidP="0053553F">
            <w:pPr>
              <w:rPr>
                <w:rFonts w:eastAsia="Times New Roman"/>
                <w:bCs/>
                <w:color w:val="000000"/>
              </w:rPr>
            </w:pPr>
            <w:r w:rsidRPr="00451598">
              <w:rPr>
                <w:rFonts w:eastAsia="Times New Roman"/>
                <w:bCs/>
                <w:color w:val="000000"/>
              </w:rPr>
              <w:t>Class 1 v. Class 2</w:t>
            </w:r>
          </w:p>
        </w:tc>
        <w:tc>
          <w:tcPr>
            <w:tcW w:w="2307" w:type="dxa"/>
            <w:shd w:val="clear" w:color="auto" w:fill="auto"/>
            <w:noWrap/>
            <w:vAlign w:val="center"/>
            <w:hideMark/>
          </w:tcPr>
          <w:p w14:paraId="1DACB107" w14:textId="77777777" w:rsidR="00451598" w:rsidRPr="00134ECF" w:rsidRDefault="00451598" w:rsidP="0053553F">
            <w:pPr>
              <w:rPr>
                <w:rFonts w:eastAsia="Times New Roman"/>
                <w:color w:val="000000"/>
              </w:rPr>
            </w:pPr>
            <w:r w:rsidRPr="00134ECF">
              <w:rPr>
                <w:rFonts w:eastAsia="Times New Roman"/>
                <w:color w:val="000000"/>
              </w:rPr>
              <w:t>157.11</w:t>
            </w:r>
            <w:r>
              <w:rPr>
                <w:rFonts w:eastAsia="Times New Roman"/>
                <w:color w:val="000000"/>
              </w:rPr>
              <w:t>, 1, &lt;0.001</w:t>
            </w:r>
          </w:p>
        </w:tc>
      </w:tr>
      <w:tr w:rsidR="00451598" w:rsidRPr="00134ECF" w14:paraId="3333A800" w14:textId="77777777" w:rsidTr="00451598">
        <w:trPr>
          <w:trHeight w:val="300"/>
        </w:trPr>
        <w:tc>
          <w:tcPr>
            <w:tcW w:w="2103" w:type="dxa"/>
            <w:shd w:val="clear" w:color="auto" w:fill="auto"/>
            <w:vAlign w:val="center"/>
            <w:hideMark/>
          </w:tcPr>
          <w:p w14:paraId="56A789C5" w14:textId="77777777" w:rsidR="00451598" w:rsidRPr="00451598" w:rsidRDefault="00451598" w:rsidP="0053553F">
            <w:pPr>
              <w:rPr>
                <w:rFonts w:eastAsia="Times New Roman"/>
                <w:bCs/>
                <w:color w:val="000000"/>
              </w:rPr>
            </w:pPr>
            <w:r w:rsidRPr="00451598">
              <w:rPr>
                <w:rFonts w:eastAsia="Times New Roman"/>
                <w:bCs/>
                <w:color w:val="000000"/>
              </w:rPr>
              <w:t>Class 1 v. Class 3</w:t>
            </w:r>
          </w:p>
        </w:tc>
        <w:tc>
          <w:tcPr>
            <w:tcW w:w="2307" w:type="dxa"/>
            <w:shd w:val="clear" w:color="auto" w:fill="auto"/>
            <w:noWrap/>
            <w:vAlign w:val="center"/>
            <w:hideMark/>
          </w:tcPr>
          <w:p w14:paraId="745D1D22" w14:textId="77777777" w:rsidR="00451598" w:rsidRPr="00134ECF" w:rsidRDefault="00451598" w:rsidP="0053553F">
            <w:pPr>
              <w:rPr>
                <w:rFonts w:eastAsia="Times New Roman"/>
                <w:color w:val="000000"/>
              </w:rPr>
            </w:pPr>
            <w:r w:rsidRPr="00134ECF">
              <w:rPr>
                <w:rFonts w:eastAsia="Times New Roman"/>
                <w:color w:val="000000"/>
              </w:rPr>
              <w:t>0.50</w:t>
            </w:r>
            <w:r>
              <w:rPr>
                <w:rFonts w:eastAsia="Times New Roman"/>
                <w:color w:val="000000"/>
              </w:rPr>
              <w:t>, 1, 0.48</w:t>
            </w:r>
          </w:p>
        </w:tc>
      </w:tr>
      <w:tr w:rsidR="00451598" w:rsidRPr="00134ECF" w14:paraId="0659AEB5" w14:textId="77777777" w:rsidTr="00451598">
        <w:trPr>
          <w:trHeight w:val="300"/>
        </w:trPr>
        <w:tc>
          <w:tcPr>
            <w:tcW w:w="2103" w:type="dxa"/>
            <w:shd w:val="clear" w:color="auto" w:fill="auto"/>
            <w:vAlign w:val="center"/>
            <w:hideMark/>
          </w:tcPr>
          <w:p w14:paraId="5FC0CB36" w14:textId="77777777" w:rsidR="00451598" w:rsidRPr="00451598" w:rsidRDefault="00451598" w:rsidP="0053553F">
            <w:pPr>
              <w:rPr>
                <w:rFonts w:eastAsia="Times New Roman"/>
                <w:bCs/>
                <w:color w:val="000000"/>
              </w:rPr>
            </w:pPr>
            <w:r w:rsidRPr="00451598">
              <w:rPr>
                <w:rFonts w:eastAsia="Times New Roman"/>
                <w:bCs/>
                <w:color w:val="000000"/>
              </w:rPr>
              <w:t>Class 2 v. Class 3</w:t>
            </w:r>
          </w:p>
        </w:tc>
        <w:tc>
          <w:tcPr>
            <w:tcW w:w="2307" w:type="dxa"/>
            <w:shd w:val="clear" w:color="auto" w:fill="auto"/>
            <w:noWrap/>
            <w:vAlign w:val="center"/>
            <w:hideMark/>
          </w:tcPr>
          <w:p w14:paraId="0240ADD6" w14:textId="77777777" w:rsidR="00451598" w:rsidRPr="00134ECF" w:rsidRDefault="00451598" w:rsidP="0053553F">
            <w:pPr>
              <w:rPr>
                <w:rFonts w:eastAsia="Times New Roman"/>
                <w:color w:val="000000"/>
              </w:rPr>
            </w:pPr>
            <w:r w:rsidRPr="00134ECF">
              <w:rPr>
                <w:rFonts w:eastAsia="Times New Roman"/>
                <w:color w:val="000000"/>
              </w:rPr>
              <w:t>32.73</w:t>
            </w:r>
            <w:r>
              <w:rPr>
                <w:rFonts w:eastAsia="Times New Roman"/>
                <w:color w:val="000000"/>
              </w:rPr>
              <w:t>, 1, &lt;0.001</w:t>
            </w:r>
          </w:p>
        </w:tc>
      </w:tr>
      <w:tr w:rsidR="00451598" w:rsidRPr="00134ECF" w14:paraId="5AB81B96" w14:textId="77777777" w:rsidTr="00451598">
        <w:trPr>
          <w:trHeight w:val="300"/>
        </w:trPr>
        <w:tc>
          <w:tcPr>
            <w:tcW w:w="2103" w:type="dxa"/>
            <w:shd w:val="clear" w:color="auto" w:fill="auto"/>
            <w:noWrap/>
            <w:vAlign w:val="center"/>
            <w:hideMark/>
          </w:tcPr>
          <w:p w14:paraId="398FFF91" w14:textId="77777777" w:rsidR="00451598" w:rsidRPr="00451598" w:rsidRDefault="00451598" w:rsidP="0053553F">
            <w:pPr>
              <w:rPr>
                <w:rFonts w:eastAsia="Times New Roman"/>
                <w:bCs/>
                <w:color w:val="000000"/>
              </w:rPr>
            </w:pPr>
            <w:r w:rsidRPr="00451598">
              <w:rPr>
                <w:rFonts w:eastAsia="Times New Roman"/>
                <w:bCs/>
                <w:color w:val="000000"/>
              </w:rPr>
              <w:t>Overall test</w:t>
            </w:r>
          </w:p>
        </w:tc>
        <w:tc>
          <w:tcPr>
            <w:tcW w:w="2307" w:type="dxa"/>
            <w:shd w:val="clear" w:color="auto" w:fill="auto"/>
            <w:noWrap/>
            <w:vAlign w:val="center"/>
            <w:hideMark/>
          </w:tcPr>
          <w:p w14:paraId="644C35C8" w14:textId="77777777" w:rsidR="00451598" w:rsidRPr="00134ECF" w:rsidRDefault="00451598" w:rsidP="0053553F">
            <w:pPr>
              <w:rPr>
                <w:rFonts w:eastAsia="Times New Roman"/>
                <w:color w:val="000000"/>
              </w:rPr>
            </w:pPr>
            <w:r w:rsidRPr="00134ECF">
              <w:rPr>
                <w:rFonts w:eastAsia="Times New Roman"/>
                <w:color w:val="000000"/>
              </w:rPr>
              <w:t>159.11</w:t>
            </w:r>
            <w:r>
              <w:rPr>
                <w:rFonts w:eastAsia="Times New Roman"/>
                <w:color w:val="000000"/>
              </w:rPr>
              <w:t>, 2, &lt;0.001</w:t>
            </w:r>
          </w:p>
        </w:tc>
      </w:tr>
    </w:tbl>
    <w:p w14:paraId="0597226C" w14:textId="77777777" w:rsidR="00316B1F" w:rsidRPr="00316B1F" w:rsidRDefault="00316B1F" w:rsidP="00316B1F"/>
    <w:p w14:paraId="1210306D" w14:textId="77777777" w:rsidR="005467A2" w:rsidRDefault="005467A2"/>
    <w:sectPr w:rsidR="005467A2" w:rsidSect="00215516">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1C9B9" w14:textId="77777777" w:rsidR="00927E4A" w:rsidRDefault="00927E4A">
      <w:r>
        <w:separator/>
      </w:r>
    </w:p>
  </w:endnote>
  <w:endnote w:type="continuationSeparator" w:id="0">
    <w:p w14:paraId="13FB365E" w14:textId="77777777" w:rsidR="00927E4A" w:rsidRDefault="0092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204830"/>
      <w:docPartObj>
        <w:docPartGallery w:val="Page Numbers (Bottom of Page)"/>
        <w:docPartUnique/>
      </w:docPartObj>
    </w:sdtPr>
    <w:sdtEndPr>
      <w:rPr>
        <w:rFonts w:ascii="Times New Roman" w:hAnsi="Times New Roman" w:cs="Times New Roman"/>
        <w:noProof/>
      </w:rPr>
    </w:sdtEndPr>
    <w:sdtContent>
      <w:p w14:paraId="5491FC78" w14:textId="3CEF9619" w:rsidR="00927E4A" w:rsidRPr="00C34F74" w:rsidRDefault="00927E4A">
        <w:pPr>
          <w:pStyle w:val="Footer"/>
          <w:jc w:val="right"/>
          <w:rPr>
            <w:rFonts w:ascii="Times New Roman" w:hAnsi="Times New Roman" w:cs="Times New Roman"/>
          </w:rPr>
        </w:pPr>
        <w:r w:rsidRPr="00C34F74">
          <w:rPr>
            <w:rFonts w:ascii="Times New Roman" w:hAnsi="Times New Roman" w:cs="Times New Roman"/>
          </w:rPr>
          <w:fldChar w:fldCharType="begin"/>
        </w:r>
        <w:r w:rsidRPr="00C34F74">
          <w:rPr>
            <w:rFonts w:ascii="Times New Roman" w:hAnsi="Times New Roman" w:cs="Times New Roman"/>
          </w:rPr>
          <w:instrText xml:space="preserve"> PAGE   \* MERGEFORMAT </w:instrText>
        </w:r>
        <w:r w:rsidRPr="00C34F74">
          <w:rPr>
            <w:rFonts w:ascii="Times New Roman" w:hAnsi="Times New Roman" w:cs="Times New Roman"/>
          </w:rPr>
          <w:fldChar w:fldCharType="separate"/>
        </w:r>
        <w:r w:rsidR="00061C42">
          <w:rPr>
            <w:rFonts w:ascii="Times New Roman" w:hAnsi="Times New Roman" w:cs="Times New Roman"/>
            <w:noProof/>
          </w:rPr>
          <w:t>1</w:t>
        </w:r>
        <w:r w:rsidRPr="00C34F74">
          <w:rPr>
            <w:rFonts w:ascii="Times New Roman" w:hAnsi="Times New Roman" w:cs="Times New Roman"/>
            <w:noProof/>
          </w:rPr>
          <w:fldChar w:fldCharType="end"/>
        </w:r>
      </w:p>
    </w:sdtContent>
  </w:sdt>
  <w:p w14:paraId="1EC7D046" w14:textId="77777777" w:rsidR="00927E4A" w:rsidRDefault="00927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28CE" w14:textId="77777777" w:rsidR="00927E4A" w:rsidRPr="0014694E" w:rsidRDefault="00927E4A" w:rsidP="0053553F">
    <w:pPr>
      <w:pStyle w:val="Footer"/>
      <w:ind w:right="360" w:firstLine="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204AF" w14:textId="77777777" w:rsidR="00927E4A" w:rsidRDefault="00927E4A">
      <w:r>
        <w:separator/>
      </w:r>
    </w:p>
  </w:footnote>
  <w:footnote w:type="continuationSeparator" w:id="0">
    <w:p w14:paraId="3B8EC23A" w14:textId="77777777" w:rsidR="00927E4A" w:rsidRDefault="0092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56462882"/>
      <w:docPartObj>
        <w:docPartGallery w:val="Page Numbers (Top of Page)"/>
        <w:docPartUnique/>
      </w:docPartObj>
    </w:sdtPr>
    <w:sdtEndPr>
      <w:rPr>
        <w:noProof/>
      </w:rPr>
    </w:sdtEndPr>
    <w:sdtContent>
      <w:p w14:paraId="19FF263E" w14:textId="281271AE" w:rsidR="00927E4A" w:rsidRPr="00B64AC7" w:rsidRDefault="00927E4A" w:rsidP="00B64AC7">
        <w:pPr>
          <w:pStyle w:val="Header"/>
          <w:tabs>
            <w:tab w:val="clear" w:pos="8640"/>
            <w:tab w:val="right" w:pos="8498"/>
          </w:tabs>
          <w:jc w:val="right"/>
          <w:rPr>
            <w:rFonts w:ascii="Times New Roman" w:hAnsi="Times New Roman" w:cs="Times New Roman"/>
          </w:rPr>
        </w:pPr>
        <w:r w:rsidRPr="00B64AC7">
          <w:rPr>
            <w:rFonts w:ascii="Times New Roman" w:hAnsi="Times New Roman" w:cs="Times New Roman"/>
          </w:rPr>
          <w:t xml:space="preserve">Typology of </w:t>
        </w:r>
        <w:r>
          <w:rPr>
            <w:rFonts w:ascii="Times New Roman" w:hAnsi="Times New Roman" w:cs="Times New Roman"/>
          </w:rPr>
          <w:t xml:space="preserve">dyadic </w:t>
        </w:r>
        <w:r w:rsidRPr="00B64AC7">
          <w:rPr>
            <w:rFonts w:ascii="Times New Roman" w:hAnsi="Times New Roman" w:cs="Times New Roman"/>
          </w:rPr>
          <w:t>sexual encounters</w:t>
        </w:r>
        <w:r>
          <w:rPr>
            <w:rFonts w:ascii="Times New Roman" w:hAnsi="Times New Roman" w:cs="Times New Roman"/>
          </w:rPr>
          <w:t xml:space="preserve"> in MSM</w:t>
        </w:r>
        <w:r w:rsidRPr="00B64AC7">
          <w:rPr>
            <w:rFonts w:ascii="Times New Roman" w:hAnsi="Times New Roman" w:cs="Times New Roman"/>
          </w:rPr>
          <w:t xml:space="preserve"> </w:t>
        </w:r>
        <w:r w:rsidRPr="00B64AC7">
          <w:rPr>
            <w:rFonts w:ascii="Times New Roman" w:hAnsi="Times New Roman" w:cs="Times New Roman"/>
          </w:rPr>
          <w:fldChar w:fldCharType="begin"/>
        </w:r>
        <w:r w:rsidRPr="00B64AC7">
          <w:rPr>
            <w:rFonts w:ascii="Times New Roman" w:hAnsi="Times New Roman" w:cs="Times New Roman"/>
          </w:rPr>
          <w:instrText xml:space="preserve"> PAGE   \* MERGEFORMAT </w:instrText>
        </w:r>
        <w:r w:rsidRPr="00B64AC7">
          <w:rPr>
            <w:rFonts w:ascii="Times New Roman" w:hAnsi="Times New Roman" w:cs="Times New Roman"/>
          </w:rPr>
          <w:fldChar w:fldCharType="separate"/>
        </w:r>
        <w:r w:rsidR="00061C42">
          <w:rPr>
            <w:rFonts w:ascii="Times New Roman" w:hAnsi="Times New Roman" w:cs="Times New Roman"/>
            <w:noProof/>
          </w:rPr>
          <w:t>1</w:t>
        </w:r>
        <w:r w:rsidRPr="00B64AC7">
          <w:rPr>
            <w:rFonts w:ascii="Times New Roman" w:hAnsi="Times New Roman" w:cs="Times New Roman"/>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CAD8" w14:textId="77777777" w:rsidR="00927E4A" w:rsidRPr="0014694E" w:rsidRDefault="00927E4A" w:rsidP="0053553F">
    <w:pPr>
      <w:pStyle w:val="Header"/>
      <w:ind w:right="360" w:firstLine="360"/>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C4DA3" w14:textId="77777777" w:rsidR="00927E4A" w:rsidRPr="00BF1F69" w:rsidRDefault="00927E4A" w:rsidP="0053553F">
    <w:pPr>
      <w:pStyle w:val="Header"/>
      <w:ind w:right="360" w:firstLine="36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1F"/>
    <w:rsid w:val="00035453"/>
    <w:rsid w:val="00047414"/>
    <w:rsid w:val="000532C0"/>
    <w:rsid w:val="00057101"/>
    <w:rsid w:val="00061C42"/>
    <w:rsid w:val="00061CBA"/>
    <w:rsid w:val="0006625B"/>
    <w:rsid w:val="00076E6A"/>
    <w:rsid w:val="000A0893"/>
    <w:rsid w:val="000C7251"/>
    <w:rsid w:val="000D2EB4"/>
    <w:rsid w:val="000D73F4"/>
    <w:rsid w:val="00113F90"/>
    <w:rsid w:val="00124470"/>
    <w:rsid w:val="00134ECF"/>
    <w:rsid w:val="001426EA"/>
    <w:rsid w:val="00166C3D"/>
    <w:rsid w:val="0017071D"/>
    <w:rsid w:val="00173225"/>
    <w:rsid w:val="00182B84"/>
    <w:rsid w:val="001E47CA"/>
    <w:rsid w:val="001E6D34"/>
    <w:rsid w:val="001F1815"/>
    <w:rsid w:val="001F356D"/>
    <w:rsid w:val="001F789B"/>
    <w:rsid w:val="00215516"/>
    <w:rsid w:val="002430FF"/>
    <w:rsid w:val="00261152"/>
    <w:rsid w:val="00276510"/>
    <w:rsid w:val="00287891"/>
    <w:rsid w:val="00291385"/>
    <w:rsid w:val="0029392A"/>
    <w:rsid w:val="002E53BC"/>
    <w:rsid w:val="00310DE4"/>
    <w:rsid w:val="00311BB9"/>
    <w:rsid w:val="00316B1F"/>
    <w:rsid w:val="00325B1D"/>
    <w:rsid w:val="003319AD"/>
    <w:rsid w:val="00342E32"/>
    <w:rsid w:val="00343341"/>
    <w:rsid w:val="003559A2"/>
    <w:rsid w:val="00394E80"/>
    <w:rsid w:val="00396274"/>
    <w:rsid w:val="003D62D1"/>
    <w:rsid w:val="00430326"/>
    <w:rsid w:val="00443EC3"/>
    <w:rsid w:val="00451598"/>
    <w:rsid w:val="00474B16"/>
    <w:rsid w:val="004B4BB9"/>
    <w:rsid w:val="00506780"/>
    <w:rsid w:val="0053553F"/>
    <w:rsid w:val="005365A6"/>
    <w:rsid w:val="00542F15"/>
    <w:rsid w:val="005467A2"/>
    <w:rsid w:val="00567B9C"/>
    <w:rsid w:val="005A2026"/>
    <w:rsid w:val="005A400C"/>
    <w:rsid w:val="005C0266"/>
    <w:rsid w:val="005F6679"/>
    <w:rsid w:val="00612211"/>
    <w:rsid w:val="00634D8C"/>
    <w:rsid w:val="006407DD"/>
    <w:rsid w:val="00654E42"/>
    <w:rsid w:val="0068456C"/>
    <w:rsid w:val="0068518A"/>
    <w:rsid w:val="006A2941"/>
    <w:rsid w:val="006C13A6"/>
    <w:rsid w:val="006C7900"/>
    <w:rsid w:val="006E6C56"/>
    <w:rsid w:val="006F4503"/>
    <w:rsid w:val="006F7C96"/>
    <w:rsid w:val="00755C81"/>
    <w:rsid w:val="007673B0"/>
    <w:rsid w:val="007821F7"/>
    <w:rsid w:val="007A25DA"/>
    <w:rsid w:val="007A2AC6"/>
    <w:rsid w:val="007C008E"/>
    <w:rsid w:val="007D6DD4"/>
    <w:rsid w:val="00852C93"/>
    <w:rsid w:val="00875BB3"/>
    <w:rsid w:val="008902B5"/>
    <w:rsid w:val="008D5D35"/>
    <w:rsid w:val="008E5FDB"/>
    <w:rsid w:val="0091717F"/>
    <w:rsid w:val="00927E4A"/>
    <w:rsid w:val="00964D2C"/>
    <w:rsid w:val="00982DD4"/>
    <w:rsid w:val="00986683"/>
    <w:rsid w:val="009B3C9A"/>
    <w:rsid w:val="009C3E02"/>
    <w:rsid w:val="009F1A1B"/>
    <w:rsid w:val="00A05772"/>
    <w:rsid w:val="00A220D0"/>
    <w:rsid w:val="00A60443"/>
    <w:rsid w:val="00A64710"/>
    <w:rsid w:val="00A72724"/>
    <w:rsid w:val="00AA471F"/>
    <w:rsid w:val="00AB5ACD"/>
    <w:rsid w:val="00AC14C5"/>
    <w:rsid w:val="00AC7CFF"/>
    <w:rsid w:val="00AD70AB"/>
    <w:rsid w:val="00AF2D71"/>
    <w:rsid w:val="00B066A8"/>
    <w:rsid w:val="00B1411D"/>
    <w:rsid w:val="00B15168"/>
    <w:rsid w:val="00B27775"/>
    <w:rsid w:val="00B55E39"/>
    <w:rsid w:val="00B64AC7"/>
    <w:rsid w:val="00B76E8F"/>
    <w:rsid w:val="00B9243D"/>
    <w:rsid w:val="00B94C98"/>
    <w:rsid w:val="00BA18A7"/>
    <w:rsid w:val="00BA67ED"/>
    <w:rsid w:val="00BA6AF3"/>
    <w:rsid w:val="00BF6441"/>
    <w:rsid w:val="00BF75F5"/>
    <w:rsid w:val="00C150D5"/>
    <w:rsid w:val="00C34F74"/>
    <w:rsid w:val="00C56DAA"/>
    <w:rsid w:val="00C623AC"/>
    <w:rsid w:val="00CA1EA5"/>
    <w:rsid w:val="00CB0B79"/>
    <w:rsid w:val="00CE59EE"/>
    <w:rsid w:val="00D20861"/>
    <w:rsid w:val="00D34E33"/>
    <w:rsid w:val="00D36815"/>
    <w:rsid w:val="00D37006"/>
    <w:rsid w:val="00D4425C"/>
    <w:rsid w:val="00D47671"/>
    <w:rsid w:val="00D47710"/>
    <w:rsid w:val="00D60084"/>
    <w:rsid w:val="00D70E4F"/>
    <w:rsid w:val="00D71D2F"/>
    <w:rsid w:val="00DC076A"/>
    <w:rsid w:val="00DC5B75"/>
    <w:rsid w:val="00DC7AD8"/>
    <w:rsid w:val="00DE3772"/>
    <w:rsid w:val="00DE7D76"/>
    <w:rsid w:val="00E06576"/>
    <w:rsid w:val="00E07502"/>
    <w:rsid w:val="00E26C66"/>
    <w:rsid w:val="00E27359"/>
    <w:rsid w:val="00E40F20"/>
    <w:rsid w:val="00E44FFA"/>
    <w:rsid w:val="00E45A73"/>
    <w:rsid w:val="00E60EF1"/>
    <w:rsid w:val="00E62FF9"/>
    <w:rsid w:val="00EA4FD7"/>
    <w:rsid w:val="00ED43D0"/>
    <w:rsid w:val="00EF656B"/>
    <w:rsid w:val="00F04083"/>
    <w:rsid w:val="00F051F6"/>
    <w:rsid w:val="00F65E9F"/>
    <w:rsid w:val="00F90F51"/>
    <w:rsid w:val="00FA1855"/>
    <w:rsid w:val="00FB5875"/>
    <w:rsid w:val="00FB58E9"/>
    <w:rsid w:val="00FC3928"/>
    <w:rsid w:val="00FE2F54"/>
    <w:rsid w:val="00FF1F78"/>
    <w:rsid w:val="00FF73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5B3F56"/>
  <w15:docId w15:val="{0D0E65CD-C0B8-496F-8BA7-2EC2916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1F"/>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316B1F"/>
    <w:rPr>
      <w:rFonts w:asciiTheme="minorHAnsi" w:hAnsiTheme="minorHAnsi" w:cstheme="minorBidi"/>
    </w:rPr>
  </w:style>
  <w:style w:type="paragraph" w:styleId="Footer">
    <w:name w:val="footer"/>
    <w:basedOn w:val="Normal"/>
    <w:link w:val="FooterChar"/>
    <w:uiPriority w:val="99"/>
    <w:unhideWhenUsed/>
    <w:rsid w:val="00316B1F"/>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316B1F"/>
    <w:rPr>
      <w:rFonts w:asciiTheme="minorHAnsi" w:hAnsiTheme="minorHAnsi" w:cstheme="minorBidi"/>
    </w:rPr>
  </w:style>
  <w:style w:type="paragraph" w:styleId="NormalWeb">
    <w:name w:val="Normal (Web)"/>
    <w:basedOn w:val="Normal"/>
    <w:uiPriority w:val="99"/>
    <w:unhideWhenUsed/>
    <w:rsid w:val="00FB58E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430326"/>
    <w:rPr>
      <w:sz w:val="16"/>
      <w:szCs w:val="16"/>
    </w:rPr>
  </w:style>
  <w:style w:type="paragraph" w:styleId="CommentText">
    <w:name w:val="annotation text"/>
    <w:basedOn w:val="Normal"/>
    <w:link w:val="CommentTextChar"/>
    <w:uiPriority w:val="99"/>
    <w:semiHidden/>
    <w:unhideWhenUsed/>
    <w:rsid w:val="00430326"/>
    <w:rPr>
      <w:sz w:val="20"/>
      <w:szCs w:val="20"/>
    </w:rPr>
  </w:style>
  <w:style w:type="character" w:customStyle="1" w:styleId="CommentTextChar">
    <w:name w:val="Comment Text Char"/>
    <w:basedOn w:val="DefaultParagraphFont"/>
    <w:link w:val="CommentText"/>
    <w:uiPriority w:val="99"/>
    <w:semiHidden/>
    <w:rsid w:val="00430326"/>
    <w:rPr>
      <w:sz w:val="20"/>
      <w:szCs w:val="20"/>
    </w:rPr>
  </w:style>
  <w:style w:type="paragraph" w:styleId="CommentSubject">
    <w:name w:val="annotation subject"/>
    <w:basedOn w:val="CommentText"/>
    <w:next w:val="CommentText"/>
    <w:link w:val="CommentSubjectChar"/>
    <w:uiPriority w:val="99"/>
    <w:semiHidden/>
    <w:unhideWhenUsed/>
    <w:rsid w:val="00430326"/>
    <w:rPr>
      <w:b/>
      <w:bCs/>
    </w:rPr>
  </w:style>
  <w:style w:type="character" w:customStyle="1" w:styleId="CommentSubjectChar">
    <w:name w:val="Comment Subject Char"/>
    <w:basedOn w:val="CommentTextChar"/>
    <w:link w:val="CommentSubject"/>
    <w:uiPriority w:val="99"/>
    <w:semiHidden/>
    <w:rsid w:val="00430326"/>
    <w:rPr>
      <w:b/>
      <w:bCs/>
      <w:sz w:val="20"/>
      <w:szCs w:val="20"/>
    </w:rPr>
  </w:style>
  <w:style w:type="paragraph" w:styleId="BalloonText">
    <w:name w:val="Balloon Text"/>
    <w:basedOn w:val="Normal"/>
    <w:link w:val="BalloonTextChar"/>
    <w:uiPriority w:val="99"/>
    <w:semiHidden/>
    <w:unhideWhenUsed/>
    <w:rsid w:val="00430326"/>
    <w:rPr>
      <w:rFonts w:ascii="Tahoma" w:hAnsi="Tahoma" w:cs="Tahoma"/>
      <w:sz w:val="16"/>
      <w:szCs w:val="16"/>
    </w:rPr>
  </w:style>
  <w:style w:type="character" w:customStyle="1" w:styleId="BalloonTextChar">
    <w:name w:val="Balloon Text Char"/>
    <w:basedOn w:val="DefaultParagraphFont"/>
    <w:link w:val="BalloonText"/>
    <w:uiPriority w:val="99"/>
    <w:semiHidden/>
    <w:rsid w:val="00430326"/>
    <w:rPr>
      <w:rFonts w:ascii="Tahoma" w:hAnsi="Tahoma" w:cs="Tahoma"/>
      <w:sz w:val="16"/>
      <w:szCs w:val="16"/>
    </w:rPr>
  </w:style>
  <w:style w:type="paragraph" w:styleId="Revision">
    <w:name w:val="Revision"/>
    <w:hidden/>
    <w:uiPriority w:val="99"/>
    <w:semiHidden/>
    <w:rsid w:val="004B4BB9"/>
  </w:style>
  <w:style w:type="character" w:customStyle="1" w:styleId="tgc">
    <w:name w:val="_tgc"/>
    <w:basedOn w:val="DefaultParagraphFont"/>
    <w:rsid w:val="006A2941"/>
  </w:style>
  <w:style w:type="character" w:styleId="Hyperlink">
    <w:name w:val="Hyperlink"/>
    <w:basedOn w:val="DefaultParagraphFont"/>
    <w:uiPriority w:val="99"/>
    <w:unhideWhenUsed/>
    <w:rsid w:val="00173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21952">
      <w:bodyDiv w:val="1"/>
      <w:marLeft w:val="0"/>
      <w:marRight w:val="0"/>
      <w:marTop w:val="0"/>
      <w:marBottom w:val="0"/>
      <w:divBdr>
        <w:top w:val="none" w:sz="0" w:space="0" w:color="auto"/>
        <w:left w:val="none" w:sz="0" w:space="0" w:color="auto"/>
        <w:bottom w:val="none" w:sz="0" w:space="0" w:color="auto"/>
        <w:right w:val="none" w:sz="0" w:space="0" w:color="auto"/>
      </w:divBdr>
      <w:divsChild>
        <w:div w:id="487401379">
          <w:marLeft w:val="0"/>
          <w:marRight w:val="0"/>
          <w:marTop w:val="0"/>
          <w:marBottom w:val="0"/>
          <w:divBdr>
            <w:top w:val="none" w:sz="0" w:space="0" w:color="auto"/>
            <w:left w:val="none" w:sz="0" w:space="0" w:color="auto"/>
            <w:bottom w:val="none" w:sz="0" w:space="0" w:color="auto"/>
            <w:right w:val="none" w:sz="0" w:space="0" w:color="auto"/>
          </w:divBdr>
          <w:divsChild>
            <w:div w:id="708920534">
              <w:marLeft w:val="0"/>
              <w:marRight w:val="0"/>
              <w:marTop w:val="0"/>
              <w:marBottom w:val="0"/>
              <w:divBdr>
                <w:top w:val="none" w:sz="0" w:space="0" w:color="auto"/>
                <w:left w:val="none" w:sz="0" w:space="0" w:color="auto"/>
                <w:bottom w:val="none" w:sz="0" w:space="0" w:color="auto"/>
                <w:right w:val="none" w:sz="0" w:space="0" w:color="auto"/>
              </w:divBdr>
              <w:divsChild>
                <w:div w:id="454057200">
                  <w:marLeft w:val="0"/>
                  <w:marRight w:val="0"/>
                  <w:marTop w:val="0"/>
                  <w:marBottom w:val="0"/>
                  <w:divBdr>
                    <w:top w:val="none" w:sz="0" w:space="0" w:color="auto"/>
                    <w:left w:val="none" w:sz="0" w:space="0" w:color="auto"/>
                    <w:bottom w:val="none" w:sz="0" w:space="0" w:color="auto"/>
                    <w:right w:val="none" w:sz="0" w:space="0" w:color="auto"/>
                  </w:divBdr>
                  <w:divsChild>
                    <w:div w:id="230044715">
                      <w:marLeft w:val="0"/>
                      <w:marRight w:val="0"/>
                      <w:marTop w:val="0"/>
                      <w:marBottom w:val="0"/>
                      <w:divBdr>
                        <w:top w:val="none" w:sz="0" w:space="0" w:color="auto"/>
                        <w:left w:val="none" w:sz="0" w:space="0" w:color="auto"/>
                        <w:bottom w:val="none" w:sz="0" w:space="0" w:color="auto"/>
                        <w:right w:val="none" w:sz="0" w:space="0" w:color="auto"/>
                      </w:divBdr>
                      <w:divsChild>
                        <w:div w:id="945237386">
                          <w:marLeft w:val="0"/>
                          <w:marRight w:val="0"/>
                          <w:marTop w:val="0"/>
                          <w:marBottom w:val="0"/>
                          <w:divBdr>
                            <w:top w:val="none" w:sz="0" w:space="0" w:color="auto"/>
                            <w:left w:val="none" w:sz="0" w:space="0" w:color="auto"/>
                            <w:bottom w:val="none" w:sz="0" w:space="0" w:color="auto"/>
                            <w:right w:val="none" w:sz="0" w:space="0" w:color="auto"/>
                          </w:divBdr>
                          <w:divsChild>
                            <w:div w:id="675151876">
                              <w:marLeft w:val="0"/>
                              <w:marRight w:val="0"/>
                              <w:marTop w:val="0"/>
                              <w:marBottom w:val="0"/>
                              <w:divBdr>
                                <w:top w:val="none" w:sz="0" w:space="0" w:color="auto"/>
                                <w:left w:val="none" w:sz="0" w:space="0" w:color="auto"/>
                                <w:bottom w:val="none" w:sz="0" w:space="0" w:color="auto"/>
                                <w:right w:val="none" w:sz="0" w:space="0" w:color="auto"/>
                              </w:divBdr>
                              <w:divsChild>
                                <w:div w:id="722170202">
                                  <w:marLeft w:val="0"/>
                                  <w:marRight w:val="0"/>
                                  <w:marTop w:val="0"/>
                                  <w:marBottom w:val="0"/>
                                  <w:divBdr>
                                    <w:top w:val="none" w:sz="0" w:space="0" w:color="auto"/>
                                    <w:left w:val="none" w:sz="0" w:space="0" w:color="auto"/>
                                    <w:bottom w:val="none" w:sz="0" w:space="0" w:color="auto"/>
                                    <w:right w:val="none" w:sz="0" w:space="0" w:color="auto"/>
                                  </w:divBdr>
                                  <w:divsChild>
                                    <w:div w:id="2130512380">
                                      <w:marLeft w:val="0"/>
                                      <w:marRight w:val="0"/>
                                      <w:marTop w:val="0"/>
                                      <w:marBottom w:val="0"/>
                                      <w:divBdr>
                                        <w:top w:val="none" w:sz="0" w:space="0" w:color="auto"/>
                                        <w:left w:val="none" w:sz="0" w:space="0" w:color="auto"/>
                                        <w:bottom w:val="none" w:sz="0" w:space="0" w:color="auto"/>
                                        <w:right w:val="none" w:sz="0" w:space="0" w:color="auto"/>
                                      </w:divBdr>
                                      <w:divsChild>
                                        <w:div w:id="838693420">
                                          <w:marLeft w:val="0"/>
                                          <w:marRight w:val="0"/>
                                          <w:marTop w:val="0"/>
                                          <w:marBottom w:val="0"/>
                                          <w:divBdr>
                                            <w:top w:val="none" w:sz="0" w:space="0" w:color="auto"/>
                                            <w:left w:val="none" w:sz="0" w:space="0" w:color="auto"/>
                                            <w:bottom w:val="none" w:sz="0" w:space="0" w:color="auto"/>
                                            <w:right w:val="none" w:sz="0" w:space="0" w:color="auto"/>
                                          </w:divBdr>
                                          <w:divsChild>
                                            <w:div w:id="83065832">
                                              <w:marLeft w:val="0"/>
                                              <w:marRight w:val="0"/>
                                              <w:marTop w:val="0"/>
                                              <w:marBottom w:val="0"/>
                                              <w:divBdr>
                                                <w:top w:val="none" w:sz="0" w:space="0" w:color="auto"/>
                                                <w:left w:val="none" w:sz="0" w:space="0" w:color="auto"/>
                                                <w:bottom w:val="none" w:sz="0" w:space="0" w:color="auto"/>
                                                <w:right w:val="none" w:sz="0" w:space="0" w:color="auto"/>
                                              </w:divBdr>
                                              <w:divsChild>
                                                <w:div w:id="161897084">
                                                  <w:marLeft w:val="0"/>
                                                  <w:marRight w:val="0"/>
                                                  <w:marTop w:val="0"/>
                                                  <w:marBottom w:val="0"/>
                                                  <w:divBdr>
                                                    <w:top w:val="none" w:sz="0" w:space="0" w:color="auto"/>
                                                    <w:left w:val="none" w:sz="0" w:space="0" w:color="auto"/>
                                                    <w:bottom w:val="none" w:sz="0" w:space="0" w:color="auto"/>
                                                    <w:right w:val="none" w:sz="0" w:space="0" w:color="auto"/>
                                                  </w:divBdr>
                                                  <w:divsChild>
                                                    <w:div w:id="1388604044">
                                                      <w:marLeft w:val="0"/>
                                                      <w:marRight w:val="0"/>
                                                      <w:marTop w:val="0"/>
                                                      <w:marBottom w:val="0"/>
                                                      <w:divBdr>
                                                        <w:top w:val="none" w:sz="0" w:space="0" w:color="auto"/>
                                                        <w:left w:val="none" w:sz="0" w:space="0" w:color="auto"/>
                                                        <w:bottom w:val="none" w:sz="0" w:space="0" w:color="auto"/>
                                                        <w:right w:val="none" w:sz="0" w:space="0" w:color="auto"/>
                                                      </w:divBdr>
                                                      <w:divsChild>
                                                        <w:div w:id="78909706">
                                                          <w:marLeft w:val="0"/>
                                                          <w:marRight w:val="0"/>
                                                          <w:marTop w:val="0"/>
                                                          <w:marBottom w:val="0"/>
                                                          <w:divBdr>
                                                            <w:top w:val="none" w:sz="0" w:space="0" w:color="auto"/>
                                                            <w:left w:val="none" w:sz="0" w:space="0" w:color="auto"/>
                                                            <w:bottom w:val="none" w:sz="0" w:space="0" w:color="auto"/>
                                                            <w:right w:val="none" w:sz="0" w:space="0" w:color="auto"/>
                                                          </w:divBdr>
                                                          <w:divsChild>
                                                            <w:div w:id="1772122882">
                                                              <w:marLeft w:val="0"/>
                                                              <w:marRight w:val="0"/>
                                                              <w:marTop w:val="0"/>
                                                              <w:marBottom w:val="0"/>
                                                              <w:divBdr>
                                                                <w:top w:val="none" w:sz="0" w:space="0" w:color="auto"/>
                                                                <w:left w:val="none" w:sz="0" w:space="0" w:color="auto"/>
                                                                <w:bottom w:val="none" w:sz="0" w:space="0" w:color="auto"/>
                                                                <w:right w:val="none" w:sz="0" w:space="0" w:color="auto"/>
                                                              </w:divBdr>
                                                              <w:divsChild>
                                                                <w:div w:id="2056003380">
                                                                  <w:marLeft w:val="0"/>
                                                                  <w:marRight w:val="0"/>
                                                                  <w:marTop w:val="0"/>
                                                                  <w:marBottom w:val="0"/>
                                                                  <w:divBdr>
                                                                    <w:top w:val="none" w:sz="0" w:space="0" w:color="auto"/>
                                                                    <w:left w:val="none" w:sz="0" w:space="0" w:color="auto"/>
                                                                    <w:bottom w:val="none" w:sz="0" w:space="0" w:color="auto"/>
                                                                    <w:right w:val="none" w:sz="0" w:space="0" w:color="auto"/>
                                                                  </w:divBdr>
                                                                  <w:divsChild>
                                                                    <w:div w:id="1184250072">
                                                                      <w:marLeft w:val="0"/>
                                                                      <w:marRight w:val="0"/>
                                                                      <w:marTop w:val="0"/>
                                                                      <w:marBottom w:val="0"/>
                                                                      <w:divBdr>
                                                                        <w:top w:val="none" w:sz="0" w:space="0" w:color="auto"/>
                                                                        <w:left w:val="none" w:sz="0" w:space="0" w:color="auto"/>
                                                                        <w:bottom w:val="none" w:sz="0" w:space="0" w:color="auto"/>
                                                                        <w:right w:val="none" w:sz="0" w:space="0" w:color="auto"/>
                                                                      </w:divBdr>
                                                                      <w:divsChild>
                                                                        <w:div w:id="60300238">
                                                                          <w:marLeft w:val="0"/>
                                                                          <w:marRight w:val="0"/>
                                                                          <w:marTop w:val="0"/>
                                                                          <w:marBottom w:val="0"/>
                                                                          <w:divBdr>
                                                                            <w:top w:val="none" w:sz="0" w:space="0" w:color="auto"/>
                                                                            <w:left w:val="none" w:sz="0" w:space="0" w:color="auto"/>
                                                                            <w:bottom w:val="none" w:sz="0" w:space="0" w:color="auto"/>
                                                                            <w:right w:val="none" w:sz="0" w:space="0" w:color="auto"/>
                                                                          </w:divBdr>
                                                                          <w:divsChild>
                                                                            <w:div w:id="868101499">
                                                                              <w:marLeft w:val="0"/>
                                                                              <w:marRight w:val="0"/>
                                                                              <w:marTop w:val="0"/>
                                                                              <w:marBottom w:val="0"/>
                                                                              <w:divBdr>
                                                                                <w:top w:val="none" w:sz="0" w:space="0" w:color="auto"/>
                                                                                <w:left w:val="none" w:sz="0" w:space="0" w:color="auto"/>
                                                                                <w:bottom w:val="none" w:sz="0" w:space="0" w:color="auto"/>
                                                                                <w:right w:val="none" w:sz="0" w:space="0" w:color="auto"/>
                                                                              </w:divBdr>
                                                                              <w:divsChild>
                                                                                <w:div w:id="1334339784">
                                                                                  <w:marLeft w:val="0"/>
                                                                                  <w:marRight w:val="0"/>
                                                                                  <w:marTop w:val="0"/>
                                                                                  <w:marBottom w:val="0"/>
                                                                                  <w:divBdr>
                                                                                    <w:top w:val="none" w:sz="0" w:space="0" w:color="auto"/>
                                                                                    <w:left w:val="none" w:sz="0" w:space="0" w:color="auto"/>
                                                                                    <w:bottom w:val="none" w:sz="0" w:space="0" w:color="auto"/>
                                                                                    <w:right w:val="none" w:sz="0" w:space="0" w:color="auto"/>
                                                                                  </w:divBdr>
                                                                                  <w:divsChild>
                                                                                    <w:div w:id="1097944286">
                                                                                      <w:marLeft w:val="0"/>
                                                                                      <w:marRight w:val="0"/>
                                                                                      <w:marTop w:val="0"/>
                                                                                      <w:marBottom w:val="0"/>
                                                                                      <w:divBdr>
                                                                                        <w:top w:val="none" w:sz="0" w:space="0" w:color="auto"/>
                                                                                        <w:left w:val="none" w:sz="0" w:space="0" w:color="auto"/>
                                                                                        <w:bottom w:val="none" w:sz="0" w:space="0" w:color="auto"/>
                                                                                        <w:right w:val="none" w:sz="0" w:space="0" w:color="auto"/>
                                                                                      </w:divBdr>
                                                                                      <w:divsChild>
                                                                                        <w:div w:id="1873876718">
                                                                                          <w:marLeft w:val="0"/>
                                                                                          <w:marRight w:val="0"/>
                                                                                          <w:marTop w:val="0"/>
                                                                                          <w:marBottom w:val="0"/>
                                                                                          <w:divBdr>
                                                                                            <w:top w:val="none" w:sz="0" w:space="0" w:color="auto"/>
                                                                                            <w:left w:val="none" w:sz="0" w:space="0" w:color="auto"/>
                                                                                            <w:bottom w:val="none" w:sz="0" w:space="0" w:color="auto"/>
                                                                                            <w:right w:val="none" w:sz="0" w:space="0" w:color="auto"/>
                                                                                          </w:divBdr>
                                                                                          <w:divsChild>
                                                                                            <w:div w:id="1458986098">
                                                                                              <w:marLeft w:val="0"/>
                                                                                              <w:marRight w:val="0"/>
                                                                                              <w:marTop w:val="0"/>
                                                                                              <w:marBottom w:val="0"/>
                                                                                              <w:divBdr>
                                                                                                <w:top w:val="none" w:sz="0" w:space="0" w:color="auto"/>
                                                                                                <w:left w:val="none" w:sz="0" w:space="0" w:color="auto"/>
                                                                                                <w:bottom w:val="none" w:sz="0" w:space="0" w:color="auto"/>
                                                                                                <w:right w:val="none" w:sz="0" w:space="0" w:color="auto"/>
                                                                                              </w:divBdr>
                                                                                              <w:divsChild>
                                                                                                <w:div w:id="1974362557">
                                                                                                  <w:marLeft w:val="0"/>
                                                                                                  <w:marRight w:val="0"/>
                                                                                                  <w:marTop w:val="0"/>
                                                                                                  <w:marBottom w:val="0"/>
                                                                                                  <w:divBdr>
                                                                                                    <w:top w:val="none" w:sz="0" w:space="0" w:color="auto"/>
                                                                                                    <w:left w:val="none" w:sz="0" w:space="0" w:color="auto"/>
                                                                                                    <w:bottom w:val="none" w:sz="0" w:space="0" w:color="auto"/>
                                                                                                    <w:right w:val="none" w:sz="0" w:space="0" w:color="auto"/>
                                                                                                  </w:divBdr>
                                                                                                  <w:divsChild>
                                                                                                    <w:div w:id="798767058">
                                                                                                      <w:marLeft w:val="0"/>
                                                                                                      <w:marRight w:val="0"/>
                                                                                                      <w:marTop w:val="0"/>
                                                                                                      <w:marBottom w:val="0"/>
                                                                                                      <w:divBdr>
                                                                                                        <w:top w:val="none" w:sz="0" w:space="0" w:color="auto"/>
                                                                                                        <w:left w:val="none" w:sz="0" w:space="0" w:color="auto"/>
                                                                                                        <w:bottom w:val="none" w:sz="0" w:space="0" w:color="auto"/>
                                                                                                        <w:right w:val="none" w:sz="0" w:space="0" w:color="auto"/>
                                                                                                      </w:divBdr>
                                                                                                      <w:divsChild>
                                                                                                        <w:div w:id="1998849271">
                                                                                                          <w:marLeft w:val="0"/>
                                                                                                          <w:marRight w:val="0"/>
                                                                                                          <w:marTop w:val="0"/>
                                                                                                          <w:marBottom w:val="0"/>
                                                                                                          <w:divBdr>
                                                                                                            <w:top w:val="none" w:sz="0" w:space="0" w:color="auto"/>
                                                                                                            <w:left w:val="none" w:sz="0" w:space="0" w:color="auto"/>
                                                                                                            <w:bottom w:val="none" w:sz="0" w:space="0" w:color="auto"/>
                                                                                                            <w:right w:val="none" w:sz="0" w:space="0" w:color="auto"/>
                                                                                                          </w:divBdr>
                                                                                                          <w:divsChild>
                                                                                                            <w:div w:id="1243026335">
                                                                                                              <w:marLeft w:val="0"/>
                                                                                                              <w:marRight w:val="0"/>
                                                                                                              <w:marTop w:val="0"/>
                                                                                                              <w:marBottom w:val="0"/>
                                                                                                              <w:divBdr>
                                                                                                                <w:top w:val="none" w:sz="0" w:space="0" w:color="auto"/>
                                                                                                                <w:left w:val="none" w:sz="0" w:space="0" w:color="auto"/>
                                                                                                                <w:bottom w:val="none" w:sz="0" w:space="0" w:color="auto"/>
                                                                                                                <w:right w:val="none" w:sz="0" w:space="0" w:color="auto"/>
                                                                                                              </w:divBdr>
                                                                                                              <w:divsChild>
                                                                                                                <w:div w:id="690376661">
                                                                                                                  <w:marLeft w:val="0"/>
                                                                                                                  <w:marRight w:val="0"/>
                                                                                                                  <w:marTop w:val="0"/>
                                                                                                                  <w:marBottom w:val="0"/>
                                                                                                                  <w:divBdr>
                                                                                                                    <w:top w:val="none" w:sz="0" w:space="0" w:color="auto"/>
                                                                                                                    <w:left w:val="none" w:sz="0" w:space="0" w:color="auto"/>
                                                                                                                    <w:bottom w:val="none" w:sz="0" w:space="0" w:color="auto"/>
                                                                                                                    <w:right w:val="none" w:sz="0" w:space="0" w:color="auto"/>
                                                                                                                  </w:divBdr>
                                                                                                                  <w:divsChild>
                                                                                                                    <w:div w:id="1178543811">
                                                                                                                      <w:marLeft w:val="0"/>
                                                                                                                      <w:marRight w:val="0"/>
                                                                                                                      <w:marTop w:val="0"/>
                                                                                                                      <w:marBottom w:val="0"/>
                                                                                                                      <w:divBdr>
                                                                                                                        <w:top w:val="none" w:sz="0" w:space="0" w:color="auto"/>
                                                                                                                        <w:left w:val="none" w:sz="0" w:space="0" w:color="auto"/>
                                                                                                                        <w:bottom w:val="none" w:sz="0" w:space="0" w:color="auto"/>
                                                                                                                        <w:right w:val="none" w:sz="0" w:space="0" w:color="auto"/>
                                                                                                                      </w:divBdr>
                                                                                                                      <w:divsChild>
                                                                                                                        <w:div w:id="421998870">
                                                                                                                          <w:marLeft w:val="0"/>
                                                                                                                          <w:marRight w:val="0"/>
                                                                                                                          <w:marTop w:val="0"/>
                                                                                                                          <w:marBottom w:val="0"/>
                                                                                                                          <w:divBdr>
                                                                                                                            <w:top w:val="none" w:sz="0" w:space="0" w:color="auto"/>
                                                                                                                            <w:left w:val="none" w:sz="0" w:space="0" w:color="auto"/>
                                                                                                                            <w:bottom w:val="none" w:sz="0" w:space="0" w:color="auto"/>
                                                                                                                            <w:right w:val="none" w:sz="0" w:space="0" w:color="auto"/>
                                                                                                                          </w:divBdr>
                                                                                                                        </w:div>
                                                                                                                        <w:div w:id="915015659">
                                                                                                                          <w:marLeft w:val="0"/>
                                                                                                                          <w:marRight w:val="0"/>
                                                                                                                          <w:marTop w:val="0"/>
                                                                                                                          <w:marBottom w:val="0"/>
                                                                                                                          <w:divBdr>
                                                                                                                            <w:top w:val="none" w:sz="0" w:space="0" w:color="auto"/>
                                                                                                                            <w:left w:val="none" w:sz="0" w:space="0" w:color="auto"/>
                                                                                                                            <w:bottom w:val="none" w:sz="0" w:space="0" w:color="auto"/>
                                                                                                                            <w:right w:val="none" w:sz="0" w:space="0" w:color="auto"/>
                                                                                                                          </w:divBdr>
                                                                                                                          <w:divsChild>
                                                                                                                            <w:div w:id="196086045">
                                                                                                                              <w:marLeft w:val="0"/>
                                                                                                                              <w:marRight w:val="0"/>
                                                                                                                              <w:marTop w:val="0"/>
                                                                                                                              <w:marBottom w:val="0"/>
                                                                                                                              <w:divBdr>
                                                                                                                                <w:top w:val="none" w:sz="0" w:space="0" w:color="auto"/>
                                                                                                                                <w:left w:val="none" w:sz="0" w:space="0" w:color="auto"/>
                                                                                                                                <w:bottom w:val="none" w:sz="0" w:space="0" w:color="auto"/>
                                                                                                                                <w:right w:val="none" w:sz="0" w:space="0" w:color="auto"/>
                                                                                                                              </w:divBdr>
                                                                                                                              <w:divsChild>
                                                                                                                                <w:div w:id="1101216360">
                                                                                                                                  <w:marLeft w:val="0"/>
                                                                                                                                  <w:marRight w:val="0"/>
                                                                                                                                  <w:marTop w:val="0"/>
                                                                                                                                  <w:marBottom w:val="0"/>
                                                                                                                                  <w:divBdr>
                                                                                                                                    <w:top w:val="none" w:sz="0" w:space="0" w:color="auto"/>
                                                                                                                                    <w:left w:val="none" w:sz="0" w:space="0" w:color="auto"/>
                                                                                                                                    <w:bottom w:val="none" w:sz="0" w:space="0" w:color="auto"/>
                                                                                                                                    <w:right w:val="none" w:sz="0" w:space="0" w:color="auto"/>
                                                                                                                                  </w:divBdr>
                                                                                                                                  <w:divsChild>
                                                                                                                                    <w:div w:id="371344402">
                                                                                                                                      <w:marLeft w:val="0"/>
                                                                                                                                      <w:marRight w:val="0"/>
                                                                                                                                      <w:marTop w:val="0"/>
                                                                                                                                      <w:marBottom w:val="0"/>
                                                                                                                                      <w:divBdr>
                                                                                                                                        <w:top w:val="none" w:sz="0" w:space="0" w:color="auto"/>
                                                                                                                                        <w:left w:val="none" w:sz="0" w:space="0" w:color="auto"/>
                                                                                                                                        <w:bottom w:val="none" w:sz="0" w:space="0" w:color="auto"/>
                                                                                                                                        <w:right w:val="none" w:sz="0" w:space="0" w:color="auto"/>
                                                                                                                                      </w:divBdr>
                                                                                                                                      <w:divsChild>
                                                                                                                                        <w:div w:id="2029792680">
                                                                                                                                          <w:marLeft w:val="0"/>
                                                                                                                                          <w:marRight w:val="0"/>
                                                                                                                                          <w:marTop w:val="0"/>
                                                                                                                                          <w:marBottom w:val="0"/>
                                                                                                                                          <w:divBdr>
                                                                                                                                            <w:top w:val="none" w:sz="0" w:space="0" w:color="auto"/>
                                                                                                                                            <w:left w:val="none" w:sz="0" w:space="0" w:color="auto"/>
                                                                                                                                            <w:bottom w:val="none" w:sz="0" w:space="0" w:color="auto"/>
                                                                                                                                            <w:right w:val="none" w:sz="0" w:space="0" w:color="auto"/>
                                                                                                                                          </w:divBdr>
                                                                                                                                          <w:divsChild>
                                                                                                                                            <w:div w:id="2102753636">
                                                                                                                                              <w:marLeft w:val="0"/>
                                                                                                                                              <w:marRight w:val="0"/>
                                                                                                                                              <w:marTop w:val="0"/>
                                                                                                                                              <w:marBottom w:val="0"/>
                                                                                                                                              <w:divBdr>
                                                                                                                                                <w:top w:val="none" w:sz="0" w:space="0" w:color="auto"/>
                                                                                                                                                <w:left w:val="none" w:sz="0" w:space="0" w:color="auto"/>
                                                                                                                                                <w:bottom w:val="none" w:sz="0" w:space="0" w:color="auto"/>
                                                                                                                                                <w:right w:val="none" w:sz="0" w:space="0" w:color="auto"/>
                                                                                                                                              </w:divBdr>
                                                                                                                                              <w:divsChild>
                                                                                                                                                <w:div w:id="6588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C568-2ECA-4B85-A9F6-943417B0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21645</Words>
  <Characters>123380</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CEBI</Company>
  <LinksUpToDate>false</LinksUpToDate>
  <CharactersWithSpaces>144736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 Melendez-Torres</dc:creator>
  <cp:lastModifiedBy>Ford Hickson</cp:lastModifiedBy>
  <cp:revision>3</cp:revision>
  <cp:lastPrinted>2015-09-11T20:32:00Z</cp:lastPrinted>
  <dcterms:created xsi:type="dcterms:W3CDTF">2016-02-17T11:49:00Z</dcterms:created>
  <dcterms:modified xsi:type="dcterms:W3CDTF">2016-02-17T11:59:00Z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gerardo.melendez-torres@spi.ox.ac.uk@www.mendeley.com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http://www.zotero.org/styles/aids</vt:lpwstr>
  </property>
  <property fmtid="{D5CDD505-2E9C-101B-9397-08002B2CF9AE}" pid="6" name="Mendeley Recent Style Name 0_1">
    <vt:lpwstr>AIDS</vt:lpwstr>
  </property>
  <property fmtid="{D5CDD505-2E9C-101B-9397-08002B2CF9AE}" pid="7" name="Mendeley Recent Style Id 1_1">
    <vt:lpwstr>http://www.zotero.org/styles/aids-and-behavior</vt:lpwstr>
  </property>
  <property fmtid="{D5CDD505-2E9C-101B-9397-08002B2CF9AE}" pid="8" name="Mendeley Recent Style Name 1_1">
    <vt:lpwstr>AIDS and Behavior</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http://www.zotero.org/styles/sage-vancouver</vt:lpwstr>
  </property>
  <property fmtid="{D5CDD505-2E9C-101B-9397-08002B2CF9AE}" pid="22" name="Mendeley Recent Style Name 8_1">
    <vt:lpwstr>SAGE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