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94308" w14:textId="448D4A41" w:rsidR="00D35D33" w:rsidRDefault="00D520B7">
      <w:r>
        <w:t>Title:</w:t>
      </w:r>
      <w:r w:rsidR="00C31196">
        <w:t xml:space="preserve"> </w:t>
      </w:r>
      <w:r w:rsidR="008000FF">
        <w:t xml:space="preserve">Advance Care Planning: </w:t>
      </w:r>
      <w:r w:rsidR="00C31196">
        <w:t xml:space="preserve">Between tools </w:t>
      </w:r>
      <w:r w:rsidR="00481AD1">
        <w:t>and relational end-of-life care?</w:t>
      </w:r>
    </w:p>
    <w:p w14:paraId="4CAD39C9" w14:textId="77777777" w:rsidR="00D520B7" w:rsidRDefault="008000FF">
      <w:r>
        <w:t>Author</w:t>
      </w:r>
      <w:r w:rsidR="00D520B7">
        <w:t xml:space="preserve">: Erica Borgstrom </w:t>
      </w:r>
    </w:p>
    <w:p w14:paraId="2C8EB07C" w14:textId="5E19EEDA" w:rsidR="008000FF" w:rsidRDefault="008000FF">
      <w:r>
        <w:t xml:space="preserve">Address: </w:t>
      </w:r>
      <w:r w:rsidR="007B40AE">
        <w:t xml:space="preserve">London School of Hygiene and Tropical Medicine, 15-17 </w:t>
      </w:r>
      <w:proofErr w:type="spellStart"/>
      <w:r w:rsidR="007B40AE">
        <w:t>Tavistock</w:t>
      </w:r>
      <w:proofErr w:type="spellEnd"/>
      <w:r w:rsidR="007B40AE">
        <w:t xml:space="preserve"> Place, London</w:t>
      </w:r>
      <w:r w:rsidR="00481AD1">
        <w:t>, WC1H 9SH</w:t>
      </w:r>
    </w:p>
    <w:p w14:paraId="79155511" w14:textId="5E89F318" w:rsidR="008000FF" w:rsidRDefault="008000FF">
      <w:r>
        <w:t xml:space="preserve">Email: </w:t>
      </w:r>
      <w:r w:rsidR="007B40AE">
        <w:t>erica.borgstrom@lshtm.ac.uk</w:t>
      </w:r>
    </w:p>
    <w:p w14:paraId="426D6D14" w14:textId="60BCD0D7" w:rsidR="008000FF" w:rsidRDefault="008000FF">
      <w:r>
        <w:t xml:space="preserve">Telephone: </w:t>
      </w:r>
      <w:proofErr w:type="spellStart"/>
      <w:r w:rsidR="00EC54D9">
        <w:t>ext</w:t>
      </w:r>
      <w:proofErr w:type="spellEnd"/>
      <w:r w:rsidR="00EC54D9">
        <w:t xml:space="preserve"> 2099</w:t>
      </w:r>
    </w:p>
    <w:p w14:paraId="33CC4FBA" w14:textId="77777777" w:rsidR="00A33894" w:rsidRDefault="00A33894"/>
    <w:p w14:paraId="401B545C" w14:textId="6ECDE5D7" w:rsidR="00D520B7" w:rsidRDefault="00D520B7">
      <w:r>
        <w:t xml:space="preserve">Version: </w:t>
      </w:r>
      <w:r w:rsidR="00C31196">
        <w:t>2015.</w:t>
      </w:r>
      <w:r w:rsidR="00EA134B">
        <w:t>07.</w:t>
      </w:r>
      <w:r w:rsidR="00AE2CD9">
        <w:t>30</w:t>
      </w:r>
    </w:p>
    <w:p w14:paraId="73801354" w14:textId="77777777" w:rsidR="006E365F" w:rsidRDefault="006E365F">
      <w:r>
        <w:br w:type="page"/>
      </w:r>
    </w:p>
    <w:p w14:paraId="1372696A" w14:textId="77777777" w:rsidR="006E365F" w:rsidRDefault="006E365F" w:rsidP="006E365F">
      <w:r>
        <w:lastRenderedPageBreak/>
        <w:t>Title: Advance Care Planning: Between tools and relational end-of-life care?</w:t>
      </w:r>
    </w:p>
    <w:p w14:paraId="2742D091" w14:textId="77777777" w:rsidR="006E365F" w:rsidRDefault="006E365F" w:rsidP="006E365F">
      <w:r>
        <w:t xml:space="preserve">Author: Erica Borgstrom </w:t>
      </w:r>
    </w:p>
    <w:p w14:paraId="494801F9" w14:textId="77777777" w:rsidR="006E365F" w:rsidRDefault="006E365F">
      <w:bookmarkStart w:id="0" w:name="_GoBack"/>
      <w:bookmarkEnd w:id="0"/>
    </w:p>
    <w:p w14:paraId="001022E1" w14:textId="0CD7D5BA" w:rsidR="00C92550" w:rsidRDefault="00843FAA">
      <w:r>
        <w:t>The way end-of-</w:t>
      </w:r>
      <w:r w:rsidR="001455D5">
        <w:t xml:space="preserve">life care is delivered </w:t>
      </w:r>
      <w:r w:rsidR="005B6D57">
        <w:t xml:space="preserve">in the UK </w:t>
      </w:r>
      <w:r w:rsidR="001455D5">
        <w:t xml:space="preserve">has changed dramatically over the last few years. Due to the </w:t>
      </w:r>
      <w:r w:rsidR="007B3907">
        <w:t>change</w:t>
      </w:r>
      <w:r w:rsidR="005B6D57">
        <w:t>s</w:t>
      </w:r>
      <w:r w:rsidR="007B3907">
        <w:t xml:space="preserve"> in systems and care </w:t>
      </w:r>
      <w:r w:rsidR="001455D5">
        <w:t>practice promoted in the End of Life Care Strategy</w:t>
      </w:r>
      <w:r w:rsidR="00D33E60">
        <w:t xml:space="preserve"> </w:t>
      </w:r>
      <w:r w:rsidR="008E55C0">
        <w:fldChar w:fldCharType="begin" w:fldLock="1"/>
      </w:r>
      <w:r w:rsidR="008E55C0">
        <w:instrText>ADDIN CSL_CITATION { "citationItems" : [ { "id" : "ITEM-1", "itemData" : { "author" : [ { "dropping-particle" : "", "family" : "Department of Health", "given" : "", "non-dropping-particle" : "", "parse-names" : false, "suffix" : "" } ], "id" : "ITEM-1", "issued" : { "date-parts" : [ [ "2008" ] ] }, "publisher" : "Crown", "publisher-place" : "London", "title" : "End of Life Care Strategy", "type" : "report" }, "uris" : [ "http://www.mendeley.com/documents/?uuid=e2410bdd-681e-4ae1-920f-de3fe60c0acf" ] } ], "mendeley" : { "formattedCitation" : "&lt;sup&gt;1&lt;/sup&gt;", "plainTextFormattedCitation" : "1", "previouslyFormattedCitation" : "&lt;sup&gt;1&lt;/sup&gt;" }, "properties" : { "noteIndex" : 0 }, "schema" : "https://github.com/citation-style-language/schema/raw/master/csl-citation.json" }</w:instrText>
      </w:r>
      <w:r w:rsidR="008E55C0">
        <w:fldChar w:fldCharType="separate"/>
      </w:r>
      <w:r w:rsidR="008E55C0" w:rsidRPr="008E55C0">
        <w:rPr>
          <w:noProof/>
          <w:vertAlign w:val="superscript"/>
        </w:rPr>
        <w:t>1</w:t>
      </w:r>
      <w:r w:rsidR="008E55C0">
        <w:fldChar w:fldCharType="end"/>
      </w:r>
      <w:r w:rsidR="005B6D57">
        <w:t>,</w:t>
      </w:r>
      <w:r w:rsidR="001455D5" w:rsidRPr="001455D5">
        <w:t xml:space="preserve"> </w:t>
      </w:r>
      <w:r w:rsidR="008E55C0">
        <w:t xml:space="preserve"> </w:t>
      </w:r>
      <w:r w:rsidR="001455D5">
        <w:t>more people have access to high</w:t>
      </w:r>
      <w:r w:rsidR="007B3907">
        <w:t>er</w:t>
      </w:r>
      <w:r w:rsidR="001455D5">
        <w:t xml:space="preserve"> quality care, including advance care planning and symptom management. </w:t>
      </w:r>
      <w:r w:rsidR="00D35D33">
        <w:t>Drawing on the ‘best practice’</w:t>
      </w:r>
      <w:r w:rsidR="00DB7809">
        <w:t xml:space="preserve"> at the time, the Strategy recommended the use of several tools to facilitate identifying dying patients, communicating and planning future care, and co-ordinating otherwise disparate services.  </w:t>
      </w:r>
      <w:r w:rsidR="001455D5">
        <w:t xml:space="preserve">These changes have not gone unnoticed: in 2010 the UK was considered as the best place to </w:t>
      </w:r>
      <w:r w:rsidR="005B6D57">
        <w:t>die by the Economist Intelligence Unit</w:t>
      </w:r>
      <w:r w:rsidR="008E55C0">
        <w:fldChar w:fldCharType="begin" w:fldLock="1"/>
      </w:r>
      <w:r w:rsidR="008E55C0">
        <w:instrText>ADDIN CSL_CITATION { "citationItems" : [ { "id" : "ITEM-1", "itemData" : { "author" : [ { "dropping-particle" : "", "family" : "Economist Intelligence Unit", "given" : "", "non-dropping-particle" : "", "parse-names" : false, "suffix" : "" } ], "id" : "ITEM-1", "issued" : { "date-parts" : [ [ "2010" ] ] }, "title" : "The quality of death: ranking end-of-life care across the world", "type" : "report" }, "uris" : [ "http://www.mendeley.com/documents/?uuid=84949db8-b023-49f3-bae3-4d166cfd9144" ] } ], "mendeley" : { "formattedCitation" : "&lt;sup&gt;2&lt;/sup&gt;", "plainTextFormattedCitation" : "2", "previouslyFormattedCitation" : "&lt;sup&gt;2&lt;/sup&gt;" }, "properties" : { "noteIndex" : 0 }, "schema" : "https://github.com/citation-style-language/schema/raw/master/csl-citation.json" }</w:instrText>
      </w:r>
      <w:r w:rsidR="008E55C0">
        <w:fldChar w:fldCharType="separate"/>
      </w:r>
      <w:r w:rsidR="008E55C0" w:rsidRPr="008E55C0">
        <w:rPr>
          <w:noProof/>
          <w:vertAlign w:val="superscript"/>
        </w:rPr>
        <w:t>2</w:t>
      </w:r>
      <w:r w:rsidR="008E55C0">
        <w:fldChar w:fldCharType="end"/>
      </w:r>
      <w:r w:rsidR="0048595B">
        <w:t xml:space="preserve"> and recent </w:t>
      </w:r>
      <w:r w:rsidR="005B6D57">
        <w:t xml:space="preserve">UK </w:t>
      </w:r>
      <w:r w:rsidR="0048595B">
        <w:t>data released as part of Dying Matters Awareness week suggests people are more comfortable talking about death and dying now than they were 10 years ago.</w:t>
      </w:r>
      <w:r w:rsidR="000A5EA9">
        <w:fldChar w:fldCharType="begin" w:fldLock="1"/>
      </w:r>
      <w:r w:rsidR="000A5EA9">
        <w:instrText>ADDIN CSL_CITATION { "citationItems" : [ { "id" : "ITEM-1", "itemData" : { "author" : [ { "dropping-particle" : "", "family" : "ComRes", "given" : "", "non-dropping-particle" : "", "parse-names" : false, "suffix" : "" } ], "id" : "ITEM-1", "issued" : { "date-parts" : [ [ "2015" ] ] }, "title" : "National Council for Palliative Care - Public Opinion on Death and Dying", "type" : "report" }, "uris" : [ "http://www.mendeley.com/documents/?uuid=9feed463-332a-4721-bcb2-97f1a14db16c" ] } ], "mendeley" : { "formattedCitation" : "&lt;sup&gt;3&lt;/sup&gt;", "plainTextFormattedCitation" : "3", "previouslyFormattedCitation" : "&lt;sup&gt;3&lt;/sup&gt;" }, "properties" : { "noteIndex" : 0 }, "schema" : "https://github.com/citation-style-language/schema/raw/master/csl-citation.json" }</w:instrText>
      </w:r>
      <w:r w:rsidR="000A5EA9">
        <w:fldChar w:fldCharType="separate"/>
      </w:r>
      <w:r w:rsidR="000A5EA9" w:rsidRPr="000A5EA9">
        <w:rPr>
          <w:noProof/>
          <w:vertAlign w:val="superscript"/>
        </w:rPr>
        <w:t>3</w:t>
      </w:r>
      <w:r w:rsidR="000A5EA9">
        <w:fldChar w:fldCharType="end"/>
      </w:r>
      <w:r w:rsidR="001455D5">
        <w:t xml:space="preserve"> </w:t>
      </w:r>
      <w:r w:rsidR="00E309E8">
        <w:t>Yet, end</w:t>
      </w:r>
      <w:r w:rsidR="00AE2CD9">
        <w:t>-</w:t>
      </w:r>
      <w:r w:rsidR="00E309E8">
        <w:t>of</w:t>
      </w:r>
      <w:r w:rsidR="00AE2CD9">
        <w:t>-</w:t>
      </w:r>
      <w:r w:rsidR="00E309E8">
        <w:t>life care has been described as ‘failing’</w:t>
      </w:r>
      <w:r w:rsidR="005B6D57">
        <w:t xml:space="preserve"> in a 2015 </w:t>
      </w:r>
      <w:r w:rsidR="005B6D57" w:rsidRPr="00366248">
        <w:rPr>
          <w:noProof/>
        </w:rPr>
        <w:t>Parliamentary and Health Service Ombudsman</w:t>
      </w:r>
      <w:r w:rsidR="005B6D57">
        <w:rPr>
          <w:noProof/>
        </w:rPr>
        <w:t>’s report</w:t>
      </w:r>
      <w:r w:rsidR="00E309E8">
        <w:t xml:space="preserve">, particularly in terms of discussing dying and documenting patient </w:t>
      </w:r>
      <w:proofErr w:type="spellStart"/>
      <w:r w:rsidR="00E309E8">
        <w:t>preferences.</w:t>
      </w:r>
      <w:r w:rsidR="00E309E8">
        <w:fldChar w:fldCharType="begin" w:fldLock="1"/>
      </w:r>
      <w:r w:rsidR="00006007">
        <w:instrText>ADDIN CSL_CITATION { "citationItems" : [ { "id" : "ITEM-1", "itemData" : { "author" : [ { "dropping-particle" : "", "family" : "Parliamentary and Health Service Ombudsman", "given" : "", "non-dropping-particle" : "", "parse-names" : false, "suffix" : "" } ], "id" : "ITEM-1", "issued" : { "date-parts" : [ [ "2015" ] ] }, "publisher-place" : "London", "title" : "Dying without dignity", "type" : "report" }, "uris" : [ "http://www.mendeley.com/documents/?uuid=595d7c9b-702b-4ace-bbf5-f6d1930fb91e" ] } ], "mendeley" : { "formattedCitation" : "&lt;sup&gt;4&lt;/sup&gt;", "plainTextFormattedCitation" : "4", "previouslyFormattedCitation" : "&lt;sup&gt;4&lt;/sup&gt;" }, "properties" : { "noteIndex" : 0 }, "schema" : "https://github.com/citation-style-language/schema/raw/master/csl-citation.json" }</w:instrText>
      </w:r>
      <w:r w:rsidR="00E309E8">
        <w:fldChar w:fldCharType="separate"/>
      </w:r>
      <w:r w:rsidR="00366248" w:rsidRPr="00366248">
        <w:rPr>
          <w:noProof/>
          <w:vertAlign w:val="superscript"/>
        </w:rPr>
        <w:t>4</w:t>
      </w:r>
      <w:proofErr w:type="spellEnd"/>
      <w:r w:rsidR="00E309E8">
        <w:fldChar w:fldCharType="end"/>
      </w:r>
      <w:r w:rsidR="00E309E8">
        <w:t xml:space="preserve"> </w:t>
      </w:r>
    </w:p>
    <w:p w14:paraId="6A80893E" w14:textId="36F4D2C9" w:rsidR="00F31B15" w:rsidRDefault="00C92550">
      <w:r>
        <w:t xml:space="preserve">A theme appears to be emerging from the history of attempts to scale up hospice style care into acute and mainstream health services. It may be that </w:t>
      </w:r>
      <w:r w:rsidR="00F31B15">
        <w:t xml:space="preserve">focusing on </w:t>
      </w:r>
      <w:r w:rsidR="00444113">
        <w:t xml:space="preserve">the tools and documents of advance care </w:t>
      </w:r>
      <w:r w:rsidR="00D35D33">
        <w:t>planning risks</w:t>
      </w:r>
      <w:r w:rsidR="00444113">
        <w:t xml:space="preserve"> undermining the discussions </w:t>
      </w:r>
      <w:r w:rsidR="0011188D">
        <w:t xml:space="preserve">and relational care </w:t>
      </w:r>
      <w:r w:rsidR="00444113">
        <w:t xml:space="preserve">they are </w:t>
      </w:r>
      <w:r>
        <w:t>intended to support</w:t>
      </w:r>
      <w:r w:rsidR="00444113">
        <w:t xml:space="preserve">. </w:t>
      </w:r>
    </w:p>
    <w:p w14:paraId="3791338D" w14:textId="245CD82E" w:rsidR="00C5326B" w:rsidRDefault="00C5326B">
      <w:r>
        <w:t>This i</w:t>
      </w:r>
      <w:r w:rsidR="004D3C05">
        <w:t>s evident in observations of how advance care planning documents and tools</w:t>
      </w:r>
      <w:r>
        <w:t>, like the Preferred Priorities of Care among others,</w:t>
      </w:r>
      <w:r w:rsidR="004D3C05">
        <w:t xml:space="preserve"> have been used in daily clinical practice</w:t>
      </w:r>
      <w:r w:rsidR="001907E6">
        <w:t xml:space="preserve">. </w:t>
      </w:r>
      <w:r w:rsidR="004D3C05">
        <w:t xml:space="preserve"> </w:t>
      </w:r>
      <w:r w:rsidR="001907E6">
        <w:t xml:space="preserve">The tools advocated by policy are often document or software-based and create another, new process that staff and patients must follow before clinical decisions can be put into practice. </w:t>
      </w:r>
      <w:r w:rsidR="00604475">
        <w:t xml:space="preserve">In an ethnographic study on advance care planning, staff across the medical and social care spectrum often viewed the planning documents as </w:t>
      </w:r>
      <w:r>
        <w:t>something that ‘had to be done’.</w:t>
      </w:r>
      <w:r w:rsidRPr="00C5326B">
        <w:t xml:space="preserve"> </w:t>
      </w:r>
      <w:r>
        <w:fldChar w:fldCharType="begin" w:fldLock="1"/>
      </w:r>
      <w:r w:rsidR="00006007">
        <w:instrText>ADDIN CSL_CITATION { "citationItems" : [ { "id" : "ITEM-1", "itemData" : { "author" : [ { "dropping-particle" : "", "family" : "Borgstrom", "given" : "Erica", "non-dropping-particle" : "", "parse-names" : false, "suffix" : "" } ], "id" : "ITEM-1", "issued" : { "date-parts" : [ [ "2014" ] ] }, "publisher" : "University of Cambridge", "publisher-place" : "Cambridge", "title" : "Planning for Death? An Ethnographic Study of English End-of-Life Care", "type" : "thesis", "volume" : "PhD" }, "uris" : [ "http://www.mendeley.com/documents/?uuid=64b95580-0b51-45dc-9ac4-fbfc36a07a53" ] } ], "mendeley" : { "formattedCitation" : "&lt;sup&gt;5&lt;/sup&gt;", "plainTextFormattedCitation" : "5", "previouslyFormattedCitation" : "&lt;sup&gt;5&lt;/sup&gt;" }, "properties" : { "noteIndex" : 0 }, "schema" : "https://github.com/citation-style-language/schema/raw/master/csl-citation.json" }</w:instrText>
      </w:r>
      <w:r>
        <w:fldChar w:fldCharType="separate"/>
      </w:r>
      <w:r w:rsidR="00006007" w:rsidRPr="00006007">
        <w:rPr>
          <w:noProof/>
          <w:vertAlign w:val="superscript"/>
        </w:rPr>
        <w:t>5</w:t>
      </w:r>
      <w:r>
        <w:fldChar w:fldCharType="end"/>
      </w:r>
      <w:r>
        <w:t xml:space="preserve"> They suggested</w:t>
      </w:r>
      <w:r w:rsidR="00604475">
        <w:t xml:space="preserve"> that the tools structured the advance care planning conversations into another task that had to be navigated as part of their job</w:t>
      </w:r>
      <w:r>
        <w:t>, rather than just being a prompt for discussions as potentially originally designed and advocated. Instead, staff felt pressured to document specific details in limited time and non-private spaces, and with patients who may be perceived as uncooperative, as part of a commitment to ‘best practice’. Consequently, some people have begun to question the validity of the approach and usefulness in providing care.</w:t>
      </w:r>
      <w:r w:rsidRPr="00E01E4A">
        <w:t xml:space="preserve"> </w:t>
      </w:r>
    </w:p>
    <w:p w14:paraId="601DFCEB" w14:textId="2A56C298" w:rsidR="00AC6C8B" w:rsidRDefault="003F10C5">
      <w:r>
        <w:t xml:space="preserve">Desires to audit </w:t>
      </w:r>
      <w:r w:rsidR="00E309E8">
        <w:t>the</w:t>
      </w:r>
      <w:r>
        <w:t xml:space="preserve"> use </w:t>
      </w:r>
      <w:r w:rsidR="00E309E8">
        <w:t xml:space="preserve">of </w:t>
      </w:r>
      <w:r w:rsidR="00C5326B">
        <w:t xml:space="preserve">these </w:t>
      </w:r>
      <w:r w:rsidR="00E309E8">
        <w:t>documents</w:t>
      </w:r>
      <w:r w:rsidR="00C5326B">
        <w:t xml:space="preserve">, such as care plans, </w:t>
      </w:r>
      <w:r>
        <w:t>add weight to the idea that institutions are interested in the tool, and the process of collect</w:t>
      </w:r>
      <w:r w:rsidR="00E309E8">
        <w:t>ing patient preferences, rather than the ways in which care is delivered.</w:t>
      </w:r>
      <w:r>
        <w:t xml:space="preserve"> </w:t>
      </w:r>
      <w:r w:rsidR="00E01E4A">
        <w:t>This sentiment was supported in this year’s Dying Matters annual debate on whether a good death is possible: the speakers noted that clinicians are often judged on the boxes they tick, not given the time to talk</w:t>
      </w:r>
      <w:r w:rsidR="00C92550">
        <w:t xml:space="preserve">, </w:t>
      </w:r>
      <w:r w:rsidR="00E01E4A">
        <w:t xml:space="preserve">and </w:t>
      </w:r>
      <w:r w:rsidR="00C92550">
        <w:t xml:space="preserve">more </w:t>
      </w:r>
      <w:r w:rsidR="00E01E4A">
        <w:t>importantly</w:t>
      </w:r>
      <w:r w:rsidR="005A2B1B">
        <w:t>, listen</w:t>
      </w:r>
      <w:r w:rsidR="00E01E4A">
        <w:t xml:space="preserve"> to patients.</w:t>
      </w:r>
      <w:r w:rsidR="00C5326B">
        <w:t xml:space="preserve"> </w:t>
      </w:r>
      <w:r>
        <w:t xml:space="preserve">The focus on </w:t>
      </w:r>
      <w:r w:rsidR="00A9770D">
        <w:t>using tools</w:t>
      </w:r>
      <w:r w:rsidR="00C92550">
        <w:t xml:space="preserve"> </w:t>
      </w:r>
      <w:r>
        <w:t>can consequently unintentionally reduce personal</w:t>
      </w:r>
      <w:r w:rsidR="00E01E4A">
        <w:t xml:space="preserve">ised and </w:t>
      </w:r>
      <w:r>
        <w:t>relational care</w:t>
      </w:r>
      <w:r w:rsidR="00C92550">
        <w:t>,</w:t>
      </w:r>
      <w:r w:rsidR="00C92550" w:rsidRPr="00C92550">
        <w:t xml:space="preserve"> </w:t>
      </w:r>
      <w:r w:rsidR="00C92550">
        <w:t>by demonstrating a commitment to ‘best practice’, rather than to the individualised care of the patient in front of them.</w:t>
      </w:r>
    </w:p>
    <w:p w14:paraId="384A2B33" w14:textId="77777777" w:rsidR="00006007" w:rsidRDefault="00006007" w:rsidP="00006007">
      <w:r>
        <w:t xml:space="preserve">The use of such tools to facilitate care has come from a desire to provide more person-centred care. However, another important factor is the requirement of modern healthcare provider organisations </w:t>
      </w:r>
      <w:r>
        <w:lastRenderedPageBreak/>
        <w:t>to demonstrate quality assurance to their own governing bodies as well as statutory regulators. It is possible that documents designed to facilitate audit of clinical practice come to subsume the very process that they record, becoming prioritised over and above person-centred practice in the mind of health care professionals.</w:t>
      </w:r>
    </w:p>
    <w:p w14:paraId="5ABF9EE5" w14:textId="3F01F885" w:rsidR="00604475" w:rsidRDefault="00604475" w:rsidP="00604475">
      <w:r>
        <w:t>Previous research has noted that good intentions and positive care philosophies often unwittingly get subsumed in the routines and structures of organisations.</w:t>
      </w:r>
      <w:r w:rsidR="00006007">
        <w:t xml:space="preserve"> </w:t>
      </w:r>
      <w:r>
        <w:t xml:space="preserve">For example, James and Field noted back in 1992 that as hospices began to replicate a medical model of service organisation, including an emphasis on bureaucracy and professionalism, the care they provided became </w:t>
      </w:r>
      <w:proofErr w:type="spellStart"/>
      <w:r>
        <w:t>routinized.</w:t>
      </w:r>
      <w:r w:rsidR="00006007">
        <w:fldChar w:fldCharType="begin" w:fldLock="1"/>
      </w:r>
      <w:r w:rsidR="00006007">
        <w:instrText>ADDIN CSL_CITATION { "citationItems" : [ { "id" : "ITEM-1", "itemData" : { "author" : [ { "dropping-particle" : "", "family" : "James", "given" : "Nicky", "non-dropping-particle" : "", "parse-names" : false, "suffix" : "" }, { "dropping-particle" : "", "family" : "Field", "given" : "David", "non-dropping-particle" : "", "parse-names" : false, "suffix" : "" } ], "container-title" : "Social Science &amp; Medicine", "id" : "ITEM-1", "issue" : "12", "issued" : { "date-parts" : [ [ "1992" ] ] }, "page" : "1363-1375", "title" : "The Routinization of Hospice: Charisma and Bureaucratization", "type" : "article-journal", "volume" : "34" }, "uris" : [ "http://www.mendeley.com/documents/?uuid=74b55937-a6a3-4fd4-ba19-de0cb3213f6e" ] } ], "mendeley" : { "formattedCitation" : "&lt;sup&gt;6&lt;/sup&gt;", "plainTextFormattedCitation" : "6", "previouslyFormattedCitation" : "&lt;sup&gt;6&lt;/sup&gt;" }, "properties" : { "noteIndex" : 0 }, "schema" : "https://github.com/citation-style-language/schema/raw/master/csl-citation.json" }</w:instrText>
      </w:r>
      <w:r w:rsidR="00006007">
        <w:fldChar w:fldCharType="separate"/>
      </w:r>
      <w:r w:rsidR="00006007" w:rsidRPr="00006007">
        <w:rPr>
          <w:noProof/>
          <w:vertAlign w:val="superscript"/>
        </w:rPr>
        <w:t>6</w:t>
      </w:r>
      <w:proofErr w:type="spellEnd"/>
      <w:r w:rsidR="00006007">
        <w:fldChar w:fldCharType="end"/>
      </w:r>
      <w:r>
        <w:t xml:space="preserve"> Similarly, research in care home</w:t>
      </w:r>
      <w:r w:rsidR="00006007">
        <w:t>s</w:t>
      </w:r>
      <w:r>
        <w:t xml:space="preserve"> suggests that organisational structures that emphasise discrete, functional tasks can undermine the ability to provide person-centred care, even when </w:t>
      </w:r>
      <w:proofErr w:type="gramStart"/>
      <w:r>
        <w:t>staff value</w:t>
      </w:r>
      <w:proofErr w:type="gramEnd"/>
      <w:r>
        <w:t xml:space="preserve"> the ability to engage with people on an interpersonal level.</w:t>
      </w:r>
      <w:r w:rsidR="00006007">
        <w:t xml:space="preserve"> </w:t>
      </w:r>
      <w:r w:rsidR="00006007">
        <w:fldChar w:fldCharType="begin" w:fldLock="1"/>
      </w:r>
      <w:r w:rsidR="00006007">
        <w:instrText>ADDIN CSL_CITATION { "citationItems" : [ { "id" : "ITEM-1", "itemData" : { "DOI" : "10.1080/01634372.2011.639438", "ISSN" : "1540-4048", "PMID" : "22486399", "abstract" : "Long-term residential care facilities for older adults currently espouse a philosophy of person-centered care (PCC). However, these facilities operate according to a medical model with highly structured administration and regulation. As a result, there is tension between the priorities of the resident and the organization. A qualitative study conducted with 4 social workers and 1 physician employed in residential care facilities demonstrates not only the structural barriers to PCC, but also the importance of meaningful relationships to residents' socio-emotional well-being. The final section explores how organizational barriers might be mitigated through the complementary use of relational care.", "author" : [ { "dropping-particle" : "", "family" : "Rockwell", "given" : "Jasmyne", "non-dropping-particle" : "", "parse-names" : false, "suffix" : "" } ], "container-title" : "Journal of gerontological social work", "id" : "ITEM-1", "issue" : "3", "issued" : { "date-parts" : [ [ "2012", "1", "9" ] ] }, "language" : "en", "page" : "233-48", "publisher" : "Taylor &amp; Francis Group", "title" : "From person-centered to relational care: expanding the focus in residential care facilities.", "type" : "article-journal", "volume" : "55" }, "uris" : [ "http://www.mendeley.com/documents/?uuid=8aace68b-3249-4fcf-a3bc-8dc0bb761448" ] } ], "mendeley" : { "formattedCitation" : "&lt;sup&gt;7&lt;/sup&gt;", "plainTextFormattedCitation" : "7", "previouslyFormattedCitation" : "&lt;sup&gt;7&lt;/sup&gt;" }, "properties" : { "noteIndex" : 0 }, "schema" : "https://github.com/citation-style-language/schema/raw/master/csl-citation.json" }</w:instrText>
      </w:r>
      <w:r w:rsidR="00006007">
        <w:fldChar w:fldCharType="separate"/>
      </w:r>
      <w:r w:rsidR="00006007" w:rsidRPr="00006007">
        <w:rPr>
          <w:noProof/>
          <w:vertAlign w:val="superscript"/>
        </w:rPr>
        <w:t>7</w:t>
      </w:r>
      <w:r w:rsidR="00006007">
        <w:fldChar w:fldCharType="end"/>
      </w:r>
      <w:r w:rsidR="008C183E">
        <w:t xml:space="preserve"> Moreover, organisational drivers to use certain tools may encourage their adoption by staff without adequate training in understanding the purpose and design behind the procedures, as was suggested in the independent review of the Liverpool Care Pathway. </w:t>
      </w:r>
      <w:r w:rsidR="008C183E">
        <w:fldChar w:fldCharType="begin" w:fldLock="1"/>
      </w:r>
      <w:r w:rsidR="008C183E">
        <w:instrText>ADDIN CSL_CITATION { "citationItems" : [ { "id" : "ITEM-1", "itemData" : { "author" : [ { "dropping-particle" : "", "family" : "Neuberger", "given" : "Julia", "non-dropping-particle" : "", "parse-names" : false, "suffix" : "" }, { "dropping-particle" : "", "family" : "Aaronovitch", "given" : "David", "non-dropping-particle" : "", "parse-names" : false, "suffix" : "" }, { "dropping-particle" : "", "family" : "Bonser", "given" : "Tony", "non-dropping-particle" : "", "parse-names" : false, "suffix" : "" }, { "dropping-particle" : "", "family" : "Charlesworth-Smith", "given" : "Denise", "non-dropping-particle" : "", "parse-names" : false, "suffix" : "" }, { "dropping-particle" : "", "family" : "Cox", "given" : "Dennis", "non-dropping-particle" : "", "parse-names" : false, "suffix" : "" }, { "dropping-particle" : "", "family" : "Guthrie", "given" : "Charles", "non-dropping-particle" : "", "parse-names" : false, "suffix" : "" }, { "dropping-particle" : "", "family" : "Hameed", "given" : "Khalid", "non-dropping-particle" : "", "parse-names" : false, "suffix" : "" }, { "dropping-particle" : "", "family" : "Pentregarth", "given" : "Lord Harries of", "non-dropping-particle" : "", "parse-names" : false, "suffix" : "" }, { "dropping-particle" : "", "family" : "Jackson", "given" : "Emily", "non-dropping-particle" : "", "parse-names" : false, "suffix" : "" }, { "dropping-particle" : "", "family" : "Waller", "given" : "Sarah", "non-dropping-particle" : "", "parse-names" : false, "suffix" : "" } ], "id" : "ITEM-1", "issued" : { "date-parts" : [ [ "2013" ] ] }, "publisher" : "Independent Review of the Liverpool Care Pathway; Crown", "publisher-place" : "London", "title" : "More Care, Less Pathway: A Review of the Liverpool Care Pathway", "type" : "report" }, "uris" : [ "http://www.mendeley.com/documents/?uuid=b45d1439-134a-4c9f-b52a-56bc3969c8c6" ] } ], "mendeley" : { "formattedCitation" : "&lt;sup&gt;8&lt;/sup&gt;", "plainTextFormattedCitation" : "8" }, "properties" : { "noteIndex" : 0 }, "schema" : "https://github.com/citation-style-language/schema/raw/master/csl-citation.json" }</w:instrText>
      </w:r>
      <w:r w:rsidR="008C183E">
        <w:fldChar w:fldCharType="separate"/>
      </w:r>
      <w:r w:rsidR="008C183E" w:rsidRPr="008C183E">
        <w:rPr>
          <w:noProof/>
          <w:vertAlign w:val="superscript"/>
        </w:rPr>
        <w:t>8</w:t>
      </w:r>
      <w:r w:rsidR="008C183E">
        <w:fldChar w:fldCharType="end"/>
      </w:r>
      <w:r>
        <w:t xml:space="preserve"> Examining the structures of how care is ordered enables us to see how it has beco</w:t>
      </w:r>
      <w:r w:rsidR="00006007">
        <w:t>me procedural and disconnected from the values that the procedures were introduced to promote.</w:t>
      </w:r>
    </w:p>
    <w:p w14:paraId="2388CE45" w14:textId="5D73FDFC" w:rsidR="00151448" w:rsidRDefault="00151448">
      <w:r>
        <w:t xml:space="preserve">The logic of person-centred care often </w:t>
      </w:r>
      <w:r w:rsidR="00006007">
        <w:t>endorses</w:t>
      </w:r>
      <w:r>
        <w:t xml:space="preserve"> the idea of an autonomous individual patient who can make their wishes known and wh</w:t>
      </w:r>
      <w:r w:rsidR="00366248">
        <w:t xml:space="preserve">ose care is provided by </w:t>
      </w:r>
      <w:proofErr w:type="spellStart"/>
      <w:r w:rsidR="00366248">
        <w:t>others</w:t>
      </w:r>
      <w:r>
        <w:t>.</w:t>
      </w:r>
      <w:r w:rsidR="00366248">
        <w:fldChar w:fldCharType="begin" w:fldLock="1"/>
      </w:r>
      <w:r w:rsidR="00006007">
        <w:instrText>ADDIN CSL_CITATION { "citationItems" : [ { "id" : "ITEM-1", "itemData" : { "DOI" : "10.1080/01634372.2011.639438", "ISSN" : "1540-4048", "PMID" : "22486399", "abstract" : "Long-term residential care facilities for older adults currently espouse a philosophy of person-centered care (PCC). However, these facilities operate according to a medical model with highly structured administration and regulation. As a result, there is tension between the priorities of the resident and the organization. A qualitative study conducted with 4 social workers and 1 physician employed in residential care facilities demonstrates not only the structural barriers to PCC, but also the importance of meaningful relationships to residents' socio-emotional well-being. The final section explores how organizational barriers might be mitigated through the complementary use of relational care.", "author" : [ { "dropping-particle" : "", "family" : "Rockwell", "given" : "Jasmyne", "non-dropping-particle" : "", "parse-names" : false, "suffix" : "" } ], "container-title" : "Journal of gerontological social work", "id" : "ITEM-1", "issue" : "3", "issued" : { "date-parts" : [ [ "2012", "1", "9" ] ] }, "language" : "en", "page" : "233-48", "publisher" : "Taylor &amp; Francis Group", "title" : "From person-centered to relational care: expanding the focus in residential care facilities.", "type" : "article-journal", "volume" : "55" }, "uris" : [ "http://www.mendeley.com/documents/?uuid=8aace68b-3249-4fcf-a3bc-8dc0bb761448" ] } ], "mendeley" : { "formattedCitation" : "&lt;sup&gt;7&lt;/sup&gt;", "plainTextFormattedCitation" : "7", "previouslyFormattedCitation" : "&lt;sup&gt;7&lt;/sup&gt;" }, "properties" : { "noteIndex" : 0 }, "schema" : "https://github.com/citation-style-language/schema/raw/master/csl-citation.json" }</w:instrText>
      </w:r>
      <w:r w:rsidR="00366248">
        <w:fldChar w:fldCharType="separate"/>
      </w:r>
      <w:r w:rsidR="00006007" w:rsidRPr="00006007">
        <w:rPr>
          <w:noProof/>
          <w:vertAlign w:val="superscript"/>
        </w:rPr>
        <w:t>7</w:t>
      </w:r>
      <w:proofErr w:type="spellEnd"/>
      <w:r w:rsidR="00366248">
        <w:fldChar w:fldCharType="end"/>
      </w:r>
      <w:r>
        <w:t xml:space="preserve"> Relational care widens the focus of care beyond the individual</w:t>
      </w:r>
      <w:r w:rsidR="00366248">
        <w:t xml:space="preserve">, </w:t>
      </w:r>
      <w:r>
        <w:t>to include, for example, their family</w:t>
      </w:r>
      <w:r w:rsidR="00E01E4A">
        <w:t xml:space="preserve"> and even the environment. Importantly, relational care foregrounds care as an on-going process and relationship that is neither strictly received nor given, but forged through connection with others. </w:t>
      </w:r>
      <w:r w:rsidR="00366248">
        <w:t>Relational care, by its nature, is difficult to measure and financ</w:t>
      </w:r>
      <w:r w:rsidR="00843FAA">
        <w:t>ially incentivise</w:t>
      </w:r>
      <w:r w:rsidR="00631517">
        <w:t xml:space="preserve"> within current systems of commissioning and contracting</w:t>
      </w:r>
      <w:r w:rsidR="00843FAA">
        <w:t>. Although end-of-</w:t>
      </w:r>
      <w:r w:rsidR="00366248">
        <w:t xml:space="preserve">life </w:t>
      </w:r>
      <w:r w:rsidR="00E01E4A">
        <w:t>care promotes holistic care and ‘being with’ people,</w:t>
      </w:r>
      <w:r w:rsidR="00366248">
        <w:t xml:space="preserve"> </w:t>
      </w:r>
      <w:r w:rsidR="00E01E4A">
        <w:t>which should, in theory,</w:t>
      </w:r>
      <w:r w:rsidR="00366248">
        <w:t xml:space="preserve"> include relational care, </w:t>
      </w:r>
      <w:r w:rsidR="00E01E4A">
        <w:t>what it takes to provide this kind of care</w:t>
      </w:r>
      <w:r w:rsidR="00366248">
        <w:t xml:space="preserve"> – time, empathy, supportive spaces </w:t>
      </w:r>
      <w:r w:rsidR="00481AD1">
        <w:t>– is</w:t>
      </w:r>
      <w:r w:rsidR="00366248">
        <w:t xml:space="preserve"> often missing in the protocol and audited </w:t>
      </w:r>
      <w:r w:rsidR="00E01E4A">
        <w:t xml:space="preserve">versions of ‘best practice’. </w:t>
      </w:r>
    </w:p>
    <w:p w14:paraId="19F02C35" w14:textId="4706BAC1" w:rsidR="005962AE" w:rsidRDefault="00366248">
      <w:r>
        <w:t>A</w:t>
      </w:r>
      <w:r w:rsidR="003F10C5">
        <w:t>s end-of-life care policy</w:t>
      </w:r>
      <w:r w:rsidR="00DB7809">
        <w:t xml:space="preserve"> </w:t>
      </w:r>
      <w:r w:rsidR="003F10C5">
        <w:t>develops</w:t>
      </w:r>
      <w:r w:rsidR="000A5EA9">
        <w:t xml:space="preserve"> and advance care planning is being openly discussed</w:t>
      </w:r>
      <w:r w:rsidR="003F10C5">
        <w:t xml:space="preserve">, </w:t>
      </w:r>
      <w:proofErr w:type="gramStart"/>
      <w:r w:rsidR="003F10C5">
        <w:t>there</w:t>
      </w:r>
      <w:proofErr w:type="gramEnd"/>
      <w:r w:rsidR="003F10C5">
        <w:t xml:space="preserve"> needs to be an emphasis on relational care and flexibility in how that care is delivered. </w:t>
      </w:r>
      <w:r w:rsidR="00DF220E">
        <w:t>Whilst politicians and commissioners are interested in increasing the percentages of people dying at home</w:t>
      </w:r>
      <w:r w:rsidR="00631517">
        <w:t xml:space="preserve">, </w:t>
      </w:r>
      <w:r w:rsidR="00DF220E">
        <w:t xml:space="preserve">or their usual place of residence, it is clear </w:t>
      </w:r>
      <w:r w:rsidR="005A2B1B">
        <w:t>that</w:t>
      </w:r>
      <w:r w:rsidR="00DF220E">
        <w:t xml:space="preserve"> people are </w:t>
      </w:r>
      <w:r w:rsidR="005962AE">
        <w:t xml:space="preserve">anxious </w:t>
      </w:r>
      <w:r w:rsidR="00DF220E">
        <w:t>about the quality of care</w:t>
      </w:r>
      <w:r w:rsidR="00FD270D">
        <w:t>.</w:t>
      </w:r>
      <w:r w:rsidR="00E01E4A">
        <w:t xml:space="preserve"> </w:t>
      </w:r>
      <w:r w:rsidR="005962AE">
        <w:t xml:space="preserve">Reviews of </w:t>
      </w:r>
      <w:r w:rsidR="008C183E">
        <w:t>care</w:t>
      </w:r>
      <w:r w:rsidR="005962AE">
        <w:t xml:space="preserve"> at the end of life have highlighted that people are concerned about how they are treated (or not) as persons at the end of life, including the importance of recognising and accommodating the perspectives and needs of those related to and caring for them.</w:t>
      </w:r>
      <w:r w:rsidR="005962AE" w:rsidRPr="005962AE">
        <w:t xml:space="preserve"> </w:t>
      </w:r>
      <w:r w:rsidR="005962AE">
        <w:fldChar w:fldCharType="begin" w:fldLock="1"/>
      </w:r>
      <w:r w:rsidR="005962AE">
        <w:instrText>ADDIN CSL_CITATION { "citationItems" : [ { "id" : "ITEM-1", "itemData" : { "author" : [ { "dropping-particle" : "", "family" : "Neuberger", "given" : "Julia", "non-dropping-particle" : "", "parse-names" : false, "suffix" : "" }, { "dropping-particle" : "", "family" : "Aaronovitch", "given" : "David", "non-dropping-particle" : "", "parse-names" : false, "suffix" : "" }, { "dropping-particle" : "", "family" : "Bonser", "given" : "Tony", "non-dropping-particle" : "", "parse-names" : false, "suffix" : "" }, { "dropping-particle" : "", "family" : "Charlesworth-Smith", "given" : "Denise", "non-dropping-particle" : "", "parse-names" : false, "suffix" : "" }, { "dropping-particle" : "", "family" : "Cox", "given" : "Dennis", "non-dropping-particle" : "", "parse-names" : false, "suffix" : "" }, { "dropping-particle" : "", "family" : "Guthrie", "given" : "Charles", "non-dropping-particle" : "", "parse-names" : false, "suffix" : "" }, { "dropping-particle" : "", "family" : "Hameed", "given" : "Khalid", "non-dropping-particle" : "", "parse-names" : false, "suffix" : "" }, { "dropping-particle" : "", "family" : "Pentregarth", "given" : "Lord Harries of", "non-dropping-particle" : "", "parse-names" : false, "suffix" : "" }, { "dropping-particle" : "", "family" : "Jackson", "given" : "Emily", "non-dropping-particle" : "", "parse-names" : false, "suffix" : "" }, { "dropping-particle" : "", "family" : "Waller", "given" : "Sarah", "non-dropping-particle" : "", "parse-names" : false, "suffix" : "" } ], "id" : "ITEM-1", "issued" : { "date-parts" : [ [ "2013" ] ] }, "publisher" : "Independent Review of the Liverpool Care Pathway; Crown", "publisher-place" : "London", "title" : "More Care, Less Pathway: A Review of the Liverpool Care Pathway", "type" : "report" }, "uris" : [ "http://www.mendeley.com/documents/?uuid=b45d1439-134a-4c9f-b52a-56bc3969c8c6" ] }, { "id" : "ITEM-2", "itemData" : { "author" : [ { "dropping-particle" : "", "family" : "The Choice in End of Life Care Programme Board", "given" : "", "non-dropping-particle" : "", "parse-names" : false, "suffix" : "" } ], "id" : "ITEM-2", "issued" : { "date-parts" : [ [ "2015" ] ] }, "publisher-place" : "London", "title" : "What's Important to Me: A review of choice in end of life care", "type" : "report" }, "uris" : [ "http://www.mendeley.com/documents/?uuid=2731147a-2a96-4835-8ee4-443ca589ca20" ] } ], "mendeley" : { "formattedCitation" : "&lt;sup&gt;8,9&lt;/sup&gt;", "plainTextFormattedCitation" : "8,9", "previouslyFormattedCitation" : "&lt;sup&gt;8,9&lt;/sup&gt;" }, "properties" : { "noteIndex" : 0 }, "schema" : "https://github.com/citation-style-language/schema/raw/master/csl-citation.json" }</w:instrText>
      </w:r>
      <w:r w:rsidR="005962AE">
        <w:fldChar w:fldCharType="separate"/>
      </w:r>
      <w:r w:rsidR="005962AE" w:rsidRPr="00366248">
        <w:rPr>
          <w:noProof/>
          <w:vertAlign w:val="superscript"/>
        </w:rPr>
        <w:t>8,9</w:t>
      </w:r>
      <w:r w:rsidR="005962AE">
        <w:fldChar w:fldCharType="end"/>
      </w:r>
      <w:r w:rsidR="005962AE">
        <w:t xml:space="preserve"> </w:t>
      </w:r>
      <w:r w:rsidR="00FD270D">
        <w:t xml:space="preserve">The concerns expressed in these reviews suggests that relational care is often lacking, in part due to ‘poor communication’ about the dying process. </w:t>
      </w:r>
      <w:r w:rsidR="005962AE">
        <w:t xml:space="preserve">This is not </w:t>
      </w:r>
      <w:r w:rsidR="008C183E">
        <w:t xml:space="preserve">just </w:t>
      </w:r>
      <w:r w:rsidR="005962AE">
        <w:t xml:space="preserve">about adding ‘family’ to the list of those who need to be consulted about end-of-life care decision-making, although that may be relevant to do. </w:t>
      </w:r>
      <w:r w:rsidR="008C183E">
        <w:t>Relational care is about finding ways to connect to people and enabling them to continue to be part of, and perhaps forge new, meaningful relationships.</w:t>
      </w:r>
    </w:p>
    <w:p w14:paraId="3DC7655B" w14:textId="4BE08501" w:rsidR="003F10C5" w:rsidRDefault="0011188D">
      <w:r>
        <w:t>A focus on tools</w:t>
      </w:r>
      <w:r w:rsidR="005962AE">
        <w:t xml:space="preserve"> and protocols</w:t>
      </w:r>
      <w:r>
        <w:t xml:space="preserve"> </w:t>
      </w:r>
      <w:r w:rsidR="00DF220E">
        <w:t xml:space="preserve">may help reframe how we think about </w:t>
      </w:r>
      <w:r w:rsidR="00CD09A6">
        <w:t>caring for the dying</w:t>
      </w:r>
      <w:r w:rsidR="00DF220E">
        <w:t xml:space="preserve">, </w:t>
      </w:r>
      <w:r w:rsidR="00843FAA">
        <w:t xml:space="preserve">and even healthcare more broadly, </w:t>
      </w:r>
      <w:r w:rsidR="00DF220E">
        <w:t xml:space="preserve">but they in themselves are neither care nor </w:t>
      </w:r>
      <w:r w:rsidR="00631517">
        <w:t xml:space="preserve">valid </w:t>
      </w:r>
      <w:r w:rsidR="00DF220E">
        <w:t xml:space="preserve">indicators of </w:t>
      </w:r>
      <w:r w:rsidR="00631517">
        <w:t>end</w:t>
      </w:r>
      <w:r w:rsidR="005962AE">
        <w:t>-</w:t>
      </w:r>
      <w:r w:rsidR="00631517">
        <w:t>of</w:t>
      </w:r>
      <w:r w:rsidR="005962AE">
        <w:t>-</w:t>
      </w:r>
      <w:r w:rsidR="00631517">
        <w:t>life car</w:t>
      </w:r>
      <w:r w:rsidR="005A2B1B">
        <w:t>e</w:t>
      </w:r>
      <w:r w:rsidR="00631517">
        <w:t>, if we accept the importance that service users attribute to relational aspects of their care</w:t>
      </w:r>
      <w:r w:rsidR="00DF220E">
        <w:t>.</w:t>
      </w:r>
    </w:p>
    <w:p w14:paraId="1AF60C31" w14:textId="77777777" w:rsidR="00631517" w:rsidRDefault="00631517"/>
    <w:p w14:paraId="747499AA" w14:textId="5EC57139" w:rsidR="008C183E" w:rsidRPr="008C183E" w:rsidRDefault="000A5EA9">
      <w:pPr>
        <w:pStyle w:val="NormalWeb"/>
        <w:ind w:left="640" w:hanging="640"/>
        <w:divId w:val="943149027"/>
        <w:rPr>
          <w:noProof/>
        </w:rPr>
      </w:pPr>
      <w:r>
        <w:fldChar w:fldCharType="begin" w:fldLock="1"/>
      </w:r>
      <w:r>
        <w:instrText xml:space="preserve">ADDIN Mendeley Bibliography CSL_BIBLIOGRAPHY </w:instrText>
      </w:r>
      <w:r>
        <w:fldChar w:fldCharType="separate"/>
      </w:r>
      <w:r w:rsidR="008C183E" w:rsidRPr="008C183E">
        <w:rPr>
          <w:noProof/>
        </w:rPr>
        <w:t xml:space="preserve">1. </w:t>
      </w:r>
      <w:r w:rsidR="008C183E" w:rsidRPr="008C183E">
        <w:rPr>
          <w:noProof/>
        </w:rPr>
        <w:tab/>
        <w:t xml:space="preserve">Department of Health. </w:t>
      </w:r>
      <w:r w:rsidR="008C183E" w:rsidRPr="008C183E">
        <w:rPr>
          <w:i/>
          <w:iCs/>
          <w:noProof/>
        </w:rPr>
        <w:t>End of Life Care Strategy</w:t>
      </w:r>
      <w:r w:rsidR="008C183E" w:rsidRPr="008C183E">
        <w:rPr>
          <w:noProof/>
        </w:rPr>
        <w:t>. London: Crown; 2008.</w:t>
      </w:r>
    </w:p>
    <w:p w14:paraId="3837F496" w14:textId="77777777" w:rsidR="008C183E" w:rsidRPr="008C183E" w:rsidRDefault="008C183E">
      <w:pPr>
        <w:pStyle w:val="NormalWeb"/>
        <w:ind w:left="640" w:hanging="640"/>
        <w:divId w:val="943149027"/>
        <w:rPr>
          <w:noProof/>
        </w:rPr>
      </w:pPr>
      <w:r w:rsidRPr="008C183E">
        <w:rPr>
          <w:noProof/>
        </w:rPr>
        <w:lastRenderedPageBreak/>
        <w:t xml:space="preserve">2. </w:t>
      </w:r>
      <w:r w:rsidRPr="008C183E">
        <w:rPr>
          <w:noProof/>
        </w:rPr>
        <w:tab/>
        <w:t xml:space="preserve">Economist Intelligence Unit. </w:t>
      </w:r>
      <w:r w:rsidRPr="008C183E">
        <w:rPr>
          <w:i/>
          <w:iCs/>
          <w:noProof/>
        </w:rPr>
        <w:t>The Quality of Death: Ranking End-of-Life Care across the World</w:t>
      </w:r>
      <w:r w:rsidRPr="008C183E">
        <w:rPr>
          <w:noProof/>
        </w:rPr>
        <w:t>.; 2010.</w:t>
      </w:r>
    </w:p>
    <w:p w14:paraId="55AEF2A3" w14:textId="77777777" w:rsidR="008C183E" w:rsidRPr="008C183E" w:rsidRDefault="008C183E">
      <w:pPr>
        <w:pStyle w:val="NormalWeb"/>
        <w:ind w:left="640" w:hanging="640"/>
        <w:divId w:val="943149027"/>
        <w:rPr>
          <w:noProof/>
        </w:rPr>
      </w:pPr>
      <w:r w:rsidRPr="008C183E">
        <w:rPr>
          <w:noProof/>
        </w:rPr>
        <w:t xml:space="preserve">3. </w:t>
      </w:r>
      <w:r w:rsidRPr="008C183E">
        <w:rPr>
          <w:noProof/>
        </w:rPr>
        <w:tab/>
        <w:t xml:space="preserve">ComRes. </w:t>
      </w:r>
      <w:r w:rsidRPr="008C183E">
        <w:rPr>
          <w:i/>
          <w:iCs/>
          <w:noProof/>
        </w:rPr>
        <w:t>National Council for Palliative Care - Public Opinion on Death and Dying</w:t>
      </w:r>
      <w:r w:rsidRPr="008C183E">
        <w:rPr>
          <w:noProof/>
        </w:rPr>
        <w:t>.; 2015. http://dyingmatters.org/sites/default/files/files/National Council for Palliative Care_Public opinion on death and dying_5th May.pdf.</w:t>
      </w:r>
    </w:p>
    <w:p w14:paraId="339F3061" w14:textId="77777777" w:rsidR="008C183E" w:rsidRPr="008C183E" w:rsidRDefault="008C183E">
      <w:pPr>
        <w:pStyle w:val="NormalWeb"/>
        <w:ind w:left="640" w:hanging="640"/>
        <w:divId w:val="943149027"/>
        <w:rPr>
          <w:noProof/>
        </w:rPr>
      </w:pPr>
      <w:r w:rsidRPr="008C183E">
        <w:rPr>
          <w:noProof/>
        </w:rPr>
        <w:t xml:space="preserve">4. </w:t>
      </w:r>
      <w:r w:rsidRPr="008C183E">
        <w:rPr>
          <w:noProof/>
        </w:rPr>
        <w:tab/>
        <w:t xml:space="preserve">Parliamentary and Health Service Ombudsman. </w:t>
      </w:r>
      <w:r w:rsidRPr="008C183E">
        <w:rPr>
          <w:i/>
          <w:iCs/>
          <w:noProof/>
        </w:rPr>
        <w:t>Dying without Dignity</w:t>
      </w:r>
      <w:r w:rsidRPr="008C183E">
        <w:rPr>
          <w:noProof/>
        </w:rPr>
        <w:t>. London; 2015. http://www.ombudsman.org.uk/__data/assets/pdf_file/0019/32167/Dying_without_dignity_report.pdf.</w:t>
      </w:r>
    </w:p>
    <w:p w14:paraId="7D0FD8EB" w14:textId="77777777" w:rsidR="008C183E" w:rsidRPr="008C183E" w:rsidRDefault="008C183E">
      <w:pPr>
        <w:pStyle w:val="NormalWeb"/>
        <w:ind w:left="640" w:hanging="640"/>
        <w:divId w:val="943149027"/>
        <w:rPr>
          <w:noProof/>
        </w:rPr>
      </w:pPr>
      <w:r w:rsidRPr="008C183E">
        <w:rPr>
          <w:noProof/>
        </w:rPr>
        <w:t xml:space="preserve">5. </w:t>
      </w:r>
      <w:r w:rsidRPr="008C183E">
        <w:rPr>
          <w:noProof/>
        </w:rPr>
        <w:tab/>
        <w:t>Borgstrom E. Planning for Death? An Ethnographic Study of English End-of-Life Care. 2014;PhD. https://www.repository.cam.ac.uk/handle/1810/245560.</w:t>
      </w:r>
    </w:p>
    <w:p w14:paraId="6401ADD9" w14:textId="77777777" w:rsidR="008C183E" w:rsidRPr="008C183E" w:rsidRDefault="008C183E">
      <w:pPr>
        <w:pStyle w:val="NormalWeb"/>
        <w:ind w:left="640" w:hanging="640"/>
        <w:divId w:val="943149027"/>
        <w:rPr>
          <w:noProof/>
        </w:rPr>
      </w:pPr>
      <w:r w:rsidRPr="008C183E">
        <w:rPr>
          <w:noProof/>
        </w:rPr>
        <w:t xml:space="preserve">6. </w:t>
      </w:r>
      <w:r w:rsidRPr="008C183E">
        <w:rPr>
          <w:noProof/>
        </w:rPr>
        <w:tab/>
        <w:t xml:space="preserve">James N, Field D. The Routinization of Hospice: Charisma and Bureaucratization. </w:t>
      </w:r>
      <w:r w:rsidRPr="008C183E">
        <w:rPr>
          <w:i/>
          <w:iCs/>
          <w:noProof/>
        </w:rPr>
        <w:t>Soc Sci Med</w:t>
      </w:r>
      <w:r w:rsidRPr="008C183E">
        <w:rPr>
          <w:noProof/>
        </w:rPr>
        <w:t>. 1992;34(12):1363-1375.</w:t>
      </w:r>
    </w:p>
    <w:p w14:paraId="2F774F0D" w14:textId="77777777" w:rsidR="008C183E" w:rsidRPr="008C183E" w:rsidRDefault="008C183E">
      <w:pPr>
        <w:pStyle w:val="NormalWeb"/>
        <w:ind w:left="640" w:hanging="640"/>
        <w:divId w:val="943149027"/>
        <w:rPr>
          <w:noProof/>
        </w:rPr>
      </w:pPr>
      <w:r w:rsidRPr="008C183E">
        <w:rPr>
          <w:noProof/>
        </w:rPr>
        <w:t xml:space="preserve">7. </w:t>
      </w:r>
      <w:r w:rsidRPr="008C183E">
        <w:rPr>
          <w:noProof/>
        </w:rPr>
        <w:tab/>
        <w:t xml:space="preserve">Rockwell J. From person-centered to relational care: expanding the focus in residential care facilities. </w:t>
      </w:r>
      <w:r w:rsidRPr="008C183E">
        <w:rPr>
          <w:i/>
          <w:iCs/>
          <w:noProof/>
        </w:rPr>
        <w:t>J Gerontol Soc Work</w:t>
      </w:r>
      <w:r w:rsidRPr="008C183E">
        <w:rPr>
          <w:noProof/>
        </w:rPr>
        <w:t>. 2012;55(3):233-248. doi:10.1080/01634372.2011.639438.</w:t>
      </w:r>
    </w:p>
    <w:p w14:paraId="0F206ACF" w14:textId="77777777" w:rsidR="008C183E" w:rsidRPr="008C183E" w:rsidRDefault="008C183E">
      <w:pPr>
        <w:pStyle w:val="NormalWeb"/>
        <w:ind w:left="640" w:hanging="640"/>
        <w:divId w:val="943149027"/>
        <w:rPr>
          <w:noProof/>
        </w:rPr>
      </w:pPr>
      <w:r w:rsidRPr="008C183E">
        <w:rPr>
          <w:noProof/>
        </w:rPr>
        <w:t xml:space="preserve">8. </w:t>
      </w:r>
      <w:r w:rsidRPr="008C183E">
        <w:rPr>
          <w:noProof/>
        </w:rPr>
        <w:tab/>
        <w:t xml:space="preserve">Neuberger J, Aaronovitch D, Bonser T, et al. </w:t>
      </w:r>
      <w:r w:rsidRPr="008C183E">
        <w:rPr>
          <w:i/>
          <w:iCs/>
          <w:noProof/>
        </w:rPr>
        <w:t>More Care, Less Pathway: A Review of the Liverpool Care Pathway</w:t>
      </w:r>
      <w:r w:rsidRPr="008C183E">
        <w:rPr>
          <w:noProof/>
        </w:rPr>
        <w:t>. London: Independent Review of the Liverpool Care Pathway; Crown; 2013.</w:t>
      </w:r>
    </w:p>
    <w:p w14:paraId="69AE4CCE" w14:textId="77777777" w:rsidR="008C183E" w:rsidRPr="008C183E" w:rsidRDefault="008C183E">
      <w:pPr>
        <w:pStyle w:val="NormalWeb"/>
        <w:ind w:left="640" w:hanging="640"/>
        <w:divId w:val="943149027"/>
        <w:rPr>
          <w:noProof/>
        </w:rPr>
      </w:pPr>
      <w:r w:rsidRPr="008C183E">
        <w:rPr>
          <w:noProof/>
        </w:rPr>
        <w:t xml:space="preserve">9. </w:t>
      </w:r>
      <w:r w:rsidRPr="008C183E">
        <w:rPr>
          <w:noProof/>
        </w:rPr>
        <w:tab/>
        <w:t xml:space="preserve">The Choice in End of Life Care Programme Board. </w:t>
      </w:r>
      <w:r w:rsidRPr="008C183E">
        <w:rPr>
          <w:i/>
          <w:iCs/>
          <w:noProof/>
        </w:rPr>
        <w:t>What’s Important to Me: A Review of Choice in End of Life Care</w:t>
      </w:r>
      <w:r w:rsidRPr="008C183E">
        <w:rPr>
          <w:noProof/>
        </w:rPr>
        <w:t xml:space="preserve">. London; 2015. https://www.gov.uk/government/uploads/system/uploads/attachment_data/file/407244/CHOICE_REVIEW_FINAL_for_web.pdf. </w:t>
      </w:r>
    </w:p>
    <w:p w14:paraId="3538DB1A" w14:textId="5E34ED33" w:rsidR="001455D5" w:rsidRDefault="000A5EA9" w:rsidP="008C183E">
      <w:pPr>
        <w:pStyle w:val="NormalWeb"/>
        <w:ind w:left="640" w:hanging="640"/>
        <w:divId w:val="637691366"/>
      </w:pPr>
      <w:r>
        <w:fldChar w:fldCharType="end"/>
      </w:r>
    </w:p>
    <w:sectPr w:rsidR="00145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B7"/>
    <w:rsid w:val="00006007"/>
    <w:rsid w:val="000A5EA9"/>
    <w:rsid w:val="0011188D"/>
    <w:rsid w:val="001455D5"/>
    <w:rsid w:val="00151448"/>
    <w:rsid w:val="001907E6"/>
    <w:rsid w:val="001A44B0"/>
    <w:rsid w:val="00205C89"/>
    <w:rsid w:val="002857F1"/>
    <w:rsid w:val="002A6BF6"/>
    <w:rsid w:val="00366248"/>
    <w:rsid w:val="003F10C5"/>
    <w:rsid w:val="003F2752"/>
    <w:rsid w:val="004002BA"/>
    <w:rsid w:val="004007E7"/>
    <w:rsid w:val="00444113"/>
    <w:rsid w:val="004515DC"/>
    <w:rsid w:val="0046306F"/>
    <w:rsid w:val="00481AD1"/>
    <w:rsid w:val="0048595B"/>
    <w:rsid w:val="004D3C05"/>
    <w:rsid w:val="004D7EED"/>
    <w:rsid w:val="005800C7"/>
    <w:rsid w:val="005962AE"/>
    <w:rsid w:val="005A2B1B"/>
    <w:rsid w:val="005B6D57"/>
    <w:rsid w:val="005D279D"/>
    <w:rsid w:val="005F299F"/>
    <w:rsid w:val="006016ED"/>
    <w:rsid w:val="00604475"/>
    <w:rsid w:val="00631517"/>
    <w:rsid w:val="00643BE8"/>
    <w:rsid w:val="006E365F"/>
    <w:rsid w:val="00725D5C"/>
    <w:rsid w:val="00732B5B"/>
    <w:rsid w:val="00787491"/>
    <w:rsid w:val="007B3907"/>
    <w:rsid w:val="007B40AE"/>
    <w:rsid w:val="008000FF"/>
    <w:rsid w:val="00817F91"/>
    <w:rsid w:val="00843FAA"/>
    <w:rsid w:val="008C183E"/>
    <w:rsid w:val="008E43DF"/>
    <w:rsid w:val="008E55C0"/>
    <w:rsid w:val="00993F12"/>
    <w:rsid w:val="00A20558"/>
    <w:rsid w:val="00A33894"/>
    <w:rsid w:val="00A9770D"/>
    <w:rsid w:val="00AC6C8B"/>
    <w:rsid w:val="00AD4EE5"/>
    <w:rsid w:val="00AE2CD9"/>
    <w:rsid w:val="00B06870"/>
    <w:rsid w:val="00B4363E"/>
    <w:rsid w:val="00BC5405"/>
    <w:rsid w:val="00C1136D"/>
    <w:rsid w:val="00C230B6"/>
    <w:rsid w:val="00C31196"/>
    <w:rsid w:val="00C41B70"/>
    <w:rsid w:val="00C5326B"/>
    <w:rsid w:val="00C92550"/>
    <w:rsid w:val="00CD09A6"/>
    <w:rsid w:val="00D24FA8"/>
    <w:rsid w:val="00D33E60"/>
    <w:rsid w:val="00D35D33"/>
    <w:rsid w:val="00D520B7"/>
    <w:rsid w:val="00DB7809"/>
    <w:rsid w:val="00DF220E"/>
    <w:rsid w:val="00E01E4A"/>
    <w:rsid w:val="00E309E8"/>
    <w:rsid w:val="00E93152"/>
    <w:rsid w:val="00EA134B"/>
    <w:rsid w:val="00EC54D9"/>
    <w:rsid w:val="00EF4D7D"/>
    <w:rsid w:val="00F31B15"/>
    <w:rsid w:val="00F67362"/>
    <w:rsid w:val="00F777FC"/>
    <w:rsid w:val="00FD2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7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5D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1455D5"/>
    <w:rPr>
      <w:sz w:val="16"/>
      <w:szCs w:val="16"/>
    </w:rPr>
  </w:style>
  <w:style w:type="paragraph" w:styleId="CommentText">
    <w:name w:val="annotation text"/>
    <w:basedOn w:val="Normal"/>
    <w:link w:val="CommentTextChar"/>
    <w:uiPriority w:val="99"/>
    <w:semiHidden/>
    <w:unhideWhenUsed/>
    <w:rsid w:val="001455D5"/>
    <w:pPr>
      <w:spacing w:line="240" w:lineRule="auto"/>
    </w:pPr>
    <w:rPr>
      <w:sz w:val="20"/>
      <w:szCs w:val="20"/>
    </w:rPr>
  </w:style>
  <w:style w:type="character" w:customStyle="1" w:styleId="CommentTextChar">
    <w:name w:val="Comment Text Char"/>
    <w:basedOn w:val="DefaultParagraphFont"/>
    <w:link w:val="CommentText"/>
    <w:uiPriority w:val="99"/>
    <w:semiHidden/>
    <w:rsid w:val="001455D5"/>
    <w:rPr>
      <w:sz w:val="20"/>
      <w:szCs w:val="20"/>
    </w:rPr>
  </w:style>
  <w:style w:type="paragraph" w:styleId="CommentSubject">
    <w:name w:val="annotation subject"/>
    <w:basedOn w:val="CommentText"/>
    <w:next w:val="CommentText"/>
    <w:link w:val="CommentSubjectChar"/>
    <w:uiPriority w:val="99"/>
    <w:semiHidden/>
    <w:unhideWhenUsed/>
    <w:rsid w:val="001455D5"/>
    <w:rPr>
      <w:b/>
      <w:bCs/>
    </w:rPr>
  </w:style>
  <w:style w:type="character" w:customStyle="1" w:styleId="CommentSubjectChar">
    <w:name w:val="Comment Subject Char"/>
    <w:basedOn w:val="CommentTextChar"/>
    <w:link w:val="CommentSubject"/>
    <w:uiPriority w:val="99"/>
    <w:semiHidden/>
    <w:rsid w:val="001455D5"/>
    <w:rPr>
      <w:b/>
      <w:bCs/>
      <w:sz w:val="20"/>
      <w:szCs w:val="20"/>
    </w:rPr>
  </w:style>
  <w:style w:type="paragraph" w:styleId="BalloonText">
    <w:name w:val="Balloon Text"/>
    <w:basedOn w:val="Normal"/>
    <w:link w:val="BalloonTextChar"/>
    <w:uiPriority w:val="99"/>
    <w:semiHidden/>
    <w:unhideWhenUsed/>
    <w:rsid w:val="0014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5D5"/>
    <w:rPr>
      <w:rFonts w:ascii="Tahoma" w:hAnsi="Tahoma" w:cs="Tahoma"/>
      <w:sz w:val="16"/>
      <w:szCs w:val="16"/>
    </w:rPr>
  </w:style>
  <w:style w:type="character" w:styleId="Hyperlink">
    <w:name w:val="Hyperlink"/>
    <w:basedOn w:val="DefaultParagraphFont"/>
    <w:uiPriority w:val="99"/>
    <w:unhideWhenUsed/>
    <w:rsid w:val="008000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5D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1455D5"/>
    <w:rPr>
      <w:sz w:val="16"/>
      <w:szCs w:val="16"/>
    </w:rPr>
  </w:style>
  <w:style w:type="paragraph" w:styleId="CommentText">
    <w:name w:val="annotation text"/>
    <w:basedOn w:val="Normal"/>
    <w:link w:val="CommentTextChar"/>
    <w:uiPriority w:val="99"/>
    <w:semiHidden/>
    <w:unhideWhenUsed/>
    <w:rsid w:val="001455D5"/>
    <w:pPr>
      <w:spacing w:line="240" w:lineRule="auto"/>
    </w:pPr>
    <w:rPr>
      <w:sz w:val="20"/>
      <w:szCs w:val="20"/>
    </w:rPr>
  </w:style>
  <w:style w:type="character" w:customStyle="1" w:styleId="CommentTextChar">
    <w:name w:val="Comment Text Char"/>
    <w:basedOn w:val="DefaultParagraphFont"/>
    <w:link w:val="CommentText"/>
    <w:uiPriority w:val="99"/>
    <w:semiHidden/>
    <w:rsid w:val="001455D5"/>
    <w:rPr>
      <w:sz w:val="20"/>
      <w:szCs w:val="20"/>
    </w:rPr>
  </w:style>
  <w:style w:type="paragraph" w:styleId="CommentSubject">
    <w:name w:val="annotation subject"/>
    <w:basedOn w:val="CommentText"/>
    <w:next w:val="CommentText"/>
    <w:link w:val="CommentSubjectChar"/>
    <w:uiPriority w:val="99"/>
    <w:semiHidden/>
    <w:unhideWhenUsed/>
    <w:rsid w:val="001455D5"/>
    <w:rPr>
      <w:b/>
      <w:bCs/>
    </w:rPr>
  </w:style>
  <w:style w:type="character" w:customStyle="1" w:styleId="CommentSubjectChar">
    <w:name w:val="Comment Subject Char"/>
    <w:basedOn w:val="CommentTextChar"/>
    <w:link w:val="CommentSubject"/>
    <w:uiPriority w:val="99"/>
    <w:semiHidden/>
    <w:rsid w:val="001455D5"/>
    <w:rPr>
      <w:b/>
      <w:bCs/>
      <w:sz w:val="20"/>
      <w:szCs w:val="20"/>
    </w:rPr>
  </w:style>
  <w:style w:type="paragraph" w:styleId="BalloonText">
    <w:name w:val="Balloon Text"/>
    <w:basedOn w:val="Normal"/>
    <w:link w:val="BalloonTextChar"/>
    <w:uiPriority w:val="99"/>
    <w:semiHidden/>
    <w:unhideWhenUsed/>
    <w:rsid w:val="0014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5D5"/>
    <w:rPr>
      <w:rFonts w:ascii="Tahoma" w:hAnsi="Tahoma" w:cs="Tahoma"/>
      <w:sz w:val="16"/>
      <w:szCs w:val="16"/>
    </w:rPr>
  </w:style>
  <w:style w:type="character" w:styleId="Hyperlink">
    <w:name w:val="Hyperlink"/>
    <w:basedOn w:val="DefaultParagraphFont"/>
    <w:uiPriority w:val="99"/>
    <w:unhideWhenUsed/>
    <w:rsid w:val="00800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7139">
      <w:bodyDiv w:val="1"/>
      <w:marLeft w:val="0"/>
      <w:marRight w:val="0"/>
      <w:marTop w:val="0"/>
      <w:marBottom w:val="0"/>
      <w:divBdr>
        <w:top w:val="none" w:sz="0" w:space="0" w:color="auto"/>
        <w:left w:val="none" w:sz="0" w:space="0" w:color="auto"/>
        <w:bottom w:val="none" w:sz="0" w:space="0" w:color="auto"/>
        <w:right w:val="none" w:sz="0" w:space="0" w:color="auto"/>
      </w:divBdr>
      <w:divsChild>
        <w:div w:id="1605115328">
          <w:marLeft w:val="0"/>
          <w:marRight w:val="0"/>
          <w:marTop w:val="0"/>
          <w:marBottom w:val="0"/>
          <w:divBdr>
            <w:top w:val="none" w:sz="0" w:space="0" w:color="auto"/>
            <w:left w:val="none" w:sz="0" w:space="0" w:color="auto"/>
            <w:bottom w:val="none" w:sz="0" w:space="0" w:color="auto"/>
            <w:right w:val="none" w:sz="0" w:space="0" w:color="auto"/>
          </w:divBdr>
          <w:divsChild>
            <w:div w:id="298919420">
              <w:marLeft w:val="0"/>
              <w:marRight w:val="0"/>
              <w:marTop w:val="0"/>
              <w:marBottom w:val="0"/>
              <w:divBdr>
                <w:top w:val="none" w:sz="0" w:space="0" w:color="auto"/>
                <w:left w:val="none" w:sz="0" w:space="0" w:color="auto"/>
                <w:bottom w:val="none" w:sz="0" w:space="0" w:color="auto"/>
                <w:right w:val="none" w:sz="0" w:space="0" w:color="auto"/>
              </w:divBdr>
            </w:div>
            <w:div w:id="1243368986">
              <w:marLeft w:val="0"/>
              <w:marRight w:val="0"/>
              <w:marTop w:val="0"/>
              <w:marBottom w:val="0"/>
              <w:divBdr>
                <w:top w:val="none" w:sz="0" w:space="0" w:color="auto"/>
                <w:left w:val="none" w:sz="0" w:space="0" w:color="auto"/>
                <w:bottom w:val="none" w:sz="0" w:space="0" w:color="auto"/>
                <w:right w:val="none" w:sz="0" w:space="0" w:color="auto"/>
              </w:divBdr>
              <w:divsChild>
                <w:div w:id="940600006">
                  <w:marLeft w:val="0"/>
                  <w:marRight w:val="0"/>
                  <w:marTop w:val="0"/>
                  <w:marBottom w:val="0"/>
                  <w:divBdr>
                    <w:top w:val="none" w:sz="0" w:space="0" w:color="auto"/>
                    <w:left w:val="none" w:sz="0" w:space="0" w:color="auto"/>
                    <w:bottom w:val="none" w:sz="0" w:space="0" w:color="auto"/>
                    <w:right w:val="none" w:sz="0" w:space="0" w:color="auto"/>
                  </w:divBdr>
                  <w:divsChild>
                    <w:div w:id="770470983">
                      <w:marLeft w:val="0"/>
                      <w:marRight w:val="0"/>
                      <w:marTop w:val="0"/>
                      <w:marBottom w:val="0"/>
                      <w:divBdr>
                        <w:top w:val="none" w:sz="0" w:space="0" w:color="auto"/>
                        <w:left w:val="none" w:sz="0" w:space="0" w:color="auto"/>
                        <w:bottom w:val="none" w:sz="0" w:space="0" w:color="auto"/>
                        <w:right w:val="none" w:sz="0" w:space="0" w:color="auto"/>
                      </w:divBdr>
                      <w:divsChild>
                        <w:div w:id="500632044">
                          <w:marLeft w:val="0"/>
                          <w:marRight w:val="0"/>
                          <w:marTop w:val="0"/>
                          <w:marBottom w:val="0"/>
                          <w:divBdr>
                            <w:top w:val="none" w:sz="0" w:space="0" w:color="auto"/>
                            <w:left w:val="none" w:sz="0" w:space="0" w:color="auto"/>
                            <w:bottom w:val="none" w:sz="0" w:space="0" w:color="auto"/>
                            <w:right w:val="none" w:sz="0" w:space="0" w:color="auto"/>
                          </w:divBdr>
                          <w:divsChild>
                            <w:div w:id="1190800197">
                              <w:marLeft w:val="0"/>
                              <w:marRight w:val="0"/>
                              <w:marTop w:val="0"/>
                              <w:marBottom w:val="0"/>
                              <w:divBdr>
                                <w:top w:val="none" w:sz="0" w:space="0" w:color="auto"/>
                                <w:left w:val="none" w:sz="0" w:space="0" w:color="auto"/>
                                <w:bottom w:val="none" w:sz="0" w:space="0" w:color="auto"/>
                                <w:right w:val="none" w:sz="0" w:space="0" w:color="auto"/>
                              </w:divBdr>
                              <w:divsChild>
                                <w:div w:id="2019845663">
                                  <w:marLeft w:val="0"/>
                                  <w:marRight w:val="0"/>
                                  <w:marTop w:val="0"/>
                                  <w:marBottom w:val="0"/>
                                  <w:divBdr>
                                    <w:top w:val="none" w:sz="0" w:space="0" w:color="auto"/>
                                    <w:left w:val="none" w:sz="0" w:space="0" w:color="auto"/>
                                    <w:bottom w:val="none" w:sz="0" w:space="0" w:color="auto"/>
                                    <w:right w:val="none" w:sz="0" w:space="0" w:color="auto"/>
                                  </w:divBdr>
                                  <w:divsChild>
                                    <w:div w:id="1431966361">
                                      <w:marLeft w:val="0"/>
                                      <w:marRight w:val="0"/>
                                      <w:marTop w:val="0"/>
                                      <w:marBottom w:val="0"/>
                                      <w:divBdr>
                                        <w:top w:val="none" w:sz="0" w:space="0" w:color="auto"/>
                                        <w:left w:val="none" w:sz="0" w:space="0" w:color="auto"/>
                                        <w:bottom w:val="none" w:sz="0" w:space="0" w:color="auto"/>
                                        <w:right w:val="none" w:sz="0" w:space="0" w:color="auto"/>
                                      </w:divBdr>
                                      <w:divsChild>
                                        <w:div w:id="1646620657">
                                          <w:marLeft w:val="0"/>
                                          <w:marRight w:val="0"/>
                                          <w:marTop w:val="0"/>
                                          <w:marBottom w:val="0"/>
                                          <w:divBdr>
                                            <w:top w:val="none" w:sz="0" w:space="0" w:color="auto"/>
                                            <w:left w:val="none" w:sz="0" w:space="0" w:color="auto"/>
                                            <w:bottom w:val="none" w:sz="0" w:space="0" w:color="auto"/>
                                            <w:right w:val="none" w:sz="0" w:space="0" w:color="auto"/>
                                          </w:divBdr>
                                          <w:divsChild>
                                            <w:div w:id="976255053">
                                              <w:marLeft w:val="0"/>
                                              <w:marRight w:val="0"/>
                                              <w:marTop w:val="0"/>
                                              <w:marBottom w:val="0"/>
                                              <w:divBdr>
                                                <w:top w:val="none" w:sz="0" w:space="0" w:color="auto"/>
                                                <w:left w:val="none" w:sz="0" w:space="0" w:color="auto"/>
                                                <w:bottom w:val="none" w:sz="0" w:space="0" w:color="auto"/>
                                                <w:right w:val="none" w:sz="0" w:space="0" w:color="auto"/>
                                              </w:divBdr>
                                              <w:divsChild>
                                                <w:div w:id="1396734952">
                                                  <w:marLeft w:val="0"/>
                                                  <w:marRight w:val="0"/>
                                                  <w:marTop w:val="0"/>
                                                  <w:marBottom w:val="0"/>
                                                  <w:divBdr>
                                                    <w:top w:val="none" w:sz="0" w:space="0" w:color="auto"/>
                                                    <w:left w:val="none" w:sz="0" w:space="0" w:color="auto"/>
                                                    <w:bottom w:val="none" w:sz="0" w:space="0" w:color="auto"/>
                                                    <w:right w:val="none" w:sz="0" w:space="0" w:color="auto"/>
                                                  </w:divBdr>
                                                  <w:divsChild>
                                                    <w:div w:id="75172010">
                                                      <w:marLeft w:val="0"/>
                                                      <w:marRight w:val="0"/>
                                                      <w:marTop w:val="0"/>
                                                      <w:marBottom w:val="0"/>
                                                      <w:divBdr>
                                                        <w:top w:val="none" w:sz="0" w:space="0" w:color="auto"/>
                                                        <w:left w:val="none" w:sz="0" w:space="0" w:color="auto"/>
                                                        <w:bottom w:val="none" w:sz="0" w:space="0" w:color="auto"/>
                                                        <w:right w:val="none" w:sz="0" w:space="0" w:color="auto"/>
                                                      </w:divBdr>
                                                      <w:divsChild>
                                                        <w:div w:id="1379165485">
                                                          <w:marLeft w:val="0"/>
                                                          <w:marRight w:val="0"/>
                                                          <w:marTop w:val="0"/>
                                                          <w:marBottom w:val="0"/>
                                                          <w:divBdr>
                                                            <w:top w:val="none" w:sz="0" w:space="0" w:color="auto"/>
                                                            <w:left w:val="none" w:sz="0" w:space="0" w:color="auto"/>
                                                            <w:bottom w:val="none" w:sz="0" w:space="0" w:color="auto"/>
                                                            <w:right w:val="none" w:sz="0" w:space="0" w:color="auto"/>
                                                          </w:divBdr>
                                                          <w:divsChild>
                                                            <w:div w:id="637691366">
                                                              <w:marLeft w:val="0"/>
                                                              <w:marRight w:val="0"/>
                                                              <w:marTop w:val="0"/>
                                                              <w:marBottom w:val="0"/>
                                                              <w:divBdr>
                                                                <w:top w:val="none" w:sz="0" w:space="0" w:color="auto"/>
                                                                <w:left w:val="none" w:sz="0" w:space="0" w:color="auto"/>
                                                                <w:bottom w:val="none" w:sz="0" w:space="0" w:color="auto"/>
                                                                <w:right w:val="none" w:sz="0" w:space="0" w:color="auto"/>
                                                              </w:divBdr>
                                                              <w:divsChild>
                                                                <w:div w:id="9431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5314656">
      <w:bodyDiv w:val="1"/>
      <w:marLeft w:val="0"/>
      <w:marRight w:val="0"/>
      <w:marTop w:val="0"/>
      <w:marBottom w:val="0"/>
      <w:divBdr>
        <w:top w:val="none" w:sz="0" w:space="0" w:color="auto"/>
        <w:left w:val="none" w:sz="0" w:space="0" w:color="auto"/>
        <w:bottom w:val="none" w:sz="0" w:space="0" w:color="auto"/>
        <w:right w:val="none" w:sz="0" w:space="0" w:color="auto"/>
      </w:divBdr>
    </w:div>
    <w:div w:id="20072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5139-03CE-3A44-86C7-6A970A81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3314</Words>
  <Characters>18892</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Borgstrom</dc:creator>
  <cp:lastModifiedBy>Erica Seruset Borgstrom</cp:lastModifiedBy>
  <cp:revision>2</cp:revision>
  <cp:lastPrinted>2015-07-30T11:33:00Z</cp:lastPrinted>
  <dcterms:created xsi:type="dcterms:W3CDTF">2015-07-30T14:46:00Z</dcterms:created>
  <dcterms:modified xsi:type="dcterms:W3CDTF">2015-07-30T14:46:00Z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dr.borgstrom@gmail.com@www.mendeley.com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