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1838" w14:textId="77777777" w:rsidR="008861C4" w:rsidRDefault="008861C4" w:rsidP="00125032">
      <w:pPr>
        <w:spacing w:line="480" w:lineRule="auto"/>
        <w:rPr>
          <w:b/>
          <w:caps/>
          <w:lang w:val="en-US" w:eastAsia="en-US" w:bidi="en-US"/>
        </w:rPr>
      </w:pPr>
      <w:r w:rsidRPr="00125032">
        <w:rPr>
          <w:lang w:val="en-US" w:eastAsia="en-US" w:bidi="en-US"/>
        </w:rPr>
        <w:t>Word count (abstract):</w:t>
      </w:r>
      <w:r w:rsidR="00125032">
        <w:rPr>
          <w:lang w:val="en-US" w:eastAsia="en-US" w:bidi="en-US"/>
        </w:rPr>
        <w:t xml:space="preserve"> 201</w:t>
      </w:r>
      <w:r w:rsidR="00130527">
        <w:rPr>
          <w:lang w:val="en-US" w:eastAsia="en-US" w:bidi="en-US"/>
        </w:rPr>
        <w:tab/>
      </w:r>
      <w:r w:rsidR="00130527">
        <w:rPr>
          <w:lang w:val="en-US" w:eastAsia="en-US" w:bidi="en-US"/>
        </w:rPr>
        <w:tab/>
      </w:r>
      <w:r w:rsidR="00130527">
        <w:rPr>
          <w:lang w:val="en-US" w:eastAsia="en-US" w:bidi="en-US"/>
        </w:rPr>
        <w:tab/>
      </w:r>
      <w:r w:rsidR="00125032">
        <w:rPr>
          <w:lang w:val="en-US" w:eastAsia="en-US" w:bidi="en-US"/>
        </w:rPr>
        <w:tab/>
      </w:r>
      <w:r w:rsidR="00125032">
        <w:rPr>
          <w:lang w:val="en-US" w:eastAsia="en-US" w:bidi="en-US"/>
        </w:rPr>
        <w:tab/>
      </w:r>
      <w:r w:rsidRPr="00125032">
        <w:rPr>
          <w:lang w:val="en-US" w:eastAsia="en-US" w:bidi="en-US"/>
        </w:rPr>
        <w:t>Word count (text):</w:t>
      </w:r>
      <w:r w:rsidR="0079759A">
        <w:rPr>
          <w:lang w:val="en-US" w:eastAsia="en-US" w:bidi="en-US"/>
        </w:rPr>
        <w:t xml:space="preserve"> </w:t>
      </w:r>
      <w:r w:rsidR="000D1B4B">
        <w:rPr>
          <w:lang w:val="en-US" w:eastAsia="en-US" w:bidi="en-US"/>
        </w:rPr>
        <w:t>24</w:t>
      </w:r>
      <w:r w:rsidR="00130527">
        <w:rPr>
          <w:lang w:val="en-US" w:eastAsia="en-US" w:bidi="en-US"/>
        </w:rPr>
        <w:t>91</w:t>
      </w:r>
    </w:p>
    <w:p w14:paraId="3F72FDC0" w14:textId="77777777" w:rsidR="00301CF5" w:rsidRPr="00504177" w:rsidRDefault="00301CF5" w:rsidP="00125032">
      <w:pPr>
        <w:spacing w:line="480" w:lineRule="auto"/>
        <w:rPr>
          <w:b/>
          <w:caps/>
          <w:lang w:val="en-US" w:eastAsia="en-US" w:bidi="en-US"/>
        </w:rPr>
      </w:pPr>
      <w:r w:rsidRPr="00504177">
        <w:rPr>
          <w:b/>
          <w:caps/>
          <w:lang w:val="en-US" w:eastAsia="en-US" w:bidi="en-US"/>
        </w:rPr>
        <w:t>No evidence of airway inflammation in a large proportion of stable childhood asthma</w:t>
      </w:r>
    </w:p>
    <w:p w14:paraId="397D8DAF" w14:textId="77777777" w:rsidR="00125032" w:rsidRDefault="008861C4" w:rsidP="008861C4">
      <w:pPr>
        <w:spacing w:line="480" w:lineRule="auto"/>
        <w:rPr>
          <w:lang w:val="en-US" w:eastAsia="en-US" w:bidi="en-US"/>
        </w:rPr>
      </w:pPr>
      <w:r>
        <w:rPr>
          <w:lang w:val="en-US" w:eastAsia="en-US" w:bidi="en-US"/>
        </w:rPr>
        <w:t>(Short title: Non-eosinophilic asthma in children)</w:t>
      </w:r>
    </w:p>
    <w:p w14:paraId="20B151BC" w14:textId="77777777" w:rsidR="00125032" w:rsidRDefault="00125032" w:rsidP="008861C4">
      <w:pPr>
        <w:spacing w:line="480" w:lineRule="auto"/>
        <w:rPr>
          <w:lang w:val="en-US" w:eastAsia="en-US" w:bidi="en-US"/>
        </w:rPr>
      </w:pPr>
    </w:p>
    <w:p w14:paraId="4D9966FF" w14:textId="77777777" w:rsidR="00301CF5" w:rsidRDefault="00301CF5" w:rsidP="008861C4">
      <w:pPr>
        <w:spacing w:line="480" w:lineRule="auto"/>
        <w:rPr>
          <w:vertAlign w:val="superscript"/>
          <w:lang w:val="en-NZ"/>
        </w:rPr>
      </w:pPr>
      <w:r w:rsidRPr="0010054D">
        <w:rPr>
          <w:lang w:val="en-NZ"/>
        </w:rPr>
        <w:t>Collin R Brooks,</w:t>
      </w:r>
      <w:r w:rsidRPr="0010054D">
        <w:rPr>
          <w:vertAlign w:val="superscript"/>
          <w:lang w:val="en-NZ"/>
        </w:rPr>
        <w:t>1</w:t>
      </w:r>
      <w:r w:rsidRPr="0010054D">
        <w:rPr>
          <w:lang w:val="en-NZ"/>
        </w:rPr>
        <w:t xml:space="preserve"> Christine J van Dalen,</w:t>
      </w:r>
      <w:r w:rsidRPr="0010054D">
        <w:rPr>
          <w:vertAlign w:val="superscript"/>
          <w:lang w:val="en-NZ"/>
        </w:rPr>
        <w:t>1</w:t>
      </w:r>
      <w:r w:rsidRPr="0010054D">
        <w:rPr>
          <w:lang w:val="en-NZ"/>
        </w:rPr>
        <w:t xml:space="preserve"> </w:t>
      </w:r>
      <w:r>
        <w:rPr>
          <w:lang w:val="en-NZ"/>
        </w:rPr>
        <w:t xml:space="preserve">Angela </w:t>
      </w:r>
      <w:r w:rsidRPr="00F83458">
        <w:rPr>
          <w:lang w:val="en-NZ"/>
        </w:rPr>
        <w:t>Zacharasiewicz</w:t>
      </w:r>
      <w:r>
        <w:rPr>
          <w:lang w:val="en-NZ"/>
        </w:rPr>
        <w:t>,</w:t>
      </w:r>
      <w:r w:rsidRPr="00FC63D6">
        <w:rPr>
          <w:vertAlign w:val="superscript"/>
          <w:lang w:val="en-NZ"/>
        </w:rPr>
        <w:t>2</w:t>
      </w:r>
      <w:r>
        <w:rPr>
          <w:lang w:val="en-NZ"/>
        </w:rPr>
        <w:t xml:space="preserve"> </w:t>
      </w:r>
      <w:r w:rsidRPr="0010054D">
        <w:rPr>
          <w:lang w:val="en-NZ"/>
        </w:rPr>
        <w:t>Elizabeth Harding,</w:t>
      </w:r>
      <w:r w:rsidRPr="0010054D">
        <w:rPr>
          <w:vertAlign w:val="superscript"/>
          <w:lang w:val="en-NZ"/>
        </w:rPr>
        <w:t>1</w:t>
      </w:r>
      <w:r w:rsidRPr="0010054D">
        <w:rPr>
          <w:lang w:val="en-NZ"/>
        </w:rPr>
        <w:t xml:space="preserve"> Soo Cheng,</w:t>
      </w:r>
      <w:r w:rsidRPr="0010054D">
        <w:rPr>
          <w:vertAlign w:val="superscript"/>
          <w:lang w:val="en-NZ"/>
        </w:rPr>
        <w:t>1</w:t>
      </w:r>
      <w:r w:rsidRPr="0010054D">
        <w:rPr>
          <w:lang w:val="en-NZ"/>
        </w:rPr>
        <w:t xml:space="preserve"> Jodie Simpson,</w:t>
      </w:r>
      <w:r>
        <w:rPr>
          <w:vertAlign w:val="superscript"/>
          <w:lang w:val="en-NZ"/>
        </w:rPr>
        <w:t>3,4</w:t>
      </w:r>
      <w:r w:rsidRPr="0010054D">
        <w:rPr>
          <w:vertAlign w:val="superscript"/>
          <w:lang w:val="en-NZ"/>
        </w:rPr>
        <w:t xml:space="preserve"> </w:t>
      </w:r>
      <w:r w:rsidRPr="0010054D">
        <w:rPr>
          <w:lang w:val="en-NZ"/>
        </w:rPr>
        <w:t xml:space="preserve">Jacquie </w:t>
      </w:r>
      <w:r w:rsidR="00851CA2">
        <w:rPr>
          <w:lang w:val="en-NZ"/>
        </w:rPr>
        <w:t xml:space="preserve">L </w:t>
      </w:r>
      <w:r w:rsidRPr="0010054D">
        <w:rPr>
          <w:lang w:val="en-NZ"/>
        </w:rPr>
        <w:t>Harper</w:t>
      </w:r>
      <w:r w:rsidRPr="0010054D">
        <w:rPr>
          <w:lang w:val="en-AU"/>
        </w:rPr>
        <w:t>,</w:t>
      </w:r>
      <w:r>
        <w:rPr>
          <w:vertAlign w:val="superscript"/>
          <w:lang w:val="en-AU"/>
        </w:rPr>
        <w:t>5</w:t>
      </w:r>
      <w:r w:rsidRPr="0010054D">
        <w:rPr>
          <w:lang w:val="en-AU"/>
        </w:rPr>
        <w:t xml:space="preserve"> </w:t>
      </w:r>
      <w:r w:rsidRPr="0010054D">
        <w:rPr>
          <w:lang w:val="en-NZ"/>
        </w:rPr>
        <w:t>Graham Le Gros,</w:t>
      </w:r>
      <w:r>
        <w:rPr>
          <w:vertAlign w:val="superscript"/>
          <w:lang w:val="en-NZ"/>
        </w:rPr>
        <w:t>5</w:t>
      </w:r>
      <w:r w:rsidRPr="0010054D">
        <w:rPr>
          <w:lang w:val="en-NZ"/>
        </w:rPr>
        <w:t xml:space="preserve"> Peter Gibson,</w:t>
      </w:r>
      <w:r>
        <w:rPr>
          <w:vertAlign w:val="superscript"/>
          <w:lang w:val="en-NZ"/>
        </w:rPr>
        <w:t>3,4</w:t>
      </w:r>
      <w:r w:rsidRPr="0010054D">
        <w:rPr>
          <w:lang w:val="en-NZ"/>
        </w:rPr>
        <w:t xml:space="preserve"> Neil Pearce,</w:t>
      </w:r>
      <w:r>
        <w:rPr>
          <w:vertAlign w:val="superscript"/>
          <w:lang w:val="en-NZ"/>
        </w:rPr>
        <w:t>1,6</w:t>
      </w:r>
      <w:r w:rsidRPr="0010054D">
        <w:rPr>
          <w:lang w:val="en-NZ"/>
        </w:rPr>
        <w:t xml:space="preserve"> Jeroen Douwes</w:t>
      </w:r>
      <w:r w:rsidRPr="0010054D">
        <w:rPr>
          <w:vertAlign w:val="superscript"/>
          <w:lang w:val="en-NZ"/>
        </w:rPr>
        <w:t>1</w:t>
      </w:r>
    </w:p>
    <w:p w14:paraId="11112C57" w14:textId="77777777" w:rsidR="00301CF5" w:rsidRDefault="00301CF5" w:rsidP="00125032">
      <w:pPr>
        <w:spacing w:line="480" w:lineRule="auto"/>
        <w:rPr>
          <w:vertAlign w:val="superscript"/>
          <w:lang w:val="en-NZ"/>
        </w:rPr>
      </w:pPr>
    </w:p>
    <w:p w14:paraId="5ADEC811" w14:textId="77777777" w:rsidR="00301CF5" w:rsidRPr="009D698C" w:rsidRDefault="00301CF5" w:rsidP="00125032">
      <w:pPr>
        <w:pStyle w:val="BodyText"/>
        <w:spacing w:line="480" w:lineRule="auto"/>
        <w:ind w:left="181" w:hanging="181"/>
      </w:pPr>
      <w:r>
        <w:rPr>
          <w:vertAlign w:val="superscript"/>
          <w:lang w:val="en-NZ"/>
        </w:rPr>
        <w:t xml:space="preserve">1 </w:t>
      </w:r>
      <w:r w:rsidRPr="009D698C">
        <w:t>Centre for Public Health Research, Massey University</w:t>
      </w:r>
      <w:r>
        <w:t xml:space="preserve">, </w:t>
      </w:r>
      <w:r w:rsidRPr="009D698C">
        <w:t>Wellington, New Zealand</w:t>
      </w:r>
    </w:p>
    <w:p w14:paraId="2FAE1270" w14:textId="77777777" w:rsidR="00301CF5" w:rsidRPr="00FC63D6" w:rsidRDefault="00301CF5" w:rsidP="00125032">
      <w:pPr>
        <w:spacing w:line="480" w:lineRule="auto"/>
        <w:rPr>
          <w:lang w:val="en-NZ"/>
        </w:rPr>
      </w:pPr>
      <w:r w:rsidRPr="006B4B8A">
        <w:rPr>
          <w:vertAlign w:val="superscript"/>
          <w:lang w:val="en-NZ"/>
        </w:rPr>
        <w:t xml:space="preserve">2 </w:t>
      </w:r>
      <w:r>
        <w:rPr>
          <w:lang w:val="en-NZ"/>
        </w:rPr>
        <w:t>Department of Pediatrics and Adolescent Medicine, Wilhelminenspital, Vienna, Austria</w:t>
      </w:r>
    </w:p>
    <w:p w14:paraId="4406197F" w14:textId="77777777" w:rsidR="00301CF5" w:rsidRDefault="00301CF5" w:rsidP="00125032">
      <w:pPr>
        <w:spacing w:line="480" w:lineRule="auto"/>
        <w:rPr>
          <w:lang w:val="en-NZ"/>
        </w:rPr>
      </w:pPr>
      <w:r w:rsidRPr="00272393">
        <w:rPr>
          <w:vertAlign w:val="superscript"/>
          <w:lang w:val="en-NZ"/>
        </w:rPr>
        <w:t>3</w:t>
      </w:r>
      <w:r>
        <w:rPr>
          <w:vertAlign w:val="superscript"/>
          <w:lang w:val="en-NZ"/>
        </w:rPr>
        <w:t xml:space="preserve"> </w:t>
      </w:r>
      <w:r>
        <w:rPr>
          <w:lang w:val="en-NZ"/>
        </w:rPr>
        <w:t>Respiratory and Sleep Medicine, School of Medicine and Public Health, University of Newcastle, Newcastle, NSW, Australia</w:t>
      </w:r>
    </w:p>
    <w:p w14:paraId="390CE990" w14:textId="77777777" w:rsidR="00301CF5" w:rsidRDefault="00301CF5" w:rsidP="00125032">
      <w:pPr>
        <w:spacing w:line="480" w:lineRule="auto"/>
        <w:rPr>
          <w:lang w:val="en-NZ"/>
        </w:rPr>
      </w:pPr>
      <w:r w:rsidRPr="00200E27">
        <w:rPr>
          <w:vertAlign w:val="superscript"/>
          <w:lang w:val="en-NZ"/>
        </w:rPr>
        <w:t>4</w:t>
      </w:r>
      <w:r>
        <w:rPr>
          <w:vertAlign w:val="superscript"/>
          <w:lang w:val="en-NZ"/>
        </w:rPr>
        <w:t xml:space="preserve"> </w:t>
      </w:r>
      <w:r>
        <w:rPr>
          <w:lang w:val="en-NZ"/>
        </w:rPr>
        <w:t>Department of Respiratory and Sleep Medicine, Hunter Medical Research Institute, John Hunter Hospital, Newcastle NSW, Australia</w:t>
      </w:r>
    </w:p>
    <w:p w14:paraId="3F691DA4" w14:textId="77777777" w:rsidR="00301CF5" w:rsidRDefault="00301CF5" w:rsidP="00125032">
      <w:pPr>
        <w:spacing w:line="480" w:lineRule="auto"/>
        <w:rPr>
          <w:lang w:val="en-NZ"/>
        </w:rPr>
      </w:pPr>
      <w:r w:rsidRPr="00200E27">
        <w:rPr>
          <w:vertAlign w:val="superscript"/>
          <w:lang w:val="en-NZ"/>
        </w:rPr>
        <w:t>5</w:t>
      </w:r>
      <w:r>
        <w:rPr>
          <w:vertAlign w:val="superscript"/>
          <w:lang w:val="en-NZ"/>
        </w:rPr>
        <w:t xml:space="preserve"> </w:t>
      </w:r>
      <w:r>
        <w:rPr>
          <w:lang w:val="en-NZ"/>
        </w:rPr>
        <w:t>Malaghan Institute of Medical Research, Wellington, New Zealand</w:t>
      </w:r>
    </w:p>
    <w:p w14:paraId="3EA2FEBC" w14:textId="77777777" w:rsidR="00301CF5" w:rsidRPr="00200E27" w:rsidRDefault="00301CF5" w:rsidP="00125032">
      <w:pPr>
        <w:spacing w:line="480" w:lineRule="auto"/>
        <w:rPr>
          <w:lang w:val="en-NZ"/>
        </w:rPr>
      </w:pPr>
      <w:r>
        <w:rPr>
          <w:vertAlign w:val="superscript"/>
          <w:lang w:val="en-NZ"/>
        </w:rPr>
        <w:t xml:space="preserve">6 </w:t>
      </w:r>
      <w:r w:rsidRPr="00200E27">
        <w:rPr>
          <w:lang w:val="en-NZ"/>
        </w:rPr>
        <w:t>Faculty of Epi</w:t>
      </w:r>
      <w:r>
        <w:rPr>
          <w:lang w:val="en-NZ"/>
        </w:rPr>
        <w:t xml:space="preserve">demiology and Population Health, </w:t>
      </w:r>
      <w:r w:rsidRPr="00200E27">
        <w:rPr>
          <w:lang w:val="en-NZ"/>
        </w:rPr>
        <w:t>London School o</w:t>
      </w:r>
      <w:r>
        <w:rPr>
          <w:lang w:val="en-NZ"/>
        </w:rPr>
        <w:t xml:space="preserve">f Hygiene and Tropical Medicine, </w:t>
      </w:r>
      <w:r w:rsidRPr="00200E27">
        <w:rPr>
          <w:lang w:val="en-NZ"/>
        </w:rPr>
        <w:t>London, United Kingdom</w:t>
      </w:r>
    </w:p>
    <w:p w14:paraId="0E134A31" w14:textId="77777777" w:rsidR="00301CF5" w:rsidRDefault="00301CF5" w:rsidP="00125032">
      <w:pPr>
        <w:spacing w:line="480" w:lineRule="auto"/>
        <w:rPr>
          <w:i/>
        </w:rPr>
      </w:pPr>
    </w:p>
    <w:p w14:paraId="1511EFC1" w14:textId="77777777" w:rsidR="00301CF5" w:rsidRPr="006B4B8A" w:rsidRDefault="00301CF5" w:rsidP="00125032">
      <w:pPr>
        <w:spacing w:line="480" w:lineRule="auto"/>
        <w:rPr>
          <w:i/>
        </w:rPr>
      </w:pPr>
      <w:r w:rsidRPr="006B4B8A">
        <w:rPr>
          <w:i/>
        </w:rPr>
        <w:t>Correspondence:</w:t>
      </w:r>
    </w:p>
    <w:p w14:paraId="6C276A32" w14:textId="77777777" w:rsidR="00301CF5" w:rsidRPr="006B4B8A" w:rsidRDefault="00301CF5" w:rsidP="00125032">
      <w:pPr>
        <w:spacing w:line="480" w:lineRule="auto"/>
      </w:pPr>
      <w:r>
        <w:t xml:space="preserve">Jeroen Douwes, </w:t>
      </w:r>
      <w:r w:rsidRPr="006B4B8A">
        <w:t>Centre for Public Health Research</w:t>
      </w:r>
      <w:r>
        <w:t xml:space="preserve">, </w:t>
      </w:r>
      <w:r w:rsidRPr="006B4B8A">
        <w:t>Massey University</w:t>
      </w:r>
      <w:r>
        <w:t>,</w:t>
      </w:r>
      <w:r w:rsidRPr="006B4B8A">
        <w:t xml:space="preserve"> </w:t>
      </w:r>
    </w:p>
    <w:p w14:paraId="3F21EB03" w14:textId="77777777" w:rsidR="00301CF5" w:rsidRPr="006B4B8A" w:rsidRDefault="00301CF5" w:rsidP="00125032">
      <w:pPr>
        <w:tabs>
          <w:tab w:val="left" w:pos="576"/>
          <w:tab w:val="left" w:pos="1134"/>
          <w:tab w:val="left" w:pos="1701"/>
          <w:tab w:val="left" w:pos="2268"/>
          <w:tab w:val="left" w:pos="2592"/>
          <w:tab w:val="left" w:pos="2880"/>
          <w:tab w:val="left" w:pos="3024"/>
          <w:tab w:val="left" w:pos="3168"/>
          <w:tab w:val="left" w:pos="3402"/>
          <w:tab w:val="left" w:pos="3744"/>
          <w:tab w:val="left" w:pos="3969"/>
          <w:tab w:val="left" w:pos="4608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480" w:lineRule="auto"/>
      </w:pPr>
      <w:r w:rsidRPr="006B4B8A">
        <w:t>Private Box 756</w:t>
      </w:r>
      <w:r>
        <w:t xml:space="preserve">, </w:t>
      </w:r>
      <w:r w:rsidRPr="006B4B8A">
        <w:t>Wellington, New Zealand</w:t>
      </w:r>
    </w:p>
    <w:p w14:paraId="1341ACD5" w14:textId="77777777" w:rsidR="00125032" w:rsidRDefault="00301CF5" w:rsidP="00125032">
      <w:pPr>
        <w:pStyle w:val="BodyText"/>
        <w:tabs>
          <w:tab w:val="left" w:pos="3261"/>
        </w:tabs>
        <w:spacing w:line="480" w:lineRule="auto"/>
        <w:outlineLvl w:val="0"/>
        <w:rPr>
          <w:lang w:val="en-AU"/>
        </w:rPr>
      </w:pPr>
      <w:r w:rsidRPr="006B4B8A">
        <w:rPr>
          <w:lang w:val="en-AU"/>
        </w:rPr>
        <w:t xml:space="preserve">E-mail: </w:t>
      </w:r>
      <w:r>
        <w:rPr>
          <w:lang w:val="en-AU"/>
        </w:rPr>
        <w:t>J.Douwes@massey.ac.nz</w:t>
      </w:r>
      <w:hyperlink r:id="rId6" w:history="1"/>
      <w:r w:rsidR="00125032">
        <w:tab/>
      </w:r>
      <w:r w:rsidR="00125032">
        <w:tab/>
      </w:r>
      <w:r>
        <w:rPr>
          <w:lang w:val="en-AU"/>
        </w:rPr>
        <w:t>Phone: +64 4 38006017, F</w:t>
      </w:r>
      <w:r w:rsidRPr="00200E27">
        <w:rPr>
          <w:lang w:val="en-AU"/>
        </w:rPr>
        <w:t xml:space="preserve">ax: +64 4 </w:t>
      </w:r>
      <w:r w:rsidR="00125032">
        <w:rPr>
          <w:lang w:val="en-AU"/>
        </w:rPr>
        <w:t>8027120</w:t>
      </w:r>
    </w:p>
    <w:p w14:paraId="59901994" w14:textId="77777777" w:rsidR="00125032" w:rsidRDefault="0012503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832376F" w14:textId="77777777" w:rsidR="00301CF5" w:rsidRDefault="00301CF5" w:rsidP="00994193">
      <w:pPr>
        <w:spacing w:line="360" w:lineRule="auto"/>
        <w:rPr>
          <w:b/>
        </w:rPr>
      </w:pPr>
      <w:r>
        <w:rPr>
          <w:b/>
        </w:rPr>
        <w:lastRenderedPageBreak/>
        <w:t>ABSTRACT</w:t>
      </w:r>
    </w:p>
    <w:p w14:paraId="098549AF" w14:textId="77777777" w:rsidR="0079759A" w:rsidRDefault="0079759A" w:rsidP="00994193">
      <w:pPr>
        <w:spacing w:line="480" w:lineRule="auto"/>
        <w:rPr>
          <w:b/>
        </w:rPr>
      </w:pPr>
    </w:p>
    <w:p w14:paraId="5968866E" w14:textId="77777777" w:rsidR="00301CF5" w:rsidRPr="00FC66F2" w:rsidRDefault="00301CF5" w:rsidP="00994193">
      <w:pPr>
        <w:spacing w:line="480" w:lineRule="auto"/>
      </w:pPr>
      <w:r w:rsidRPr="00F35094">
        <w:rPr>
          <w:b/>
        </w:rPr>
        <w:t>Background:</w:t>
      </w:r>
      <w:r>
        <w:rPr>
          <w:i/>
        </w:rPr>
        <w:t xml:space="preserve"> </w:t>
      </w:r>
      <w:r>
        <w:t>Neutrophilic inflammation has been implicated in non-eosinophilic asthma (NEA) in adults, but little is known about NEA in children.</w:t>
      </w:r>
    </w:p>
    <w:p w14:paraId="19FA0B38" w14:textId="77777777" w:rsidR="00301CF5" w:rsidRPr="00FC66F2" w:rsidRDefault="00301CF5" w:rsidP="00994193">
      <w:pPr>
        <w:spacing w:line="480" w:lineRule="auto"/>
      </w:pPr>
      <w:r w:rsidRPr="00F35094">
        <w:rPr>
          <w:b/>
        </w:rPr>
        <w:t>Aim:</w:t>
      </w:r>
      <w:r>
        <w:t xml:space="preserve"> To assess clinical and inflammatory characteristics of NEA in childhood asthma.</w:t>
      </w:r>
    </w:p>
    <w:p w14:paraId="288D3458" w14:textId="77777777" w:rsidR="00301CF5" w:rsidRDefault="00301CF5" w:rsidP="00994193">
      <w:pPr>
        <w:spacing w:line="480" w:lineRule="auto"/>
      </w:pPr>
      <w:r w:rsidRPr="00F35094">
        <w:rPr>
          <w:b/>
        </w:rPr>
        <w:t>Methods:</w:t>
      </w:r>
      <w:r>
        <w:t xml:space="preserve"> Airway inflammation, </w:t>
      </w:r>
      <w:r w:rsidRPr="0057706C">
        <w:t>sputum endotoxin</w:t>
      </w:r>
      <w:r>
        <w:t>,</w:t>
      </w:r>
      <w:r w:rsidRPr="0057706C">
        <w:t xml:space="preserve"> </w:t>
      </w:r>
      <w:r>
        <w:t xml:space="preserve">airway hyperreactivity, atopy and lung function were assessed in 77 asthmatic </w:t>
      </w:r>
      <w:r w:rsidR="001C2B74">
        <w:t xml:space="preserve">and </w:t>
      </w:r>
      <w:r w:rsidR="00FB4CA1">
        <w:t xml:space="preserve">68 non-asthmatic </w:t>
      </w:r>
      <w:r w:rsidR="00FE0B1D">
        <w:t>adolescents</w:t>
      </w:r>
      <w:r w:rsidR="00FB4CA1">
        <w:t xml:space="preserve"> (12–17 years). Asthma was based on the presence or absence of wheeze and/or asthma history.</w:t>
      </w:r>
    </w:p>
    <w:p w14:paraId="4C1DD502" w14:textId="77777777" w:rsidR="00301CF5" w:rsidRDefault="00301CF5" w:rsidP="00994193">
      <w:pPr>
        <w:spacing w:line="480" w:lineRule="auto"/>
        <w:rPr>
          <w:lang w:val="en-NZ"/>
        </w:rPr>
      </w:pPr>
      <w:r w:rsidRPr="00F35094">
        <w:rPr>
          <w:b/>
        </w:rPr>
        <w:t xml:space="preserve">Results: </w:t>
      </w:r>
      <w:r w:rsidRPr="00B2576F">
        <w:t>T</w:t>
      </w:r>
      <w:r>
        <w:rPr>
          <w:lang w:val="en-NZ"/>
        </w:rPr>
        <w:t>he proportion of NEA (sputum eosinophils &lt;2.5%) was 54%. In this group, atopy, sputum neutrophil, eosinophil, eosinophil cationic protein (ECP), endotoxin, neutrophil elastase and IL-8 levels were not different from non-asthmatics.</w:t>
      </w:r>
      <w:r w:rsidRPr="00C4690F">
        <w:rPr>
          <w:lang w:val="en-NZ"/>
        </w:rPr>
        <w:t xml:space="preserve"> </w:t>
      </w:r>
      <w:r>
        <w:rPr>
          <w:lang w:val="en-NZ"/>
        </w:rPr>
        <w:t>In contrast, e</w:t>
      </w:r>
      <w:r w:rsidRPr="0057706C">
        <w:rPr>
          <w:lang w:val="en-NZ"/>
        </w:rPr>
        <w:t xml:space="preserve">osinophilic asthma (EA) was associated with </w:t>
      </w:r>
      <w:r>
        <w:rPr>
          <w:lang w:val="en-NZ"/>
        </w:rPr>
        <w:t xml:space="preserve">atopy and </w:t>
      </w:r>
      <w:r w:rsidRPr="0057706C">
        <w:rPr>
          <w:lang w:val="en-NZ"/>
        </w:rPr>
        <w:t xml:space="preserve">sputum </w:t>
      </w:r>
      <w:r>
        <w:rPr>
          <w:lang w:val="en-NZ"/>
        </w:rPr>
        <w:t>ECP and IL-8</w:t>
      </w:r>
      <w:r w:rsidRPr="0057706C">
        <w:rPr>
          <w:lang w:val="en-NZ"/>
        </w:rPr>
        <w:t xml:space="preserve">. </w:t>
      </w:r>
      <w:r>
        <w:rPr>
          <w:lang w:val="en-NZ"/>
        </w:rPr>
        <w:t xml:space="preserve">The majority of NEA had no evidence of inflammation; only 14% had neutrophilia </w:t>
      </w:r>
      <w:r w:rsidR="00FB4CA1">
        <w:rPr>
          <w:lang w:val="en-NZ"/>
        </w:rPr>
        <w:t>(</w:t>
      </w:r>
      <w:r>
        <w:rPr>
          <w:lang w:val="en-NZ"/>
        </w:rPr>
        <w:sym w:font="Symbol" w:char="F0B3"/>
      </w:r>
      <w:r>
        <w:rPr>
          <w:lang w:val="en-NZ"/>
        </w:rPr>
        <w:t>61%</w:t>
      </w:r>
      <w:r w:rsidR="00FB4CA1">
        <w:rPr>
          <w:lang w:val="en-NZ"/>
        </w:rPr>
        <w:t xml:space="preserve"> neutrophils)</w:t>
      </w:r>
      <w:r>
        <w:rPr>
          <w:lang w:val="en-NZ"/>
        </w:rPr>
        <w:t xml:space="preserve">, </w:t>
      </w:r>
      <w:r w:rsidRPr="0057706C">
        <w:rPr>
          <w:lang w:val="en-NZ"/>
        </w:rPr>
        <w:t>compa</w:t>
      </w:r>
      <w:r>
        <w:rPr>
          <w:lang w:val="en-NZ"/>
        </w:rPr>
        <w:t>red with 11% of EA, and 15% of non-asthmatics. Small</w:t>
      </w:r>
      <w:r w:rsidRPr="00E10382">
        <w:rPr>
          <w:lang w:val="en-NZ"/>
        </w:rPr>
        <w:t xml:space="preserve"> differences </w:t>
      </w:r>
      <w:r>
        <w:rPr>
          <w:lang w:val="en-NZ"/>
        </w:rPr>
        <w:t>in FEV</w:t>
      </w:r>
      <w:r w:rsidRPr="00F22222">
        <w:rPr>
          <w:vertAlign w:val="subscript"/>
          <w:lang w:val="en-NZ"/>
        </w:rPr>
        <w:t>1</w:t>
      </w:r>
      <w:r>
        <w:rPr>
          <w:lang w:val="en-NZ"/>
        </w:rPr>
        <w:t xml:space="preserve"> </w:t>
      </w:r>
      <w:r w:rsidR="001C2B74">
        <w:rPr>
          <w:lang w:val="en-NZ"/>
        </w:rPr>
        <w:t xml:space="preserve">(NS) </w:t>
      </w:r>
      <w:r>
        <w:rPr>
          <w:lang w:val="en-NZ"/>
        </w:rPr>
        <w:t xml:space="preserve">were found between EA and NEA, </w:t>
      </w:r>
      <w:r w:rsidR="001C2B74">
        <w:rPr>
          <w:lang w:val="en-NZ"/>
        </w:rPr>
        <w:t xml:space="preserve">but </w:t>
      </w:r>
      <w:r>
        <w:rPr>
          <w:lang w:val="en-NZ"/>
        </w:rPr>
        <w:t>symptom prevalence and</w:t>
      </w:r>
      <w:r w:rsidRPr="00E10382">
        <w:rPr>
          <w:lang w:val="en-NZ"/>
        </w:rPr>
        <w:t xml:space="preserve"> severity </w:t>
      </w:r>
      <w:r w:rsidR="001C2B74">
        <w:rPr>
          <w:lang w:val="en-NZ"/>
        </w:rPr>
        <w:t>was not different</w:t>
      </w:r>
      <w:r>
        <w:rPr>
          <w:lang w:val="en-NZ"/>
        </w:rPr>
        <w:t xml:space="preserve"> (83% of EA and 79% of NEA were classified moderate-to-severe).</w:t>
      </w:r>
    </w:p>
    <w:p w14:paraId="2F817AAE" w14:textId="77777777" w:rsidR="00301CF5" w:rsidRDefault="00301CF5" w:rsidP="00994193">
      <w:pPr>
        <w:spacing w:line="480" w:lineRule="auto"/>
      </w:pPr>
      <w:r w:rsidRPr="004E23CE">
        <w:rPr>
          <w:b/>
        </w:rPr>
        <w:t>Conclusions:</w:t>
      </w:r>
      <w:r>
        <w:t xml:space="preserve"> NEA is common in childhood asthma and has similar clinical characteristics as EA. Neutrophils do not appear to play a role in NEA in children</w:t>
      </w:r>
      <w:r w:rsidR="00FE0B1D">
        <w:t xml:space="preserve"> and </w:t>
      </w:r>
      <w:r>
        <w:t xml:space="preserve">underlying mechanisms </w:t>
      </w:r>
      <w:r w:rsidR="00FB4CA1">
        <w:t xml:space="preserve">may not involve </w:t>
      </w:r>
      <w:r w:rsidR="00FE0B1D">
        <w:t xml:space="preserve">airway </w:t>
      </w:r>
      <w:r w:rsidR="00FB4CA1">
        <w:t>inflammation</w:t>
      </w:r>
      <w:r>
        <w:t>.</w:t>
      </w:r>
    </w:p>
    <w:p w14:paraId="154C2D98" w14:textId="77777777" w:rsidR="00B51E8B" w:rsidRDefault="00B51E8B" w:rsidP="00994193"/>
    <w:p w14:paraId="267DE588" w14:textId="77777777" w:rsidR="00B51E8B" w:rsidRDefault="00B51E8B" w:rsidP="00994193"/>
    <w:p w14:paraId="46DB468E" w14:textId="77777777" w:rsidR="00740AC2" w:rsidRDefault="00740AC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52E9F9C" w14:textId="77777777" w:rsidR="008861C4" w:rsidRPr="008861C4" w:rsidRDefault="008861C4" w:rsidP="008861C4">
      <w:pPr>
        <w:spacing w:line="480" w:lineRule="auto"/>
        <w:rPr>
          <w:b/>
        </w:rPr>
      </w:pPr>
      <w:r w:rsidRPr="008861C4">
        <w:rPr>
          <w:b/>
        </w:rPr>
        <w:lastRenderedPageBreak/>
        <w:t>Summary at a Glance</w:t>
      </w:r>
    </w:p>
    <w:p w14:paraId="48ADFE56" w14:textId="77777777" w:rsidR="008861C4" w:rsidRDefault="00125032" w:rsidP="008861C4">
      <w:pPr>
        <w:spacing w:line="480" w:lineRule="auto"/>
      </w:pPr>
      <w:r w:rsidRPr="00125032">
        <w:t>Our study sug</w:t>
      </w:r>
      <w:r w:rsidR="0079759A">
        <w:t>gests that many</w:t>
      </w:r>
      <w:r w:rsidRPr="00125032">
        <w:t xml:space="preserve"> </w:t>
      </w:r>
      <w:r w:rsidR="0079759A">
        <w:t>children with stable asthma do</w:t>
      </w:r>
      <w:r w:rsidRPr="00125032">
        <w:t xml:space="preserve"> not appear to correspond to the conventional notion that asthma is ‘an inflammatory disorder of the airways’. In the absence of overt inflammation, the mechanisms responsible for asthma symptoms in a large proportion of childhood asthma remain unknown.</w:t>
      </w:r>
    </w:p>
    <w:p w14:paraId="5602FAD7" w14:textId="77777777" w:rsidR="0079759A" w:rsidRPr="00DC7887" w:rsidRDefault="0079759A" w:rsidP="008861C4">
      <w:pPr>
        <w:spacing w:line="480" w:lineRule="auto"/>
      </w:pPr>
    </w:p>
    <w:p w14:paraId="4B5DDC87" w14:textId="77777777" w:rsidR="008861C4" w:rsidRPr="00DC7887" w:rsidRDefault="008861C4" w:rsidP="008861C4">
      <w:pPr>
        <w:spacing w:line="480" w:lineRule="auto"/>
      </w:pPr>
      <w:r w:rsidRPr="008861C4">
        <w:rPr>
          <w:b/>
        </w:rPr>
        <w:t xml:space="preserve">Keywords: </w:t>
      </w:r>
      <w:r w:rsidR="00C11B8A" w:rsidRPr="00DC7887">
        <w:t>airway inflammation;</w:t>
      </w:r>
      <w:r w:rsidR="00C11B8A">
        <w:rPr>
          <w:b/>
        </w:rPr>
        <w:t xml:space="preserve"> </w:t>
      </w:r>
      <w:r w:rsidRPr="00DC7887">
        <w:t>asthma; children; eosinophil; induced sputum</w:t>
      </w:r>
    </w:p>
    <w:p w14:paraId="6AE1F963" w14:textId="77777777" w:rsidR="00C11B8A" w:rsidRPr="008861C4" w:rsidRDefault="00C11B8A" w:rsidP="008861C4">
      <w:pPr>
        <w:spacing w:line="480" w:lineRule="auto"/>
        <w:rPr>
          <w:b/>
        </w:rPr>
      </w:pPr>
    </w:p>
    <w:p w14:paraId="7A293CB4" w14:textId="77777777" w:rsidR="008861C4" w:rsidRPr="008861C4" w:rsidRDefault="008861C4" w:rsidP="008861C4">
      <w:pPr>
        <w:spacing w:line="480" w:lineRule="auto"/>
        <w:rPr>
          <w:b/>
        </w:rPr>
      </w:pPr>
      <w:r w:rsidRPr="008861C4">
        <w:rPr>
          <w:b/>
        </w:rPr>
        <w:t>Disclosure of potential conflict of interest</w:t>
      </w:r>
    </w:p>
    <w:p w14:paraId="1B0ABB68" w14:textId="77777777" w:rsidR="0079759A" w:rsidRDefault="008861C4" w:rsidP="0079759A">
      <w:pPr>
        <w:spacing w:line="480" w:lineRule="auto"/>
        <w:rPr>
          <w:b/>
        </w:rPr>
      </w:pPr>
      <w:r w:rsidRPr="00DC7887">
        <w:t>P.G.Gibson has received honoraria from AstroZeneca, GlaxoSmithKline and Novartis. The remaining authors have no conflict of interest.</w:t>
      </w:r>
    </w:p>
    <w:p w14:paraId="05C43B8F" w14:textId="77777777" w:rsidR="0079759A" w:rsidRDefault="0079759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42D87F5" w14:textId="77777777" w:rsidR="00301CF5" w:rsidRPr="00852486" w:rsidRDefault="00301CF5" w:rsidP="00994193">
      <w:pPr>
        <w:spacing w:line="480" w:lineRule="auto"/>
        <w:rPr>
          <w:b/>
        </w:rPr>
      </w:pPr>
      <w:r w:rsidRPr="00852486">
        <w:rPr>
          <w:b/>
        </w:rPr>
        <w:lastRenderedPageBreak/>
        <w:t>INTRODUCTION</w:t>
      </w:r>
    </w:p>
    <w:p w14:paraId="71C5A5E1" w14:textId="77777777" w:rsidR="00343890" w:rsidRDefault="00343890" w:rsidP="00994193">
      <w:pPr>
        <w:pStyle w:val="BodyTextIndent"/>
        <w:spacing w:line="480" w:lineRule="auto"/>
        <w:ind w:left="0"/>
      </w:pPr>
    </w:p>
    <w:p w14:paraId="4679ADD0" w14:textId="77777777" w:rsidR="00301CF5" w:rsidRDefault="00301CF5" w:rsidP="00994193">
      <w:pPr>
        <w:pStyle w:val="BodyTextIndent"/>
        <w:spacing w:line="480" w:lineRule="auto"/>
        <w:ind w:left="0"/>
      </w:pPr>
      <w:r>
        <w:t xml:space="preserve">Asthma is often considered </w:t>
      </w:r>
      <w:r w:rsidR="00386E88">
        <w:t>to be</w:t>
      </w:r>
      <w:r>
        <w:t xml:space="preserve"> an allergic disease involving </w:t>
      </w:r>
      <w:r w:rsidRPr="00FD5175">
        <w:t>TH</w:t>
      </w:r>
      <w:r w:rsidRPr="00FD5175">
        <w:rPr>
          <w:vertAlign w:val="subscript"/>
        </w:rPr>
        <w:t>2</w:t>
      </w:r>
      <w:r>
        <w:rPr>
          <w:vertAlign w:val="subscript"/>
        </w:rPr>
        <w:t>-</w:t>
      </w:r>
      <w:r w:rsidRPr="00FD5175">
        <w:t>mediated eosinophilic airways inflammation</w:t>
      </w:r>
      <w:r w:rsidRPr="000626ED">
        <w:t>.</w:t>
      </w:r>
      <w:r w:rsidRPr="000126DB">
        <w:rPr>
          <w:noProof/>
          <w:vertAlign w:val="superscript"/>
        </w:rPr>
        <w:t>1</w:t>
      </w:r>
      <w:r>
        <w:t xml:space="preserve"> </w:t>
      </w:r>
      <w:r w:rsidRPr="00FD5175">
        <w:t>However, there is increasing evidence</w:t>
      </w:r>
      <w:r>
        <w:t xml:space="preserve"> </w:t>
      </w:r>
      <w:r w:rsidRPr="00FD5175">
        <w:t xml:space="preserve">that </w:t>
      </w:r>
      <w:r>
        <w:t>non-allergic</w:t>
      </w:r>
      <w:r w:rsidRPr="00FD5175">
        <w:t xml:space="preserve"> mechanisms may </w:t>
      </w:r>
      <w:r>
        <w:t xml:space="preserve">also be important. We have previously proposed that </w:t>
      </w:r>
      <w:r w:rsidR="00A0375B">
        <w:t>“</w:t>
      </w:r>
      <w:r>
        <w:t>only</w:t>
      </w:r>
      <w:r w:rsidR="00A0375B">
        <w:t>”</w:t>
      </w:r>
      <w:r>
        <w:t xml:space="preserve"> 50% of asthma cases are attributable to eosinophilic airway inflammation, and</w:t>
      </w:r>
      <w:r w:rsidR="00A0375B">
        <w:t xml:space="preserve"> </w:t>
      </w:r>
      <w:r>
        <w:t xml:space="preserve">that </w:t>
      </w:r>
      <w:r w:rsidR="00386E88">
        <w:t>in many cases</w:t>
      </w:r>
      <w:r>
        <w:t xml:space="preserve"> non-eosinophilic asthma (NEA) may be due to neutrophilic inflammation</w:t>
      </w:r>
      <w:r w:rsidRPr="000626ED">
        <w:t>.</w:t>
      </w:r>
      <w:r w:rsidRPr="000126DB">
        <w:rPr>
          <w:noProof/>
          <w:vertAlign w:val="superscript"/>
        </w:rPr>
        <w:t>2</w:t>
      </w:r>
      <w:r>
        <w:t xml:space="preserve"> Other studies also suggest a possible role for neutrophils in </w:t>
      </w:r>
      <w:r w:rsidR="00544CE9">
        <w:t xml:space="preserve">adult </w:t>
      </w:r>
      <w:r>
        <w:t>NEA</w:t>
      </w:r>
      <w:r w:rsidR="00386E88">
        <w:t xml:space="preserve"> </w:t>
      </w:r>
      <w:r>
        <w:t xml:space="preserve">as reflected by increased airway </w:t>
      </w:r>
      <w:r w:rsidR="00544CE9">
        <w:t xml:space="preserve">neutrophil </w:t>
      </w:r>
      <w:r>
        <w:t>levels and associated chemokines including interleukin (IL)-8, neutrophil elastase (NE), matrix metalloprotease (MMP)-9</w:t>
      </w:r>
      <w:r w:rsidRPr="000626ED">
        <w:t>,</w:t>
      </w:r>
      <w:r w:rsidRPr="000126DB">
        <w:rPr>
          <w:noProof/>
          <w:vertAlign w:val="superscript"/>
        </w:rPr>
        <w:t>3-5</w:t>
      </w:r>
      <w:r>
        <w:t xml:space="preserve"> increased </w:t>
      </w:r>
      <w:r w:rsidR="00386E88">
        <w:t xml:space="preserve">gene </w:t>
      </w:r>
      <w:r>
        <w:t xml:space="preserve">expression of innate immune receptors and </w:t>
      </w:r>
      <w:r w:rsidR="00386E88">
        <w:t>levels</w:t>
      </w:r>
      <w:r>
        <w:t xml:space="preserve"> of </w:t>
      </w:r>
      <w:r w:rsidR="00224DA4">
        <w:t xml:space="preserve">sputum </w:t>
      </w:r>
      <w:r>
        <w:t>bacterial endotoxin</w:t>
      </w:r>
      <w:r w:rsidRPr="000626ED">
        <w:t>.</w:t>
      </w:r>
      <w:r w:rsidRPr="000126DB">
        <w:rPr>
          <w:noProof/>
          <w:vertAlign w:val="superscript"/>
        </w:rPr>
        <w:t>6</w:t>
      </w:r>
      <w:r>
        <w:rPr>
          <w:noProof/>
          <w:vertAlign w:val="superscript"/>
        </w:rPr>
        <w:t xml:space="preserve"> </w:t>
      </w:r>
      <w:r>
        <w:t xml:space="preserve">However, </w:t>
      </w:r>
      <w:r w:rsidRPr="00FC19B8">
        <w:t>neutrophilic inflammat</w:t>
      </w:r>
      <w:r>
        <w:t>ion in NEA</w:t>
      </w:r>
      <w:r w:rsidRPr="00FC19B8">
        <w:t xml:space="preserve"> </w:t>
      </w:r>
      <w:r w:rsidR="00560D59">
        <w:t>is not always present</w:t>
      </w:r>
      <w:r w:rsidRPr="000626ED">
        <w:t>,</w:t>
      </w:r>
      <w:r w:rsidRPr="000126DB">
        <w:rPr>
          <w:noProof/>
          <w:vertAlign w:val="superscript"/>
        </w:rPr>
        <w:t>7</w:t>
      </w:r>
      <w:r>
        <w:t xml:space="preserve"> </w:t>
      </w:r>
      <w:r w:rsidR="00560D59">
        <w:t>indicating that</w:t>
      </w:r>
      <w:r>
        <w:t xml:space="preserve"> neutrophils may be important in only a proportion of NEA</w:t>
      </w:r>
      <w:r w:rsidRPr="00FC19B8">
        <w:t xml:space="preserve">. </w:t>
      </w:r>
      <w:r>
        <w:t xml:space="preserve">In particular, we have previously observed no overt evidence of </w:t>
      </w:r>
      <w:r w:rsidRPr="00C36118">
        <w:rPr>
          <w:i/>
        </w:rPr>
        <w:t>either</w:t>
      </w:r>
      <w:r>
        <w:t xml:space="preserve"> eosinophilic or neutrophilic airway inflammation in over 30% of adult asthmatics</w:t>
      </w:r>
      <w:r w:rsidRPr="000626ED">
        <w:t>.</w:t>
      </w:r>
      <w:r w:rsidRPr="000126DB">
        <w:rPr>
          <w:noProof/>
          <w:vertAlign w:val="superscript"/>
        </w:rPr>
        <w:t>3</w:t>
      </w:r>
      <w:r w:rsidRPr="00C36118">
        <w:rPr>
          <w:vertAlign w:val="superscript"/>
        </w:rPr>
        <w:t xml:space="preserve"> </w:t>
      </w:r>
    </w:p>
    <w:p w14:paraId="450DCED1" w14:textId="77777777" w:rsidR="00301CF5" w:rsidRDefault="00301CF5" w:rsidP="00994193">
      <w:pPr>
        <w:pStyle w:val="BodyTextIndent"/>
        <w:spacing w:line="480" w:lineRule="auto"/>
        <w:ind w:left="0"/>
      </w:pPr>
    </w:p>
    <w:p w14:paraId="3DC401FD" w14:textId="77777777" w:rsidR="00301CF5" w:rsidRDefault="00301CF5" w:rsidP="00994193">
      <w:pPr>
        <w:pStyle w:val="BodyTextIndent"/>
        <w:spacing w:line="480" w:lineRule="auto"/>
        <w:ind w:left="0"/>
      </w:pPr>
      <w:r>
        <w:t xml:space="preserve">Studies in adult asthmatics </w:t>
      </w:r>
      <w:r w:rsidRPr="00AC7B62">
        <w:t>ha</w:t>
      </w:r>
      <w:r>
        <w:t>ve suggested that eosinophilic asthma (EA) is</w:t>
      </w:r>
      <w:r w:rsidRPr="00AC7B62">
        <w:t xml:space="preserve"> associated with increased clinical severity</w:t>
      </w:r>
      <w:r w:rsidRPr="000126DB">
        <w:rPr>
          <w:noProof/>
          <w:vertAlign w:val="superscript"/>
        </w:rPr>
        <w:t>8</w:t>
      </w:r>
      <w:r>
        <w:t xml:space="preserve"> and exacerbation frequency</w:t>
      </w:r>
      <w:r w:rsidRPr="000126DB">
        <w:rPr>
          <w:noProof/>
          <w:vertAlign w:val="superscript"/>
        </w:rPr>
        <w:t>9</w:t>
      </w:r>
      <w:r>
        <w:t xml:space="preserve"> compared with NEA although this </w:t>
      </w:r>
      <w:r w:rsidR="00560D59">
        <w:t>is not always observed</w:t>
      </w:r>
      <w:r w:rsidRPr="000626ED">
        <w:t>.</w:t>
      </w:r>
      <w:r w:rsidRPr="000126DB">
        <w:rPr>
          <w:noProof/>
          <w:vertAlign w:val="superscript"/>
        </w:rPr>
        <w:t>3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7</w:t>
      </w:r>
      <w:r>
        <w:t xml:space="preserve"> There may also be pathological differences i.e. NEA appears to be less atopic, have normal sub-epithelial layer thickness and have poor short-term response to inhaled corticosteroids (ICS).</w:t>
      </w:r>
      <w:r w:rsidRPr="000126DB">
        <w:rPr>
          <w:noProof/>
          <w:vertAlign w:val="superscript"/>
        </w:rPr>
        <w:t>5</w:t>
      </w:r>
      <w:r>
        <w:t xml:space="preserve"> Thus EA and NEA may represent distinct pathophysiological phenotypes with potentially different causative triggers and treatment strategies. </w:t>
      </w:r>
    </w:p>
    <w:p w14:paraId="238D2D7D" w14:textId="77777777" w:rsidR="00301CF5" w:rsidRDefault="00301CF5" w:rsidP="00994193">
      <w:pPr>
        <w:pStyle w:val="BodyTextIndent"/>
        <w:spacing w:line="480" w:lineRule="auto"/>
        <w:ind w:left="0"/>
      </w:pPr>
    </w:p>
    <w:p w14:paraId="7A16E16F" w14:textId="77777777" w:rsidR="00301CF5" w:rsidRDefault="00301CF5" w:rsidP="00994193">
      <w:pPr>
        <w:pStyle w:val="BodyTextIndent"/>
        <w:spacing w:line="480" w:lineRule="auto"/>
        <w:ind w:left="0"/>
      </w:pPr>
      <w:r>
        <w:t xml:space="preserve">There are similar conflicting data in the limited number of studies </w:t>
      </w:r>
      <w:r w:rsidR="00A0375B">
        <w:t>which have studied</w:t>
      </w:r>
      <w:r>
        <w:t xml:space="preserve"> NEA in children. </w:t>
      </w:r>
      <w:r w:rsidR="00A0375B">
        <w:t xml:space="preserve">In particular, </w:t>
      </w:r>
      <w:r>
        <w:t>EA is associated with significantly reduced lung function</w:t>
      </w:r>
      <w:r>
        <w:rPr>
          <w:noProof/>
        </w:rPr>
        <w:t>,</w:t>
      </w:r>
      <w:r w:rsidRPr="000126DB">
        <w:rPr>
          <w:noProof/>
          <w:vertAlign w:val="superscript"/>
        </w:rPr>
        <w:t>10</w:t>
      </w:r>
      <w:r w:rsidRPr="00B301AD">
        <w:t xml:space="preserve"> </w:t>
      </w:r>
      <w:r>
        <w:lastRenderedPageBreak/>
        <w:t xml:space="preserve">increased </w:t>
      </w:r>
      <w:r w:rsidRPr="00670C22">
        <w:t xml:space="preserve">airway hyperreactivity </w:t>
      </w:r>
      <w:r>
        <w:t>(AHR)</w:t>
      </w:r>
      <w:r w:rsidRPr="000126DB">
        <w:rPr>
          <w:noProof/>
          <w:vertAlign w:val="superscript"/>
        </w:rPr>
        <w:t>11</w:t>
      </w:r>
      <w:r>
        <w:t xml:space="preserve"> and uncontrolled asthma</w:t>
      </w:r>
      <w:r w:rsidRPr="000126DB">
        <w:rPr>
          <w:noProof/>
          <w:vertAlign w:val="superscript"/>
        </w:rPr>
        <w:t>12</w:t>
      </w:r>
      <w:r>
        <w:t xml:space="preserve"> in some studies, but there are also reports finding no significant clinical differences between EA and NEA.</w:t>
      </w:r>
      <w:r w:rsidRPr="000126DB">
        <w:rPr>
          <w:noProof/>
          <w:vertAlign w:val="superscript"/>
        </w:rPr>
        <w:t>13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14</w:t>
      </w:r>
      <w:r>
        <w:t xml:space="preserve"> Equivocal findings have also been reported regarding the importance of neutrophils in childhood NEA.</w:t>
      </w:r>
      <w:r w:rsidRPr="000126DB">
        <w:rPr>
          <w:noProof/>
          <w:vertAlign w:val="superscript"/>
        </w:rPr>
        <w:t>14-17</w:t>
      </w:r>
      <w:r>
        <w:t xml:space="preserve"> </w:t>
      </w:r>
    </w:p>
    <w:p w14:paraId="5AD35509" w14:textId="77777777" w:rsidR="00301CF5" w:rsidRDefault="00301CF5" w:rsidP="00994193">
      <w:pPr>
        <w:pStyle w:val="BodyTextIndent"/>
        <w:spacing w:line="480" w:lineRule="auto"/>
        <w:ind w:left="0"/>
      </w:pPr>
    </w:p>
    <w:p w14:paraId="787221E4" w14:textId="77777777" w:rsidR="00301CF5" w:rsidRDefault="00301CF5" w:rsidP="00994193">
      <w:pPr>
        <w:pStyle w:val="BodyTextIndent"/>
        <w:spacing w:line="480" w:lineRule="auto"/>
        <w:ind w:left="0"/>
      </w:pPr>
      <w:r>
        <w:t xml:space="preserve">The aims of this study were to assess: 1) the importance of the NEA phenotype in children; 2) the </w:t>
      </w:r>
      <w:r w:rsidR="00B77404">
        <w:t>contribution</w:t>
      </w:r>
      <w:r>
        <w:t xml:space="preserve"> of airway neutrophils, associated inflammatory mediators, and bacterial endotoxin </w:t>
      </w:r>
      <w:r w:rsidR="00D000C1">
        <w:t>(previously associated with neutrophilic inflammation in adults</w:t>
      </w:r>
      <w:r w:rsidR="00D000C1">
        <w:rPr>
          <w:vertAlign w:val="superscript"/>
        </w:rPr>
        <w:t>6</w:t>
      </w:r>
      <w:r w:rsidR="00D000C1">
        <w:t xml:space="preserve">) </w:t>
      </w:r>
      <w:r>
        <w:t>in childhood NEA; and 3) whether childhood EA and NEA differ with regard to clinical parameters such as atopy, lung function, AHR, medication use, and severity.</w:t>
      </w:r>
    </w:p>
    <w:p w14:paraId="4D8B300C" w14:textId="77777777" w:rsidR="00301CF5" w:rsidRDefault="00301CF5" w:rsidP="00994193"/>
    <w:p w14:paraId="6FBF1EE3" w14:textId="77777777" w:rsidR="00301CF5" w:rsidRDefault="00301CF5" w:rsidP="00994193"/>
    <w:p w14:paraId="1210E533" w14:textId="77777777" w:rsidR="00301CF5" w:rsidRDefault="00301CF5" w:rsidP="0099419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D359D63" w14:textId="77777777" w:rsidR="00301CF5" w:rsidRDefault="00301CF5" w:rsidP="00994193">
      <w:pPr>
        <w:spacing w:after="200" w:line="276" w:lineRule="auto"/>
        <w:rPr>
          <w:b/>
        </w:rPr>
      </w:pPr>
      <w:r>
        <w:rPr>
          <w:b/>
        </w:rPr>
        <w:lastRenderedPageBreak/>
        <w:t>MATERIALS &amp; METHODS</w:t>
      </w:r>
    </w:p>
    <w:p w14:paraId="7CE399DB" w14:textId="77777777" w:rsidR="0079759A" w:rsidRDefault="0079759A" w:rsidP="00994193">
      <w:pPr>
        <w:spacing w:after="200" w:line="276" w:lineRule="auto"/>
        <w:rPr>
          <w:b/>
        </w:rPr>
      </w:pPr>
    </w:p>
    <w:p w14:paraId="42925DEB" w14:textId="77777777" w:rsidR="00301CF5" w:rsidRPr="00852486" w:rsidRDefault="00301CF5" w:rsidP="00994193">
      <w:pPr>
        <w:spacing w:after="200" w:line="276" w:lineRule="auto"/>
        <w:rPr>
          <w:rFonts w:eastAsia="Times New Roman"/>
          <w:b/>
        </w:rPr>
      </w:pPr>
      <w:r w:rsidRPr="00852486">
        <w:rPr>
          <w:b/>
        </w:rPr>
        <w:t>Study population</w:t>
      </w:r>
    </w:p>
    <w:p w14:paraId="0429E7DA" w14:textId="77777777" w:rsidR="00301CF5" w:rsidRDefault="00E2313B" w:rsidP="00994193">
      <w:pPr>
        <w:spacing w:line="480" w:lineRule="auto"/>
        <w:rPr>
          <w:lang w:val="en-NZ"/>
        </w:rPr>
      </w:pPr>
      <w:r>
        <w:rPr>
          <w:lang w:val="en-AU"/>
        </w:rPr>
        <w:t>We recruited s</w:t>
      </w:r>
      <w:r w:rsidR="00301CF5" w:rsidRPr="000935D9">
        <w:rPr>
          <w:lang w:val="en-AU"/>
        </w:rPr>
        <w:t>tudents</w:t>
      </w:r>
      <w:r w:rsidR="000D5369">
        <w:rPr>
          <w:lang w:val="en-AU"/>
        </w:rPr>
        <w:t xml:space="preserve"> </w:t>
      </w:r>
      <w:r>
        <w:rPr>
          <w:lang w:val="en-AU"/>
        </w:rPr>
        <w:t>aged 12-17 years</w:t>
      </w:r>
      <w:r w:rsidR="006045ED">
        <w:rPr>
          <w:lang w:val="en-AU"/>
        </w:rPr>
        <w:t xml:space="preserve"> </w:t>
      </w:r>
      <w:r>
        <w:t>who</w:t>
      </w:r>
      <w:r w:rsidR="00301CF5">
        <w:t xml:space="preserve"> </w:t>
      </w:r>
      <w:r w:rsidR="000D5369">
        <w:t xml:space="preserve">previously </w:t>
      </w:r>
      <w:r w:rsidR="00301CF5">
        <w:rPr>
          <w:lang w:val="en-NZ"/>
        </w:rPr>
        <w:t xml:space="preserve">participated in the ISAAC Phase </w:t>
      </w:r>
      <w:r w:rsidR="00301CF5" w:rsidRPr="00F014F8">
        <w:rPr>
          <w:lang w:val="en-NZ"/>
        </w:rPr>
        <w:t>III</w:t>
      </w:r>
      <w:r w:rsidR="00301CF5">
        <w:rPr>
          <w:lang w:val="en-NZ"/>
        </w:rPr>
        <w:t xml:space="preserve"> survey</w:t>
      </w:r>
      <w:r w:rsidR="00301CF5" w:rsidRPr="000626ED">
        <w:rPr>
          <w:lang w:val="en-NZ"/>
        </w:rPr>
        <w:t>.</w:t>
      </w:r>
      <w:r w:rsidR="00301CF5" w:rsidRPr="000126DB">
        <w:rPr>
          <w:noProof/>
          <w:vertAlign w:val="superscript"/>
          <w:lang w:val="en-NZ"/>
        </w:rPr>
        <w:t>18</w:t>
      </w:r>
      <w:r w:rsidR="00301CF5">
        <w:rPr>
          <w:noProof/>
          <w:vertAlign w:val="superscript"/>
          <w:lang w:val="en-NZ"/>
        </w:rPr>
        <w:t xml:space="preserve"> </w:t>
      </w:r>
      <w:r w:rsidR="002E461F">
        <w:rPr>
          <w:rFonts w:eastAsia="Arial"/>
          <w:color w:val="000000"/>
          <w:lang w:val="en-NZ"/>
        </w:rPr>
        <w:t>Those</w:t>
      </w:r>
      <w:r w:rsidR="00301CF5">
        <w:rPr>
          <w:rFonts w:eastAsia="Arial"/>
          <w:color w:val="000000"/>
          <w:lang w:val="en-NZ"/>
        </w:rPr>
        <w:t xml:space="preserve"> who responded positively to </w:t>
      </w:r>
      <w:r w:rsidR="00301CF5">
        <w:t>the following questions were invited: “</w:t>
      </w:r>
      <w:r w:rsidR="00301CF5" w:rsidRPr="008C1D46">
        <w:rPr>
          <w:i/>
        </w:rPr>
        <w:t>Have you had wheezing or whistling in the chest in the past 12 months?</w:t>
      </w:r>
      <w:r w:rsidR="00301CF5">
        <w:t xml:space="preserve">”, and </w:t>
      </w:r>
      <w:r w:rsidR="00301CF5">
        <w:rPr>
          <w:color w:val="000000"/>
        </w:rPr>
        <w:t>“</w:t>
      </w:r>
      <w:r w:rsidR="00301CF5" w:rsidRPr="008C1D46">
        <w:rPr>
          <w:i/>
          <w:color w:val="000000"/>
        </w:rPr>
        <w:t>H</w:t>
      </w:r>
      <w:r w:rsidR="00301CF5">
        <w:rPr>
          <w:rFonts w:eastAsia="Arial"/>
          <w:i/>
          <w:color w:val="000000"/>
          <w:lang w:val="en-NZ"/>
        </w:rPr>
        <w:t>ave</w:t>
      </w:r>
      <w:r w:rsidR="00301CF5" w:rsidRPr="008C1D46">
        <w:rPr>
          <w:rFonts w:eastAsia="Arial"/>
          <w:i/>
          <w:color w:val="000000"/>
          <w:lang w:val="en-NZ"/>
        </w:rPr>
        <w:t xml:space="preserve"> you ever had asthma?</w:t>
      </w:r>
      <w:r w:rsidR="00301CF5">
        <w:rPr>
          <w:rFonts w:eastAsia="Arial"/>
          <w:color w:val="000000"/>
          <w:lang w:val="en-NZ"/>
        </w:rPr>
        <w:t>” (n=244); a random sample of those w</w:t>
      </w:r>
      <w:r w:rsidR="00224DA4">
        <w:rPr>
          <w:rFonts w:eastAsia="Arial"/>
          <w:color w:val="000000"/>
          <w:lang w:val="en-NZ"/>
        </w:rPr>
        <w:t>ithout</w:t>
      </w:r>
      <w:r w:rsidR="00301CF5">
        <w:rPr>
          <w:rFonts w:eastAsia="Arial"/>
          <w:color w:val="000000"/>
          <w:lang w:val="en-NZ"/>
        </w:rPr>
        <w:t xml:space="preserve"> respiratory symptoms were also invited (n=595). Those who agreed to participate (136 with and 134 without symptoms) completed a second questionnaire based on the ISAAC Phase </w:t>
      </w:r>
      <w:r w:rsidR="00301CF5" w:rsidRPr="00F014F8">
        <w:rPr>
          <w:rFonts w:eastAsia="Arial"/>
          <w:color w:val="000000"/>
          <w:lang w:val="en-NZ"/>
        </w:rPr>
        <w:t>III s</w:t>
      </w:r>
      <w:r w:rsidR="00301CF5">
        <w:rPr>
          <w:rFonts w:eastAsia="Arial"/>
          <w:color w:val="000000"/>
          <w:lang w:val="en-NZ"/>
        </w:rPr>
        <w:t>urvey</w:t>
      </w:r>
      <w:r w:rsidR="00301CF5" w:rsidRPr="000626ED">
        <w:rPr>
          <w:rFonts w:eastAsia="Arial"/>
          <w:color w:val="000000"/>
          <w:lang w:val="en-NZ"/>
        </w:rPr>
        <w:t>.</w:t>
      </w:r>
      <w:r w:rsidR="00301CF5" w:rsidRPr="002F44F3">
        <w:rPr>
          <w:lang w:val="en-AU"/>
        </w:rPr>
        <w:t xml:space="preserve"> </w:t>
      </w:r>
      <w:r w:rsidR="00301CF5">
        <w:rPr>
          <w:lang w:val="en-NZ"/>
        </w:rPr>
        <w:t>Approval was obtained from the Wellington Ethics Committee (00/03/010). Written consent was obtained from child</w:t>
      </w:r>
      <w:r w:rsidR="004D65A8">
        <w:rPr>
          <w:lang w:val="en-NZ"/>
        </w:rPr>
        <w:t>ren</w:t>
      </w:r>
      <w:r w:rsidR="00301CF5">
        <w:rPr>
          <w:lang w:val="en-NZ"/>
        </w:rPr>
        <w:t xml:space="preserve"> and their parents. </w:t>
      </w:r>
    </w:p>
    <w:p w14:paraId="56B043C0" w14:textId="77777777" w:rsidR="00301CF5" w:rsidRDefault="00301CF5" w:rsidP="00994193">
      <w:pPr>
        <w:spacing w:line="480" w:lineRule="auto"/>
        <w:rPr>
          <w:lang w:val="en-NZ"/>
        </w:rPr>
      </w:pPr>
    </w:p>
    <w:p w14:paraId="43240760" w14:textId="77777777" w:rsidR="00301CF5" w:rsidRPr="00852486" w:rsidRDefault="00301CF5" w:rsidP="00994193">
      <w:pPr>
        <w:spacing w:line="480" w:lineRule="auto"/>
        <w:rPr>
          <w:b/>
          <w:lang w:val="en-NZ"/>
        </w:rPr>
      </w:pPr>
      <w:r w:rsidRPr="00852486">
        <w:rPr>
          <w:b/>
        </w:rPr>
        <w:t>Asthma definition</w:t>
      </w:r>
    </w:p>
    <w:p w14:paraId="583BB38F" w14:textId="77777777" w:rsidR="00301CF5" w:rsidRDefault="00301CF5" w:rsidP="00994193">
      <w:pPr>
        <w:spacing w:line="480" w:lineRule="auto"/>
        <w:rPr>
          <w:rFonts w:eastAsia="Arial"/>
          <w:color w:val="000000"/>
          <w:lang w:val="en-NZ"/>
        </w:rPr>
      </w:pPr>
      <w:r>
        <w:rPr>
          <w:rFonts w:eastAsia="Arial"/>
          <w:color w:val="000000"/>
          <w:lang w:val="en-NZ"/>
        </w:rPr>
        <w:t>Asthma was defined bas</w:t>
      </w:r>
      <w:r w:rsidR="004D65A8">
        <w:rPr>
          <w:rFonts w:eastAsia="Arial"/>
          <w:color w:val="000000"/>
          <w:lang w:val="en-NZ"/>
        </w:rPr>
        <w:t>ed</w:t>
      </w:r>
      <w:r>
        <w:rPr>
          <w:rFonts w:eastAsia="Arial"/>
          <w:color w:val="000000"/>
          <w:lang w:val="en-NZ"/>
        </w:rPr>
        <w:t xml:space="preserve"> </w:t>
      </w:r>
      <w:r w:rsidR="004D65A8">
        <w:rPr>
          <w:rFonts w:eastAsia="Arial"/>
          <w:color w:val="000000"/>
          <w:lang w:val="en-NZ"/>
        </w:rPr>
        <w:t>on</w:t>
      </w:r>
      <w:r>
        <w:rPr>
          <w:rFonts w:eastAsia="Arial"/>
          <w:color w:val="000000"/>
          <w:lang w:val="en-NZ"/>
        </w:rPr>
        <w:t xml:space="preserve"> a positive response to the questions above, and/or asthma medication use in the past 12 months. Non-asthmatics had no</w:t>
      </w:r>
      <w:r>
        <w:rPr>
          <w:rFonts w:eastAsia="Arial"/>
          <w:color w:val="000000"/>
        </w:rPr>
        <w:t xml:space="preserve"> wheezing/whistling in the chest or asthma medication in the last 12 months, no asthma history</w:t>
      </w:r>
      <w:r w:rsidR="006045ED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and no nocturnal cough in the last 12 months apart from that associated with respiratory infection. </w:t>
      </w:r>
      <w:r>
        <w:rPr>
          <w:rFonts w:eastAsia="Arial"/>
          <w:color w:val="000000"/>
          <w:lang w:val="en-NZ"/>
        </w:rPr>
        <w:t>Sixteen subjects were excluded because they did not meet eligibility criteria</w:t>
      </w:r>
      <w:r w:rsidR="00224DA4">
        <w:rPr>
          <w:rFonts w:eastAsia="Arial"/>
          <w:color w:val="000000"/>
          <w:lang w:val="en-NZ"/>
        </w:rPr>
        <w:t xml:space="preserve"> (either</w:t>
      </w:r>
      <w:r>
        <w:rPr>
          <w:rFonts w:eastAsia="Arial"/>
          <w:color w:val="000000"/>
          <w:lang w:val="en-NZ"/>
        </w:rPr>
        <w:t xml:space="preserve"> no current symptoms despite a history of asthma or an ambiguous questionnaire response</w:t>
      </w:r>
      <w:r w:rsidR="00224DA4">
        <w:rPr>
          <w:rFonts w:eastAsia="Arial"/>
          <w:color w:val="000000"/>
          <w:lang w:val="en-NZ"/>
        </w:rPr>
        <w:t>)</w:t>
      </w:r>
      <w:r>
        <w:rPr>
          <w:rFonts w:eastAsia="Arial"/>
          <w:color w:val="000000"/>
          <w:lang w:val="en-NZ"/>
        </w:rPr>
        <w:t>. Eight subjects were unable to be re-contacted</w:t>
      </w:r>
      <w:r w:rsidR="004D65A8">
        <w:rPr>
          <w:rFonts w:eastAsia="Arial"/>
          <w:color w:val="000000"/>
          <w:lang w:val="en-NZ"/>
        </w:rPr>
        <w:t xml:space="preserve"> and excluded</w:t>
      </w:r>
      <w:r>
        <w:rPr>
          <w:rFonts w:eastAsia="Arial"/>
          <w:color w:val="000000"/>
          <w:lang w:val="en-NZ"/>
        </w:rPr>
        <w:t xml:space="preserve">. </w:t>
      </w:r>
    </w:p>
    <w:p w14:paraId="05644BF2" w14:textId="77777777" w:rsidR="00301CF5" w:rsidRDefault="00301CF5" w:rsidP="00994193">
      <w:pPr>
        <w:spacing w:line="480" w:lineRule="auto"/>
        <w:rPr>
          <w:rFonts w:eastAsia="Arial"/>
          <w:color w:val="000000"/>
          <w:lang w:val="en-NZ"/>
        </w:rPr>
      </w:pPr>
    </w:p>
    <w:p w14:paraId="73C231F7" w14:textId="77777777" w:rsidR="00301CF5" w:rsidRPr="00852486" w:rsidRDefault="00301CF5" w:rsidP="00994193">
      <w:pPr>
        <w:spacing w:line="480" w:lineRule="auto"/>
        <w:rPr>
          <w:rFonts w:eastAsia="Arial"/>
          <w:b/>
          <w:color w:val="000000"/>
          <w:lang w:val="en-NZ"/>
        </w:rPr>
      </w:pPr>
      <w:r w:rsidRPr="00852486">
        <w:rPr>
          <w:b/>
        </w:rPr>
        <w:t>Classification of asthma severity</w:t>
      </w:r>
    </w:p>
    <w:p w14:paraId="7C03D3A0" w14:textId="77777777" w:rsidR="00301CF5" w:rsidRDefault="00301CF5" w:rsidP="00994193">
      <w:pPr>
        <w:spacing w:line="480" w:lineRule="auto"/>
        <w:rPr>
          <w:lang w:val="en-NZ"/>
        </w:rPr>
      </w:pPr>
      <w:r>
        <w:rPr>
          <w:lang w:val="en-NZ"/>
        </w:rPr>
        <w:t xml:space="preserve">Asthma cases were defined by wheezing attack frequency per month (mild intermittent, 0-3; persistent-moderate, 4-12; severe, &gt;12), sleep disturbance due to wheeze (mild, &lt; 1 night/week; moderate, ≥ 1 night/week), speech limitation by wheeze in the past 12 months </w:t>
      </w:r>
      <w:r>
        <w:rPr>
          <w:lang w:val="en-NZ"/>
        </w:rPr>
        <w:lastRenderedPageBreak/>
        <w:t>(severe), daily symptoms in last two weeks (moderate), daily use of β</w:t>
      </w:r>
      <w:r>
        <w:rPr>
          <w:vertAlign w:val="subscript"/>
          <w:lang w:val="en-NZ"/>
        </w:rPr>
        <w:t>2</w:t>
      </w:r>
      <w:r>
        <w:rPr>
          <w:lang w:val="en-NZ"/>
        </w:rPr>
        <w:t xml:space="preserve"> agonist (moderate), and FEV</w:t>
      </w:r>
      <w:r>
        <w:rPr>
          <w:vertAlign w:val="subscript"/>
          <w:lang w:val="en-NZ"/>
        </w:rPr>
        <w:t>1</w:t>
      </w:r>
      <w:r>
        <w:rPr>
          <w:lang w:val="en-NZ"/>
        </w:rPr>
        <w:t xml:space="preserve"> (mild, </w:t>
      </w:r>
      <w:r>
        <w:sym w:font="Symbol" w:char="F0B3"/>
      </w:r>
      <w:r>
        <w:t xml:space="preserve"> 80% predicted; moderate, </w:t>
      </w:r>
      <w:r>
        <w:sym w:font="Symbol" w:char="F0B3"/>
      </w:r>
      <w:r>
        <w:t xml:space="preserve"> 60% and &lt; 80%; severe, &lt; 60%)</w:t>
      </w:r>
      <w:r>
        <w:rPr>
          <w:lang w:val="en-NZ"/>
        </w:rPr>
        <w:t xml:space="preserve"> following </w:t>
      </w:r>
      <w:r w:rsidR="009533D5">
        <w:rPr>
          <w:lang w:val="en-NZ"/>
        </w:rPr>
        <w:t>2008 GINA</w:t>
      </w:r>
      <w:r w:rsidR="00C11B8A">
        <w:rPr>
          <w:lang w:val="en-NZ"/>
        </w:rPr>
        <w:t xml:space="preserve"> </w:t>
      </w:r>
      <w:r>
        <w:rPr>
          <w:lang w:val="en-NZ"/>
        </w:rPr>
        <w:t>guidelines</w:t>
      </w:r>
      <w:r w:rsidR="00224DA4">
        <w:rPr>
          <w:lang w:val="en-NZ"/>
        </w:rPr>
        <w:t xml:space="preserve"> </w:t>
      </w:r>
      <w:r w:rsidR="00C11B8A">
        <w:rPr>
          <w:lang w:val="en-NZ"/>
        </w:rPr>
        <w:t>(for observational studies rather than clinical management)</w:t>
      </w:r>
      <w:r w:rsidR="009533D5">
        <w:rPr>
          <w:lang w:val="en-NZ"/>
        </w:rPr>
        <w:t>.</w:t>
      </w:r>
      <w:r w:rsidR="00224DA4" w:rsidRPr="000126DB">
        <w:rPr>
          <w:noProof/>
          <w:vertAlign w:val="superscript"/>
          <w:lang w:val="en-NZ"/>
        </w:rPr>
        <w:t>19</w:t>
      </w:r>
      <w:r w:rsidR="009533D5">
        <w:rPr>
          <w:lang w:val="en-NZ"/>
        </w:rPr>
        <w:t xml:space="preserve"> </w:t>
      </w:r>
      <w:r>
        <w:rPr>
          <w:lang w:val="en-NZ"/>
        </w:rPr>
        <w:t>Subjects were assigned an asthma severity category according to the highest severity class for any</w:t>
      </w:r>
      <w:r w:rsidR="006045ED">
        <w:rPr>
          <w:lang w:val="en-NZ"/>
        </w:rPr>
        <w:t xml:space="preserve"> </w:t>
      </w:r>
      <w:r>
        <w:rPr>
          <w:lang w:val="en-NZ"/>
        </w:rPr>
        <w:t>parameter.</w:t>
      </w:r>
    </w:p>
    <w:p w14:paraId="39DAADEA" w14:textId="77777777" w:rsidR="00301CF5" w:rsidRDefault="00301CF5" w:rsidP="00994193">
      <w:pPr>
        <w:spacing w:line="480" w:lineRule="auto"/>
        <w:rPr>
          <w:rFonts w:eastAsia="Arial"/>
          <w:color w:val="000000"/>
          <w:lang w:val="en-NZ"/>
        </w:rPr>
      </w:pPr>
    </w:p>
    <w:p w14:paraId="154ECF8A" w14:textId="77777777" w:rsidR="00301CF5" w:rsidRPr="00852486" w:rsidRDefault="00301CF5" w:rsidP="00994193">
      <w:pPr>
        <w:spacing w:line="480" w:lineRule="auto"/>
        <w:rPr>
          <w:rFonts w:eastAsia="Arial"/>
          <w:b/>
          <w:color w:val="000000"/>
        </w:rPr>
      </w:pPr>
      <w:r>
        <w:rPr>
          <w:b/>
        </w:rPr>
        <w:t>Study procedures</w:t>
      </w:r>
    </w:p>
    <w:p w14:paraId="0B7C9955" w14:textId="77777777" w:rsidR="00301CF5" w:rsidRPr="00174DDE" w:rsidRDefault="002B27E5" w:rsidP="00994193">
      <w:pPr>
        <w:spacing w:line="480" w:lineRule="auto"/>
        <w:rPr>
          <w:rFonts w:eastAsia="Arial"/>
          <w:color w:val="000000"/>
          <w:lang w:val="en-NZ"/>
        </w:rPr>
      </w:pPr>
      <w:r>
        <w:rPr>
          <w:lang w:val="en-NZ"/>
        </w:rPr>
        <w:t xml:space="preserve">All study participants underwent a standard clinical assessment. </w:t>
      </w:r>
      <w:r w:rsidRPr="002B27E5">
        <w:rPr>
          <w:lang w:val="en-NZ"/>
        </w:rPr>
        <w:t xml:space="preserve">Participants who had a respiratory infection within four weeks were asked to return at a later date. </w:t>
      </w:r>
      <w:r w:rsidR="00301CF5" w:rsidRPr="002E5444">
        <w:rPr>
          <w:lang w:val="en-NZ"/>
        </w:rPr>
        <w:t>Atopy was defined as a positive skin prick test to at least one of of eight allergen</w:t>
      </w:r>
      <w:r w:rsidR="000006FF">
        <w:rPr>
          <w:lang w:val="en-NZ"/>
        </w:rPr>
        <w:t xml:space="preserve">s, and </w:t>
      </w:r>
      <w:r w:rsidR="000006FF">
        <w:rPr>
          <w:lang w:val="en-AU"/>
        </w:rPr>
        <w:t>l</w:t>
      </w:r>
      <w:r w:rsidR="00301CF5">
        <w:rPr>
          <w:lang w:val="en-AU"/>
        </w:rPr>
        <w:t>ung function was measured following standard procedures</w:t>
      </w:r>
      <w:r w:rsidR="0019215C">
        <w:rPr>
          <w:lang w:val="en-AU"/>
        </w:rPr>
        <w:t xml:space="preserve"> (see supplement)</w:t>
      </w:r>
      <w:r w:rsidR="00301CF5" w:rsidRPr="000626ED">
        <w:rPr>
          <w:lang w:val="en-AU"/>
        </w:rPr>
        <w:t>.</w:t>
      </w:r>
      <w:r w:rsidR="00301CF5" w:rsidRPr="000126DB">
        <w:rPr>
          <w:noProof/>
          <w:vertAlign w:val="superscript"/>
          <w:lang w:val="en-AU"/>
        </w:rPr>
        <w:t>20</w:t>
      </w:r>
      <w:r w:rsidR="00301CF5">
        <w:rPr>
          <w:lang w:val="en-AU"/>
        </w:rPr>
        <w:t xml:space="preserve"> </w:t>
      </w:r>
      <w:r w:rsidR="00301CF5">
        <w:rPr>
          <w:lang w:val="en-NZ"/>
        </w:rPr>
        <w:t>Eleven subjects</w:t>
      </w:r>
      <w:r w:rsidR="00301CF5">
        <w:rPr>
          <w:rFonts w:eastAsia="Arial"/>
          <w:color w:val="000000"/>
          <w:lang w:val="en-NZ"/>
        </w:rPr>
        <w:t xml:space="preserve"> were unable to perform adequate spirometry, and 11 were excluded because of</w:t>
      </w:r>
      <w:r w:rsidR="00301CF5" w:rsidRPr="00DA474C">
        <w:rPr>
          <w:rFonts w:eastAsia="Arial"/>
          <w:color w:val="000000"/>
          <w:lang w:val="en-NZ"/>
        </w:rPr>
        <w:t xml:space="preserve"> </w:t>
      </w:r>
      <w:r w:rsidR="00301CF5">
        <w:rPr>
          <w:rFonts w:eastAsia="Arial"/>
          <w:color w:val="000000"/>
          <w:lang w:val="en-NZ"/>
        </w:rPr>
        <w:t>β</w:t>
      </w:r>
      <w:r w:rsidR="00301CF5">
        <w:rPr>
          <w:rFonts w:eastAsia="Arial"/>
          <w:color w:val="000000"/>
          <w:vertAlign w:val="subscript"/>
          <w:lang w:val="en-NZ"/>
        </w:rPr>
        <w:t>2</w:t>
      </w:r>
      <w:r w:rsidR="00301CF5">
        <w:rPr>
          <w:rFonts w:eastAsia="Arial"/>
          <w:color w:val="000000"/>
          <w:lang w:val="en-NZ"/>
        </w:rPr>
        <w:t>-agonist use within 6 hours prior to assessment.</w:t>
      </w:r>
    </w:p>
    <w:p w14:paraId="46130E32" w14:textId="77777777" w:rsidR="00301CF5" w:rsidRDefault="00301CF5" w:rsidP="00994193">
      <w:pPr>
        <w:spacing w:line="480" w:lineRule="auto"/>
      </w:pPr>
    </w:p>
    <w:p w14:paraId="64147678" w14:textId="77777777" w:rsidR="00301CF5" w:rsidRDefault="00301CF5">
      <w:pPr>
        <w:spacing w:line="480" w:lineRule="auto"/>
        <w:rPr>
          <w:lang w:val="en-NZ"/>
        </w:rPr>
      </w:pPr>
      <w:r>
        <w:t>Combined bronchial provocation and sputum induction using 4.5% saline</w:t>
      </w:r>
      <w:r w:rsidRPr="00913C7D">
        <w:t xml:space="preserve"> </w:t>
      </w:r>
      <w:r>
        <w:t xml:space="preserve">were </w:t>
      </w:r>
      <w:r w:rsidR="00FB6152">
        <w:t xml:space="preserve">conducted </w:t>
      </w:r>
      <w:r>
        <w:t>as previously described (see supplement).</w:t>
      </w:r>
      <w:r w:rsidRPr="000126DB">
        <w:rPr>
          <w:noProof/>
          <w:vertAlign w:val="superscript"/>
        </w:rPr>
        <w:t>11</w:t>
      </w:r>
      <w:r>
        <w:rPr>
          <w:lang w:val="en-NZ"/>
        </w:rPr>
        <w:t xml:space="preserve"> Subjects with sputum eosinophils ≥2.5% were classified as EA</w:t>
      </w:r>
      <w:r w:rsidR="004D65A8">
        <w:rPr>
          <w:lang w:val="en-NZ"/>
        </w:rPr>
        <w:t xml:space="preserve"> with the remainder </w:t>
      </w:r>
      <w:r>
        <w:rPr>
          <w:lang w:val="en-NZ"/>
        </w:rPr>
        <w:t>classified as NEA</w:t>
      </w:r>
      <w:r w:rsidRPr="00CD403E">
        <w:rPr>
          <w:lang w:val="en-NZ"/>
        </w:rPr>
        <w:t>.</w:t>
      </w:r>
      <w:r w:rsidRPr="000126DB">
        <w:rPr>
          <w:noProof/>
          <w:vertAlign w:val="superscript"/>
          <w:lang w:val="en-NZ"/>
        </w:rPr>
        <w:t>21</w:t>
      </w:r>
      <w:r>
        <w:rPr>
          <w:lang w:val="en-NZ"/>
        </w:rPr>
        <w:t xml:space="preserve"> Further phenotyping on the basis of sputum neutrophils ≥ 61</w:t>
      </w:r>
      <w:r w:rsidRPr="007056C7">
        <w:rPr>
          <w:lang w:val="en-NZ"/>
        </w:rPr>
        <w:t>%</w:t>
      </w:r>
      <w:r>
        <w:rPr>
          <w:lang w:val="en-NZ"/>
        </w:rPr>
        <w:t xml:space="preserve"> was also conducted</w:t>
      </w:r>
      <w:r w:rsidRPr="00CD403E">
        <w:rPr>
          <w:lang w:val="en-NZ"/>
        </w:rPr>
        <w:t>.</w:t>
      </w:r>
      <w:r w:rsidRPr="000126DB">
        <w:rPr>
          <w:noProof/>
          <w:vertAlign w:val="superscript"/>
          <w:lang w:val="en-NZ"/>
        </w:rPr>
        <w:t>3</w:t>
      </w:r>
      <w:r w:rsidRPr="007E1677">
        <w:t xml:space="preserve"> </w:t>
      </w:r>
      <w:r>
        <w:t>Seventy eight (35%) subjects failed to provide an adequate sputum sample (unable to conduct an inflammatory cell count), therefore complete data was available for 77 asthmatics and 68 non-asthmatics.</w:t>
      </w:r>
    </w:p>
    <w:p w14:paraId="0011BF6D" w14:textId="77777777" w:rsidR="00301CF5" w:rsidRDefault="00301CF5" w:rsidP="00994193">
      <w:pPr>
        <w:spacing w:line="480" w:lineRule="auto"/>
        <w:rPr>
          <w:lang w:val="en-NZ"/>
        </w:rPr>
      </w:pPr>
    </w:p>
    <w:p w14:paraId="43E9664E" w14:textId="77777777" w:rsidR="00301CF5" w:rsidRDefault="00301CF5" w:rsidP="00994193">
      <w:pPr>
        <w:spacing w:line="480" w:lineRule="auto"/>
        <w:rPr>
          <w:lang w:val="en-NZ"/>
        </w:rPr>
      </w:pPr>
      <w:r>
        <w:rPr>
          <w:lang w:val="en-NZ"/>
        </w:rPr>
        <w:t>Eosinophil cationic protein and IL-8 in sputum supernatant were measured by ELISA (R&amp;D Systems, Minneapolis, MN). Active NE was measured using</w:t>
      </w:r>
      <w:r w:rsidRPr="00F1399F">
        <w:rPr>
          <w:lang w:val="en-NZ"/>
        </w:rPr>
        <w:t xml:space="preserve"> </w:t>
      </w:r>
      <w:r>
        <w:rPr>
          <w:lang w:val="en-NZ"/>
        </w:rPr>
        <w:t xml:space="preserve">n-methoxysuccinyl-l-alanyl-l-alanyl-prolyl-l-valyl-p-nitroanilide (Sigma, St Louis, MO, USA). Endotoxin was measured </w:t>
      </w:r>
      <w:r>
        <w:rPr>
          <w:lang w:val="en-NZ"/>
        </w:rPr>
        <w:lastRenderedPageBreak/>
        <w:t xml:space="preserve">using the </w:t>
      </w:r>
      <w:r>
        <w:rPr>
          <w:i/>
          <w:lang w:val="en-NZ"/>
        </w:rPr>
        <w:t>Limulus</w:t>
      </w:r>
      <w:r>
        <w:rPr>
          <w:lang w:val="en-NZ"/>
        </w:rPr>
        <w:t xml:space="preserve"> Amebocyte Lysate assay (Kinetic QCL; BioWhittaker, Walkersville, MD).</w:t>
      </w:r>
      <w:r w:rsidRPr="00174DDE">
        <w:rPr>
          <w:lang w:val="en-NZ"/>
        </w:rPr>
        <w:t xml:space="preserve"> </w:t>
      </w:r>
      <w:r>
        <w:rPr>
          <w:lang w:val="en-NZ"/>
        </w:rPr>
        <w:t>These assays have previously been validated for assessment of induced sputum.</w:t>
      </w:r>
      <w:r w:rsidRPr="000126DB">
        <w:rPr>
          <w:noProof/>
          <w:vertAlign w:val="superscript"/>
          <w:lang w:val="en-NZ"/>
        </w:rPr>
        <w:t>6</w:t>
      </w:r>
    </w:p>
    <w:p w14:paraId="6C069088" w14:textId="77777777" w:rsidR="00301CF5" w:rsidRDefault="00301CF5" w:rsidP="00994193">
      <w:pPr>
        <w:spacing w:line="480" w:lineRule="auto"/>
        <w:rPr>
          <w:lang w:val="en-NZ"/>
        </w:rPr>
      </w:pPr>
    </w:p>
    <w:p w14:paraId="52E3A2D9" w14:textId="77777777" w:rsidR="00301CF5" w:rsidRPr="00790C14" w:rsidRDefault="00301CF5" w:rsidP="00994193">
      <w:pPr>
        <w:spacing w:line="480" w:lineRule="auto"/>
        <w:rPr>
          <w:b/>
          <w:lang w:val="en-NZ"/>
        </w:rPr>
      </w:pPr>
      <w:r w:rsidRPr="00790C14">
        <w:rPr>
          <w:b/>
        </w:rPr>
        <w:t>Statistical analyses</w:t>
      </w:r>
    </w:p>
    <w:p w14:paraId="01EB38FA" w14:textId="77777777" w:rsidR="00301CF5" w:rsidRDefault="00301CF5" w:rsidP="00994193">
      <w:pPr>
        <w:spacing w:line="480" w:lineRule="auto"/>
      </w:pPr>
      <w:r>
        <w:rPr>
          <w:lang w:val="en-NZ"/>
        </w:rPr>
        <w:t>Lung function measures were summarised as mean values with 95% confidence intervals (95% CI).</w:t>
      </w:r>
      <w:r w:rsidRPr="0014198D">
        <w:rPr>
          <w:lang w:val="en-AU"/>
        </w:rPr>
        <w:t xml:space="preserve"> </w:t>
      </w:r>
      <w:r>
        <w:rPr>
          <w:lang w:val="en-AU"/>
        </w:rPr>
        <w:t>Sputum cell counts, inflammatory markers and endotoxin were expressed as median values with 25</w:t>
      </w:r>
      <w:r w:rsidRPr="00710C3B">
        <w:rPr>
          <w:vertAlign w:val="superscript"/>
          <w:lang w:val="en-AU"/>
        </w:rPr>
        <w:t>th</w:t>
      </w:r>
      <w:r>
        <w:rPr>
          <w:lang w:val="en-AU"/>
        </w:rPr>
        <w:t>/75</w:t>
      </w:r>
      <w:r w:rsidRPr="00C11B8A">
        <w:rPr>
          <w:vertAlign w:val="superscript"/>
          <w:lang w:val="en-AU"/>
        </w:rPr>
        <w:t>th</w:t>
      </w:r>
      <w:r>
        <w:rPr>
          <w:lang w:val="en-AU"/>
        </w:rPr>
        <w:t>-percentiles. Chi-square</w:t>
      </w:r>
      <w:r w:rsidRPr="0014198D">
        <w:t xml:space="preserve"> </w:t>
      </w:r>
      <w:r>
        <w:t>and</w:t>
      </w:r>
      <w:r>
        <w:rPr>
          <w:lang w:val="en-AU"/>
        </w:rPr>
        <w:t xml:space="preserve"> t-tests were performed to test differences in prevalence and mean levels</w:t>
      </w:r>
      <w:r w:rsidR="008D16FE">
        <w:rPr>
          <w:lang w:val="en-AU"/>
        </w:rPr>
        <w:t xml:space="preserve"> (with normally distributed data)</w:t>
      </w:r>
      <w:r>
        <w:rPr>
          <w:lang w:val="en-AU"/>
        </w:rPr>
        <w:t xml:space="preserve">, respectively. </w:t>
      </w:r>
      <w:r>
        <w:t>The Wilcoxon rank-sum test was used for non-parametric data.</w:t>
      </w:r>
      <w:r w:rsidRPr="0014198D">
        <w:rPr>
          <w:lang w:val="en-AU"/>
        </w:rPr>
        <w:t xml:space="preserve"> </w:t>
      </w:r>
      <w:r>
        <w:rPr>
          <w:bCs/>
        </w:rPr>
        <w:t>Prevalence odds ratios (ORs) were calculated using logistic regression for analyses involving dichotomous outcomes; linear regression analyses were used for continuous outcomes.</w:t>
      </w:r>
      <w:r>
        <w:rPr>
          <w:lang w:val="en-NZ"/>
        </w:rPr>
        <w:t xml:space="preserve"> </w:t>
      </w:r>
      <w:r>
        <w:rPr>
          <w:lang w:val="en-AU"/>
        </w:rPr>
        <w:t>The p</w:t>
      </w:r>
      <w:r>
        <w:rPr>
          <w:color w:val="000000"/>
        </w:rPr>
        <w:t>opulation-a</w:t>
      </w:r>
      <w:r>
        <w:t xml:space="preserve">ttributable fraction (PAF) was calculated to assess the </w:t>
      </w:r>
      <w:r>
        <w:rPr>
          <w:lang w:val="en-NZ"/>
        </w:rPr>
        <w:t>proportion of asthma attributable to eosinophilia</w:t>
      </w:r>
      <w:r>
        <w:rPr>
          <w:color w:val="000000"/>
        </w:rPr>
        <w:t>.</w:t>
      </w:r>
      <w:r>
        <w:t xml:space="preserve"> </w:t>
      </w:r>
      <w:r>
        <w:rPr>
          <w:lang w:val="en-AU"/>
        </w:rPr>
        <w:t>D</w:t>
      </w:r>
      <w:r w:rsidRPr="00515540">
        <w:rPr>
          <w:lang w:val="en-AU"/>
        </w:rPr>
        <w:t xml:space="preserve">ata were analysed using </w:t>
      </w:r>
      <w:r>
        <w:rPr>
          <w:lang w:val="en-AU"/>
        </w:rPr>
        <w:t>SAS (SAS Institute, Cary, NC) and STATA 11 (Statacorp, College Station, TX).</w:t>
      </w:r>
      <w:r w:rsidR="008D16FE">
        <w:rPr>
          <w:lang w:val="en-AU"/>
        </w:rPr>
        <w:t xml:space="preserve"> </w:t>
      </w:r>
    </w:p>
    <w:p w14:paraId="37F56FA4" w14:textId="77777777" w:rsidR="00301CF5" w:rsidRDefault="00301CF5">
      <w:pPr>
        <w:spacing w:after="200" w:line="276" w:lineRule="auto"/>
      </w:pPr>
      <w:r>
        <w:br w:type="page"/>
      </w:r>
    </w:p>
    <w:p w14:paraId="5DC8AF7C" w14:textId="77777777" w:rsidR="00301CF5" w:rsidRPr="00790C14" w:rsidRDefault="00301CF5" w:rsidP="00994193">
      <w:pPr>
        <w:spacing w:line="480" w:lineRule="auto"/>
        <w:rPr>
          <w:b/>
          <w:lang w:val="en-NZ"/>
        </w:rPr>
      </w:pPr>
      <w:r w:rsidRPr="00790C14">
        <w:rPr>
          <w:b/>
        </w:rPr>
        <w:lastRenderedPageBreak/>
        <w:t>RESULTS</w:t>
      </w:r>
    </w:p>
    <w:p w14:paraId="77010EC5" w14:textId="77777777" w:rsidR="00301CF5" w:rsidRDefault="009533D5" w:rsidP="00994193">
      <w:pPr>
        <w:pStyle w:val="BodyTextIndent"/>
        <w:spacing w:line="480" w:lineRule="auto"/>
        <w:ind w:left="0"/>
        <w:rPr>
          <w:lang w:val="en-NZ"/>
        </w:rPr>
      </w:pPr>
      <w:r>
        <w:rPr>
          <w:lang w:val="en-NZ"/>
        </w:rPr>
        <w:t>Asthmatic</w:t>
      </w:r>
      <w:r w:rsidR="004D65A8">
        <w:rPr>
          <w:lang w:val="en-NZ"/>
        </w:rPr>
        <w:t>s</w:t>
      </w:r>
      <w:r>
        <w:rPr>
          <w:lang w:val="en-NZ"/>
        </w:rPr>
        <w:t xml:space="preserve"> and non-asthmatic</w:t>
      </w:r>
      <w:r w:rsidR="004D65A8">
        <w:rPr>
          <w:lang w:val="en-NZ"/>
        </w:rPr>
        <w:t>s</w:t>
      </w:r>
      <w:r>
        <w:rPr>
          <w:lang w:val="en-NZ"/>
        </w:rPr>
        <w:t xml:space="preserve"> did not differ with regards to age, sex and ethnicity, but asthmatics had, as expected, </w:t>
      </w:r>
      <w:r w:rsidR="00301CF5">
        <w:rPr>
          <w:lang w:val="en-NZ"/>
        </w:rPr>
        <w:t>a small but significantly reduced FEV</w:t>
      </w:r>
      <w:r w:rsidR="00301CF5" w:rsidRPr="00E50B67">
        <w:rPr>
          <w:vertAlign w:val="subscript"/>
          <w:lang w:val="en-NZ"/>
        </w:rPr>
        <w:t>1</w:t>
      </w:r>
      <w:r w:rsidR="00301CF5">
        <w:rPr>
          <w:lang w:val="en-NZ"/>
        </w:rPr>
        <w:t xml:space="preserve"> and FEV</w:t>
      </w:r>
      <w:r w:rsidR="00301CF5" w:rsidRPr="00E50B67">
        <w:rPr>
          <w:vertAlign w:val="subscript"/>
          <w:lang w:val="en-NZ"/>
        </w:rPr>
        <w:t>1</w:t>
      </w:r>
      <w:r w:rsidR="00301CF5">
        <w:rPr>
          <w:lang w:val="en-NZ"/>
        </w:rPr>
        <w:t>/FVC, and significantly increased prevalence of atopy and AHR (Table 1). Approximately 40% of asthma</w:t>
      </w:r>
      <w:r w:rsidR="003F797E">
        <w:rPr>
          <w:lang w:val="en-NZ"/>
        </w:rPr>
        <w:t>tics</w:t>
      </w:r>
      <w:r w:rsidR="00301CF5">
        <w:rPr>
          <w:lang w:val="en-NZ"/>
        </w:rPr>
        <w:t xml:space="preserve"> were classified as severe, 40% as moderate and 20% as mild.</w:t>
      </w:r>
    </w:p>
    <w:p w14:paraId="7EA09CE4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</w:p>
    <w:p w14:paraId="72AFC472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  <w:r>
        <w:rPr>
          <w:lang w:val="en-NZ"/>
        </w:rPr>
        <w:t xml:space="preserve">Fifty-four percent (n=42) of asthmatics had sputum eosinophil levels &lt;2.5% and </w:t>
      </w:r>
      <w:r w:rsidR="002E461F">
        <w:rPr>
          <w:lang w:val="en-NZ"/>
        </w:rPr>
        <w:t xml:space="preserve">were </w:t>
      </w:r>
      <w:r>
        <w:rPr>
          <w:lang w:val="en-NZ"/>
        </w:rPr>
        <w:t xml:space="preserve">designated NEA, with the remaining 46% designated EA. Eosinophil and ECP levels were significantly higher in EA than NEA or non-asthmatics (Figure 1A; Table 2), and those with EA were more likely to be atopic (Table 3). Eosinophil levels were similar in NEA and non-asthmatics (Figure 1B). </w:t>
      </w:r>
      <w:r w:rsidR="004D65A8">
        <w:rPr>
          <w:lang w:val="en-NZ"/>
        </w:rPr>
        <w:t>N</w:t>
      </w:r>
      <w:r>
        <w:rPr>
          <w:lang w:val="en-NZ"/>
        </w:rPr>
        <w:t>eutrophil levels were not significantly different between asthmatics and non-asthmatics (Figure 2A) or between</w:t>
      </w:r>
      <w:r w:rsidRPr="00F710CB">
        <w:t xml:space="preserve"> </w:t>
      </w:r>
      <w:r w:rsidRPr="00F710CB">
        <w:rPr>
          <w:lang w:val="en-NZ"/>
        </w:rPr>
        <w:t>EA and NEA (Figure 2B)</w:t>
      </w:r>
      <w:r>
        <w:rPr>
          <w:lang w:val="en-NZ"/>
        </w:rPr>
        <w:t>.</w:t>
      </w:r>
    </w:p>
    <w:p w14:paraId="5C103FB9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</w:p>
    <w:p w14:paraId="76699537" w14:textId="77777777" w:rsidR="00301CF5" w:rsidRDefault="000E1B6F" w:rsidP="00994193">
      <w:pPr>
        <w:pStyle w:val="BodyTextIndent"/>
        <w:spacing w:line="480" w:lineRule="auto"/>
        <w:ind w:left="0"/>
        <w:rPr>
          <w:lang w:val="en-NZ"/>
        </w:rPr>
      </w:pPr>
      <w:r>
        <w:rPr>
          <w:lang w:val="en-NZ"/>
        </w:rPr>
        <w:t xml:space="preserve">Thirty one </w:t>
      </w:r>
      <w:r w:rsidR="00301CF5">
        <w:rPr>
          <w:lang w:val="en-NZ"/>
        </w:rPr>
        <w:t>children</w:t>
      </w:r>
      <w:r>
        <w:rPr>
          <w:lang w:val="en-NZ"/>
        </w:rPr>
        <w:t xml:space="preserve"> </w:t>
      </w:r>
      <w:r w:rsidRPr="000E1B6F">
        <w:rPr>
          <w:lang w:val="en-NZ"/>
        </w:rPr>
        <w:t xml:space="preserve">(40%) </w:t>
      </w:r>
      <w:r w:rsidR="00301CF5">
        <w:rPr>
          <w:lang w:val="en-NZ"/>
        </w:rPr>
        <w:t xml:space="preserve">had EA in the absence of raised neutrophils and 10 </w:t>
      </w:r>
      <w:r w:rsidR="00301CF5" w:rsidRPr="00A51C37">
        <w:rPr>
          <w:lang w:val="en-NZ"/>
        </w:rPr>
        <w:t xml:space="preserve">(13%) </w:t>
      </w:r>
      <w:r w:rsidR="00301CF5">
        <w:rPr>
          <w:lang w:val="en-NZ"/>
        </w:rPr>
        <w:t>had sputum neutrophil levels ≥61%. Of these, 6 (8%) were classified as neutrophilic asthma (NA) and 4 (5%) mixed granulocytic asthma (MGA). The remain</w:t>
      </w:r>
      <w:r w:rsidR="00430C52">
        <w:rPr>
          <w:lang w:val="en-NZ"/>
        </w:rPr>
        <w:t>der</w:t>
      </w:r>
      <w:r w:rsidR="00301CF5">
        <w:rPr>
          <w:lang w:val="en-NZ"/>
        </w:rPr>
        <w:t xml:space="preserve"> (n=36; 47%) had no evidence of granulocytic inflammation, and were classified as PGA (paucigranulocytic asthma).</w:t>
      </w:r>
      <w:r w:rsidR="00301CF5" w:rsidRPr="00AB757B">
        <w:rPr>
          <w:lang w:val="en-NZ"/>
        </w:rPr>
        <w:t xml:space="preserve"> </w:t>
      </w:r>
      <w:r w:rsidR="00301CF5">
        <w:rPr>
          <w:lang w:val="en-NZ"/>
        </w:rPr>
        <w:t xml:space="preserve">Table </w:t>
      </w:r>
      <w:r w:rsidR="00C11B8A">
        <w:rPr>
          <w:lang w:val="en-NZ"/>
        </w:rPr>
        <w:t>S</w:t>
      </w:r>
      <w:r w:rsidR="00301CF5">
        <w:rPr>
          <w:lang w:val="en-NZ"/>
        </w:rPr>
        <w:t xml:space="preserve">1 shows the inflammatory and clinical characteristics of asthmatics stratified </w:t>
      </w:r>
      <w:r w:rsidR="003F797E">
        <w:rPr>
          <w:lang w:val="en-NZ"/>
        </w:rPr>
        <w:t>according</w:t>
      </w:r>
      <w:r w:rsidR="00670BB1">
        <w:rPr>
          <w:lang w:val="en-NZ"/>
        </w:rPr>
        <w:t>ly</w:t>
      </w:r>
      <w:r w:rsidR="00301CF5">
        <w:rPr>
          <w:lang w:val="en-NZ"/>
        </w:rPr>
        <w:t>. Due to the small numbers of NA and MGA, further analyses were conducted using the NEA and EA classifications only.</w:t>
      </w:r>
    </w:p>
    <w:p w14:paraId="4B8E463B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</w:p>
    <w:p w14:paraId="2C292AF7" w14:textId="77777777" w:rsidR="00301CF5" w:rsidRDefault="00430C52" w:rsidP="00994193">
      <w:pPr>
        <w:pStyle w:val="BodyTextIndent"/>
        <w:spacing w:line="480" w:lineRule="auto"/>
        <w:ind w:left="0"/>
        <w:rPr>
          <w:lang w:val="en-NZ"/>
        </w:rPr>
      </w:pPr>
      <w:r>
        <w:rPr>
          <w:lang w:val="en-NZ"/>
        </w:rPr>
        <w:t>L</w:t>
      </w:r>
      <w:r w:rsidR="00301CF5">
        <w:rPr>
          <w:lang w:val="en-NZ"/>
        </w:rPr>
        <w:t>ung function in NEA was marginally (non-significantly) higher than in EA (Table 3). Similarly, AHR</w:t>
      </w:r>
      <w:r w:rsidR="00670BB1">
        <w:rPr>
          <w:lang w:val="en-NZ"/>
        </w:rPr>
        <w:t xml:space="preserve"> prevalence</w:t>
      </w:r>
      <w:r w:rsidR="00301CF5">
        <w:rPr>
          <w:lang w:val="en-NZ"/>
        </w:rPr>
        <w:t xml:space="preserve">, asthma medication use and most symptoms were lower in NEA, but differences were small </w:t>
      </w:r>
      <w:r w:rsidR="003F797E">
        <w:rPr>
          <w:lang w:val="en-NZ"/>
        </w:rPr>
        <w:t>and not statistically significant</w:t>
      </w:r>
      <w:r w:rsidR="00301CF5">
        <w:rPr>
          <w:lang w:val="en-NZ"/>
        </w:rPr>
        <w:t xml:space="preserve">. Although EA were slightly more </w:t>
      </w:r>
      <w:r w:rsidR="00301CF5">
        <w:rPr>
          <w:lang w:val="en-NZ"/>
        </w:rPr>
        <w:lastRenderedPageBreak/>
        <w:t>l</w:t>
      </w:r>
      <w:r w:rsidR="00670BB1">
        <w:rPr>
          <w:lang w:val="en-NZ"/>
        </w:rPr>
        <w:t>ike</w:t>
      </w:r>
      <w:r w:rsidR="00301CF5">
        <w:rPr>
          <w:lang w:val="en-NZ"/>
        </w:rPr>
        <w:t>ly to use ICS</w:t>
      </w:r>
      <w:r w:rsidR="003F797E">
        <w:rPr>
          <w:lang w:val="en-NZ"/>
        </w:rPr>
        <w:t xml:space="preserve"> (Table 3)</w:t>
      </w:r>
      <w:r w:rsidR="00301CF5">
        <w:rPr>
          <w:lang w:val="en-NZ"/>
        </w:rPr>
        <w:t xml:space="preserve">, there were no significant differences in sputum eosinophil percentage when asthmatics were stratified by recent ICS use (data not shown). The prevalence of moderate-to-severe asthma was similar between both groups (83% </w:t>
      </w:r>
      <w:r>
        <w:rPr>
          <w:lang w:val="en-NZ"/>
        </w:rPr>
        <w:t xml:space="preserve">and </w:t>
      </w:r>
      <w:r w:rsidR="00301CF5">
        <w:rPr>
          <w:lang w:val="en-NZ"/>
        </w:rPr>
        <w:t xml:space="preserve">79% in </w:t>
      </w:r>
      <w:r>
        <w:rPr>
          <w:lang w:val="en-NZ"/>
        </w:rPr>
        <w:t xml:space="preserve">EA and </w:t>
      </w:r>
      <w:r w:rsidR="00301CF5">
        <w:rPr>
          <w:lang w:val="en-NZ"/>
        </w:rPr>
        <w:t>NEA</w:t>
      </w:r>
      <w:r>
        <w:rPr>
          <w:lang w:val="en-NZ"/>
        </w:rPr>
        <w:t xml:space="preserve"> respectively</w:t>
      </w:r>
      <w:r w:rsidR="00301CF5">
        <w:rPr>
          <w:lang w:val="en-NZ"/>
        </w:rPr>
        <w:t xml:space="preserve">), although 49% of EA were classified as severe compared with 33% of NEA (Table 3). Similarly, the EA group was more likely to have persistent asthma, although this was not significant </w:t>
      </w:r>
      <w:r w:rsidR="00301CF5" w:rsidRPr="00DD7B5C">
        <w:rPr>
          <w:lang w:val="en-NZ"/>
        </w:rPr>
        <w:t>(Table 3)</w:t>
      </w:r>
      <w:r w:rsidR="00301CF5">
        <w:rPr>
          <w:lang w:val="en-NZ"/>
        </w:rPr>
        <w:t>. Severity was not associated with eosinophils or neutrophils in all asthmatics or EA or NEA respectively (data not shown).</w:t>
      </w:r>
      <w:r w:rsidR="00301CF5" w:rsidRPr="00A63C3F">
        <w:rPr>
          <w:lang w:val="en-NZ"/>
        </w:rPr>
        <w:t xml:space="preserve"> </w:t>
      </w:r>
      <w:r w:rsidR="00301CF5">
        <w:rPr>
          <w:lang w:val="en-NZ"/>
        </w:rPr>
        <w:t xml:space="preserve">Despite this, </w:t>
      </w:r>
      <w:r w:rsidR="00301CF5" w:rsidRPr="002A32A3">
        <w:rPr>
          <w:lang w:val="en-NZ"/>
        </w:rPr>
        <w:t>sputum eosinophils were</w:t>
      </w:r>
      <w:r w:rsidR="00301CF5" w:rsidRPr="002A32A3">
        <w:t xml:space="preserve"> </w:t>
      </w:r>
      <w:r w:rsidR="00301CF5" w:rsidRPr="002A32A3">
        <w:rPr>
          <w:lang w:val="en-NZ"/>
        </w:rPr>
        <w:t>inversely</w:t>
      </w:r>
      <w:r w:rsidR="00301CF5">
        <w:rPr>
          <w:lang w:val="en-NZ"/>
        </w:rPr>
        <w:t xml:space="preserve"> associated with lung function, reaching statistical significance for total eosinophils and FEV</w:t>
      </w:r>
      <w:r w:rsidR="00301CF5" w:rsidRPr="008B2F27">
        <w:rPr>
          <w:vertAlign w:val="subscript"/>
          <w:lang w:val="en-NZ"/>
        </w:rPr>
        <w:t>1</w:t>
      </w:r>
      <w:r w:rsidR="00301CF5">
        <w:rPr>
          <w:lang w:val="en-NZ"/>
        </w:rPr>
        <w:t xml:space="preserve"> %-predicted (</w:t>
      </w:r>
      <w:r w:rsidR="001621F8">
        <w:rPr>
          <w:lang w:val="en-NZ"/>
        </w:rPr>
        <w:t xml:space="preserve">p&lt;0.05; </w:t>
      </w:r>
      <w:r w:rsidR="00301CF5">
        <w:rPr>
          <w:lang w:val="en-NZ"/>
        </w:rPr>
        <w:t>Table 4).</w:t>
      </w:r>
      <w:r w:rsidR="00670BB1">
        <w:rPr>
          <w:lang w:val="en-NZ"/>
        </w:rPr>
        <w:t xml:space="preserve"> Non-significant a</w:t>
      </w:r>
      <w:r w:rsidR="00301CF5">
        <w:rPr>
          <w:lang w:val="en-NZ"/>
        </w:rPr>
        <w:t>ssociations (p&lt;0.10) were also found for %</w:t>
      </w:r>
      <w:r>
        <w:rPr>
          <w:lang w:val="en-NZ"/>
        </w:rPr>
        <w:t>-</w:t>
      </w:r>
      <w:r w:rsidR="00301CF5">
        <w:rPr>
          <w:lang w:val="en-NZ"/>
        </w:rPr>
        <w:t>eosinophils and FEV</w:t>
      </w:r>
      <w:r w:rsidR="00301CF5" w:rsidRPr="008B2F27">
        <w:rPr>
          <w:vertAlign w:val="subscript"/>
          <w:lang w:val="en-NZ"/>
        </w:rPr>
        <w:t>1</w:t>
      </w:r>
      <w:r>
        <w:rPr>
          <w:lang w:val="en-NZ"/>
        </w:rPr>
        <w:t>-</w:t>
      </w:r>
      <w:r w:rsidR="00301CF5">
        <w:rPr>
          <w:lang w:val="en-NZ"/>
        </w:rPr>
        <w:t>%-predicted as well as total eosinophils and FEV</w:t>
      </w:r>
      <w:r w:rsidR="00301CF5" w:rsidRPr="00AC0C3E">
        <w:rPr>
          <w:vertAlign w:val="subscript"/>
          <w:lang w:val="en-NZ"/>
        </w:rPr>
        <w:t>1</w:t>
      </w:r>
      <w:r w:rsidR="00301CF5">
        <w:rPr>
          <w:lang w:val="en-NZ"/>
        </w:rPr>
        <w:t>/FVC-%</w:t>
      </w:r>
      <w:r>
        <w:rPr>
          <w:lang w:val="en-NZ"/>
        </w:rPr>
        <w:t>-</w:t>
      </w:r>
      <w:r w:rsidR="00301CF5">
        <w:rPr>
          <w:lang w:val="en-NZ"/>
        </w:rPr>
        <w:t xml:space="preserve"> predicted (Table 4). Conversely, neutrophils were positively associated with FEV</w:t>
      </w:r>
      <w:r w:rsidR="00301CF5" w:rsidRPr="008B2F27">
        <w:rPr>
          <w:vertAlign w:val="subscript"/>
          <w:lang w:val="en-NZ"/>
        </w:rPr>
        <w:t>1</w:t>
      </w:r>
      <w:r w:rsidR="00301CF5">
        <w:rPr>
          <w:lang w:val="en-NZ"/>
        </w:rPr>
        <w:t>-%</w:t>
      </w:r>
      <w:r>
        <w:rPr>
          <w:lang w:val="en-NZ"/>
        </w:rPr>
        <w:t>-</w:t>
      </w:r>
      <w:r w:rsidR="00301CF5">
        <w:rPr>
          <w:lang w:val="en-NZ"/>
        </w:rPr>
        <w:t>predicted and FVC-%</w:t>
      </w:r>
      <w:r>
        <w:rPr>
          <w:lang w:val="en-NZ"/>
        </w:rPr>
        <w:t>-</w:t>
      </w:r>
      <w:r w:rsidR="00301CF5">
        <w:rPr>
          <w:lang w:val="en-NZ"/>
        </w:rPr>
        <w:t xml:space="preserve">predicted. </w:t>
      </w:r>
    </w:p>
    <w:p w14:paraId="4261FDED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</w:p>
    <w:p w14:paraId="44574FC7" w14:textId="77777777" w:rsidR="00301CF5" w:rsidRDefault="00301CF5" w:rsidP="00994193">
      <w:pPr>
        <w:pStyle w:val="BodyTextIndent"/>
        <w:spacing w:line="480" w:lineRule="auto"/>
        <w:ind w:left="0"/>
        <w:rPr>
          <w:lang w:val="en-NZ"/>
        </w:rPr>
      </w:pPr>
      <w:r>
        <w:rPr>
          <w:lang w:val="en-NZ"/>
        </w:rPr>
        <w:t>Mediators associated with granulocytic inflammation</w:t>
      </w:r>
      <w:r w:rsidRPr="002779E9">
        <w:rPr>
          <w:lang w:val="en-NZ"/>
        </w:rPr>
        <w:t xml:space="preserve"> </w:t>
      </w:r>
      <w:r>
        <w:rPr>
          <w:lang w:val="en-NZ"/>
        </w:rPr>
        <w:t>(ECP, NE and IL-8) were inversely associated with FEV</w:t>
      </w:r>
      <w:r w:rsidRPr="00AC0C3E">
        <w:rPr>
          <w:vertAlign w:val="subscript"/>
          <w:lang w:val="en-NZ"/>
        </w:rPr>
        <w:t>1</w:t>
      </w:r>
      <w:r>
        <w:rPr>
          <w:lang w:val="en-NZ"/>
        </w:rPr>
        <w:t>/FVC-%</w:t>
      </w:r>
      <w:r w:rsidR="00430C52">
        <w:rPr>
          <w:lang w:val="en-NZ"/>
        </w:rPr>
        <w:t>-</w:t>
      </w:r>
      <w:r>
        <w:rPr>
          <w:lang w:val="en-NZ"/>
        </w:rPr>
        <w:t xml:space="preserve">predicted, but not with other lung function variables (Table </w:t>
      </w:r>
      <w:r w:rsidR="00825E8C">
        <w:rPr>
          <w:lang w:val="en-NZ"/>
        </w:rPr>
        <w:t>4</w:t>
      </w:r>
      <w:r>
        <w:rPr>
          <w:lang w:val="en-NZ"/>
        </w:rPr>
        <w:t>).</w:t>
      </w:r>
      <w:r w:rsidRPr="002779E9">
        <w:rPr>
          <w:lang w:val="en-NZ"/>
        </w:rPr>
        <w:t xml:space="preserve"> </w:t>
      </w:r>
      <w:r>
        <w:rPr>
          <w:lang w:val="en-NZ"/>
        </w:rPr>
        <w:t xml:space="preserve">Although </w:t>
      </w:r>
      <w:r w:rsidR="00670BB1">
        <w:rPr>
          <w:lang w:val="en-NZ"/>
        </w:rPr>
        <w:t>undetectable</w:t>
      </w:r>
      <w:r>
        <w:rPr>
          <w:lang w:val="en-NZ"/>
        </w:rPr>
        <w:t xml:space="preserve"> in 62% (n=90) of samples, NE was correlated with neutrophils, but not with eosinophils (Table </w:t>
      </w:r>
      <w:r w:rsidR="00705EA9">
        <w:rPr>
          <w:lang w:val="en-NZ"/>
        </w:rPr>
        <w:t>S2</w:t>
      </w:r>
      <w:r>
        <w:rPr>
          <w:lang w:val="en-NZ"/>
        </w:rPr>
        <w:t xml:space="preserve">). No differences in NE levels were found between </w:t>
      </w:r>
      <w:r w:rsidR="00EB1D83">
        <w:rPr>
          <w:lang w:val="en-NZ"/>
        </w:rPr>
        <w:t>EA, NEA and non-asthmatics</w:t>
      </w:r>
      <w:r>
        <w:rPr>
          <w:lang w:val="en-NZ"/>
        </w:rPr>
        <w:t>, although IL-8 was elevated in EA, but not in NEA</w:t>
      </w:r>
      <w:r w:rsidR="00994193">
        <w:rPr>
          <w:lang w:val="en-NZ"/>
        </w:rPr>
        <w:t xml:space="preserve"> (Table 2)</w:t>
      </w:r>
      <w:r>
        <w:rPr>
          <w:lang w:val="en-NZ"/>
        </w:rPr>
        <w:t>. Despite this, IL-8 was correlated with both eosinophil</w:t>
      </w:r>
      <w:r w:rsidR="00430C52">
        <w:rPr>
          <w:lang w:val="en-NZ"/>
        </w:rPr>
        <w:t>s</w:t>
      </w:r>
      <w:r>
        <w:rPr>
          <w:lang w:val="en-NZ"/>
        </w:rPr>
        <w:t xml:space="preserve"> and neutrophils. ECP w</w:t>
      </w:r>
      <w:r w:rsidR="00430C52">
        <w:rPr>
          <w:lang w:val="en-NZ"/>
        </w:rPr>
        <w:t>as</w:t>
      </w:r>
      <w:r>
        <w:rPr>
          <w:lang w:val="en-NZ"/>
        </w:rPr>
        <w:t xml:space="preserve"> strongly correlated with eosinophils</w:t>
      </w:r>
      <w:r w:rsidR="00670BB1">
        <w:rPr>
          <w:lang w:val="en-NZ"/>
        </w:rPr>
        <w:t xml:space="preserve"> </w:t>
      </w:r>
      <w:r>
        <w:rPr>
          <w:lang w:val="en-NZ"/>
        </w:rPr>
        <w:t xml:space="preserve">(Table </w:t>
      </w:r>
      <w:r w:rsidR="00705EA9">
        <w:rPr>
          <w:lang w:val="en-NZ"/>
        </w:rPr>
        <w:t>S2)</w:t>
      </w:r>
      <w:r>
        <w:rPr>
          <w:lang w:val="en-NZ"/>
        </w:rPr>
        <w:t xml:space="preserve">, and both were associated with atopy and AHR (Table </w:t>
      </w:r>
      <w:r w:rsidR="00634774">
        <w:rPr>
          <w:lang w:val="en-NZ"/>
        </w:rPr>
        <w:t>4</w:t>
      </w:r>
      <w:r>
        <w:rPr>
          <w:lang w:val="en-NZ"/>
        </w:rPr>
        <w:t xml:space="preserve">). </w:t>
      </w:r>
      <w:r w:rsidR="00430C52">
        <w:rPr>
          <w:lang w:val="en-NZ"/>
        </w:rPr>
        <w:t>N</w:t>
      </w:r>
      <w:r>
        <w:rPr>
          <w:lang w:val="en-NZ"/>
        </w:rPr>
        <w:t xml:space="preserve">o differences were found in sputum endotoxin levels for any of the studied sub-groups (Table 2), and whilst endotoxin was weakly correlated with NE (r=0.17; p&lt;0.05) (Table </w:t>
      </w:r>
      <w:r w:rsidR="00705EA9">
        <w:rPr>
          <w:lang w:val="en-NZ"/>
        </w:rPr>
        <w:t>S2)</w:t>
      </w:r>
      <w:r>
        <w:rPr>
          <w:lang w:val="en-NZ"/>
        </w:rPr>
        <w:t>,</w:t>
      </w:r>
      <w:r w:rsidRPr="0034471B">
        <w:rPr>
          <w:lang w:val="en-NZ"/>
        </w:rPr>
        <w:t xml:space="preserve"> </w:t>
      </w:r>
      <w:r>
        <w:rPr>
          <w:lang w:val="en-NZ"/>
        </w:rPr>
        <w:t xml:space="preserve">it was not associated with lung function, atopy or AHR (Table </w:t>
      </w:r>
      <w:r w:rsidR="00634774">
        <w:rPr>
          <w:lang w:val="en-NZ"/>
        </w:rPr>
        <w:t>4</w:t>
      </w:r>
      <w:r>
        <w:rPr>
          <w:lang w:val="en-NZ"/>
        </w:rPr>
        <w:t>). A</w:t>
      </w:r>
      <w:r w:rsidR="00985215">
        <w:rPr>
          <w:lang w:val="en-NZ"/>
        </w:rPr>
        <w:t>ssociations</w:t>
      </w:r>
      <w:r>
        <w:rPr>
          <w:lang w:val="en-NZ"/>
        </w:rPr>
        <w:t xml:space="preserve"> were similar when analyses were restricted to only asthmatics, but results were generally no longer statistically </w:t>
      </w:r>
      <w:r>
        <w:rPr>
          <w:lang w:val="en-NZ"/>
        </w:rPr>
        <w:lastRenderedPageBreak/>
        <w:t>significant. Adjusting analyses for asthma status</w:t>
      </w:r>
      <w:r w:rsidR="00F820BC">
        <w:rPr>
          <w:lang w:val="en-NZ"/>
        </w:rPr>
        <w:t xml:space="preserve">, </w:t>
      </w:r>
      <w:r>
        <w:rPr>
          <w:lang w:val="en-NZ"/>
        </w:rPr>
        <w:t>ICS use</w:t>
      </w:r>
      <w:r w:rsidR="00670BB1">
        <w:rPr>
          <w:lang w:val="en-NZ"/>
        </w:rPr>
        <w:t>, or using a lower 54% neutrophil percentage cut-off to define airway neutrophilia</w:t>
      </w:r>
      <w:r w:rsidR="00670BB1" w:rsidRPr="005555BB">
        <w:rPr>
          <w:vertAlign w:val="superscript"/>
          <w:lang w:val="en-NZ"/>
        </w:rPr>
        <w:t>12</w:t>
      </w:r>
      <w:r w:rsidR="00670BB1">
        <w:rPr>
          <w:lang w:val="en-NZ"/>
        </w:rPr>
        <w:t xml:space="preserve"> did not significantly alter the results.</w:t>
      </w:r>
      <w:r w:rsidR="0003202E">
        <w:rPr>
          <w:lang w:val="en-NZ"/>
        </w:rPr>
        <w:t xml:space="preserve"> </w:t>
      </w:r>
    </w:p>
    <w:p w14:paraId="649C6799" w14:textId="77777777" w:rsidR="00301CF5" w:rsidRDefault="00301CF5">
      <w:pPr>
        <w:spacing w:after="200" w:line="276" w:lineRule="auto"/>
        <w:rPr>
          <w:rFonts w:eastAsia="Times New Roman"/>
          <w:lang w:val="en-NZ"/>
        </w:rPr>
      </w:pPr>
      <w:r>
        <w:rPr>
          <w:lang w:val="en-NZ"/>
        </w:rPr>
        <w:br w:type="page"/>
      </w:r>
    </w:p>
    <w:p w14:paraId="5F3F3E68" w14:textId="77777777" w:rsidR="00301CF5" w:rsidRPr="00D86595" w:rsidRDefault="00301CF5" w:rsidP="00994193">
      <w:pPr>
        <w:pStyle w:val="BodyTextIndent"/>
        <w:spacing w:line="480" w:lineRule="auto"/>
        <w:ind w:left="0"/>
        <w:rPr>
          <w:rStyle w:val="Heading2Char"/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  <w:lang w:val="en-NZ"/>
        </w:rPr>
      </w:pPr>
      <w:r>
        <w:rPr>
          <w:rStyle w:val="Heading2Char"/>
          <w:rFonts w:ascii="Times New Roman" w:hAnsi="Times New Roman" w:cs="Times New Roman"/>
          <w:i w:val="0"/>
          <w:sz w:val="24"/>
          <w:szCs w:val="24"/>
        </w:rPr>
        <w:lastRenderedPageBreak/>
        <w:t>DISCUSSION</w:t>
      </w:r>
    </w:p>
    <w:p w14:paraId="184A1638" w14:textId="77777777" w:rsidR="00301CF5" w:rsidRDefault="00301CF5" w:rsidP="00994193">
      <w:pPr>
        <w:spacing w:line="480" w:lineRule="auto"/>
      </w:pPr>
      <w:r w:rsidRPr="008F26E3">
        <w:t>In this study</w:t>
      </w:r>
      <w:r>
        <w:t xml:space="preserve"> NEA was slightly more common than EA. </w:t>
      </w:r>
      <w:r w:rsidR="00796A36">
        <w:t>T</w:t>
      </w:r>
      <w:r>
        <w:t>hose with NEA had marginally</w:t>
      </w:r>
      <w:r w:rsidRPr="008605A6">
        <w:t xml:space="preserve"> higher lung function, fewer symptoms and lower AHR, </w:t>
      </w:r>
      <w:r w:rsidR="00796A36">
        <w:t xml:space="preserve">but </w:t>
      </w:r>
      <w:r w:rsidRPr="008605A6">
        <w:t xml:space="preserve">differences were </w:t>
      </w:r>
      <w:r w:rsidR="00796A36">
        <w:t xml:space="preserve">not </w:t>
      </w:r>
      <w:r w:rsidRPr="008605A6">
        <w:t>statistically significant. The proportion of moderate-to-severe asthma in both groups was also similar, although severe asthma was slightly more common in EA.</w:t>
      </w:r>
      <w:r>
        <w:t xml:space="preserve"> </w:t>
      </w:r>
      <w:r w:rsidR="00796A36">
        <w:t>I</w:t>
      </w:r>
      <w:r>
        <w:t xml:space="preserve">ncreased neutrophil levels were </w:t>
      </w:r>
      <w:r w:rsidR="000E1B6F">
        <w:t xml:space="preserve">not </w:t>
      </w:r>
      <w:r>
        <w:t>observed</w:t>
      </w:r>
      <w:r w:rsidR="00796A36">
        <w:t xml:space="preserve"> in NEA</w:t>
      </w:r>
      <w:r w:rsidRPr="0094690B">
        <w:t xml:space="preserve"> </w:t>
      </w:r>
      <w:r>
        <w:t xml:space="preserve">and </w:t>
      </w:r>
      <w:r w:rsidRPr="0094690B">
        <w:t>no significant differences were found between NEA and non-asthmatics with regard to the inflammatory markers studied.</w:t>
      </w:r>
      <w:r>
        <w:t xml:space="preserve"> Thus, </w:t>
      </w:r>
      <w:r w:rsidRPr="0094690B">
        <w:t xml:space="preserve">despite similar symptoms and clinical </w:t>
      </w:r>
      <w:r w:rsidR="001B5F96">
        <w:t>characteristics</w:t>
      </w:r>
      <w:r w:rsidRPr="0094690B">
        <w:t xml:space="preserve"> to those observed in EA</w:t>
      </w:r>
      <w:r>
        <w:t xml:space="preserve"> there was no evidence of overt airway inflammation in NEA.</w:t>
      </w:r>
    </w:p>
    <w:p w14:paraId="6D430E2D" w14:textId="77777777" w:rsidR="00301CF5" w:rsidRDefault="00301CF5" w:rsidP="00994193">
      <w:pPr>
        <w:spacing w:line="480" w:lineRule="auto"/>
      </w:pPr>
    </w:p>
    <w:p w14:paraId="4083B827" w14:textId="77777777" w:rsidR="00301CF5" w:rsidRDefault="00301CF5" w:rsidP="0054644E">
      <w:pPr>
        <w:spacing w:line="480" w:lineRule="auto"/>
      </w:pPr>
      <w:r>
        <w:t xml:space="preserve">Fifty four percent of asthmatic children had </w:t>
      </w:r>
      <w:r w:rsidR="001E1F06">
        <w:t xml:space="preserve">no </w:t>
      </w:r>
      <w:r>
        <w:t>raised sputum eosinophils</w:t>
      </w:r>
      <w:r w:rsidR="001E1F06">
        <w:t xml:space="preserve"> and </w:t>
      </w:r>
      <w:r w:rsidR="001E1F06" w:rsidRPr="001E1F06">
        <w:t>the proportion of asthma cases attributable to eosinophilia (PAR) was only 43%</w:t>
      </w:r>
      <w:r>
        <w:t>, which is comparable with previous studies in adults</w:t>
      </w:r>
      <w:r w:rsidRPr="000126DB">
        <w:rPr>
          <w:noProof/>
          <w:vertAlign w:val="superscript"/>
        </w:rPr>
        <w:t>2</w:t>
      </w:r>
      <w:r w:rsidR="00485EE0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3</w:t>
      </w:r>
      <w:r>
        <w:t xml:space="preserve"> and children</w:t>
      </w:r>
      <w:r w:rsidRPr="00CD403E">
        <w:t>.</w:t>
      </w:r>
      <w:r w:rsidRPr="000126DB">
        <w:rPr>
          <w:noProof/>
          <w:vertAlign w:val="superscript"/>
        </w:rPr>
        <w:t>22</w:t>
      </w:r>
      <w:r w:rsidR="001E1F06">
        <w:rPr>
          <w:noProof/>
          <w:vertAlign w:val="superscript"/>
        </w:rPr>
        <w:t xml:space="preserve">,23 </w:t>
      </w:r>
      <w:r>
        <w:t xml:space="preserve"> </w:t>
      </w:r>
      <w:r w:rsidR="008C50A2">
        <w:t>I</w:t>
      </w:r>
      <w:r w:rsidRPr="00B9746C">
        <w:t>t is possible that</w:t>
      </w:r>
      <w:r>
        <w:t>,</w:t>
      </w:r>
      <w:r w:rsidRPr="00B9746C">
        <w:t xml:space="preserve"> </w:t>
      </w:r>
      <w:r>
        <w:t xml:space="preserve">as previously reported, ICS </w:t>
      </w:r>
      <w:r w:rsidR="00343890">
        <w:t xml:space="preserve">use </w:t>
      </w:r>
      <w:r w:rsidRPr="00B9746C">
        <w:t>may hav</w:t>
      </w:r>
      <w:r>
        <w:t xml:space="preserve">e suppressed </w:t>
      </w:r>
      <w:r w:rsidR="0054644E">
        <w:t xml:space="preserve">airway </w:t>
      </w:r>
      <w:r>
        <w:t>eosinophil</w:t>
      </w:r>
      <w:r w:rsidR="0054644E">
        <w:t>s</w:t>
      </w:r>
      <w:r>
        <w:t xml:space="preserve"> and </w:t>
      </w:r>
      <w:r w:rsidR="008C50A2">
        <w:t>therefore contributed to the low</w:t>
      </w:r>
      <w:r>
        <w:t xml:space="preserve"> EA</w:t>
      </w:r>
      <w:r w:rsidR="00FB6152">
        <w:t xml:space="preserve"> prevalence</w:t>
      </w:r>
      <w:r w:rsidRPr="00CD403E">
        <w:t>.</w:t>
      </w:r>
      <w:r w:rsidRPr="000126DB">
        <w:rPr>
          <w:noProof/>
          <w:vertAlign w:val="superscript"/>
        </w:rPr>
        <w:t>23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24</w:t>
      </w:r>
      <w:r w:rsidRPr="00B9746C">
        <w:t xml:space="preserve"> </w:t>
      </w:r>
      <w:r w:rsidR="008C50A2">
        <w:t>However</w:t>
      </w:r>
      <w:r>
        <w:t>,</w:t>
      </w:r>
      <w:r w:rsidRPr="00B9746C">
        <w:t xml:space="preserve"> </w:t>
      </w:r>
      <w:r w:rsidR="008C50A2">
        <w:t xml:space="preserve">given that </w:t>
      </w:r>
      <w:r w:rsidR="0054644E">
        <w:t>68</w:t>
      </w:r>
      <w:r w:rsidRPr="00B9746C">
        <w:t xml:space="preserve">% of the NEA group had </w:t>
      </w:r>
      <w:r w:rsidR="0054644E">
        <w:t xml:space="preserve">not </w:t>
      </w:r>
      <w:r w:rsidRPr="00B9746C">
        <w:t>used ICS in the last two weeks</w:t>
      </w:r>
      <w:r w:rsidR="00743CEB">
        <w:t>,</w:t>
      </w:r>
      <w:r w:rsidR="008C50A2">
        <w:t xml:space="preserve"> </w:t>
      </w:r>
      <w:r w:rsidR="0054644E">
        <w:t>ICS use is unlikely to explain these findings. Indeed, this suggests that a</w:t>
      </w:r>
      <w:r>
        <w:rPr>
          <w:lang w:val="en-NZ"/>
        </w:rPr>
        <w:t xml:space="preserve"> substantial proportion of childhood asthma is not associated with appreciable airway eosinophilia.</w:t>
      </w:r>
    </w:p>
    <w:p w14:paraId="183C87E9" w14:textId="77777777" w:rsidR="00301CF5" w:rsidRDefault="00301CF5" w:rsidP="00994193">
      <w:pPr>
        <w:spacing w:line="480" w:lineRule="auto"/>
      </w:pPr>
    </w:p>
    <w:p w14:paraId="6536C405" w14:textId="77777777" w:rsidR="00301CF5" w:rsidRDefault="00301CF5" w:rsidP="00994193">
      <w:pPr>
        <w:spacing w:line="480" w:lineRule="auto"/>
      </w:pPr>
      <w:r>
        <w:t>Although neutrophilic bronchitis is associated with viral exacerbations</w:t>
      </w:r>
      <w:r w:rsidRPr="000126DB">
        <w:rPr>
          <w:noProof/>
          <w:vertAlign w:val="superscript"/>
        </w:rPr>
        <w:t>25</w:t>
      </w:r>
      <w:r>
        <w:t xml:space="preserve"> and ICS use</w:t>
      </w:r>
      <w:r w:rsidR="00FB6152">
        <w:t xml:space="preserve"> in adults</w:t>
      </w:r>
      <w:r w:rsidRPr="004F6BE2">
        <w:t>,</w:t>
      </w:r>
      <w:r w:rsidRPr="000126DB">
        <w:rPr>
          <w:noProof/>
          <w:vertAlign w:val="superscript"/>
        </w:rPr>
        <w:t>24</w:t>
      </w:r>
      <w:r>
        <w:t xml:space="preserve"> we found no evidence that neutrophilic inflammation is involved in stable childhood NEA</w:t>
      </w:r>
      <w:r w:rsidR="0054644E">
        <w:t xml:space="preserve"> with </w:t>
      </w:r>
      <w:r w:rsidR="009D7D15">
        <w:t>levels of neutrophils being highly comparable between NEA, EA and non-asthmatics</w:t>
      </w:r>
      <w:r>
        <w:t xml:space="preserve"> </w:t>
      </w:r>
      <w:r w:rsidRPr="000E1310">
        <w:t>To our knowledge,</w:t>
      </w:r>
      <w:r>
        <w:t xml:space="preserve"> </w:t>
      </w:r>
      <w:r w:rsidRPr="000E1310">
        <w:t>o</w:t>
      </w:r>
      <w:r>
        <w:t>nly two studies</w:t>
      </w:r>
      <w:r w:rsidRPr="000E1310">
        <w:t xml:space="preserve"> have shown evidence of neutrophilic</w:t>
      </w:r>
      <w:r w:rsidR="009D7D15">
        <w:t xml:space="preserve"> airway</w:t>
      </w:r>
      <w:r w:rsidRPr="000E1310">
        <w:t xml:space="preserve"> inflammation in </w:t>
      </w:r>
      <w:r>
        <w:t xml:space="preserve">stable </w:t>
      </w:r>
      <w:r w:rsidRPr="000E1310">
        <w:t>chi</w:t>
      </w:r>
      <w:r>
        <w:t xml:space="preserve">ldhood asthma, but sputum </w:t>
      </w:r>
      <w:r w:rsidRPr="000E1310">
        <w:t xml:space="preserve">neutrophil </w:t>
      </w:r>
      <w:r>
        <w:t>percentages</w:t>
      </w:r>
      <w:r w:rsidRPr="000E1310">
        <w:t xml:space="preserve"> </w:t>
      </w:r>
      <w:r w:rsidR="00FB6152">
        <w:t>(</w:t>
      </w:r>
      <w:r w:rsidR="00FB6152" w:rsidRPr="000E1310">
        <w:t xml:space="preserve">median </w:t>
      </w:r>
      <w:r w:rsidR="00FB6152">
        <w:t xml:space="preserve">levels </w:t>
      </w:r>
      <w:r w:rsidR="00FB6152" w:rsidRPr="000E1310">
        <w:t>8.3%</w:t>
      </w:r>
      <w:r w:rsidR="00FB6152" w:rsidRPr="004F6BE2">
        <w:t xml:space="preserve"> </w:t>
      </w:r>
      <w:r w:rsidR="00FB6152" w:rsidRPr="000126DB">
        <w:rPr>
          <w:noProof/>
          <w:vertAlign w:val="superscript"/>
        </w:rPr>
        <w:t>15</w:t>
      </w:r>
      <w:r w:rsidR="00FB6152" w:rsidRPr="000E1310">
        <w:t xml:space="preserve">  </w:t>
      </w:r>
      <w:r w:rsidR="00FB6152" w:rsidRPr="00271D2C">
        <w:t>and</w:t>
      </w:r>
      <w:r w:rsidR="00FB6152">
        <w:rPr>
          <w:i/>
        </w:rPr>
        <w:t xml:space="preserve"> </w:t>
      </w:r>
      <w:r w:rsidR="00FB6152" w:rsidRPr="000E1310">
        <w:t>18%</w:t>
      </w:r>
      <w:r w:rsidR="00FB6152" w:rsidRPr="00FB6152">
        <w:rPr>
          <w:noProof/>
          <w:vertAlign w:val="superscript"/>
        </w:rPr>
        <w:t>14</w:t>
      </w:r>
      <w:r w:rsidR="00FB6152">
        <w:rPr>
          <w:noProof/>
        </w:rPr>
        <w:t>)</w:t>
      </w:r>
      <w:r w:rsidR="00FB6152">
        <w:rPr>
          <w:noProof/>
          <w:vertAlign w:val="superscript"/>
        </w:rPr>
        <w:t xml:space="preserve"> </w:t>
      </w:r>
      <w:r w:rsidRPr="00FB6152">
        <w:t>w</w:t>
      </w:r>
      <w:r w:rsidR="00FB6152">
        <w:t xml:space="preserve">ere </w:t>
      </w:r>
      <w:r w:rsidRPr="000E1310">
        <w:t>considerably lo</w:t>
      </w:r>
      <w:r>
        <w:t>wer than those reported in</w:t>
      </w:r>
      <w:r w:rsidRPr="000E1310">
        <w:t xml:space="preserve"> hea</w:t>
      </w:r>
      <w:r>
        <w:t>lthy reference populations</w:t>
      </w:r>
      <w:r w:rsidRPr="004F6BE2">
        <w:t>.</w:t>
      </w:r>
      <w:r w:rsidRPr="000126DB">
        <w:rPr>
          <w:noProof/>
          <w:vertAlign w:val="superscript"/>
        </w:rPr>
        <w:t>26</w:t>
      </w:r>
      <w:r w:rsidRPr="000E1310">
        <w:t xml:space="preserve"> </w:t>
      </w:r>
      <w:r>
        <w:t xml:space="preserve">Other studies have also suggested that NA in children is </w:t>
      </w:r>
      <w:r w:rsidR="009D7D15">
        <w:t>rare</w:t>
      </w:r>
      <w:r w:rsidRPr="004F6BE2">
        <w:t>.</w:t>
      </w:r>
      <w:r w:rsidRPr="000126DB">
        <w:rPr>
          <w:noProof/>
          <w:vertAlign w:val="superscript"/>
        </w:rPr>
        <w:t>16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17</w:t>
      </w:r>
      <w:r>
        <w:t xml:space="preserve"> Taken </w:t>
      </w:r>
      <w:r>
        <w:lastRenderedPageBreak/>
        <w:t>together, the</w:t>
      </w:r>
      <w:r w:rsidRPr="000E1310">
        <w:t>s</w:t>
      </w:r>
      <w:r>
        <w:t>e studies suggest</w:t>
      </w:r>
      <w:r w:rsidRPr="000E1310">
        <w:t xml:space="preserve"> that neutrophilic involvement is less important in childhood </w:t>
      </w:r>
      <w:r>
        <w:t xml:space="preserve">asthma </w:t>
      </w:r>
      <w:r w:rsidRPr="000E1310">
        <w:t>compared with adu</w:t>
      </w:r>
      <w:r>
        <w:t>lt asthma, where it may be associated with smoking and occupational exposures.</w:t>
      </w:r>
    </w:p>
    <w:p w14:paraId="010ACD82" w14:textId="77777777" w:rsidR="00494C4F" w:rsidRPr="0023255C" w:rsidRDefault="00494C4F" w:rsidP="00994193">
      <w:pPr>
        <w:spacing w:line="480" w:lineRule="auto"/>
      </w:pPr>
    </w:p>
    <w:p w14:paraId="167AB7F7" w14:textId="77777777" w:rsidR="008D2CFA" w:rsidRDefault="00301CF5" w:rsidP="00994193">
      <w:pPr>
        <w:spacing w:line="480" w:lineRule="auto"/>
      </w:pPr>
      <w:r>
        <w:t xml:space="preserve">In the absence of granulocytic inflammation, the cause of asthma symptoms in NEA remains unclear. It is possible that eosinophilic inflammation is </w:t>
      </w:r>
      <w:r w:rsidR="004F376A">
        <w:t>present</w:t>
      </w:r>
      <w:r>
        <w:t xml:space="preserve"> at other airway sites</w:t>
      </w:r>
      <w:r w:rsidRPr="004F6BE2">
        <w:t>,</w:t>
      </w:r>
      <w:r w:rsidRPr="000126DB">
        <w:rPr>
          <w:noProof/>
          <w:vertAlign w:val="superscript"/>
        </w:rPr>
        <w:t>27</w:t>
      </w:r>
      <w:r>
        <w:t xml:space="preserve"> or that the </w:t>
      </w:r>
      <w:r w:rsidR="004F376A">
        <w:t xml:space="preserve">cut-off </w:t>
      </w:r>
      <w:r w:rsidR="008D2CFA">
        <w:t xml:space="preserve">used </w:t>
      </w:r>
      <w:r w:rsidR="004F376A">
        <w:t xml:space="preserve">for </w:t>
      </w:r>
      <w:r>
        <w:t>eosinophil</w:t>
      </w:r>
      <w:r w:rsidR="004F376A">
        <w:t>s (&gt;2.5%)</w:t>
      </w:r>
      <w:r w:rsidRPr="000126DB">
        <w:rPr>
          <w:noProof/>
          <w:vertAlign w:val="superscript"/>
        </w:rPr>
        <w:t>21</w:t>
      </w:r>
      <w:r>
        <w:t xml:space="preserve"> </w:t>
      </w:r>
      <w:r w:rsidR="004F376A">
        <w:t xml:space="preserve">has </w:t>
      </w:r>
      <w:r>
        <w:t>misclassif</w:t>
      </w:r>
      <w:r w:rsidR="004F376A">
        <w:t>ied</w:t>
      </w:r>
      <w:r>
        <w:t xml:space="preserve"> some asthmatics as NEA when they in fact ha</w:t>
      </w:r>
      <w:r w:rsidR="00221DFC">
        <w:t>d</w:t>
      </w:r>
      <w:r>
        <w:t xml:space="preserve"> low-level eosinophilic inflammation. However, this is unlikely given that in 62% of NEA sputum eosinophils were absent. </w:t>
      </w:r>
      <w:r w:rsidR="00221DFC">
        <w:t>M</w:t>
      </w:r>
      <w:r>
        <w:t>isclassification of asthma status may</w:t>
      </w:r>
      <w:r w:rsidR="00221DFC">
        <w:t xml:space="preserve"> also</w:t>
      </w:r>
      <w:r>
        <w:t xml:space="preserve"> have occurred, as this was determined </w:t>
      </w:r>
      <w:r w:rsidR="008D2CFA">
        <w:t xml:space="preserve">primarily </w:t>
      </w:r>
      <w:r>
        <w:t>on the basis of self-reported symptoms. However, this is also unlikely as th</w:t>
      </w:r>
      <w:r w:rsidR="00283F5E">
        <w:t>is</w:t>
      </w:r>
      <w:r>
        <w:t xml:space="preserve"> approach has been shown to compare well with objective markers of asthma</w:t>
      </w:r>
      <w:r w:rsidRPr="000126DB">
        <w:rPr>
          <w:noProof/>
          <w:vertAlign w:val="superscript"/>
        </w:rPr>
        <w:t>28</w:t>
      </w:r>
      <w:r>
        <w:t xml:space="preserve"> and the prevalence of moderate-to-severe symptoms was very similar between EA and NEA. Thus, in a substantial proportion of </w:t>
      </w:r>
      <w:r w:rsidR="00283F5E">
        <w:t xml:space="preserve">childhood </w:t>
      </w:r>
      <w:r>
        <w:t xml:space="preserve">asthma, symptoms may be </w:t>
      </w:r>
      <w:r w:rsidR="00283F5E">
        <w:t>caused</w:t>
      </w:r>
      <w:r>
        <w:t xml:space="preserve"> by alternative </w:t>
      </w:r>
      <w:r w:rsidRPr="00D329A6">
        <w:rPr>
          <w:i/>
        </w:rPr>
        <w:t>non-inflammatory</w:t>
      </w:r>
      <w:r>
        <w:t xml:space="preserve"> mechanisms, which may have neurogenic or structural origins</w:t>
      </w:r>
      <w:r w:rsidR="00426FE8">
        <w:t>,</w:t>
      </w:r>
      <w:r w:rsidRPr="000126DB">
        <w:rPr>
          <w:noProof/>
          <w:vertAlign w:val="superscript"/>
        </w:rPr>
        <w:t>29</w:t>
      </w:r>
      <w:r>
        <w:t xml:space="preserve"> </w:t>
      </w:r>
      <w:r w:rsidR="008D2CFA">
        <w:t xml:space="preserve">and </w:t>
      </w:r>
      <w:r w:rsidR="00426FE8">
        <w:t xml:space="preserve">which </w:t>
      </w:r>
      <w:r>
        <w:t>may occur in the absence of on-going airway inflammation in asthma</w:t>
      </w:r>
      <w:r w:rsidRPr="00315309">
        <w:t>.</w:t>
      </w:r>
      <w:r w:rsidR="00426FE8">
        <w:rPr>
          <w:vertAlign w:val="superscript"/>
        </w:rPr>
        <w:t>30,31</w:t>
      </w:r>
    </w:p>
    <w:p w14:paraId="7CF039FF" w14:textId="77777777" w:rsidR="00301CF5" w:rsidRDefault="00301CF5" w:rsidP="00994193">
      <w:pPr>
        <w:spacing w:line="480" w:lineRule="auto"/>
      </w:pPr>
    </w:p>
    <w:p w14:paraId="26EDEAFB" w14:textId="77777777" w:rsidR="00301CF5" w:rsidRDefault="00301CF5" w:rsidP="00994193">
      <w:pPr>
        <w:spacing w:line="480" w:lineRule="auto"/>
      </w:pPr>
      <w:r>
        <w:t>We observed no significant clinical differences between EA and NEA in agreement with previous reports</w:t>
      </w:r>
      <w:r w:rsidRPr="004F6BE2">
        <w:t>.</w:t>
      </w:r>
      <w:r w:rsidRPr="000126DB">
        <w:rPr>
          <w:noProof/>
          <w:vertAlign w:val="superscript"/>
        </w:rPr>
        <w:t>13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14</w:t>
      </w:r>
      <w:r>
        <w:t xml:space="preserve"> However, as with adults,</w:t>
      </w:r>
      <w:r w:rsidRPr="000126DB">
        <w:rPr>
          <w:noProof/>
          <w:vertAlign w:val="superscript"/>
        </w:rPr>
        <w:t>8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 xml:space="preserve"> 9</w:t>
      </w:r>
      <w:r>
        <w:t xml:space="preserve"> there are also reports showing that eosinophilic inflammation</w:t>
      </w:r>
      <w:r w:rsidRPr="00CE1F93">
        <w:t xml:space="preserve"> is associated </w:t>
      </w:r>
      <w:r>
        <w:t>with greater severity and lung function deficit</w:t>
      </w:r>
      <w:r w:rsidR="00677FBC">
        <w:t>s</w:t>
      </w:r>
      <w:r>
        <w:t xml:space="preserve"> in childhood asthma</w:t>
      </w:r>
      <w:r w:rsidRPr="002622C3">
        <w:t>.</w:t>
      </w:r>
      <w:r w:rsidRPr="000126DB">
        <w:rPr>
          <w:noProof/>
          <w:vertAlign w:val="superscript"/>
        </w:rPr>
        <w:t>10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12</w:t>
      </w:r>
      <w:r>
        <w:t xml:space="preserve"> Furthermore, </w:t>
      </w:r>
      <w:r w:rsidRPr="00181DCF">
        <w:t xml:space="preserve">Lee </w:t>
      </w:r>
      <w:r w:rsidRPr="00C91570">
        <w:rPr>
          <w:i/>
        </w:rPr>
        <w:t>et al</w:t>
      </w:r>
      <w:r w:rsidRPr="00181DCF">
        <w:t xml:space="preserve"> </w:t>
      </w:r>
      <w:r w:rsidR="00221DFC">
        <w:t>showed</w:t>
      </w:r>
      <w:r>
        <w:t xml:space="preserve"> that </w:t>
      </w:r>
      <w:r w:rsidRPr="00181DCF">
        <w:t xml:space="preserve">sputum </w:t>
      </w:r>
      <w:r>
        <w:t>eosinophils or neutrophils in</w:t>
      </w:r>
      <w:r w:rsidRPr="00181DCF">
        <w:t xml:space="preserve"> </w:t>
      </w:r>
      <w:r>
        <w:t>EA or NEA</w:t>
      </w:r>
      <w:r w:rsidRPr="00181DCF">
        <w:t xml:space="preserve"> </w:t>
      </w:r>
      <w:r>
        <w:t xml:space="preserve">respectively </w:t>
      </w:r>
      <w:r w:rsidRPr="00181DCF">
        <w:t>was associated with increased asthma severity</w:t>
      </w:r>
      <w:r w:rsidRPr="002622C3">
        <w:t>.</w:t>
      </w:r>
      <w:r w:rsidRPr="000126DB">
        <w:rPr>
          <w:noProof/>
          <w:vertAlign w:val="superscript"/>
        </w:rPr>
        <w:t>23</w:t>
      </w:r>
      <w:r w:rsidRPr="00344907">
        <w:t xml:space="preserve"> </w:t>
      </w:r>
      <w:r>
        <w:t>In contrast, we found that granulocytes in either EA or NEA were not associated with asthma severity, and-moderate-to-severe symptoms had similar prevalence in both phenotypes. We did, however, observe a non-significant trend towards increased symptoms severity in the EA group.</w:t>
      </w:r>
    </w:p>
    <w:p w14:paraId="105C5A4E" w14:textId="77777777" w:rsidR="00301CF5" w:rsidRDefault="00301CF5" w:rsidP="00994193">
      <w:pPr>
        <w:spacing w:line="480" w:lineRule="auto"/>
      </w:pPr>
    </w:p>
    <w:p w14:paraId="420121E0" w14:textId="77777777" w:rsidR="00301CF5" w:rsidRDefault="00677FBC" w:rsidP="00994193">
      <w:pPr>
        <w:spacing w:line="480" w:lineRule="auto"/>
      </w:pPr>
      <w:r>
        <w:t>W</w:t>
      </w:r>
      <w:r w:rsidR="00301CF5">
        <w:t xml:space="preserve">e found </w:t>
      </w:r>
      <w:r w:rsidR="00301CF5" w:rsidRPr="00474AA5">
        <w:t xml:space="preserve">a significant inverse association </w:t>
      </w:r>
      <w:r>
        <w:t>between</w:t>
      </w:r>
      <w:r w:rsidR="00301CF5" w:rsidRPr="00474AA5">
        <w:t xml:space="preserve"> eosinophils and FEV</w:t>
      </w:r>
      <w:r w:rsidR="00301CF5" w:rsidRPr="00200B55">
        <w:rPr>
          <w:vertAlign w:val="subscript"/>
        </w:rPr>
        <w:t>1</w:t>
      </w:r>
      <w:r>
        <w:t>-</w:t>
      </w:r>
      <w:r w:rsidR="00301CF5" w:rsidRPr="00474AA5">
        <w:t>%-predicted</w:t>
      </w:r>
      <w:r>
        <w:t xml:space="preserve">, but </w:t>
      </w:r>
      <w:r w:rsidR="00EC19A7">
        <w:t xml:space="preserve">no </w:t>
      </w:r>
      <w:r>
        <w:t>associat</w:t>
      </w:r>
      <w:r w:rsidR="00EC19A7">
        <w:t>ions</w:t>
      </w:r>
      <w:r>
        <w:t xml:space="preserve"> with other lung function parameters</w:t>
      </w:r>
      <w:r w:rsidR="00EC19A7">
        <w:t xml:space="preserve"> were observed</w:t>
      </w:r>
      <w:r w:rsidR="00301CF5" w:rsidRPr="00474AA5">
        <w:t xml:space="preserve">. Intriguingly, </w:t>
      </w:r>
      <w:r w:rsidR="00301CF5">
        <w:t xml:space="preserve">we also observed a positive (non-significant) association between </w:t>
      </w:r>
      <w:r w:rsidR="00301CF5" w:rsidRPr="00474AA5">
        <w:t xml:space="preserve">neutrophils </w:t>
      </w:r>
      <w:r w:rsidR="00301CF5">
        <w:t xml:space="preserve">and </w:t>
      </w:r>
      <w:r w:rsidR="00301CF5" w:rsidRPr="00474AA5">
        <w:t>FEV</w:t>
      </w:r>
      <w:r w:rsidR="00301CF5" w:rsidRPr="00200B55">
        <w:rPr>
          <w:vertAlign w:val="subscript"/>
        </w:rPr>
        <w:t>1</w:t>
      </w:r>
      <w:r w:rsidR="00301CF5" w:rsidRPr="00474AA5">
        <w:t xml:space="preserve">-% </w:t>
      </w:r>
      <w:r>
        <w:t>-</w:t>
      </w:r>
      <w:r w:rsidR="00301CF5" w:rsidRPr="00474AA5">
        <w:t>predicted and FEV</w:t>
      </w:r>
      <w:r w:rsidR="00301CF5" w:rsidRPr="00200B55">
        <w:rPr>
          <w:vertAlign w:val="subscript"/>
        </w:rPr>
        <w:t>1</w:t>
      </w:r>
      <w:r w:rsidR="00301CF5" w:rsidRPr="00474AA5">
        <w:t xml:space="preserve">/FVC-% </w:t>
      </w:r>
      <w:r>
        <w:t>-</w:t>
      </w:r>
      <w:r w:rsidR="00301CF5" w:rsidRPr="00474AA5">
        <w:t>predicted.</w:t>
      </w:r>
      <w:r w:rsidR="00301CF5">
        <w:t xml:space="preserve"> The mechanisms for these associations are unclear. </w:t>
      </w:r>
      <w:r w:rsidR="00EC19A7">
        <w:t>A</w:t>
      </w:r>
      <w:r w:rsidR="00301CF5">
        <w:t xml:space="preserve"> possible explanation for the lack of </w:t>
      </w:r>
      <w:r>
        <w:t xml:space="preserve">a clear </w:t>
      </w:r>
      <w:r w:rsidR="00301CF5">
        <w:t xml:space="preserve">association between lung function and airway inflammation is that lung function </w:t>
      </w:r>
      <w:r w:rsidR="00EC19A7">
        <w:t>in asthmatic children</w:t>
      </w:r>
      <w:r w:rsidR="008D2CFA">
        <w:t xml:space="preserve"> </w:t>
      </w:r>
      <w:r>
        <w:t xml:space="preserve">is </w:t>
      </w:r>
      <w:r w:rsidR="00301CF5">
        <w:t xml:space="preserve">less </w:t>
      </w:r>
      <w:r>
        <w:t>strongly</w:t>
      </w:r>
      <w:r w:rsidR="00301CF5">
        <w:t xml:space="preserve"> associated with symptoms</w:t>
      </w:r>
      <w:r w:rsidR="008D2CFA">
        <w:t xml:space="preserve"> than in adults</w:t>
      </w:r>
      <w:r w:rsidR="00301CF5">
        <w:t>.</w:t>
      </w:r>
      <w:r w:rsidR="00301CF5" w:rsidRPr="000126DB">
        <w:rPr>
          <w:noProof/>
          <w:vertAlign w:val="superscript"/>
        </w:rPr>
        <w:t>32</w:t>
      </w:r>
    </w:p>
    <w:p w14:paraId="407D696A" w14:textId="77777777" w:rsidR="00301CF5" w:rsidRDefault="00301CF5" w:rsidP="00994193">
      <w:pPr>
        <w:spacing w:line="480" w:lineRule="auto"/>
      </w:pPr>
    </w:p>
    <w:p w14:paraId="2641D596" w14:textId="77777777" w:rsidR="00301CF5" w:rsidRDefault="00301CF5" w:rsidP="00994193">
      <w:pPr>
        <w:spacing w:line="480" w:lineRule="auto"/>
      </w:pPr>
      <w:r>
        <w:t>Unsurprisingly, increased sputum ECP was detected in EA and correlated with eosinophils, as shown previously</w:t>
      </w:r>
      <w:r w:rsidRPr="002622C3">
        <w:t>.</w:t>
      </w:r>
      <w:r w:rsidRPr="000126DB">
        <w:rPr>
          <w:noProof/>
          <w:vertAlign w:val="superscript"/>
        </w:rPr>
        <w:t>32</w:t>
      </w:r>
      <w:r>
        <w:t xml:space="preserve"> </w:t>
      </w:r>
      <w:r w:rsidR="00EB1D83">
        <w:t xml:space="preserve">Similarly, NA and MGA were associated </w:t>
      </w:r>
      <w:r w:rsidR="00EC19A7">
        <w:t xml:space="preserve">(not statistically significant) </w:t>
      </w:r>
      <w:r w:rsidR="00EB1D83">
        <w:t>with increased levels of NE and IL-8 (</w:t>
      </w:r>
      <w:r w:rsidR="0012186D">
        <w:t>T</w:t>
      </w:r>
      <w:r w:rsidR="00EB1D83" w:rsidRPr="00EB1D83">
        <w:t xml:space="preserve">able </w:t>
      </w:r>
      <w:r w:rsidR="0012186D">
        <w:t>S</w:t>
      </w:r>
      <w:r w:rsidR="00EB1D83" w:rsidRPr="00EB1D83">
        <w:t>1</w:t>
      </w:r>
      <w:r w:rsidR="00EB1D83">
        <w:t>) as previously described.</w:t>
      </w:r>
      <w:r w:rsidR="00EB1D83" w:rsidRPr="00EB1D83">
        <w:rPr>
          <w:vertAlign w:val="superscript"/>
        </w:rPr>
        <w:t>3</w:t>
      </w:r>
      <w:r w:rsidR="00EB1D83" w:rsidRPr="00EB1D83">
        <w:t xml:space="preserve"> </w:t>
      </w:r>
      <w:r>
        <w:t xml:space="preserve">Finally, no differences in </w:t>
      </w:r>
      <w:r w:rsidR="00EC19A7">
        <w:t xml:space="preserve">sputum </w:t>
      </w:r>
      <w:r>
        <w:t xml:space="preserve">bacterial endotoxin </w:t>
      </w:r>
      <w:r w:rsidR="00130527">
        <w:t xml:space="preserve">levels </w:t>
      </w:r>
      <w:r>
        <w:t>were observed between the groups studied, in contrast with previous findings of increased endotoxin levels in adult NA</w:t>
      </w:r>
      <w:r w:rsidRPr="002622C3">
        <w:t>.</w:t>
      </w:r>
      <w:r w:rsidRPr="000126DB">
        <w:rPr>
          <w:noProof/>
          <w:vertAlign w:val="superscript"/>
        </w:rPr>
        <w:t>6</w:t>
      </w:r>
      <w:r>
        <w:t xml:space="preserve"> </w:t>
      </w:r>
      <w:r w:rsidR="00EC19A7">
        <w:t>Sputum e</w:t>
      </w:r>
      <w:r>
        <w:t xml:space="preserve">ndotoxin levels in children were &gt;100 fold lower than in adults. </w:t>
      </w:r>
      <w:r w:rsidR="00EC19A7">
        <w:t>T</w:t>
      </w:r>
      <w:r>
        <w:t>he higher levels in adults may represent increased airway bacterial colonisation during natural ageing.</w:t>
      </w:r>
      <w:r w:rsidRPr="000126DB">
        <w:rPr>
          <w:noProof/>
          <w:vertAlign w:val="superscript"/>
        </w:rPr>
        <w:t>33</w:t>
      </w:r>
    </w:p>
    <w:p w14:paraId="46AB994F" w14:textId="77777777" w:rsidR="00301CF5" w:rsidRDefault="00301CF5" w:rsidP="00994193">
      <w:pPr>
        <w:spacing w:line="480" w:lineRule="auto"/>
      </w:pPr>
    </w:p>
    <w:p w14:paraId="40253FEB" w14:textId="77777777" w:rsidR="00301CF5" w:rsidRDefault="00301CF5" w:rsidP="00994193">
      <w:pPr>
        <w:spacing w:line="480" w:lineRule="auto"/>
      </w:pPr>
      <w:r>
        <w:t xml:space="preserve">A limitation of this study was that only one </w:t>
      </w:r>
      <w:r w:rsidR="008616BD">
        <w:t>test</w:t>
      </w:r>
      <w:r>
        <w:t xml:space="preserve"> per participant was conducted. </w:t>
      </w:r>
      <w:r w:rsidR="00EC19A7">
        <w:t>S</w:t>
      </w:r>
      <w:r>
        <w:t xml:space="preserve">ome </w:t>
      </w:r>
      <w:r w:rsidRPr="00DB67D1">
        <w:t>repeate</w:t>
      </w:r>
      <w:r>
        <w:t>d sputum induction studies</w:t>
      </w:r>
      <w:r w:rsidR="00EC19A7">
        <w:t xml:space="preserve"> in adults</w:t>
      </w:r>
      <w:r>
        <w:t xml:space="preserve"> </w:t>
      </w:r>
      <w:r w:rsidRPr="00DB67D1">
        <w:t xml:space="preserve">indicated that </w:t>
      </w:r>
      <w:r>
        <w:t>NEA is</w:t>
      </w:r>
      <w:r w:rsidRPr="00DB67D1">
        <w:t xml:space="preserve"> repr</w:t>
      </w:r>
      <w:r>
        <w:t>oducible</w:t>
      </w:r>
      <w:r>
        <w:rPr>
          <w:noProof/>
        </w:rPr>
        <w:t>.</w:t>
      </w:r>
      <w:r w:rsidRPr="002622C3">
        <w:t xml:space="preserve"> </w:t>
      </w:r>
      <w:r w:rsidRPr="000126DB">
        <w:rPr>
          <w:noProof/>
          <w:vertAlign w:val="superscript"/>
        </w:rPr>
        <w:t>3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34</w:t>
      </w:r>
      <w:r>
        <w:t xml:space="preserve"> In contrast, other studies</w:t>
      </w:r>
      <w:r w:rsidR="00942A8E">
        <w:t>, including</w:t>
      </w:r>
      <w:r w:rsidR="008F68D4">
        <w:t xml:space="preserve"> </w:t>
      </w:r>
      <w:r w:rsidR="00942A8E">
        <w:t xml:space="preserve">two </w:t>
      </w:r>
      <w:r w:rsidR="00EC19A7">
        <w:t>in children</w:t>
      </w:r>
      <w:r w:rsidR="00942A8E">
        <w:t>,</w:t>
      </w:r>
      <w:r>
        <w:t xml:space="preserve"> suggest that inflammatory phenotypes are prone to temporal variability</w:t>
      </w:r>
      <w:r w:rsidRPr="002622C3">
        <w:t>,</w:t>
      </w:r>
      <w:r w:rsidRPr="000126DB">
        <w:rPr>
          <w:noProof/>
          <w:vertAlign w:val="superscript"/>
        </w:rPr>
        <w:t>16</w:t>
      </w:r>
      <w:r w:rsidR="005E59A5">
        <w:rPr>
          <w:noProof/>
          <w:vertAlign w:val="superscript"/>
        </w:rPr>
        <w:t>,</w:t>
      </w:r>
      <w:r w:rsidRPr="000126DB">
        <w:rPr>
          <w:noProof/>
          <w:vertAlign w:val="superscript"/>
        </w:rPr>
        <w:t>17</w:t>
      </w:r>
      <w:r>
        <w:t xml:space="preserve"> with s</w:t>
      </w:r>
      <w:r w:rsidR="00CE2025">
        <w:t>ome</w:t>
      </w:r>
      <w:r>
        <w:t xml:space="preserve"> showing a role for ICS treatment in phenotype changes</w:t>
      </w:r>
      <w:r w:rsidRPr="000126DB">
        <w:rPr>
          <w:vertAlign w:val="subscript"/>
        </w:rPr>
        <w:t>.</w:t>
      </w:r>
      <w:r w:rsidRPr="000126DB">
        <w:rPr>
          <w:noProof/>
          <w:vertAlign w:val="superscript"/>
        </w:rPr>
        <w:t>24</w:t>
      </w:r>
      <w:r>
        <w:t xml:space="preserve"> Despite these findings, NEA</w:t>
      </w:r>
      <w:r w:rsidRPr="005E04B8">
        <w:t xml:space="preserve"> has been demonstrated in patients with and without </w:t>
      </w:r>
      <w:r>
        <w:t>ICS</w:t>
      </w:r>
      <w:r w:rsidRPr="005E04B8">
        <w:t xml:space="preserve"> treatment, and eosinophilic airway inflammation can persist in patients with </w:t>
      </w:r>
      <w:r>
        <w:t>ICS</w:t>
      </w:r>
      <w:r w:rsidRPr="005E04B8">
        <w:t>-controlled asthma</w:t>
      </w:r>
      <w:r>
        <w:t>,</w:t>
      </w:r>
      <w:r w:rsidRPr="000126DB">
        <w:rPr>
          <w:noProof/>
          <w:vertAlign w:val="superscript"/>
        </w:rPr>
        <w:t>12</w:t>
      </w:r>
      <w:r>
        <w:t xml:space="preserve"> </w:t>
      </w:r>
      <w:r w:rsidRPr="005E04B8">
        <w:t>suggesting that EA and NEA</w:t>
      </w:r>
      <w:r>
        <w:t xml:space="preserve"> can occur independent of ICS</w:t>
      </w:r>
      <w:r w:rsidRPr="005E04B8">
        <w:t xml:space="preserve"> treatment.</w:t>
      </w:r>
      <w:r>
        <w:t xml:space="preserve"> </w:t>
      </w:r>
      <w:r w:rsidR="00CE2025">
        <w:t xml:space="preserve">Also, as noted </w:t>
      </w:r>
      <w:r w:rsidR="00221DFC">
        <w:t>above</w:t>
      </w:r>
      <w:r w:rsidR="00CE2025">
        <w:t>, in our study 68</w:t>
      </w:r>
      <w:r w:rsidR="00CE2025" w:rsidRPr="00B9746C">
        <w:t xml:space="preserve">% of NEA had </w:t>
      </w:r>
      <w:r w:rsidR="00CE2025">
        <w:t xml:space="preserve">not </w:t>
      </w:r>
      <w:r w:rsidR="00CE2025" w:rsidRPr="00B9746C">
        <w:t>used ICS in the last two weeks</w:t>
      </w:r>
      <w:r w:rsidR="00CE2025">
        <w:t xml:space="preserve"> suggesting </w:t>
      </w:r>
      <w:r w:rsidR="00CE2025">
        <w:lastRenderedPageBreak/>
        <w:t xml:space="preserve">that ICS use is unlikely to explain our findings. Nonetheless, we cannot exclude that </w:t>
      </w:r>
      <w:r>
        <w:t>temporal changes may have affected our results.</w:t>
      </w:r>
    </w:p>
    <w:p w14:paraId="7011FA80" w14:textId="77777777" w:rsidR="00301CF5" w:rsidRDefault="00301CF5" w:rsidP="00994193">
      <w:pPr>
        <w:spacing w:line="480" w:lineRule="auto"/>
      </w:pPr>
    </w:p>
    <w:p w14:paraId="7CC4026C" w14:textId="77777777" w:rsidR="00301CF5" w:rsidRDefault="00301CF5" w:rsidP="00994193">
      <w:pPr>
        <w:spacing w:line="480" w:lineRule="auto"/>
      </w:pPr>
      <w:r>
        <w:t>In summary, NEA represented approximately 50% of childhood asthma</w:t>
      </w:r>
      <w:r w:rsidR="00221DFC">
        <w:t xml:space="preserve"> and </w:t>
      </w:r>
      <w:r>
        <w:t xml:space="preserve">was not associated with neutrophilic inflammation or other markers of inflammation. </w:t>
      </w:r>
      <w:r w:rsidR="00130527">
        <w:t>Therefore, t</w:t>
      </w:r>
      <w:r>
        <w:t xml:space="preserve">argeting therapeutic interventions solely towards  </w:t>
      </w:r>
      <w:r w:rsidRPr="00D329A6">
        <w:rPr>
          <w:i/>
        </w:rPr>
        <w:t>inflammation</w:t>
      </w:r>
      <w:r>
        <w:t xml:space="preserve"> in NEA may </w:t>
      </w:r>
      <w:r w:rsidR="00221DFC">
        <w:t xml:space="preserve">therefore </w:t>
      </w:r>
      <w:r>
        <w:t xml:space="preserve">not be effective in a large proportion of asthmatic children; indeed it is possible that absence of inflammation may </w:t>
      </w:r>
      <w:r w:rsidR="00221DFC">
        <w:t xml:space="preserve">underlie </w:t>
      </w:r>
      <w:r>
        <w:t xml:space="preserve">the poor response to ICS previously observed in </w:t>
      </w:r>
      <w:r w:rsidR="00CE2025">
        <w:t>&gt;</w:t>
      </w:r>
      <w:r>
        <w:t>30% of asthmatics.</w:t>
      </w:r>
      <w:r w:rsidRPr="000126DB">
        <w:rPr>
          <w:noProof/>
          <w:vertAlign w:val="superscript"/>
        </w:rPr>
        <w:t>35</w:t>
      </w:r>
      <w:r>
        <w:t xml:space="preserve"> Our study </w:t>
      </w:r>
      <w:r w:rsidR="00942A8E">
        <w:t xml:space="preserve">adds to </w:t>
      </w:r>
      <w:r w:rsidR="00221DFC">
        <w:t>previous</w:t>
      </w:r>
      <w:r w:rsidR="00942A8E">
        <w:t xml:space="preserve"> data</w:t>
      </w:r>
      <w:r w:rsidR="00221DFC">
        <w:rPr>
          <w:vertAlign w:val="superscript"/>
        </w:rPr>
        <w:t>3</w:t>
      </w:r>
      <w:r w:rsidR="00130527">
        <w:rPr>
          <w:vertAlign w:val="superscript"/>
        </w:rPr>
        <w:t>,</w:t>
      </w:r>
      <w:r w:rsidR="00221DFC">
        <w:rPr>
          <w:vertAlign w:val="superscript"/>
        </w:rPr>
        <w:t>7</w:t>
      </w:r>
      <w:r w:rsidR="00942A8E">
        <w:t xml:space="preserve"> </w:t>
      </w:r>
      <w:r>
        <w:t>challeng</w:t>
      </w:r>
      <w:r w:rsidR="00942A8E">
        <w:t>ing</w:t>
      </w:r>
      <w:r>
        <w:t xml:space="preserve"> </w:t>
      </w:r>
      <w:r w:rsidR="00130527">
        <w:t xml:space="preserve">the paradigm </w:t>
      </w:r>
      <w:r>
        <w:t>that asthma is universally an inflammatory disorder.</w:t>
      </w:r>
      <w:r w:rsidRPr="000126DB">
        <w:rPr>
          <w:noProof/>
          <w:vertAlign w:val="superscript"/>
        </w:rPr>
        <w:t>1</w:t>
      </w:r>
      <w:r>
        <w:t xml:space="preserve"> Further research</w:t>
      </w:r>
      <w:r w:rsidR="00221DFC">
        <w:t xml:space="preserve"> on </w:t>
      </w:r>
      <w:r>
        <w:t xml:space="preserve">mechanisms (and environmental exposures) underlying NEA is necessary to guide the development of more effective therapies </w:t>
      </w:r>
      <w:r w:rsidR="00CE2025">
        <w:t>(</w:t>
      </w:r>
      <w:r>
        <w:t>and control measures</w:t>
      </w:r>
      <w:r w:rsidR="00CE2025">
        <w:t>)</w:t>
      </w:r>
      <w:r>
        <w:t xml:space="preserve"> for NEA, which makes up a considerable proportion of childhood asthma.</w:t>
      </w:r>
    </w:p>
    <w:p w14:paraId="069DE83E" w14:textId="77777777" w:rsidR="00301CF5" w:rsidRDefault="00301CF5" w:rsidP="00994193">
      <w:pPr>
        <w:spacing w:line="480" w:lineRule="auto"/>
      </w:pPr>
    </w:p>
    <w:p w14:paraId="72E34180" w14:textId="77777777" w:rsidR="00301CF5" w:rsidRPr="00AF5E18" w:rsidRDefault="00301CF5" w:rsidP="00994193">
      <w:pPr>
        <w:spacing w:line="480" w:lineRule="auto"/>
        <w:rPr>
          <w:b/>
        </w:rPr>
      </w:pPr>
      <w:r w:rsidRPr="008B0DA7">
        <w:rPr>
          <w:b/>
        </w:rPr>
        <w:t>Acknowledgements</w:t>
      </w:r>
    </w:p>
    <w:p w14:paraId="1354C76F" w14:textId="77777777" w:rsidR="00301CF5" w:rsidRDefault="00301CF5" w:rsidP="00994193">
      <w:pPr>
        <w:spacing w:line="480" w:lineRule="auto"/>
      </w:pPr>
      <w:r>
        <w:t>The Centre for Public Health Research is funded by a Programme Grant from the Health Research Council (HRC) of New Zealand, and this research was funded by an HRC Project Grant.</w:t>
      </w:r>
    </w:p>
    <w:p w14:paraId="3673B196" w14:textId="77777777" w:rsidR="0073213B" w:rsidRDefault="0073213B" w:rsidP="00994193"/>
    <w:p w14:paraId="0F708D2E" w14:textId="77777777" w:rsidR="0073213B" w:rsidRDefault="0073213B" w:rsidP="00994193"/>
    <w:p w14:paraId="6BE4CE56" w14:textId="77777777" w:rsidR="0073213B" w:rsidRDefault="0073213B" w:rsidP="0073213B">
      <w:pPr>
        <w:spacing w:line="480" w:lineRule="auto"/>
        <w:rPr>
          <w:b/>
        </w:rPr>
      </w:pPr>
    </w:p>
    <w:p w14:paraId="43CCB506" w14:textId="77777777" w:rsidR="0073213B" w:rsidRDefault="0073213B" w:rsidP="0073213B">
      <w:pPr>
        <w:spacing w:line="480" w:lineRule="auto"/>
        <w:rPr>
          <w:b/>
        </w:rPr>
      </w:pPr>
    </w:p>
    <w:p w14:paraId="1F4983B8" w14:textId="77777777" w:rsidR="007E166E" w:rsidRDefault="007E166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24EE9D5" w14:textId="77777777" w:rsidR="0073213B" w:rsidRDefault="0073213B" w:rsidP="0073213B">
      <w:pPr>
        <w:spacing w:line="480" w:lineRule="auto"/>
        <w:rPr>
          <w:b/>
        </w:rPr>
      </w:pPr>
      <w:r>
        <w:rPr>
          <w:b/>
        </w:rPr>
        <w:lastRenderedPageBreak/>
        <w:t>Figure Legends</w:t>
      </w:r>
    </w:p>
    <w:p w14:paraId="086D6EDE" w14:textId="77777777" w:rsidR="0073213B" w:rsidRDefault="0073213B" w:rsidP="0073213B">
      <w:pPr>
        <w:spacing w:line="480" w:lineRule="auto"/>
      </w:pPr>
      <w:r w:rsidRPr="0073213B">
        <w:rPr>
          <w:b/>
        </w:rPr>
        <w:t>FIGURE 1.</w:t>
      </w:r>
      <w:r w:rsidRPr="0073213B">
        <w:t xml:space="preserve"> Sputum eosinophil percentages in (A) asthmatic and non-asthmatic children and (B) non-asthmatic, non-eosinophilic asthma and eosinophilic asthma</w:t>
      </w:r>
      <w:r w:rsidR="00171836">
        <w:t xml:space="preserve"> (</w:t>
      </w:r>
      <w:r w:rsidR="00171836" w:rsidRPr="00171836">
        <w:t>Express</w:t>
      </w:r>
      <w:r w:rsidR="00171836">
        <w:t>ed as median (25th-75th centile)) (</w:t>
      </w:r>
      <w:r w:rsidRPr="0073213B">
        <w:t>*** p &lt; 0.0001)</w:t>
      </w:r>
    </w:p>
    <w:p w14:paraId="6942EFFF" w14:textId="77777777" w:rsidR="0073213B" w:rsidRDefault="0073213B" w:rsidP="0073213B">
      <w:pPr>
        <w:spacing w:line="480" w:lineRule="auto"/>
      </w:pPr>
    </w:p>
    <w:p w14:paraId="47FDF010" w14:textId="77777777" w:rsidR="0073213B" w:rsidRDefault="0073213B" w:rsidP="0073213B">
      <w:pPr>
        <w:spacing w:line="480" w:lineRule="auto"/>
      </w:pPr>
      <w:r w:rsidRPr="0073213B">
        <w:rPr>
          <w:b/>
        </w:rPr>
        <w:t>FIGURE 2.</w:t>
      </w:r>
      <w:r w:rsidRPr="0073213B">
        <w:t xml:space="preserve"> Sputum neutrophil percentages in (A) asthmatic and non-asthmatic children and (B) non-asthmatic, non-eosinophilic asthma and eosinophilic asthma </w:t>
      </w:r>
      <w:r w:rsidR="00171836" w:rsidRPr="00171836">
        <w:t>(Expressed as median (25th-75th centile)</w:t>
      </w:r>
      <w:r w:rsidR="00171836">
        <w:t>)</w:t>
      </w:r>
      <w:r w:rsidR="00171836" w:rsidRPr="00171836">
        <w:t xml:space="preserve"> </w:t>
      </w:r>
      <w:r w:rsidRPr="0073213B">
        <w:t>(*** p &lt; 0.0001)</w:t>
      </w:r>
    </w:p>
    <w:p w14:paraId="73EF7B43" w14:textId="77777777" w:rsidR="0073213B" w:rsidRPr="0073213B" w:rsidRDefault="0073213B" w:rsidP="0073213B">
      <w:pPr>
        <w:spacing w:line="480" w:lineRule="auto"/>
      </w:pPr>
    </w:p>
    <w:p w14:paraId="4558B74B" w14:textId="77777777" w:rsidR="00FA5153" w:rsidRDefault="00FA5153">
      <w:pPr>
        <w:spacing w:after="200" w:line="276" w:lineRule="auto"/>
      </w:pPr>
      <w:r>
        <w:br w:type="page"/>
      </w:r>
    </w:p>
    <w:p w14:paraId="777C9F1F" w14:textId="77777777" w:rsidR="00301CF5" w:rsidRDefault="00301CF5" w:rsidP="00994193">
      <w:pPr>
        <w:spacing w:line="480" w:lineRule="auto"/>
        <w:rPr>
          <w:b/>
        </w:rPr>
      </w:pPr>
      <w:r w:rsidRPr="00300429">
        <w:rPr>
          <w:b/>
        </w:rPr>
        <w:lastRenderedPageBreak/>
        <w:t>REFERENCES</w:t>
      </w:r>
    </w:p>
    <w:p w14:paraId="02F1512A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1. Barnes PJ. Immunology of asthma and chronic obstructive pulmonary disease. </w:t>
      </w:r>
      <w:r w:rsidRPr="000126DB">
        <w:rPr>
          <w:i/>
          <w:noProof/>
        </w:rPr>
        <w:t>Nat Rev Immunol</w:t>
      </w:r>
      <w:r>
        <w:rPr>
          <w:noProof/>
        </w:rPr>
        <w:t xml:space="preserve"> 2008;8(3):183-92.</w:t>
      </w:r>
    </w:p>
    <w:p w14:paraId="7EC3771F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2. Douwes J, Gibson P, Pekkanen J, Pearce N. Non-eosinophilic asthma: importance and possible mechanisms. </w:t>
      </w:r>
      <w:r w:rsidRPr="000126DB">
        <w:rPr>
          <w:i/>
          <w:noProof/>
        </w:rPr>
        <w:t>Thorax</w:t>
      </w:r>
      <w:r>
        <w:rPr>
          <w:noProof/>
        </w:rPr>
        <w:t xml:space="preserve"> 2002;57(7):643-8.</w:t>
      </w:r>
    </w:p>
    <w:p w14:paraId="2BBDC951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3. Simpson JL, Scott R, Boyle MJ, Gibson PG. Inflammatory subtypes in asthma: assessment and identification using induced sputum. </w:t>
      </w:r>
      <w:r w:rsidRPr="000126DB">
        <w:rPr>
          <w:i/>
          <w:noProof/>
        </w:rPr>
        <w:t>Respirology</w:t>
      </w:r>
      <w:r w:rsidR="005E59A5">
        <w:rPr>
          <w:i/>
          <w:noProof/>
        </w:rPr>
        <w:t xml:space="preserve"> </w:t>
      </w:r>
      <w:r>
        <w:rPr>
          <w:noProof/>
        </w:rPr>
        <w:t>2006;11(1):54-61.</w:t>
      </w:r>
    </w:p>
    <w:p w14:paraId="2AE0E5F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4. Gibson PG, Simpson JL, Saltos N. Heterogeneity of airway inflammation in persistent asthma : evidence of neutrophilic inflammation and increased sputum interleukin-8. </w:t>
      </w:r>
      <w:r w:rsidRPr="000126DB">
        <w:rPr>
          <w:i/>
          <w:noProof/>
        </w:rPr>
        <w:t>Chest</w:t>
      </w:r>
      <w:r>
        <w:rPr>
          <w:noProof/>
        </w:rPr>
        <w:t xml:space="preserve"> 2001;119(5):1329-36.</w:t>
      </w:r>
    </w:p>
    <w:p w14:paraId="10E22D43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5. Green RH, Brightling CE, Woltmann G, Parker D, Wardlaw AJ, Pavord ID. Analysis of induced sputum in adults with asthma: identification of subgroup with isolated sputum neutrophilia and poor response to inhaled corticosteroids. </w:t>
      </w:r>
      <w:r w:rsidRPr="000126DB">
        <w:rPr>
          <w:i/>
          <w:noProof/>
        </w:rPr>
        <w:t>Thorax</w:t>
      </w:r>
      <w:r>
        <w:rPr>
          <w:noProof/>
        </w:rPr>
        <w:t xml:space="preserve"> 2002;57(10):875-9.</w:t>
      </w:r>
    </w:p>
    <w:p w14:paraId="4FEF2D98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6. Simpson JL, Grissell TV, Douwes J, Scott RJ, Boyle MJ, Gibson PG. Innate immune activation in neutrophilic asthma and bronchiectasis. </w:t>
      </w:r>
      <w:r w:rsidRPr="000126DB">
        <w:rPr>
          <w:i/>
          <w:noProof/>
        </w:rPr>
        <w:t>Thorax</w:t>
      </w:r>
      <w:r>
        <w:rPr>
          <w:noProof/>
        </w:rPr>
        <w:t xml:space="preserve"> 2007;62(3):211-8.</w:t>
      </w:r>
    </w:p>
    <w:p w14:paraId="25B4FA49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7. Berry M, Morgan A, Shaw DE, Parker D, Green R, Brightling C, et al. Pathological features and inhaled corticosteroid response of eosinophilic and non-eosinophilic asthma. </w:t>
      </w:r>
      <w:r w:rsidRPr="000126DB">
        <w:rPr>
          <w:i/>
          <w:noProof/>
        </w:rPr>
        <w:t>Thorax</w:t>
      </w:r>
      <w:r>
        <w:rPr>
          <w:noProof/>
        </w:rPr>
        <w:t xml:space="preserve"> 2007;62(12):1043-9.</w:t>
      </w:r>
    </w:p>
    <w:p w14:paraId="2AF282BC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8. Woodruff PG, Khashayar R, Lazarus SC, Janson S, Avila P, Boushey HA, et al. Relationship between airway inflammation, hyperresponsiveness, and obstruction in asthma. </w:t>
      </w:r>
      <w:r w:rsidR="005E59A5">
        <w:rPr>
          <w:i/>
          <w:noProof/>
        </w:rPr>
        <w:t>J Allergy Clin Immunol</w:t>
      </w:r>
      <w:r>
        <w:rPr>
          <w:noProof/>
        </w:rPr>
        <w:t xml:space="preserve"> 2001;108(5):753-8.</w:t>
      </w:r>
    </w:p>
    <w:p w14:paraId="348E3353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9. Green RH, Brightling CE, McKenna S, Hargadon B, Parker D, Bradding P, et al. Asthma exacerbations and sputum eosinophil counts: a randomised controlled trial. </w:t>
      </w:r>
      <w:r w:rsidRPr="000126DB">
        <w:rPr>
          <w:i/>
          <w:noProof/>
        </w:rPr>
        <w:t>Lancet</w:t>
      </w:r>
      <w:r>
        <w:rPr>
          <w:noProof/>
        </w:rPr>
        <w:t xml:space="preserve"> 2002;360(9347):1715-21.</w:t>
      </w:r>
    </w:p>
    <w:p w14:paraId="4E53C680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10. Gibson PG, Simpson JL, Hankin R, Powell H, Henry RL. Relationship between induced sputum eosinophils and the clinical pattern of childhood asthma. </w:t>
      </w:r>
      <w:r w:rsidRPr="000126DB">
        <w:rPr>
          <w:i/>
          <w:noProof/>
        </w:rPr>
        <w:t>Thorax</w:t>
      </w:r>
      <w:r>
        <w:rPr>
          <w:noProof/>
        </w:rPr>
        <w:t xml:space="preserve"> 2003;58(2):116-21.</w:t>
      </w:r>
    </w:p>
    <w:p w14:paraId="7EF3040C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11. Gibson PG, Wlodarczyk JW, Hensley MJ, Gleeson M, Henry RL, Cripps AW, et al. Epidemiological association of airway inflammation with asthma symptoms and airway hyperresponsiveness in childhood. </w:t>
      </w:r>
      <w:r w:rsidRPr="000126DB">
        <w:rPr>
          <w:i/>
          <w:noProof/>
        </w:rPr>
        <w:t>Am J Respir Crit Care Med</w:t>
      </w:r>
      <w:r>
        <w:rPr>
          <w:noProof/>
        </w:rPr>
        <w:t xml:space="preserve"> 1998;158(1):36-41.</w:t>
      </w:r>
    </w:p>
    <w:p w14:paraId="4BEF419C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12. Cai Y, Carty K, Henry RL, Gibson PG. Persistence of sputum eosinophilia in children with controlled asthma when compared with healthy children. </w:t>
      </w:r>
      <w:r w:rsidRPr="000126DB">
        <w:rPr>
          <w:i/>
          <w:noProof/>
        </w:rPr>
        <w:t>Eur Respir J</w:t>
      </w:r>
      <w:r>
        <w:rPr>
          <w:noProof/>
        </w:rPr>
        <w:t xml:space="preserve"> 1998;11(4):848-53.</w:t>
      </w:r>
    </w:p>
    <w:p w14:paraId="34B4E440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13. Baraldo S, Turato G, Bazzan E, Ballarin A, Damin M, Balestro E, et al. Noneosinophilic asthma in children: relation with airway remodelling. </w:t>
      </w:r>
      <w:r w:rsidRPr="000126DB">
        <w:rPr>
          <w:i/>
          <w:noProof/>
        </w:rPr>
        <w:t>Eur Respir J</w:t>
      </w:r>
      <w:r>
        <w:rPr>
          <w:noProof/>
        </w:rPr>
        <w:t xml:space="preserve"> 2011;38(3):575-83.</w:t>
      </w:r>
    </w:p>
    <w:p w14:paraId="1AA53847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14. Drews AC, Pizzichini MM, Pizzichini E, Pereira MU, Pitrez PM, Jones MH, et al. Neutrophilic airway inflammation is a main feature of induced sputum in nonatopic asthmatic children. </w:t>
      </w:r>
      <w:r w:rsidRPr="000126DB">
        <w:rPr>
          <w:i/>
          <w:noProof/>
        </w:rPr>
        <w:t>Allergy</w:t>
      </w:r>
      <w:r>
        <w:rPr>
          <w:noProof/>
        </w:rPr>
        <w:t xml:space="preserve"> 2009;64(11):1597-601.</w:t>
      </w:r>
    </w:p>
    <w:p w14:paraId="4F6CCB24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15. Li AM, Tsang TW, Chan DF, Lam HS, So HK, Sung RY, et al. Cough frequency in children with mild asthma correlates with sputum neutrophil count. </w:t>
      </w:r>
      <w:r w:rsidRPr="000126DB">
        <w:rPr>
          <w:i/>
          <w:noProof/>
        </w:rPr>
        <w:t>Thorax</w:t>
      </w:r>
      <w:r>
        <w:rPr>
          <w:noProof/>
        </w:rPr>
        <w:t xml:space="preserve"> 2006;61(9):747-50.</w:t>
      </w:r>
    </w:p>
    <w:p w14:paraId="1BBA0BA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16. Wang F, He XY, Baines KJ, Gunawardhana LP, Simpson JL, Li F, et al. Different inflammatory phenotypes in adults and children with acute asthma. </w:t>
      </w:r>
      <w:r w:rsidRPr="000126DB">
        <w:rPr>
          <w:i/>
          <w:noProof/>
        </w:rPr>
        <w:t>Eur Respir J</w:t>
      </w:r>
      <w:r>
        <w:rPr>
          <w:noProof/>
        </w:rPr>
        <w:t xml:space="preserve"> 2011;38(3):567-74.</w:t>
      </w:r>
    </w:p>
    <w:p w14:paraId="4B5CFA60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17. Fleming L, Tsartsali L, Wilson N, Regamey N, Bush A. Sputum inflammatory phenotypes are not stable in children with asthma. </w:t>
      </w:r>
      <w:r w:rsidRPr="000126DB">
        <w:rPr>
          <w:i/>
          <w:noProof/>
        </w:rPr>
        <w:t>Thorax</w:t>
      </w:r>
      <w:r>
        <w:rPr>
          <w:noProof/>
        </w:rPr>
        <w:t xml:space="preserve"> 2012;67(8):675-81.</w:t>
      </w:r>
    </w:p>
    <w:p w14:paraId="48FE1B60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lastRenderedPageBreak/>
        <w:t xml:space="preserve">18. Ellwood P, Asher MI, Beasley R, Clayton TO, Stewart AW. The international study of asthma and allergies in childhood (ISAAC): phase three rationale and methods. </w:t>
      </w:r>
      <w:r w:rsidR="005E59A5">
        <w:rPr>
          <w:i/>
          <w:noProof/>
        </w:rPr>
        <w:t>Int J Tuberc Lung Dis</w:t>
      </w:r>
      <w:r>
        <w:rPr>
          <w:noProof/>
        </w:rPr>
        <w:t xml:space="preserve"> 2005;9(1):10-6.</w:t>
      </w:r>
    </w:p>
    <w:p w14:paraId="576D1E4C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19. GINA. </w:t>
      </w:r>
      <w:r w:rsidRPr="000126DB">
        <w:rPr>
          <w:i/>
          <w:noProof/>
        </w:rPr>
        <w:t>Global Strategy for Asthma Management and Prevention</w:t>
      </w:r>
      <w:r w:rsidR="000E155D">
        <w:rPr>
          <w:i/>
          <w:noProof/>
        </w:rPr>
        <w:t xml:space="preserve"> 2008 (Update)</w:t>
      </w:r>
      <w:r w:rsidRPr="000126DB">
        <w:rPr>
          <w:i/>
          <w:noProof/>
        </w:rPr>
        <w:t>. NHLBI/WHO Workshop Report. Global Initiatives for Asthma</w:t>
      </w:r>
      <w:r>
        <w:rPr>
          <w:noProof/>
        </w:rPr>
        <w:t xml:space="preserve">. Washington, D.C.: NHLBI, </w:t>
      </w:r>
      <w:r w:rsidR="000E155D">
        <w:rPr>
          <w:noProof/>
        </w:rPr>
        <w:t>2008</w:t>
      </w:r>
      <w:r>
        <w:rPr>
          <w:noProof/>
        </w:rPr>
        <w:t>.</w:t>
      </w:r>
      <w:bookmarkStart w:id="0" w:name="_GoBack"/>
      <w:bookmarkEnd w:id="0"/>
    </w:p>
    <w:p w14:paraId="10301D15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20. ATS. Standardization of Spirometry, 1994 Update. American Thoracic Society. </w:t>
      </w:r>
      <w:r w:rsidRPr="000126DB">
        <w:rPr>
          <w:i/>
          <w:noProof/>
        </w:rPr>
        <w:t>Am J Respir Crit Care Med</w:t>
      </w:r>
      <w:r>
        <w:rPr>
          <w:noProof/>
        </w:rPr>
        <w:t xml:space="preserve"> 1995;152(3):1107-36.</w:t>
      </w:r>
    </w:p>
    <w:p w14:paraId="20D86F7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21. Gibson PG, Henry RL, Thomas P. Noninvasive assessment of airway inflammation in children: induced sputum, exhaled nitric oxide, and breath condensate. </w:t>
      </w:r>
      <w:r w:rsidRPr="000126DB">
        <w:rPr>
          <w:i/>
          <w:noProof/>
        </w:rPr>
        <w:t>Eur Respir J</w:t>
      </w:r>
      <w:r>
        <w:rPr>
          <w:noProof/>
        </w:rPr>
        <w:t xml:space="preserve"> 2000;16(5):1008-15.</w:t>
      </w:r>
    </w:p>
    <w:p w14:paraId="2A382076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22. Lovett CJ, Whitehead BF, Gibson PG. Eosinophilic airway inflammation and the prognosis of childhood asthma. </w:t>
      </w:r>
      <w:r w:rsidRPr="000126DB">
        <w:rPr>
          <w:i/>
          <w:noProof/>
        </w:rPr>
        <w:t>Clin Exp Allergy</w:t>
      </w:r>
      <w:r>
        <w:rPr>
          <w:noProof/>
        </w:rPr>
        <w:t xml:space="preserve"> 2007;37(11):1594-601.</w:t>
      </w:r>
    </w:p>
    <w:p w14:paraId="4642239C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23. Lee YJ, Kim KW, Choi BS, Sohn MH, Kim KE. Clinical characteristics of eosinophilic and noneosinophilic asthma in children. </w:t>
      </w:r>
      <w:r w:rsidRPr="000126DB">
        <w:rPr>
          <w:i/>
          <w:noProof/>
        </w:rPr>
        <w:t>Acta Paediatr</w:t>
      </w:r>
      <w:r>
        <w:rPr>
          <w:noProof/>
        </w:rPr>
        <w:t xml:space="preserve"> 2013;102(1):53-7.</w:t>
      </w:r>
    </w:p>
    <w:p w14:paraId="725D0238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24. Hancox RJ, Cowan DC, Aldridge RE, Cowan JO, Palmay R, Williamson A, et al. Asthma phenotypes: consistency of classification using induced sputum. </w:t>
      </w:r>
      <w:r w:rsidRPr="000126DB">
        <w:rPr>
          <w:i/>
          <w:noProof/>
        </w:rPr>
        <w:t>Respirology</w:t>
      </w:r>
      <w:r w:rsidR="005E59A5">
        <w:rPr>
          <w:i/>
          <w:noProof/>
        </w:rPr>
        <w:t xml:space="preserve"> </w:t>
      </w:r>
      <w:r>
        <w:rPr>
          <w:noProof/>
        </w:rPr>
        <w:t>2012;17(3):461-6.</w:t>
      </w:r>
    </w:p>
    <w:p w14:paraId="752B036B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25. Wark PA, Johnston SL, Moric I, Simpson JL, Hensley MJ, Gibson PG. Neutrophil degranulation and cell lysis is associated with clinical severity in virus-induced asthma. </w:t>
      </w:r>
      <w:r w:rsidRPr="000126DB">
        <w:rPr>
          <w:i/>
          <w:noProof/>
        </w:rPr>
        <w:t>Eur Respir J</w:t>
      </w:r>
      <w:r>
        <w:rPr>
          <w:noProof/>
        </w:rPr>
        <w:t xml:space="preserve"> 2002;19(1):68-75.</w:t>
      </w:r>
    </w:p>
    <w:p w14:paraId="0E2F216D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26. Balbi B, Pignatti P, Corradi M, Baiardi P, Bianchi L, Brunetti G, et al. Bronchoalveolar lavage, sputum and exhaled clinically relevant inflammatory markers: values in healthy adults. </w:t>
      </w:r>
      <w:r w:rsidRPr="000126DB">
        <w:rPr>
          <w:i/>
          <w:noProof/>
        </w:rPr>
        <w:t>Eur Respir J</w:t>
      </w:r>
      <w:r>
        <w:rPr>
          <w:noProof/>
        </w:rPr>
        <w:t xml:space="preserve"> 2007;30(4):769-81.</w:t>
      </w:r>
    </w:p>
    <w:p w14:paraId="4122085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27. Lex C, Ferreira F, Zacharasiewicz A, Nicholson AG, Haslam PL, Wilson NM, et al. Airway eosinophilia in children with severe asthma: predictive values of noninvasive tests. </w:t>
      </w:r>
      <w:r w:rsidRPr="000126DB">
        <w:rPr>
          <w:i/>
          <w:noProof/>
        </w:rPr>
        <w:t>Am J Respir Crit Care Med</w:t>
      </w:r>
      <w:r>
        <w:rPr>
          <w:noProof/>
        </w:rPr>
        <w:t xml:space="preserve"> 2006;174(12):1286-91.</w:t>
      </w:r>
    </w:p>
    <w:p w14:paraId="51A614B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28. Pekkanen J, Pearce N. Defining asthma in epidemiological studies. </w:t>
      </w:r>
      <w:r w:rsidRPr="000126DB">
        <w:rPr>
          <w:i/>
          <w:noProof/>
        </w:rPr>
        <w:t>Eur Respir J</w:t>
      </w:r>
      <w:r>
        <w:rPr>
          <w:noProof/>
        </w:rPr>
        <w:t xml:space="preserve"> 1999;14(4):951-7.</w:t>
      </w:r>
    </w:p>
    <w:p w14:paraId="6B74C182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29. Baroffio M, Barisione G, Crimi E, Brusasco V. Noninflammatory mechanisms of airway hyper-responsiveness in bronchial asthma: an overview. </w:t>
      </w:r>
      <w:r w:rsidRPr="000126DB">
        <w:rPr>
          <w:i/>
          <w:noProof/>
        </w:rPr>
        <w:t>Ther Adv Respir Dis</w:t>
      </w:r>
      <w:r>
        <w:rPr>
          <w:noProof/>
        </w:rPr>
        <w:t xml:space="preserve"> 2009;3(4):163-74.</w:t>
      </w:r>
    </w:p>
    <w:p w14:paraId="7930980D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30. Grainge CL, Lau LC, Ward JA, Dulay V, Lahiff G, Wilson S, et al. Effect of bronchoconstriction on airway remodeling in asthma. </w:t>
      </w:r>
      <w:r w:rsidRPr="000126DB">
        <w:rPr>
          <w:i/>
          <w:noProof/>
        </w:rPr>
        <w:t>N Engl J Med</w:t>
      </w:r>
      <w:r>
        <w:rPr>
          <w:noProof/>
        </w:rPr>
        <w:t xml:space="preserve"> 2011;364(21):2006-15.</w:t>
      </w:r>
    </w:p>
    <w:p w14:paraId="5846266E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>31. Miller BD, Wood BL, Lim J, Ballow M, Hsu C. Depressed children with asthma evidence increased airway resistance: "vagal bias" as a mechanism?</w:t>
      </w:r>
      <w:r w:rsidR="005E59A5">
        <w:rPr>
          <w:i/>
          <w:noProof/>
        </w:rPr>
        <w:t xml:space="preserve"> J Allergy Clin Immunol</w:t>
      </w:r>
      <w:r>
        <w:rPr>
          <w:noProof/>
        </w:rPr>
        <w:t xml:space="preserve"> 2009;124(1):66-73 e1-10.</w:t>
      </w:r>
    </w:p>
    <w:p w14:paraId="163D1F9B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32. Papadopouli E, Tzanakis N, Tsoumakidou M, Kyriakoy D, Plataki M, Mantzouranis EC, et al. Comparison of induced sputum inflammatory profiles between childhood and adult-onset asthma. </w:t>
      </w:r>
      <w:r w:rsidRPr="000126DB">
        <w:rPr>
          <w:i/>
          <w:noProof/>
        </w:rPr>
        <w:t>Respir Med</w:t>
      </w:r>
      <w:r>
        <w:rPr>
          <w:noProof/>
        </w:rPr>
        <w:t xml:space="preserve"> 2006;100(8):1442-50.</w:t>
      </w:r>
    </w:p>
    <w:p w14:paraId="41F24863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33. Shaw AC, Joshi S, Greenwood H, Panda A, Lord JM. Aging of the innate immune system. </w:t>
      </w:r>
      <w:r w:rsidR="005E59A5">
        <w:rPr>
          <w:i/>
          <w:noProof/>
        </w:rPr>
        <w:t>Curr Op Immunol</w:t>
      </w:r>
      <w:r>
        <w:rPr>
          <w:noProof/>
        </w:rPr>
        <w:t xml:space="preserve"> 2010;22(4):507-13.</w:t>
      </w:r>
    </w:p>
    <w:p w14:paraId="06CFD7F5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 xml:space="preserve">34. Simpson JL, McElduff P, Gibson PG. Assessment and reproducibility of non-eosinophilic asthma using induced sputum. </w:t>
      </w:r>
      <w:r w:rsidRPr="000126DB">
        <w:rPr>
          <w:i/>
          <w:noProof/>
        </w:rPr>
        <w:t>Respiration</w:t>
      </w:r>
      <w:r>
        <w:rPr>
          <w:noProof/>
        </w:rPr>
        <w:t xml:space="preserve"> 2010;79(2):147-51.</w:t>
      </w:r>
    </w:p>
    <w:p w14:paraId="6E9C8B3F" w14:textId="77777777" w:rsidR="00301CF5" w:rsidRDefault="00301CF5" w:rsidP="00994193">
      <w:pPr>
        <w:ind w:left="720" w:hanging="720"/>
        <w:rPr>
          <w:noProof/>
        </w:rPr>
      </w:pPr>
      <w:r>
        <w:rPr>
          <w:noProof/>
        </w:rPr>
        <w:t>35. Szefler SJ, Martin RJ, King TS, Boushey HA, Cherniack RM, Chinchilli VM, et al. Significant variability in response to inhaled corticosteroids for persistent asthma.</w:t>
      </w:r>
      <w:r w:rsidR="005E59A5">
        <w:rPr>
          <w:noProof/>
        </w:rPr>
        <w:t xml:space="preserve"> </w:t>
      </w:r>
      <w:r w:rsidR="005E59A5">
        <w:rPr>
          <w:i/>
          <w:noProof/>
        </w:rPr>
        <w:t>J Allergy Clin Immunol</w:t>
      </w:r>
      <w:r>
        <w:rPr>
          <w:noProof/>
        </w:rPr>
        <w:t xml:space="preserve"> 2002;109(3):410-8.</w:t>
      </w:r>
    </w:p>
    <w:p w14:paraId="0696E767" w14:textId="77777777" w:rsidR="00FA5153" w:rsidRDefault="00FA515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638031A" w14:textId="77777777" w:rsidR="00301CF5" w:rsidRDefault="00301CF5">
      <w:pPr>
        <w:spacing w:after="200" w:line="276" w:lineRule="auto"/>
        <w:rPr>
          <w:noProof/>
          <w:lang w:val="en-US" w:eastAsia="en-US" w:bidi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4"/>
        <w:gridCol w:w="2035"/>
        <w:gridCol w:w="1889"/>
      </w:tblGrid>
      <w:tr w:rsidR="00301CF5" w:rsidRPr="00710C3B" w14:paraId="4958F66B" w14:textId="77777777" w:rsidTr="00994193">
        <w:trPr>
          <w:jc w:val="center"/>
        </w:trPr>
        <w:tc>
          <w:tcPr>
            <w:tcW w:w="8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DBEE7D" w14:textId="77777777" w:rsidR="00301CF5" w:rsidRPr="00710C3B" w:rsidRDefault="00301CF5" w:rsidP="00994193">
            <w:pPr>
              <w:spacing w:line="360" w:lineRule="auto"/>
              <w:rPr>
                <w:rFonts w:eastAsia="Cambria"/>
                <w:b/>
                <w:lang w:val="en-NZ"/>
              </w:rPr>
            </w:pPr>
            <w:r w:rsidRPr="00710C3B">
              <w:rPr>
                <w:rFonts w:eastAsia="Cambria"/>
                <w:b/>
                <w:sz w:val="22"/>
                <w:szCs w:val="22"/>
              </w:rPr>
              <w:t xml:space="preserve">TABLE 1. </w:t>
            </w:r>
            <w:r w:rsidRPr="00710C3B">
              <w:rPr>
                <w:rFonts w:eastAsia="Cambria"/>
                <w:sz w:val="22"/>
                <w:szCs w:val="22"/>
                <w:lang w:val="en-NZ"/>
              </w:rPr>
              <w:t>Characteristics of study population. (* P&lt;0.05; ** P&lt;0.01)</w:t>
            </w:r>
          </w:p>
        </w:tc>
      </w:tr>
      <w:tr w:rsidR="00301CF5" w:rsidRPr="00710C3B" w14:paraId="3C51E867" w14:textId="77777777" w:rsidTr="00994193">
        <w:trPr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24BDF" w14:textId="77777777" w:rsidR="00301CF5" w:rsidRPr="00710C3B" w:rsidRDefault="00301CF5" w:rsidP="00994193">
            <w:pPr>
              <w:spacing w:line="360" w:lineRule="auto"/>
              <w:rPr>
                <w:rFonts w:eastAsia="Cambria"/>
                <w:b/>
                <w:lang w:val="en-NZ"/>
              </w:rPr>
            </w:pPr>
          </w:p>
          <w:p w14:paraId="0E55A486" w14:textId="77777777" w:rsidR="00301CF5" w:rsidRPr="00710C3B" w:rsidRDefault="00301CF5" w:rsidP="00994193">
            <w:pPr>
              <w:spacing w:line="360" w:lineRule="auto"/>
              <w:rPr>
                <w:rFonts w:eastAsia="Cambria"/>
                <w:b/>
                <w:lang w:val="en-NZ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55B8F" w14:textId="77777777" w:rsidR="00301CF5" w:rsidRPr="00710C3B" w:rsidRDefault="00301CF5" w:rsidP="00994193">
            <w:pPr>
              <w:spacing w:line="360" w:lineRule="auto"/>
              <w:jc w:val="center"/>
              <w:rPr>
                <w:rFonts w:eastAsia="Cambria"/>
                <w:b/>
                <w:lang w:val="en-NZ"/>
              </w:rPr>
            </w:pPr>
            <w:r w:rsidRPr="00710C3B">
              <w:rPr>
                <w:rFonts w:eastAsia="Cambria"/>
                <w:b/>
                <w:sz w:val="22"/>
                <w:szCs w:val="22"/>
                <w:lang w:val="en-NZ"/>
              </w:rPr>
              <w:t>No asthma</w:t>
            </w:r>
          </w:p>
          <w:p w14:paraId="2AE63D3D" w14:textId="77777777" w:rsidR="00301CF5" w:rsidRPr="00710C3B" w:rsidRDefault="00301CF5" w:rsidP="00994193">
            <w:pPr>
              <w:spacing w:line="360" w:lineRule="auto"/>
              <w:jc w:val="center"/>
              <w:rPr>
                <w:rFonts w:eastAsia="Cambria"/>
                <w:b/>
                <w:lang w:val="en-NZ"/>
              </w:rPr>
            </w:pPr>
            <w:r w:rsidRPr="00710C3B">
              <w:rPr>
                <w:rFonts w:eastAsia="Cambria"/>
                <w:b/>
                <w:sz w:val="22"/>
                <w:szCs w:val="22"/>
                <w:lang w:val="en-NZ"/>
              </w:rPr>
              <w:t>N=68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82127" w14:textId="77777777" w:rsidR="00301CF5" w:rsidRPr="00710C3B" w:rsidRDefault="00301CF5" w:rsidP="00994193">
            <w:pPr>
              <w:spacing w:line="360" w:lineRule="auto"/>
              <w:jc w:val="center"/>
              <w:rPr>
                <w:rFonts w:eastAsia="Cambria"/>
                <w:b/>
                <w:lang w:val="en-NZ"/>
              </w:rPr>
            </w:pPr>
            <w:r w:rsidRPr="00710C3B">
              <w:rPr>
                <w:rFonts w:eastAsia="Cambria"/>
                <w:b/>
                <w:sz w:val="22"/>
                <w:szCs w:val="22"/>
                <w:lang w:val="en-NZ"/>
              </w:rPr>
              <w:t>Asthma</w:t>
            </w:r>
          </w:p>
          <w:p w14:paraId="61ACC6C2" w14:textId="77777777" w:rsidR="00301CF5" w:rsidRPr="00710C3B" w:rsidRDefault="00301CF5" w:rsidP="00994193">
            <w:pPr>
              <w:spacing w:line="360" w:lineRule="auto"/>
              <w:jc w:val="center"/>
              <w:rPr>
                <w:rFonts w:eastAsia="Cambria"/>
                <w:b/>
                <w:lang w:val="en-NZ"/>
              </w:rPr>
            </w:pPr>
            <w:r w:rsidRPr="00710C3B">
              <w:rPr>
                <w:rFonts w:eastAsia="Cambria"/>
                <w:b/>
                <w:sz w:val="22"/>
                <w:szCs w:val="22"/>
                <w:lang w:val="en-NZ"/>
              </w:rPr>
              <w:t>N=77</w:t>
            </w:r>
          </w:p>
        </w:tc>
      </w:tr>
      <w:tr w:rsidR="00301CF5" w:rsidRPr="00710C3B" w14:paraId="36BC4B33" w14:textId="77777777" w:rsidTr="00994193">
        <w:trPr>
          <w:jc w:val="center"/>
        </w:trPr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14:paraId="2D4D8EC9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Age (SD)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14:paraId="136B86EB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15.0 (1.04)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auto"/>
          </w:tcPr>
          <w:p w14:paraId="1F23AD4E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15.1 (1.01)</w:t>
            </w:r>
          </w:p>
        </w:tc>
      </w:tr>
      <w:tr w:rsidR="00301CF5" w:rsidRPr="00710C3B" w14:paraId="071E0B4F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709DB067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Males</w:t>
            </w:r>
          </w:p>
        </w:tc>
        <w:tc>
          <w:tcPr>
            <w:tcW w:w="2035" w:type="dxa"/>
            <w:shd w:val="clear" w:color="auto" w:fill="auto"/>
          </w:tcPr>
          <w:p w14:paraId="6C854731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72.1%</w:t>
            </w:r>
          </w:p>
        </w:tc>
        <w:tc>
          <w:tcPr>
            <w:tcW w:w="1889" w:type="dxa"/>
            <w:shd w:val="clear" w:color="auto" w:fill="auto"/>
          </w:tcPr>
          <w:p w14:paraId="500912AB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76.6%</w:t>
            </w:r>
          </w:p>
        </w:tc>
      </w:tr>
      <w:tr w:rsidR="00301CF5" w:rsidRPr="00710C3B" w14:paraId="321A2C23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26A4795E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Ethnicity</w:t>
            </w:r>
          </w:p>
          <w:p w14:paraId="0ED0D050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European</w:t>
            </w:r>
          </w:p>
          <w:p w14:paraId="7BD43346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Non-European</w:t>
            </w:r>
          </w:p>
        </w:tc>
        <w:tc>
          <w:tcPr>
            <w:tcW w:w="2035" w:type="dxa"/>
            <w:shd w:val="clear" w:color="auto" w:fill="auto"/>
          </w:tcPr>
          <w:p w14:paraId="16BFF6B3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5D67E4A7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75.0%</w:t>
            </w:r>
          </w:p>
          <w:p w14:paraId="75BBBA46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25.0%</w:t>
            </w:r>
          </w:p>
        </w:tc>
        <w:tc>
          <w:tcPr>
            <w:tcW w:w="1889" w:type="dxa"/>
            <w:shd w:val="clear" w:color="auto" w:fill="auto"/>
          </w:tcPr>
          <w:p w14:paraId="3DE606F1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3CA51A9A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68.8%</w:t>
            </w:r>
          </w:p>
          <w:p w14:paraId="24FA51A0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31.2%</w:t>
            </w:r>
          </w:p>
        </w:tc>
      </w:tr>
      <w:tr w:rsidR="00301CF5" w:rsidRPr="00710C3B" w14:paraId="16D5577C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311BF95B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Lung function</w:t>
            </w:r>
          </w:p>
          <w:p w14:paraId="1939EC35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FVC %-predicted (Mean, SD)</w:t>
            </w:r>
          </w:p>
          <w:p w14:paraId="5E27600E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FEV</w:t>
            </w:r>
            <w:r w:rsidRPr="00710C3B">
              <w:rPr>
                <w:rFonts w:eastAsia="Cambria"/>
                <w:sz w:val="22"/>
                <w:szCs w:val="22"/>
                <w:vertAlign w:val="subscript"/>
                <w:lang w:val="en-NZ"/>
              </w:rPr>
              <w:t>1</w:t>
            </w: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%-predicted (Mean, SD)</w:t>
            </w:r>
          </w:p>
          <w:p w14:paraId="279CD8C5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FEV</w:t>
            </w:r>
            <w:r w:rsidRPr="00710C3B">
              <w:rPr>
                <w:rFonts w:eastAsia="Cambria"/>
                <w:sz w:val="22"/>
                <w:szCs w:val="22"/>
                <w:vertAlign w:val="subscript"/>
                <w:lang w:val="en-NZ"/>
              </w:rPr>
              <w:t>1</w:t>
            </w:r>
            <w:r w:rsidRPr="00710C3B">
              <w:rPr>
                <w:rFonts w:eastAsia="Cambria"/>
                <w:sz w:val="22"/>
                <w:szCs w:val="22"/>
                <w:lang w:val="en-NZ"/>
              </w:rPr>
              <w:t>/FVC %-predicted (Mean, SD)</w:t>
            </w:r>
          </w:p>
        </w:tc>
        <w:tc>
          <w:tcPr>
            <w:tcW w:w="2035" w:type="dxa"/>
            <w:shd w:val="clear" w:color="auto" w:fill="auto"/>
          </w:tcPr>
          <w:p w14:paraId="4734D5AF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50F6656D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101.1% (12.0)</w:t>
            </w:r>
          </w:p>
          <w:p w14:paraId="179DF20C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100.9% (11.4)</w:t>
            </w:r>
          </w:p>
          <w:p w14:paraId="215B7BF8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100.2% (7.6)</w:t>
            </w:r>
          </w:p>
        </w:tc>
        <w:tc>
          <w:tcPr>
            <w:tcW w:w="1889" w:type="dxa"/>
            <w:shd w:val="clear" w:color="auto" w:fill="auto"/>
          </w:tcPr>
          <w:p w14:paraId="4DAFA91E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66F7BD70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102.3% (12.8)</w:t>
            </w:r>
          </w:p>
          <w:p w14:paraId="492B4DD9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96.4% (11.9)*</w:t>
            </w:r>
          </w:p>
          <w:p w14:paraId="1D5667B5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94.4% (7.9)**</w:t>
            </w:r>
          </w:p>
        </w:tc>
      </w:tr>
      <w:tr w:rsidR="00301CF5" w:rsidRPr="00710C3B" w14:paraId="37115D4B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1189E387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vertAlign w:val="superscript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Atopy</w:t>
            </w:r>
            <w:r w:rsidRPr="00710C3B">
              <w:rPr>
                <w:rFonts w:eastAsia="Cambria"/>
                <w:sz w:val="22"/>
                <w:szCs w:val="22"/>
                <w:vertAlign w:val="superscript"/>
                <w:lang w:val="en-NZ"/>
              </w:rPr>
              <w:t>a</w:t>
            </w:r>
          </w:p>
        </w:tc>
        <w:tc>
          <w:tcPr>
            <w:tcW w:w="2035" w:type="dxa"/>
            <w:shd w:val="clear" w:color="auto" w:fill="auto"/>
          </w:tcPr>
          <w:p w14:paraId="71EA5D59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36.8%</w:t>
            </w:r>
          </w:p>
        </w:tc>
        <w:tc>
          <w:tcPr>
            <w:tcW w:w="1889" w:type="dxa"/>
            <w:shd w:val="clear" w:color="auto" w:fill="auto"/>
          </w:tcPr>
          <w:p w14:paraId="470C1F16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80.5%**</w:t>
            </w:r>
          </w:p>
        </w:tc>
      </w:tr>
      <w:tr w:rsidR="00301CF5" w:rsidRPr="00710C3B" w14:paraId="171708EB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3034D8F8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Airway hyperreactivity</w:t>
            </w:r>
            <w:r w:rsidRPr="00710C3B">
              <w:rPr>
                <w:rFonts w:eastAsia="Cambria"/>
                <w:sz w:val="22"/>
                <w:szCs w:val="22"/>
                <w:vertAlign w:val="superscript"/>
                <w:lang w:val="en-NZ"/>
              </w:rPr>
              <w:t>b</w:t>
            </w: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14:paraId="767469F2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7.6%</w:t>
            </w:r>
          </w:p>
        </w:tc>
        <w:tc>
          <w:tcPr>
            <w:tcW w:w="1889" w:type="dxa"/>
            <w:shd w:val="clear" w:color="auto" w:fill="auto"/>
          </w:tcPr>
          <w:p w14:paraId="6B117088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49.4%**</w:t>
            </w:r>
          </w:p>
        </w:tc>
      </w:tr>
      <w:tr w:rsidR="00301CF5" w:rsidRPr="00710C3B" w14:paraId="0305A172" w14:textId="77777777" w:rsidTr="00994193">
        <w:trPr>
          <w:jc w:val="center"/>
        </w:trPr>
        <w:tc>
          <w:tcPr>
            <w:tcW w:w="4604" w:type="dxa"/>
            <w:shd w:val="clear" w:color="auto" w:fill="auto"/>
          </w:tcPr>
          <w:p w14:paraId="69BDEE6B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Asthma severity</w:t>
            </w:r>
          </w:p>
          <w:p w14:paraId="367070EA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Mild</w:t>
            </w:r>
          </w:p>
          <w:p w14:paraId="12A88605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Moderate</w:t>
            </w:r>
          </w:p>
          <w:p w14:paraId="662A2C74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Severe</w:t>
            </w:r>
          </w:p>
        </w:tc>
        <w:tc>
          <w:tcPr>
            <w:tcW w:w="2035" w:type="dxa"/>
            <w:shd w:val="clear" w:color="auto" w:fill="auto"/>
          </w:tcPr>
          <w:p w14:paraId="7AF858A5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246DB179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-</w:t>
            </w:r>
          </w:p>
          <w:p w14:paraId="1F3E286E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-</w:t>
            </w:r>
          </w:p>
          <w:p w14:paraId="2EA1C3A7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-</w:t>
            </w:r>
          </w:p>
        </w:tc>
        <w:tc>
          <w:tcPr>
            <w:tcW w:w="1889" w:type="dxa"/>
            <w:shd w:val="clear" w:color="auto" w:fill="auto"/>
          </w:tcPr>
          <w:p w14:paraId="0EDBA048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1AA0AFFE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19.4%</w:t>
            </w:r>
          </w:p>
          <w:p w14:paraId="218C61D7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40.3%</w:t>
            </w:r>
          </w:p>
          <w:p w14:paraId="21924249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40.3%</w:t>
            </w:r>
          </w:p>
        </w:tc>
      </w:tr>
      <w:tr w:rsidR="00301CF5" w:rsidRPr="00710C3B" w14:paraId="460355D9" w14:textId="77777777" w:rsidTr="00994193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14:paraId="0A0F4B5D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Asthma persistence</w:t>
            </w:r>
          </w:p>
          <w:p w14:paraId="07CAE411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Intermittent</w:t>
            </w:r>
          </w:p>
          <w:p w14:paraId="0D9C09E8" w14:textId="77777777" w:rsidR="00301CF5" w:rsidRPr="00710C3B" w:rsidRDefault="00301CF5" w:rsidP="00994193">
            <w:pPr>
              <w:spacing w:line="360" w:lineRule="auto"/>
              <w:jc w:val="both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 xml:space="preserve">   Persistent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3634B42B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1EF0B2FC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-</w:t>
            </w:r>
          </w:p>
          <w:p w14:paraId="130F2D77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-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484FDF62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</w:p>
          <w:p w14:paraId="3B39926F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53.2%</w:t>
            </w:r>
          </w:p>
          <w:p w14:paraId="2AB39261" w14:textId="77777777" w:rsidR="00301CF5" w:rsidRPr="00710C3B" w:rsidRDefault="00301CF5" w:rsidP="00994193">
            <w:pPr>
              <w:spacing w:line="360" w:lineRule="auto"/>
              <w:jc w:val="right"/>
              <w:rPr>
                <w:rFonts w:eastAsia="Cambria"/>
                <w:lang w:val="en-NZ"/>
              </w:rPr>
            </w:pPr>
            <w:r w:rsidRPr="00710C3B">
              <w:rPr>
                <w:rFonts w:eastAsia="Cambria"/>
                <w:sz w:val="22"/>
                <w:szCs w:val="22"/>
                <w:lang w:val="en-NZ"/>
              </w:rPr>
              <w:t>46.8%</w:t>
            </w:r>
          </w:p>
        </w:tc>
      </w:tr>
    </w:tbl>
    <w:p w14:paraId="09015208" w14:textId="77777777" w:rsidR="00301CF5" w:rsidRPr="00710C3B" w:rsidRDefault="00301CF5" w:rsidP="00994193">
      <w:pPr>
        <w:ind w:left="284" w:right="-982"/>
        <w:rPr>
          <w:rFonts w:eastAsia="Cambria"/>
          <w:sz w:val="22"/>
          <w:szCs w:val="22"/>
          <w:lang w:val="en-NZ"/>
        </w:rPr>
      </w:pPr>
      <w:r w:rsidRPr="00710C3B">
        <w:rPr>
          <w:rFonts w:eastAsia="Cambria"/>
          <w:sz w:val="22"/>
          <w:szCs w:val="22"/>
          <w:vertAlign w:val="superscript"/>
          <w:lang w:val="en-NZ"/>
        </w:rPr>
        <w:t>a</w:t>
      </w:r>
      <w:r w:rsidRPr="00710C3B">
        <w:rPr>
          <w:rFonts w:eastAsia="Cambria"/>
          <w:sz w:val="22"/>
          <w:szCs w:val="22"/>
          <w:lang w:val="en-NZ"/>
        </w:rPr>
        <w:t xml:space="preserve"> positive SPT against one or more common allergens </w:t>
      </w:r>
    </w:p>
    <w:p w14:paraId="12B4BB79" w14:textId="77777777" w:rsidR="00301CF5" w:rsidRPr="00710C3B" w:rsidRDefault="00301CF5" w:rsidP="00994193">
      <w:pPr>
        <w:ind w:left="284" w:right="-982"/>
        <w:rPr>
          <w:rFonts w:eastAsia="Cambria"/>
          <w:sz w:val="22"/>
          <w:szCs w:val="22"/>
          <w:lang w:val="en-NZ"/>
        </w:rPr>
      </w:pPr>
      <w:r w:rsidRPr="00710C3B">
        <w:rPr>
          <w:rFonts w:eastAsia="Cambria"/>
          <w:sz w:val="22"/>
          <w:szCs w:val="22"/>
          <w:vertAlign w:val="superscript"/>
          <w:lang w:val="en-NZ"/>
        </w:rPr>
        <w:t>b</w:t>
      </w:r>
      <w:r w:rsidRPr="00710C3B">
        <w:rPr>
          <w:rFonts w:eastAsia="Cambria"/>
          <w:sz w:val="22"/>
          <w:szCs w:val="22"/>
          <w:lang w:val="en-NZ"/>
        </w:rPr>
        <w:t xml:space="preserve"> </w:t>
      </w:r>
      <w:r w:rsidRPr="00710C3B">
        <w:rPr>
          <w:rFonts w:eastAsia="Cambria"/>
          <w:sz w:val="22"/>
          <w:szCs w:val="22"/>
        </w:rPr>
        <w:t>≥15% drop in FEV</w:t>
      </w:r>
      <w:r w:rsidRPr="00710C3B">
        <w:rPr>
          <w:rFonts w:eastAsia="Cambria"/>
          <w:sz w:val="22"/>
          <w:szCs w:val="22"/>
          <w:vertAlign w:val="subscript"/>
        </w:rPr>
        <w:t>1</w:t>
      </w:r>
      <w:r w:rsidRPr="00710C3B">
        <w:rPr>
          <w:rFonts w:eastAsia="Cambria"/>
          <w:sz w:val="22"/>
          <w:szCs w:val="22"/>
        </w:rPr>
        <w:t xml:space="preserve"> from baseline following a 4.5% saline challenge</w:t>
      </w:r>
    </w:p>
    <w:p w14:paraId="3A88DE22" w14:textId="77777777" w:rsidR="00301CF5" w:rsidRPr="00710C3B" w:rsidRDefault="00301CF5" w:rsidP="00994193">
      <w:pPr>
        <w:spacing w:after="200" w:line="276" w:lineRule="auto"/>
        <w:rPr>
          <w:rFonts w:asciiTheme="minorHAnsi" w:hAnsiTheme="minorHAnsi" w:cstheme="minorBidi"/>
          <w:sz w:val="22"/>
          <w:szCs w:val="22"/>
          <w:lang w:val="en-NZ" w:eastAsia="en-US"/>
        </w:rPr>
      </w:pPr>
    </w:p>
    <w:p w14:paraId="2FBE9BA3" w14:textId="77777777" w:rsidR="00301CF5" w:rsidRDefault="00301CF5">
      <w:pPr>
        <w:spacing w:after="200" w:line="276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8"/>
        <w:gridCol w:w="1468"/>
        <w:gridCol w:w="1540"/>
        <w:gridCol w:w="1912"/>
        <w:gridCol w:w="2058"/>
      </w:tblGrid>
      <w:tr w:rsidR="00301CF5" w:rsidRPr="006563F6" w14:paraId="7FE5E5E1" w14:textId="77777777" w:rsidTr="00994193">
        <w:tc>
          <w:tcPr>
            <w:tcW w:w="0" w:type="auto"/>
            <w:gridSpan w:val="5"/>
            <w:shd w:val="clear" w:color="auto" w:fill="auto"/>
          </w:tcPr>
          <w:p w14:paraId="3E659B86" w14:textId="77777777" w:rsidR="00301CF5" w:rsidRPr="006563F6" w:rsidRDefault="00301CF5" w:rsidP="00994193">
            <w:pPr>
              <w:rPr>
                <w:rFonts w:eastAsia="Cambria"/>
                <w:lang w:val="fr-FR"/>
              </w:rPr>
            </w:pPr>
            <w:r w:rsidRPr="006563F6">
              <w:rPr>
                <w:rFonts w:eastAsia="Cambria"/>
                <w:b/>
                <w:sz w:val="22"/>
                <w:szCs w:val="22"/>
                <w:lang w:val="en-NZ"/>
              </w:rPr>
              <w:lastRenderedPageBreak/>
              <w:t xml:space="preserve">TABLE 2. 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>Markers of inflammation and endotoxin levels in sputum. Expressed as median (25</w:t>
            </w:r>
            <w:r w:rsidRPr="006563F6">
              <w:rPr>
                <w:rFonts w:eastAsia="Cambria"/>
                <w:sz w:val="22"/>
                <w:szCs w:val="22"/>
                <w:vertAlign w:val="superscript"/>
                <w:lang w:val="en-NZ"/>
              </w:rPr>
              <w:t>th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>-75</w:t>
            </w:r>
            <w:r w:rsidRPr="006563F6">
              <w:rPr>
                <w:rFonts w:eastAsia="Cambria"/>
                <w:sz w:val="22"/>
                <w:szCs w:val="22"/>
                <w:vertAlign w:val="superscript"/>
                <w:lang w:val="en-NZ"/>
              </w:rPr>
              <w:t>th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 centile). * P&lt;0.05; ** P&lt;0.01 asthmatics versus the reference population ,</w:t>
            </w:r>
            <w:r w:rsidRPr="006563F6">
              <w:rPr>
                <w:rFonts w:eastAsia="Cambria"/>
                <w:sz w:val="22"/>
                <w:szCs w:val="22"/>
                <w:lang w:val="fr-FR"/>
              </w:rPr>
              <w:t>† P&lt;0.05; †† P&lt;0.01 non-eosinophilic versus eosinophilic asthma</w:t>
            </w:r>
          </w:p>
          <w:p w14:paraId="5B0C3F51" w14:textId="77777777" w:rsidR="00301CF5" w:rsidRPr="006563F6" w:rsidRDefault="00301CF5" w:rsidP="00994193">
            <w:pPr>
              <w:rPr>
                <w:rFonts w:eastAsia="Cambria"/>
                <w:lang w:val="en-NZ"/>
              </w:rPr>
            </w:pPr>
          </w:p>
        </w:tc>
      </w:tr>
      <w:tr w:rsidR="00301CF5" w:rsidRPr="006563F6" w14:paraId="0E06DFA8" w14:textId="77777777" w:rsidTr="0099419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0F8AD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</w:p>
          <w:p w14:paraId="6D40DC23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</w:p>
          <w:p w14:paraId="6C4A1C01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144C7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No asthma</w:t>
            </w:r>
          </w:p>
          <w:p w14:paraId="01586E39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N=68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931C9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All asthma</w:t>
            </w:r>
          </w:p>
          <w:p w14:paraId="0247C4E4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N=77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907BE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Eosinophilic asthma</w:t>
            </w:r>
          </w:p>
          <w:p w14:paraId="708ABE3E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N=35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1468A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Non-eosinophilic asthma</w:t>
            </w:r>
          </w:p>
          <w:p w14:paraId="4CEBD2E8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N=42</w:t>
            </w:r>
          </w:p>
        </w:tc>
      </w:tr>
      <w:tr w:rsidR="00301CF5" w:rsidRPr="006563F6" w14:paraId="1F0B11D2" w14:textId="77777777" w:rsidTr="00994193">
        <w:tc>
          <w:tcPr>
            <w:tcW w:w="0" w:type="auto"/>
            <w:shd w:val="clear" w:color="auto" w:fill="auto"/>
          </w:tcPr>
          <w:p w14:paraId="38BEED8C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Total eosinophils (x 10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4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/ml)</w:t>
            </w:r>
          </w:p>
        </w:tc>
        <w:tc>
          <w:tcPr>
            <w:tcW w:w="0" w:type="auto"/>
            <w:shd w:val="clear" w:color="auto" w:fill="auto"/>
          </w:tcPr>
          <w:p w14:paraId="0FABF292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 (0.0-3.8)</w:t>
            </w:r>
          </w:p>
        </w:tc>
        <w:tc>
          <w:tcPr>
            <w:tcW w:w="0" w:type="auto"/>
            <w:shd w:val="clear" w:color="auto" w:fill="auto"/>
          </w:tcPr>
          <w:p w14:paraId="5285954B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28.1 (0.0-228.7)**</w:t>
            </w:r>
          </w:p>
        </w:tc>
        <w:tc>
          <w:tcPr>
            <w:tcW w:w="0" w:type="auto"/>
            <w:shd w:val="clear" w:color="auto" w:fill="auto"/>
          </w:tcPr>
          <w:p w14:paraId="69BD384F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229.9 (89.3-385.7)** </w:t>
            </w:r>
          </w:p>
        </w:tc>
        <w:tc>
          <w:tcPr>
            <w:tcW w:w="0" w:type="auto"/>
            <w:shd w:val="clear" w:color="auto" w:fill="auto"/>
          </w:tcPr>
          <w:p w14:paraId="1B261547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 (0.0-6.8) ††</w:t>
            </w:r>
          </w:p>
        </w:tc>
      </w:tr>
      <w:tr w:rsidR="00301CF5" w:rsidRPr="006563F6" w14:paraId="081A4BA8" w14:textId="77777777" w:rsidTr="00994193">
        <w:tc>
          <w:tcPr>
            <w:tcW w:w="0" w:type="auto"/>
            <w:shd w:val="clear" w:color="auto" w:fill="auto"/>
          </w:tcPr>
          <w:p w14:paraId="06B774A4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Total neutrophils (x 10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4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/ml)</w:t>
            </w:r>
          </w:p>
        </w:tc>
        <w:tc>
          <w:tcPr>
            <w:tcW w:w="0" w:type="auto"/>
            <w:shd w:val="clear" w:color="auto" w:fill="auto"/>
          </w:tcPr>
          <w:p w14:paraId="470278C4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262.4 (49.0-716.0)</w:t>
            </w:r>
          </w:p>
        </w:tc>
        <w:tc>
          <w:tcPr>
            <w:tcW w:w="0" w:type="auto"/>
            <w:shd w:val="clear" w:color="auto" w:fill="auto"/>
          </w:tcPr>
          <w:p w14:paraId="44DFD217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216 (40.6-941.8)</w:t>
            </w:r>
          </w:p>
        </w:tc>
        <w:tc>
          <w:tcPr>
            <w:tcW w:w="0" w:type="auto"/>
            <w:shd w:val="clear" w:color="auto" w:fill="auto"/>
          </w:tcPr>
          <w:p w14:paraId="598BA2DB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242.6 (74.0-1233.7)</w:t>
            </w:r>
          </w:p>
        </w:tc>
        <w:tc>
          <w:tcPr>
            <w:tcW w:w="0" w:type="auto"/>
            <w:shd w:val="clear" w:color="auto" w:fill="auto"/>
          </w:tcPr>
          <w:p w14:paraId="5CF397FA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170.1 (28.8-856.4)</w:t>
            </w:r>
          </w:p>
        </w:tc>
      </w:tr>
      <w:tr w:rsidR="00301CF5" w:rsidRPr="006563F6" w14:paraId="60441DC7" w14:textId="77777777" w:rsidTr="00994193">
        <w:tc>
          <w:tcPr>
            <w:tcW w:w="0" w:type="auto"/>
            <w:shd w:val="clear" w:color="auto" w:fill="auto"/>
          </w:tcPr>
          <w:p w14:paraId="73D52CD7" w14:textId="77777777" w:rsidR="00301CF5" w:rsidRPr="006563F6" w:rsidRDefault="00301CF5" w:rsidP="00994193">
            <w:pPr>
              <w:spacing w:line="360" w:lineRule="auto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ECP (ng/ml)</w:t>
            </w:r>
          </w:p>
        </w:tc>
        <w:tc>
          <w:tcPr>
            <w:tcW w:w="0" w:type="auto"/>
            <w:shd w:val="clear" w:color="auto" w:fill="auto"/>
          </w:tcPr>
          <w:p w14:paraId="542638E1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9.0 (2.1-34.3)</w:t>
            </w:r>
          </w:p>
        </w:tc>
        <w:tc>
          <w:tcPr>
            <w:tcW w:w="0" w:type="auto"/>
            <w:shd w:val="clear" w:color="auto" w:fill="auto"/>
          </w:tcPr>
          <w:p w14:paraId="5960E47B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44.6 (9.6-193.8)**</w:t>
            </w:r>
          </w:p>
        </w:tc>
        <w:tc>
          <w:tcPr>
            <w:tcW w:w="0" w:type="auto"/>
            <w:shd w:val="clear" w:color="auto" w:fill="auto"/>
          </w:tcPr>
          <w:p w14:paraId="752A2D3B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168.1 (70.3-231.9)** </w:t>
            </w:r>
          </w:p>
        </w:tc>
        <w:tc>
          <w:tcPr>
            <w:tcW w:w="0" w:type="auto"/>
            <w:shd w:val="clear" w:color="auto" w:fill="auto"/>
          </w:tcPr>
          <w:p w14:paraId="6E161582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12.1 (3.4-49.8) ††</w:t>
            </w:r>
          </w:p>
        </w:tc>
      </w:tr>
      <w:tr w:rsidR="00301CF5" w:rsidRPr="006563F6" w14:paraId="4694F4AD" w14:textId="77777777" w:rsidTr="00994193">
        <w:tc>
          <w:tcPr>
            <w:tcW w:w="0" w:type="auto"/>
            <w:shd w:val="clear" w:color="auto" w:fill="auto"/>
          </w:tcPr>
          <w:p w14:paraId="30373762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NE (µg/ml)</w:t>
            </w:r>
          </w:p>
        </w:tc>
        <w:tc>
          <w:tcPr>
            <w:tcW w:w="0" w:type="auto"/>
            <w:shd w:val="clear" w:color="auto" w:fill="auto"/>
          </w:tcPr>
          <w:p w14:paraId="51546725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43.8 (43.8-337.2)</w:t>
            </w:r>
          </w:p>
        </w:tc>
        <w:tc>
          <w:tcPr>
            <w:tcW w:w="0" w:type="auto"/>
            <w:shd w:val="clear" w:color="auto" w:fill="auto"/>
          </w:tcPr>
          <w:p w14:paraId="2E05C74A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43.8 (43.8-193.8)</w:t>
            </w:r>
          </w:p>
        </w:tc>
        <w:tc>
          <w:tcPr>
            <w:tcW w:w="0" w:type="auto"/>
            <w:shd w:val="clear" w:color="auto" w:fill="auto"/>
          </w:tcPr>
          <w:p w14:paraId="2EBB3B59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43.8 (43.8-43.8)</w:t>
            </w:r>
          </w:p>
        </w:tc>
        <w:tc>
          <w:tcPr>
            <w:tcW w:w="0" w:type="auto"/>
            <w:shd w:val="clear" w:color="auto" w:fill="auto"/>
          </w:tcPr>
          <w:p w14:paraId="5FE09A86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43.8 (43.8-316.6)</w:t>
            </w:r>
          </w:p>
        </w:tc>
      </w:tr>
      <w:tr w:rsidR="00301CF5" w:rsidRPr="006563F6" w14:paraId="7CAFEEC8" w14:textId="77777777" w:rsidTr="00994193">
        <w:tc>
          <w:tcPr>
            <w:tcW w:w="0" w:type="auto"/>
            <w:shd w:val="clear" w:color="auto" w:fill="auto"/>
          </w:tcPr>
          <w:p w14:paraId="5B7B5D33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IL-8 (ng/ml)</w:t>
            </w:r>
          </w:p>
        </w:tc>
        <w:tc>
          <w:tcPr>
            <w:tcW w:w="0" w:type="auto"/>
            <w:shd w:val="clear" w:color="auto" w:fill="auto"/>
          </w:tcPr>
          <w:p w14:paraId="26B34AE4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117.8 (36.1-342.0)</w:t>
            </w:r>
          </w:p>
        </w:tc>
        <w:tc>
          <w:tcPr>
            <w:tcW w:w="0" w:type="auto"/>
            <w:shd w:val="clear" w:color="auto" w:fill="auto"/>
          </w:tcPr>
          <w:p w14:paraId="474CCCBE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190.5 (52.1-715.9)</w:t>
            </w:r>
          </w:p>
        </w:tc>
        <w:tc>
          <w:tcPr>
            <w:tcW w:w="0" w:type="auto"/>
            <w:shd w:val="clear" w:color="auto" w:fill="auto"/>
          </w:tcPr>
          <w:p w14:paraId="68576C8A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295 (94.8-1008.8)*</w:t>
            </w:r>
          </w:p>
        </w:tc>
        <w:tc>
          <w:tcPr>
            <w:tcW w:w="0" w:type="auto"/>
            <w:shd w:val="clear" w:color="auto" w:fill="auto"/>
          </w:tcPr>
          <w:p w14:paraId="7CEBC9F6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163 (46.9-466.3)</w:t>
            </w:r>
          </w:p>
        </w:tc>
      </w:tr>
      <w:tr w:rsidR="00301CF5" w:rsidRPr="006563F6" w14:paraId="44947EDD" w14:textId="77777777" w:rsidTr="00994193">
        <w:tc>
          <w:tcPr>
            <w:tcW w:w="0" w:type="auto"/>
            <w:shd w:val="clear" w:color="auto" w:fill="auto"/>
          </w:tcPr>
          <w:p w14:paraId="046857C9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fr-FR"/>
              </w:rPr>
            </w:pPr>
            <w:r w:rsidRPr="006563F6">
              <w:rPr>
                <w:rFonts w:eastAsia="Cambria"/>
                <w:sz w:val="20"/>
                <w:szCs w:val="20"/>
                <w:lang w:val="fr-FR"/>
              </w:rPr>
              <w:t>Endotoxin (EU/ml)</w:t>
            </w:r>
          </w:p>
        </w:tc>
        <w:tc>
          <w:tcPr>
            <w:tcW w:w="0" w:type="auto"/>
            <w:shd w:val="clear" w:color="auto" w:fill="auto"/>
          </w:tcPr>
          <w:p w14:paraId="31FC6781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1.4 (0.7-2.8)</w:t>
            </w:r>
          </w:p>
        </w:tc>
        <w:tc>
          <w:tcPr>
            <w:tcW w:w="0" w:type="auto"/>
            <w:shd w:val="clear" w:color="auto" w:fill="auto"/>
          </w:tcPr>
          <w:p w14:paraId="3B1B7D28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1.2 (0.6-3.0)</w:t>
            </w:r>
          </w:p>
        </w:tc>
        <w:tc>
          <w:tcPr>
            <w:tcW w:w="0" w:type="auto"/>
            <w:shd w:val="clear" w:color="auto" w:fill="auto"/>
          </w:tcPr>
          <w:p w14:paraId="289D3156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1.4 (0.6-3.0)</w:t>
            </w:r>
          </w:p>
        </w:tc>
        <w:tc>
          <w:tcPr>
            <w:tcW w:w="0" w:type="auto"/>
            <w:shd w:val="clear" w:color="auto" w:fill="auto"/>
          </w:tcPr>
          <w:p w14:paraId="317A86DC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1.1 (0.5-2.3)</w:t>
            </w:r>
          </w:p>
        </w:tc>
      </w:tr>
      <w:tr w:rsidR="00301CF5" w:rsidRPr="006563F6" w14:paraId="53962437" w14:textId="77777777" w:rsidTr="00994193">
        <w:tc>
          <w:tcPr>
            <w:tcW w:w="0" w:type="auto"/>
            <w:shd w:val="clear" w:color="auto" w:fill="auto"/>
          </w:tcPr>
          <w:p w14:paraId="0FD3AF11" w14:textId="77777777" w:rsidR="00301CF5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mbria"/>
                <w:sz w:val="20"/>
                <w:szCs w:val="20"/>
                <w:lang w:val="fr-FR"/>
              </w:rPr>
              <w:t>Squamous cells (%)</w:t>
            </w:r>
          </w:p>
          <w:p w14:paraId="46EFDD4B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B094FF9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7.6 (4.1-23.0)</w:t>
            </w:r>
          </w:p>
        </w:tc>
        <w:tc>
          <w:tcPr>
            <w:tcW w:w="0" w:type="auto"/>
            <w:shd w:val="clear" w:color="auto" w:fill="auto"/>
          </w:tcPr>
          <w:p w14:paraId="2F4DF978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13.9 (3.4-26.5)</w:t>
            </w:r>
          </w:p>
        </w:tc>
        <w:tc>
          <w:tcPr>
            <w:tcW w:w="0" w:type="auto"/>
            <w:shd w:val="clear" w:color="auto" w:fill="auto"/>
          </w:tcPr>
          <w:p w14:paraId="5D684DBA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5.9 (1.4-14.8)</w:t>
            </w:r>
          </w:p>
        </w:tc>
        <w:tc>
          <w:tcPr>
            <w:tcW w:w="0" w:type="auto"/>
            <w:shd w:val="clear" w:color="auto" w:fill="auto"/>
          </w:tcPr>
          <w:p w14:paraId="057AD04F" w14:textId="77777777" w:rsidR="00301CF5" w:rsidRPr="006563F6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22.9 (6.1-31.2)††</w:t>
            </w:r>
          </w:p>
        </w:tc>
      </w:tr>
      <w:tr w:rsidR="00301CF5" w:rsidRPr="006563F6" w14:paraId="2CFDBB57" w14:textId="77777777" w:rsidTr="00994193">
        <w:tc>
          <w:tcPr>
            <w:tcW w:w="0" w:type="auto"/>
            <w:shd w:val="clear" w:color="auto" w:fill="auto"/>
          </w:tcPr>
          <w:p w14:paraId="41F830B1" w14:textId="77777777" w:rsidR="00301CF5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mbria"/>
                <w:sz w:val="20"/>
                <w:szCs w:val="20"/>
                <w:lang w:val="fr-FR"/>
              </w:rPr>
              <w:t>Columnar epithelials (%)</w:t>
            </w:r>
          </w:p>
        </w:tc>
        <w:tc>
          <w:tcPr>
            <w:tcW w:w="0" w:type="auto"/>
            <w:shd w:val="clear" w:color="auto" w:fill="auto"/>
          </w:tcPr>
          <w:p w14:paraId="6970C08D" w14:textId="77777777" w:rsidR="00301CF5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0.0 (0.0-0.0)</w:t>
            </w:r>
          </w:p>
        </w:tc>
        <w:tc>
          <w:tcPr>
            <w:tcW w:w="0" w:type="auto"/>
            <w:shd w:val="clear" w:color="auto" w:fill="auto"/>
          </w:tcPr>
          <w:p w14:paraId="2597E1A7" w14:textId="77777777" w:rsidR="00301CF5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0.2 (0.0-0.7)**</w:t>
            </w:r>
          </w:p>
        </w:tc>
        <w:tc>
          <w:tcPr>
            <w:tcW w:w="0" w:type="auto"/>
            <w:shd w:val="clear" w:color="auto" w:fill="auto"/>
          </w:tcPr>
          <w:p w14:paraId="4EB883E2" w14:textId="77777777" w:rsidR="00301CF5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0.2 (0.0-1.0)</w:t>
            </w:r>
          </w:p>
        </w:tc>
        <w:tc>
          <w:tcPr>
            <w:tcW w:w="0" w:type="auto"/>
            <w:shd w:val="clear" w:color="auto" w:fill="auto"/>
          </w:tcPr>
          <w:p w14:paraId="17A84221" w14:textId="77777777" w:rsidR="00301CF5" w:rsidRDefault="00301CF5" w:rsidP="00994193">
            <w:pPr>
              <w:spacing w:line="360" w:lineRule="auto"/>
              <w:jc w:val="right"/>
              <w:rPr>
                <w:rFonts w:eastAsia="Cambria"/>
                <w:sz w:val="20"/>
                <w:szCs w:val="20"/>
                <w:lang w:val="en-NZ"/>
              </w:rPr>
            </w:pPr>
            <w:r>
              <w:rPr>
                <w:rFonts w:eastAsia="Cambria"/>
                <w:sz w:val="20"/>
                <w:szCs w:val="20"/>
                <w:lang w:val="en-NZ"/>
              </w:rPr>
              <w:t>0.2 (0.0-0.6)</w:t>
            </w:r>
          </w:p>
        </w:tc>
      </w:tr>
    </w:tbl>
    <w:p w14:paraId="1D08B9CC" w14:textId="77777777" w:rsidR="00301CF5" w:rsidRDefault="00301CF5">
      <w:pPr>
        <w:spacing w:after="200" w:line="276" w:lineRule="auto"/>
      </w:pPr>
      <w:r>
        <w:br w:type="page"/>
      </w: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4500"/>
        <w:gridCol w:w="1620"/>
        <w:gridCol w:w="1800"/>
        <w:gridCol w:w="2340"/>
      </w:tblGrid>
      <w:tr w:rsidR="00301CF5" w:rsidRPr="006563F6" w14:paraId="5AA5551E" w14:textId="77777777" w:rsidTr="00994193">
        <w:tc>
          <w:tcPr>
            <w:tcW w:w="10260" w:type="dxa"/>
            <w:gridSpan w:val="4"/>
            <w:shd w:val="clear" w:color="auto" w:fill="auto"/>
          </w:tcPr>
          <w:p w14:paraId="72CC7BA2" w14:textId="77777777" w:rsidR="00301CF5" w:rsidRPr="006563F6" w:rsidRDefault="00301CF5" w:rsidP="00994193">
            <w:pPr>
              <w:rPr>
                <w:rFonts w:eastAsia="Cambria"/>
                <w:lang w:val="en-NZ"/>
              </w:rPr>
            </w:pPr>
            <w:r w:rsidRPr="006563F6">
              <w:rPr>
                <w:rFonts w:eastAsia="Cambria"/>
                <w:b/>
                <w:sz w:val="22"/>
                <w:szCs w:val="22"/>
                <w:lang w:val="en-NZ"/>
              </w:rPr>
              <w:lastRenderedPageBreak/>
              <w:t xml:space="preserve">TABLE 3. 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>Differences in clinical characteristics between eosinophilic and non-eosinophilic asthmatics. Analyses were adjusted for age, sex and ethnicity.</w:t>
            </w:r>
            <w:r w:rsidRPr="006563F6">
              <w:rPr>
                <w:rFonts w:eastAsia="Cambria"/>
                <w:b/>
                <w:sz w:val="22"/>
                <w:szCs w:val="22"/>
                <w:lang w:val="en-NZ"/>
              </w:rPr>
              <w:t xml:space="preserve"> 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* P&lt;0.05; ** P&lt;0.01; </w:t>
            </w:r>
            <w:r w:rsidRPr="006563F6">
              <w:rPr>
                <w:rFonts w:eastAsia="Cambria"/>
                <w:sz w:val="22"/>
                <w:szCs w:val="22"/>
                <w:vertAlign w:val="superscript"/>
                <w:lang w:val="en-NZ"/>
              </w:rPr>
              <w:t>a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 positive SPT against one or more common allergens. </w:t>
            </w:r>
            <w:r w:rsidRPr="006563F6">
              <w:rPr>
                <w:rFonts w:eastAsia="Cambria"/>
                <w:sz w:val="22"/>
                <w:szCs w:val="22"/>
                <w:vertAlign w:val="superscript"/>
                <w:lang w:val="en-NZ"/>
              </w:rPr>
              <w:t>b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 </w:t>
            </w:r>
            <w:r w:rsidRPr="006563F6">
              <w:rPr>
                <w:rFonts w:eastAsia="Cambria"/>
                <w:sz w:val="22"/>
                <w:szCs w:val="22"/>
              </w:rPr>
              <w:t>≥15% drop in FEV</w:t>
            </w:r>
            <w:r w:rsidRPr="006563F6">
              <w:rPr>
                <w:rFonts w:eastAsia="Cambria"/>
                <w:sz w:val="22"/>
                <w:szCs w:val="22"/>
                <w:vertAlign w:val="subscript"/>
              </w:rPr>
              <w:t>1</w:t>
            </w:r>
            <w:r w:rsidRPr="006563F6">
              <w:rPr>
                <w:rFonts w:eastAsia="Cambria"/>
                <w:sz w:val="22"/>
                <w:szCs w:val="22"/>
              </w:rPr>
              <w:t xml:space="preserve"> from baseline following a 4.5% saline challenge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. </w:t>
            </w:r>
            <w:r w:rsidRPr="006563F6">
              <w:rPr>
                <w:rFonts w:eastAsia="Cambria"/>
                <w:sz w:val="22"/>
                <w:szCs w:val="22"/>
                <w:vertAlign w:val="superscript"/>
                <w:lang w:val="en-NZ"/>
              </w:rPr>
              <w:t>c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 xml:space="preserve"> ORs were undefined because either all or none of the subjects in the EA group were positive for the specific symptom or condition</w:t>
            </w:r>
          </w:p>
          <w:p w14:paraId="29AFDC5B" w14:textId="77777777" w:rsidR="00301CF5" w:rsidRPr="006563F6" w:rsidRDefault="00301CF5" w:rsidP="00994193">
            <w:pPr>
              <w:rPr>
                <w:rFonts w:eastAsia="Cambria"/>
                <w:b/>
                <w:lang w:val="en-NZ"/>
              </w:rPr>
            </w:pPr>
          </w:p>
        </w:tc>
      </w:tr>
      <w:tr w:rsidR="00301CF5" w:rsidRPr="006563F6" w14:paraId="454CFE14" w14:textId="77777777" w:rsidTr="00994193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F335F" w14:textId="77777777" w:rsidR="00301CF5" w:rsidRPr="006563F6" w:rsidRDefault="00301CF5" w:rsidP="00994193">
            <w:pPr>
              <w:rPr>
                <w:rFonts w:eastAsia="Cambria"/>
                <w:b/>
                <w:sz w:val="20"/>
                <w:szCs w:val="20"/>
                <w:lang w:val="en-NZ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8454" w14:textId="77777777" w:rsidR="00301CF5" w:rsidRPr="006563F6" w:rsidRDefault="00301CF5" w:rsidP="00994193">
            <w:pPr>
              <w:jc w:val="center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Eosinophilic asthmatics (EA), N=35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B4290" w14:textId="77777777" w:rsidR="00301CF5" w:rsidRPr="006563F6" w:rsidRDefault="00301CF5" w:rsidP="00994193">
            <w:pPr>
              <w:jc w:val="center"/>
              <w:rPr>
                <w:rFonts w:eastAsia="Cambria"/>
                <w:b/>
                <w:sz w:val="20"/>
                <w:szCs w:val="20"/>
                <w:lang w:val="fr-FR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fr-FR"/>
              </w:rPr>
              <w:t>Non-eosinophilic asthmatics (NEA), N=42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5630E" w14:textId="77777777" w:rsidR="00301CF5" w:rsidRPr="006563F6" w:rsidRDefault="00301CF5" w:rsidP="00994193">
            <w:pPr>
              <w:jc w:val="center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NEA versus EA</w:t>
            </w:r>
          </w:p>
          <w:p w14:paraId="4A65FAA2" w14:textId="77777777" w:rsidR="00301CF5" w:rsidRPr="006563F6" w:rsidRDefault="00301CF5" w:rsidP="00994193">
            <w:pPr>
              <w:jc w:val="center"/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>N=77</w:t>
            </w:r>
          </w:p>
        </w:tc>
      </w:tr>
      <w:tr w:rsidR="00301CF5" w:rsidRPr="006563F6" w14:paraId="69D858A5" w14:textId="77777777" w:rsidTr="00994193"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14:paraId="35BC2E51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F49A63B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Mean (SD)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77ADFE1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Mean (SD)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FEB884A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∆ %-predicted (95% CI)</w:t>
            </w:r>
          </w:p>
        </w:tc>
      </w:tr>
      <w:tr w:rsidR="00301CF5" w:rsidRPr="006563F6" w14:paraId="26309168" w14:textId="77777777" w:rsidTr="00994193">
        <w:tc>
          <w:tcPr>
            <w:tcW w:w="4500" w:type="dxa"/>
            <w:shd w:val="clear" w:color="auto" w:fill="auto"/>
          </w:tcPr>
          <w:p w14:paraId="2BCDA302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Lung function</w:t>
            </w:r>
          </w:p>
          <w:p w14:paraId="0AF3613E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 xml:space="preserve">     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FVC %-predicted</w:t>
            </w:r>
          </w:p>
          <w:p w14:paraId="35E62F03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b/>
                <w:sz w:val="20"/>
                <w:szCs w:val="20"/>
                <w:lang w:val="en-NZ"/>
              </w:rPr>
              <w:t xml:space="preserve">     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FEV</w:t>
            </w:r>
            <w:r w:rsidRPr="006563F6">
              <w:rPr>
                <w:rFonts w:eastAsia="Cambria"/>
                <w:sz w:val="20"/>
                <w:szCs w:val="20"/>
                <w:vertAlign w:val="subscript"/>
                <w:lang w:val="en-NZ"/>
              </w:rPr>
              <w:t>1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%-predicted </w:t>
            </w:r>
          </w:p>
          <w:p w14:paraId="5AA6555D" w14:textId="77777777" w:rsidR="00301CF5" w:rsidRPr="006563F6" w:rsidRDefault="00301CF5" w:rsidP="00994193">
            <w:pPr>
              <w:rPr>
                <w:rFonts w:eastAsia="Cambria"/>
                <w:b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FEV</w:t>
            </w:r>
            <w:r w:rsidRPr="006563F6">
              <w:rPr>
                <w:rFonts w:eastAsia="Cambria"/>
                <w:sz w:val="20"/>
                <w:szCs w:val="20"/>
                <w:vertAlign w:val="subscript"/>
                <w:lang w:val="en-NZ"/>
              </w:rPr>
              <w:t>1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/FVC %-predicted</w:t>
            </w:r>
          </w:p>
        </w:tc>
        <w:tc>
          <w:tcPr>
            <w:tcW w:w="1620" w:type="dxa"/>
            <w:shd w:val="clear" w:color="auto" w:fill="auto"/>
          </w:tcPr>
          <w:p w14:paraId="3A25B15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312422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102.0 (14.1)</w:t>
            </w:r>
          </w:p>
          <w:p w14:paraId="7E80DEA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93.8 (10.6)</w:t>
            </w:r>
          </w:p>
          <w:p w14:paraId="30EAC2FA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92.5 (7.3)</w:t>
            </w:r>
          </w:p>
        </w:tc>
        <w:tc>
          <w:tcPr>
            <w:tcW w:w="1800" w:type="dxa"/>
            <w:shd w:val="clear" w:color="auto" w:fill="auto"/>
          </w:tcPr>
          <w:p w14:paraId="3946B2AF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6841B07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102.5 (11.8)</w:t>
            </w:r>
          </w:p>
          <w:p w14:paraId="3B1B138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98.6 (12.5)</w:t>
            </w:r>
          </w:p>
          <w:p w14:paraId="18C9F80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96.1 (8.1)</w:t>
            </w:r>
          </w:p>
        </w:tc>
        <w:tc>
          <w:tcPr>
            <w:tcW w:w="2340" w:type="dxa"/>
            <w:shd w:val="clear" w:color="auto" w:fill="auto"/>
          </w:tcPr>
          <w:p w14:paraId="173C8B9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08C40D6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0.5 (-5.4 – 6.4)</w:t>
            </w:r>
          </w:p>
          <w:p w14:paraId="6442F152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4.8 (-0.5 – 10.1)</w:t>
            </w:r>
          </w:p>
          <w:p w14:paraId="7730CCDF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3.6 (0.01 – 7.1)*</w:t>
            </w:r>
          </w:p>
        </w:tc>
      </w:tr>
      <w:tr w:rsidR="00301CF5" w:rsidRPr="006563F6" w14:paraId="4C2EF771" w14:textId="77777777" w:rsidTr="00994193">
        <w:trPr>
          <w:trHeight w:val="568"/>
        </w:trPr>
        <w:tc>
          <w:tcPr>
            <w:tcW w:w="4500" w:type="dxa"/>
            <w:shd w:val="clear" w:color="auto" w:fill="auto"/>
          </w:tcPr>
          <w:p w14:paraId="30470924" w14:textId="77777777" w:rsidR="00301CF5" w:rsidRPr="006563F6" w:rsidRDefault="00301CF5" w:rsidP="00994193">
            <w:pPr>
              <w:rPr>
                <w:rFonts w:eastAsia="Cambria"/>
                <w:b/>
                <w:sz w:val="20"/>
                <w:szCs w:val="20"/>
                <w:lang w:val="en-NZ"/>
              </w:rPr>
            </w:pPr>
          </w:p>
        </w:tc>
        <w:tc>
          <w:tcPr>
            <w:tcW w:w="1620" w:type="dxa"/>
            <w:shd w:val="clear" w:color="auto" w:fill="auto"/>
          </w:tcPr>
          <w:p w14:paraId="3036730F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</w:p>
          <w:p w14:paraId="33E8DD24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07788DFD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</w:p>
          <w:p w14:paraId="36EBE992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%</w:t>
            </w:r>
          </w:p>
        </w:tc>
        <w:tc>
          <w:tcPr>
            <w:tcW w:w="2340" w:type="dxa"/>
            <w:shd w:val="clear" w:color="auto" w:fill="auto"/>
          </w:tcPr>
          <w:p w14:paraId="136C4488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</w:p>
          <w:p w14:paraId="3B8DDB9D" w14:textId="77777777" w:rsidR="00301CF5" w:rsidRPr="006563F6" w:rsidRDefault="00301CF5" w:rsidP="00994193">
            <w:pPr>
              <w:jc w:val="center"/>
              <w:rPr>
                <w:rFonts w:eastAsia="Cambria"/>
                <w:i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OR (95% CI)</w:t>
            </w:r>
          </w:p>
        </w:tc>
      </w:tr>
      <w:tr w:rsidR="00301CF5" w:rsidRPr="006563F6" w14:paraId="5790ECEE" w14:textId="77777777" w:rsidTr="00994193">
        <w:tc>
          <w:tcPr>
            <w:tcW w:w="4500" w:type="dxa"/>
            <w:shd w:val="clear" w:color="auto" w:fill="auto"/>
          </w:tcPr>
          <w:p w14:paraId="40D788FC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Atopy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27AF0AB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100.0</w:t>
            </w:r>
          </w:p>
        </w:tc>
        <w:tc>
          <w:tcPr>
            <w:tcW w:w="1800" w:type="dxa"/>
            <w:shd w:val="clear" w:color="auto" w:fill="auto"/>
          </w:tcPr>
          <w:p w14:paraId="013A8F7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64.3</w:t>
            </w:r>
          </w:p>
        </w:tc>
        <w:tc>
          <w:tcPr>
            <w:tcW w:w="2340" w:type="dxa"/>
            <w:shd w:val="clear" w:color="auto" w:fill="auto"/>
          </w:tcPr>
          <w:p w14:paraId="3E9E3CD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vertAlign w:val="superscript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undefined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c</w:t>
            </w:r>
          </w:p>
        </w:tc>
      </w:tr>
      <w:tr w:rsidR="00301CF5" w:rsidRPr="006563F6" w14:paraId="0084F6B9" w14:textId="77777777" w:rsidTr="00994193">
        <w:tc>
          <w:tcPr>
            <w:tcW w:w="4500" w:type="dxa"/>
            <w:shd w:val="clear" w:color="auto" w:fill="auto"/>
          </w:tcPr>
          <w:p w14:paraId="6DDE502F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Airway hyperreactivity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b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04B7003B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57.1</w:t>
            </w:r>
          </w:p>
        </w:tc>
        <w:tc>
          <w:tcPr>
            <w:tcW w:w="1800" w:type="dxa"/>
            <w:shd w:val="clear" w:color="auto" w:fill="auto"/>
          </w:tcPr>
          <w:p w14:paraId="7B90934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42.9</w:t>
            </w:r>
          </w:p>
        </w:tc>
        <w:tc>
          <w:tcPr>
            <w:tcW w:w="2340" w:type="dxa"/>
            <w:shd w:val="clear" w:color="auto" w:fill="auto"/>
          </w:tcPr>
          <w:p w14:paraId="746FCFD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0.5 (0.2 - 1.2)</w:t>
            </w:r>
          </w:p>
        </w:tc>
      </w:tr>
      <w:tr w:rsidR="00301CF5" w:rsidRPr="006563F6" w14:paraId="25CBE01A" w14:textId="77777777" w:rsidTr="00994193">
        <w:trPr>
          <w:trHeight w:val="1948"/>
        </w:trPr>
        <w:tc>
          <w:tcPr>
            <w:tcW w:w="4500" w:type="dxa"/>
            <w:shd w:val="clear" w:color="auto" w:fill="auto"/>
          </w:tcPr>
          <w:p w14:paraId="07F9D0AE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Asthma medication</w:t>
            </w:r>
          </w:p>
          <w:p w14:paraId="15C762E7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No asthma medication in last 12 months </w:t>
            </w:r>
          </w:p>
          <w:p w14:paraId="1D2A0608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ICS in the last 12 months </w:t>
            </w:r>
          </w:p>
          <w:p w14:paraId="70363563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ICS in the last 2 weeks </w:t>
            </w:r>
          </w:p>
          <w:p w14:paraId="6AAAFC4E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β2-agonist in the last 12 months </w:t>
            </w:r>
          </w:p>
          <w:p w14:paraId="3C9E1CC5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    β2-agonist ≥ once a day in last 2 weeks </w:t>
            </w:r>
          </w:p>
        </w:tc>
        <w:tc>
          <w:tcPr>
            <w:tcW w:w="1620" w:type="dxa"/>
            <w:shd w:val="clear" w:color="auto" w:fill="auto"/>
          </w:tcPr>
          <w:p w14:paraId="18C282A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791A959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</w:t>
            </w:r>
          </w:p>
          <w:p w14:paraId="0BE9645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74.3</w:t>
            </w:r>
          </w:p>
          <w:p w14:paraId="13BA8CE9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48.6</w:t>
            </w:r>
          </w:p>
          <w:p w14:paraId="76BC886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100.0</w:t>
            </w:r>
          </w:p>
          <w:p w14:paraId="39CAD03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65.7</w:t>
            </w:r>
          </w:p>
        </w:tc>
        <w:tc>
          <w:tcPr>
            <w:tcW w:w="1800" w:type="dxa"/>
            <w:shd w:val="clear" w:color="auto" w:fill="auto"/>
          </w:tcPr>
          <w:p w14:paraId="34A3536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78C38CCD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23.8</w:t>
            </w:r>
          </w:p>
          <w:p w14:paraId="00FD946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54.8</w:t>
            </w:r>
          </w:p>
          <w:p w14:paraId="1B32031D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31.0</w:t>
            </w:r>
          </w:p>
          <w:p w14:paraId="68AE3A0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69.1</w:t>
            </w:r>
          </w:p>
          <w:p w14:paraId="7EF47F8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42.9</w:t>
            </w:r>
          </w:p>
        </w:tc>
        <w:tc>
          <w:tcPr>
            <w:tcW w:w="2340" w:type="dxa"/>
            <w:shd w:val="clear" w:color="auto" w:fill="auto"/>
          </w:tcPr>
          <w:p w14:paraId="04CE79DA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00255F1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vertAlign w:val="superscript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undefined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c</w:t>
            </w:r>
          </w:p>
          <w:p w14:paraId="34BCAB8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 (0.1 - 1.2)</w:t>
            </w:r>
          </w:p>
          <w:p w14:paraId="450C1A4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0.6 (0.2 - 1.5)</w:t>
            </w:r>
          </w:p>
          <w:p w14:paraId="7C59EB2A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vertAlign w:val="superscript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undefined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c</w:t>
            </w:r>
          </w:p>
          <w:p w14:paraId="209F996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 (0.2 - 1.1</w:t>
            </w:r>
          </w:p>
        </w:tc>
      </w:tr>
      <w:tr w:rsidR="00301CF5" w:rsidRPr="006563F6" w14:paraId="7AF7C7E1" w14:textId="77777777" w:rsidTr="00994193">
        <w:tc>
          <w:tcPr>
            <w:tcW w:w="4500" w:type="dxa"/>
            <w:shd w:val="clear" w:color="auto" w:fill="auto"/>
          </w:tcPr>
          <w:p w14:paraId="19611253" w14:textId="77777777" w:rsidR="00301CF5" w:rsidRPr="006563F6" w:rsidRDefault="00301CF5" w:rsidP="00994193">
            <w:pPr>
              <w:keepNext/>
              <w:spacing w:before="240" w:after="60"/>
              <w:outlineLvl w:val="1"/>
              <w:rPr>
                <w:rFonts w:eastAsia="Times New Roman"/>
                <w:bCs/>
                <w:iCs/>
                <w:sz w:val="20"/>
                <w:szCs w:val="20"/>
                <w:lang w:val="en-US" w:eastAsia="en-US" w:bidi="en-US"/>
              </w:rPr>
            </w:pPr>
            <w:r w:rsidRPr="006563F6">
              <w:rPr>
                <w:rFonts w:eastAsia="Times New Roman"/>
                <w:bCs/>
                <w:iCs/>
                <w:sz w:val="20"/>
                <w:szCs w:val="20"/>
                <w:lang w:val="en-US" w:eastAsia="en-US" w:bidi="en-US"/>
              </w:rPr>
              <w:t>Wheezing attacks in the last 12 months</w:t>
            </w:r>
          </w:p>
          <w:p w14:paraId="3C08BB91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 w:eastAsia="en-US"/>
              </w:rPr>
            </w:pPr>
            <w:r w:rsidRPr="006563F6">
              <w:rPr>
                <w:rFonts w:eastAsia="Cambria"/>
                <w:sz w:val="20"/>
                <w:szCs w:val="20"/>
                <w:lang w:val="en-NZ" w:eastAsia="en-US"/>
              </w:rPr>
              <w:t xml:space="preserve">     0-3 times </w:t>
            </w:r>
          </w:p>
          <w:p w14:paraId="3610731B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 w:eastAsia="en-US"/>
              </w:rPr>
            </w:pPr>
            <w:r w:rsidRPr="006563F6">
              <w:rPr>
                <w:rFonts w:eastAsia="Cambria"/>
                <w:sz w:val="20"/>
                <w:szCs w:val="20"/>
                <w:lang w:val="en-NZ" w:eastAsia="en-US"/>
              </w:rPr>
              <w:t xml:space="preserve">     4-12 times </w:t>
            </w:r>
          </w:p>
          <w:p w14:paraId="301CACF3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lang w:val="en-NZ" w:eastAsia="en-US"/>
              </w:rPr>
            </w:pPr>
            <w:r w:rsidRPr="006563F6">
              <w:rPr>
                <w:rFonts w:eastAsia="Cambria"/>
                <w:sz w:val="20"/>
                <w:szCs w:val="20"/>
                <w:lang w:val="en-NZ" w:eastAsia="en-US"/>
              </w:rPr>
              <w:t xml:space="preserve">     &gt;12 times </w:t>
            </w:r>
          </w:p>
        </w:tc>
        <w:tc>
          <w:tcPr>
            <w:tcW w:w="1620" w:type="dxa"/>
            <w:shd w:val="clear" w:color="auto" w:fill="auto"/>
          </w:tcPr>
          <w:p w14:paraId="5723AD7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0EC250C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60.0</w:t>
            </w:r>
          </w:p>
          <w:p w14:paraId="4FA18BA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31.4</w:t>
            </w:r>
          </w:p>
          <w:p w14:paraId="037769B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8.6</w:t>
            </w:r>
          </w:p>
        </w:tc>
        <w:tc>
          <w:tcPr>
            <w:tcW w:w="1800" w:type="dxa"/>
            <w:shd w:val="clear" w:color="auto" w:fill="auto"/>
          </w:tcPr>
          <w:p w14:paraId="171EBE5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1177C51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66.7</w:t>
            </w:r>
          </w:p>
          <w:p w14:paraId="3AD044B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16.7</w:t>
            </w:r>
          </w:p>
          <w:p w14:paraId="62E9000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16.7</w:t>
            </w:r>
          </w:p>
        </w:tc>
        <w:tc>
          <w:tcPr>
            <w:tcW w:w="2340" w:type="dxa"/>
            <w:shd w:val="clear" w:color="auto" w:fill="auto"/>
          </w:tcPr>
          <w:p w14:paraId="1FB263A2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19A510F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1.7 (0.6 - 4.6)</w:t>
            </w:r>
          </w:p>
          <w:p w14:paraId="6C87FE9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 (0.1 - 1.4)</w:t>
            </w:r>
          </w:p>
          <w:p w14:paraId="383F99B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1.3 (0.3 - 6.0</w:t>
            </w:r>
          </w:p>
        </w:tc>
      </w:tr>
      <w:tr w:rsidR="00301CF5" w:rsidRPr="006563F6" w14:paraId="656EB48C" w14:textId="77777777" w:rsidTr="00994193">
        <w:tc>
          <w:tcPr>
            <w:tcW w:w="4500" w:type="dxa"/>
            <w:shd w:val="clear" w:color="auto" w:fill="auto"/>
          </w:tcPr>
          <w:p w14:paraId="0EBC05DE" w14:textId="77777777" w:rsidR="00301CF5" w:rsidRPr="006563F6" w:rsidRDefault="00301CF5" w:rsidP="00994193">
            <w:pPr>
              <w:rPr>
                <w:rFonts w:eastAsia="Arial"/>
                <w:bCs/>
                <w:color w:val="000000"/>
                <w:sz w:val="20"/>
                <w:szCs w:val="20"/>
                <w:lang w:val="en-NZ" w:eastAsia="en-US"/>
              </w:rPr>
            </w:pPr>
            <w:r w:rsidRPr="006563F6">
              <w:rPr>
                <w:rFonts w:eastAsia="Arial"/>
                <w:bCs/>
                <w:color w:val="000000"/>
                <w:sz w:val="20"/>
                <w:szCs w:val="20"/>
                <w:lang w:val="en-NZ" w:eastAsia="en-US"/>
              </w:rPr>
              <w:t>Sleep disturbance due to wheeze in last 12 months (nights/week)</w:t>
            </w:r>
          </w:p>
          <w:p w14:paraId="5E39C454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Never </w:t>
            </w:r>
          </w:p>
          <w:p w14:paraId="692DAA92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&lt; than once a week </w:t>
            </w:r>
          </w:p>
          <w:p w14:paraId="17F59E00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≥ once a week </w:t>
            </w:r>
          </w:p>
        </w:tc>
        <w:tc>
          <w:tcPr>
            <w:tcW w:w="1620" w:type="dxa"/>
            <w:shd w:val="clear" w:color="auto" w:fill="auto"/>
          </w:tcPr>
          <w:p w14:paraId="44BB1C4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9378A3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42BDED9E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54.3</w:t>
            </w:r>
          </w:p>
          <w:p w14:paraId="0B51A27D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40.0</w:t>
            </w:r>
          </w:p>
          <w:p w14:paraId="55D351F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5.7</w:t>
            </w:r>
          </w:p>
        </w:tc>
        <w:tc>
          <w:tcPr>
            <w:tcW w:w="1800" w:type="dxa"/>
            <w:shd w:val="clear" w:color="auto" w:fill="auto"/>
          </w:tcPr>
          <w:p w14:paraId="26FBCE7D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252D6AE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A69E89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66.7</w:t>
            </w:r>
          </w:p>
          <w:p w14:paraId="2C0BF0A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31.0</w:t>
            </w:r>
          </w:p>
          <w:p w14:paraId="611CC2D6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2.4</w:t>
            </w:r>
          </w:p>
        </w:tc>
        <w:tc>
          <w:tcPr>
            <w:tcW w:w="2340" w:type="dxa"/>
            <w:shd w:val="clear" w:color="auto" w:fill="auto"/>
          </w:tcPr>
          <w:p w14:paraId="276B691B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EABF0B9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053EC0BA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2.1 (0.8 – 5.6)</w:t>
            </w:r>
          </w:p>
          <w:p w14:paraId="5374590A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0.6 (0.2 – 1.7)</w:t>
            </w:r>
          </w:p>
          <w:p w14:paraId="3188BAB0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 (0.0 – 5.2)</w:t>
            </w:r>
          </w:p>
        </w:tc>
      </w:tr>
      <w:tr w:rsidR="00301CF5" w:rsidRPr="006563F6" w14:paraId="7F01BB3C" w14:textId="77777777" w:rsidTr="00994193">
        <w:tc>
          <w:tcPr>
            <w:tcW w:w="4500" w:type="dxa"/>
            <w:shd w:val="clear" w:color="auto" w:fill="auto"/>
          </w:tcPr>
          <w:p w14:paraId="63114B0E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>Speech limited by wheeze in last 12 months</w:t>
            </w:r>
          </w:p>
        </w:tc>
        <w:tc>
          <w:tcPr>
            <w:tcW w:w="1620" w:type="dxa"/>
            <w:shd w:val="clear" w:color="auto" w:fill="auto"/>
          </w:tcPr>
          <w:p w14:paraId="29793D04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28.6</w:t>
            </w:r>
          </w:p>
        </w:tc>
        <w:tc>
          <w:tcPr>
            <w:tcW w:w="1800" w:type="dxa"/>
            <w:shd w:val="clear" w:color="auto" w:fill="auto"/>
          </w:tcPr>
          <w:p w14:paraId="2B268FA2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19.1</w:t>
            </w:r>
          </w:p>
        </w:tc>
        <w:tc>
          <w:tcPr>
            <w:tcW w:w="2340" w:type="dxa"/>
            <w:shd w:val="clear" w:color="auto" w:fill="auto"/>
          </w:tcPr>
          <w:p w14:paraId="0160F0C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0.5 (0.2 - 1.6)</w:t>
            </w:r>
          </w:p>
        </w:tc>
      </w:tr>
      <w:tr w:rsidR="00301CF5" w:rsidRPr="006563F6" w14:paraId="288CCF24" w14:textId="77777777" w:rsidTr="00994193">
        <w:tc>
          <w:tcPr>
            <w:tcW w:w="4500" w:type="dxa"/>
            <w:shd w:val="clear" w:color="auto" w:fill="auto"/>
          </w:tcPr>
          <w:p w14:paraId="0078EECE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  <w:vertAlign w:val="superscript"/>
              </w:rPr>
            </w:pPr>
            <w:r w:rsidRPr="006563F6">
              <w:rPr>
                <w:rFonts w:eastAsia="Cambria"/>
                <w:sz w:val="20"/>
                <w:szCs w:val="20"/>
              </w:rPr>
              <w:t>Asthma severity</w:t>
            </w:r>
          </w:p>
          <w:p w14:paraId="3A6DF32F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 Mild </w:t>
            </w:r>
          </w:p>
          <w:p w14:paraId="27171B35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 Moderate </w:t>
            </w:r>
          </w:p>
          <w:p w14:paraId="3C7B89FC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  Severe </w:t>
            </w:r>
          </w:p>
        </w:tc>
        <w:tc>
          <w:tcPr>
            <w:tcW w:w="1620" w:type="dxa"/>
            <w:shd w:val="clear" w:color="auto" w:fill="auto"/>
          </w:tcPr>
          <w:p w14:paraId="6A695832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66695339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17.1</w:t>
            </w:r>
          </w:p>
          <w:p w14:paraId="71AAA279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34.3</w:t>
            </w:r>
          </w:p>
          <w:p w14:paraId="3A27E3F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48.6</w:t>
            </w:r>
          </w:p>
        </w:tc>
        <w:tc>
          <w:tcPr>
            <w:tcW w:w="1800" w:type="dxa"/>
            <w:shd w:val="clear" w:color="auto" w:fill="auto"/>
          </w:tcPr>
          <w:p w14:paraId="27610C5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123336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21.4</w:t>
            </w:r>
          </w:p>
          <w:p w14:paraId="4E76FEE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45.2</w:t>
            </w:r>
          </w:p>
          <w:p w14:paraId="461DEEF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33.3</w:t>
            </w:r>
          </w:p>
        </w:tc>
        <w:tc>
          <w:tcPr>
            <w:tcW w:w="2340" w:type="dxa"/>
            <w:shd w:val="clear" w:color="auto" w:fill="auto"/>
          </w:tcPr>
          <w:p w14:paraId="0566182F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38BA865C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1.7 (0.5 – 6.1)</w:t>
            </w:r>
          </w:p>
          <w:p w14:paraId="66C1559B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1.7 (0.6 – 4.7)</w:t>
            </w:r>
          </w:p>
          <w:p w14:paraId="21FE0183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 (0.2 – 1.2)</w:t>
            </w:r>
          </w:p>
        </w:tc>
      </w:tr>
      <w:tr w:rsidR="00301CF5" w:rsidRPr="006563F6" w14:paraId="2E768B09" w14:textId="77777777" w:rsidTr="00994193"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3CF355AB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>Asthma persistence</w:t>
            </w:r>
          </w:p>
          <w:p w14:paraId="5E2A66CC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Intermittent</w:t>
            </w:r>
          </w:p>
          <w:p w14:paraId="1BB68C9C" w14:textId="77777777" w:rsidR="00301CF5" w:rsidRPr="006563F6" w:rsidRDefault="00301CF5" w:rsidP="00994193">
            <w:pPr>
              <w:rPr>
                <w:rFonts w:eastAsia="Cambria"/>
                <w:sz w:val="20"/>
                <w:szCs w:val="20"/>
              </w:rPr>
            </w:pPr>
            <w:r w:rsidRPr="006563F6">
              <w:rPr>
                <w:rFonts w:eastAsia="Cambria"/>
                <w:sz w:val="20"/>
                <w:szCs w:val="20"/>
              </w:rPr>
              <w:t xml:space="preserve">   Persistent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53CF0BF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4DECB27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48.6</w:t>
            </w:r>
          </w:p>
          <w:p w14:paraId="0C8677D7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51.4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DB01DF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087A62AD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57.1</w:t>
            </w:r>
          </w:p>
          <w:p w14:paraId="5A28476F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42.9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6495D31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</w:p>
          <w:p w14:paraId="578901E8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1.5 (0.6 – 3.9)</w:t>
            </w:r>
          </w:p>
          <w:p w14:paraId="3E1B0AB5" w14:textId="77777777" w:rsidR="00301CF5" w:rsidRPr="006563F6" w:rsidRDefault="00301CF5" w:rsidP="00994193">
            <w:pPr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0.7 (0.3 – 1.8)</w:t>
            </w:r>
          </w:p>
        </w:tc>
      </w:tr>
    </w:tbl>
    <w:p w14:paraId="14C0A479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  <w:lang w:val="en-NZ"/>
        </w:rPr>
      </w:pPr>
      <w:r w:rsidRPr="006563F6">
        <w:rPr>
          <w:rFonts w:eastAsia="Cambria"/>
          <w:sz w:val="22"/>
          <w:szCs w:val="22"/>
          <w:vertAlign w:val="superscript"/>
          <w:lang w:val="en-NZ"/>
        </w:rPr>
        <w:t>a</w:t>
      </w:r>
      <w:r w:rsidRPr="006563F6">
        <w:rPr>
          <w:rFonts w:eastAsia="Cambria"/>
          <w:sz w:val="22"/>
          <w:szCs w:val="22"/>
          <w:lang w:val="en-NZ"/>
        </w:rPr>
        <w:t xml:space="preserve"> positive SPT against one or more common allergens </w:t>
      </w:r>
    </w:p>
    <w:p w14:paraId="3D728562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  <w:lang w:val="en-NZ"/>
        </w:rPr>
      </w:pPr>
      <w:r w:rsidRPr="006563F6">
        <w:rPr>
          <w:rFonts w:eastAsia="Cambria"/>
          <w:sz w:val="22"/>
          <w:szCs w:val="22"/>
          <w:vertAlign w:val="superscript"/>
          <w:lang w:val="en-NZ"/>
        </w:rPr>
        <w:t>b</w:t>
      </w:r>
      <w:r w:rsidRPr="006563F6">
        <w:rPr>
          <w:rFonts w:eastAsia="Cambria"/>
          <w:sz w:val="22"/>
          <w:szCs w:val="22"/>
          <w:lang w:val="en-NZ"/>
        </w:rPr>
        <w:t xml:space="preserve"> </w:t>
      </w:r>
      <w:r w:rsidRPr="006563F6">
        <w:rPr>
          <w:rFonts w:eastAsia="Cambria"/>
          <w:sz w:val="22"/>
          <w:szCs w:val="22"/>
        </w:rPr>
        <w:t>≥15% drop in FEV</w:t>
      </w:r>
      <w:r w:rsidRPr="006563F6">
        <w:rPr>
          <w:rFonts w:eastAsia="Cambria"/>
          <w:sz w:val="22"/>
          <w:szCs w:val="22"/>
          <w:vertAlign w:val="subscript"/>
        </w:rPr>
        <w:t>1</w:t>
      </w:r>
      <w:r w:rsidRPr="006563F6">
        <w:rPr>
          <w:rFonts w:eastAsia="Cambria"/>
          <w:sz w:val="22"/>
          <w:szCs w:val="22"/>
        </w:rPr>
        <w:t xml:space="preserve"> from baseline following a 4.5% saline challenge</w:t>
      </w:r>
    </w:p>
    <w:p w14:paraId="6D73C8C1" w14:textId="77777777" w:rsidR="00301CF5" w:rsidRPr="006563F6" w:rsidRDefault="00301CF5" w:rsidP="00994193">
      <w:pPr>
        <w:spacing w:after="200" w:line="276" w:lineRule="auto"/>
        <w:rPr>
          <w:rFonts w:asciiTheme="minorHAnsi" w:hAnsiTheme="minorHAnsi" w:cstheme="minorBidi"/>
          <w:sz w:val="22"/>
          <w:szCs w:val="22"/>
          <w:lang w:val="en-NZ" w:eastAsia="en-US"/>
        </w:rPr>
      </w:pPr>
    </w:p>
    <w:p w14:paraId="0DE9913F" w14:textId="77777777" w:rsidR="00301CF5" w:rsidRDefault="00301CF5" w:rsidP="00994193">
      <w:pPr>
        <w:ind w:left="720" w:hanging="720"/>
        <w:sectPr w:rsidR="00301CF5" w:rsidSect="00994193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200" w:type="dxa"/>
        <w:tblInd w:w="-972" w:type="dxa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800"/>
        <w:gridCol w:w="1620"/>
        <w:gridCol w:w="1800"/>
        <w:gridCol w:w="1800"/>
        <w:gridCol w:w="1620"/>
        <w:gridCol w:w="1440"/>
      </w:tblGrid>
      <w:tr w:rsidR="00301CF5" w:rsidRPr="006563F6" w14:paraId="77B364A6" w14:textId="77777777" w:rsidTr="00994193">
        <w:tc>
          <w:tcPr>
            <w:tcW w:w="16200" w:type="dxa"/>
            <w:gridSpan w:val="9"/>
            <w:shd w:val="clear" w:color="auto" w:fill="auto"/>
          </w:tcPr>
          <w:p w14:paraId="5475DE8D" w14:textId="77777777" w:rsidR="00301CF5" w:rsidRPr="006563F6" w:rsidRDefault="00301CF5" w:rsidP="00994193">
            <w:pPr>
              <w:ind w:left="-720" w:right="-982" w:firstLine="720"/>
              <w:rPr>
                <w:rFonts w:eastAsia="Cambria"/>
                <w:lang w:val="en-NZ"/>
              </w:rPr>
            </w:pPr>
            <w:r w:rsidRPr="006563F6">
              <w:rPr>
                <w:rFonts w:eastAsia="Cambria"/>
                <w:b/>
                <w:sz w:val="22"/>
                <w:szCs w:val="22"/>
                <w:lang w:val="en-NZ"/>
              </w:rPr>
              <w:lastRenderedPageBreak/>
              <w:t xml:space="preserve">TABLE 4: </w:t>
            </w:r>
            <w:r w:rsidRPr="006563F6">
              <w:rPr>
                <w:rFonts w:eastAsia="Cambria"/>
                <w:sz w:val="22"/>
                <w:szCs w:val="22"/>
                <w:lang w:val="en-NZ"/>
              </w:rPr>
              <w:t>Associations between cell, cytokine, and LPS levels in sputum and clinical characteristics. Analyses were adjusted for age, sex and ethnicity.</w:t>
            </w:r>
          </w:p>
          <w:p w14:paraId="48E797B2" w14:textId="77777777" w:rsidR="00301CF5" w:rsidRPr="006563F6" w:rsidRDefault="00301CF5" w:rsidP="00994193">
            <w:pPr>
              <w:ind w:left="-720" w:right="-982" w:firstLine="720"/>
              <w:rPr>
                <w:rFonts w:eastAsia="Cambria"/>
                <w:b/>
                <w:lang w:val="en-NZ"/>
              </w:rPr>
            </w:pPr>
          </w:p>
        </w:tc>
      </w:tr>
      <w:tr w:rsidR="00301CF5" w:rsidRPr="006563F6" w14:paraId="44C85601" w14:textId="77777777" w:rsidTr="00994193"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38291E1B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4B792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% Eosinophils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313A3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Total Eosinophils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52584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% Neutrophils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EF80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Total Neutrophils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E455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ECP (ng/ml)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5AC2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Neutrophil elastase (µg/ml)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6A211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IL-8 (ng/ml)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414A2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LPS (EU/ml)</w:t>
            </w:r>
          </w:p>
        </w:tc>
      </w:tr>
      <w:tr w:rsidR="00301CF5" w:rsidRPr="006563F6" w14:paraId="00371352" w14:textId="77777777" w:rsidTr="00994193">
        <w:tc>
          <w:tcPr>
            <w:tcW w:w="2520" w:type="dxa"/>
            <w:shd w:val="clear" w:color="auto" w:fill="auto"/>
          </w:tcPr>
          <w:p w14:paraId="54984552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</w:p>
        </w:tc>
        <w:tc>
          <w:tcPr>
            <w:tcW w:w="1368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0A83646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i/>
                <w:sz w:val="20"/>
                <w:szCs w:val="20"/>
                <w:vertAlign w:val="superscript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Regression coefficients (95% CI)</w:t>
            </w:r>
            <w:r w:rsidRPr="006563F6">
              <w:rPr>
                <w:rFonts w:eastAsia="Cambria"/>
                <w:i/>
                <w:sz w:val="20"/>
                <w:szCs w:val="20"/>
                <w:vertAlign w:val="superscript"/>
                <w:lang w:val="en-NZ"/>
              </w:rPr>
              <w:t>c</w:t>
            </w:r>
          </w:p>
        </w:tc>
      </w:tr>
      <w:tr w:rsidR="00301CF5" w:rsidRPr="006563F6" w14:paraId="432EBEC5" w14:textId="77777777" w:rsidTr="00994193">
        <w:trPr>
          <w:trHeight w:val="231"/>
        </w:trPr>
        <w:tc>
          <w:tcPr>
            <w:tcW w:w="2520" w:type="dxa"/>
            <w:shd w:val="clear" w:color="auto" w:fill="auto"/>
          </w:tcPr>
          <w:p w14:paraId="5BECD5E1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FVC %-predicted</w:t>
            </w:r>
          </w:p>
        </w:tc>
        <w:tc>
          <w:tcPr>
            <w:tcW w:w="1800" w:type="dxa"/>
            <w:shd w:val="clear" w:color="auto" w:fill="auto"/>
          </w:tcPr>
          <w:p w14:paraId="27D5EF35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-0.27 </w:t>
            </w:r>
          </w:p>
          <w:p w14:paraId="55469DA4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(-1.42 - 0.89)</w:t>
            </w:r>
          </w:p>
        </w:tc>
        <w:tc>
          <w:tcPr>
            <w:tcW w:w="1800" w:type="dxa"/>
            <w:shd w:val="clear" w:color="auto" w:fill="auto"/>
          </w:tcPr>
          <w:p w14:paraId="111A912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-0.05</w:t>
            </w:r>
          </w:p>
          <w:p w14:paraId="433FEA6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(-0.16 - 0.06)</w:t>
            </w:r>
          </w:p>
        </w:tc>
        <w:tc>
          <w:tcPr>
            <w:tcW w:w="1800" w:type="dxa"/>
            <w:shd w:val="clear" w:color="auto" w:fill="auto"/>
          </w:tcPr>
          <w:p w14:paraId="060F30D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0.53</w:t>
            </w:r>
          </w:p>
          <w:p w14:paraId="0FD1FC15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(0.13 – 0.92)**</w:t>
            </w:r>
          </w:p>
        </w:tc>
        <w:tc>
          <w:tcPr>
            <w:tcW w:w="1620" w:type="dxa"/>
            <w:shd w:val="clear" w:color="auto" w:fill="auto"/>
          </w:tcPr>
          <w:p w14:paraId="05C05FC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0.00</w:t>
            </w:r>
          </w:p>
          <w:p w14:paraId="402777A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(-0.00 – 0.01)</w:t>
            </w:r>
          </w:p>
        </w:tc>
        <w:tc>
          <w:tcPr>
            <w:tcW w:w="1800" w:type="dxa"/>
            <w:shd w:val="clear" w:color="auto" w:fill="auto"/>
          </w:tcPr>
          <w:p w14:paraId="45267FD6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0.28</w:t>
            </w:r>
          </w:p>
          <w:p w14:paraId="71030EB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(-1.11 – 1.66)</w:t>
            </w:r>
          </w:p>
        </w:tc>
        <w:tc>
          <w:tcPr>
            <w:tcW w:w="1800" w:type="dxa"/>
            <w:shd w:val="clear" w:color="auto" w:fill="auto"/>
          </w:tcPr>
          <w:p w14:paraId="1D58FB8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0.03</w:t>
            </w:r>
          </w:p>
          <w:p w14:paraId="79B6D4A4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(-0.00 – 0.07)</w:t>
            </w:r>
          </w:p>
        </w:tc>
        <w:tc>
          <w:tcPr>
            <w:tcW w:w="1620" w:type="dxa"/>
            <w:shd w:val="clear" w:color="auto" w:fill="auto"/>
          </w:tcPr>
          <w:p w14:paraId="76088CE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0.09</w:t>
            </w:r>
          </w:p>
          <w:p w14:paraId="4112D83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(-0.00 – 0.18)</w:t>
            </w:r>
          </w:p>
        </w:tc>
        <w:tc>
          <w:tcPr>
            <w:tcW w:w="1440" w:type="dxa"/>
            <w:shd w:val="clear" w:color="auto" w:fill="auto"/>
          </w:tcPr>
          <w:p w14:paraId="0AFE2694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-0.14</w:t>
            </w:r>
          </w:p>
          <w:p w14:paraId="531AB8C2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(-0.34 – 0.07)</w:t>
            </w:r>
          </w:p>
        </w:tc>
      </w:tr>
      <w:tr w:rsidR="00301CF5" w:rsidRPr="006563F6" w14:paraId="0ABD82DF" w14:textId="77777777" w:rsidTr="00994193">
        <w:trPr>
          <w:trHeight w:val="144"/>
        </w:trPr>
        <w:tc>
          <w:tcPr>
            <w:tcW w:w="2520" w:type="dxa"/>
            <w:shd w:val="clear" w:color="auto" w:fill="auto"/>
          </w:tcPr>
          <w:p w14:paraId="735972AA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FEV</w:t>
            </w:r>
            <w:r w:rsidRPr="006563F6">
              <w:rPr>
                <w:rFonts w:eastAsia="Cambria"/>
                <w:sz w:val="20"/>
                <w:szCs w:val="20"/>
                <w:vertAlign w:val="subscript"/>
                <w:lang w:val="en-NZ"/>
              </w:rPr>
              <w:t>1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%-predicted</w:t>
            </w:r>
          </w:p>
        </w:tc>
        <w:tc>
          <w:tcPr>
            <w:tcW w:w="1800" w:type="dxa"/>
            <w:shd w:val="clear" w:color="auto" w:fill="auto"/>
          </w:tcPr>
          <w:p w14:paraId="4990E19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-0.56</w:t>
            </w:r>
          </w:p>
          <w:p w14:paraId="562A2A4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(-1.64 – 0.51)</w:t>
            </w:r>
          </w:p>
        </w:tc>
        <w:tc>
          <w:tcPr>
            <w:tcW w:w="1800" w:type="dxa"/>
            <w:shd w:val="clear" w:color="auto" w:fill="auto"/>
          </w:tcPr>
          <w:p w14:paraId="2AA3CA65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-0.10</w:t>
            </w:r>
          </w:p>
          <w:p w14:paraId="689842C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(-0.21 -</w:t>
            </w:r>
            <w:r w:rsidR="001621F8">
              <w:rPr>
                <w:rFonts w:eastAsia="Cambria"/>
                <w:sz w:val="20"/>
                <w:szCs w:val="20"/>
                <w:lang w:val="en-NZ"/>
              </w:rPr>
              <w:t>-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0.01)</w:t>
            </w:r>
            <w:r w:rsidR="001621F8">
              <w:rPr>
                <w:rFonts w:eastAsia="Cambria"/>
                <w:sz w:val="20"/>
                <w:szCs w:val="20"/>
                <w:lang w:val="en-NZ"/>
              </w:rPr>
              <w:t>*</w:t>
            </w:r>
          </w:p>
        </w:tc>
        <w:tc>
          <w:tcPr>
            <w:tcW w:w="1800" w:type="dxa"/>
            <w:shd w:val="clear" w:color="auto" w:fill="auto"/>
          </w:tcPr>
          <w:p w14:paraId="3447C8E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0.45</w:t>
            </w:r>
          </w:p>
          <w:p w14:paraId="40F4221C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(0.08 – 0.83)*</w:t>
            </w:r>
          </w:p>
        </w:tc>
        <w:tc>
          <w:tcPr>
            <w:tcW w:w="1620" w:type="dxa"/>
            <w:shd w:val="clear" w:color="auto" w:fill="auto"/>
          </w:tcPr>
          <w:p w14:paraId="70CD693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0.00</w:t>
            </w:r>
          </w:p>
          <w:p w14:paraId="134AED34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(-0.00 – 0.01)</w:t>
            </w:r>
          </w:p>
        </w:tc>
        <w:tc>
          <w:tcPr>
            <w:tcW w:w="1800" w:type="dxa"/>
            <w:shd w:val="clear" w:color="auto" w:fill="auto"/>
          </w:tcPr>
          <w:p w14:paraId="3C7AA59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-0.55</w:t>
            </w:r>
          </w:p>
          <w:p w14:paraId="482FEA4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(-1.85 – 0.75</w:t>
            </w:r>
            <w:r w:rsidR="001621F8">
              <w:rPr>
                <w:rFonts w:eastAsia="Cambria"/>
                <w:sz w:val="20"/>
                <w:szCs w:val="20"/>
                <w:lang w:val="en-NZ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13A62E7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-0.00</w:t>
            </w:r>
          </w:p>
          <w:p w14:paraId="67F126F6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(-0.04 – 0.03)</w:t>
            </w:r>
          </w:p>
        </w:tc>
        <w:tc>
          <w:tcPr>
            <w:tcW w:w="1620" w:type="dxa"/>
            <w:shd w:val="clear" w:color="auto" w:fill="auto"/>
          </w:tcPr>
          <w:p w14:paraId="29708CB3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0.04</w:t>
            </w:r>
          </w:p>
          <w:p w14:paraId="5DD286F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(-0.05 – 0.12)</w:t>
            </w:r>
          </w:p>
        </w:tc>
        <w:tc>
          <w:tcPr>
            <w:tcW w:w="1440" w:type="dxa"/>
            <w:shd w:val="clear" w:color="auto" w:fill="auto"/>
          </w:tcPr>
          <w:p w14:paraId="7091A18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-0.12</w:t>
            </w:r>
          </w:p>
          <w:p w14:paraId="1DEF91E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(-0.31 – 0.08)</w:t>
            </w:r>
          </w:p>
        </w:tc>
      </w:tr>
      <w:tr w:rsidR="00301CF5" w:rsidRPr="006563F6" w14:paraId="15222488" w14:textId="77777777" w:rsidTr="00994193">
        <w:trPr>
          <w:trHeight w:val="168"/>
        </w:trPr>
        <w:tc>
          <w:tcPr>
            <w:tcW w:w="2520" w:type="dxa"/>
            <w:shd w:val="clear" w:color="auto" w:fill="auto"/>
          </w:tcPr>
          <w:p w14:paraId="235255B8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FEV</w:t>
            </w:r>
            <w:r w:rsidRPr="006563F6">
              <w:rPr>
                <w:rFonts w:eastAsia="Cambria"/>
                <w:sz w:val="20"/>
                <w:szCs w:val="20"/>
                <w:vertAlign w:val="subscript"/>
                <w:lang w:val="en-NZ"/>
              </w:rPr>
              <w:t>1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>/FVC %-predicted</w:t>
            </w:r>
          </w:p>
        </w:tc>
        <w:tc>
          <w:tcPr>
            <w:tcW w:w="1800" w:type="dxa"/>
            <w:shd w:val="clear" w:color="auto" w:fill="auto"/>
          </w:tcPr>
          <w:p w14:paraId="28AF29D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-0.25</w:t>
            </w:r>
          </w:p>
          <w:p w14:paraId="62E6021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(-0.98 – 0.48)</w:t>
            </w:r>
          </w:p>
        </w:tc>
        <w:tc>
          <w:tcPr>
            <w:tcW w:w="1800" w:type="dxa"/>
            <w:shd w:val="clear" w:color="auto" w:fill="auto"/>
          </w:tcPr>
          <w:p w14:paraId="2CEA068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-0.05</w:t>
            </w:r>
          </w:p>
          <w:p w14:paraId="2909B719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(-0.12 – 0.03)</w:t>
            </w:r>
          </w:p>
        </w:tc>
        <w:tc>
          <w:tcPr>
            <w:tcW w:w="1800" w:type="dxa"/>
            <w:shd w:val="clear" w:color="auto" w:fill="auto"/>
          </w:tcPr>
          <w:p w14:paraId="74C2013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EE5112">
              <w:rPr>
                <w:rFonts w:eastAsia="Cambria"/>
                <w:sz w:val="20"/>
                <w:szCs w:val="20"/>
                <w:lang w:val="en-NZ"/>
              </w:rPr>
              <w:t>-0.03</w:t>
            </w:r>
          </w:p>
          <w:p w14:paraId="51B476B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(-0.29 – 0.23)</w:t>
            </w:r>
          </w:p>
        </w:tc>
        <w:tc>
          <w:tcPr>
            <w:tcW w:w="1620" w:type="dxa"/>
            <w:shd w:val="clear" w:color="auto" w:fill="auto"/>
          </w:tcPr>
          <w:p w14:paraId="133C0482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0.00</w:t>
            </w:r>
          </w:p>
          <w:p w14:paraId="0085AC86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(-0.01 – 0.01)</w:t>
            </w:r>
          </w:p>
        </w:tc>
        <w:tc>
          <w:tcPr>
            <w:tcW w:w="1800" w:type="dxa"/>
            <w:shd w:val="clear" w:color="auto" w:fill="auto"/>
          </w:tcPr>
          <w:p w14:paraId="2338341F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-0.76</w:t>
            </w:r>
          </w:p>
          <w:p w14:paraId="3E345FE1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(-1.64 - 0.12)</w:t>
            </w:r>
          </w:p>
        </w:tc>
        <w:tc>
          <w:tcPr>
            <w:tcW w:w="1800" w:type="dxa"/>
            <w:shd w:val="clear" w:color="auto" w:fill="auto"/>
          </w:tcPr>
          <w:p w14:paraId="7A4F1F2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-0.03</w:t>
            </w:r>
          </w:p>
          <w:p w14:paraId="486C012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(-0.06 - -0.01)*</w:t>
            </w:r>
          </w:p>
        </w:tc>
        <w:tc>
          <w:tcPr>
            <w:tcW w:w="1620" w:type="dxa"/>
            <w:shd w:val="clear" w:color="auto" w:fill="auto"/>
          </w:tcPr>
          <w:p w14:paraId="7275F0B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-0.04</w:t>
            </w:r>
          </w:p>
          <w:p w14:paraId="319F8BDF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(-0.10 – 0.02)</w:t>
            </w:r>
          </w:p>
        </w:tc>
        <w:tc>
          <w:tcPr>
            <w:tcW w:w="1440" w:type="dxa"/>
            <w:shd w:val="clear" w:color="auto" w:fill="auto"/>
          </w:tcPr>
          <w:p w14:paraId="50C5AE45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0.02</w:t>
            </w:r>
          </w:p>
          <w:p w14:paraId="4ABB791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(-0.11 – 0.16)</w:t>
            </w:r>
          </w:p>
        </w:tc>
      </w:tr>
      <w:tr w:rsidR="00301CF5" w:rsidRPr="006563F6" w14:paraId="656718C5" w14:textId="77777777" w:rsidTr="00994193">
        <w:trPr>
          <w:trHeight w:val="165"/>
        </w:trPr>
        <w:tc>
          <w:tcPr>
            <w:tcW w:w="2520" w:type="dxa"/>
            <w:shd w:val="clear" w:color="auto" w:fill="auto"/>
          </w:tcPr>
          <w:p w14:paraId="59E02476" w14:textId="77777777" w:rsidR="00301CF5" w:rsidRPr="006563F6" w:rsidRDefault="00301CF5" w:rsidP="00994193">
            <w:pPr>
              <w:spacing w:line="360" w:lineRule="auto"/>
              <w:rPr>
                <w:rFonts w:eastAsia="Cambria"/>
                <w:b/>
                <w:sz w:val="20"/>
                <w:szCs w:val="20"/>
                <w:lang w:val="en-NZ"/>
              </w:rPr>
            </w:pPr>
          </w:p>
        </w:tc>
        <w:tc>
          <w:tcPr>
            <w:tcW w:w="13680" w:type="dxa"/>
            <w:gridSpan w:val="8"/>
            <w:shd w:val="clear" w:color="auto" w:fill="auto"/>
          </w:tcPr>
          <w:p w14:paraId="06E39F68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i/>
                <w:sz w:val="20"/>
                <w:szCs w:val="20"/>
                <w:vertAlign w:val="superscript"/>
                <w:lang w:val="en-NZ"/>
              </w:rPr>
            </w:pPr>
            <w:r w:rsidRPr="006563F6">
              <w:rPr>
                <w:rFonts w:eastAsia="Cambria"/>
                <w:i/>
                <w:sz w:val="20"/>
                <w:szCs w:val="20"/>
                <w:lang w:val="en-NZ"/>
              </w:rPr>
              <w:t>OR (95% CI)</w:t>
            </w:r>
            <w:r w:rsidRPr="006563F6">
              <w:rPr>
                <w:rFonts w:eastAsia="Cambria"/>
                <w:i/>
                <w:sz w:val="20"/>
                <w:szCs w:val="20"/>
                <w:vertAlign w:val="superscript"/>
                <w:lang w:val="en-NZ"/>
              </w:rPr>
              <w:t>d</w:t>
            </w:r>
          </w:p>
        </w:tc>
      </w:tr>
      <w:tr w:rsidR="00301CF5" w:rsidRPr="006563F6" w14:paraId="6C92852A" w14:textId="77777777" w:rsidTr="00994193">
        <w:tc>
          <w:tcPr>
            <w:tcW w:w="2520" w:type="dxa"/>
            <w:shd w:val="clear" w:color="auto" w:fill="auto"/>
          </w:tcPr>
          <w:p w14:paraId="3F2E1C0D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Atopy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a</w:t>
            </w:r>
          </w:p>
        </w:tc>
        <w:tc>
          <w:tcPr>
            <w:tcW w:w="1800" w:type="dxa"/>
            <w:shd w:val="clear" w:color="auto" w:fill="auto"/>
          </w:tcPr>
          <w:p w14:paraId="66F6FA6F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31.74</w:t>
            </w:r>
          </w:p>
          <w:p w14:paraId="2BF25AC1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(2.55 – 394.35)**</w:t>
            </w:r>
          </w:p>
        </w:tc>
        <w:tc>
          <w:tcPr>
            <w:tcW w:w="1800" w:type="dxa"/>
            <w:shd w:val="clear" w:color="auto" w:fill="auto"/>
          </w:tcPr>
          <w:p w14:paraId="0B905D35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1.18</w:t>
            </w:r>
          </w:p>
          <w:p w14:paraId="3C546B7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(1.01 – 1.36)*</w:t>
            </w:r>
          </w:p>
        </w:tc>
        <w:tc>
          <w:tcPr>
            <w:tcW w:w="1800" w:type="dxa"/>
            <w:shd w:val="clear" w:color="auto" w:fill="auto"/>
          </w:tcPr>
          <w:p w14:paraId="0DAC347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0.95</w:t>
            </w:r>
          </w:p>
          <w:p w14:paraId="22665AF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(0.88-1.03)</w:t>
            </w:r>
          </w:p>
        </w:tc>
        <w:tc>
          <w:tcPr>
            <w:tcW w:w="1620" w:type="dxa"/>
            <w:shd w:val="clear" w:color="auto" w:fill="auto"/>
          </w:tcPr>
          <w:p w14:paraId="4BBD122B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2F6EE44C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(1.00 – 1.00)</w:t>
            </w:r>
          </w:p>
        </w:tc>
        <w:tc>
          <w:tcPr>
            <w:tcW w:w="1800" w:type="dxa"/>
            <w:shd w:val="clear" w:color="auto" w:fill="auto"/>
          </w:tcPr>
          <w:p w14:paraId="4C3907EF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1.60</w:t>
            </w:r>
          </w:p>
          <w:p w14:paraId="42F22AE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(0.97 – 2.63)</w:t>
            </w:r>
          </w:p>
        </w:tc>
        <w:tc>
          <w:tcPr>
            <w:tcW w:w="1800" w:type="dxa"/>
            <w:shd w:val="clear" w:color="auto" w:fill="auto"/>
          </w:tcPr>
          <w:p w14:paraId="5F639F0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0BD9A119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(1.00 – 1.01)</w:t>
            </w:r>
          </w:p>
        </w:tc>
        <w:tc>
          <w:tcPr>
            <w:tcW w:w="1620" w:type="dxa"/>
            <w:shd w:val="clear" w:color="auto" w:fill="auto"/>
          </w:tcPr>
          <w:p w14:paraId="3705FAB9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7B705F59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(1.00 – 1.02)</w:t>
            </w:r>
          </w:p>
        </w:tc>
        <w:tc>
          <w:tcPr>
            <w:tcW w:w="1440" w:type="dxa"/>
            <w:shd w:val="clear" w:color="auto" w:fill="auto"/>
          </w:tcPr>
          <w:p w14:paraId="2106D8DD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1.03</w:t>
            </w:r>
          </w:p>
          <w:p w14:paraId="1EBA4FC2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(0.95 – 1.11)</w:t>
            </w:r>
          </w:p>
        </w:tc>
      </w:tr>
      <w:tr w:rsidR="00301CF5" w:rsidRPr="006563F6" w14:paraId="5C9F48E2" w14:textId="77777777" w:rsidTr="00994193"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C0B853B" w14:textId="77777777" w:rsidR="00301CF5" w:rsidRPr="006563F6" w:rsidRDefault="00301CF5" w:rsidP="00994193">
            <w:pPr>
              <w:spacing w:line="360" w:lineRule="auto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Airway hyperreactivity</w:t>
            </w:r>
            <w:r w:rsidRPr="006563F6">
              <w:rPr>
                <w:rFonts w:eastAsia="Cambria"/>
                <w:sz w:val="20"/>
                <w:szCs w:val="20"/>
                <w:vertAlign w:val="superscript"/>
                <w:lang w:val="en-NZ"/>
              </w:rPr>
              <w:t>b</w:t>
            </w:r>
            <w:r w:rsidRPr="006563F6">
              <w:rPr>
                <w:rFonts w:eastAsia="Cambria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10314B4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1.25</w:t>
            </w:r>
          </w:p>
          <w:p w14:paraId="1E3E294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(0.99 – 1.58)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1C2C4F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0.99</w:t>
            </w:r>
          </w:p>
          <w:p w14:paraId="380A08D9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(0.97 – 1.02)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402489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0.98</w:t>
            </w:r>
          </w:p>
          <w:p w14:paraId="16A8C2CC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(0.90 – 1.06)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345C713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06F3223C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(1.00 – 1.00)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87514B7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1.12</w:t>
            </w:r>
          </w:p>
          <w:p w14:paraId="7EA87DCE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(0.88– 1.43)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0EF331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13869D98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(1.00 – 1.00)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E588D36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1.00</w:t>
            </w:r>
          </w:p>
          <w:p w14:paraId="162E24EA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(0.96 – 1.01)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34AE5C0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0.99</w:t>
            </w:r>
          </w:p>
          <w:p w14:paraId="6B5CA7D3" w14:textId="77777777" w:rsidR="00301CF5" w:rsidRPr="006563F6" w:rsidRDefault="00301CF5" w:rsidP="00994193">
            <w:pPr>
              <w:spacing w:line="360" w:lineRule="auto"/>
              <w:jc w:val="center"/>
              <w:rPr>
                <w:rFonts w:eastAsia="Cambria"/>
                <w:sz w:val="20"/>
                <w:szCs w:val="20"/>
                <w:lang w:val="en-NZ"/>
              </w:rPr>
            </w:pPr>
            <w:r w:rsidRPr="006563F6">
              <w:rPr>
                <w:rFonts w:eastAsia="Cambria"/>
                <w:sz w:val="20"/>
                <w:szCs w:val="20"/>
                <w:lang w:val="en-NZ"/>
              </w:rPr>
              <w:t>(0.95 – 1.03)</w:t>
            </w:r>
          </w:p>
        </w:tc>
      </w:tr>
    </w:tbl>
    <w:p w14:paraId="65BBE0FD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  <w:lang w:val="en-NZ"/>
        </w:rPr>
      </w:pPr>
      <w:r w:rsidRPr="006563F6">
        <w:rPr>
          <w:rFonts w:eastAsia="Cambria"/>
          <w:sz w:val="22"/>
          <w:szCs w:val="22"/>
          <w:lang w:val="en-NZ"/>
        </w:rPr>
        <w:t xml:space="preserve">* P&lt;0.05; ** P&lt;0.01. </w:t>
      </w:r>
      <w:r w:rsidRPr="006563F6">
        <w:rPr>
          <w:rFonts w:eastAsia="Cambria"/>
          <w:sz w:val="22"/>
          <w:szCs w:val="22"/>
          <w:vertAlign w:val="superscript"/>
          <w:lang w:val="en-NZ"/>
        </w:rPr>
        <w:t>a</w:t>
      </w:r>
      <w:r w:rsidRPr="006563F6">
        <w:rPr>
          <w:rFonts w:eastAsia="Cambria"/>
          <w:sz w:val="22"/>
          <w:szCs w:val="22"/>
          <w:lang w:val="en-NZ"/>
        </w:rPr>
        <w:t xml:space="preserve"> positive SPT against one or more common allergens </w:t>
      </w:r>
    </w:p>
    <w:p w14:paraId="73B33069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  <w:lang w:val="en-NZ"/>
        </w:rPr>
      </w:pPr>
      <w:r w:rsidRPr="006563F6">
        <w:rPr>
          <w:rFonts w:eastAsia="Cambria"/>
          <w:sz w:val="22"/>
          <w:szCs w:val="22"/>
          <w:vertAlign w:val="superscript"/>
          <w:lang w:val="en-NZ"/>
        </w:rPr>
        <w:t>b</w:t>
      </w:r>
      <w:r w:rsidRPr="006563F6">
        <w:rPr>
          <w:rFonts w:eastAsia="Cambria"/>
          <w:sz w:val="22"/>
          <w:szCs w:val="22"/>
          <w:lang w:val="en-NZ"/>
        </w:rPr>
        <w:t xml:space="preserve"> </w:t>
      </w:r>
      <w:r w:rsidRPr="006563F6">
        <w:rPr>
          <w:rFonts w:eastAsia="Cambria"/>
          <w:sz w:val="22"/>
          <w:szCs w:val="22"/>
        </w:rPr>
        <w:t>≥15% drop in FEV</w:t>
      </w:r>
      <w:r w:rsidRPr="006563F6">
        <w:rPr>
          <w:rFonts w:eastAsia="Cambria"/>
          <w:sz w:val="22"/>
          <w:szCs w:val="22"/>
          <w:vertAlign w:val="subscript"/>
        </w:rPr>
        <w:t>1</w:t>
      </w:r>
      <w:r w:rsidRPr="006563F6">
        <w:rPr>
          <w:rFonts w:eastAsia="Cambria"/>
          <w:sz w:val="22"/>
          <w:szCs w:val="22"/>
        </w:rPr>
        <w:t xml:space="preserve"> from baseline following a 4.5% saline challenge</w:t>
      </w:r>
    </w:p>
    <w:p w14:paraId="3C551891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  <w:lang w:val="en-NZ"/>
        </w:rPr>
      </w:pPr>
      <w:r w:rsidRPr="006563F6">
        <w:rPr>
          <w:rFonts w:eastAsia="Cambria"/>
          <w:sz w:val="22"/>
          <w:szCs w:val="22"/>
          <w:vertAlign w:val="superscript"/>
        </w:rPr>
        <w:t>c</w:t>
      </w:r>
      <w:r w:rsidRPr="006563F6">
        <w:rPr>
          <w:rFonts w:eastAsia="Cambria"/>
          <w:sz w:val="22"/>
          <w:szCs w:val="22"/>
        </w:rPr>
        <w:t xml:space="preserve"> Decrease/Increase in % predicted lung function per 5% cells, 10 units of total cells, 100 units of ECP and IL-8, 10 units of NE, or one unit of LPS</w:t>
      </w:r>
    </w:p>
    <w:p w14:paraId="279C4639" w14:textId="77777777" w:rsidR="00301CF5" w:rsidRPr="006563F6" w:rsidRDefault="00301CF5" w:rsidP="00994193">
      <w:pPr>
        <w:ind w:left="-720" w:right="-982"/>
        <w:rPr>
          <w:rFonts w:eastAsia="Cambria"/>
          <w:sz w:val="22"/>
          <w:szCs w:val="22"/>
        </w:rPr>
      </w:pPr>
      <w:r w:rsidRPr="006563F6">
        <w:rPr>
          <w:rFonts w:eastAsia="Cambria"/>
          <w:sz w:val="22"/>
          <w:szCs w:val="22"/>
          <w:vertAlign w:val="superscript"/>
        </w:rPr>
        <w:t>d</w:t>
      </w:r>
      <w:r w:rsidRPr="006563F6">
        <w:rPr>
          <w:rFonts w:eastAsia="Cambria"/>
          <w:sz w:val="22"/>
          <w:szCs w:val="22"/>
        </w:rPr>
        <w:t xml:space="preserve"> Decrease/Increase in risk per 5% cells, 10 units of total cells, 100 units of ECP and IL-8, 10 units of  NE, or one unit of LPS</w:t>
      </w:r>
    </w:p>
    <w:p w14:paraId="313EC07D" w14:textId="77777777" w:rsidR="00E60C23" w:rsidRDefault="00E60C23" w:rsidP="00130527">
      <w:pPr>
        <w:spacing w:after="200" w:line="276" w:lineRule="auto"/>
      </w:pPr>
    </w:p>
    <w:sectPr w:rsidR="00E60C23" w:rsidSect="00E60C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D995" w14:textId="77777777" w:rsidR="00DB7239" w:rsidRDefault="00DB7239" w:rsidP="002E433C">
      <w:r>
        <w:separator/>
      </w:r>
    </w:p>
  </w:endnote>
  <w:endnote w:type="continuationSeparator" w:id="0">
    <w:p w14:paraId="7FBE332D" w14:textId="77777777" w:rsidR="00DB7239" w:rsidRDefault="00DB7239" w:rsidP="002E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832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1820" w14:textId="77777777" w:rsidR="00743CEB" w:rsidRDefault="00743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44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FAF4D81" w14:textId="77777777" w:rsidR="00743CEB" w:rsidRDefault="00743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EB44" w14:textId="77777777" w:rsidR="00DB7239" w:rsidRDefault="00DB7239" w:rsidP="002E433C">
      <w:r>
        <w:separator/>
      </w:r>
    </w:p>
  </w:footnote>
  <w:footnote w:type="continuationSeparator" w:id="0">
    <w:p w14:paraId="14B4D161" w14:textId="77777777" w:rsidR="00DB7239" w:rsidRDefault="00DB7239" w:rsidP="002E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301CF5"/>
    <w:rsid w:val="000006FF"/>
    <w:rsid w:val="000034E9"/>
    <w:rsid w:val="0003202E"/>
    <w:rsid w:val="000B6894"/>
    <w:rsid w:val="000D00B0"/>
    <w:rsid w:val="000D1B4B"/>
    <w:rsid w:val="000D5369"/>
    <w:rsid w:val="000E155D"/>
    <w:rsid w:val="000E1B6F"/>
    <w:rsid w:val="00110A11"/>
    <w:rsid w:val="0012186D"/>
    <w:rsid w:val="00125032"/>
    <w:rsid w:val="00130527"/>
    <w:rsid w:val="00130880"/>
    <w:rsid w:val="001621F8"/>
    <w:rsid w:val="00171836"/>
    <w:rsid w:val="0019215C"/>
    <w:rsid w:val="00195C4D"/>
    <w:rsid w:val="001B4F2F"/>
    <w:rsid w:val="001B5F96"/>
    <w:rsid w:val="001C2B74"/>
    <w:rsid w:val="001D4706"/>
    <w:rsid w:val="001E1F06"/>
    <w:rsid w:val="0021571E"/>
    <w:rsid w:val="00221DFC"/>
    <w:rsid w:val="00224DA4"/>
    <w:rsid w:val="0023255C"/>
    <w:rsid w:val="00240653"/>
    <w:rsid w:val="002552BE"/>
    <w:rsid w:val="00283F5E"/>
    <w:rsid w:val="002B27E5"/>
    <w:rsid w:val="002E433C"/>
    <w:rsid w:val="002E461F"/>
    <w:rsid w:val="00301B12"/>
    <w:rsid w:val="00301CF5"/>
    <w:rsid w:val="00323947"/>
    <w:rsid w:val="00343890"/>
    <w:rsid w:val="003637C1"/>
    <w:rsid w:val="00386E88"/>
    <w:rsid w:val="003D15C2"/>
    <w:rsid w:val="003F48DE"/>
    <w:rsid w:val="003F797E"/>
    <w:rsid w:val="00426FE8"/>
    <w:rsid w:val="00430C52"/>
    <w:rsid w:val="00436D76"/>
    <w:rsid w:val="00444BEB"/>
    <w:rsid w:val="00485EE0"/>
    <w:rsid w:val="00494C4F"/>
    <w:rsid w:val="004D65A8"/>
    <w:rsid w:val="004E3FC0"/>
    <w:rsid w:val="004F376A"/>
    <w:rsid w:val="00504177"/>
    <w:rsid w:val="00544CE9"/>
    <w:rsid w:val="0054644E"/>
    <w:rsid w:val="00551436"/>
    <w:rsid w:val="00560D59"/>
    <w:rsid w:val="00577BE0"/>
    <w:rsid w:val="00595987"/>
    <w:rsid w:val="005E59A5"/>
    <w:rsid w:val="005F195B"/>
    <w:rsid w:val="005F66B8"/>
    <w:rsid w:val="006045ED"/>
    <w:rsid w:val="006078D0"/>
    <w:rsid w:val="00612636"/>
    <w:rsid w:val="0061357D"/>
    <w:rsid w:val="00624BF8"/>
    <w:rsid w:val="00634774"/>
    <w:rsid w:val="00652029"/>
    <w:rsid w:val="00656B57"/>
    <w:rsid w:val="00656EAA"/>
    <w:rsid w:val="00670BB1"/>
    <w:rsid w:val="00677FBC"/>
    <w:rsid w:val="00696D51"/>
    <w:rsid w:val="006B388A"/>
    <w:rsid w:val="00705EA9"/>
    <w:rsid w:val="00707CF2"/>
    <w:rsid w:val="007111B4"/>
    <w:rsid w:val="0073213B"/>
    <w:rsid w:val="00740AC2"/>
    <w:rsid w:val="00743CEB"/>
    <w:rsid w:val="00757F72"/>
    <w:rsid w:val="007708DB"/>
    <w:rsid w:val="00796A36"/>
    <w:rsid w:val="0079759A"/>
    <w:rsid w:val="007A28B0"/>
    <w:rsid w:val="007A4B87"/>
    <w:rsid w:val="007C6277"/>
    <w:rsid w:val="007C74A1"/>
    <w:rsid w:val="007D5E85"/>
    <w:rsid w:val="007D73E4"/>
    <w:rsid w:val="007D79EA"/>
    <w:rsid w:val="007E166E"/>
    <w:rsid w:val="007F67C5"/>
    <w:rsid w:val="00825E8C"/>
    <w:rsid w:val="00851CA2"/>
    <w:rsid w:val="008616BD"/>
    <w:rsid w:val="008832E2"/>
    <w:rsid w:val="008861C4"/>
    <w:rsid w:val="008C4E4F"/>
    <w:rsid w:val="008C50A2"/>
    <w:rsid w:val="008D16FE"/>
    <w:rsid w:val="008D2CFA"/>
    <w:rsid w:val="008F68D4"/>
    <w:rsid w:val="00942A8E"/>
    <w:rsid w:val="009533D5"/>
    <w:rsid w:val="00985215"/>
    <w:rsid w:val="009862F1"/>
    <w:rsid w:val="00994193"/>
    <w:rsid w:val="009D7D15"/>
    <w:rsid w:val="009E7313"/>
    <w:rsid w:val="009F0444"/>
    <w:rsid w:val="00A0375B"/>
    <w:rsid w:val="00A628EB"/>
    <w:rsid w:val="00A72F69"/>
    <w:rsid w:val="00A96843"/>
    <w:rsid w:val="00A97287"/>
    <w:rsid w:val="00AB47A3"/>
    <w:rsid w:val="00AC121A"/>
    <w:rsid w:val="00AE3E16"/>
    <w:rsid w:val="00B0115F"/>
    <w:rsid w:val="00B052C9"/>
    <w:rsid w:val="00B139A6"/>
    <w:rsid w:val="00B35CD0"/>
    <w:rsid w:val="00B51E8B"/>
    <w:rsid w:val="00B5241A"/>
    <w:rsid w:val="00B6395A"/>
    <w:rsid w:val="00B77404"/>
    <w:rsid w:val="00B8298F"/>
    <w:rsid w:val="00BE645C"/>
    <w:rsid w:val="00BF6348"/>
    <w:rsid w:val="00C11B8A"/>
    <w:rsid w:val="00C1323C"/>
    <w:rsid w:val="00C418ED"/>
    <w:rsid w:val="00C50650"/>
    <w:rsid w:val="00C60660"/>
    <w:rsid w:val="00CE2025"/>
    <w:rsid w:val="00CE7782"/>
    <w:rsid w:val="00D000C1"/>
    <w:rsid w:val="00D2672D"/>
    <w:rsid w:val="00D97586"/>
    <w:rsid w:val="00DB7239"/>
    <w:rsid w:val="00DC7887"/>
    <w:rsid w:val="00E2313B"/>
    <w:rsid w:val="00E47738"/>
    <w:rsid w:val="00E60C23"/>
    <w:rsid w:val="00E82C59"/>
    <w:rsid w:val="00EA4D15"/>
    <w:rsid w:val="00EB1D83"/>
    <w:rsid w:val="00EC19A7"/>
    <w:rsid w:val="00ED4BBC"/>
    <w:rsid w:val="00EE5112"/>
    <w:rsid w:val="00F53EAF"/>
    <w:rsid w:val="00F75D5E"/>
    <w:rsid w:val="00F820BC"/>
    <w:rsid w:val="00FA5153"/>
    <w:rsid w:val="00FB4CA1"/>
    <w:rsid w:val="00FB5327"/>
    <w:rsid w:val="00FB6152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74C41"/>
  <w15:docId w15:val="{98F79BD1-F1C6-4ED1-91EF-B9C7240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F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F5"/>
    <w:pPr>
      <w:keepNext/>
      <w:spacing w:before="240" w:after="60"/>
      <w:outlineLvl w:val="0"/>
    </w:pPr>
    <w:rPr>
      <w:rFonts w:ascii="Tahoma" w:eastAsiaTheme="majorEastAsia" w:hAnsi="Tahoma" w:cs="Tahoma"/>
      <w:b/>
      <w:bCs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CF5"/>
    <w:pPr>
      <w:keepNext/>
      <w:spacing w:before="240" w:after="60"/>
      <w:outlineLvl w:val="1"/>
    </w:pPr>
    <w:rPr>
      <w:rFonts w:ascii="Tahoma" w:eastAsiaTheme="majorEastAsia" w:hAnsi="Tahoma" w:cs="Tahoma"/>
      <w:b/>
      <w:bCs/>
      <w:i/>
      <w:iCs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CF5"/>
    <w:pPr>
      <w:keepNext/>
      <w:spacing w:before="240" w:after="60"/>
      <w:outlineLvl w:val="2"/>
    </w:pPr>
    <w:rPr>
      <w:rFonts w:ascii="Tahoma" w:eastAsiaTheme="majorEastAsia" w:hAnsi="Tahoma" w:cs="Tahoma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CF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F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F5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F5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F5"/>
    <w:pPr>
      <w:spacing w:before="240" w:after="60"/>
      <w:outlineLvl w:val="7"/>
    </w:pPr>
    <w:rPr>
      <w:rFonts w:asciiTheme="minorHAnsi" w:hAnsiTheme="minorHAnsi"/>
      <w:i/>
      <w:iCs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F5"/>
    <w:rPr>
      <w:rFonts w:ascii="Tahoma" w:eastAsiaTheme="majorEastAsia" w:hAnsi="Tahoma" w:cs="Tahoma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01CF5"/>
    <w:rPr>
      <w:rFonts w:ascii="Tahoma" w:eastAsiaTheme="majorEastAsia" w:hAnsi="Tahoma" w:cs="Tahoma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01CF5"/>
    <w:rPr>
      <w:rFonts w:ascii="Tahoma" w:eastAsiaTheme="majorEastAsia" w:hAnsi="Tahoma" w:cs="Tahoma"/>
      <w:b/>
      <w:b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01CF5"/>
    <w:rPr>
      <w:rFonts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F5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F5"/>
    <w:rPr>
      <w:rFonts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F5"/>
    <w:rPr>
      <w:rFonts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F5"/>
    <w:rPr>
      <w:rFonts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F5"/>
    <w:rPr>
      <w:rFonts w:asciiTheme="majorHAnsi" w:eastAsiaTheme="majorEastAsia" w:hAnsiTheme="majorHAnsi" w:cs="Times New Roman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01C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01CF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F5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01CF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301CF5"/>
    <w:rPr>
      <w:b/>
      <w:bCs/>
    </w:rPr>
  </w:style>
  <w:style w:type="character" w:styleId="Emphasis">
    <w:name w:val="Emphasis"/>
    <w:basedOn w:val="DefaultParagraphFont"/>
    <w:uiPriority w:val="20"/>
    <w:qFormat/>
    <w:rsid w:val="00301CF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1CF5"/>
    <w:rPr>
      <w:szCs w:val="32"/>
    </w:rPr>
  </w:style>
  <w:style w:type="paragraph" w:styleId="ListParagraph">
    <w:name w:val="List Paragraph"/>
    <w:basedOn w:val="Normal"/>
    <w:uiPriority w:val="34"/>
    <w:qFormat/>
    <w:rsid w:val="00301C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1CF5"/>
    <w:rPr>
      <w:rFonts w:asciiTheme="minorHAnsi" w:hAnsiTheme="minorHAnsi"/>
      <w:i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01CF5"/>
    <w:rPr>
      <w:rFonts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F5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F5"/>
    <w:rPr>
      <w:rFonts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301C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1C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1C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1C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1C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1CF5"/>
    <w:pPr>
      <w:outlineLvl w:val="9"/>
    </w:pPr>
    <w:rPr>
      <w:rFonts w:cstheme="majorBidi"/>
      <w:lang w:val="en-GB" w:eastAsia="en-GB" w:bidi="ar-SA"/>
    </w:rPr>
  </w:style>
  <w:style w:type="paragraph" w:styleId="BodyTextIndent">
    <w:name w:val="Body Text Indent"/>
    <w:basedOn w:val="Normal"/>
    <w:link w:val="BodyTextIndentChar"/>
    <w:rsid w:val="00301CF5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301C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30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1CF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F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F5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301C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1CF5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301C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CF5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01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CF5"/>
    <w:rPr>
      <w:rFonts w:ascii="Times New Roman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F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301CF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32770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ItsAcc</dc:creator>
  <cp:lastModifiedBy>Neil Pearce</cp:lastModifiedBy>
  <cp:revision>3</cp:revision>
  <dcterms:created xsi:type="dcterms:W3CDTF">2015-03-09T09:11:00Z</dcterms:created>
  <dcterms:modified xsi:type="dcterms:W3CDTF">2015-03-09T09:12:00Z</dcterms:modified>
</cp:coreProperties>
</file>