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5C939" w14:textId="395A09B7" w:rsidR="00BE458F" w:rsidRDefault="00E4094B" w:rsidP="00082AC8">
      <w:pPr>
        <w:jc w:val="center"/>
        <w:rPr>
          <w:rFonts w:ascii="Times New Roman" w:hAnsi="Times New Roman" w:cs="Times New Roman"/>
          <w:b/>
        </w:rPr>
      </w:pPr>
      <w:bookmarkStart w:id="0" w:name="_GoBack"/>
      <w:bookmarkEnd w:id="0"/>
      <w:r>
        <w:rPr>
          <w:rFonts w:ascii="Times New Roman" w:hAnsi="Times New Roman" w:cs="Times New Roman"/>
          <w:b/>
        </w:rPr>
        <w:t xml:space="preserve">Drug use moderates </w:t>
      </w:r>
      <w:r w:rsidR="00AF01FC">
        <w:rPr>
          <w:rFonts w:ascii="Times New Roman" w:hAnsi="Times New Roman" w:cs="Times New Roman"/>
          <w:b/>
        </w:rPr>
        <w:t xml:space="preserve">associations between </w:t>
      </w:r>
      <w:r>
        <w:rPr>
          <w:rFonts w:ascii="Times New Roman" w:hAnsi="Times New Roman" w:cs="Times New Roman"/>
          <w:b/>
        </w:rPr>
        <w:t xml:space="preserve">location of sex </w:t>
      </w:r>
      <w:r w:rsidR="00AF01FC">
        <w:rPr>
          <w:rFonts w:ascii="Times New Roman" w:hAnsi="Times New Roman" w:cs="Times New Roman"/>
          <w:b/>
        </w:rPr>
        <w:t>and</w:t>
      </w:r>
      <w:r>
        <w:rPr>
          <w:rFonts w:ascii="Times New Roman" w:hAnsi="Times New Roman" w:cs="Times New Roman"/>
          <w:b/>
        </w:rPr>
        <w:t xml:space="preserve"> </w:t>
      </w:r>
      <w:r w:rsidR="0013732D">
        <w:rPr>
          <w:rFonts w:ascii="Times New Roman" w:hAnsi="Times New Roman" w:cs="Times New Roman"/>
          <w:b/>
        </w:rPr>
        <w:t>unprotected anal intercourse</w:t>
      </w:r>
      <w:r>
        <w:rPr>
          <w:rFonts w:ascii="Times New Roman" w:hAnsi="Times New Roman" w:cs="Times New Roman"/>
          <w:b/>
        </w:rPr>
        <w:t xml:space="preserve"> in men who have sex with men: nested </w:t>
      </w:r>
      <w:r w:rsidR="00D61F4F">
        <w:rPr>
          <w:rFonts w:ascii="Times New Roman" w:hAnsi="Times New Roman" w:cs="Times New Roman"/>
          <w:b/>
        </w:rPr>
        <w:t>cross-sectional</w:t>
      </w:r>
      <w:r>
        <w:rPr>
          <w:rFonts w:ascii="Times New Roman" w:hAnsi="Times New Roman" w:cs="Times New Roman"/>
          <w:b/>
        </w:rPr>
        <w:t xml:space="preserve"> study of dyadic encounters with new partners</w:t>
      </w:r>
      <w:r w:rsidR="00AF01FC">
        <w:rPr>
          <w:rFonts w:ascii="Times New Roman" w:hAnsi="Times New Roman" w:cs="Times New Roman"/>
          <w:b/>
        </w:rPr>
        <w:t xml:space="preserve"> </w:t>
      </w:r>
    </w:p>
    <w:p w14:paraId="67358352" w14:textId="77777777" w:rsidR="00104B9B" w:rsidRDefault="00104B9B" w:rsidP="00082AC8">
      <w:pPr>
        <w:jc w:val="center"/>
        <w:rPr>
          <w:rFonts w:ascii="Times New Roman" w:hAnsi="Times New Roman" w:cs="Times New Roman"/>
          <w:b/>
        </w:rPr>
      </w:pPr>
    </w:p>
    <w:p w14:paraId="0AFBC50C" w14:textId="77777777" w:rsidR="00FA7F5F" w:rsidRDefault="00901E41" w:rsidP="00082AC8">
      <w:pPr>
        <w:rPr>
          <w:rFonts w:ascii="Times New Roman" w:hAnsi="Times New Roman" w:cs="Times New Roman"/>
          <w:vertAlign w:val="superscript"/>
        </w:rPr>
      </w:pPr>
      <w:r>
        <w:rPr>
          <w:rFonts w:ascii="Times New Roman" w:hAnsi="Times New Roman" w:cs="Times New Roman"/>
        </w:rPr>
        <w:t xml:space="preserve">G.J. </w:t>
      </w:r>
      <w:r w:rsidR="00FA7F5F">
        <w:rPr>
          <w:rFonts w:ascii="Times New Roman" w:hAnsi="Times New Roman" w:cs="Times New Roman"/>
        </w:rPr>
        <w:t>Melendez-Torres</w:t>
      </w:r>
      <w:r w:rsidR="00FB0206">
        <w:rPr>
          <w:rFonts w:ascii="Times New Roman" w:hAnsi="Times New Roman" w:cs="Times New Roman"/>
          <w:vertAlign w:val="superscript"/>
        </w:rPr>
        <w:t>1</w:t>
      </w:r>
      <w:proofErr w:type="gramStart"/>
      <w:r w:rsidR="00FB0206">
        <w:rPr>
          <w:rFonts w:ascii="Times New Roman" w:hAnsi="Times New Roman" w:cs="Times New Roman"/>
          <w:vertAlign w:val="superscript"/>
        </w:rPr>
        <w:t>,2</w:t>
      </w:r>
      <w:proofErr w:type="gramEnd"/>
      <w:r w:rsidR="00FA7F5F">
        <w:rPr>
          <w:rFonts w:ascii="Times New Roman" w:hAnsi="Times New Roman" w:cs="Times New Roman"/>
        </w:rPr>
        <w:t xml:space="preserve">, </w:t>
      </w:r>
      <w:r>
        <w:rPr>
          <w:rFonts w:ascii="Times New Roman" w:hAnsi="Times New Roman" w:cs="Times New Roman"/>
        </w:rPr>
        <w:t xml:space="preserve">Ford </w:t>
      </w:r>
      <w:r w:rsidR="00FA7F5F">
        <w:rPr>
          <w:rFonts w:ascii="Times New Roman" w:hAnsi="Times New Roman" w:cs="Times New Roman"/>
        </w:rPr>
        <w:t>Hickson</w:t>
      </w:r>
      <w:r w:rsidR="00FB0206">
        <w:rPr>
          <w:rFonts w:ascii="Times New Roman" w:hAnsi="Times New Roman" w:cs="Times New Roman"/>
          <w:vertAlign w:val="superscript"/>
        </w:rPr>
        <w:t>3</w:t>
      </w:r>
      <w:r w:rsidR="00FA7F5F">
        <w:rPr>
          <w:rFonts w:ascii="Times New Roman" w:hAnsi="Times New Roman" w:cs="Times New Roman"/>
        </w:rPr>
        <w:t xml:space="preserve">, </w:t>
      </w:r>
      <w:r>
        <w:rPr>
          <w:rFonts w:ascii="Times New Roman" w:hAnsi="Times New Roman" w:cs="Times New Roman"/>
        </w:rPr>
        <w:t xml:space="preserve">David </w:t>
      </w:r>
      <w:r w:rsidR="00FA7F5F">
        <w:rPr>
          <w:rFonts w:ascii="Times New Roman" w:hAnsi="Times New Roman" w:cs="Times New Roman"/>
        </w:rPr>
        <w:t>Reid</w:t>
      </w:r>
      <w:r w:rsidR="00FB0206">
        <w:rPr>
          <w:rFonts w:ascii="Times New Roman" w:hAnsi="Times New Roman" w:cs="Times New Roman"/>
          <w:vertAlign w:val="superscript"/>
        </w:rPr>
        <w:t>3</w:t>
      </w:r>
      <w:r w:rsidR="00FA7F5F">
        <w:rPr>
          <w:rFonts w:ascii="Times New Roman" w:hAnsi="Times New Roman" w:cs="Times New Roman"/>
        </w:rPr>
        <w:t xml:space="preserve">, </w:t>
      </w:r>
      <w:r>
        <w:rPr>
          <w:rFonts w:ascii="Times New Roman" w:hAnsi="Times New Roman" w:cs="Times New Roman"/>
        </w:rPr>
        <w:t xml:space="preserve">Peter </w:t>
      </w:r>
      <w:r w:rsidR="00FA7F5F">
        <w:rPr>
          <w:rFonts w:ascii="Times New Roman" w:hAnsi="Times New Roman" w:cs="Times New Roman"/>
        </w:rPr>
        <w:t>Weatherburn</w:t>
      </w:r>
      <w:r w:rsidR="00FB0206">
        <w:rPr>
          <w:rFonts w:ascii="Times New Roman" w:hAnsi="Times New Roman" w:cs="Times New Roman"/>
          <w:vertAlign w:val="superscript"/>
        </w:rPr>
        <w:t>3</w:t>
      </w:r>
      <w:r w:rsidR="00E84D36">
        <w:rPr>
          <w:rFonts w:ascii="Times New Roman" w:hAnsi="Times New Roman" w:cs="Times New Roman"/>
        </w:rPr>
        <w:t>, Chris Bonell</w:t>
      </w:r>
      <w:r w:rsidR="00FB0206">
        <w:rPr>
          <w:rFonts w:ascii="Times New Roman" w:hAnsi="Times New Roman" w:cs="Times New Roman"/>
          <w:vertAlign w:val="superscript"/>
        </w:rPr>
        <w:t>2</w:t>
      </w:r>
    </w:p>
    <w:p w14:paraId="77C3122E" w14:textId="77777777" w:rsidR="00104B9B" w:rsidRPr="00FB0206" w:rsidRDefault="00104B9B" w:rsidP="00E54F0A">
      <w:pPr>
        <w:rPr>
          <w:rFonts w:ascii="Times New Roman" w:hAnsi="Times New Roman" w:cs="Times New Roman"/>
          <w:vertAlign w:val="superscript"/>
        </w:rPr>
      </w:pPr>
    </w:p>
    <w:p w14:paraId="119D7117" w14:textId="77777777" w:rsidR="00FB0206" w:rsidRDefault="00FB0206" w:rsidP="00E54F0A">
      <w:pPr>
        <w:rPr>
          <w:rFonts w:ascii="Times New Roman" w:hAnsi="Times New Roman" w:cs="Times New Roman"/>
        </w:rPr>
      </w:pPr>
      <w:r w:rsidRPr="00FB0206">
        <w:rPr>
          <w:rFonts w:ascii="Times New Roman" w:hAnsi="Times New Roman" w:cs="Times New Roman"/>
          <w:vertAlign w:val="superscript"/>
        </w:rPr>
        <w:t>1</w:t>
      </w:r>
      <w:r>
        <w:rPr>
          <w:rFonts w:ascii="Times New Roman" w:hAnsi="Times New Roman" w:cs="Times New Roman"/>
        </w:rPr>
        <w:t>Department of Social Policy and Intervention, University of Oxford</w:t>
      </w:r>
      <w:r w:rsidR="00104B9B">
        <w:rPr>
          <w:rFonts w:ascii="Times New Roman" w:hAnsi="Times New Roman" w:cs="Times New Roman"/>
        </w:rPr>
        <w:t>, Oxford, UK</w:t>
      </w:r>
    </w:p>
    <w:p w14:paraId="600834ED" w14:textId="77777777" w:rsidR="00104B9B" w:rsidRDefault="00104B9B" w:rsidP="00E54F0A">
      <w:pPr>
        <w:rPr>
          <w:rFonts w:ascii="Times New Roman" w:hAnsi="Times New Roman" w:cs="Times New Roman"/>
        </w:rPr>
      </w:pPr>
    </w:p>
    <w:p w14:paraId="35E3636E" w14:textId="618002D4" w:rsidR="00FB0206" w:rsidRDefault="00FB0206" w:rsidP="00E54F0A">
      <w:pPr>
        <w:rPr>
          <w:rFonts w:ascii="Times New Roman" w:hAnsi="Times New Roman" w:cs="Times New Roman"/>
        </w:rPr>
      </w:pPr>
      <w:r w:rsidRPr="00FB0206">
        <w:rPr>
          <w:rFonts w:ascii="Times New Roman" w:hAnsi="Times New Roman" w:cs="Times New Roman"/>
          <w:vertAlign w:val="superscript"/>
        </w:rPr>
        <w:t>2</w:t>
      </w:r>
      <w:r>
        <w:rPr>
          <w:rFonts w:ascii="Times New Roman" w:hAnsi="Times New Roman" w:cs="Times New Roman"/>
        </w:rPr>
        <w:t xml:space="preserve">Social Science Research Unit, Department of Childhood, Families and Health, Institute of Education, University </w:t>
      </w:r>
      <w:r w:rsidR="006A4A8C">
        <w:rPr>
          <w:rFonts w:ascii="Times New Roman" w:hAnsi="Times New Roman" w:cs="Times New Roman"/>
        </w:rPr>
        <w:t>College</w:t>
      </w:r>
      <w:r>
        <w:rPr>
          <w:rFonts w:ascii="Times New Roman" w:hAnsi="Times New Roman" w:cs="Times New Roman"/>
        </w:rPr>
        <w:t xml:space="preserve"> London</w:t>
      </w:r>
      <w:r w:rsidR="00104B9B">
        <w:rPr>
          <w:rFonts w:ascii="Times New Roman" w:hAnsi="Times New Roman" w:cs="Times New Roman"/>
        </w:rPr>
        <w:t>, London, UK</w:t>
      </w:r>
    </w:p>
    <w:p w14:paraId="6F6A4C0C" w14:textId="77777777" w:rsidR="00104B9B" w:rsidRDefault="00104B9B" w:rsidP="00E54F0A">
      <w:pPr>
        <w:rPr>
          <w:rFonts w:ascii="Times New Roman" w:hAnsi="Times New Roman" w:cs="Times New Roman"/>
        </w:rPr>
      </w:pPr>
    </w:p>
    <w:p w14:paraId="5BF46770" w14:textId="77777777" w:rsidR="00104B9B" w:rsidRDefault="00FB0206" w:rsidP="00E54F0A">
      <w:pPr>
        <w:rPr>
          <w:rFonts w:ascii="Times New Roman" w:hAnsi="Times New Roman" w:cs="Times New Roman"/>
        </w:rPr>
      </w:pPr>
      <w:r w:rsidRPr="00FB0206">
        <w:rPr>
          <w:rFonts w:ascii="Times New Roman" w:hAnsi="Times New Roman" w:cs="Times New Roman"/>
          <w:vertAlign w:val="superscript"/>
        </w:rPr>
        <w:t>3</w:t>
      </w:r>
      <w:r>
        <w:rPr>
          <w:rFonts w:ascii="Times New Roman" w:hAnsi="Times New Roman" w:cs="Times New Roman"/>
        </w:rPr>
        <w:t>Sigma Research, London School of Hygiene and Tropical Medicine, University of London</w:t>
      </w:r>
      <w:r w:rsidR="00104B9B">
        <w:rPr>
          <w:rFonts w:ascii="Times New Roman" w:hAnsi="Times New Roman" w:cs="Times New Roman"/>
        </w:rPr>
        <w:t>, London, UK</w:t>
      </w:r>
    </w:p>
    <w:p w14:paraId="4A310FED" w14:textId="77777777" w:rsidR="00104B9B" w:rsidRDefault="00104B9B" w:rsidP="00E54F0A">
      <w:pPr>
        <w:rPr>
          <w:rFonts w:ascii="Times New Roman" w:hAnsi="Times New Roman" w:cs="Times New Roman"/>
        </w:rPr>
      </w:pPr>
    </w:p>
    <w:p w14:paraId="573CC193" w14:textId="77777777" w:rsidR="00104B9B" w:rsidRPr="00104B9B" w:rsidRDefault="00104B9B" w:rsidP="00E54F0A">
      <w:pPr>
        <w:rPr>
          <w:rFonts w:ascii="Times New Roman" w:hAnsi="Times New Roman" w:cs="Times New Roman"/>
        </w:rPr>
      </w:pPr>
      <w:r>
        <w:rPr>
          <w:rFonts w:ascii="Times New Roman" w:hAnsi="Times New Roman" w:cs="Times New Roman"/>
        </w:rPr>
        <w:t>G.J. Melendez-Torres (corresponding author)</w:t>
      </w:r>
    </w:p>
    <w:p w14:paraId="50DB135F"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Department of Social Policy and Intervention</w:t>
      </w:r>
    </w:p>
    <w:p w14:paraId="7F82FDB9"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University of Oxford</w:t>
      </w:r>
    </w:p>
    <w:p w14:paraId="5F4C96B8"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Barnett House, 32 Wellington Square</w:t>
      </w:r>
    </w:p>
    <w:p w14:paraId="183EFC12"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Oxford OX1 2ER</w:t>
      </w:r>
    </w:p>
    <w:p w14:paraId="4358EF3E"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UNITED KINGDOM</w:t>
      </w:r>
    </w:p>
    <w:p w14:paraId="45DEF9E9" w14:textId="77777777" w:rsidR="00104B9B" w:rsidRPr="00104B9B" w:rsidRDefault="00104B9B" w:rsidP="00E54F0A">
      <w:pPr>
        <w:rPr>
          <w:rFonts w:ascii="Times New Roman" w:hAnsi="Times New Roman" w:cs="Times New Roman"/>
        </w:rPr>
      </w:pPr>
      <w:r w:rsidRPr="00104B9B">
        <w:rPr>
          <w:rFonts w:ascii="Times New Roman" w:hAnsi="Times New Roman" w:cs="Times New Roman"/>
        </w:rPr>
        <w:t>+44 1865 270260</w:t>
      </w:r>
    </w:p>
    <w:p w14:paraId="16263810" w14:textId="26884DCE" w:rsidR="00104B9B" w:rsidRDefault="00D06A3E" w:rsidP="00E54F0A">
      <w:pPr>
        <w:rPr>
          <w:rFonts w:ascii="Times New Roman" w:hAnsi="Times New Roman" w:cs="Times New Roman"/>
        </w:rPr>
      </w:pPr>
      <w:hyperlink r:id="rId8" w:history="1">
        <w:r w:rsidR="006A4A8C" w:rsidRPr="00F36EDE">
          <w:rPr>
            <w:rStyle w:val="Hyperlink"/>
            <w:rFonts w:ascii="Times New Roman" w:hAnsi="Times New Roman" w:cs="Times New Roman"/>
          </w:rPr>
          <w:t>gerardo.melendez-torres@spi.ox.ac.uk</w:t>
        </w:r>
      </w:hyperlink>
    </w:p>
    <w:p w14:paraId="51B90FFD" w14:textId="77777777" w:rsidR="006A4A8C" w:rsidRDefault="006A4A8C" w:rsidP="00E54F0A">
      <w:pPr>
        <w:rPr>
          <w:rFonts w:ascii="Times New Roman" w:hAnsi="Times New Roman" w:cs="Times New Roman"/>
        </w:rPr>
      </w:pPr>
    </w:p>
    <w:p w14:paraId="5F00E0AE" w14:textId="77777777" w:rsidR="006A4A8C" w:rsidRPr="006A4A8C" w:rsidRDefault="006A4A8C" w:rsidP="006A4A8C">
      <w:pPr>
        <w:rPr>
          <w:rFonts w:ascii="Times New Roman" w:hAnsi="Times New Roman" w:cs="Times New Roman"/>
        </w:rPr>
      </w:pPr>
      <w:r w:rsidRPr="006A4A8C">
        <w:rPr>
          <w:rFonts w:ascii="Times New Roman" w:hAnsi="Times New Roman" w:cs="Times New Roman"/>
        </w:rPr>
        <w:t xml:space="preserve">The Corresponding Author has the right to grant on behalf of all authors and does grant on behalf of all authors, an exclusive licence (or </w:t>
      </w:r>
      <w:proofErr w:type="spellStart"/>
      <w:r w:rsidRPr="006A4A8C">
        <w:rPr>
          <w:rFonts w:ascii="Times New Roman" w:hAnsi="Times New Roman" w:cs="Times New Roman"/>
        </w:rPr>
        <w:t>non exclusive</w:t>
      </w:r>
      <w:proofErr w:type="spellEnd"/>
      <w:r w:rsidRPr="006A4A8C">
        <w:rPr>
          <w:rFonts w:ascii="Times New Roman" w:hAnsi="Times New Roman" w:cs="Times New Roman"/>
        </w:rPr>
        <w:t xml:space="preserve"> for government employees) on a worldwide basis to the BMJ Publishing Group Ltd to permit this article (if accepted) to be published in STI and any other BMJPGL products and sub-licences such use and exploit all subsidiary rights, as set out in our licence</w:t>
      </w:r>
    </w:p>
    <w:p w14:paraId="3FB86E9E" w14:textId="77777777" w:rsidR="006A4A8C" w:rsidRPr="006A4A8C" w:rsidRDefault="006A4A8C" w:rsidP="006A4A8C">
      <w:pPr>
        <w:rPr>
          <w:rFonts w:ascii="Times New Roman" w:hAnsi="Times New Roman" w:cs="Times New Roman"/>
        </w:rPr>
      </w:pPr>
      <w:r w:rsidRPr="006A4A8C">
        <w:rPr>
          <w:rFonts w:ascii="Times New Roman" w:hAnsi="Times New Roman" w:cs="Times New Roman"/>
        </w:rPr>
        <w:t>http://group.bmj.com/products/journals/instructions-for-authors/licence-forms.</w:t>
      </w:r>
    </w:p>
    <w:p w14:paraId="53417E2D" w14:textId="77777777" w:rsidR="00104B9B" w:rsidRDefault="00104B9B" w:rsidP="00E54F0A">
      <w:pPr>
        <w:rPr>
          <w:rFonts w:ascii="Times New Roman" w:hAnsi="Times New Roman" w:cs="Times New Roman"/>
        </w:rPr>
      </w:pPr>
    </w:p>
    <w:p w14:paraId="12925F50" w14:textId="74661B11" w:rsidR="00E91A6F" w:rsidRDefault="00E91A6F" w:rsidP="00E54F0A">
      <w:pPr>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Sexual risk behaviour, observational epidemiology, public sex venues, substance use, men who have sex with men</w:t>
      </w:r>
    </w:p>
    <w:p w14:paraId="1FA74595" w14:textId="77777777" w:rsidR="00104B9B" w:rsidRDefault="00104B9B" w:rsidP="00E54F0A">
      <w:pPr>
        <w:rPr>
          <w:rFonts w:ascii="Times New Roman" w:hAnsi="Times New Roman" w:cs="Times New Roman"/>
          <w:b/>
        </w:rPr>
      </w:pPr>
      <w:r>
        <w:rPr>
          <w:rFonts w:ascii="Times New Roman" w:hAnsi="Times New Roman" w:cs="Times New Roman"/>
          <w:b/>
        </w:rPr>
        <w:br w:type="page"/>
      </w:r>
    </w:p>
    <w:p w14:paraId="6F25226B" w14:textId="77777777" w:rsidR="00104B9B" w:rsidRDefault="00104B9B" w:rsidP="00E54F0A">
      <w:pPr>
        <w:spacing w:line="480" w:lineRule="auto"/>
        <w:jc w:val="center"/>
        <w:rPr>
          <w:rFonts w:ascii="Times New Roman" w:hAnsi="Times New Roman" w:cs="Times New Roman"/>
          <w:b/>
        </w:rPr>
      </w:pPr>
    </w:p>
    <w:p w14:paraId="7EA65309" w14:textId="77777777" w:rsidR="00104B9B" w:rsidRDefault="00104B9B" w:rsidP="00E54F0A">
      <w:pPr>
        <w:spacing w:line="480" w:lineRule="auto"/>
        <w:jc w:val="center"/>
        <w:rPr>
          <w:rFonts w:ascii="Times New Roman" w:hAnsi="Times New Roman" w:cs="Times New Roman"/>
          <w:b/>
        </w:rPr>
      </w:pPr>
    </w:p>
    <w:p w14:paraId="4DCC7D53" w14:textId="77777777" w:rsidR="00104B9B" w:rsidRDefault="00104B9B" w:rsidP="00E54F0A">
      <w:pPr>
        <w:spacing w:line="480" w:lineRule="auto"/>
        <w:jc w:val="center"/>
        <w:rPr>
          <w:rFonts w:ascii="Times New Roman" w:hAnsi="Times New Roman" w:cs="Times New Roman"/>
          <w:b/>
        </w:rPr>
      </w:pPr>
    </w:p>
    <w:p w14:paraId="38F0B923" w14:textId="77777777" w:rsidR="00104B9B" w:rsidRDefault="00104B9B" w:rsidP="00E54F0A">
      <w:pPr>
        <w:spacing w:line="480" w:lineRule="auto"/>
        <w:jc w:val="center"/>
        <w:rPr>
          <w:rFonts w:ascii="Times New Roman" w:hAnsi="Times New Roman" w:cs="Times New Roman"/>
          <w:b/>
        </w:rPr>
      </w:pPr>
    </w:p>
    <w:p w14:paraId="05FB4158" w14:textId="77777777" w:rsidR="00104B9B" w:rsidRDefault="00104B9B" w:rsidP="00E54F0A">
      <w:pPr>
        <w:spacing w:line="480" w:lineRule="auto"/>
        <w:jc w:val="center"/>
        <w:rPr>
          <w:rFonts w:ascii="Times New Roman" w:hAnsi="Times New Roman" w:cs="Times New Roman"/>
          <w:b/>
        </w:rPr>
      </w:pPr>
    </w:p>
    <w:p w14:paraId="13068757" w14:textId="77777777" w:rsidR="00104B9B" w:rsidRDefault="00104B9B" w:rsidP="00E54F0A">
      <w:pPr>
        <w:spacing w:line="480" w:lineRule="auto"/>
        <w:jc w:val="center"/>
        <w:rPr>
          <w:rFonts w:ascii="Times New Roman" w:hAnsi="Times New Roman" w:cs="Times New Roman"/>
          <w:b/>
        </w:rPr>
      </w:pPr>
    </w:p>
    <w:p w14:paraId="7C82DB2F" w14:textId="77777777" w:rsidR="00104B9B" w:rsidRDefault="00104B9B" w:rsidP="00E54F0A">
      <w:pPr>
        <w:spacing w:line="480" w:lineRule="auto"/>
        <w:jc w:val="center"/>
        <w:rPr>
          <w:rFonts w:ascii="Times New Roman" w:hAnsi="Times New Roman" w:cs="Times New Roman"/>
          <w:b/>
        </w:rPr>
      </w:pPr>
    </w:p>
    <w:p w14:paraId="431F9E53" w14:textId="77777777" w:rsidR="00104B9B" w:rsidRDefault="00104B9B" w:rsidP="00E54F0A">
      <w:pPr>
        <w:spacing w:line="480" w:lineRule="auto"/>
        <w:jc w:val="center"/>
        <w:rPr>
          <w:rFonts w:ascii="Times New Roman" w:hAnsi="Times New Roman" w:cs="Times New Roman"/>
          <w:b/>
        </w:rPr>
      </w:pPr>
    </w:p>
    <w:p w14:paraId="1F614F97" w14:textId="4E339057" w:rsidR="00104B9B" w:rsidRDefault="00AF01FC" w:rsidP="00E54F0A">
      <w:pPr>
        <w:rPr>
          <w:rFonts w:ascii="Times New Roman" w:hAnsi="Times New Roman" w:cs="Times New Roman"/>
          <w:b/>
        </w:rPr>
      </w:pPr>
      <w:r>
        <w:rPr>
          <w:rFonts w:ascii="Times New Roman" w:hAnsi="Times New Roman" w:cs="Times New Roman"/>
          <w:b/>
        </w:rPr>
        <w:t xml:space="preserve">Drug use moderates associations between location of sex and </w:t>
      </w:r>
      <w:r w:rsidR="0013732D">
        <w:rPr>
          <w:rFonts w:ascii="Times New Roman" w:hAnsi="Times New Roman" w:cs="Times New Roman"/>
          <w:b/>
        </w:rPr>
        <w:t xml:space="preserve">unprotected anal intercourse </w:t>
      </w:r>
      <w:r>
        <w:rPr>
          <w:rFonts w:ascii="Times New Roman" w:hAnsi="Times New Roman" w:cs="Times New Roman"/>
          <w:b/>
        </w:rPr>
        <w:t xml:space="preserve">in men who have sex with men: nested </w:t>
      </w:r>
      <w:r w:rsidR="00D61F4F">
        <w:rPr>
          <w:rFonts w:ascii="Times New Roman" w:hAnsi="Times New Roman" w:cs="Times New Roman"/>
          <w:b/>
        </w:rPr>
        <w:t>cross-sectional</w:t>
      </w:r>
      <w:r>
        <w:rPr>
          <w:rFonts w:ascii="Times New Roman" w:hAnsi="Times New Roman" w:cs="Times New Roman"/>
          <w:b/>
        </w:rPr>
        <w:t xml:space="preserve"> study of dyadic encounters with new partners </w:t>
      </w:r>
      <w:r w:rsidR="00104B9B">
        <w:rPr>
          <w:rFonts w:ascii="Times New Roman" w:hAnsi="Times New Roman" w:cs="Times New Roman"/>
          <w:b/>
        </w:rPr>
        <w:br w:type="page"/>
      </w:r>
    </w:p>
    <w:p w14:paraId="73370BD3" w14:textId="77777777" w:rsidR="00FB0206" w:rsidRDefault="00104B9B" w:rsidP="00E54F0A">
      <w:pPr>
        <w:spacing w:line="480" w:lineRule="auto"/>
        <w:rPr>
          <w:rFonts w:ascii="Times New Roman" w:hAnsi="Times New Roman" w:cs="Times New Roman"/>
          <w:b/>
        </w:rPr>
      </w:pPr>
      <w:r>
        <w:rPr>
          <w:rFonts w:ascii="Times New Roman" w:hAnsi="Times New Roman" w:cs="Times New Roman"/>
          <w:b/>
        </w:rPr>
        <w:lastRenderedPageBreak/>
        <w:t>ABSTRACT</w:t>
      </w:r>
    </w:p>
    <w:p w14:paraId="21CD91CB" w14:textId="2B3548CD" w:rsidR="0076208F" w:rsidRDefault="0076208F" w:rsidP="00E54F0A">
      <w:pPr>
        <w:spacing w:line="480" w:lineRule="auto"/>
        <w:rPr>
          <w:rFonts w:ascii="Times New Roman" w:hAnsi="Times New Roman" w:cs="Times New Roman"/>
        </w:rPr>
      </w:pPr>
      <w:r>
        <w:rPr>
          <w:rFonts w:ascii="Times New Roman" w:hAnsi="Times New Roman" w:cs="Times New Roman"/>
          <w:b/>
        </w:rPr>
        <w:t>Objectives.</w:t>
      </w:r>
      <w:r>
        <w:rPr>
          <w:rFonts w:ascii="Times New Roman" w:hAnsi="Times New Roman" w:cs="Times New Roman"/>
        </w:rPr>
        <w:t xml:space="preserve">  This </w:t>
      </w:r>
      <w:r w:rsidR="000633D4">
        <w:rPr>
          <w:rFonts w:ascii="Times New Roman" w:hAnsi="Times New Roman" w:cs="Times New Roman"/>
        </w:rPr>
        <w:t xml:space="preserve">nested </w:t>
      </w:r>
      <w:r w:rsidR="00D61F4F">
        <w:rPr>
          <w:rFonts w:ascii="Times New Roman" w:hAnsi="Times New Roman" w:cs="Times New Roman"/>
        </w:rPr>
        <w:t>cross-sectional</w:t>
      </w:r>
      <w:r>
        <w:rPr>
          <w:rFonts w:ascii="Times New Roman" w:hAnsi="Times New Roman" w:cs="Times New Roman"/>
        </w:rPr>
        <w:t xml:space="preserve"> study of dyadic </w:t>
      </w:r>
      <w:r w:rsidR="00F04E13">
        <w:rPr>
          <w:rFonts w:ascii="Times New Roman" w:hAnsi="Times New Roman" w:cs="Times New Roman"/>
        </w:rPr>
        <w:t xml:space="preserve">sexual </w:t>
      </w:r>
      <w:r>
        <w:rPr>
          <w:rFonts w:ascii="Times New Roman" w:hAnsi="Times New Roman" w:cs="Times New Roman"/>
        </w:rPr>
        <w:t>encounters</w:t>
      </w:r>
      <w:r w:rsidR="00A17481">
        <w:rPr>
          <w:rFonts w:ascii="Times New Roman" w:hAnsi="Times New Roman" w:cs="Times New Roman"/>
        </w:rPr>
        <w:t xml:space="preserve"> with new </w:t>
      </w:r>
      <w:r w:rsidR="00F04E13">
        <w:rPr>
          <w:rFonts w:ascii="Times New Roman" w:hAnsi="Times New Roman" w:cs="Times New Roman"/>
        </w:rPr>
        <w:t xml:space="preserve">male </w:t>
      </w:r>
      <w:r w:rsidR="00A17481">
        <w:rPr>
          <w:rFonts w:ascii="Times New Roman" w:hAnsi="Times New Roman" w:cs="Times New Roman"/>
        </w:rPr>
        <w:t>partners</w:t>
      </w:r>
      <w:r>
        <w:rPr>
          <w:rFonts w:ascii="Times New Roman" w:hAnsi="Times New Roman" w:cs="Times New Roman"/>
        </w:rPr>
        <w:t xml:space="preserve"> reported by men </w:t>
      </w:r>
      <w:r w:rsidR="005340E3">
        <w:rPr>
          <w:rFonts w:ascii="Times New Roman" w:hAnsi="Times New Roman" w:cs="Times New Roman"/>
        </w:rPr>
        <w:t xml:space="preserve">living in England </w:t>
      </w:r>
      <w:r>
        <w:rPr>
          <w:rFonts w:ascii="Times New Roman" w:hAnsi="Times New Roman" w:cs="Times New Roman"/>
        </w:rPr>
        <w:t>who have sex with m</w:t>
      </w:r>
      <w:r w:rsidR="005105FF">
        <w:rPr>
          <w:rFonts w:ascii="Times New Roman" w:hAnsi="Times New Roman" w:cs="Times New Roman"/>
        </w:rPr>
        <w:t xml:space="preserve">en tested </w:t>
      </w:r>
      <w:r w:rsidR="00082AC8">
        <w:rPr>
          <w:rFonts w:ascii="Times New Roman" w:hAnsi="Times New Roman" w:cs="Times New Roman"/>
        </w:rPr>
        <w:t>moderation</w:t>
      </w:r>
      <w:r>
        <w:rPr>
          <w:rFonts w:ascii="Times New Roman" w:hAnsi="Times New Roman" w:cs="Times New Roman"/>
        </w:rPr>
        <w:t xml:space="preserve"> between </w:t>
      </w:r>
      <w:r w:rsidR="005105FF">
        <w:rPr>
          <w:rFonts w:ascii="Times New Roman" w:hAnsi="Times New Roman" w:cs="Times New Roman"/>
        </w:rPr>
        <w:t>drug use</w:t>
      </w:r>
      <w:r w:rsidR="00082AC8">
        <w:rPr>
          <w:rFonts w:ascii="Times New Roman" w:hAnsi="Times New Roman" w:cs="Times New Roman"/>
        </w:rPr>
        <w:t xml:space="preserve"> and</w:t>
      </w:r>
      <w:r w:rsidR="000633D4">
        <w:rPr>
          <w:rFonts w:ascii="Times New Roman" w:hAnsi="Times New Roman" w:cs="Times New Roman"/>
        </w:rPr>
        <w:t xml:space="preserve"> </w:t>
      </w:r>
      <w:r>
        <w:rPr>
          <w:rFonts w:ascii="Times New Roman" w:hAnsi="Times New Roman" w:cs="Times New Roman"/>
        </w:rPr>
        <w:t xml:space="preserve">location of sex </w:t>
      </w:r>
      <w:r w:rsidR="00082AC8">
        <w:rPr>
          <w:rFonts w:ascii="Times New Roman" w:hAnsi="Times New Roman" w:cs="Times New Roman"/>
        </w:rPr>
        <w:t xml:space="preserve">in associations with </w:t>
      </w:r>
      <w:r>
        <w:rPr>
          <w:rFonts w:ascii="Times New Roman" w:hAnsi="Times New Roman" w:cs="Times New Roman"/>
        </w:rPr>
        <w:t>unprotected anal intercourse</w:t>
      </w:r>
      <w:r w:rsidR="00A17481">
        <w:rPr>
          <w:rFonts w:ascii="Times New Roman" w:hAnsi="Times New Roman" w:cs="Times New Roman"/>
        </w:rPr>
        <w:t xml:space="preserve"> (UAI)</w:t>
      </w:r>
      <w:r>
        <w:rPr>
          <w:rFonts w:ascii="Times New Roman" w:hAnsi="Times New Roman" w:cs="Times New Roman"/>
        </w:rPr>
        <w:t>.</w:t>
      </w:r>
    </w:p>
    <w:p w14:paraId="665EE133" w14:textId="44E8B044" w:rsidR="0076208F" w:rsidRDefault="0076208F" w:rsidP="00E54F0A">
      <w:pPr>
        <w:spacing w:line="480" w:lineRule="auto"/>
        <w:rPr>
          <w:rFonts w:ascii="Times New Roman" w:hAnsi="Times New Roman" w:cs="Times New Roman"/>
        </w:rPr>
      </w:pPr>
      <w:r>
        <w:rPr>
          <w:rFonts w:ascii="Times New Roman" w:hAnsi="Times New Roman" w:cs="Times New Roman"/>
          <w:b/>
        </w:rPr>
        <w:t>Methods.</w:t>
      </w:r>
      <w:r>
        <w:rPr>
          <w:rFonts w:ascii="Times New Roman" w:hAnsi="Times New Roman" w:cs="Times New Roman"/>
        </w:rPr>
        <w:t xml:space="preserve">  Data were drawn from two waves of a </w:t>
      </w:r>
      <w:r w:rsidR="005340E3">
        <w:rPr>
          <w:rFonts w:ascii="Times New Roman" w:hAnsi="Times New Roman" w:cs="Times New Roman"/>
        </w:rPr>
        <w:t xml:space="preserve">longitudinal </w:t>
      </w:r>
      <w:r>
        <w:rPr>
          <w:rFonts w:ascii="Times New Roman" w:hAnsi="Times New Roman" w:cs="Times New Roman"/>
        </w:rPr>
        <w:t xml:space="preserve">monthly internet survey of men </w:t>
      </w:r>
      <w:r w:rsidR="005340E3">
        <w:rPr>
          <w:rFonts w:ascii="Times New Roman" w:hAnsi="Times New Roman" w:cs="Times New Roman"/>
        </w:rPr>
        <w:t xml:space="preserve">living in England </w:t>
      </w:r>
      <w:r>
        <w:rPr>
          <w:rFonts w:ascii="Times New Roman" w:hAnsi="Times New Roman" w:cs="Times New Roman"/>
        </w:rPr>
        <w:t xml:space="preserve">who have sex with men </w:t>
      </w:r>
      <w:r w:rsidR="005105FF">
        <w:rPr>
          <w:rFonts w:ascii="Times New Roman" w:hAnsi="Times New Roman" w:cs="Times New Roman"/>
        </w:rPr>
        <w:t>conducted in 2011.  Using generalised estimating equations and logit link, we tested the r</w:t>
      </w:r>
      <w:r>
        <w:rPr>
          <w:rFonts w:ascii="Times New Roman" w:hAnsi="Times New Roman" w:cs="Times New Roman"/>
        </w:rPr>
        <w:t xml:space="preserve">elationship </w:t>
      </w:r>
      <w:r w:rsidR="005105FF">
        <w:rPr>
          <w:rFonts w:ascii="Times New Roman" w:hAnsi="Times New Roman" w:cs="Times New Roman"/>
        </w:rPr>
        <w:t xml:space="preserve">with UAI </w:t>
      </w:r>
      <w:r>
        <w:rPr>
          <w:rFonts w:ascii="Times New Roman" w:hAnsi="Times New Roman" w:cs="Times New Roman"/>
        </w:rPr>
        <w:t xml:space="preserve">of any respondent </w:t>
      </w:r>
      <w:r w:rsidR="005105FF">
        <w:rPr>
          <w:rFonts w:ascii="Times New Roman" w:hAnsi="Times New Roman" w:cs="Times New Roman"/>
        </w:rPr>
        <w:t>drug</w:t>
      </w:r>
      <w:r>
        <w:rPr>
          <w:rFonts w:ascii="Times New Roman" w:hAnsi="Times New Roman" w:cs="Times New Roman"/>
        </w:rPr>
        <w:t xml:space="preserve"> use before sex</w:t>
      </w:r>
      <w:r w:rsidR="00960F55">
        <w:rPr>
          <w:rFonts w:ascii="Times New Roman" w:hAnsi="Times New Roman" w:cs="Times New Roman"/>
        </w:rPr>
        <w:t xml:space="preserve">, </w:t>
      </w:r>
      <w:r w:rsidR="00912856">
        <w:rPr>
          <w:rFonts w:ascii="Times New Roman" w:hAnsi="Times New Roman" w:cs="Times New Roman"/>
        </w:rPr>
        <w:t>specific respondent drug use before sex</w:t>
      </w:r>
      <w:r w:rsidR="005105FF">
        <w:rPr>
          <w:rFonts w:ascii="Times New Roman" w:hAnsi="Times New Roman" w:cs="Times New Roman"/>
        </w:rPr>
        <w:t xml:space="preserve">, </w:t>
      </w:r>
      <w:r>
        <w:rPr>
          <w:rFonts w:ascii="Times New Roman" w:hAnsi="Times New Roman" w:cs="Times New Roman"/>
        </w:rPr>
        <w:t>location of sex (</w:t>
      </w:r>
      <w:r w:rsidR="0013732D">
        <w:rPr>
          <w:rFonts w:ascii="Times New Roman" w:hAnsi="Times New Roman" w:cs="Times New Roman"/>
        </w:rPr>
        <w:t>distinguishing</w:t>
      </w:r>
      <w:r>
        <w:rPr>
          <w:rFonts w:ascii="Times New Roman" w:hAnsi="Times New Roman" w:cs="Times New Roman"/>
        </w:rPr>
        <w:t xml:space="preserve"> private, sex-on-premises venue, and cruising location</w:t>
      </w:r>
      <w:r w:rsidR="0013732D">
        <w:rPr>
          <w:rFonts w:ascii="Times New Roman" w:hAnsi="Times New Roman" w:cs="Times New Roman"/>
        </w:rPr>
        <w:t>s</w:t>
      </w:r>
      <w:r>
        <w:rPr>
          <w:rFonts w:ascii="Times New Roman" w:hAnsi="Times New Roman" w:cs="Times New Roman"/>
        </w:rPr>
        <w:t xml:space="preserve">) </w:t>
      </w:r>
      <w:r w:rsidR="005105FF">
        <w:rPr>
          <w:rFonts w:ascii="Times New Roman" w:hAnsi="Times New Roman" w:cs="Times New Roman"/>
        </w:rPr>
        <w:t>and location-drug use interactions.</w:t>
      </w:r>
    </w:p>
    <w:p w14:paraId="60F2542A" w14:textId="77BB6D78" w:rsidR="0076208F" w:rsidRDefault="0076208F" w:rsidP="00E54F0A">
      <w:pPr>
        <w:spacing w:line="480" w:lineRule="auto"/>
        <w:rPr>
          <w:rFonts w:ascii="Times New Roman" w:hAnsi="Times New Roman" w:cs="Times New Roman"/>
        </w:rPr>
      </w:pPr>
      <w:r>
        <w:rPr>
          <w:rFonts w:ascii="Times New Roman" w:hAnsi="Times New Roman" w:cs="Times New Roman"/>
          <w:b/>
        </w:rPr>
        <w:t>Results.</w:t>
      </w:r>
      <w:r>
        <w:rPr>
          <w:rFonts w:ascii="Times New Roman" w:hAnsi="Times New Roman" w:cs="Times New Roman"/>
        </w:rPr>
        <w:t xml:space="preserve">  </w:t>
      </w:r>
      <w:r w:rsidR="0013732D">
        <w:rPr>
          <w:rFonts w:ascii="Times New Roman" w:hAnsi="Times New Roman" w:cs="Times New Roman"/>
        </w:rPr>
        <w:t>A</w:t>
      </w:r>
      <w:r w:rsidR="00960F55">
        <w:rPr>
          <w:rFonts w:ascii="Times New Roman" w:hAnsi="Times New Roman" w:cs="Times New Roman"/>
        </w:rPr>
        <w:t>ny</w:t>
      </w:r>
      <w:r w:rsidR="00A17481">
        <w:rPr>
          <w:rFonts w:ascii="Times New Roman" w:hAnsi="Times New Roman" w:cs="Times New Roman"/>
        </w:rPr>
        <w:t xml:space="preserve"> respondent </w:t>
      </w:r>
      <w:r w:rsidR="00F04E13">
        <w:rPr>
          <w:rFonts w:ascii="Times New Roman" w:hAnsi="Times New Roman" w:cs="Times New Roman"/>
        </w:rPr>
        <w:t>drug</w:t>
      </w:r>
      <w:r w:rsidR="00A17481">
        <w:rPr>
          <w:rFonts w:ascii="Times New Roman" w:hAnsi="Times New Roman" w:cs="Times New Roman"/>
        </w:rPr>
        <w:t xml:space="preserve"> use (OR 1.57, 95% CI [1.31, 1.88]) </w:t>
      </w:r>
      <w:r w:rsidR="0013732D">
        <w:rPr>
          <w:rFonts w:ascii="Times New Roman" w:hAnsi="Times New Roman" w:cs="Times New Roman"/>
        </w:rPr>
        <w:t>was</w:t>
      </w:r>
      <w:r w:rsidR="00A17481">
        <w:rPr>
          <w:rFonts w:ascii="Times New Roman" w:hAnsi="Times New Roman" w:cs="Times New Roman"/>
        </w:rPr>
        <w:t xml:space="preserve"> associated with increased odds of UAI.  Relative to encounters in private locations, encounters in sex-on-premises venues (</w:t>
      </w:r>
      <w:r w:rsidR="005105FF">
        <w:rPr>
          <w:rFonts w:ascii="Times New Roman" w:hAnsi="Times New Roman" w:cs="Times New Roman"/>
        </w:rPr>
        <w:t xml:space="preserve">0.69, [0.52, 0.91]), but not </w:t>
      </w:r>
      <w:r w:rsidR="00A17481">
        <w:rPr>
          <w:rFonts w:ascii="Times New Roman" w:hAnsi="Times New Roman" w:cs="Times New Roman"/>
        </w:rPr>
        <w:t>cruising locations</w:t>
      </w:r>
      <w:r w:rsidR="00960F55">
        <w:rPr>
          <w:rFonts w:ascii="Times New Roman" w:hAnsi="Times New Roman" w:cs="Times New Roman"/>
        </w:rPr>
        <w:t>,</w:t>
      </w:r>
      <w:r w:rsidR="00A17481">
        <w:rPr>
          <w:rFonts w:ascii="Times New Roman" w:hAnsi="Times New Roman" w:cs="Times New Roman"/>
        </w:rPr>
        <w:t xml:space="preserve"> were associated with decreased odds of UAI. </w:t>
      </w:r>
      <w:r w:rsidR="005105FF">
        <w:rPr>
          <w:rFonts w:ascii="Times New Roman" w:hAnsi="Times New Roman" w:cs="Times New Roman"/>
        </w:rPr>
        <w:t xml:space="preserve"> </w:t>
      </w:r>
      <w:r w:rsidR="00082AC8">
        <w:rPr>
          <w:rFonts w:ascii="Times New Roman" w:hAnsi="Times New Roman" w:cs="Times New Roman"/>
        </w:rPr>
        <w:t>Any respondent drug use, respondent use of poppers and respondent use of alcohol were each associated with increased UAI in sex-on-premises venues.</w:t>
      </w:r>
    </w:p>
    <w:p w14:paraId="4B93CC03" w14:textId="72798311" w:rsidR="00104B9B" w:rsidRDefault="00A17481" w:rsidP="00E54F0A">
      <w:pPr>
        <w:spacing w:line="480" w:lineRule="auto"/>
        <w:rPr>
          <w:rFonts w:ascii="Times New Roman" w:hAnsi="Times New Roman" w:cs="Times New Roman"/>
        </w:rPr>
      </w:pPr>
      <w:r>
        <w:rPr>
          <w:rFonts w:ascii="Times New Roman" w:hAnsi="Times New Roman" w:cs="Times New Roman"/>
          <w:b/>
        </w:rPr>
        <w:t>Discussion.</w:t>
      </w:r>
      <w:r w:rsidR="00F04E13">
        <w:rPr>
          <w:rFonts w:ascii="Times New Roman" w:hAnsi="Times New Roman" w:cs="Times New Roman"/>
        </w:rPr>
        <w:t xml:space="preserve">  This </w:t>
      </w:r>
      <w:r>
        <w:rPr>
          <w:rFonts w:ascii="Times New Roman" w:hAnsi="Times New Roman" w:cs="Times New Roman"/>
        </w:rPr>
        <w:t xml:space="preserve">analysis presents evidence of </w:t>
      </w:r>
      <w:r w:rsidR="00082AC8">
        <w:rPr>
          <w:rFonts w:ascii="Times New Roman" w:hAnsi="Times New Roman" w:cs="Times New Roman"/>
        </w:rPr>
        <w:t>moderation</w:t>
      </w:r>
      <w:r>
        <w:rPr>
          <w:rFonts w:ascii="Times New Roman" w:hAnsi="Times New Roman" w:cs="Times New Roman"/>
        </w:rPr>
        <w:t xml:space="preserve"> between </w:t>
      </w:r>
      <w:r w:rsidR="00F04E13">
        <w:rPr>
          <w:rFonts w:ascii="Times New Roman" w:hAnsi="Times New Roman" w:cs="Times New Roman"/>
        </w:rPr>
        <w:t>drug</w:t>
      </w:r>
      <w:r>
        <w:rPr>
          <w:rFonts w:ascii="Times New Roman" w:hAnsi="Times New Roman" w:cs="Times New Roman"/>
        </w:rPr>
        <w:t xml:space="preserve"> use and location of sex in associations with </w:t>
      </w:r>
      <w:r w:rsidR="00082AC8">
        <w:rPr>
          <w:rFonts w:ascii="Times New Roman" w:hAnsi="Times New Roman" w:cs="Times New Roman"/>
        </w:rPr>
        <w:t>UAI</w:t>
      </w:r>
      <w:r>
        <w:rPr>
          <w:rFonts w:ascii="Times New Roman" w:hAnsi="Times New Roman" w:cs="Times New Roman"/>
        </w:rPr>
        <w:t xml:space="preserve">.  Though this analysis </w:t>
      </w:r>
      <w:r w:rsidR="00F04E13">
        <w:rPr>
          <w:rFonts w:ascii="Times New Roman" w:hAnsi="Times New Roman" w:cs="Times New Roman"/>
        </w:rPr>
        <w:t>used</w:t>
      </w:r>
      <w:r>
        <w:rPr>
          <w:rFonts w:ascii="Times New Roman" w:hAnsi="Times New Roman" w:cs="Times New Roman"/>
        </w:rPr>
        <w:t xml:space="preserve"> a large sample</w:t>
      </w:r>
      <w:r w:rsidR="00F04E13">
        <w:rPr>
          <w:rFonts w:ascii="Times New Roman" w:hAnsi="Times New Roman" w:cs="Times New Roman"/>
        </w:rPr>
        <w:t>, it relied on</w:t>
      </w:r>
      <w:r>
        <w:rPr>
          <w:rFonts w:ascii="Times New Roman" w:hAnsi="Times New Roman" w:cs="Times New Roman"/>
        </w:rPr>
        <w:t xml:space="preserve"> community-recruited</w:t>
      </w:r>
      <w:r w:rsidR="00F04E13">
        <w:rPr>
          <w:rFonts w:ascii="Times New Roman" w:hAnsi="Times New Roman" w:cs="Times New Roman"/>
        </w:rPr>
        <w:t xml:space="preserve"> respondents</w:t>
      </w:r>
      <w:r>
        <w:rPr>
          <w:rFonts w:ascii="Times New Roman" w:hAnsi="Times New Roman" w:cs="Times New Roman"/>
        </w:rPr>
        <w:t>.  Ou</w:t>
      </w:r>
      <w:r w:rsidR="00B96294">
        <w:rPr>
          <w:rFonts w:ascii="Times New Roman" w:hAnsi="Times New Roman" w:cs="Times New Roman"/>
        </w:rPr>
        <w:t xml:space="preserve">r findings may reflect either </w:t>
      </w:r>
      <w:r>
        <w:rPr>
          <w:rFonts w:ascii="Times New Roman" w:hAnsi="Times New Roman" w:cs="Times New Roman"/>
        </w:rPr>
        <w:t>‘totalising’ effect</w:t>
      </w:r>
      <w:r w:rsidR="00B96294">
        <w:rPr>
          <w:rFonts w:ascii="Times New Roman" w:hAnsi="Times New Roman" w:cs="Times New Roman"/>
        </w:rPr>
        <w:t>s</w:t>
      </w:r>
      <w:r>
        <w:rPr>
          <w:rFonts w:ascii="Times New Roman" w:hAnsi="Times New Roman" w:cs="Times New Roman"/>
        </w:rPr>
        <w:t xml:space="preserve"> of </w:t>
      </w:r>
      <w:r w:rsidR="00F04E13">
        <w:rPr>
          <w:rFonts w:ascii="Times New Roman" w:hAnsi="Times New Roman" w:cs="Times New Roman"/>
        </w:rPr>
        <w:t>drug</w:t>
      </w:r>
      <w:r w:rsidR="00B96294">
        <w:rPr>
          <w:rFonts w:ascii="Times New Roman" w:hAnsi="Times New Roman" w:cs="Times New Roman"/>
        </w:rPr>
        <w:t xml:space="preserve"> use across venues, or </w:t>
      </w:r>
      <w:r w:rsidR="000633D4">
        <w:rPr>
          <w:rFonts w:ascii="Times New Roman" w:hAnsi="Times New Roman" w:cs="Times New Roman"/>
        </w:rPr>
        <w:t xml:space="preserve">site-specific </w:t>
      </w:r>
      <w:r>
        <w:rPr>
          <w:rFonts w:ascii="Times New Roman" w:hAnsi="Times New Roman" w:cs="Times New Roman"/>
        </w:rPr>
        <w:t xml:space="preserve">use of </w:t>
      </w:r>
      <w:r w:rsidR="00F04E13">
        <w:rPr>
          <w:rFonts w:ascii="Times New Roman" w:hAnsi="Times New Roman" w:cs="Times New Roman"/>
        </w:rPr>
        <w:t>drugs</w:t>
      </w:r>
      <w:r>
        <w:rPr>
          <w:rFonts w:ascii="Times New Roman" w:hAnsi="Times New Roman" w:cs="Times New Roman"/>
        </w:rPr>
        <w:t xml:space="preserve"> as a mechanism for cognitive escape.  Additional qualitative research is necessary to understand these findings in context.</w:t>
      </w:r>
    </w:p>
    <w:p w14:paraId="0006797E" w14:textId="77777777" w:rsidR="00104B9B" w:rsidRDefault="00104B9B" w:rsidP="00E54F0A">
      <w:pPr>
        <w:rPr>
          <w:rFonts w:ascii="Times New Roman" w:hAnsi="Times New Roman" w:cs="Times New Roman"/>
        </w:rPr>
      </w:pPr>
      <w:r>
        <w:rPr>
          <w:rFonts w:ascii="Times New Roman" w:hAnsi="Times New Roman" w:cs="Times New Roman"/>
        </w:rPr>
        <w:br w:type="page"/>
      </w:r>
    </w:p>
    <w:p w14:paraId="136F878E" w14:textId="77777777" w:rsidR="00883A53" w:rsidRPr="00CA404F" w:rsidRDefault="00657DF7" w:rsidP="00E54F0A">
      <w:pPr>
        <w:spacing w:line="480" w:lineRule="auto"/>
        <w:rPr>
          <w:rFonts w:ascii="Times New Roman" w:hAnsi="Times New Roman" w:cs="Times New Roman"/>
          <w:b/>
        </w:rPr>
      </w:pPr>
      <w:r>
        <w:rPr>
          <w:rFonts w:ascii="Times New Roman" w:hAnsi="Times New Roman" w:cs="Times New Roman"/>
          <w:b/>
        </w:rPr>
        <w:lastRenderedPageBreak/>
        <w:t>INTRODUCTION</w:t>
      </w:r>
    </w:p>
    <w:p w14:paraId="38B00F94" w14:textId="6A06FE38" w:rsidR="00883A53" w:rsidRDefault="00CA404F" w:rsidP="00E54F0A">
      <w:pPr>
        <w:spacing w:line="480" w:lineRule="auto"/>
        <w:rPr>
          <w:rFonts w:ascii="Times New Roman" w:hAnsi="Times New Roman" w:cs="Times New Roman"/>
        </w:rPr>
      </w:pPr>
      <w:r>
        <w:rPr>
          <w:rFonts w:ascii="Times New Roman" w:hAnsi="Times New Roman" w:cs="Times New Roman"/>
        </w:rPr>
        <w:tab/>
      </w:r>
      <w:r w:rsidR="00EE288C">
        <w:rPr>
          <w:rFonts w:ascii="Times New Roman" w:hAnsi="Times New Roman" w:cs="Times New Roman"/>
        </w:rPr>
        <w:t>A growing body of research aim</w:t>
      </w:r>
      <w:r w:rsidR="005A77C3">
        <w:rPr>
          <w:rFonts w:ascii="Times New Roman" w:hAnsi="Times New Roman" w:cs="Times New Roman"/>
        </w:rPr>
        <w:t>s</w:t>
      </w:r>
      <w:r w:rsidR="00EE288C">
        <w:rPr>
          <w:rFonts w:ascii="Times New Roman" w:hAnsi="Times New Roman" w:cs="Times New Roman"/>
        </w:rPr>
        <w:t xml:space="preserve"> to understand the situational characteristics associated with sexual risk behaviours </w:t>
      </w:r>
      <w:r w:rsidR="005A77C3">
        <w:rPr>
          <w:rFonts w:ascii="Times New Roman" w:hAnsi="Times New Roman" w:cs="Times New Roman"/>
        </w:rPr>
        <w:t>during</w:t>
      </w:r>
      <w:r w:rsidR="00EE288C">
        <w:rPr>
          <w:rFonts w:ascii="Times New Roman" w:hAnsi="Times New Roman" w:cs="Times New Roman"/>
        </w:rPr>
        <w:t xml:space="preserve"> sex </w:t>
      </w:r>
      <w:r w:rsidR="005A77C3">
        <w:rPr>
          <w:rFonts w:ascii="Times New Roman" w:hAnsi="Times New Roman" w:cs="Times New Roman"/>
        </w:rPr>
        <w:t>between</w:t>
      </w:r>
      <w:r w:rsidR="00EE288C">
        <w:rPr>
          <w:rFonts w:ascii="Times New Roman" w:hAnsi="Times New Roman" w:cs="Times New Roman"/>
        </w:rPr>
        <w:t xml:space="preserve"> men.</w:t>
      </w:r>
      <w:r w:rsidR="00446923">
        <w:rPr>
          <w:rFonts w:ascii="Times New Roman" w:hAnsi="Times New Roman" w:cs="Times New Roman"/>
        </w:rPr>
        <w:t xml:space="preserve">  </w:t>
      </w:r>
      <w:r w:rsidR="00EE288C">
        <w:rPr>
          <w:rFonts w:ascii="Times New Roman" w:hAnsi="Times New Roman" w:cs="Times New Roman"/>
        </w:rPr>
        <w:t>In particular,</w:t>
      </w:r>
      <w:r w:rsidR="00D61F4F">
        <w:rPr>
          <w:rFonts w:ascii="Times New Roman" w:hAnsi="Times New Roman" w:cs="Times New Roman"/>
        </w:rPr>
        <w:t xml:space="preserve"> both</w:t>
      </w:r>
      <w:r w:rsidR="00EE288C">
        <w:rPr>
          <w:rFonts w:ascii="Times New Roman" w:hAnsi="Times New Roman" w:cs="Times New Roman"/>
        </w:rPr>
        <w:t xml:space="preserve"> </w:t>
      </w:r>
      <w:r w:rsidR="005A77C3">
        <w:rPr>
          <w:rFonts w:ascii="Times New Roman" w:hAnsi="Times New Roman" w:cs="Times New Roman"/>
        </w:rPr>
        <w:t xml:space="preserve">location of sex and concurrent </w:t>
      </w:r>
      <w:r w:rsidR="0076208F">
        <w:rPr>
          <w:rFonts w:ascii="Times New Roman" w:hAnsi="Times New Roman" w:cs="Times New Roman"/>
        </w:rPr>
        <w:t>drug</w:t>
      </w:r>
      <w:r w:rsidR="00EE288C">
        <w:rPr>
          <w:rFonts w:ascii="Times New Roman" w:hAnsi="Times New Roman" w:cs="Times New Roman"/>
        </w:rPr>
        <w:t xml:space="preserve"> use have drawn attention in analyses examining event-level associations with unprotected anal intercourse (UAI).  </w:t>
      </w:r>
      <w:r w:rsidR="00996C7A">
        <w:rPr>
          <w:rFonts w:ascii="Times New Roman" w:hAnsi="Times New Roman" w:cs="Times New Roman"/>
        </w:rPr>
        <w:t xml:space="preserve">Some studies point to significant associations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"DOI" : "http://dx.doi.org/10.1080/09540120903325433", "ISSN" : "0954-0121, 0954-0121", "abstract" : "Latino men who have sex with men (MSM) constitute a group at high risk for HIV. Recent approaches to understanding sexual risk have emphasized the role that contextual factors can play in shaping behavior. This study examined sexual behavior of Latino MSM in private and public settings. First, a within-person comparison of behaviors performed in sexual encounters that occurred in public and private settings was conducted. Unprotected anal intercourse (UAI) and other sexual behaviors involving anal stimulation were more common in private settings; group sex was more likely in public settings. Second, a between-person analysis compared sexual behaviors of MSM who went to three different types of public sex settings during the past six months. The types were: (1) commercial sex venues (CSVs), which were defined as businesses with the function of providing a space where MSM can go to have sexual encounters, such as gay bathhouses; (2) commercial sex environments (CSEs), which were defined as businesses with another apparent function, but in which MSM sometimes have sexual encounters, such as gay bars or pornographic movie houses; and (3) public sex environments (PSEs), which were defined as free public areas where MSM can go to find partners for anonymous sex, such as parks or public restrooms. Results indicated that anal sexual behavior was most likely to occur in CSVs and least likely in PSEs, but the probability of UAI was not found to differ among the three types of settings. Behavioral differences were discussed in terms of structural conditions related to privacy and safety, and psychological factors related to intimacy. Adapted from the source document.", "author" : [ { "dropping-particle" : "", "family" : "Reisen", "given" : "Carol A", "non-dropping-particle" : "", "parse-names" : false, "suffix" : "" }, { "dropping-particle" : "", "family" : "Iracheta", "given" : "Miguel A", "non-dropping-particle" : "", "parse-names" : false, "suffix" : "" }, { "dropping-particle" : "", "family" : "Zea", "given" : "Maria Cecilia", "non-dropping-particle" : "", "parse-names" : false, "suffix" : "" }, { "dropping-particle" : "", "family" : "Bianchi", "given" : "Fernanda T", "non-dropping-particle" : "", "parse-names" : false, "suffix" : "" }, { "dropping-particle" : "", "family" : "Poppen", "given" : "Paul J", "non-dropping-particle" : "", "parse-names" : false, "suffix" : "" } ], "container-title" : "AIDS Care", "id" : "ITEM-1", "issue" : "6", "issued" : { "date-parts" : [ [ "2010", "6" ] ] }, "language" : "English", "page" : "697-704", "publisher" : "Taylor &amp; Francis, Abingdon UK", "publisher-place" : "Department of Psychology, George Washington University, Washington, DC, USA", "title" : "Sex in public and private settings among Latino MSM", "type" : "article-journal", "volume" : "22" }, "uris" : [ "http://www.mendeley.com/documents/?uuid=80be694c-6324-408e-a930-ee9732ebe181" ] }, { "id" : "ITEM-2", "itemData" : { "DOI" : "10.1093/aje/kwh135",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"ITEM-2", "issue" : "10", "issued" : { "date-parts" : [ [ "2004", "5", "15" ] ] }, "note" : "From Duplicate 1 ( ", "page" : "1002-1012", "publisher-place" : "San Francisco Department of Public Health, HIV Research Branch, 25 Van Ness Avenue, Suite 710, San Francisco, CA 94102-6033", "title" : "Substance use and sexual risk: A participant- and episode-level analysis among a cohort of men who have sex with men", "type" : "article-journal", "volume" : "159" }, "uris" : [ "http://www.mendeley.com/documents/?uuid=0bdce725-f385-4ef4-b137-b8f3182036ff" ] } ], "mendeley" : { "formattedCitation" : "[1,2]", "plainTextFormattedCitation" : "[1,2]", "previouslyFormattedCitation" : "[1,2]"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[1,2]</w:t>
      </w:r>
      <w:r w:rsidR="00A251D9">
        <w:rPr>
          <w:rFonts w:ascii="Times New Roman" w:hAnsi="Times New Roman" w:cs="Times New Roman"/>
        </w:rPr>
        <w:fldChar w:fldCharType="end"/>
      </w:r>
      <w:r w:rsidR="00996C7A">
        <w:rPr>
          <w:rFonts w:ascii="Times New Roman" w:hAnsi="Times New Roman" w:cs="Times New Roman"/>
        </w:rPr>
        <w:t xml:space="preserve"> between location of sex and UAI during sex between men, while others do not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"DOI" : "http://dx.doi.org/10.1007/s10508-011-9854-x", "ISBN" : "0004-0002, 0004-0002", "abstract" : "Venue-based characteristics (e.g., alcohol in bars, anonymous chat online, dark/quiet spaces in bathhouses) can impact how men who have sex with men (MSM) negotiate sex and HIV-associated risk behavior. We sought to determine the association between HIV-associated risk factors and the venues where MSM met their most recent new (first-time) male sex partner, using data from a 2004 to 2005 national online anonymous survey of MSM in the U.S. (n = 2,865). Most men (62%) met their partner through the Internet. Among those reporting anal sex during their last encounter (n = 1,550), half had not used a condom. In multivariate modeling, and among men reporting anal sex during their last encounter, venue where partner was met was not significantly associated with unprotected anal intercourse (UAI). Nevertheless, venue was related to other factors that contextualized men's sexual encounters. For example, HIV status disclosure was lowest among men who met their most recent partner in a park, outdoors, or other public place and highest among men who met their most recent partner online. Alcohol use prior to/during the last sexual encounter was highest among men who met their most recent partner in a bathhouse or a bar/club/party/event. These data suggest it is possible to reach men online who seek sex in many different venues, thus potentially broadening the impact of prevention messages delivered in virtual environments. Although not associated with UAI, venues are connected to social-behavioral facets of corresponding sexual encounters, and may be important arenas for differential HIV and STI education, treatment, and prevention. Adapted from the source document.", "author" : [ { "dropping-particle" : "", "family" : "Grov", "given" : "Christian", "non-dropping-particle" : "", "parse-names" : false, "suffix" : "" }, { "dropping-particle" : "", "family" : "Hirshfield", "given" : "Sabina", "non-dropping-particle" : "", "parse-names" : false, "suffix" : "" }, { "dropping-particle" : "", "family" : "Remien", "given" : "Robert H", "non-dropping-particle" : "", "parse-names" : false, "suffix" : "" }, { "dropping-particle" : "", "family" : "Humberstone", "given" : "Mike", "non-dropping-particle" : "", "parse-names" : false, "suffix" : "" }, { "dropping-particle" : "", "family" : "Chiasson", "given" : "Mary Ann", "non-dropping-particle" : "", "parse-names" : false, "suffix" : "" } ], "container-title" : "Archives of sexual behavior", "id" : "ITEM-1", "issue" : "2", "issued" : { "date-parts" : [ [ "2013" ] ] }, "language" : "English", "page" : "291-302", "title" : "Exploring the Venue's Role in Risky Sexual Behavior Among Gay and Bisexual Men: An Event-Level Analysis from a National Online Survey in the U.S", "type" : "article-journal", "volume" : "42" }, "uris" : [ "http://www.mendeley.com/documents/?uuid=2b75f071-f3b9-42c8-b4bd-618e43794d14" ] }, { "id" : "ITEM-2",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"ITEM-2", "issue" : "9-B", "issued" : { "date-parts" : [ [ "2004" ] ] }, "language" : "English", "note" : "From Duplicate 1 ( ",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"id" : "ITEM-3",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"ITEM-3", "issue" : "1", "issued" : { "date-parts" : [ [ "2005" ] ] }, "note" : "From Duplicate 2 ( ", "page" : "23-32", "publisher" : "National Centre in HIV Epidemiology and Clinical Research, University of New South Wales, Sydney, Australia. gprestage@nchecr.unsw.edu.au", "publisher-place" : "England", "title" : "Contexts for last occasions of unprotected anal intercourse among HIV-negative gay men in Sydney: the health in men cohort.", "type" : "article-journal", "volume" : "17" }, "uris" : [ "http://www.mendeley.com/documents/?uuid=e28415b8-0d6c-457e-b3d1-53f26fd4dd9a" ] } ], "mendeley" : { "formattedCitation" : "[3\u20135]", "plainTextFormattedCitation" : "[3\u20135]", "previouslyFormattedCitation" : "[3\u20135]"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[3–5]</w:t>
      </w:r>
      <w:r w:rsidR="00A251D9">
        <w:rPr>
          <w:rFonts w:ascii="Times New Roman" w:hAnsi="Times New Roman" w:cs="Times New Roman"/>
        </w:rPr>
        <w:fldChar w:fldCharType="end"/>
      </w:r>
      <w:r w:rsidR="00996C7A">
        <w:rPr>
          <w:rFonts w:ascii="Times New Roman" w:hAnsi="Times New Roman" w:cs="Times New Roman"/>
        </w:rPr>
        <w:t xml:space="preserve">, though </w:t>
      </w:r>
      <w:r w:rsidR="0013732D">
        <w:rPr>
          <w:rFonts w:ascii="Times New Roman" w:hAnsi="Times New Roman" w:cs="Times New Roman"/>
        </w:rPr>
        <w:t xml:space="preserve">most </w:t>
      </w:r>
      <w:r w:rsidR="00996C7A">
        <w:rPr>
          <w:rFonts w:ascii="Times New Roman" w:hAnsi="Times New Roman" w:cs="Times New Roman"/>
        </w:rPr>
        <w:t xml:space="preserve">evidence on this association is not recent.  Moreover, though a recent systematic review found that encounters with partners met via the internet were associated with </w:t>
      </w:r>
      <w:r w:rsidR="00D61F4F">
        <w:rPr>
          <w:rFonts w:ascii="Times New Roman" w:hAnsi="Times New Roman" w:cs="Times New Roman"/>
        </w:rPr>
        <w:t>in</w:t>
      </w:r>
      <w:r w:rsidR="00996C7A">
        <w:rPr>
          <w:rFonts w:ascii="Times New Roman" w:hAnsi="Times New Roman" w:cs="Times New Roman"/>
        </w:rPr>
        <w:t xml:space="preserve">creased risk as compared to encounters with partners met in sex-on-premises venues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"ISBN" : "1368-4973", "abstract" : "Introduction Men who have sex with men (MSM) who identify sex partners over the internet are more likely than other MSM to report having unprotected anal intercourse (UAI). It is unclear whether the internet facilitates pursuit of high-risk sex or whether MSM seeking sex online are a higher-risk population than other MSM. To summarise evidence as to whether internet-based partner selection predisposes MSM to high-risk behaviour, we conducted a meta-analysis of observational studies comparing MSM's UAI risk in online-initiated encounters to their UAI risk in offline-initiated encounters. Methods We systematically searched published, peer-reviewed literature to identify studies reporting MSM participants' engagement in UAI with online-identified and offline-identified male partners. We calculated pooled odds ratios for any UAI and for seroadaptive UAI practices with partners identified online relative to partners identified offline. Results We included 11 studies representing 39 602 sexual encounters. Odds for any UAI, seroconcordant UAI and serodiscordant UAI with strategic positioning were higher in online-initiated than offline-initiated encounters. Odds for UAI in group sex were higher in online-initiated encounters only among HIV-positive MSM. Effect sizes for all outcomes were greater among HIV-positive than HIV-negative MSM. Effect sizes were greatest when bathhouses, saunas and sex resorts were treated as offline comparison venues. Conclusions Encounters initiated online have elevated odds for entailing UAI and seroadaptive UAI practices. Online-delivered behavioural interventions should address insufficiency of risk-reducing practices involving UAI relative to consistent condom use and promote frequent HIV testing among MSM seeking UAI partners online.", "author" : [ { "dropping-particle" : "", "family" : "Lewnard", "given" : "J A", "non-dropping-particle" : "", "parse-names" : false, "suffix" : "" }, { "dropping-particle" : "", "family" : "Berrang-Ford", "given" : "L", "non-dropping-particle" : "", "parse-names" : false, "suffix" : "" } ], "container-title" : "Sexually Transmitted Infections", "id" : "ITEM-1", "issue" : "4", "issued" : { "date-parts" : [ [ "2014" ] ] }, "language" : "English", "page" : "290-296", "title" : "Internet-based partner selection and risk for unprotected anal intercourse in sexual encounters among men who have sex with men: a meta-analysis of observational studies", "type" : "article-journal", "volume" : "90" }, "uris" : [ "http://www.mendeley.com/documents/?uuid=893208dd-5082-4fb2-b43f-f24321b74f53" ] } ], "mendeley" : { "formattedCitation" : "[6]", "plainTextFormattedCitation" : "[6]", "previouslyFormattedCitation" : "[6]"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[6]</w:t>
      </w:r>
      <w:r w:rsidR="00A251D9">
        <w:rPr>
          <w:rFonts w:ascii="Times New Roman" w:hAnsi="Times New Roman" w:cs="Times New Roman"/>
        </w:rPr>
        <w:fldChar w:fldCharType="end"/>
      </w:r>
      <w:r w:rsidR="00996C7A">
        <w:rPr>
          <w:rFonts w:ascii="Times New Roman" w:hAnsi="Times New Roman" w:cs="Times New Roman"/>
        </w:rPr>
        <w:t xml:space="preserve">, this review did not examine or compare locations of sex specifically.  </w:t>
      </w:r>
      <w:r w:rsidR="00EE288C">
        <w:rPr>
          <w:rFonts w:ascii="Times New Roman" w:hAnsi="Times New Roman" w:cs="Times New Roman"/>
        </w:rPr>
        <w:t xml:space="preserve">A recent systematic review of event-level studies </w:t>
      </w:r>
      <w:r w:rsidR="005A77C3">
        <w:rPr>
          <w:rFonts w:ascii="Times New Roman" w:hAnsi="Times New Roman" w:cs="Times New Roman"/>
        </w:rPr>
        <w:t xml:space="preserve">of </w:t>
      </w:r>
      <w:r w:rsidR="009D3D2E">
        <w:rPr>
          <w:rFonts w:ascii="Times New Roman" w:hAnsi="Times New Roman" w:cs="Times New Roman"/>
        </w:rPr>
        <w:t>sex between men</w:t>
      </w:r>
      <w:r w:rsidR="00EE288C">
        <w:rPr>
          <w:rFonts w:ascii="Times New Roman" w:hAnsi="Times New Roman" w:cs="Times New Roman"/>
        </w:rPr>
        <w:t xml:space="preserve">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"chapter-number" : "1394", "container-title" : "AIDS &amp; Behavior", "id" : "ITEM-1", "issue" : "6", "issued" : { "date-parts" : [ [ "2012", "2", "10" ] ] }, "page" : "1394-1410", "publisher" : "Division of HIV/AIDS Prevention, Mailstop E37, Centers for Disease Control and Prevention, 1600 Clifton Rd NE, Atlanta, GA, 30333, USA, HWVosburgh@cdc.gov.", "publisher-place" : "United States", "title" : "A review of the literature on event-level substance use and sexual risk behavior among men who have sex with men.", "type" : "article-journal", "volume" : "16" }, "uris" : [ "http://www.mendeley.com/documents/?uuid=8fb530c3-1bc2-49fb-8cfc-bb64fa06310b" ] } ], "mendeley" : { "formattedCitation" : "[7]", "plainTextFormattedCitation" : "[7]", "previouslyFormattedCitation" : "[7]"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[7]</w:t>
      </w:r>
      <w:r w:rsidR="00A251D9">
        <w:rPr>
          <w:rFonts w:ascii="Times New Roman" w:hAnsi="Times New Roman" w:cs="Times New Roman"/>
        </w:rPr>
        <w:fldChar w:fldCharType="end"/>
      </w:r>
      <w:r w:rsidR="00EE288C">
        <w:rPr>
          <w:rFonts w:ascii="Times New Roman" w:hAnsi="Times New Roman" w:cs="Times New Roman"/>
        </w:rPr>
        <w:t xml:space="preserve"> </w:t>
      </w:r>
      <w:r w:rsidR="005A77C3">
        <w:rPr>
          <w:rFonts w:ascii="Times New Roman" w:hAnsi="Times New Roman" w:cs="Times New Roman"/>
        </w:rPr>
        <w:t>f</w:t>
      </w:r>
      <w:r w:rsidR="00716CB2">
        <w:rPr>
          <w:rFonts w:ascii="Times New Roman" w:hAnsi="Times New Roman" w:cs="Times New Roman"/>
        </w:rPr>
        <w:t>ound</w:t>
      </w:r>
      <w:r w:rsidR="005A77C3">
        <w:rPr>
          <w:rFonts w:ascii="Times New Roman" w:hAnsi="Times New Roman" w:cs="Times New Roman"/>
        </w:rPr>
        <w:t xml:space="preserve"> only </w:t>
      </w:r>
      <w:r w:rsidR="0013732D">
        <w:rPr>
          <w:rFonts w:ascii="Times New Roman" w:hAnsi="Times New Roman" w:cs="Times New Roman"/>
        </w:rPr>
        <w:t xml:space="preserve">weak </w:t>
      </w:r>
      <w:r w:rsidR="00EE288C">
        <w:rPr>
          <w:rFonts w:ascii="Times New Roman" w:hAnsi="Times New Roman" w:cs="Times New Roman"/>
        </w:rPr>
        <w:t xml:space="preserve">evidence for </w:t>
      </w:r>
      <w:r w:rsidR="005A77C3">
        <w:rPr>
          <w:rFonts w:ascii="Times New Roman" w:hAnsi="Times New Roman" w:cs="Times New Roman"/>
        </w:rPr>
        <w:t xml:space="preserve">a general </w:t>
      </w:r>
      <w:r w:rsidR="00EE288C">
        <w:rPr>
          <w:rFonts w:ascii="Times New Roman" w:hAnsi="Times New Roman" w:cs="Times New Roman"/>
        </w:rPr>
        <w:t xml:space="preserve">association between </w:t>
      </w:r>
      <w:r w:rsidR="0076208F">
        <w:rPr>
          <w:rFonts w:ascii="Times New Roman" w:hAnsi="Times New Roman" w:cs="Times New Roman"/>
        </w:rPr>
        <w:t>drug</w:t>
      </w:r>
      <w:r w:rsidR="00EE288C">
        <w:rPr>
          <w:rFonts w:ascii="Times New Roman" w:hAnsi="Times New Roman" w:cs="Times New Roman"/>
        </w:rPr>
        <w:t xml:space="preserve"> use and UAI, though evidence is strong for some </w:t>
      </w:r>
      <w:r w:rsidR="005A77C3">
        <w:rPr>
          <w:rFonts w:ascii="Times New Roman" w:hAnsi="Times New Roman" w:cs="Times New Roman"/>
        </w:rPr>
        <w:t xml:space="preserve">specific </w:t>
      </w:r>
      <w:r w:rsidR="0076208F">
        <w:rPr>
          <w:rFonts w:ascii="Times New Roman" w:hAnsi="Times New Roman" w:cs="Times New Roman"/>
        </w:rPr>
        <w:t>drug</w:t>
      </w:r>
      <w:r w:rsidR="00EE288C">
        <w:rPr>
          <w:rFonts w:ascii="Times New Roman" w:hAnsi="Times New Roman" w:cs="Times New Roman"/>
        </w:rPr>
        <w:t>s</w:t>
      </w:r>
      <w:r w:rsidR="0030129D">
        <w:rPr>
          <w:rFonts w:ascii="Times New Roman" w:hAnsi="Times New Roman" w:cs="Times New Roman"/>
        </w:rPr>
        <w:t>, including binge alcohol drinking and crystal methamphetamine</w:t>
      </w:r>
      <w:r w:rsidR="00EE288C">
        <w:rPr>
          <w:rFonts w:ascii="Times New Roman" w:hAnsi="Times New Roman" w:cs="Times New Roman"/>
        </w:rPr>
        <w:t xml:space="preserve">.  </w:t>
      </w:r>
      <w:r w:rsidR="00716CB2">
        <w:rPr>
          <w:rFonts w:ascii="Times New Roman" w:hAnsi="Times New Roman" w:cs="Times New Roman"/>
        </w:rPr>
        <w:t xml:space="preserve">Another systematic review found evidence for associations between poppers use and increased risk of HIV transmission generally, due both to encounter-level sexual risk and biological changes in smooth muscle tissue associated with poppers use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"DOI" : "10.1080/10826080600847894", "ISBN" : "1082-6084", "ISSN" : "1082-6084", "PMID" : "17002993", "abstract" : "We reviewed medical and psychology databases for articles published between January 1980 and August 2005 demonstrating associations between HIV/Sexually Transmitted Infection risk and club drug use. Seventy-four articles were reviewed, of which 30 provided adjusted risk ratios for associations between HIV/sexually transmitted infection risk and club drug use among men who have sex with men. Definitions and lists of club drugs were broad and inconsistent. We constructed a conceptual framework of biologically plausible pathways for causation. Using Hill's criteria to examine club drugs as causal risk factors for HIV, we found the most evidence for methamphetamine and volatile nitrites; however, more studies are needed.", "author" : [ { "dropping-particle" : "", "family" : "Drumright", "given" : "Lydia N", "non-dropping-particle" : "", "parse-names" : false, "suffix" : "" }, { "dropping-particle" : "", "family" : "Patterson", "given" : "Thomas L", "non-dropping-particle" : "", "parse-names" : false, "suffix" : "" }, { "dropping-particle" : "", "family" : "Strathdee", "given" : "Steffanie A", "non-dropping-particle" : "", "parse-names" : false, "suffix" : "" } ], "container-title" : "Substance Use &amp; Misuse", "id" : "ITEM-1", "issue" : "10-12", "issued" : { "date-parts" : [ [ "2006", "1" ] ] }, "language" : "English", "note" : "From Duplicate 2 ( Club Drugs as Causal Risk Factors for HIV Acquisition among Men Who Have Sex with Men: A Review - Drumright, Lydia N; Patterson, Thomas L; Strathdee, Steffanie A )", "page" : "1551-1601", "publisher" : "Antiviral Research Center, University of California, San Diego, 92103, USA. ldrumrig@ucsd.edu", "publisher-place" : "United States", "title" : "Club drugs as causal risk factors for HIV acquisition among men who have sex with men: a review.", "type" : "article-journal", "volume" : "41" }, "uris" : [ "http://www.mendeley.com/documents/?uuid=7f593cf6-a9e7-497f-a991-b722041bdf7a" ] } ], "mendeley" : { "formattedCitation" : "[8]", "plainTextFormattedCitation" : "[8]", "previouslyFormattedCitation" : "[8]"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[8]</w:t>
      </w:r>
      <w:r w:rsidR="00A251D9">
        <w:rPr>
          <w:rFonts w:ascii="Times New Roman" w:hAnsi="Times New Roman" w:cs="Times New Roman"/>
        </w:rPr>
        <w:fldChar w:fldCharType="end"/>
      </w:r>
      <w:r w:rsidR="00716CB2">
        <w:rPr>
          <w:rFonts w:ascii="Times New Roman" w:hAnsi="Times New Roman" w:cs="Times New Roman"/>
        </w:rPr>
        <w:t xml:space="preserve">, though this evidence is not recent.  Other person-level studies have found that use of poppers is associated with increased sexual risk behaviour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"DOI" : "10.1007/s10461-011-9911-4", "ISSN" : "1090-7165", "abstract" : "In the US, Latino MSM are disproportionately affected by HIV, yet there is a paucity of data for this risk group. To this end, we examined data on Latino and non-Latino white MSM who participated across six cities in a 2-year randomized behavioral intervention study-Project EXPLORE. At baseline, Latinos reported significantly more serodiscordant unprotected anal intercourse (SDUA) than non-Latinos. Longitudinal predictors of SDUA included marijuana, poppers, amphetamines and heavy drinking, as well as lower self-efficacy, poorer communication skills, weaker safe-sex norms and more enjoyment of risky sex. For HIV infection, Latinos had significantly higher seroconversion rate over follow-up than non-Latinos. Longitudinal predictors of seroconversion among Latinos included poppers and SDUA. Intervention effects did not significantly differ between Latino and non-Latinos. Findings support HIV intervention work with Latino MSM that includes skills training/counseling to address attitudes about safe sex and impact of substance use on HIV-risk behavior and acquisition.Original Abstract: En los Estados Unidos, el VIH afecta de una manera desproporcionada a los hombres de origen latino que tienen relaciones sexuales con otros hombres. Pero aun hay poca informacion o datos disponibles que enfocan en este grupo de alto riesgo. A este fin, examinamos los datos de hombres que tienen relaciones sexuales con otros hombres (HSH) quienes participaron en un estudio aleatorizado de dos anos de una intervencion conductual que se llevo a cabo en seis ciudades - Project EXPLORE. Solo examinamos los datos de participantes de origen latino y de blancos no de origen latino. En la visita inicial, comparado a los blancos, los hombres de origen latino indicaron significativamente mas altos niveles de sexo anal serodiscordante sin proteccion (SDUA). Al transcurso del estudio, predictores longitudinales de SDUA incluyeron los siguientes: uso de marijuana, poppers (nitritos), anfetaminas, y un nivel alto de consumir el alcohol, y tambien un nivel bajo de auto-eficacia, pobres destrezas de communicacion, bajas normas sobre el sexo seguro, y mas disfrutamiento del sexo de alto riesgo. Con respecto a la infeccion por VIH, los latinos experimentaron significativamente mas altos niveles de sero-infeccion sobre el transcurso del estudio en comparacion a los hombres blancos. Los predictores longitudinales de sero-infeccion para los latinos incluyeron el uso de poppers (nitritos) y SDUA. El\u2026", "author" : [ { "dropping-particle" : "", "family" : "Bedoya", "given" : "C Andres", "non-dropping-particle" : "", "parse-names" : false, "suffix" : "" }, { "dropping-particle" : "", "family" : "Mimiaga", "given" : "Mathew J", "non-dropping-particle" : "", "parse-names" : false, "suffix" : "" }, { "dropping-particle" : "", "family" : "Beauchamp", "given" : "Geetha", "non-dropping-particle" : "", "parse-names" : false, "suffix" : "" }, { "dropping-particle" : "", "family" : "Donnell", "given" : "Deborah", "non-dropping-particle" : "", "parse-names" : false, "suffix" : "" }, { "dropping-particle" : "", "family" : "Mayer", "given" : "Kenneth H", "non-dropping-particle" : "", "parse-names" : false, "suffix" : "" }, { "dropping-particle" : "", "family" : "Safren", "given" : "Steven A", "non-dropping-particle" : "", "parse-names" : false, "suffix" : "" } ], "container-title" : "AIDS and Behavior", "id" : "ITEM-1", "issue" : "3", "issued" : { "date-parts" : [ [ "2012" ] ] }, "page" : "608-617", "publisher-place" : "Harvard Medical School/Massachusetts General Hospital, Boston, MA, USA,", "title" : "Predictors of HIV Transmission Risk Behavior and Seroconversion Among Latino Men Who have Sex with Men in Project EXPLORE", "type" : "article-journal", "volume" : "16" }, "uris" : [ "http://www.mendeley.com/documents/?uuid=3488e760-9f27-4e05-b990-4faad905fdde" ] }, { "id" : "ITEM-2", "itemData" : { "DOI" : "10.1097/OLQ.0b013e3182515601", "ISSN" : "0148-5717", "abstract" : "Background: Recreational drug use is associated with high-risk sexual\nbehavior and sexually transmitted infections (STIs). We assessed the\nprevalence of drug use during sex and the associations between such use\nand STI (chlamydia, gonorrhea, or syphilis).\nMethods: During 3 periods in 2008 and 2009, attendees of an STI clinic\nin Amsterdam were interviewed about sexual behavior and drug use during\nsex and tested for STI. Associations between sex-related drug use and\nSTI were assessed separately for heterosexual men, men who have sex with\nmen (MSM), and women. We examined whether drug use was associated with\nSTI after adjusting for high-risk sexual behavior.\nResults: Nine hundred sixty-one heterosexual men, 673 MSM, and 1188\nwomen participated in this study. Of these, 11.9% had chlamydia, 3.4%\ngonorrhea, and 1.2% syphilis. Sex-related drug use in the previous 6\nmonths was reported by 22.6% of heterosexual men, 51.6% of MSM, and\n16.0% of women. In multivariable analyses, adjusting for demographics\n(and high-risk sexual behavior in MSM), sex-related drug use was\nassociated with STI in MSM (any drugs and poppers) and women (GHB and\nXTC) but not in heterosexual men. Stratified analysis in MSM showed that\nsex-related use of poppers was associated with STI in HIV-negative MSM\nbut not in HIV-infected MSM.\nConclusion: Clients reported frequent sex-related drug use, which was\nassociated with STI in MSM and women. In MSM, sex-related drug use was\nassociated with STI after adjusting for high-risk sexual behavior but\nonly in HIV-negative MSM. Prevention measures targeted at decreasing\nsex-related drug use could reduce the incidence of STI.", "author" : [ { "dropping-particle" : "", "family" : "Heiligenberg", "given" : "Marlies", "non-dropping-particle" : "", "parse-names" : false, "suffix" : "" }, { "dropping-particle" : "", "family" : "Wermeling", "given" : "Paulien R", "non-dropping-particle" : "", "parse-names" : false, "suffix" : "" }, { "dropping-particle" : "", "family" : "Rooijen", "given" : "Martijn S", "non-dropping-particle" : "van", "parse-names" : false, "suffix" : "" }, { "dropping-particle" : "", "family" : "Urbanus", "given" : "Anouk T", "non-dropping-particle" : "", "parse-names" : false, "suffix" : "" }, { "dropping-particle" : "", "family" : "Speksnijder", "given" : "Arjen G C L", "non-dropping-particle" : "", "parse-names" : false, "suffix" : "" }, { "dropping-particle" : "", "family" : "Heijman", "given" : "Titia", "non-dropping-particle" : "", "parse-names" : false, "suffix" : "" }, { "dropping-particle" : "", "family" : "Prins", "given" : "Maria", "non-dropping-particle" : "", "parse-names" : false, "suffix" : "" }, { "dropping-particle" : "", "family" : "Coutinho", "given" : "Roel A", "non-dropping-particle" : "", "parse-names" : false, "suffix" : "" }, { "dropping-particle" : "", "family" : "Loeff", "given" : "Maarten F Schim", "non-dropping-particle" : "van der", "parse-names" : false, "suffix" : "" } ], "container-title" : "SEXUALLY TRANSMITTED DISEASES", "id" : "ITEM-2", "issue" : "7", "issued" : { "date-parts" : [ [ "2012", "7" ] ] }, "page" : "518-527", "title" : "Recreational Drug Use During Sex and Sexually Transmitted Infections Among Clients of a City Sexually Transmitted Infections Clinic in Amsterdam, The Netherlands", "type" : "article-journal", "volume" : "39" }, "uris" : [ "http://www.mendeley.com/documents/?uuid=8eb26852-05e7-4e2c-8256-10c7ae9502ad" ] }, { "id" : "ITEM-3", "itemData" : { "ISBN" : "1938-4114", "abstract" : "OBJECTIVE: This study examined substance use (intended and actual), unprotected sex, and HIV disclosure practices (disclosure and questioning) among HIV-positive men who have sex with men (MSM) at two party-oriented vacations, where substance use and sexual risk may be heightened., METHOD: A random sample of 489 MSM attending one of two party-oriented vacations participated in PartyIntents, a short-term longitudinal survey. Nearly half (47%) completed a follow-up assessment at the event or online for up to 2 weeks after the event. We examined rates of baseline intentions to use substances, actual substance use, and unprotected intercourse among HIV-positive men in attendance.Rates among HIV-negative men were estimated for comparison. Multiple logistic regression was used to assess the impact of illegal drug use and HIV status on unprotected anal intercourse (UAI)., RESULTS: HIV-positive attendees (17%) were significantly more likely than HIV-negative attendees to use nitrite inhalants (or \"poppers\") (24.3% vs. 10.7%). HIV-positive attendees were also significantly more likely to have insertive UAI (64.3% vs. 34.1%) and receptive UAI (68.8% vs. 22.2%). Multivariate models showed associations between HIV status and illegal drug use with UAI (for HIV status, odds ratio [OR] = 4.5, p = .001; for any illegal drug use, OR = 16.4, p &lt; .001). There was no evidence that the influence of drug use moderated risk by HIV status. Rates of HIV disclosure and questioning did not differ by HIV status., CONCLUSIONS: HIV-positive men attending these events engaged in higher rates of illegal drug use and sexual risk than HIV-negative men. Prevention campaigns targeting MSM at high-risk events should include messages geared toward HIV-positive men.", "author" : [ { "dropping-particle" : "", "family" : "Fisher", "given" : "Michael P", "non-dropping-particle" : "", "parse-names" : false, "suffix" : "" }, { "dropping-particle" : "", "family" : "Ramchand", "given" : "Rajeev", "non-dropping-particle" : "", "parse-names" : false, "suffix" : "" }, { "dropping-particle" : "", "family" : "Bana", "given" : "Sarah", "non-dropping-particle" : "", "parse-names" : false, "suffix" : "" }, { "dropping-particle" : "", "family" : "Iguchi", "given" : "Martin Y", "non-dropping-particle" : "", "parse-names" : false, "suffix" : "" } ], "container-title" : "Journal of studies on alcohol and drugs", "id" : "ITEM-3", "issue" : "1", "issued" : { "date-parts" : [ [ "2013" ] ] }, "page" : "158-167", "publisher" : "RAND Corporation, Arlington, VA 22202, USA. mfisher@rand.org", "publisher-place" : "United States", "title" : "Risk behaviors among HIV-positive gay and bisexual men at party-oriented vacations.", "type" : "article-journal", "volume" : "74" }, "uris" : [ "http://www.mendeley.com/documents/?uuid=71867feb-4e6d-41bb-a22d-2065ea7de251" ] } ], "mendeley" : { "formattedCitation" : "[9\u201311]", "plainTextFormattedCitation" : "[9\u201311]", "previouslyFormattedCitation" : "[9\u201311]"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[9–11]</w:t>
      </w:r>
      <w:r w:rsidR="00A251D9">
        <w:rPr>
          <w:rFonts w:ascii="Times New Roman" w:hAnsi="Times New Roman" w:cs="Times New Roman"/>
        </w:rPr>
        <w:fldChar w:fldCharType="end"/>
      </w:r>
      <w:r w:rsidR="00716CB2">
        <w:rPr>
          <w:rFonts w:ascii="Times New Roman" w:hAnsi="Times New Roman" w:cs="Times New Roman"/>
        </w:rPr>
        <w:t xml:space="preserve">, possibly due to the role of poppers in facilitating receptive anal intercourse via smooth muscle dilatation. </w:t>
      </w:r>
      <w:r w:rsidR="00EE288C">
        <w:rPr>
          <w:rFonts w:ascii="Times New Roman" w:hAnsi="Times New Roman" w:cs="Times New Roman"/>
        </w:rPr>
        <w:t xml:space="preserve">A question that has not been substantively explored in the </w:t>
      </w:r>
      <w:r w:rsidR="00BE458F">
        <w:rPr>
          <w:rFonts w:ascii="Times New Roman" w:hAnsi="Times New Roman" w:cs="Times New Roman"/>
        </w:rPr>
        <w:t xml:space="preserve">event-level </w:t>
      </w:r>
      <w:r w:rsidR="00B726F5">
        <w:rPr>
          <w:rFonts w:ascii="Times New Roman" w:hAnsi="Times New Roman" w:cs="Times New Roman"/>
        </w:rPr>
        <w:t>data</w:t>
      </w:r>
      <w:r w:rsidR="00EE288C">
        <w:rPr>
          <w:rFonts w:ascii="Times New Roman" w:hAnsi="Times New Roman" w:cs="Times New Roman"/>
        </w:rPr>
        <w:t xml:space="preserve"> is </w:t>
      </w:r>
      <w:r w:rsidR="00953B6A">
        <w:rPr>
          <w:rFonts w:ascii="Times New Roman" w:hAnsi="Times New Roman" w:cs="Times New Roman"/>
        </w:rPr>
        <w:t>moderation</w:t>
      </w:r>
      <w:r w:rsidR="00EE288C">
        <w:rPr>
          <w:rFonts w:ascii="Times New Roman" w:hAnsi="Times New Roman" w:cs="Times New Roman"/>
        </w:rPr>
        <w:t xml:space="preserve"> between </w:t>
      </w:r>
      <w:r w:rsidR="0076208F">
        <w:rPr>
          <w:rFonts w:ascii="Times New Roman" w:hAnsi="Times New Roman" w:cs="Times New Roman"/>
        </w:rPr>
        <w:t>drug</w:t>
      </w:r>
      <w:r w:rsidR="00EE288C">
        <w:rPr>
          <w:rFonts w:ascii="Times New Roman" w:hAnsi="Times New Roman" w:cs="Times New Roman"/>
        </w:rPr>
        <w:t xml:space="preserve"> use and location of sex in associations with sexual risk behaviour.  </w:t>
      </w:r>
      <w:r w:rsidR="00953B6A">
        <w:rPr>
          <w:rFonts w:ascii="Times New Roman" w:hAnsi="Times New Roman" w:cs="Times New Roman"/>
        </w:rPr>
        <w:t xml:space="preserve">That is to say, to what degree is the relationship between location of sex and sexual risk conditional on drug use?  </w:t>
      </w:r>
      <w:r w:rsidR="00BE458F">
        <w:rPr>
          <w:rFonts w:ascii="Times New Roman" w:hAnsi="Times New Roman" w:cs="Times New Roman"/>
        </w:rPr>
        <w:lastRenderedPageBreak/>
        <w:t>Q</w:t>
      </w:r>
      <w:r w:rsidR="00EE288C">
        <w:rPr>
          <w:rFonts w:ascii="Times New Roman" w:hAnsi="Times New Roman" w:cs="Times New Roman"/>
        </w:rPr>
        <w:t xml:space="preserve">ualitative evidence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"mendeley" : { "formattedCitation" : "[12]", "plainTextFormattedCitation" : "[12]", "previouslyFormattedCitation" : "[12]" }, "properties" : { "noteIndex" : 0 }, "schema" : "https://github.com/citation-style-language/schema/raw/master/csl-citation.json" }</w:instrText>
      </w:r>
      <w:r w:rsidR="00A251D9">
        <w:rPr>
          <w:rFonts w:ascii="Times New Roman" w:hAnsi="Times New Roman" w:cs="Times New Roman"/>
        </w:rPr>
        <w:fldChar w:fldCharType="separate"/>
      </w:r>
      <w:r w:rsidR="00716CB2" w:rsidRPr="00716CB2">
        <w:rPr>
          <w:rFonts w:ascii="Times New Roman" w:hAnsi="Times New Roman" w:cs="Times New Roman"/>
          <w:noProof/>
        </w:rPr>
        <w:t>[12]</w:t>
      </w:r>
      <w:r w:rsidR="00A251D9">
        <w:rPr>
          <w:rFonts w:ascii="Times New Roman" w:hAnsi="Times New Roman" w:cs="Times New Roman"/>
        </w:rPr>
        <w:fldChar w:fldCharType="end"/>
      </w:r>
      <w:r w:rsidR="00EE288C">
        <w:rPr>
          <w:rFonts w:ascii="Times New Roman" w:hAnsi="Times New Roman" w:cs="Times New Roman"/>
        </w:rPr>
        <w:t xml:space="preserve"> </w:t>
      </w:r>
      <w:r w:rsidR="00F51787">
        <w:rPr>
          <w:rFonts w:ascii="Times New Roman" w:hAnsi="Times New Roman" w:cs="Times New Roman"/>
        </w:rPr>
        <w:t xml:space="preserve">suggests that </w:t>
      </w:r>
      <w:r w:rsidR="0076208F">
        <w:rPr>
          <w:rFonts w:ascii="Times New Roman" w:hAnsi="Times New Roman" w:cs="Times New Roman"/>
        </w:rPr>
        <w:t>drug</w:t>
      </w:r>
      <w:r w:rsidR="00BE458F">
        <w:rPr>
          <w:rFonts w:ascii="Times New Roman" w:hAnsi="Times New Roman" w:cs="Times New Roman"/>
        </w:rPr>
        <w:t xml:space="preserve"> use </w:t>
      </w:r>
      <w:r w:rsidR="00996C7A">
        <w:rPr>
          <w:rFonts w:ascii="Times New Roman" w:hAnsi="Times New Roman" w:cs="Times New Roman"/>
        </w:rPr>
        <w:t xml:space="preserve">may moderate the association between location of sex </w:t>
      </w:r>
      <w:r w:rsidR="00BE458F">
        <w:rPr>
          <w:rFonts w:ascii="Times New Roman" w:hAnsi="Times New Roman" w:cs="Times New Roman"/>
        </w:rPr>
        <w:t xml:space="preserve">and </w:t>
      </w:r>
      <w:r w:rsidR="00F51787">
        <w:rPr>
          <w:rFonts w:ascii="Times New Roman" w:hAnsi="Times New Roman" w:cs="Times New Roman"/>
        </w:rPr>
        <w:t>sexual risk behaviour</w:t>
      </w:r>
      <w:r w:rsidR="00BE458F">
        <w:rPr>
          <w:rFonts w:ascii="Times New Roman" w:hAnsi="Times New Roman" w:cs="Times New Roman"/>
        </w:rPr>
        <w:t>.</w:t>
      </w:r>
      <w:r w:rsidR="000A5115">
        <w:rPr>
          <w:rFonts w:ascii="Times New Roman" w:hAnsi="Times New Roman" w:cs="Times New Roman"/>
        </w:rPr>
        <w:t xml:space="preserve"> </w:t>
      </w:r>
    </w:p>
    <w:p w14:paraId="555282B7" w14:textId="07E2BC5D" w:rsidR="00BE458F" w:rsidRPr="00BE458F" w:rsidRDefault="00BE458F" w:rsidP="00E54F0A">
      <w:pPr>
        <w:spacing w:line="480" w:lineRule="auto"/>
        <w:rPr>
          <w:rFonts w:ascii="Times New Roman" w:hAnsi="Times New Roman" w:cs="Times New Roman"/>
        </w:rPr>
      </w:pPr>
      <w:r>
        <w:rPr>
          <w:rFonts w:ascii="Times New Roman" w:hAnsi="Times New Roman" w:cs="Times New Roman"/>
        </w:rPr>
        <w:tab/>
        <w:t xml:space="preserve">This analysis used data </w:t>
      </w:r>
      <w:r w:rsidR="0030129D">
        <w:rPr>
          <w:rFonts w:ascii="Times New Roman" w:hAnsi="Times New Roman" w:cs="Times New Roman"/>
        </w:rPr>
        <w:t xml:space="preserve">on encounters with new partners </w:t>
      </w:r>
      <w:r>
        <w:rPr>
          <w:rFonts w:ascii="Times New Roman" w:hAnsi="Times New Roman" w:cs="Times New Roman"/>
        </w:rPr>
        <w:t>from an internet-based cohort study of MSM living in England to test</w:t>
      </w:r>
      <w:r w:rsidR="00950638">
        <w:rPr>
          <w:rFonts w:ascii="Times New Roman" w:hAnsi="Times New Roman" w:cs="Times New Roman"/>
        </w:rPr>
        <w:t xml:space="preserve"> </w:t>
      </w:r>
      <w:r>
        <w:rPr>
          <w:rFonts w:ascii="Times New Roman" w:hAnsi="Times New Roman" w:cs="Times New Roman"/>
        </w:rPr>
        <w:t>univariate associations</w:t>
      </w:r>
      <w:r w:rsidR="00950638">
        <w:rPr>
          <w:rFonts w:ascii="Times New Roman" w:hAnsi="Times New Roman" w:cs="Times New Roman"/>
        </w:rPr>
        <w:t xml:space="preserve"> </w:t>
      </w:r>
      <w:r>
        <w:rPr>
          <w:rFonts w:ascii="Times New Roman" w:hAnsi="Times New Roman" w:cs="Times New Roman"/>
        </w:rPr>
        <w:t xml:space="preserve">between UAI and both </w:t>
      </w:r>
      <w:r w:rsidR="0076208F">
        <w:rPr>
          <w:rFonts w:ascii="Times New Roman" w:hAnsi="Times New Roman" w:cs="Times New Roman"/>
        </w:rPr>
        <w:t>drug</w:t>
      </w:r>
      <w:r>
        <w:rPr>
          <w:rFonts w:ascii="Times New Roman" w:hAnsi="Times New Roman" w:cs="Times New Roman"/>
        </w:rPr>
        <w:t xml:space="preserve"> use, measured both as any </w:t>
      </w:r>
      <w:r w:rsidR="0076208F">
        <w:rPr>
          <w:rFonts w:ascii="Times New Roman" w:hAnsi="Times New Roman" w:cs="Times New Roman"/>
        </w:rPr>
        <w:t>drug</w:t>
      </w:r>
      <w:r>
        <w:rPr>
          <w:rFonts w:ascii="Times New Roman" w:hAnsi="Times New Roman" w:cs="Times New Roman"/>
        </w:rPr>
        <w:t xml:space="preserve"> use by respondent and </w:t>
      </w:r>
      <w:r w:rsidR="000A5115">
        <w:rPr>
          <w:rFonts w:ascii="Times New Roman" w:hAnsi="Times New Roman" w:cs="Times New Roman"/>
        </w:rPr>
        <w:t>specific</w:t>
      </w:r>
      <w:r>
        <w:rPr>
          <w:rFonts w:ascii="Times New Roman" w:hAnsi="Times New Roman" w:cs="Times New Roman"/>
        </w:rPr>
        <w:t xml:space="preserve"> </w:t>
      </w:r>
      <w:r w:rsidR="0076208F">
        <w:rPr>
          <w:rFonts w:ascii="Times New Roman" w:hAnsi="Times New Roman" w:cs="Times New Roman"/>
        </w:rPr>
        <w:t>drug</w:t>
      </w:r>
      <w:r>
        <w:rPr>
          <w:rFonts w:ascii="Times New Roman" w:hAnsi="Times New Roman" w:cs="Times New Roman"/>
        </w:rPr>
        <w:t xml:space="preserve">s used by respondent, and location of sex.  We planned </w:t>
      </w:r>
      <w:r>
        <w:rPr>
          <w:rFonts w:ascii="Times New Roman" w:hAnsi="Times New Roman" w:cs="Times New Roman"/>
          <w:i/>
        </w:rPr>
        <w:t>a priori</w:t>
      </w:r>
      <w:r>
        <w:rPr>
          <w:rFonts w:ascii="Times New Roman" w:hAnsi="Times New Roman" w:cs="Times New Roman"/>
        </w:rPr>
        <w:t xml:space="preserve"> to test </w:t>
      </w:r>
      <w:r w:rsidR="004063D1">
        <w:rPr>
          <w:rFonts w:ascii="Times New Roman" w:hAnsi="Times New Roman" w:cs="Times New Roman"/>
        </w:rPr>
        <w:t xml:space="preserve">how </w:t>
      </w:r>
      <w:r w:rsidR="0076208F">
        <w:rPr>
          <w:rFonts w:ascii="Times New Roman" w:hAnsi="Times New Roman" w:cs="Times New Roman"/>
        </w:rPr>
        <w:t>drug</w:t>
      </w:r>
      <w:r>
        <w:rPr>
          <w:rFonts w:ascii="Times New Roman" w:hAnsi="Times New Roman" w:cs="Times New Roman"/>
        </w:rPr>
        <w:t xml:space="preserve"> use </w:t>
      </w:r>
      <w:r w:rsidR="00953B6A">
        <w:rPr>
          <w:rFonts w:ascii="Times New Roman" w:hAnsi="Times New Roman" w:cs="Times New Roman"/>
        </w:rPr>
        <w:t xml:space="preserve">moderates the association between </w:t>
      </w:r>
      <w:r>
        <w:rPr>
          <w:rFonts w:ascii="Times New Roman" w:hAnsi="Times New Roman" w:cs="Times New Roman"/>
        </w:rPr>
        <w:t xml:space="preserve">location of sex </w:t>
      </w:r>
      <w:r w:rsidR="00953B6A">
        <w:rPr>
          <w:rFonts w:ascii="Times New Roman" w:hAnsi="Times New Roman" w:cs="Times New Roman"/>
        </w:rPr>
        <w:t>and</w:t>
      </w:r>
      <w:r w:rsidR="004063D1">
        <w:rPr>
          <w:rFonts w:ascii="Times New Roman" w:hAnsi="Times New Roman" w:cs="Times New Roman"/>
        </w:rPr>
        <w:t xml:space="preserve"> </w:t>
      </w:r>
      <w:r>
        <w:rPr>
          <w:rFonts w:ascii="Times New Roman" w:hAnsi="Times New Roman" w:cs="Times New Roman"/>
        </w:rPr>
        <w:t>UAI.</w:t>
      </w:r>
    </w:p>
    <w:p w14:paraId="596D87F6" w14:textId="77777777" w:rsidR="003F1BE2" w:rsidRDefault="00657DF7" w:rsidP="00E54F0A">
      <w:pPr>
        <w:spacing w:line="480" w:lineRule="auto"/>
        <w:rPr>
          <w:rFonts w:ascii="Times New Roman" w:hAnsi="Times New Roman" w:cs="Times New Roman"/>
          <w:b/>
        </w:rPr>
      </w:pPr>
      <w:r>
        <w:rPr>
          <w:rFonts w:ascii="Times New Roman" w:hAnsi="Times New Roman" w:cs="Times New Roman"/>
          <w:b/>
        </w:rPr>
        <w:t>METHODS</w:t>
      </w:r>
    </w:p>
    <w:p w14:paraId="60AFA5B2" w14:textId="06C5F0F0" w:rsidR="00D61F4F" w:rsidRDefault="003F1BE2" w:rsidP="00E54F0A">
      <w:pPr>
        <w:spacing w:line="480" w:lineRule="auto"/>
        <w:rPr>
          <w:rFonts w:ascii="Times New Roman" w:hAnsi="Times New Roman" w:cs="Times New Roman"/>
        </w:rPr>
      </w:pPr>
      <w:r>
        <w:rPr>
          <w:rFonts w:ascii="Times New Roman" w:hAnsi="Times New Roman" w:cs="Times New Roman"/>
        </w:rPr>
        <w:tab/>
      </w:r>
      <w:r w:rsidR="000633D4">
        <w:rPr>
          <w:rFonts w:ascii="Times New Roman" w:hAnsi="Times New Roman" w:cs="Times New Roman"/>
        </w:rPr>
        <w:t xml:space="preserve">This </w:t>
      </w:r>
      <w:r w:rsidR="00D61F4F">
        <w:rPr>
          <w:rFonts w:ascii="Times New Roman" w:hAnsi="Times New Roman" w:cs="Times New Roman"/>
        </w:rPr>
        <w:t>cross-sectional</w:t>
      </w:r>
      <w:r w:rsidR="000633D4">
        <w:rPr>
          <w:rFonts w:ascii="Times New Roman" w:hAnsi="Times New Roman" w:cs="Times New Roman"/>
        </w:rPr>
        <w:t xml:space="preserve"> analysis </w:t>
      </w:r>
      <w:r w:rsidR="0030643A">
        <w:rPr>
          <w:rFonts w:ascii="Times New Roman" w:hAnsi="Times New Roman" w:cs="Times New Roman"/>
        </w:rPr>
        <w:t>uses data from</w:t>
      </w:r>
      <w:r w:rsidR="000633D4">
        <w:rPr>
          <w:rFonts w:ascii="Times New Roman" w:hAnsi="Times New Roman" w:cs="Times New Roman"/>
        </w:rPr>
        <w:t xml:space="preserve"> </w:t>
      </w:r>
      <w:r w:rsidR="00B726F5">
        <w:rPr>
          <w:rFonts w:ascii="Times New Roman" w:hAnsi="Times New Roman" w:cs="Times New Roman"/>
        </w:rPr>
        <w:t>The Sigma Panel</w:t>
      </w:r>
      <w:r>
        <w:rPr>
          <w:rFonts w:ascii="Times New Roman" w:hAnsi="Times New Roman" w:cs="Times New Roman"/>
        </w:rPr>
        <w:t>, a longitudinal</w:t>
      </w:r>
      <w:r w:rsidR="00817408">
        <w:rPr>
          <w:rFonts w:ascii="Times New Roman" w:hAnsi="Times New Roman" w:cs="Times New Roman"/>
        </w:rPr>
        <w:t xml:space="preserve"> monthly</w:t>
      </w:r>
      <w:r>
        <w:rPr>
          <w:rFonts w:ascii="Times New Roman" w:hAnsi="Times New Roman" w:cs="Times New Roman"/>
        </w:rPr>
        <w:t xml:space="preserve"> </w:t>
      </w:r>
      <w:r w:rsidR="00817408">
        <w:rPr>
          <w:rFonts w:ascii="Times New Roman" w:hAnsi="Times New Roman" w:cs="Times New Roman"/>
        </w:rPr>
        <w:t xml:space="preserve">internet </w:t>
      </w:r>
      <w:r>
        <w:rPr>
          <w:rFonts w:ascii="Times New Roman" w:hAnsi="Times New Roman" w:cs="Times New Roman"/>
        </w:rPr>
        <w:t xml:space="preserve">survey of MSM living in England conducted between </w:t>
      </w:r>
      <w:r w:rsidR="00817408">
        <w:rPr>
          <w:rFonts w:ascii="Times New Roman" w:hAnsi="Times New Roman" w:cs="Times New Roman"/>
        </w:rPr>
        <w:t xml:space="preserve">January </w:t>
      </w:r>
      <w:r>
        <w:rPr>
          <w:rFonts w:ascii="Times New Roman" w:hAnsi="Times New Roman" w:cs="Times New Roman"/>
        </w:rPr>
        <w:t>201</w:t>
      </w:r>
      <w:r w:rsidR="00817408">
        <w:rPr>
          <w:rFonts w:ascii="Times New Roman" w:hAnsi="Times New Roman" w:cs="Times New Roman"/>
        </w:rPr>
        <w:t>1</w:t>
      </w:r>
      <w:r>
        <w:rPr>
          <w:rFonts w:ascii="Times New Roman" w:hAnsi="Times New Roman" w:cs="Times New Roman"/>
        </w:rPr>
        <w:t xml:space="preserve"> and </w:t>
      </w:r>
      <w:r w:rsidR="00817408">
        <w:rPr>
          <w:rFonts w:ascii="Times New Roman" w:hAnsi="Times New Roman" w:cs="Times New Roman"/>
        </w:rPr>
        <w:t>January</w:t>
      </w:r>
      <w:r>
        <w:rPr>
          <w:rFonts w:ascii="Times New Roman" w:hAnsi="Times New Roman" w:cs="Times New Roman"/>
        </w:rPr>
        <w:t xml:space="preserve"> 2012.  </w:t>
      </w:r>
      <w:r w:rsidR="00817408">
        <w:rPr>
          <w:rFonts w:ascii="Times New Roman" w:hAnsi="Times New Roman" w:cs="Times New Roman"/>
        </w:rPr>
        <w:t>A d</w:t>
      </w:r>
      <w:r>
        <w:rPr>
          <w:rFonts w:ascii="Times New Roman" w:hAnsi="Times New Roman" w:cs="Times New Roman"/>
        </w:rPr>
        <w:t>etail</w:t>
      </w:r>
      <w:r w:rsidR="00817408">
        <w:rPr>
          <w:rFonts w:ascii="Times New Roman" w:hAnsi="Times New Roman" w:cs="Times New Roman"/>
        </w:rPr>
        <w:t>ed</w:t>
      </w:r>
      <w:r>
        <w:rPr>
          <w:rFonts w:ascii="Times New Roman" w:hAnsi="Times New Roman" w:cs="Times New Roman"/>
        </w:rPr>
        <w:t xml:space="preserve"> </w:t>
      </w:r>
      <w:r w:rsidR="000A5115">
        <w:rPr>
          <w:rFonts w:ascii="Times New Roman" w:hAnsi="Times New Roman" w:cs="Times New Roman"/>
        </w:rPr>
        <w:t xml:space="preserve">survey </w:t>
      </w:r>
      <w:r w:rsidR="00817408">
        <w:rPr>
          <w:rFonts w:ascii="Times New Roman" w:hAnsi="Times New Roman" w:cs="Times New Roman"/>
        </w:rPr>
        <w:t xml:space="preserve">methodology is published </w:t>
      </w:r>
      <w:r w:rsidR="0030129D">
        <w:rPr>
          <w:rFonts w:ascii="Times New Roman" w:hAnsi="Times New Roman" w:cs="Times New Roman"/>
        </w:rPr>
        <w:t>elsewhere</w:t>
      </w:r>
      <w:r w:rsidR="00BE458F">
        <w:rPr>
          <w:rFonts w:ascii="Times New Roman" w:hAnsi="Times New Roman" w:cs="Times New Roman"/>
        </w:rPr>
        <w:t xml:space="preserve">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"DOI" : "10.1136/sextrans-2014-051598", "ISSN" : "1472-3263", "PMID" : "25270006", "abstract" : "OBJECTIVES: Increasing HIV testing among men who have sex with men (MSM) is a major policy goal in the UK. Social marketing is a common intervention to increase testing uptake. We used an online panel of MSM to examine rates of HIV testing behaviour and the impact of a social marketing intervention on them. METHOD: MSM in England were recruited to a longitudinal internet panel through community websites and a previous survey. Following an enrolment survey, respondents were invited to self-complete 13 surveys at monthly intervals throughout 2011. A unique alphanumeric code linked surveys for individuals. Rates of HIV testing were compared relative to prompted recognition of a multi-part media campaign aiming to normalise HIV testing. RESULTS: Of 3386 unique enrolments, 2047 respondents were included in the analysis, between them submitting 15 353 monthly surveys (equivalent to 1279 years of follow-up), and recording 1517 HIV tests taken, giving an annual rate of tests per participant of 1.19 (95% CI 1.13 to 1.25). Tests were highly clustered in individuals (61% reported no test during the study). Testing rates were higher in London, single men and those aged 25-34 years. Only 7.6% recognised the intervention when prompted. After controlling for sociodemographic characteristics and exposure to other health promotion campaigns, intervention recognition was not associated with increased likelihood of testing. Higher rates of testing were strongly associated with higher number of casual sexual partners and how recently men had HIV tested before study enrolment. CONCLUSIONS: This social marketing intervention was not associated with increased rates of HIV testing. More effective promotion of HIV testing is needed among MSM in England to reduce the average duration of undiagnosed infection.", "author" : [ { "dropping-particle" : "", "family" : "Hickson", "given" : "Ford", "non-dropping-particle" : "", "parse-names" : false, "suffix" : "" }, { "dropping-particle" : "", "family" : "Tomlin", "given" : "Keith", "non-dropping-particle" : "", "parse-names" : false, "suffix" : "" }, { "dropping-particle" : "", "family" : "Hargreaves", "given" : "James", "non-dropping-particle" : "", "parse-names" : false, "suffix" : "" }, { "dropping-particle" : "", "family" : "Bonell", "given" : "Chris", "non-dropping-particle" : "", "parse-names" : false, "suffix" : "" }, { "dropping-particle" : "", "family" : "Reid", "given" : "David", "non-dropping-particle" : "", "parse-names" : false, "suffix" : "" }, { "dropping-particle" : "", "family" : "Weatherburn", "given" : "Peter", "non-dropping-particle" : "", "parse-names" : false, "suffix" : "" } ], "container-title" : "Sexually transmitted infections", "id" : "ITEM-1", "issued" : { "date-parts" : [ [ "2014", "9", "30" ] ] }, "page" : "1-7", "title" : "Internet-based cohort study of HIV testing over 1 year among men who have sex with men living in England and exposed to a social marketing intervention promoting testing.", "type" : "article-journal" }, "uris" : [ "http://www.mendeley.com/documents/?uuid=60e94cdf-b62a-4aab-bdd9-2bc849ad5d0c" ] } ], "mendeley" : { "formattedCitation" : "[13]", "plainTextFormattedCitation" : "[13]", "previouslyFormattedCitation" : "[13]" }, "properties" : { "noteIndex" : 0 }, "schema" : "https://github.com/citation-style-language/schema/raw/master/csl-citation.json" }</w:instrText>
      </w:r>
      <w:r w:rsidR="00A251D9">
        <w:rPr>
          <w:rFonts w:ascii="Times New Roman" w:hAnsi="Times New Roman" w:cs="Times New Roman"/>
        </w:rPr>
        <w:fldChar w:fldCharType="separate"/>
      </w:r>
      <w:r w:rsidR="00716CB2" w:rsidRPr="00716CB2">
        <w:rPr>
          <w:rFonts w:ascii="Times New Roman" w:hAnsi="Times New Roman" w:cs="Times New Roman"/>
          <w:noProof/>
        </w:rPr>
        <w:t>[13]</w:t>
      </w:r>
      <w:r w:rsidR="00A251D9">
        <w:rPr>
          <w:rFonts w:ascii="Times New Roman" w:hAnsi="Times New Roman" w:cs="Times New Roman"/>
        </w:rPr>
        <w:fldChar w:fldCharType="end"/>
      </w:r>
      <w:r>
        <w:rPr>
          <w:rFonts w:ascii="Times New Roman" w:hAnsi="Times New Roman" w:cs="Times New Roman"/>
        </w:rPr>
        <w:t>.  Th</w:t>
      </w:r>
      <w:r w:rsidR="0030643A">
        <w:rPr>
          <w:rFonts w:ascii="Times New Roman" w:hAnsi="Times New Roman" w:cs="Times New Roman"/>
        </w:rPr>
        <w:t>e</w:t>
      </w:r>
      <w:r>
        <w:rPr>
          <w:rFonts w:ascii="Times New Roman" w:hAnsi="Times New Roman" w:cs="Times New Roman"/>
        </w:rPr>
        <w:t xml:space="preserve"> analysis draws from two of the monthly survey</w:t>
      </w:r>
      <w:r w:rsidR="009A3C0E">
        <w:rPr>
          <w:rFonts w:ascii="Times New Roman" w:hAnsi="Times New Roman" w:cs="Times New Roman"/>
        </w:rPr>
        <w:t>s (M1 and M3</w:t>
      </w:r>
      <w:r w:rsidR="005340E3">
        <w:rPr>
          <w:rFonts w:ascii="Times New Roman" w:hAnsi="Times New Roman" w:cs="Times New Roman"/>
        </w:rPr>
        <w:t>,</w:t>
      </w:r>
      <w:r w:rsidR="009A3C0E">
        <w:rPr>
          <w:rFonts w:ascii="Times New Roman" w:hAnsi="Times New Roman" w:cs="Times New Roman"/>
        </w:rPr>
        <w:t xml:space="preserve"> sent on 1</w:t>
      </w:r>
      <w:r w:rsidR="009A3C0E" w:rsidRPr="00181CBA">
        <w:rPr>
          <w:rFonts w:ascii="Times New Roman" w:hAnsi="Times New Roman" w:cs="Times New Roman"/>
          <w:vertAlign w:val="superscript"/>
        </w:rPr>
        <w:t>st</w:t>
      </w:r>
      <w:r w:rsidR="009A3C0E">
        <w:rPr>
          <w:rFonts w:ascii="Times New Roman" w:hAnsi="Times New Roman" w:cs="Times New Roman"/>
        </w:rPr>
        <w:t xml:space="preserve"> February and 1</w:t>
      </w:r>
      <w:r w:rsidR="009A3C0E" w:rsidRPr="00181CBA">
        <w:rPr>
          <w:rFonts w:ascii="Times New Roman" w:hAnsi="Times New Roman" w:cs="Times New Roman"/>
          <w:vertAlign w:val="superscript"/>
        </w:rPr>
        <w:t>st</w:t>
      </w:r>
      <w:r w:rsidR="009A3C0E">
        <w:rPr>
          <w:rFonts w:ascii="Times New Roman" w:hAnsi="Times New Roman" w:cs="Times New Roman"/>
        </w:rPr>
        <w:t xml:space="preserve"> April)</w:t>
      </w:r>
      <w:r>
        <w:rPr>
          <w:rFonts w:ascii="Times New Roman" w:hAnsi="Times New Roman" w:cs="Times New Roman"/>
        </w:rPr>
        <w:t xml:space="preserve"> in which a set of questions were asked about the respondent’s most recent sexual encounter with a new partner or partners.  To eliminate confounding based on </w:t>
      </w:r>
      <w:r w:rsidR="005340E3">
        <w:rPr>
          <w:rFonts w:ascii="Times New Roman" w:hAnsi="Times New Roman" w:cs="Times New Roman"/>
        </w:rPr>
        <w:t>multiple</w:t>
      </w:r>
      <w:r>
        <w:rPr>
          <w:rFonts w:ascii="Times New Roman" w:hAnsi="Times New Roman" w:cs="Times New Roman"/>
        </w:rPr>
        <w:t xml:space="preserve"> partners, this analysis </w:t>
      </w:r>
      <w:r w:rsidR="00D61F4F">
        <w:rPr>
          <w:rFonts w:ascii="Times New Roman" w:hAnsi="Times New Roman" w:cs="Times New Roman"/>
        </w:rPr>
        <w:t>is restricted to</w:t>
      </w:r>
      <w:r>
        <w:rPr>
          <w:rFonts w:ascii="Times New Roman" w:hAnsi="Times New Roman" w:cs="Times New Roman"/>
        </w:rPr>
        <w:t xml:space="preserve"> </w:t>
      </w:r>
      <w:r w:rsidR="005340E3">
        <w:rPr>
          <w:rFonts w:ascii="Times New Roman" w:hAnsi="Times New Roman" w:cs="Times New Roman"/>
        </w:rPr>
        <w:t>dyadic</w:t>
      </w:r>
      <w:r>
        <w:rPr>
          <w:rFonts w:ascii="Times New Roman" w:hAnsi="Times New Roman" w:cs="Times New Roman"/>
        </w:rPr>
        <w:t xml:space="preserve"> encounters.  </w:t>
      </w:r>
      <w:r w:rsidR="00D61F4F">
        <w:rPr>
          <w:rFonts w:ascii="Times New Roman" w:hAnsi="Times New Roman" w:cs="Times New Roman"/>
        </w:rPr>
        <w:t>We included all eligible encounters reported at either time point.  The unit of analysis was sexual encounters.  Anal intercourse (AI) and condom use were asked separately.</w:t>
      </w:r>
      <w:r w:rsidR="00D61F4F" w:rsidDel="00296162">
        <w:rPr>
          <w:rFonts w:ascii="Times New Roman" w:hAnsi="Times New Roman" w:cs="Times New Roman"/>
        </w:rPr>
        <w:t xml:space="preserve"> </w:t>
      </w:r>
      <w:r w:rsidR="00D61F4F">
        <w:rPr>
          <w:rFonts w:ascii="Times New Roman" w:hAnsi="Times New Roman" w:cs="Times New Roman"/>
        </w:rPr>
        <w:t xml:space="preserve"> We compared encounters that included UAI (i.e. both AI and inconsistent or no condom use) against encounters with all other types of non-UAI sexual behaviour.</w:t>
      </w:r>
    </w:p>
    <w:p w14:paraId="2BC7081B" w14:textId="2E10C005" w:rsidR="003F1BE2" w:rsidRDefault="00D61F4F" w:rsidP="00E54F0A">
      <w:pPr>
        <w:spacing w:line="480" w:lineRule="auto"/>
        <w:rPr>
          <w:rFonts w:ascii="Times New Roman" w:hAnsi="Times New Roman" w:cs="Times New Roman"/>
        </w:rPr>
      </w:pPr>
      <w:r>
        <w:rPr>
          <w:rFonts w:ascii="Times New Roman" w:hAnsi="Times New Roman" w:cs="Times New Roman"/>
        </w:rPr>
        <w:tab/>
      </w:r>
      <w:r w:rsidR="003F1BE2">
        <w:rPr>
          <w:rFonts w:ascii="Times New Roman" w:hAnsi="Times New Roman" w:cs="Times New Roman"/>
        </w:rPr>
        <w:t xml:space="preserve">Questions about </w:t>
      </w:r>
      <w:r w:rsidR="0076208F">
        <w:rPr>
          <w:rFonts w:ascii="Times New Roman" w:hAnsi="Times New Roman" w:cs="Times New Roman"/>
        </w:rPr>
        <w:t>drug</w:t>
      </w:r>
      <w:r w:rsidR="003F1BE2">
        <w:rPr>
          <w:rFonts w:ascii="Times New Roman" w:hAnsi="Times New Roman" w:cs="Times New Roman"/>
        </w:rPr>
        <w:t xml:space="preserve"> use included </w:t>
      </w:r>
      <w:r w:rsidR="000A5115">
        <w:rPr>
          <w:rFonts w:ascii="Times New Roman" w:hAnsi="Times New Roman" w:cs="Times New Roman"/>
        </w:rPr>
        <w:t xml:space="preserve">both a question about use of poppers </w:t>
      </w:r>
      <w:r w:rsidR="0030643A">
        <w:rPr>
          <w:rFonts w:ascii="Times New Roman" w:hAnsi="Times New Roman" w:cs="Times New Roman"/>
        </w:rPr>
        <w:t xml:space="preserve">during </w:t>
      </w:r>
      <w:r w:rsidR="000A5115">
        <w:rPr>
          <w:rFonts w:ascii="Times New Roman" w:hAnsi="Times New Roman" w:cs="Times New Roman"/>
        </w:rPr>
        <w:t xml:space="preserve">sex and a question phrased as </w:t>
      </w:r>
      <w:r w:rsidR="003F1BE2">
        <w:rPr>
          <w:rFonts w:ascii="Times New Roman" w:hAnsi="Times New Roman" w:cs="Times New Roman"/>
        </w:rPr>
        <w:t xml:space="preserve">‘Did you use any alcohol or drugs before sex?’ followed by a list of 14 </w:t>
      </w:r>
      <w:r w:rsidR="0076208F">
        <w:rPr>
          <w:rFonts w:ascii="Times New Roman" w:hAnsi="Times New Roman" w:cs="Times New Roman"/>
        </w:rPr>
        <w:t>drug</w:t>
      </w:r>
      <w:r w:rsidR="003F1BE2">
        <w:rPr>
          <w:rFonts w:ascii="Times New Roman" w:hAnsi="Times New Roman" w:cs="Times New Roman"/>
        </w:rPr>
        <w:t xml:space="preserve">s </w:t>
      </w:r>
      <w:r w:rsidR="00F770A8">
        <w:rPr>
          <w:rFonts w:ascii="Times New Roman" w:hAnsi="Times New Roman" w:cs="Times New Roman"/>
        </w:rPr>
        <w:t>(</w:t>
      </w:r>
      <w:r w:rsidR="0030129D">
        <w:rPr>
          <w:rFonts w:ascii="Times New Roman" w:hAnsi="Times New Roman" w:cs="Times New Roman"/>
        </w:rPr>
        <w:t>a</w:t>
      </w:r>
      <w:r w:rsidR="00F770A8" w:rsidRPr="00F770A8">
        <w:rPr>
          <w:rFonts w:ascii="Times New Roman" w:hAnsi="Times New Roman" w:cs="Times New Roman"/>
        </w:rPr>
        <w:t>lcohol</w:t>
      </w:r>
      <w:r w:rsidR="00F770A8">
        <w:rPr>
          <w:rFonts w:ascii="Times New Roman" w:hAnsi="Times New Roman" w:cs="Times New Roman"/>
        </w:rPr>
        <w:t xml:space="preserve"> / </w:t>
      </w:r>
      <w:r w:rsidR="00F770A8" w:rsidRPr="00F770A8">
        <w:rPr>
          <w:rFonts w:ascii="Times New Roman" w:hAnsi="Times New Roman" w:cs="Times New Roman"/>
        </w:rPr>
        <w:t xml:space="preserve">Viagra®, Cialis®, Levitra® or other </w:t>
      </w:r>
      <w:r w:rsidR="0076208F">
        <w:rPr>
          <w:rFonts w:ascii="Times New Roman" w:hAnsi="Times New Roman" w:cs="Times New Roman"/>
        </w:rPr>
        <w:t>drug</w:t>
      </w:r>
      <w:r w:rsidR="00F770A8">
        <w:rPr>
          <w:rFonts w:ascii="Times New Roman" w:hAnsi="Times New Roman" w:cs="Times New Roman"/>
        </w:rPr>
        <w:t xml:space="preserve">s that help to keep an erection / </w:t>
      </w:r>
      <w:r w:rsidR="0030129D">
        <w:rPr>
          <w:rFonts w:ascii="Times New Roman" w:hAnsi="Times New Roman" w:cs="Times New Roman"/>
        </w:rPr>
        <w:t>c</w:t>
      </w:r>
      <w:r w:rsidR="00F770A8" w:rsidRPr="00F770A8">
        <w:rPr>
          <w:rFonts w:ascii="Times New Roman" w:hAnsi="Times New Roman" w:cs="Times New Roman"/>
        </w:rPr>
        <w:t>annabis</w:t>
      </w:r>
      <w:r w:rsidR="00F770A8">
        <w:rPr>
          <w:rFonts w:ascii="Times New Roman" w:hAnsi="Times New Roman" w:cs="Times New Roman"/>
        </w:rPr>
        <w:t xml:space="preserve"> / </w:t>
      </w:r>
      <w:r w:rsidR="0030129D">
        <w:rPr>
          <w:rFonts w:ascii="Times New Roman" w:hAnsi="Times New Roman" w:cs="Times New Roman"/>
        </w:rPr>
        <w:t>e</w:t>
      </w:r>
      <w:r w:rsidR="00F770A8" w:rsidRPr="00F770A8">
        <w:rPr>
          <w:rFonts w:ascii="Times New Roman" w:hAnsi="Times New Roman" w:cs="Times New Roman"/>
        </w:rPr>
        <w:t>cstasy (E, XTC, MDMA)</w:t>
      </w:r>
      <w:r w:rsidR="00F770A8">
        <w:rPr>
          <w:rFonts w:ascii="Times New Roman" w:hAnsi="Times New Roman" w:cs="Times New Roman"/>
        </w:rPr>
        <w:t xml:space="preserve"> / </w:t>
      </w:r>
      <w:r w:rsidR="0030129D">
        <w:rPr>
          <w:rFonts w:ascii="Times New Roman" w:hAnsi="Times New Roman" w:cs="Times New Roman"/>
        </w:rPr>
        <w:t>a</w:t>
      </w:r>
      <w:r w:rsidR="00F770A8" w:rsidRPr="00F770A8">
        <w:rPr>
          <w:rFonts w:ascii="Times New Roman" w:hAnsi="Times New Roman" w:cs="Times New Roman"/>
        </w:rPr>
        <w:t>mphetamine (speed)</w:t>
      </w:r>
      <w:r w:rsidR="00F770A8">
        <w:rPr>
          <w:rFonts w:ascii="Times New Roman" w:hAnsi="Times New Roman" w:cs="Times New Roman"/>
        </w:rPr>
        <w:t xml:space="preserve"> / </w:t>
      </w:r>
      <w:r w:rsidR="0030129D">
        <w:rPr>
          <w:rFonts w:ascii="Times New Roman" w:hAnsi="Times New Roman" w:cs="Times New Roman"/>
        </w:rPr>
        <w:t>c</w:t>
      </w:r>
      <w:r w:rsidR="00F770A8" w:rsidRPr="00F770A8">
        <w:rPr>
          <w:rFonts w:ascii="Times New Roman" w:hAnsi="Times New Roman" w:cs="Times New Roman"/>
        </w:rPr>
        <w:t>rystal methamphetamine (crystal, meth, Tina)</w:t>
      </w:r>
      <w:r w:rsidR="00F770A8">
        <w:rPr>
          <w:rFonts w:ascii="Times New Roman" w:hAnsi="Times New Roman" w:cs="Times New Roman"/>
        </w:rPr>
        <w:t xml:space="preserve"> / </w:t>
      </w:r>
      <w:r w:rsidR="0030129D">
        <w:rPr>
          <w:rFonts w:ascii="Times New Roman" w:hAnsi="Times New Roman" w:cs="Times New Roman"/>
        </w:rPr>
        <w:t>h</w:t>
      </w:r>
      <w:r w:rsidR="00F770A8" w:rsidRPr="00F770A8">
        <w:rPr>
          <w:rFonts w:ascii="Times New Roman" w:hAnsi="Times New Roman" w:cs="Times New Roman"/>
        </w:rPr>
        <w:t>eroin</w:t>
      </w:r>
      <w:r w:rsidR="00F770A8">
        <w:rPr>
          <w:rFonts w:ascii="Times New Roman" w:hAnsi="Times New Roman" w:cs="Times New Roman"/>
        </w:rPr>
        <w:t xml:space="preserve"> / </w:t>
      </w:r>
      <w:proofErr w:type="spellStart"/>
      <w:r w:rsidR="0030129D">
        <w:rPr>
          <w:rFonts w:ascii="Times New Roman" w:hAnsi="Times New Roman" w:cs="Times New Roman"/>
        </w:rPr>
        <w:t>m</w:t>
      </w:r>
      <w:r w:rsidR="00F770A8" w:rsidRPr="00F770A8">
        <w:rPr>
          <w:rFonts w:ascii="Times New Roman" w:hAnsi="Times New Roman" w:cs="Times New Roman"/>
        </w:rPr>
        <w:t>ephedrone</w:t>
      </w:r>
      <w:proofErr w:type="spellEnd"/>
      <w:r w:rsidR="00F770A8" w:rsidRPr="00F770A8">
        <w:rPr>
          <w:rFonts w:ascii="Times New Roman" w:hAnsi="Times New Roman" w:cs="Times New Roman"/>
        </w:rPr>
        <w:t xml:space="preserve"> (4-MMC, meow, </w:t>
      </w:r>
      <w:proofErr w:type="spellStart"/>
      <w:r w:rsidR="00F770A8" w:rsidRPr="00F770A8">
        <w:rPr>
          <w:rFonts w:ascii="Times New Roman" w:hAnsi="Times New Roman" w:cs="Times New Roman"/>
        </w:rPr>
        <w:lastRenderedPageBreak/>
        <w:t>methylone</w:t>
      </w:r>
      <w:proofErr w:type="spellEnd"/>
      <w:r w:rsidR="00F770A8" w:rsidRPr="00F770A8">
        <w:rPr>
          <w:rFonts w:ascii="Times New Roman" w:hAnsi="Times New Roman" w:cs="Times New Roman"/>
        </w:rPr>
        <w:t>, bubbles)</w:t>
      </w:r>
      <w:r w:rsidR="00F770A8">
        <w:rPr>
          <w:rFonts w:ascii="Times New Roman" w:hAnsi="Times New Roman" w:cs="Times New Roman"/>
        </w:rPr>
        <w:t xml:space="preserve"> / GHB,</w:t>
      </w:r>
      <w:r w:rsidR="00F770A8" w:rsidRPr="00F770A8">
        <w:rPr>
          <w:rFonts w:ascii="Times New Roman" w:hAnsi="Times New Roman" w:cs="Times New Roman"/>
        </w:rPr>
        <w:t xml:space="preserve"> GBL (liquid ecstasy)</w:t>
      </w:r>
      <w:r w:rsidR="00F770A8">
        <w:rPr>
          <w:rFonts w:ascii="Times New Roman" w:hAnsi="Times New Roman" w:cs="Times New Roman"/>
        </w:rPr>
        <w:t xml:space="preserve"> / </w:t>
      </w:r>
      <w:r w:rsidR="0030129D">
        <w:rPr>
          <w:rFonts w:ascii="Times New Roman" w:hAnsi="Times New Roman" w:cs="Times New Roman"/>
        </w:rPr>
        <w:t>k</w:t>
      </w:r>
      <w:r w:rsidR="00F770A8" w:rsidRPr="00F770A8">
        <w:rPr>
          <w:rFonts w:ascii="Times New Roman" w:hAnsi="Times New Roman" w:cs="Times New Roman"/>
        </w:rPr>
        <w:t>etamine</w:t>
      </w:r>
      <w:r w:rsidR="00F770A8">
        <w:rPr>
          <w:rFonts w:ascii="Times New Roman" w:hAnsi="Times New Roman" w:cs="Times New Roman"/>
        </w:rPr>
        <w:t xml:space="preserve"> / </w:t>
      </w:r>
      <w:r w:rsidR="00F770A8" w:rsidRPr="00F770A8">
        <w:rPr>
          <w:rFonts w:ascii="Times New Roman" w:hAnsi="Times New Roman" w:cs="Times New Roman"/>
        </w:rPr>
        <w:t>LSD</w:t>
      </w:r>
      <w:r w:rsidR="00F770A8">
        <w:rPr>
          <w:rFonts w:ascii="Times New Roman" w:hAnsi="Times New Roman" w:cs="Times New Roman"/>
        </w:rPr>
        <w:t xml:space="preserve"> / </w:t>
      </w:r>
      <w:r w:rsidR="0030129D">
        <w:rPr>
          <w:rFonts w:ascii="Times New Roman" w:hAnsi="Times New Roman" w:cs="Times New Roman"/>
        </w:rPr>
        <w:t>c</w:t>
      </w:r>
      <w:r w:rsidR="00F770A8" w:rsidRPr="00F770A8">
        <w:rPr>
          <w:rFonts w:ascii="Times New Roman" w:hAnsi="Times New Roman" w:cs="Times New Roman"/>
        </w:rPr>
        <w:t>ocaine</w:t>
      </w:r>
      <w:r w:rsidR="00F770A8">
        <w:rPr>
          <w:rFonts w:ascii="Times New Roman" w:hAnsi="Times New Roman" w:cs="Times New Roman"/>
        </w:rPr>
        <w:t xml:space="preserve"> / </w:t>
      </w:r>
      <w:r w:rsidR="0030129D">
        <w:rPr>
          <w:rFonts w:ascii="Times New Roman" w:hAnsi="Times New Roman" w:cs="Times New Roman"/>
        </w:rPr>
        <w:t>c</w:t>
      </w:r>
      <w:r w:rsidR="00F770A8" w:rsidRPr="00F770A8">
        <w:rPr>
          <w:rFonts w:ascii="Times New Roman" w:hAnsi="Times New Roman" w:cs="Times New Roman"/>
        </w:rPr>
        <w:t xml:space="preserve">rack </w:t>
      </w:r>
      <w:r w:rsidR="00F770A8">
        <w:rPr>
          <w:rFonts w:ascii="Times New Roman" w:hAnsi="Times New Roman" w:cs="Times New Roman"/>
        </w:rPr>
        <w:t>c</w:t>
      </w:r>
      <w:r w:rsidR="00F770A8" w:rsidRPr="00F770A8">
        <w:rPr>
          <w:rFonts w:ascii="Times New Roman" w:hAnsi="Times New Roman" w:cs="Times New Roman"/>
        </w:rPr>
        <w:t>ocaine</w:t>
      </w:r>
      <w:r w:rsidR="00F770A8">
        <w:rPr>
          <w:rFonts w:ascii="Times New Roman" w:hAnsi="Times New Roman" w:cs="Times New Roman"/>
        </w:rPr>
        <w:t xml:space="preserve"> / </w:t>
      </w:r>
      <w:r w:rsidR="0030129D">
        <w:rPr>
          <w:rFonts w:ascii="Times New Roman" w:hAnsi="Times New Roman" w:cs="Times New Roman"/>
        </w:rPr>
        <w:t>a</w:t>
      </w:r>
      <w:r w:rsidR="00F770A8" w:rsidRPr="00F770A8">
        <w:rPr>
          <w:rFonts w:ascii="Times New Roman" w:hAnsi="Times New Roman" w:cs="Times New Roman"/>
        </w:rPr>
        <w:t>ny other drug</w:t>
      </w:r>
      <w:r w:rsidR="00F770A8">
        <w:rPr>
          <w:rFonts w:ascii="Times New Roman" w:hAnsi="Times New Roman" w:cs="Times New Roman"/>
        </w:rPr>
        <w:t>)</w:t>
      </w:r>
      <w:r w:rsidR="003F1BE2">
        <w:rPr>
          <w:rFonts w:ascii="Times New Roman" w:hAnsi="Times New Roman" w:cs="Times New Roman"/>
        </w:rPr>
        <w:t xml:space="preserve">.  Two </w:t>
      </w:r>
      <w:r w:rsidR="000A5115">
        <w:rPr>
          <w:rFonts w:ascii="Times New Roman" w:hAnsi="Times New Roman" w:cs="Times New Roman"/>
        </w:rPr>
        <w:t xml:space="preserve">sets of </w:t>
      </w:r>
      <w:r w:rsidR="003F1BE2">
        <w:rPr>
          <w:rFonts w:ascii="Times New Roman" w:hAnsi="Times New Roman" w:cs="Times New Roman"/>
        </w:rPr>
        <w:t xml:space="preserve">variables were constructed from this: </w:t>
      </w:r>
      <w:r w:rsidR="000A5115">
        <w:rPr>
          <w:rFonts w:ascii="Times New Roman" w:hAnsi="Times New Roman" w:cs="Times New Roman"/>
        </w:rPr>
        <w:t xml:space="preserve">first, </w:t>
      </w:r>
      <w:r w:rsidR="003F1BE2">
        <w:rPr>
          <w:rFonts w:ascii="Times New Roman" w:hAnsi="Times New Roman" w:cs="Times New Roman"/>
        </w:rPr>
        <w:t xml:space="preserve">a binary variable recording any </w:t>
      </w:r>
      <w:r w:rsidR="0076208F">
        <w:rPr>
          <w:rFonts w:ascii="Times New Roman" w:hAnsi="Times New Roman" w:cs="Times New Roman"/>
        </w:rPr>
        <w:t>drug</w:t>
      </w:r>
      <w:r w:rsidR="003F1BE2">
        <w:rPr>
          <w:rFonts w:ascii="Times New Roman" w:hAnsi="Times New Roman" w:cs="Times New Roman"/>
        </w:rPr>
        <w:t xml:space="preserve"> use</w:t>
      </w:r>
      <w:r w:rsidR="000A5115">
        <w:rPr>
          <w:rFonts w:ascii="Times New Roman" w:hAnsi="Times New Roman" w:cs="Times New Roman"/>
        </w:rPr>
        <w:t>,</w:t>
      </w:r>
      <w:r w:rsidR="003F1BE2">
        <w:rPr>
          <w:rFonts w:ascii="Times New Roman" w:hAnsi="Times New Roman" w:cs="Times New Roman"/>
        </w:rPr>
        <w:t xml:space="preserve"> and </w:t>
      </w:r>
      <w:r w:rsidR="000A5115">
        <w:rPr>
          <w:rFonts w:ascii="Times New Roman" w:hAnsi="Times New Roman" w:cs="Times New Roman"/>
        </w:rPr>
        <w:t xml:space="preserve">second, </w:t>
      </w:r>
      <w:r w:rsidR="003F1BE2">
        <w:rPr>
          <w:rFonts w:ascii="Times New Roman" w:hAnsi="Times New Roman" w:cs="Times New Roman"/>
        </w:rPr>
        <w:t xml:space="preserve">a </w:t>
      </w:r>
      <w:r w:rsidR="000A5115">
        <w:rPr>
          <w:rFonts w:ascii="Times New Roman" w:hAnsi="Times New Roman" w:cs="Times New Roman"/>
        </w:rPr>
        <w:t xml:space="preserve">set of six binary variables </w:t>
      </w:r>
      <w:r w:rsidR="005979D3">
        <w:rPr>
          <w:rFonts w:ascii="Times New Roman" w:hAnsi="Times New Roman" w:cs="Times New Roman"/>
        </w:rPr>
        <w:t xml:space="preserve">addressing specific drug use, namely </w:t>
      </w:r>
      <w:r w:rsidR="000A5115">
        <w:rPr>
          <w:rFonts w:ascii="Times New Roman" w:hAnsi="Times New Roman" w:cs="Times New Roman"/>
        </w:rPr>
        <w:t xml:space="preserve">poppers use, alcohol use, erectile dysfunction medication use, cannabis use, </w:t>
      </w:r>
      <w:proofErr w:type="spellStart"/>
      <w:r w:rsidR="000A5115">
        <w:rPr>
          <w:rFonts w:ascii="Times New Roman" w:hAnsi="Times New Roman" w:cs="Times New Roman"/>
        </w:rPr>
        <w:t>chemsex</w:t>
      </w:r>
      <w:proofErr w:type="spellEnd"/>
      <w:r w:rsidR="000A5115">
        <w:rPr>
          <w:rFonts w:ascii="Times New Roman" w:hAnsi="Times New Roman" w:cs="Times New Roman"/>
        </w:rPr>
        <w:t xml:space="preserve"> drug use (i.e. crystal methamphetamine, </w:t>
      </w:r>
      <w:proofErr w:type="spellStart"/>
      <w:r w:rsidR="000A5115">
        <w:rPr>
          <w:rFonts w:ascii="Times New Roman" w:hAnsi="Times New Roman" w:cs="Times New Roman"/>
        </w:rPr>
        <w:t>mephedrone</w:t>
      </w:r>
      <w:proofErr w:type="spellEnd"/>
      <w:r w:rsidR="000A5115">
        <w:rPr>
          <w:rFonts w:ascii="Times New Roman" w:hAnsi="Times New Roman" w:cs="Times New Roman"/>
        </w:rPr>
        <w:t>, GHB, or ketamine</w:t>
      </w:r>
      <w:r w:rsidR="00EE4274">
        <w:rPr>
          <w:rFonts w:ascii="Times New Roman" w:hAnsi="Times New Roman" w:cs="Times New Roman"/>
        </w:rPr>
        <w:t xml:space="preserve">, as suggested by qualitative evidence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"mendeley" : { "formattedCitation" : "[12]", "plainTextFormattedCitation" : "[12]", "previouslyFormattedCitation" : "[12]" }, "properties" : { "noteIndex" : 0 }, "schema" : "https://github.com/citation-style-language/schema/raw/master/csl-citation.json" }</w:instrText>
      </w:r>
      <w:r w:rsidR="00A251D9">
        <w:rPr>
          <w:rFonts w:ascii="Times New Roman" w:hAnsi="Times New Roman" w:cs="Times New Roman"/>
        </w:rPr>
        <w:fldChar w:fldCharType="separate"/>
      </w:r>
      <w:r w:rsidR="00716CB2" w:rsidRPr="00716CB2">
        <w:rPr>
          <w:rFonts w:ascii="Times New Roman" w:hAnsi="Times New Roman" w:cs="Times New Roman"/>
          <w:noProof/>
        </w:rPr>
        <w:t>[12]</w:t>
      </w:r>
      <w:r w:rsidR="00A251D9">
        <w:rPr>
          <w:rFonts w:ascii="Times New Roman" w:hAnsi="Times New Roman" w:cs="Times New Roman"/>
        </w:rPr>
        <w:fldChar w:fldCharType="end"/>
      </w:r>
      <w:r w:rsidR="000A5115">
        <w:rPr>
          <w:rFonts w:ascii="Times New Roman" w:hAnsi="Times New Roman" w:cs="Times New Roman"/>
        </w:rPr>
        <w:t>), and ‘uppers’ use (i.e. ecstasy, amphetamine, or cocaine)</w:t>
      </w:r>
      <w:r w:rsidR="003F1BE2">
        <w:rPr>
          <w:rFonts w:ascii="Times New Roman" w:hAnsi="Times New Roman" w:cs="Times New Roman"/>
        </w:rPr>
        <w:t>.</w:t>
      </w:r>
      <w:r w:rsidR="0093662A">
        <w:rPr>
          <w:rFonts w:ascii="Times New Roman" w:hAnsi="Times New Roman" w:cs="Times New Roman"/>
        </w:rPr>
        <w:t xml:space="preserve">  Additionally, respondents were asked where the sex occurred and then invited to choose from a checkli</w:t>
      </w:r>
      <w:r w:rsidR="00883A53">
        <w:rPr>
          <w:rFonts w:ascii="Times New Roman" w:hAnsi="Times New Roman" w:cs="Times New Roman"/>
        </w:rPr>
        <w:t>st of nine options</w:t>
      </w:r>
      <w:r w:rsidR="00FB0206">
        <w:rPr>
          <w:rFonts w:ascii="Times New Roman" w:hAnsi="Times New Roman" w:cs="Times New Roman"/>
        </w:rPr>
        <w:t xml:space="preserve"> (my </w:t>
      </w:r>
      <w:r w:rsidR="00F770A8">
        <w:rPr>
          <w:rFonts w:ascii="Times New Roman" w:hAnsi="Times New Roman" w:cs="Times New Roman"/>
        </w:rPr>
        <w:t xml:space="preserve">(or our) </w:t>
      </w:r>
      <w:r w:rsidR="00FB0206">
        <w:rPr>
          <w:rFonts w:ascii="Times New Roman" w:hAnsi="Times New Roman" w:cs="Times New Roman"/>
        </w:rPr>
        <w:t>place</w:t>
      </w:r>
      <w:r w:rsidR="00F770A8">
        <w:rPr>
          <w:rFonts w:ascii="Times New Roman" w:hAnsi="Times New Roman" w:cs="Times New Roman"/>
        </w:rPr>
        <w:t xml:space="preserve"> /</w:t>
      </w:r>
      <w:r w:rsidR="0030129D">
        <w:rPr>
          <w:rFonts w:ascii="Times New Roman" w:hAnsi="Times New Roman" w:cs="Times New Roman"/>
        </w:rPr>
        <w:t xml:space="preserve"> his</w:t>
      </w:r>
      <w:r w:rsidR="00F770A8">
        <w:rPr>
          <w:rFonts w:ascii="Times New Roman" w:hAnsi="Times New Roman" w:cs="Times New Roman"/>
        </w:rPr>
        <w:t xml:space="preserve"> </w:t>
      </w:r>
      <w:r w:rsidR="00FB0206">
        <w:rPr>
          <w:rFonts w:ascii="Times New Roman" w:hAnsi="Times New Roman" w:cs="Times New Roman"/>
        </w:rPr>
        <w:t>place</w:t>
      </w:r>
      <w:r w:rsidR="00F770A8">
        <w:rPr>
          <w:rFonts w:ascii="Times New Roman" w:hAnsi="Times New Roman" w:cs="Times New Roman"/>
        </w:rPr>
        <w:t xml:space="preserve"> / </w:t>
      </w:r>
      <w:r w:rsidR="00FB0206">
        <w:rPr>
          <w:rFonts w:ascii="Times New Roman" w:hAnsi="Times New Roman" w:cs="Times New Roman"/>
        </w:rPr>
        <w:t>a friend’s place</w:t>
      </w:r>
      <w:r w:rsidR="0030129D">
        <w:rPr>
          <w:rFonts w:ascii="Times New Roman" w:hAnsi="Times New Roman" w:cs="Times New Roman"/>
        </w:rPr>
        <w:t xml:space="preserve"> /</w:t>
      </w:r>
      <w:r w:rsidR="00FB0206">
        <w:rPr>
          <w:rFonts w:ascii="Times New Roman" w:hAnsi="Times New Roman" w:cs="Times New Roman"/>
        </w:rPr>
        <w:t xml:space="preserve"> a backroom of a bar</w:t>
      </w:r>
      <w:r w:rsidR="00F770A8">
        <w:rPr>
          <w:rFonts w:ascii="Times New Roman" w:hAnsi="Times New Roman" w:cs="Times New Roman"/>
        </w:rPr>
        <w:t>,</w:t>
      </w:r>
      <w:r w:rsidR="00FB0206">
        <w:rPr>
          <w:rFonts w:ascii="Times New Roman" w:hAnsi="Times New Roman" w:cs="Times New Roman"/>
        </w:rPr>
        <w:t xml:space="preserve"> gay sex club, a </w:t>
      </w:r>
      <w:r w:rsidR="00F770A8">
        <w:rPr>
          <w:rFonts w:ascii="Times New Roman" w:hAnsi="Times New Roman" w:cs="Times New Roman"/>
        </w:rPr>
        <w:t xml:space="preserve">public </w:t>
      </w:r>
      <w:r w:rsidR="00FB0206">
        <w:rPr>
          <w:rFonts w:ascii="Times New Roman" w:hAnsi="Times New Roman" w:cs="Times New Roman"/>
        </w:rPr>
        <w:t xml:space="preserve">gay sex party </w:t>
      </w:r>
      <w:r w:rsidR="00F770A8">
        <w:rPr>
          <w:rFonts w:ascii="Times New Roman" w:hAnsi="Times New Roman" w:cs="Times New Roman"/>
        </w:rPr>
        <w:t xml:space="preserve">/ a gay sex party </w:t>
      </w:r>
      <w:r w:rsidR="00FB0206">
        <w:rPr>
          <w:rFonts w:ascii="Times New Roman" w:hAnsi="Times New Roman" w:cs="Times New Roman"/>
        </w:rPr>
        <w:t>in a private home</w:t>
      </w:r>
      <w:r w:rsidR="00F770A8">
        <w:rPr>
          <w:rFonts w:ascii="Times New Roman" w:hAnsi="Times New Roman" w:cs="Times New Roman"/>
        </w:rPr>
        <w:t xml:space="preserve"> /</w:t>
      </w:r>
      <w:r w:rsidR="00FB0206">
        <w:rPr>
          <w:rFonts w:ascii="Times New Roman" w:hAnsi="Times New Roman" w:cs="Times New Roman"/>
        </w:rPr>
        <w:t xml:space="preserve"> a gay sauna</w:t>
      </w:r>
      <w:r w:rsidR="00F770A8">
        <w:rPr>
          <w:rFonts w:ascii="Times New Roman" w:hAnsi="Times New Roman" w:cs="Times New Roman"/>
        </w:rPr>
        <w:t xml:space="preserve"> /</w:t>
      </w:r>
      <w:r w:rsidR="00FB0206">
        <w:rPr>
          <w:rFonts w:ascii="Times New Roman" w:hAnsi="Times New Roman" w:cs="Times New Roman"/>
        </w:rPr>
        <w:t xml:space="preserve"> a porn cinema</w:t>
      </w:r>
      <w:r w:rsidR="00F770A8">
        <w:rPr>
          <w:rFonts w:ascii="Times New Roman" w:hAnsi="Times New Roman" w:cs="Times New Roman"/>
        </w:rPr>
        <w:t xml:space="preserve"> /</w:t>
      </w:r>
      <w:r w:rsidR="00FB0206">
        <w:rPr>
          <w:rFonts w:ascii="Times New Roman" w:hAnsi="Times New Roman" w:cs="Times New Roman"/>
        </w:rPr>
        <w:t xml:space="preserve"> a cruising location</w:t>
      </w:r>
      <w:r w:rsidR="00F770A8">
        <w:rPr>
          <w:rFonts w:ascii="Times New Roman" w:hAnsi="Times New Roman" w:cs="Times New Roman"/>
        </w:rPr>
        <w:t xml:space="preserve"> (street, roadside </w:t>
      </w:r>
      <w:r w:rsidR="0030129D">
        <w:rPr>
          <w:rFonts w:ascii="Times New Roman" w:hAnsi="Times New Roman" w:cs="Times New Roman"/>
        </w:rPr>
        <w:t>service area, park, beach</w:t>
      </w:r>
      <w:r w:rsidR="00F770A8">
        <w:rPr>
          <w:rFonts w:ascii="Times New Roman" w:hAnsi="Times New Roman" w:cs="Times New Roman"/>
        </w:rPr>
        <w:t xml:space="preserve">, lavatory) / </w:t>
      </w:r>
      <w:r w:rsidR="00FB0206">
        <w:rPr>
          <w:rFonts w:ascii="Times New Roman" w:hAnsi="Times New Roman" w:cs="Times New Roman"/>
        </w:rPr>
        <w:t>elsewhere)</w:t>
      </w:r>
      <w:r w:rsidR="0093662A">
        <w:rPr>
          <w:rFonts w:ascii="Times New Roman" w:hAnsi="Times New Roman" w:cs="Times New Roman"/>
        </w:rPr>
        <w:t xml:space="preserve">.  </w:t>
      </w:r>
      <w:r w:rsidR="00F770A8">
        <w:rPr>
          <w:rFonts w:ascii="Times New Roman" w:hAnsi="Times New Roman" w:cs="Times New Roman"/>
        </w:rPr>
        <w:t>L</w:t>
      </w:r>
      <w:r w:rsidR="0093662A">
        <w:rPr>
          <w:rFonts w:ascii="Times New Roman" w:hAnsi="Times New Roman" w:cs="Times New Roman"/>
        </w:rPr>
        <w:t xml:space="preserve">ocation of sex was recoded into </w:t>
      </w:r>
      <w:r w:rsidR="00B94D20">
        <w:rPr>
          <w:rFonts w:ascii="Times New Roman" w:hAnsi="Times New Roman" w:cs="Times New Roman"/>
        </w:rPr>
        <w:t>home</w:t>
      </w:r>
      <w:r w:rsidR="00A62EDE">
        <w:rPr>
          <w:rFonts w:ascii="Times New Roman" w:hAnsi="Times New Roman" w:cs="Times New Roman"/>
        </w:rPr>
        <w:t>s</w:t>
      </w:r>
      <w:r w:rsidR="00F165BD">
        <w:rPr>
          <w:rFonts w:ascii="Times New Roman" w:hAnsi="Times New Roman" w:cs="Times New Roman"/>
        </w:rPr>
        <w:t xml:space="preserve"> (</w:t>
      </w:r>
      <w:r w:rsidR="00F770A8">
        <w:rPr>
          <w:rFonts w:ascii="Times New Roman" w:hAnsi="Times New Roman" w:cs="Times New Roman"/>
        </w:rPr>
        <w:t>my place, his place, a friends place</w:t>
      </w:r>
      <w:r w:rsidR="0030129D">
        <w:rPr>
          <w:rFonts w:ascii="Times New Roman" w:hAnsi="Times New Roman" w:cs="Times New Roman"/>
        </w:rPr>
        <w:t>, private home</w:t>
      </w:r>
      <w:r w:rsidR="00F165BD">
        <w:rPr>
          <w:rFonts w:ascii="Times New Roman" w:hAnsi="Times New Roman" w:cs="Times New Roman"/>
        </w:rPr>
        <w:t>)</w:t>
      </w:r>
      <w:r w:rsidR="0093662A">
        <w:rPr>
          <w:rFonts w:ascii="Times New Roman" w:hAnsi="Times New Roman" w:cs="Times New Roman"/>
        </w:rPr>
        <w:t>; sex-on-premises</w:t>
      </w:r>
      <w:r w:rsidR="005979D3">
        <w:rPr>
          <w:rFonts w:ascii="Times New Roman" w:hAnsi="Times New Roman" w:cs="Times New Roman"/>
        </w:rPr>
        <w:t xml:space="preserve"> </w:t>
      </w:r>
      <w:r w:rsidR="0093662A">
        <w:rPr>
          <w:rFonts w:ascii="Times New Roman" w:hAnsi="Times New Roman" w:cs="Times New Roman"/>
        </w:rPr>
        <w:t>venues</w:t>
      </w:r>
      <w:r w:rsidR="00F165BD">
        <w:rPr>
          <w:rFonts w:ascii="Times New Roman" w:hAnsi="Times New Roman" w:cs="Times New Roman"/>
        </w:rPr>
        <w:t xml:space="preserve"> (</w:t>
      </w:r>
      <w:r w:rsidR="00CA6925">
        <w:rPr>
          <w:rFonts w:ascii="Times New Roman" w:hAnsi="Times New Roman" w:cs="Times New Roman"/>
        </w:rPr>
        <w:t>back room etc., sauna, cinema)</w:t>
      </w:r>
      <w:r w:rsidR="0093662A">
        <w:rPr>
          <w:rFonts w:ascii="Times New Roman" w:hAnsi="Times New Roman" w:cs="Times New Roman"/>
        </w:rPr>
        <w:t>; and c</w:t>
      </w:r>
      <w:r w:rsidR="0098708A">
        <w:rPr>
          <w:rFonts w:ascii="Times New Roman" w:hAnsi="Times New Roman" w:cs="Times New Roman"/>
        </w:rPr>
        <w:t>ruising locations.</w:t>
      </w:r>
      <w:r w:rsidR="00263CA3">
        <w:rPr>
          <w:rFonts w:ascii="Times New Roman" w:hAnsi="Times New Roman" w:cs="Times New Roman"/>
        </w:rPr>
        <w:t xml:space="preserve">  This categorisation reflects key distinctions between locations of sex, including the difference between public sex venues that require payment and </w:t>
      </w:r>
      <w:r w:rsidR="005340E3">
        <w:rPr>
          <w:rFonts w:ascii="Times New Roman" w:hAnsi="Times New Roman" w:cs="Times New Roman"/>
        </w:rPr>
        <w:t xml:space="preserve">settings </w:t>
      </w:r>
      <w:r w:rsidR="00263CA3">
        <w:rPr>
          <w:rFonts w:ascii="Times New Roman" w:hAnsi="Times New Roman" w:cs="Times New Roman"/>
        </w:rPr>
        <w:t>that do not require payment.</w:t>
      </w:r>
    </w:p>
    <w:p w14:paraId="0D8EC1E3" w14:textId="6C8CDBCC" w:rsidR="009D3D2E" w:rsidRDefault="0093662A" w:rsidP="00E54F0A">
      <w:pPr>
        <w:spacing w:line="480" w:lineRule="auto"/>
        <w:rPr>
          <w:rFonts w:ascii="Times New Roman" w:hAnsi="Times New Roman" w:cs="Times New Roman"/>
        </w:rPr>
      </w:pPr>
      <w:r>
        <w:rPr>
          <w:rFonts w:ascii="Times New Roman" w:hAnsi="Times New Roman" w:cs="Times New Roman"/>
        </w:rPr>
        <w:tab/>
      </w:r>
      <w:r w:rsidR="005979D3">
        <w:rPr>
          <w:rFonts w:ascii="Times New Roman" w:hAnsi="Times New Roman" w:cs="Times New Roman"/>
        </w:rPr>
        <w:t>We first estimated three models: one including the binary variable for any drug use, one including the six binary variables for specific drug use, and one including the three-category variable for location of sex</w:t>
      </w:r>
      <w:r>
        <w:rPr>
          <w:rFonts w:ascii="Times New Roman" w:hAnsi="Times New Roman" w:cs="Times New Roman"/>
        </w:rPr>
        <w:t xml:space="preserve">. </w:t>
      </w:r>
      <w:r w:rsidR="008D4813">
        <w:rPr>
          <w:rFonts w:ascii="Times New Roman" w:hAnsi="Times New Roman" w:cs="Times New Roman"/>
        </w:rPr>
        <w:t>We include</w:t>
      </w:r>
      <w:r w:rsidR="002B5C0C">
        <w:rPr>
          <w:rFonts w:ascii="Times New Roman" w:hAnsi="Times New Roman" w:cs="Times New Roman"/>
        </w:rPr>
        <w:t>d</w:t>
      </w:r>
      <w:r w:rsidR="008D4813">
        <w:rPr>
          <w:rFonts w:ascii="Times New Roman" w:hAnsi="Times New Roman" w:cs="Times New Roman"/>
        </w:rPr>
        <w:t xml:space="preserve"> all six binary variables for specific drug use in the same model to better isolate associations between specific drugs and UAI.  W</w:t>
      </w:r>
      <w:r w:rsidR="005979D3">
        <w:rPr>
          <w:rFonts w:ascii="Times New Roman" w:hAnsi="Times New Roman" w:cs="Times New Roman"/>
        </w:rPr>
        <w:t xml:space="preserve">e </w:t>
      </w:r>
      <w:r w:rsidR="008D4813">
        <w:rPr>
          <w:rFonts w:ascii="Times New Roman" w:hAnsi="Times New Roman" w:cs="Times New Roman"/>
        </w:rPr>
        <w:t xml:space="preserve">then </w:t>
      </w:r>
      <w:r w:rsidR="005979D3">
        <w:rPr>
          <w:rFonts w:ascii="Times New Roman" w:hAnsi="Times New Roman" w:cs="Times New Roman"/>
        </w:rPr>
        <w:t>estimated tw</w:t>
      </w:r>
      <w:r w:rsidR="00792690">
        <w:rPr>
          <w:rFonts w:ascii="Times New Roman" w:hAnsi="Times New Roman" w:cs="Times New Roman"/>
        </w:rPr>
        <w:t xml:space="preserve">o multivariate </w:t>
      </w:r>
      <w:r w:rsidR="005979D3">
        <w:rPr>
          <w:rFonts w:ascii="Times New Roman" w:hAnsi="Times New Roman" w:cs="Times New Roman"/>
        </w:rPr>
        <w:t xml:space="preserve">models: one including variables for any drug use and for location of sex, and one including variables for specific drug use and </w:t>
      </w:r>
      <w:r w:rsidR="009D3D2E">
        <w:rPr>
          <w:rFonts w:ascii="Times New Roman" w:hAnsi="Times New Roman" w:cs="Times New Roman"/>
        </w:rPr>
        <w:t>for location of sex</w:t>
      </w:r>
      <w:r>
        <w:rPr>
          <w:rFonts w:ascii="Times New Roman" w:hAnsi="Times New Roman" w:cs="Times New Roman"/>
        </w:rPr>
        <w:t xml:space="preserve">.  </w:t>
      </w:r>
      <w:r w:rsidR="009D3D2E">
        <w:rPr>
          <w:rFonts w:ascii="Times New Roman" w:hAnsi="Times New Roman" w:cs="Times New Roman"/>
        </w:rPr>
        <w:t xml:space="preserve">Finally, </w:t>
      </w:r>
      <w:r w:rsidR="004063D1">
        <w:rPr>
          <w:rFonts w:ascii="Times New Roman" w:hAnsi="Times New Roman" w:cs="Times New Roman"/>
        </w:rPr>
        <w:t xml:space="preserve">to examine </w:t>
      </w:r>
      <w:r w:rsidR="00F9123B">
        <w:rPr>
          <w:rFonts w:ascii="Times New Roman" w:hAnsi="Times New Roman" w:cs="Times New Roman"/>
        </w:rPr>
        <w:t>moderation of location of sex by drug use</w:t>
      </w:r>
      <w:r w:rsidR="004063D1">
        <w:rPr>
          <w:rFonts w:ascii="Times New Roman" w:hAnsi="Times New Roman" w:cs="Times New Roman"/>
        </w:rPr>
        <w:t xml:space="preserve"> in associations with UAI, </w:t>
      </w:r>
      <w:r w:rsidR="009D3D2E">
        <w:rPr>
          <w:rFonts w:ascii="Times New Roman" w:hAnsi="Times New Roman" w:cs="Times New Roman"/>
        </w:rPr>
        <w:t xml:space="preserve">we </w:t>
      </w:r>
      <w:r w:rsidR="004063D1">
        <w:rPr>
          <w:rFonts w:ascii="Times New Roman" w:hAnsi="Times New Roman" w:cs="Times New Roman"/>
        </w:rPr>
        <w:t xml:space="preserve">undertook </w:t>
      </w:r>
      <w:r w:rsidR="002B5C0C">
        <w:rPr>
          <w:rFonts w:ascii="Times New Roman" w:hAnsi="Times New Roman" w:cs="Times New Roman"/>
        </w:rPr>
        <w:t>moderat</w:t>
      </w:r>
      <w:r w:rsidR="004063D1">
        <w:rPr>
          <w:rFonts w:ascii="Times New Roman" w:hAnsi="Times New Roman" w:cs="Times New Roman"/>
        </w:rPr>
        <w:t>or analyses</w:t>
      </w:r>
      <w:r w:rsidR="00F9123B">
        <w:rPr>
          <w:rFonts w:ascii="Times New Roman" w:hAnsi="Times New Roman" w:cs="Times New Roman"/>
        </w:rPr>
        <w:t xml:space="preserve"> by</w:t>
      </w:r>
      <w:r w:rsidR="004063D1">
        <w:rPr>
          <w:rFonts w:ascii="Times New Roman" w:hAnsi="Times New Roman" w:cs="Times New Roman"/>
        </w:rPr>
        <w:t xml:space="preserve"> </w:t>
      </w:r>
      <w:r w:rsidR="002B5C0C">
        <w:rPr>
          <w:rFonts w:ascii="Times New Roman" w:hAnsi="Times New Roman" w:cs="Times New Roman"/>
        </w:rPr>
        <w:t>re-estimating</w:t>
      </w:r>
      <w:r w:rsidR="009D3D2E">
        <w:rPr>
          <w:rFonts w:ascii="Times New Roman" w:hAnsi="Times New Roman" w:cs="Times New Roman"/>
        </w:rPr>
        <w:t xml:space="preserve"> </w:t>
      </w:r>
      <w:r w:rsidR="004063D1">
        <w:rPr>
          <w:rFonts w:ascii="Times New Roman" w:hAnsi="Times New Roman" w:cs="Times New Roman"/>
        </w:rPr>
        <w:t>the</w:t>
      </w:r>
      <w:r w:rsidR="009D3D2E">
        <w:rPr>
          <w:rFonts w:ascii="Times New Roman" w:hAnsi="Times New Roman" w:cs="Times New Roman"/>
        </w:rPr>
        <w:t xml:space="preserve"> two </w:t>
      </w:r>
      <w:r w:rsidR="009D3D2E">
        <w:rPr>
          <w:rFonts w:ascii="Times New Roman" w:hAnsi="Times New Roman" w:cs="Times New Roman"/>
        </w:rPr>
        <w:lastRenderedPageBreak/>
        <w:t xml:space="preserve">models including interaction terms </w:t>
      </w:r>
      <w:r w:rsidR="00F9123B">
        <w:rPr>
          <w:rFonts w:ascii="Times New Roman" w:hAnsi="Times New Roman" w:cs="Times New Roman"/>
        </w:rPr>
        <w:t>‘</w:t>
      </w:r>
      <w:r w:rsidR="00546D0B">
        <w:rPr>
          <w:rFonts w:ascii="Times New Roman" w:hAnsi="Times New Roman" w:cs="Times New Roman"/>
        </w:rPr>
        <w:t>crossing</w:t>
      </w:r>
      <w:r w:rsidR="00F9123B">
        <w:rPr>
          <w:rFonts w:ascii="Times New Roman" w:hAnsi="Times New Roman" w:cs="Times New Roman"/>
        </w:rPr>
        <w:t>’</w:t>
      </w:r>
      <w:r w:rsidR="009D3D2E">
        <w:rPr>
          <w:rFonts w:ascii="Times New Roman" w:hAnsi="Times New Roman" w:cs="Times New Roman"/>
        </w:rPr>
        <w:t xml:space="preserve"> drug use and location of sex</w:t>
      </w:r>
      <w:r w:rsidR="00F9123B">
        <w:rPr>
          <w:rFonts w:ascii="Times New Roman" w:hAnsi="Times New Roman" w:cs="Times New Roman"/>
        </w:rPr>
        <w:t xml:space="preserve"> </w:t>
      </w:r>
      <w:r w:rsidR="00953B6A">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"ISSN" : "0022-3514", "PMID" : "3806354", "abstract" : "In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"author" : [ { "dropping-particle" : "", "family" : "Baron", "given" : "R M", "non-dropping-particle" : "", "parse-names" : false, "suffix" : "" }, { "dropping-particle" : "", "family" : "Kenny", "given" : "D a", "non-dropping-particle" : "", "parse-names" : false, "suffix" : "" } ], "container-title" : "Journal of personality and social psychology", "id" : "ITEM-1", "issue" : "6", "issued" : { "date-parts" : [ [ "1986", "12" ] ] }, "page" : "1173-82", "title" : "The moderator-mediator variable distinction in social psychological research: conceptual, strategic, and statistical considerations.", "type" : "article-journal", "volume" : "51" }, "uris" : [ "http://www.mendeley.com/documents/?uuid=2a58b207-802f-4972-9288-737e73ddccc6" ] } ], "mendeley" : { "formattedCitation" : "[14]", "plainTextFormattedCitation" : "[14]" }, "properties" : { "noteIndex" : 0 }, "schema" : "https://github.com/citation-style-language/schema/raw/master/csl-citation.json" }</w:instrText>
      </w:r>
      <w:r w:rsidR="00953B6A">
        <w:rPr>
          <w:rFonts w:ascii="Times New Roman" w:hAnsi="Times New Roman" w:cs="Times New Roman"/>
        </w:rPr>
        <w:fldChar w:fldCharType="separate"/>
      </w:r>
      <w:r w:rsidR="00953B6A" w:rsidRPr="00953B6A">
        <w:rPr>
          <w:rFonts w:ascii="Times New Roman" w:hAnsi="Times New Roman" w:cs="Times New Roman"/>
          <w:noProof/>
        </w:rPr>
        <w:t>[14]</w:t>
      </w:r>
      <w:r w:rsidR="00953B6A">
        <w:rPr>
          <w:rFonts w:ascii="Times New Roman" w:hAnsi="Times New Roman" w:cs="Times New Roman"/>
        </w:rPr>
        <w:fldChar w:fldCharType="end"/>
      </w:r>
      <w:r w:rsidR="009D3D2E">
        <w:rPr>
          <w:rFonts w:ascii="Times New Roman" w:hAnsi="Times New Roman" w:cs="Times New Roman"/>
        </w:rPr>
        <w:t>.</w:t>
      </w:r>
      <w:r w:rsidR="008D4813">
        <w:rPr>
          <w:rFonts w:ascii="Times New Roman" w:hAnsi="Times New Roman" w:cs="Times New Roman"/>
        </w:rPr>
        <w:t xml:space="preserve">  Because of </w:t>
      </w:r>
      <w:r w:rsidR="00792690">
        <w:rPr>
          <w:rFonts w:ascii="Times New Roman" w:hAnsi="Times New Roman" w:cs="Times New Roman"/>
        </w:rPr>
        <w:t>issues with model convergence</w:t>
      </w:r>
      <w:r w:rsidR="008D4813">
        <w:rPr>
          <w:rFonts w:ascii="Times New Roman" w:hAnsi="Times New Roman" w:cs="Times New Roman"/>
        </w:rPr>
        <w:t xml:space="preserve">, we did not </w:t>
      </w:r>
      <w:r w:rsidR="002B5C0C">
        <w:rPr>
          <w:rFonts w:ascii="Times New Roman" w:hAnsi="Times New Roman" w:cs="Times New Roman"/>
        </w:rPr>
        <w:t xml:space="preserve">test moderation between </w:t>
      </w:r>
      <w:r w:rsidR="008D4813">
        <w:rPr>
          <w:rFonts w:ascii="Times New Roman" w:hAnsi="Times New Roman" w:cs="Times New Roman"/>
        </w:rPr>
        <w:t>all specifi</w:t>
      </w:r>
      <w:r w:rsidR="002B5C0C">
        <w:rPr>
          <w:rFonts w:ascii="Times New Roman" w:hAnsi="Times New Roman" w:cs="Times New Roman"/>
        </w:rPr>
        <w:t>c drug use variables and</w:t>
      </w:r>
      <w:r w:rsidR="008D4813">
        <w:rPr>
          <w:rFonts w:ascii="Times New Roman" w:hAnsi="Times New Roman" w:cs="Times New Roman"/>
        </w:rPr>
        <w:t xml:space="preserve"> </w:t>
      </w:r>
      <w:r w:rsidR="002B5C0C">
        <w:rPr>
          <w:rFonts w:ascii="Times New Roman" w:hAnsi="Times New Roman" w:cs="Times New Roman"/>
        </w:rPr>
        <w:t xml:space="preserve">location of sex at once.  Instead, we tested moderation between </w:t>
      </w:r>
      <w:r w:rsidR="005C0998">
        <w:rPr>
          <w:rFonts w:ascii="Times New Roman" w:hAnsi="Times New Roman" w:cs="Times New Roman"/>
        </w:rPr>
        <w:t>poppers</w:t>
      </w:r>
      <w:r w:rsidR="002B5C0C">
        <w:rPr>
          <w:rFonts w:ascii="Times New Roman" w:hAnsi="Times New Roman" w:cs="Times New Roman"/>
        </w:rPr>
        <w:t xml:space="preserve"> and location of sex</w:t>
      </w:r>
      <w:r w:rsidR="00792690">
        <w:rPr>
          <w:rFonts w:ascii="Times New Roman" w:hAnsi="Times New Roman" w:cs="Times New Roman"/>
        </w:rPr>
        <w:t xml:space="preserve"> </w:t>
      </w:r>
      <w:r w:rsidR="00F9123B">
        <w:rPr>
          <w:rFonts w:ascii="Times New Roman" w:hAnsi="Times New Roman" w:cs="Times New Roman"/>
        </w:rPr>
        <w:t xml:space="preserve">and </w:t>
      </w:r>
      <w:r w:rsidR="005C0998">
        <w:rPr>
          <w:rFonts w:ascii="Times New Roman" w:hAnsi="Times New Roman" w:cs="Times New Roman"/>
        </w:rPr>
        <w:t>between alcohol and location of sex</w:t>
      </w:r>
      <w:r w:rsidR="00F9123B">
        <w:rPr>
          <w:rFonts w:ascii="Times New Roman" w:hAnsi="Times New Roman" w:cs="Times New Roman"/>
        </w:rPr>
        <w:t xml:space="preserve"> </w:t>
      </w:r>
      <w:r w:rsidR="002B5C0C">
        <w:rPr>
          <w:rFonts w:ascii="Times New Roman" w:hAnsi="Times New Roman" w:cs="Times New Roman"/>
        </w:rPr>
        <w:t>sequentially while controlling for all other specific drug use variables.</w:t>
      </w:r>
      <w:r w:rsidR="005C0998">
        <w:rPr>
          <w:rFonts w:ascii="Times New Roman" w:hAnsi="Times New Roman" w:cs="Times New Roman"/>
        </w:rPr>
        <w:t xml:space="preserve">  </w:t>
      </w:r>
      <w:r w:rsidR="00792690">
        <w:rPr>
          <w:rFonts w:ascii="Times New Roman" w:hAnsi="Times New Roman" w:cs="Times New Roman"/>
        </w:rPr>
        <w:t>We chose poppers</w:t>
      </w:r>
      <w:r w:rsidR="0030643A">
        <w:rPr>
          <w:rFonts w:ascii="Times New Roman" w:hAnsi="Times New Roman" w:cs="Times New Roman"/>
        </w:rPr>
        <w:t xml:space="preserve"> and</w:t>
      </w:r>
      <w:r w:rsidR="005C0998">
        <w:rPr>
          <w:rFonts w:ascii="Times New Roman" w:hAnsi="Times New Roman" w:cs="Times New Roman"/>
        </w:rPr>
        <w:t xml:space="preserve"> alcohol </w:t>
      </w:r>
      <w:r w:rsidR="00792690">
        <w:rPr>
          <w:rFonts w:ascii="Times New Roman" w:hAnsi="Times New Roman" w:cs="Times New Roman"/>
        </w:rPr>
        <w:t xml:space="preserve">because these were the most </w:t>
      </w:r>
      <w:r w:rsidR="0030643A">
        <w:rPr>
          <w:rFonts w:ascii="Times New Roman" w:hAnsi="Times New Roman" w:cs="Times New Roman"/>
        </w:rPr>
        <w:t xml:space="preserve">commonly used drugs. </w:t>
      </w:r>
      <w:r w:rsidR="00F9123B">
        <w:rPr>
          <w:rFonts w:ascii="Times New Roman" w:hAnsi="Times New Roman" w:cs="Times New Roman"/>
        </w:rPr>
        <w:t xml:space="preserve"> </w:t>
      </w:r>
      <w:r w:rsidR="00792690">
        <w:rPr>
          <w:rFonts w:ascii="Times New Roman" w:hAnsi="Times New Roman" w:cs="Times New Roman"/>
        </w:rPr>
        <w:t>We tested our moderation models for robustness by also including a vector of person-level confounds (i.e. age, education, ethnic group and sexual orientation).</w:t>
      </w:r>
    </w:p>
    <w:p w14:paraId="38B0DF48" w14:textId="77777777" w:rsidR="0093662A" w:rsidRPr="003F1BE2" w:rsidRDefault="009D3D2E" w:rsidP="00E54F0A">
      <w:pPr>
        <w:spacing w:line="480" w:lineRule="auto"/>
        <w:rPr>
          <w:rFonts w:ascii="Times New Roman" w:hAnsi="Times New Roman" w:cs="Times New Roman"/>
        </w:rPr>
      </w:pPr>
      <w:r>
        <w:rPr>
          <w:rFonts w:ascii="Times New Roman" w:hAnsi="Times New Roman" w:cs="Times New Roman"/>
        </w:rPr>
        <w:tab/>
      </w:r>
      <w:r w:rsidR="0093662A">
        <w:rPr>
          <w:rFonts w:ascii="Times New Roman" w:hAnsi="Times New Roman" w:cs="Times New Roman"/>
        </w:rPr>
        <w:t xml:space="preserve">All models were estimated as generalised estimating equations with logit link and exchangeable correlation matrices to correct for multiple encounters per </w:t>
      </w:r>
      <w:r w:rsidR="00883A53">
        <w:rPr>
          <w:rFonts w:ascii="Times New Roman" w:hAnsi="Times New Roman" w:cs="Times New Roman"/>
        </w:rPr>
        <w:t>respondent</w:t>
      </w:r>
      <w:r w:rsidR="0093662A">
        <w:rPr>
          <w:rFonts w:ascii="Times New Roman" w:hAnsi="Times New Roman" w:cs="Times New Roman"/>
        </w:rPr>
        <w:t>.</w:t>
      </w:r>
      <w:r w:rsidR="00883A53">
        <w:rPr>
          <w:rFonts w:ascii="Times New Roman" w:hAnsi="Times New Roman" w:cs="Times New Roman"/>
        </w:rPr>
        <w:t xml:space="preserve"> </w:t>
      </w:r>
      <w:r w:rsidR="00CA404F">
        <w:rPr>
          <w:rFonts w:ascii="Times New Roman" w:hAnsi="Times New Roman" w:cs="Times New Roman"/>
        </w:rPr>
        <w:t xml:space="preserve"> </w:t>
      </w:r>
      <w:r w:rsidR="0098708A">
        <w:rPr>
          <w:rFonts w:ascii="Times New Roman" w:hAnsi="Times New Roman" w:cs="Times New Roman"/>
        </w:rPr>
        <w:t>Missing data w</w:t>
      </w:r>
      <w:r w:rsidR="00F165BD">
        <w:rPr>
          <w:rFonts w:ascii="Times New Roman" w:hAnsi="Times New Roman" w:cs="Times New Roman"/>
        </w:rPr>
        <w:t>ere</w:t>
      </w:r>
      <w:r w:rsidR="0098708A">
        <w:rPr>
          <w:rFonts w:ascii="Times New Roman" w:hAnsi="Times New Roman" w:cs="Times New Roman"/>
        </w:rPr>
        <w:t xml:space="preserve"> less than 5% in all analyses and handled with pairwise deletion.</w:t>
      </w:r>
      <w:r w:rsidR="00CC01E4">
        <w:rPr>
          <w:rFonts w:ascii="Times New Roman" w:hAnsi="Times New Roman" w:cs="Times New Roman"/>
        </w:rPr>
        <w:t xml:space="preserve">  Wald tests captured the overall significance of each model in explaining variation in the dependent variable.  Odds ratios greater than 1 indicated increased odds of UAI.</w:t>
      </w:r>
      <w:r w:rsidR="00996C7A">
        <w:rPr>
          <w:rFonts w:ascii="Times New Roman" w:hAnsi="Times New Roman" w:cs="Times New Roman"/>
        </w:rPr>
        <w:t xml:space="preserve">  We present moderation effects in terms of the multiplicative effect of drug use on odds of sexual risk within each location of sex.</w:t>
      </w:r>
    </w:p>
    <w:p w14:paraId="7472A15F" w14:textId="77777777" w:rsidR="004A0EC4" w:rsidRPr="009A4209" w:rsidRDefault="00657DF7" w:rsidP="00E54F0A">
      <w:pPr>
        <w:spacing w:line="480" w:lineRule="auto"/>
        <w:rPr>
          <w:rFonts w:ascii="Times New Roman" w:hAnsi="Times New Roman" w:cs="Times New Roman"/>
          <w:b/>
        </w:rPr>
      </w:pPr>
      <w:r>
        <w:rPr>
          <w:rFonts w:ascii="Times New Roman" w:hAnsi="Times New Roman" w:cs="Times New Roman"/>
          <w:b/>
        </w:rPr>
        <w:t>RESULTS</w:t>
      </w:r>
    </w:p>
    <w:p w14:paraId="6CA5C001" w14:textId="172643D4" w:rsidR="004A0EC4" w:rsidRPr="009A4209" w:rsidRDefault="004A0EC4" w:rsidP="00E54F0A">
      <w:pPr>
        <w:spacing w:line="480" w:lineRule="auto"/>
        <w:rPr>
          <w:rFonts w:ascii="Times New Roman" w:hAnsi="Times New Roman" w:cs="Times New Roman"/>
        </w:rPr>
      </w:pPr>
      <w:r w:rsidRPr="009A4209">
        <w:rPr>
          <w:rFonts w:ascii="Times New Roman" w:hAnsi="Times New Roman" w:cs="Times New Roman"/>
          <w:b/>
        </w:rPr>
        <w:tab/>
      </w:r>
      <w:r w:rsidRPr="009A4209">
        <w:rPr>
          <w:rFonts w:ascii="Times New Roman" w:hAnsi="Times New Roman" w:cs="Times New Roman"/>
        </w:rPr>
        <w:t xml:space="preserve">In total, </w:t>
      </w:r>
      <w:r w:rsidR="00B94D20">
        <w:rPr>
          <w:rFonts w:ascii="Times New Roman" w:hAnsi="Times New Roman" w:cs="Times New Roman"/>
        </w:rPr>
        <w:t>1</w:t>
      </w:r>
      <w:r w:rsidR="0030129D">
        <w:rPr>
          <w:rFonts w:ascii="Times New Roman" w:hAnsi="Times New Roman" w:cs="Times New Roman"/>
        </w:rPr>
        <w:t>,</w:t>
      </w:r>
      <w:r w:rsidR="00B94D20">
        <w:rPr>
          <w:rFonts w:ascii="Times New Roman" w:hAnsi="Times New Roman" w:cs="Times New Roman"/>
        </w:rPr>
        <w:t xml:space="preserve">034 men reported two </w:t>
      </w:r>
      <w:r w:rsidR="00B94D20" w:rsidRPr="009A4209">
        <w:rPr>
          <w:rFonts w:ascii="Times New Roman" w:hAnsi="Times New Roman" w:cs="Times New Roman"/>
        </w:rPr>
        <w:t xml:space="preserve">eligible </w:t>
      </w:r>
      <w:r w:rsidR="00B94D20">
        <w:rPr>
          <w:rFonts w:ascii="Times New Roman" w:hAnsi="Times New Roman" w:cs="Times New Roman"/>
        </w:rPr>
        <w:t xml:space="preserve">encounters and another 845 reported one, giving </w:t>
      </w:r>
      <w:r w:rsidRPr="009A4209">
        <w:rPr>
          <w:rFonts w:ascii="Times New Roman" w:hAnsi="Times New Roman" w:cs="Times New Roman"/>
        </w:rPr>
        <w:t>2,913 encounters reported by 1,879 respondents</w:t>
      </w:r>
      <w:r>
        <w:rPr>
          <w:rFonts w:ascii="Times New Roman" w:hAnsi="Times New Roman" w:cs="Times New Roman"/>
        </w:rPr>
        <w:t>.  On average, respondents were 42.2 years of age (SD=11.9)</w:t>
      </w:r>
      <w:r w:rsidR="00703308">
        <w:rPr>
          <w:rFonts w:ascii="Times New Roman" w:hAnsi="Times New Roman" w:cs="Times New Roman"/>
        </w:rPr>
        <w:t>. The majority were</w:t>
      </w:r>
      <w:r>
        <w:rPr>
          <w:rFonts w:ascii="Times New Roman" w:hAnsi="Times New Roman" w:cs="Times New Roman"/>
        </w:rPr>
        <w:t xml:space="preserve"> White British (81.7%)</w:t>
      </w:r>
      <w:r w:rsidR="00792690">
        <w:rPr>
          <w:rFonts w:ascii="Times New Roman" w:hAnsi="Times New Roman" w:cs="Times New Roman"/>
        </w:rPr>
        <w:t xml:space="preserve"> and identif</w:t>
      </w:r>
      <w:r w:rsidR="00703308">
        <w:rPr>
          <w:rFonts w:ascii="Times New Roman" w:hAnsi="Times New Roman" w:cs="Times New Roman"/>
        </w:rPr>
        <w:t>ied</w:t>
      </w:r>
      <w:r w:rsidR="00792690">
        <w:rPr>
          <w:rFonts w:ascii="Times New Roman" w:hAnsi="Times New Roman" w:cs="Times New Roman"/>
        </w:rPr>
        <w:t xml:space="preserve"> as gay (84.3%)</w:t>
      </w:r>
      <w:r>
        <w:rPr>
          <w:rFonts w:ascii="Times New Roman" w:hAnsi="Times New Roman" w:cs="Times New Roman"/>
        </w:rPr>
        <w:t xml:space="preserve">.  Exactly half reported a university degree, and 35.1% lived in London.  </w:t>
      </w:r>
      <w:r w:rsidR="00792690">
        <w:rPr>
          <w:rFonts w:ascii="Times New Roman" w:hAnsi="Times New Roman" w:cs="Times New Roman"/>
        </w:rPr>
        <w:t>In the enrolment survey, a</w:t>
      </w:r>
      <w:r>
        <w:rPr>
          <w:rFonts w:ascii="Times New Roman" w:hAnsi="Times New Roman" w:cs="Times New Roman"/>
        </w:rPr>
        <w:t xml:space="preserve">lmost a quarter of respondents reported </w:t>
      </w:r>
      <w:r w:rsidR="00F8150B">
        <w:rPr>
          <w:rFonts w:ascii="Times New Roman" w:hAnsi="Times New Roman" w:cs="Times New Roman"/>
        </w:rPr>
        <w:t>having diagnosed HIV</w:t>
      </w:r>
      <w:r>
        <w:rPr>
          <w:rFonts w:ascii="Times New Roman" w:hAnsi="Times New Roman" w:cs="Times New Roman"/>
        </w:rPr>
        <w:t>.</w:t>
      </w:r>
    </w:p>
    <w:p w14:paraId="4FB61751" w14:textId="3204CFCB" w:rsidR="00A75685" w:rsidRDefault="00B94D20" w:rsidP="00F42BD8">
      <w:pPr>
        <w:spacing w:line="480" w:lineRule="auto"/>
        <w:ind w:firstLine="720"/>
        <w:rPr>
          <w:rFonts w:ascii="Times New Roman" w:hAnsi="Times New Roman" w:cs="Times New Roman"/>
        </w:rPr>
      </w:pPr>
      <w:r>
        <w:rPr>
          <w:rFonts w:ascii="Times New Roman" w:hAnsi="Times New Roman" w:cs="Times New Roman"/>
        </w:rPr>
        <w:t xml:space="preserve">Most </w:t>
      </w:r>
      <w:r w:rsidRPr="009A4209">
        <w:rPr>
          <w:rFonts w:ascii="Times New Roman" w:hAnsi="Times New Roman" w:cs="Times New Roman"/>
        </w:rPr>
        <w:t xml:space="preserve">encounters (82.3%) occurred in </w:t>
      </w:r>
      <w:r w:rsidR="00A62EDE">
        <w:rPr>
          <w:rFonts w:ascii="Times New Roman" w:hAnsi="Times New Roman" w:cs="Times New Roman"/>
        </w:rPr>
        <w:t>homes</w:t>
      </w:r>
      <w:r w:rsidRPr="009A4209">
        <w:rPr>
          <w:rFonts w:ascii="Times New Roman" w:hAnsi="Times New Roman" w:cs="Times New Roman"/>
        </w:rPr>
        <w:t xml:space="preserve">, 12.9% </w:t>
      </w:r>
      <w:r w:rsidR="009D3D2E" w:rsidRPr="009A4209">
        <w:rPr>
          <w:rFonts w:ascii="Times New Roman" w:hAnsi="Times New Roman" w:cs="Times New Roman"/>
        </w:rPr>
        <w:t>occurr</w:t>
      </w:r>
      <w:r w:rsidR="009D3D2E">
        <w:rPr>
          <w:rFonts w:ascii="Times New Roman" w:hAnsi="Times New Roman" w:cs="Times New Roman"/>
        </w:rPr>
        <w:t>ed</w:t>
      </w:r>
      <w:r w:rsidR="009D3D2E" w:rsidRPr="009A4209">
        <w:rPr>
          <w:rFonts w:ascii="Times New Roman" w:hAnsi="Times New Roman" w:cs="Times New Roman"/>
        </w:rPr>
        <w:t xml:space="preserve"> in </w:t>
      </w:r>
      <w:r w:rsidR="009D3D2E">
        <w:rPr>
          <w:rFonts w:ascii="Times New Roman" w:hAnsi="Times New Roman" w:cs="Times New Roman"/>
        </w:rPr>
        <w:t>sex-on-premises venue</w:t>
      </w:r>
      <w:r>
        <w:rPr>
          <w:rFonts w:ascii="Times New Roman" w:hAnsi="Times New Roman" w:cs="Times New Roman"/>
        </w:rPr>
        <w:t>s</w:t>
      </w:r>
      <w:r w:rsidRPr="009A4209">
        <w:rPr>
          <w:rFonts w:ascii="Times New Roman" w:hAnsi="Times New Roman" w:cs="Times New Roman"/>
        </w:rPr>
        <w:t xml:space="preserve"> and 4.8% occurr</w:t>
      </w:r>
      <w:r>
        <w:rPr>
          <w:rFonts w:ascii="Times New Roman" w:hAnsi="Times New Roman" w:cs="Times New Roman"/>
        </w:rPr>
        <w:t>ed</w:t>
      </w:r>
      <w:r w:rsidRPr="009A4209">
        <w:rPr>
          <w:rFonts w:ascii="Times New Roman" w:hAnsi="Times New Roman" w:cs="Times New Roman"/>
        </w:rPr>
        <w:t xml:space="preserve"> in c</w:t>
      </w:r>
      <w:r>
        <w:rPr>
          <w:rFonts w:ascii="Times New Roman" w:hAnsi="Times New Roman" w:cs="Times New Roman"/>
        </w:rPr>
        <w:t xml:space="preserve">ruising locations. </w:t>
      </w:r>
      <w:r w:rsidR="004829DF" w:rsidRPr="004829DF">
        <w:rPr>
          <w:rFonts w:ascii="Times New Roman" w:hAnsi="Times New Roman" w:cs="Times New Roman"/>
        </w:rPr>
        <w:t>A</w:t>
      </w:r>
      <w:r w:rsidR="004A0EC4" w:rsidRPr="004829DF">
        <w:rPr>
          <w:rFonts w:ascii="Times New Roman" w:hAnsi="Times New Roman" w:cs="Times New Roman"/>
        </w:rPr>
        <w:t>c</w:t>
      </w:r>
      <w:r w:rsidR="004A0EC4" w:rsidRPr="009A4209">
        <w:rPr>
          <w:rFonts w:ascii="Times New Roman" w:hAnsi="Times New Roman" w:cs="Times New Roman"/>
        </w:rPr>
        <w:t xml:space="preserve">ross all new partner </w:t>
      </w:r>
      <w:r w:rsidR="004A0EC4" w:rsidRPr="009A4209">
        <w:rPr>
          <w:rFonts w:ascii="Times New Roman" w:hAnsi="Times New Roman" w:cs="Times New Roman"/>
        </w:rPr>
        <w:lastRenderedPageBreak/>
        <w:t>encounters, 21.2</w:t>
      </w:r>
      <w:r w:rsidR="00F8150B">
        <w:rPr>
          <w:rFonts w:ascii="Times New Roman" w:hAnsi="Times New Roman" w:cs="Times New Roman"/>
        </w:rPr>
        <w:t xml:space="preserve">% </w:t>
      </w:r>
      <w:r w:rsidR="004A0EC4" w:rsidRPr="009A4209">
        <w:rPr>
          <w:rFonts w:ascii="Times New Roman" w:hAnsi="Times New Roman" w:cs="Times New Roman"/>
        </w:rPr>
        <w:t>included UAI</w:t>
      </w:r>
      <w:r>
        <w:rPr>
          <w:rFonts w:ascii="Times New Roman" w:hAnsi="Times New Roman" w:cs="Times New Roman"/>
        </w:rPr>
        <w:t xml:space="preserve"> and </w:t>
      </w:r>
      <w:r w:rsidR="004829DF" w:rsidRPr="009A4209">
        <w:rPr>
          <w:rFonts w:ascii="Times New Roman" w:hAnsi="Times New Roman" w:cs="Times New Roman"/>
        </w:rPr>
        <w:t xml:space="preserve">51.5% involved </w:t>
      </w:r>
      <w:r w:rsidR="0076208F">
        <w:rPr>
          <w:rFonts w:ascii="Times New Roman" w:hAnsi="Times New Roman" w:cs="Times New Roman"/>
        </w:rPr>
        <w:t>drug</w:t>
      </w:r>
      <w:r w:rsidR="004829DF" w:rsidRPr="009A4209">
        <w:rPr>
          <w:rFonts w:ascii="Times New Roman" w:hAnsi="Times New Roman" w:cs="Times New Roman"/>
        </w:rPr>
        <w:t xml:space="preserve"> use by </w:t>
      </w:r>
      <w:r w:rsidR="00263CA3">
        <w:rPr>
          <w:rFonts w:ascii="Times New Roman" w:hAnsi="Times New Roman" w:cs="Times New Roman"/>
        </w:rPr>
        <w:t xml:space="preserve">the </w:t>
      </w:r>
      <w:r w:rsidR="004829DF" w:rsidRPr="009A4209">
        <w:rPr>
          <w:rFonts w:ascii="Times New Roman" w:hAnsi="Times New Roman" w:cs="Times New Roman"/>
        </w:rPr>
        <w:t>respondent.</w:t>
      </w:r>
      <w:r w:rsidR="00083AF3">
        <w:rPr>
          <w:rFonts w:ascii="Times New Roman" w:hAnsi="Times New Roman" w:cs="Times New Roman"/>
        </w:rPr>
        <w:t xml:space="preserve">  See Table 1 for encounter-level descriptive statistics.</w:t>
      </w:r>
      <w:r w:rsidR="00A75685">
        <w:rPr>
          <w:rFonts w:ascii="Times New Roman" w:hAnsi="Times New Roman" w:cs="Times New Roman"/>
        </w:rPr>
        <w:br w:type="page"/>
      </w:r>
    </w:p>
    <w:p w14:paraId="17A96EF9" w14:textId="77777777" w:rsidR="00A75685" w:rsidRDefault="00A75685" w:rsidP="00082AC8">
      <w:pPr>
        <w:rPr>
          <w:rFonts w:ascii="Times New Roman" w:hAnsi="Times New Roman" w:cs="Times New Roman"/>
        </w:rPr>
      </w:pPr>
      <w:r>
        <w:rPr>
          <w:rFonts w:ascii="Times New Roman" w:hAnsi="Times New Roman" w:cs="Times New Roman"/>
          <w:b/>
        </w:rPr>
        <w:lastRenderedPageBreak/>
        <w:t>Table 1.</w:t>
      </w:r>
      <w:r>
        <w:rPr>
          <w:rFonts w:ascii="Times New Roman" w:hAnsi="Times New Roman" w:cs="Times New Roman"/>
        </w:rPr>
        <w:t xml:space="preserve">  Characteristics of included encounters.</w:t>
      </w:r>
    </w:p>
    <w:p w14:paraId="5A12F330" w14:textId="77777777" w:rsidR="00A75685" w:rsidRDefault="00A75685" w:rsidP="00082AC8">
      <w:pPr>
        <w:rPr>
          <w:rFonts w:ascii="Times New Roman" w:hAnsi="Times New Roman" w:cs="Times New Roman"/>
        </w:rPr>
      </w:pPr>
    </w:p>
    <w:tbl>
      <w:tblPr>
        <w:tblStyle w:val="TableGrid"/>
        <w:tblW w:w="0" w:type="auto"/>
        <w:tblLook w:val="04A0" w:firstRow="1" w:lastRow="0" w:firstColumn="1" w:lastColumn="0" w:noHBand="0" w:noVBand="1"/>
      </w:tblPr>
      <w:tblGrid>
        <w:gridCol w:w="6204"/>
        <w:gridCol w:w="1701"/>
      </w:tblGrid>
      <w:tr w:rsidR="00A75685" w:rsidRPr="00BB2E08" w14:paraId="76F7A304" w14:textId="77777777" w:rsidTr="00A75685">
        <w:tc>
          <w:tcPr>
            <w:tcW w:w="6204" w:type="dxa"/>
          </w:tcPr>
          <w:p w14:paraId="24086323" w14:textId="77777777" w:rsidR="00A75685" w:rsidRPr="00083AF3" w:rsidRDefault="00A75685" w:rsidP="00082AC8">
            <w:pPr>
              <w:rPr>
                <w:rFonts w:ascii="Times New Roman" w:hAnsi="Times New Roman" w:cs="Times New Roman"/>
                <w:b/>
              </w:rPr>
            </w:pPr>
            <w:r w:rsidRPr="00083AF3">
              <w:rPr>
                <w:rFonts w:ascii="Times New Roman" w:hAnsi="Times New Roman" w:cs="Times New Roman"/>
                <w:b/>
              </w:rPr>
              <w:t>Variable</w:t>
            </w:r>
          </w:p>
        </w:tc>
        <w:tc>
          <w:tcPr>
            <w:tcW w:w="1701" w:type="dxa"/>
          </w:tcPr>
          <w:p w14:paraId="70D0025D" w14:textId="77777777" w:rsidR="00A75685" w:rsidRPr="00083AF3" w:rsidRDefault="00A75685" w:rsidP="00082AC8">
            <w:pPr>
              <w:rPr>
                <w:rFonts w:ascii="Times New Roman" w:hAnsi="Times New Roman" w:cs="Times New Roman"/>
                <w:b/>
              </w:rPr>
            </w:pPr>
            <w:r>
              <w:rPr>
                <w:rFonts w:ascii="Times New Roman" w:hAnsi="Times New Roman" w:cs="Times New Roman"/>
                <w:b/>
              </w:rPr>
              <w:t>% (n)</w:t>
            </w:r>
          </w:p>
        </w:tc>
      </w:tr>
      <w:tr w:rsidR="00A75685" w:rsidRPr="00BB2E08" w14:paraId="472EC656" w14:textId="77777777" w:rsidTr="00A75685">
        <w:tc>
          <w:tcPr>
            <w:tcW w:w="6204" w:type="dxa"/>
            <w:vAlign w:val="center"/>
          </w:tcPr>
          <w:p w14:paraId="1535CCC3" w14:textId="77777777" w:rsidR="00A75685" w:rsidRPr="00C712AC" w:rsidRDefault="00A75685" w:rsidP="00082AC8">
            <w:pPr>
              <w:rPr>
                <w:rFonts w:ascii="Times New Roman" w:eastAsia="Times New Roman" w:hAnsi="Times New Roman"/>
                <w:b/>
                <w:color w:val="000000"/>
              </w:rPr>
            </w:pPr>
            <w:r w:rsidRPr="00C712AC">
              <w:rPr>
                <w:rFonts w:ascii="Times New Roman" w:eastAsia="Times New Roman" w:hAnsi="Times New Roman"/>
                <w:b/>
                <w:color w:val="000000"/>
              </w:rPr>
              <w:t>Unprotected anal intercourse</w:t>
            </w:r>
          </w:p>
        </w:tc>
        <w:tc>
          <w:tcPr>
            <w:tcW w:w="1701" w:type="dxa"/>
            <w:vAlign w:val="center"/>
          </w:tcPr>
          <w:p w14:paraId="4BFD1581" w14:textId="77777777" w:rsidR="00A75685" w:rsidRPr="00C712AC" w:rsidRDefault="00A75685" w:rsidP="00082AC8">
            <w:pPr>
              <w:rPr>
                <w:rFonts w:ascii="Times New Roman" w:eastAsia="Times New Roman" w:hAnsi="Times New Roman"/>
                <w:b/>
                <w:bCs/>
                <w:color w:val="000000"/>
              </w:rPr>
            </w:pPr>
            <w:r w:rsidRPr="00C712AC">
              <w:rPr>
                <w:rFonts w:ascii="Times New Roman" w:eastAsia="Times New Roman" w:hAnsi="Times New Roman"/>
                <w:b/>
                <w:bCs/>
                <w:color w:val="000000"/>
              </w:rPr>
              <w:t>21.2 (618)</w:t>
            </w:r>
          </w:p>
        </w:tc>
      </w:tr>
      <w:tr w:rsidR="00A75685" w:rsidRPr="00BB2E08" w14:paraId="5174C0C5" w14:textId="77777777" w:rsidTr="00A75685">
        <w:tc>
          <w:tcPr>
            <w:tcW w:w="6204" w:type="dxa"/>
            <w:vAlign w:val="center"/>
          </w:tcPr>
          <w:p w14:paraId="687BAE3A" w14:textId="77777777" w:rsidR="00A75685" w:rsidRPr="00C712AC" w:rsidRDefault="00A75685" w:rsidP="00082AC8">
            <w:pPr>
              <w:rPr>
                <w:rFonts w:ascii="Times New Roman" w:eastAsia="Times New Roman" w:hAnsi="Times New Roman"/>
                <w:b/>
                <w:color w:val="000000"/>
              </w:rPr>
            </w:pPr>
            <w:r w:rsidRPr="00C712AC">
              <w:rPr>
                <w:rFonts w:ascii="Times New Roman" w:eastAsia="Times New Roman" w:hAnsi="Times New Roman"/>
                <w:b/>
                <w:color w:val="000000"/>
              </w:rPr>
              <w:t>Any drug use</w:t>
            </w:r>
          </w:p>
        </w:tc>
        <w:tc>
          <w:tcPr>
            <w:tcW w:w="1701" w:type="dxa"/>
            <w:vAlign w:val="center"/>
          </w:tcPr>
          <w:p w14:paraId="6BD7D0DE" w14:textId="77777777" w:rsidR="00A75685" w:rsidRPr="00C712AC" w:rsidRDefault="00A75685" w:rsidP="00082AC8">
            <w:pPr>
              <w:rPr>
                <w:rFonts w:ascii="Times New Roman" w:eastAsia="Times New Roman" w:hAnsi="Times New Roman"/>
                <w:b/>
                <w:bCs/>
                <w:color w:val="000000"/>
              </w:rPr>
            </w:pPr>
            <w:r w:rsidRPr="00C712AC">
              <w:rPr>
                <w:rFonts w:ascii="Times New Roman" w:eastAsia="Times New Roman" w:hAnsi="Times New Roman"/>
                <w:b/>
                <w:bCs/>
                <w:color w:val="000000"/>
              </w:rPr>
              <w:t>51.5 (1,498)</w:t>
            </w:r>
          </w:p>
        </w:tc>
      </w:tr>
      <w:tr w:rsidR="00A75685" w:rsidRPr="00BB2E08" w14:paraId="55D02768" w14:textId="77777777" w:rsidTr="00A75685">
        <w:tc>
          <w:tcPr>
            <w:tcW w:w="6204" w:type="dxa"/>
            <w:vAlign w:val="center"/>
          </w:tcPr>
          <w:p w14:paraId="0714239B" w14:textId="77777777" w:rsidR="00A75685" w:rsidRPr="00C712AC" w:rsidRDefault="00A75685" w:rsidP="00082AC8">
            <w:pPr>
              <w:rPr>
                <w:rFonts w:ascii="Times New Roman" w:hAnsi="Times New Roman" w:cs="Times New Roman"/>
              </w:rPr>
            </w:pPr>
            <w:r w:rsidRPr="00C712AC">
              <w:rPr>
                <w:rFonts w:ascii="Times New Roman" w:eastAsia="Times New Roman" w:hAnsi="Times New Roman"/>
                <w:color w:val="000000"/>
              </w:rPr>
              <w:t>Poppers</w:t>
            </w:r>
          </w:p>
        </w:tc>
        <w:tc>
          <w:tcPr>
            <w:tcW w:w="1701" w:type="dxa"/>
            <w:vAlign w:val="center"/>
          </w:tcPr>
          <w:p w14:paraId="2AA6A336" w14:textId="77777777" w:rsidR="00A75685" w:rsidRPr="00C712AC" w:rsidRDefault="00A75685" w:rsidP="00082AC8">
            <w:pPr>
              <w:rPr>
                <w:rFonts w:ascii="Times New Roman" w:hAnsi="Times New Roman" w:cs="Times New Roman"/>
              </w:rPr>
            </w:pPr>
            <w:r w:rsidRPr="00083AF3">
              <w:rPr>
                <w:rFonts w:ascii="Times New Roman" w:eastAsia="Times New Roman" w:hAnsi="Times New Roman"/>
                <w:bCs/>
                <w:color w:val="000000"/>
              </w:rPr>
              <w:t>22.1</w:t>
            </w:r>
            <w:r w:rsidRPr="00C712AC">
              <w:rPr>
                <w:rFonts w:ascii="Times New Roman" w:eastAsia="Times New Roman" w:hAnsi="Times New Roman"/>
                <w:bCs/>
                <w:color w:val="000000"/>
              </w:rPr>
              <w:t xml:space="preserve"> (635)</w:t>
            </w:r>
          </w:p>
        </w:tc>
      </w:tr>
      <w:tr w:rsidR="00A75685" w:rsidRPr="00BB2E08" w14:paraId="491C0B0C" w14:textId="77777777" w:rsidTr="00A75685">
        <w:tc>
          <w:tcPr>
            <w:tcW w:w="6204" w:type="dxa"/>
            <w:vAlign w:val="center"/>
          </w:tcPr>
          <w:p w14:paraId="2D84A3FD" w14:textId="77777777" w:rsidR="00A75685" w:rsidRPr="00C712AC" w:rsidRDefault="00A75685" w:rsidP="00082AC8">
            <w:pPr>
              <w:rPr>
                <w:rFonts w:ascii="Times New Roman" w:hAnsi="Times New Roman" w:cs="Times New Roman"/>
              </w:rPr>
            </w:pPr>
            <w:r w:rsidRPr="00C712AC">
              <w:rPr>
                <w:rFonts w:ascii="Times New Roman" w:eastAsia="Times New Roman" w:hAnsi="Times New Roman"/>
                <w:color w:val="000000"/>
              </w:rPr>
              <w:t>Alcohol</w:t>
            </w:r>
          </w:p>
        </w:tc>
        <w:tc>
          <w:tcPr>
            <w:tcW w:w="1701" w:type="dxa"/>
            <w:vAlign w:val="center"/>
          </w:tcPr>
          <w:p w14:paraId="5493E744" w14:textId="77777777" w:rsidR="00A75685" w:rsidRPr="00C712AC" w:rsidRDefault="00A75685" w:rsidP="00082AC8">
            <w:pPr>
              <w:rPr>
                <w:rFonts w:ascii="Times New Roman" w:hAnsi="Times New Roman" w:cs="Times New Roman"/>
              </w:rPr>
            </w:pPr>
            <w:r w:rsidRPr="00083AF3">
              <w:rPr>
                <w:rFonts w:ascii="Times New Roman" w:eastAsia="Times New Roman" w:hAnsi="Times New Roman"/>
                <w:bCs/>
                <w:color w:val="000000"/>
              </w:rPr>
              <w:t>30.1</w:t>
            </w:r>
            <w:r w:rsidRPr="00C712AC">
              <w:rPr>
                <w:rFonts w:ascii="Times New Roman" w:eastAsia="Times New Roman" w:hAnsi="Times New Roman"/>
                <w:bCs/>
                <w:color w:val="000000"/>
              </w:rPr>
              <w:t xml:space="preserve"> (874)</w:t>
            </w:r>
          </w:p>
        </w:tc>
      </w:tr>
      <w:tr w:rsidR="00A75685" w:rsidRPr="00BB2E08" w14:paraId="33AC8983" w14:textId="77777777" w:rsidTr="00A75685">
        <w:tc>
          <w:tcPr>
            <w:tcW w:w="6204" w:type="dxa"/>
            <w:vAlign w:val="center"/>
          </w:tcPr>
          <w:p w14:paraId="53E0A20D" w14:textId="77777777" w:rsidR="00A75685" w:rsidRPr="00C712AC" w:rsidRDefault="00A75685" w:rsidP="00082AC8">
            <w:pPr>
              <w:rPr>
                <w:rFonts w:ascii="Times New Roman" w:hAnsi="Times New Roman" w:cs="Times New Roman"/>
              </w:rPr>
            </w:pPr>
            <w:r w:rsidRPr="00C712AC">
              <w:rPr>
                <w:rFonts w:ascii="Times New Roman" w:eastAsia="Times New Roman" w:hAnsi="Times New Roman"/>
                <w:color w:val="000000"/>
              </w:rPr>
              <w:t>Erectile dysfunction medications</w:t>
            </w:r>
          </w:p>
        </w:tc>
        <w:tc>
          <w:tcPr>
            <w:tcW w:w="1701" w:type="dxa"/>
            <w:vAlign w:val="center"/>
          </w:tcPr>
          <w:p w14:paraId="6BB5ACA1" w14:textId="77777777" w:rsidR="00A75685" w:rsidRPr="00C712AC" w:rsidRDefault="00A75685" w:rsidP="00082AC8">
            <w:pPr>
              <w:rPr>
                <w:rFonts w:ascii="Times New Roman" w:hAnsi="Times New Roman" w:cs="Times New Roman"/>
              </w:rPr>
            </w:pPr>
            <w:r w:rsidRPr="00083AF3">
              <w:rPr>
                <w:rFonts w:ascii="Times New Roman" w:eastAsia="Times New Roman" w:hAnsi="Times New Roman"/>
                <w:bCs/>
                <w:color w:val="000000"/>
              </w:rPr>
              <w:t>10.7</w:t>
            </w:r>
            <w:r w:rsidRPr="00C712AC">
              <w:rPr>
                <w:rFonts w:ascii="Times New Roman" w:eastAsia="Times New Roman" w:hAnsi="Times New Roman"/>
                <w:bCs/>
                <w:color w:val="000000"/>
              </w:rPr>
              <w:t xml:space="preserve"> (310)</w:t>
            </w:r>
          </w:p>
        </w:tc>
      </w:tr>
      <w:tr w:rsidR="00A75685" w:rsidRPr="00BB2E08" w14:paraId="46CFC930" w14:textId="77777777" w:rsidTr="00A75685">
        <w:tc>
          <w:tcPr>
            <w:tcW w:w="6204" w:type="dxa"/>
            <w:vAlign w:val="center"/>
          </w:tcPr>
          <w:p w14:paraId="7D242527" w14:textId="77777777" w:rsidR="00A75685" w:rsidRPr="00C712AC" w:rsidRDefault="00A75685" w:rsidP="00082AC8">
            <w:pPr>
              <w:rPr>
                <w:rFonts w:ascii="Times New Roman" w:hAnsi="Times New Roman" w:cs="Times New Roman"/>
              </w:rPr>
            </w:pPr>
            <w:r w:rsidRPr="00C712AC">
              <w:rPr>
                <w:rFonts w:ascii="Times New Roman" w:eastAsia="Times New Roman" w:hAnsi="Times New Roman"/>
                <w:color w:val="000000"/>
              </w:rPr>
              <w:t>Cannabis</w:t>
            </w:r>
          </w:p>
        </w:tc>
        <w:tc>
          <w:tcPr>
            <w:tcW w:w="1701" w:type="dxa"/>
            <w:vAlign w:val="center"/>
          </w:tcPr>
          <w:p w14:paraId="6EB23CB4" w14:textId="77777777" w:rsidR="00A75685" w:rsidRPr="00C712AC" w:rsidRDefault="00A75685" w:rsidP="00082AC8">
            <w:pPr>
              <w:rPr>
                <w:rFonts w:ascii="Times New Roman" w:hAnsi="Times New Roman" w:cs="Times New Roman"/>
              </w:rPr>
            </w:pPr>
            <w:r w:rsidRPr="00083AF3">
              <w:rPr>
                <w:rFonts w:ascii="Times New Roman" w:eastAsia="Times New Roman" w:hAnsi="Times New Roman"/>
                <w:bCs/>
                <w:color w:val="000000"/>
              </w:rPr>
              <w:t>3.8</w:t>
            </w:r>
            <w:r w:rsidRPr="00C712AC">
              <w:rPr>
                <w:rFonts w:ascii="Times New Roman" w:eastAsia="Times New Roman" w:hAnsi="Times New Roman"/>
                <w:bCs/>
                <w:color w:val="000000"/>
              </w:rPr>
              <w:t xml:space="preserve"> (111)</w:t>
            </w:r>
          </w:p>
        </w:tc>
      </w:tr>
      <w:tr w:rsidR="00A75685" w:rsidRPr="00BB2E08" w14:paraId="13784B32" w14:textId="77777777" w:rsidTr="00A75685">
        <w:tc>
          <w:tcPr>
            <w:tcW w:w="6204" w:type="dxa"/>
            <w:vAlign w:val="center"/>
          </w:tcPr>
          <w:p w14:paraId="2C6623C2" w14:textId="77777777" w:rsidR="00A75685" w:rsidRPr="00083AF3" w:rsidRDefault="00A75685" w:rsidP="00082AC8">
            <w:pPr>
              <w:rPr>
                <w:rFonts w:ascii="Times New Roman" w:eastAsia="Times New Roman" w:hAnsi="Times New Roman"/>
                <w:color w:val="000000"/>
              </w:rPr>
            </w:pPr>
            <w:proofErr w:type="spellStart"/>
            <w:r>
              <w:rPr>
                <w:rFonts w:ascii="Times New Roman" w:eastAsia="Times New Roman" w:hAnsi="Times New Roman"/>
                <w:color w:val="000000"/>
              </w:rPr>
              <w:t>Chemsex</w:t>
            </w:r>
            <w:proofErr w:type="spellEnd"/>
            <w:r>
              <w:rPr>
                <w:rFonts w:ascii="Times New Roman" w:eastAsia="Times New Roman" w:hAnsi="Times New Roman"/>
                <w:color w:val="000000"/>
              </w:rPr>
              <w:t xml:space="preserve"> drugs (crystal meth, </w:t>
            </w:r>
            <w:proofErr w:type="spellStart"/>
            <w:r>
              <w:rPr>
                <w:rFonts w:ascii="Times New Roman" w:eastAsia="Times New Roman" w:hAnsi="Times New Roman"/>
                <w:color w:val="000000"/>
              </w:rPr>
              <w:t>mephedrone</w:t>
            </w:r>
            <w:proofErr w:type="spellEnd"/>
            <w:r>
              <w:rPr>
                <w:rFonts w:ascii="Times New Roman" w:eastAsia="Times New Roman" w:hAnsi="Times New Roman"/>
                <w:color w:val="000000"/>
              </w:rPr>
              <w:t>, GHB, ketamine)</w:t>
            </w:r>
          </w:p>
        </w:tc>
        <w:tc>
          <w:tcPr>
            <w:tcW w:w="1701" w:type="dxa"/>
            <w:vAlign w:val="center"/>
          </w:tcPr>
          <w:p w14:paraId="6576A3D7" w14:textId="77777777" w:rsidR="00A75685" w:rsidRPr="00083AF3" w:rsidRDefault="00A75685" w:rsidP="00082AC8">
            <w:pPr>
              <w:rPr>
                <w:rFonts w:ascii="Times New Roman" w:eastAsia="Times New Roman" w:hAnsi="Times New Roman"/>
                <w:bCs/>
                <w:color w:val="000000"/>
              </w:rPr>
            </w:pPr>
            <w:r>
              <w:rPr>
                <w:rFonts w:ascii="Times New Roman" w:eastAsia="Times New Roman" w:hAnsi="Times New Roman"/>
                <w:bCs/>
                <w:color w:val="000000"/>
              </w:rPr>
              <w:t>4.2 (121)</w:t>
            </w:r>
          </w:p>
        </w:tc>
      </w:tr>
      <w:tr w:rsidR="00A75685" w:rsidRPr="00BB2E08" w14:paraId="0AEB1E6A" w14:textId="77777777" w:rsidTr="00A75685">
        <w:tc>
          <w:tcPr>
            <w:tcW w:w="6204" w:type="dxa"/>
            <w:vAlign w:val="center"/>
          </w:tcPr>
          <w:p w14:paraId="08E979B6" w14:textId="77777777" w:rsidR="00A75685" w:rsidRPr="00083AF3" w:rsidRDefault="00A75685" w:rsidP="00082AC8">
            <w:pPr>
              <w:rPr>
                <w:rFonts w:ascii="Times New Roman" w:eastAsia="Times New Roman" w:hAnsi="Times New Roman"/>
                <w:color w:val="000000"/>
              </w:rPr>
            </w:pPr>
            <w:r>
              <w:rPr>
                <w:rFonts w:ascii="Times New Roman" w:eastAsia="Times New Roman" w:hAnsi="Times New Roman"/>
                <w:color w:val="000000"/>
              </w:rPr>
              <w:t>Uppers (ecstasy, amphetamine, cocaine, crack)</w:t>
            </w:r>
          </w:p>
        </w:tc>
        <w:tc>
          <w:tcPr>
            <w:tcW w:w="1701" w:type="dxa"/>
            <w:vAlign w:val="center"/>
          </w:tcPr>
          <w:p w14:paraId="7FEEE599" w14:textId="77777777" w:rsidR="00A75685" w:rsidRPr="00083AF3" w:rsidRDefault="00A75685" w:rsidP="00082AC8">
            <w:pPr>
              <w:rPr>
                <w:rFonts w:ascii="Times New Roman" w:eastAsia="Times New Roman" w:hAnsi="Times New Roman"/>
                <w:bCs/>
                <w:color w:val="000000"/>
              </w:rPr>
            </w:pPr>
            <w:r>
              <w:rPr>
                <w:rFonts w:ascii="Times New Roman" w:eastAsia="Times New Roman" w:hAnsi="Times New Roman"/>
                <w:bCs/>
                <w:color w:val="000000"/>
              </w:rPr>
              <w:t>3.9 (113)</w:t>
            </w:r>
          </w:p>
        </w:tc>
      </w:tr>
      <w:tr w:rsidR="00A75685" w:rsidRPr="00BB2E08" w14:paraId="548C2071" w14:textId="77777777" w:rsidTr="00A75685">
        <w:tc>
          <w:tcPr>
            <w:tcW w:w="6204" w:type="dxa"/>
            <w:vAlign w:val="center"/>
          </w:tcPr>
          <w:p w14:paraId="78FA777C" w14:textId="77777777" w:rsidR="00A75685" w:rsidRPr="00C712AC" w:rsidRDefault="00A75685" w:rsidP="00082AC8">
            <w:pPr>
              <w:rPr>
                <w:rFonts w:ascii="Times New Roman" w:eastAsia="Times New Roman" w:hAnsi="Times New Roman"/>
                <w:b/>
                <w:color w:val="000000"/>
              </w:rPr>
            </w:pPr>
            <w:r w:rsidRPr="00C712AC">
              <w:rPr>
                <w:rFonts w:ascii="Times New Roman" w:eastAsia="Times New Roman" w:hAnsi="Times New Roman"/>
                <w:b/>
                <w:color w:val="000000"/>
              </w:rPr>
              <w:t>Location of sex</w:t>
            </w:r>
          </w:p>
        </w:tc>
        <w:tc>
          <w:tcPr>
            <w:tcW w:w="1701" w:type="dxa"/>
            <w:vAlign w:val="center"/>
          </w:tcPr>
          <w:p w14:paraId="3BC6CBFB" w14:textId="77777777" w:rsidR="00A75685" w:rsidRDefault="00A75685" w:rsidP="00082AC8">
            <w:pPr>
              <w:rPr>
                <w:rFonts w:ascii="Times New Roman" w:eastAsia="Times New Roman" w:hAnsi="Times New Roman"/>
                <w:bCs/>
                <w:color w:val="000000"/>
              </w:rPr>
            </w:pPr>
          </w:p>
        </w:tc>
      </w:tr>
      <w:tr w:rsidR="00A75685" w:rsidRPr="00BB2E08" w14:paraId="2036BF53" w14:textId="77777777" w:rsidTr="00A75685">
        <w:tc>
          <w:tcPr>
            <w:tcW w:w="6204" w:type="dxa"/>
            <w:vAlign w:val="center"/>
          </w:tcPr>
          <w:p w14:paraId="1EC57B1A"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Home</w:t>
            </w:r>
          </w:p>
        </w:tc>
        <w:tc>
          <w:tcPr>
            <w:tcW w:w="1701" w:type="dxa"/>
            <w:vAlign w:val="center"/>
          </w:tcPr>
          <w:p w14:paraId="19104514"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82.3% (2,395)</w:t>
            </w:r>
          </w:p>
        </w:tc>
      </w:tr>
      <w:tr w:rsidR="00A75685" w:rsidRPr="00BB2E08" w14:paraId="3B2F0280" w14:textId="77777777" w:rsidTr="00A75685">
        <w:tc>
          <w:tcPr>
            <w:tcW w:w="6204" w:type="dxa"/>
            <w:vAlign w:val="center"/>
          </w:tcPr>
          <w:p w14:paraId="6F568953"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Sex-on-premises venue</w:t>
            </w:r>
          </w:p>
        </w:tc>
        <w:tc>
          <w:tcPr>
            <w:tcW w:w="1701" w:type="dxa"/>
            <w:vAlign w:val="center"/>
          </w:tcPr>
          <w:p w14:paraId="65DF1B81"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12.9% (375)</w:t>
            </w:r>
          </w:p>
        </w:tc>
      </w:tr>
      <w:tr w:rsidR="00A75685" w:rsidRPr="00BB2E08" w14:paraId="12BCDD19" w14:textId="77777777" w:rsidTr="00A75685">
        <w:tc>
          <w:tcPr>
            <w:tcW w:w="6204" w:type="dxa"/>
            <w:vAlign w:val="center"/>
          </w:tcPr>
          <w:p w14:paraId="157FABCA"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Cruising</w:t>
            </w:r>
          </w:p>
        </w:tc>
        <w:tc>
          <w:tcPr>
            <w:tcW w:w="1701" w:type="dxa"/>
            <w:vAlign w:val="center"/>
          </w:tcPr>
          <w:p w14:paraId="5DEE1C34"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4.8% (139)</w:t>
            </w:r>
          </w:p>
        </w:tc>
      </w:tr>
      <w:tr w:rsidR="00A75685" w:rsidRPr="00BB2E08" w14:paraId="254018DC" w14:textId="77777777" w:rsidTr="00A75685">
        <w:tc>
          <w:tcPr>
            <w:tcW w:w="6204" w:type="dxa"/>
            <w:vAlign w:val="center"/>
          </w:tcPr>
          <w:p w14:paraId="727AB244" w14:textId="77777777" w:rsidR="00A75685" w:rsidRPr="00C712AC" w:rsidRDefault="00A75685" w:rsidP="00082AC8">
            <w:pPr>
              <w:rPr>
                <w:rFonts w:ascii="Times New Roman" w:eastAsia="Times New Roman" w:hAnsi="Times New Roman"/>
                <w:b/>
                <w:color w:val="000000"/>
              </w:rPr>
            </w:pPr>
            <w:r>
              <w:rPr>
                <w:rFonts w:ascii="Times New Roman" w:eastAsia="Times New Roman" w:hAnsi="Times New Roman"/>
                <w:b/>
                <w:color w:val="000000"/>
              </w:rPr>
              <w:t>Drug use and location of sex</w:t>
            </w:r>
          </w:p>
        </w:tc>
        <w:tc>
          <w:tcPr>
            <w:tcW w:w="1701" w:type="dxa"/>
            <w:vAlign w:val="center"/>
          </w:tcPr>
          <w:p w14:paraId="6815BEA8" w14:textId="77777777" w:rsidR="00A75685" w:rsidRDefault="00A75685" w:rsidP="00082AC8">
            <w:pPr>
              <w:rPr>
                <w:rFonts w:ascii="Times New Roman" w:eastAsia="Times New Roman" w:hAnsi="Times New Roman"/>
                <w:bCs/>
                <w:color w:val="000000"/>
              </w:rPr>
            </w:pPr>
          </w:p>
        </w:tc>
      </w:tr>
      <w:tr w:rsidR="00A75685" w:rsidRPr="00BB2E08" w14:paraId="39FAD466" w14:textId="77777777" w:rsidTr="00A75685">
        <w:tc>
          <w:tcPr>
            <w:tcW w:w="6204" w:type="dxa"/>
            <w:vAlign w:val="center"/>
          </w:tcPr>
          <w:p w14:paraId="270683FE"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No drug use and home</w:t>
            </w:r>
          </w:p>
        </w:tc>
        <w:tc>
          <w:tcPr>
            <w:tcW w:w="1701" w:type="dxa"/>
            <w:vAlign w:val="center"/>
          </w:tcPr>
          <w:p w14:paraId="40027978"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38.2 (1,107)</w:t>
            </w:r>
          </w:p>
        </w:tc>
      </w:tr>
      <w:tr w:rsidR="00A75685" w:rsidRPr="00BB2E08" w14:paraId="2A5C92BD" w14:textId="77777777" w:rsidTr="00A75685">
        <w:tc>
          <w:tcPr>
            <w:tcW w:w="6204" w:type="dxa"/>
            <w:vAlign w:val="center"/>
          </w:tcPr>
          <w:p w14:paraId="66B324CB"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Any drug use and home</w:t>
            </w:r>
          </w:p>
        </w:tc>
        <w:tc>
          <w:tcPr>
            <w:tcW w:w="1701" w:type="dxa"/>
            <w:vAlign w:val="center"/>
          </w:tcPr>
          <w:p w14:paraId="0197747D"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44.2 (1,281)</w:t>
            </w:r>
          </w:p>
        </w:tc>
      </w:tr>
      <w:tr w:rsidR="00A75685" w:rsidRPr="00BB2E08" w14:paraId="2CF70DD1" w14:textId="77777777" w:rsidTr="00A75685">
        <w:tc>
          <w:tcPr>
            <w:tcW w:w="6204" w:type="dxa"/>
            <w:vAlign w:val="center"/>
          </w:tcPr>
          <w:p w14:paraId="3C762066"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No drug use and sex-on-premises venue</w:t>
            </w:r>
          </w:p>
        </w:tc>
        <w:tc>
          <w:tcPr>
            <w:tcW w:w="1701" w:type="dxa"/>
            <w:vAlign w:val="center"/>
          </w:tcPr>
          <w:p w14:paraId="1AC5AFD4"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6.9 (199)</w:t>
            </w:r>
          </w:p>
        </w:tc>
      </w:tr>
      <w:tr w:rsidR="00A75685" w:rsidRPr="00BB2E08" w14:paraId="7F129B58" w14:textId="77777777" w:rsidTr="00A75685">
        <w:tc>
          <w:tcPr>
            <w:tcW w:w="6204" w:type="dxa"/>
            <w:vAlign w:val="center"/>
          </w:tcPr>
          <w:p w14:paraId="1CD9CE70"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Any drug use and sex-on-premises venue</w:t>
            </w:r>
          </w:p>
        </w:tc>
        <w:tc>
          <w:tcPr>
            <w:tcW w:w="1701" w:type="dxa"/>
            <w:vAlign w:val="center"/>
          </w:tcPr>
          <w:p w14:paraId="6AD16B69"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6.0 (175)</w:t>
            </w:r>
          </w:p>
        </w:tc>
      </w:tr>
      <w:tr w:rsidR="00A75685" w:rsidRPr="00BB2E08" w14:paraId="7F8C1619" w14:textId="77777777" w:rsidTr="00A75685">
        <w:tc>
          <w:tcPr>
            <w:tcW w:w="6204" w:type="dxa"/>
            <w:vAlign w:val="center"/>
          </w:tcPr>
          <w:p w14:paraId="07DE7715"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No drug use and cruising location</w:t>
            </w:r>
          </w:p>
        </w:tc>
        <w:tc>
          <w:tcPr>
            <w:tcW w:w="1701" w:type="dxa"/>
            <w:vAlign w:val="center"/>
          </w:tcPr>
          <w:p w14:paraId="7C8B1AB2"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3.4 (100)</w:t>
            </w:r>
          </w:p>
        </w:tc>
      </w:tr>
      <w:tr w:rsidR="00A75685" w:rsidRPr="00BB2E08" w14:paraId="7FB051DC" w14:textId="77777777" w:rsidTr="00A75685">
        <w:tc>
          <w:tcPr>
            <w:tcW w:w="6204" w:type="dxa"/>
            <w:vAlign w:val="center"/>
          </w:tcPr>
          <w:p w14:paraId="3C38AB9A" w14:textId="77777777" w:rsidR="00A75685" w:rsidRDefault="00A75685" w:rsidP="00082AC8">
            <w:pPr>
              <w:rPr>
                <w:rFonts w:ascii="Times New Roman" w:eastAsia="Times New Roman" w:hAnsi="Times New Roman"/>
                <w:color w:val="000000"/>
              </w:rPr>
            </w:pPr>
            <w:r>
              <w:rPr>
                <w:rFonts w:ascii="Times New Roman" w:eastAsia="Times New Roman" w:hAnsi="Times New Roman"/>
                <w:color w:val="000000"/>
              </w:rPr>
              <w:t>Any drug use and cruising location</w:t>
            </w:r>
          </w:p>
        </w:tc>
        <w:tc>
          <w:tcPr>
            <w:tcW w:w="1701" w:type="dxa"/>
            <w:vAlign w:val="center"/>
          </w:tcPr>
          <w:p w14:paraId="651C09C9" w14:textId="77777777" w:rsidR="00A75685" w:rsidRDefault="00A75685" w:rsidP="00082AC8">
            <w:pPr>
              <w:rPr>
                <w:rFonts w:ascii="Times New Roman" w:eastAsia="Times New Roman" w:hAnsi="Times New Roman"/>
                <w:bCs/>
                <w:color w:val="000000"/>
              </w:rPr>
            </w:pPr>
            <w:r>
              <w:rPr>
                <w:rFonts w:ascii="Times New Roman" w:eastAsia="Times New Roman" w:hAnsi="Times New Roman"/>
                <w:bCs/>
                <w:color w:val="000000"/>
              </w:rPr>
              <w:t>1.3 (38)</w:t>
            </w:r>
          </w:p>
        </w:tc>
      </w:tr>
    </w:tbl>
    <w:p w14:paraId="2A417011" w14:textId="77777777" w:rsidR="00A75685" w:rsidRDefault="00A75685" w:rsidP="00E54F0A">
      <w:pPr>
        <w:rPr>
          <w:rFonts w:ascii="Times New Roman" w:hAnsi="Times New Roman" w:cs="Times New Roman"/>
          <w:b/>
        </w:rPr>
        <w:sectPr w:rsidR="00A75685" w:rsidSect="00A544FA">
          <w:footerReference w:type="even" r:id="rId9"/>
          <w:footerReference w:type="default" r:id="rId10"/>
          <w:type w:val="continuous"/>
          <w:pgSz w:w="11900" w:h="16840"/>
          <w:pgMar w:top="1701" w:right="1701" w:bottom="1701" w:left="1701" w:header="709" w:footer="709" w:gutter="0"/>
          <w:cols w:space="708"/>
          <w:docGrid w:linePitch="360"/>
        </w:sectPr>
      </w:pPr>
    </w:p>
    <w:p w14:paraId="3453085A" w14:textId="77777777" w:rsidR="00082AC8" w:rsidRDefault="00082AC8" w:rsidP="00F42BD8">
      <w:pPr>
        <w:ind w:firstLine="720"/>
        <w:rPr>
          <w:rFonts w:ascii="Times New Roman" w:hAnsi="Times New Roman" w:cs="Times New Roman"/>
        </w:rPr>
      </w:pPr>
    </w:p>
    <w:p w14:paraId="69A15CB8" w14:textId="340D1253" w:rsidR="00BB7CA1" w:rsidRDefault="004829DF" w:rsidP="00082AC8">
      <w:pPr>
        <w:spacing w:line="480" w:lineRule="auto"/>
        <w:ind w:firstLine="720"/>
        <w:rPr>
          <w:rFonts w:ascii="Times New Roman" w:hAnsi="Times New Roman" w:cs="Times New Roman"/>
        </w:rPr>
        <w:sectPr w:rsidR="00BB7CA1" w:rsidSect="00A544FA">
          <w:footerReference w:type="even" r:id="rId11"/>
          <w:footerReference w:type="default" r:id="rId12"/>
          <w:type w:val="continuous"/>
          <w:pgSz w:w="11900" w:h="16840"/>
          <w:pgMar w:top="1701" w:right="1701" w:bottom="1701" w:left="1701" w:header="709" w:footer="709" w:gutter="0"/>
          <w:cols w:space="708"/>
          <w:docGrid w:linePitch="360"/>
        </w:sectPr>
      </w:pPr>
      <w:r>
        <w:rPr>
          <w:rFonts w:ascii="Times New Roman" w:hAnsi="Times New Roman" w:cs="Times New Roman"/>
        </w:rPr>
        <w:t>In</w:t>
      </w:r>
      <w:r w:rsidR="00620374">
        <w:rPr>
          <w:rFonts w:ascii="Times New Roman" w:hAnsi="Times New Roman" w:cs="Times New Roman"/>
        </w:rPr>
        <w:t xml:space="preserve"> a</w:t>
      </w:r>
      <w:r>
        <w:rPr>
          <w:rFonts w:ascii="Times New Roman" w:hAnsi="Times New Roman" w:cs="Times New Roman"/>
        </w:rPr>
        <w:t xml:space="preserve"> </w:t>
      </w:r>
      <w:r w:rsidR="00792690">
        <w:rPr>
          <w:rFonts w:ascii="Times New Roman" w:hAnsi="Times New Roman" w:cs="Times New Roman"/>
        </w:rPr>
        <w:t xml:space="preserve">univariate </w:t>
      </w:r>
      <w:r>
        <w:rPr>
          <w:rFonts w:ascii="Times New Roman" w:hAnsi="Times New Roman" w:cs="Times New Roman"/>
        </w:rPr>
        <w:t xml:space="preserve">model, any </w:t>
      </w:r>
      <w:r w:rsidR="0076208F">
        <w:rPr>
          <w:rFonts w:ascii="Times New Roman" w:hAnsi="Times New Roman" w:cs="Times New Roman"/>
        </w:rPr>
        <w:t>drug</w:t>
      </w:r>
      <w:r>
        <w:rPr>
          <w:rFonts w:ascii="Times New Roman" w:hAnsi="Times New Roman" w:cs="Times New Roman"/>
        </w:rPr>
        <w:t xml:space="preserve"> use</w:t>
      </w:r>
      <w:r w:rsidR="00B94D20">
        <w:rPr>
          <w:rFonts w:ascii="Times New Roman" w:hAnsi="Times New Roman" w:cs="Times New Roman"/>
        </w:rPr>
        <w:t xml:space="preserve"> </w:t>
      </w:r>
      <w:r w:rsidR="00620374">
        <w:rPr>
          <w:rFonts w:ascii="Times New Roman" w:hAnsi="Times New Roman" w:cs="Times New Roman"/>
        </w:rPr>
        <w:t>was</w:t>
      </w:r>
      <w:r w:rsidR="002E66B3">
        <w:rPr>
          <w:rFonts w:ascii="Times New Roman" w:hAnsi="Times New Roman" w:cs="Times New Roman"/>
        </w:rPr>
        <w:t xml:space="preserve"> associated</w:t>
      </w:r>
      <w:r>
        <w:rPr>
          <w:rFonts w:ascii="Times New Roman" w:hAnsi="Times New Roman" w:cs="Times New Roman"/>
        </w:rPr>
        <w:t xml:space="preserve"> </w:t>
      </w:r>
      <w:r w:rsidR="002E66B3">
        <w:rPr>
          <w:rFonts w:ascii="Times New Roman" w:hAnsi="Times New Roman" w:cs="Times New Roman"/>
        </w:rPr>
        <w:t>with increased odds of UAI</w:t>
      </w:r>
      <w:r w:rsidR="00620374">
        <w:rPr>
          <w:rFonts w:ascii="Times New Roman" w:hAnsi="Times New Roman" w:cs="Times New Roman"/>
        </w:rPr>
        <w:t xml:space="preserve"> </w:t>
      </w:r>
      <w:r w:rsidR="009238AC">
        <w:rPr>
          <w:rFonts w:ascii="Times New Roman" w:hAnsi="Times New Roman" w:cs="Times New Roman"/>
        </w:rPr>
        <w:t xml:space="preserve">(OR 1.57, 95% CI [1.31, 1.88]) </w:t>
      </w:r>
      <w:r w:rsidR="00620374">
        <w:rPr>
          <w:rFonts w:ascii="Times New Roman" w:hAnsi="Times New Roman" w:cs="Times New Roman"/>
        </w:rPr>
        <w:t>(see Table 2).  When specific drug use variables were entered as a block, use of poppers</w:t>
      </w:r>
      <w:r w:rsidR="009238AC">
        <w:rPr>
          <w:rFonts w:ascii="Times New Roman" w:hAnsi="Times New Roman" w:cs="Times New Roman"/>
        </w:rPr>
        <w:t xml:space="preserve"> (1.78, [1.44, </w:t>
      </w:r>
      <w:proofErr w:type="gramStart"/>
      <w:r w:rsidR="009238AC">
        <w:rPr>
          <w:rFonts w:ascii="Times New Roman" w:hAnsi="Times New Roman" w:cs="Times New Roman"/>
        </w:rPr>
        <w:t>2.20</w:t>
      </w:r>
      <w:proofErr w:type="gramEnd"/>
      <w:r w:rsidR="009238AC">
        <w:rPr>
          <w:rFonts w:ascii="Times New Roman" w:hAnsi="Times New Roman" w:cs="Times New Roman"/>
        </w:rPr>
        <w:t>])</w:t>
      </w:r>
      <w:r w:rsidR="00620374">
        <w:rPr>
          <w:rFonts w:ascii="Times New Roman" w:hAnsi="Times New Roman" w:cs="Times New Roman"/>
        </w:rPr>
        <w:t xml:space="preserve">, </w:t>
      </w:r>
      <w:proofErr w:type="spellStart"/>
      <w:r w:rsidR="00620374">
        <w:rPr>
          <w:rFonts w:ascii="Times New Roman" w:hAnsi="Times New Roman" w:cs="Times New Roman"/>
        </w:rPr>
        <w:t>chemsex</w:t>
      </w:r>
      <w:proofErr w:type="spellEnd"/>
      <w:r w:rsidR="00620374">
        <w:rPr>
          <w:rFonts w:ascii="Times New Roman" w:hAnsi="Times New Roman" w:cs="Times New Roman"/>
        </w:rPr>
        <w:t xml:space="preserve"> drugs </w:t>
      </w:r>
      <w:r w:rsidR="009238AC">
        <w:rPr>
          <w:rFonts w:ascii="Times New Roman" w:hAnsi="Times New Roman" w:cs="Times New Roman"/>
        </w:rPr>
        <w:t xml:space="preserve">(2.10, [1.35, 3.28]) </w:t>
      </w:r>
      <w:r w:rsidR="00620374">
        <w:rPr>
          <w:rFonts w:ascii="Times New Roman" w:hAnsi="Times New Roman" w:cs="Times New Roman"/>
        </w:rPr>
        <w:t xml:space="preserve">and uppers </w:t>
      </w:r>
      <w:r w:rsidR="009238AC">
        <w:rPr>
          <w:rFonts w:ascii="Times New Roman" w:hAnsi="Times New Roman" w:cs="Times New Roman"/>
        </w:rPr>
        <w:t xml:space="preserve">(1.62, [1.02, 2.55]) </w:t>
      </w:r>
      <w:r w:rsidR="00620374">
        <w:rPr>
          <w:rFonts w:ascii="Times New Roman" w:hAnsi="Times New Roman" w:cs="Times New Roman"/>
        </w:rPr>
        <w:t>were each associated with increased odds of UAI.  Relative to encounters at home, encounters</w:t>
      </w:r>
      <w:r w:rsidR="002E66B3">
        <w:rPr>
          <w:rFonts w:ascii="Times New Roman" w:hAnsi="Times New Roman" w:cs="Times New Roman"/>
        </w:rPr>
        <w:t xml:space="preserve"> in </w:t>
      </w:r>
      <w:r w:rsidR="009D3D2E">
        <w:rPr>
          <w:rFonts w:ascii="Times New Roman" w:hAnsi="Times New Roman" w:cs="Times New Roman"/>
        </w:rPr>
        <w:t>sex-on-premises venue</w:t>
      </w:r>
      <w:r w:rsidR="002E66B3">
        <w:rPr>
          <w:rFonts w:ascii="Times New Roman" w:hAnsi="Times New Roman" w:cs="Times New Roman"/>
        </w:rPr>
        <w:t xml:space="preserve">s </w:t>
      </w:r>
      <w:r w:rsidR="009238AC">
        <w:rPr>
          <w:rFonts w:ascii="Times New Roman" w:hAnsi="Times New Roman" w:cs="Times New Roman"/>
        </w:rPr>
        <w:t xml:space="preserve">(0.69, [0.52, 0.91]) </w:t>
      </w:r>
      <w:r w:rsidR="002E66B3">
        <w:rPr>
          <w:rFonts w:ascii="Times New Roman" w:hAnsi="Times New Roman" w:cs="Times New Roman"/>
        </w:rPr>
        <w:t>w</w:t>
      </w:r>
      <w:r w:rsidR="00620374">
        <w:rPr>
          <w:rFonts w:ascii="Times New Roman" w:hAnsi="Times New Roman" w:cs="Times New Roman"/>
        </w:rPr>
        <w:t>ere</w:t>
      </w:r>
      <w:r w:rsidR="002E66B3">
        <w:rPr>
          <w:rFonts w:ascii="Times New Roman" w:hAnsi="Times New Roman" w:cs="Times New Roman"/>
        </w:rPr>
        <w:t xml:space="preserve"> associated with decreased odds of UAI</w:t>
      </w:r>
      <w:r w:rsidR="00A75685">
        <w:rPr>
          <w:rFonts w:ascii="Times New Roman" w:hAnsi="Times New Roman" w:cs="Times New Roman"/>
        </w:rPr>
        <w:t>, though encounters in cruising locations were not significantly different from encounters at home in terms of odds of UAI</w:t>
      </w:r>
      <w:r>
        <w:rPr>
          <w:rFonts w:ascii="Times New Roman" w:hAnsi="Times New Roman" w:cs="Times New Roman"/>
        </w:rPr>
        <w:t>.</w:t>
      </w:r>
      <w:r w:rsidR="002E66B3">
        <w:rPr>
          <w:rFonts w:ascii="Times New Roman" w:hAnsi="Times New Roman" w:cs="Times New Roman"/>
        </w:rPr>
        <w:t xml:space="preserve">  </w:t>
      </w:r>
      <w:r w:rsidR="00A75685">
        <w:rPr>
          <w:rFonts w:ascii="Times New Roman" w:hAnsi="Times New Roman" w:cs="Times New Roman"/>
        </w:rPr>
        <w:t>Associations were similar in magnitude, precision and significance i</w:t>
      </w:r>
      <w:r w:rsidR="002E66B3">
        <w:rPr>
          <w:rFonts w:ascii="Times New Roman" w:hAnsi="Times New Roman" w:cs="Times New Roman"/>
        </w:rPr>
        <w:t xml:space="preserve">n </w:t>
      </w:r>
      <w:r w:rsidR="00A75685">
        <w:rPr>
          <w:rFonts w:ascii="Times New Roman" w:hAnsi="Times New Roman" w:cs="Times New Roman"/>
        </w:rPr>
        <w:t>multivariate</w:t>
      </w:r>
      <w:r w:rsidR="002E66B3">
        <w:rPr>
          <w:rFonts w:ascii="Times New Roman" w:hAnsi="Times New Roman" w:cs="Times New Roman"/>
        </w:rPr>
        <w:t xml:space="preserve"> models testing any </w:t>
      </w:r>
      <w:r w:rsidR="0076208F">
        <w:rPr>
          <w:rFonts w:ascii="Times New Roman" w:hAnsi="Times New Roman" w:cs="Times New Roman"/>
        </w:rPr>
        <w:t>drug</w:t>
      </w:r>
      <w:r w:rsidR="002E66B3">
        <w:rPr>
          <w:rFonts w:ascii="Times New Roman" w:hAnsi="Times New Roman" w:cs="Times New Roman"/>
        </w:rPr>
        <w:t xml:space="preserve"> use with location </w:t>
      </w:r>
      <w:r w:rsidR="00A75685">
        <w:rPr>
          <w:rFonts w:ascii="Times New Roman" w:hAnsi="Times New Roman" w:cs="Times New Roman"/>
        </w:rPr>
        <w:t xml:space="preserve">of sex </w:t>
      </w:r>
      <w:r w:rsidR="002E66B3">
        <w:rPr>
          <w:rFonts w:ascii="Times New Roman" w:hAnsi="Times New Roman" w:cs="Times New Roman"/>
        </w:rPr>
        <w:t xml:space="preserve">and </w:t>
      </w:r>
      <w:r w:rsidR="00A75685">
        <w:rPr>
          <w:rFonts w:ascii="Times New Roman" w:hAnsi="Times New Roman" w:cs="Times New Roman"/>
        </w:rPr>
        <w:t>specific drug use</w:t>
      </w:r>
      <w:r w:rsidR="002E66B3">
        <w:rPr>
          <w:rFonts w:ascii="Times New Roman" w:hAnsi="Times New Roman" w:cs="Times New Roman"/>
        </w:rPr>
        <w:t xml:space="preserve"> with location</w:t>
      </w:r>
      <w:r w:rsidR="00A75685">
        <w:rPr>
          <w:rFonts w:ascii="Times New Roman" w:hAnsi="Times New Roman" w:cs="Times New Roman"/>
        </w:rPr>
        <w:t xml:space="preserve"> of sex</w:t>
      </w:r>
      <w:r w:rsidR="00E844D5">
        <w:rPr>
          <w:rFonts w:ascii="Times New Roman" w:hAnsi="Times New Roman" w:cs="Times New Roman"/>
        </w:rPr>
        <w:t xml:space="preserve"> as compared to univariate models</w:t>
      </w:r>
      <w:r w:rsidR="00883A53">
        <w:rPr>
          <w:rFonts w:ascii="Times New Roman" w:hAnsi="Times New Roman" w:cs="Times New Roman"/>
        </w:rPr>
        <w:t>.</w:t>
      </w:r>
    </w:p>
    <w:p w14:paraId="6E6EE1E5" w14:textId="110F535D" w:rsidR="00BB7CA1" w:rsidRDefault="00BB7CA1" w:rsidP="00082AC8">
      <w:pPr>
        <w:rPr>
          <w:rFonts w:ascii="Times New Roman" w:hAnsi="Times New Roman" w:cs="Times New Roman"/>
        </w:rPr>
      </w:pPr>
      <w:r>
        <w:rPr>
          <w:rFonts w:ascii="Times New Roman" w:hAnsi="Times New Roman" w:cs="Times New Roman"/>
          <w:b/>
        </w:rPr>
        <w:lastRenderedPageBreak/>
        <w:t xml:space="preserve">Table </w:t>
      </w:r>
      <w:r w:rsidR="00BB2E08">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w:t>
      </w:r>
      <w:r w:rsidR="00BB2E08">
        <w:rPr>
          <w:rFonts w:ascii="Times New Roman" w:hAnsi="Times New Roman" w:cs="Times New Roman"/>
        </w:rPr>
        <w:t>Univariate and multivariate a</w:t>
      </w:r>
      <w:r>
        <w:rPr>
          <w:rFonts w:ascii="Times New Roman" w:hAnsi="Times New Roman" w:cs="Times New Roman"/>
        </w:rPr>
        <w:t>ssociations between unprotected anal intercourse</w:t>
      </w:r>
      <w:r w:rsidR="00BB2E08">
        <w:rPr>
          <w:rFonts w:ascii="Times New Roman" w:hAnsi="Times New Roman" w:cs="Times New Roman"/>
        </w:rPr>
        <w:t xml:space="preserve">, </w:t>
      </w:r>
      <w:r>
        <w:rPr>
          <w:rFonts w:ascii="Times New Roman" w:hAnsi="Times New Roman" w:cs="Times New Roman"/>
        </w:rPr>
        <w:t>drug use and location of sex during sex between new male partners</w:t>
      </w:r>
    </w:p>
    <w:p w14:paraId="2EDD1357" w14:textId="77777777" w:rsidR="00BB7CA1" w:rsidRPr="00CE3734" w:rsidRDefault="00BB7CA1" w:rsidP="00082AC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2355"/>
        <w:gridCol w:w="2693"/>
        <w:gridCol w:w="2693"/>
      </w:tblGrid>
      <w:tr w:rsidR="00F958C7" w:rsidRPr="00A75685" w14:paraId="571F3413" w14:textId="77777777" w:rsidTr="00F42BD8">
        <w:trPr>
          <w:trHeight w:val="291"/>
        </w:trPr>
        <w:tc>
          <w:tcPr>
            <w:tcW w:w="3282" w:type="dxa"/>
            <w:vMerge w:val="restart"/>
            <w:shd w:val="clear" w:color="auto" w:fill="auto"/>
            <w:noWrap/>
            <w:vAlign w:val="center"/>
            <w:hideMark/>
          </w:tcPr>
          <w:p w14:paraId="439AB71A" w14:textId="77777777" w:rsidR="00CA6241" w:rsidRPr="00F42BD8" w:rsidRDefault="00A251D9" w:rsidP="00F42BD8">
            <w:pPr>
              <w:keepNext/>
              <w:keepLines/>
              <w:outlineLvl w:val="3"/>
              <w:rPr>
                <w:rFonts w:ascii="Times New Roman" w:eastAsia="Times New Roman" w:hAnsi="Times New Roman" w:cs="Times New Roman"/>
                <w:b/>
                <w:bCs/>
              </w:rPr>
            </w:pPr>
            <w:r w:rsidRPr="00F42BD8">
              <w:rPr>
                <w:rFonts w:ascii="Times New Roman" w:eastAsia="Times New Roman" w:hAnsi="Times New Roman" w:cs="Times New Roman"/>
                <w:b/>
                <w:bCs/>
              </w:rPr>
              <w:t>Variable</w:t>
            </w:r>
          </w:p>
        </w:tc>
        <w:tc>
          <w:tcPr>
            <w:tcW w:w="2355" w:type="dxa"/>
            <w:shd w:val="clear" w:color="auto" w:fill="auto"/>
            <w:vAlign w:val="center"/>
          </w:tcPr>
          <w:p w14:paraId="216F2BFA" w14:textId="77777777" w:rsidR="00CA6241" w:rsidRPr="00F42BD8" w:rsidRDefault="00A251D9" w:rsidP="00F42BD8">
            <w:pPr>
              <w:keepNext/>
              <w:keepLines/>
              <w:outlineLvl w:val="3"/>
              <w:rPr>
                <w:rFonts w:ascii="Times New Roman" w:eastAsia="Times New Roman" w:hAnsi="Times New Roman" w:cs="Times New Roman"/>
                <w:b/>
                <w:bCs/>
              </w:rPr>
            </w:pPr>
            <w:r w:rsidRPr="00F42BD8">
              <w:rPr>
                <w:rFonts w:ascii="Times New Roman" w:eastAsia="Times New Roman" w:hAnsi="Times New Roman" w:cs="Times New Roman"/>
                <w:b/>
                <w:bCs/>
              </w:rPr>
              <w:t>Univariate models</w:t>
            </w:r>
          </w:p>
        </w:tc>
        <w:tc>
          <w:tcPr>
            <w:tcW w:w="5386" w:type="dxa"/>
            <w:gridSpan w:val="2"/>
            <w:shd w:val="clear" w:color="auto" w:fill="auto"/>
            <w:vAlign w:val="center"/>
            <w:hideMark/>
          </w:tcPr>
          <w:p w14:paraId="40F6CCE5" w14:textId="0B399306" w:rsidR="00CA6241" w:rsidRPr="00F42BD8" w:rsidRDefault="00A251D9" w:rsidP="00F42BD8">
            <w:pPr>
              <w:keepNext/>
              <w:keepLines/>
              <w:outlineLvl w:val="3"/>
              <w:rPr>
                <w:rFonts w:ascii="Times New Roman" w:eastAsia="Times New Roman" w:hAnsi="Times New Roman" w:cs="Times New Roman"/>
                <w:b/>
                <w:bCs/>
              </w:rPr>
            </w:pPr>
            <w:r w:rsidRPr="00F42BD8">
              <w:rPr>
                <w:rFonts w:ascii="Times New Roman" w:eastAsia="Times New Roman" w:hAnsi="Times New Roman" w:cs="Times New Roman"/>
                <w:b/>
                <w:bCs/>
              </w:rPr>
              <w:t>Multivariate models</w:t>
            </w:r>
          </w:p>
        </w:tc>
      </w:tr>
      <w:tr w:rsidR="00F958C7" w:rsidRPr="00A75685" w14:paraId="3FDA8678" w14:textId="77777777" w:rsidTr="00F42BD8">
        <w:trPr>
          <w:trHeight w:val="300"/>
        </w:trPr>
        <w:tc>
          <w:tcPr>
            <w:tcW w:w="3282" w:type="dxa"/>
            <w:vMerge/>
            <w:shd w:val="clear" w:color="auto" w:fill="auto"/>
            <w:vAlign w:val="center"/>
            <w:hideMark/>
          </w:tcPr>
          <w:p w14:paraId="631D904C" w14:textId="77777777" w:rsidR="00BB2E08" w:rsidRPr="00F42BD8" w:rsidRDefault="00BB2E08" w:rsidP="00E54F0A">
            <w:pPr>
              <w:spacing w:before="100" w:beforeAutospacing="1" w:after="100" w:afterAutospacing="1"/>
              <w:ind w:left="720"/>
              <w:contextualSpacing/>
              <w:rPr>
                <w:rFonts w:ascii="Times New Roman" w:eastAsia="Times New Roman" w:hAnsi="Times New Roman" w:cs="Times New Roman"/>
                <w:b/>
                <w:bCs/>
              </w:rPr>
            </w:pPr>
          </w:p>
        </w:tc>
        <w:tc>
          <w:tcPr>
            <w:tcW w:w="2355" w:type="dxa"/>
            <w:shd w:val="clear" w:color="auto" w:fill="auto"/>
            <w:vAlign w:val="center"/>
          </w:tcPr>
          <w:p w14:paraId="003593D2" w14:textId="77777777" w:rsidR="00BB2E08" w:rsidRPr="00F42BD8" w:rsidRDefault="00A251D9" w:rsidP="00E54F0A">
            <w:pPr>
              <w:rPr>
                <w:rFonts w:ascii="Times New Roman" w:eastAsia="Times New Roman" w:hAnsi="Times New Roman" w:cs="Times New Roman"/>
              </w:rPr>
            </w:pPr>
            <w:r w:rsidRPr="00F42BD8">
              <w:rPr>
                <w:rFonts w:ascii="Times New Roman" w:eastAsia="Times New Roman" w:hAnsi="Times New Roman" w:cs="Times New Roman"/>
              </w:rPr>
              <w:t>OR (95% CI)</w:t>
            </w:r>
          </w:p>
        </w:tc>
        <w:tc>
          <w:tcPr>
            <w:tcW w:w="2693" w:type="dxa"/>
            <w:shd w:val="clear" w:color="auto" w:fill="auto"/>
            <w:noWrap/>
            <w:vAlign w:val="center"/>
            <w:hideMark/>
          </w:tcPr>
          <w:p w14:paraId="4FE9719F" w14:textId="02CEFFF3" w:rsidR="00F958C7" w:rsidRPr="00F958C7" w:rsidRDefault="00F958C7" w:rsidP="00E54F0A">
            <w:pPr>
              <w:rPr>
                <w:rFonts w:ascii="Times New Roman" w:eastAsia="Times New Roman" w:hAnsi="Times New Roman" w:cs="Times New Roman"/>
              </w:rPr>
            </w:pPr>
            <w:r w:rsidRPr="00F42BD8">
              <w:rPr>
                <w:rFonts w:ascii="Times New Roman" w:eastAsia="Times New Roman" w:hAnsi="Times New Roman" w:cs="Times New Roman"/>
                <w:bCs/>
              </w:rPr>
              <w:t>n=2,897 in 1,874 groups</w:t>
            </w:r>
          </w:p>
          <w:p w14:paraId="22749B75" w14:textId="77777777" w:rsidR="00BB2E08" w:rsidRPr="00F42BD8" w:rsidRDefault="00A251D9" w:rsidP="00E54F0A">
            <w:pPr>
              <w:rPr>
                <w:rFonts w:ascii="Times New Roman" w:eastAsia="Times New Roman" w:hAnsi="Times New Roman" w:cs="Times New Roman"/>
              </w:rPr>
            </w:pPr>
            <w:r w:rsidRPr="00F42BD8">
              <w:rPr>
                <w:rFonts w:ascii="Times New Roman" w:eastAsia="Times New Roman" w:hAnsi="Times New Roman" w:cs="Times New Roman"/>
              </w:rPr>
              <w:t>OR (95% CI)</w:t>
            </w:r>
          </w:p>
        </w:tc>
        <w:tc>
          <w:tcPr>
            <w:tcW w:w="2693" w:type="dxa"/>
            <w:shd w:val="clear" w:color="auto" w:fill="auto"/>
            <w:vAlign w:val="center"/>
          </w:tcPr>
          <w:p w14:paraId="1F2F11FE" w14:textId="2CEE0EB3" w:rsidR="00F958C7" w:rsidRDefault="00F958C7" w:rsidP="00F42BD8">
            <w:pPr>
              <w:keepNext/>
              <w:keepLines/>
              <w:outlineLvl w:val="3"/>
              <w:rPr>
                <w:rFonts w:ascii="Times New Roman" w:eastAsia="Times New Roman" w:hAnsi="Times New Roman" w:cs="Times New Roman"/>
              </w:rPr>
            </w:pPr>
            <w:r w:rsidRPr="00F958C7">
              <w:rPr>
                <w:rFonts w:ascii="Times New Roman" w:eastAsia="Times New Roman" w:hAnsi="Times New Roman" w:cs="Times New Roman"/>
              </w:rPr>
              <w:t>n=2,858 in 1,861 groups</w:t>
            </w:r>
          </w:p>
          <w:p w14:paraId="6E7CABDF" w14:textId="77777777" w:rsidR="00CA6241" w:rsidRPr="00F42BD8" w:rsidRDefault="003324C2"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OR (95% CI)</w:t>
            </w:r>
          </w:p>
        </w:tc>
      </w:tr>
      <w:tr w:rsidR="00F958C7" w:rsidRPr="00A75685" w14:paraId="433AF3D7" w14:textId="77777777" w:rsidTr="00F42BD8">
        <w:trPr>
          <w:trHeight w:val="300"/>
        </w:trPr>
        <w:tc>
          <w:tcPr>
            <w:tcW w:w="3282" w:type="dxa"/>
            <w:shd w:val="clear" w:color="auto" w:fill="auto"/>
            <w:noWrap/>
            <w:vAlign w:val="center"/>
            <w:hideMark/>
          </w:tcPr>
          <w:p w14:paraId="3D657832" w14:textId="77777777" w:rsidR="00BB2E08" w:rsidRPr="00F42BD8" w:rsidRDefault="00A251D9" w:rsidP="00082AC8">
            <w:pPr>
              <w:rPr>
                <w:rFonts w:ascii="Times New Roman" w:eastAsia="Times New Roman" w:hAnsi="Times New Roman" w:cs="Times New Roman"/>
                <w:bCs/>
              </w:rPr>
            </w:pPr>
            <w:r w:rsidRPr="00F42BD8">
              <w:rPr>
                <w:rFonts w:ascii="Times New Roman" w:eastAsia="Times New Roman" w:hAnsi="Times New Roman" w:cs="Times New Roman"/>
                <w:bCs/>
              </w:rPr>
              <w:t>Intercept</w:t>
            </w:r>
          </w:p>
        </w:tc>
        <w:tc>
          <w:tcPr>
            <w:tcW w:w="2355" w:type="dxa"/>
            <w:shd w:val="clear" w:color="auto" w:fill="auto"/>
            <w:vAlign w:val="center"/>
          </w:tcPr>
          <w:p w14:paraId="78C0DE64" w14:textId="77777777" w:rsidR="00BB2E08" w:rsidRPr="00F42BD8" w:rsidRDefault="00BB2E0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noWrap/>
            <w:vAlign w:val="center"/>
            <w:hideMark/>
          </w:tcPr>
          <w:p w14:paraId="1A20A66E" w14:textId="77777777" w:rsidR="00BB2E0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0.14*** (0.10, 0.19)</w:t>
            </w:r>
          </w:p>
        </w:tc>
        <w:tc>
          <w:tcPr>
            <w:tcW w:w="2693" w:type="dxa"/>
            <w:shd w:val="clear" w:color="auto" w:fill="auto"/>
            <w:vAlign w:val="center"/>
          </w:tcPr>
          <w:p w14:paraId="719D866D"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0.22*** (0.19, 0.26)</w:t>
            </w:r>
          </w:p>
        </w:tc>
      </w:tr>
      <w:tr w:rsidR="00F958C7" w:rsidRPr="00A75685" w14:paraId="644B0974" w14:textId="77777777" w:rsidTr="00F42BD8">
        <w:trPr>
          <w:trHeight w:val="300"/>
        </w:trPr>
        <w:tc>
          <w:tcPr>
            <w:tcW w:w="3282" w:type="dxa"/>
            <w:shd w:val="clear" w:color="auto" w:fill="auto"/>
            <w:noWrap/>
            <w:vAlign w:val="center"/>
            <w:hideMark/>
          </w:tcPr>
          <w:p w14:paraId="47A95CD7" w14:textId="77777777" w:rsidR="00BB2E08" w:rsidRPr="00F42BD8" w:rsidRDefault="00A251D9" w:rsidP="00082AC8">
            <w:pPr>
              <w:rPr>
                <w:rFonts w:ascii="Times New Roman" w:eastAsia="Times New Roman" w:hAnsi="Times New Roman" w:cs="Times New Roman"/>
                <w:bCs/>
              </w:rPr>
            </w:pPr>
            <w:r w:rsidRPr="00F42BD8">
              <w:rPr>
                <w:rFonts w:ascii="Times New Roman" w:eastAsia="Times New Roman" w:hAnsi="Times New Roman" w:cs="Times New Roman"/>
                <w:bCs/>
              </w:rPr>
              <w:t>Any drug use by respondent</w:t>
            </w:r>
          </w:p>
        </w:tc>
        <w:tc>
          <w:tcPr>
            <w:tcW w:w="2355" w:type="dxa"/>
            <w:shd w:val="clear" w:color="auto" w:fill="auto"/>
            <w:vAlign w:val="center"/>
          </w:tcPr>
          <w:p w14:paraId="475B86DC" w14:textId="77777777" w:rsidR="00BB2E0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color w:val="000000"/>
              </w:rPr>
              <w:t>1.57*** (1.31, 1.88)</w:t>
            </w:r>
          </w:p>
        </w:tc>
        <w:tc>
          <w:tcPr>
            <w:tcW w:w="2693" w:type="dxa"/>
            <w:shd w:val="clear" w:color="auto" w:fill="auto"/>
            <w:noWrap/>
            <w:vAlign w:val="center"/>
            <w:hideMark/>
          </w:tcPr>
          <w:p w14:paraId="1D518F33" w14:textId="77777777" w:rsidR="00BB2E0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1.57*** (1.31, 1.88)</w:t>
            </w:r>
          </w:p>
        </w:tc>
        <w:tc>
          <w:tcPr>
            <w:tcW w:w="2693" w:type="dxa"/>
            <w:shd w:val="clear" w:color="auto" w:fill="808080" w:themeFill="background1" w:themeFillShade="80"/>
            <w:vAlign w:val="center"/>
          </w:tcPr>
          <w:p w14:paraId="5CEF52DE" w14:textId="77777777" w:rsidR="00BB2E08" w:rsidRPr="00F42BD8" w:rsidRDefault="00BB2E08" w:rsidP="00082AC8">
            <w:pPr>
              <w:spacing w:before="100" w:beforeAutospacing="1" w:after="100" w:afterAutospacing="1"/>
              <w:ind w:left="720"/>
              <w:contextualSpacing/>
              <w:rPr>
                <w:rFonts w:ascii="Times New Roman" w:eastAsia="Times New Roman" w:hAnsi="Times New Roman" w:cs="Times New Roman"/>
              </w:rPr>
            </w:pPr>
          </w:p>
        </w:tc>
      </w:tr>
      <w:tr w:rsidR="00F958C7" w:rsidRPr="00A75685" w14:paraId="6B29FBA2" w14:textId="77777777" w:rsidTr="00F42BD8">
        <w:trPr>
          <w:trHeight w:val="300"/>
        </w:trPr>
        <w:tc>
          <w:tcPr>
            <w:tcW w:w="3282" w:type="dxa"/>
            <w:shd w:val="clear" w:color="auto" w:fill="auto"/>
            <w:noWrap/>
            <w:vAlign w:val="center"/>
          </w:tcPr>
          <w:p w14:paraId="2DB69C2E" w14:textId="3AC9FB30" w:rsidR="00CA6241" w:rsidRPr="00F42BD8" w:rsidRDefault="00A251D9" w:rsidP="00F42BD8">
            <w:pPr>
              <w:keepNext/>
              <w:keepLines/>
              <w:outlineLvl w:val="3"/>
              <w:rPr>
                <w:rFonts w:ascii="Times New Roman" w:eastAsia="Times New Roman" w:hAnsi="Times New Roman" w:cs="Times New Roman"/>
                <w:bCs/>
              </w:rPr>
            </w:pPr>
            <w:r w:rsidRPr="00F42BD8">
              <w:rPr>
                <w:rFonts w:ascii="Times New Roman" w:eastAsia="Times New Roman" w:hAnsi="Times New Roman" w:cs="Times New Roman"/>
                <w:bCs/>
              </w:rPr>
              <w:t>Poppers</w:t>
            </w:r>
          </w:p>
        </w:tc>
        <w:tc>
          <w:tcPr>
            <w:tcW w:w="2355" w:type="dxa"/>
            <w:shd w:val="clear" w:color="auto" w:fill="auto"/>
            <w:vAlign w:val="center"/>
          </w:tcPr>
          <w:p w14:paraId="51925FE9" w14:textId="71B62824"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1.78*** (1.44, 2.20)</w:t>
            </w:r>
          </w:p>
        </w:tc>
        <w:tc>
          <w:tcPr>
            <w:tcW w:w="2693" w:type="dxa"/>
            <w:shd w:val="clear" w:color="auto" w:fill="808080" w:themeFill="background1" w:themeFillShade="80"/>
            <w:noWrap/>
            <w:vAlign w:val="center"/>
          </w:tcPr>
          <w:p w14:paraId="77764741"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0F98921C"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1.78*** (1.44, 2.21)</w:t>
            </w:r>
          </w:p>
        </w:tc>
      </w:tr>
      <w:tr w:rsidR="00F958C7" w:rsidRPr="00A75685" w14:paraId="2E832B1F" w14:textId="77777777" w:rsidTr="00F42BD8">
        <w:trPr>
          <w:trHeight w:val="300"/>
        </w:trPr>
        <w:tc>
          <w:tcPr>
            <w:tcW w:w="3282" w:type="dxa"/>
            <w:shd w:val="clear" w:color="auto" w:fill="auto"/>
            <w:noWrap/>
            <w:vAlign w:val="center"/>
          </w:tcPr>
          <w:p w14:paraId="44A77049" w14:textId="77777777" w:rsidR="00CA6241" w:rsidRPr="00F42BD8" w:rsidRDefault="00A251D9" w:rsidP="00F42BD8">
            <w:pPr>
              <w:keepNext/>
              <w:keepLines/>
              <w:outlineLvl w:val="3"/>
              <w:rPr>
                <w:rFonts w:ascii="Times New Roman" w:eastAsia="Times New Roman" w:hAnsi="Times New Roman" w:cs="Times New Roman"/>
                <w:bCs/>
              </w:rPr>
            </w:pPr>
            <w:r w:rsidRPr="00F42BD8">
              <w:rPr>
                <w:rFonts w:ascii="Times New Roman" w:eastAsia="Times New Roman" w:hAnsi="Times New Roman" w:cs="Times New Roman"/>
                <w:bCs/>
              </w:rPr>
              <w:t>Alcohol</w:t>
            </w:r>
          </w:p>
        </w:tc>
        <w:tc>
          <w:tcPr>
            <w:tcW w:w="2355" w:type="dxa"/>
            <w:shd w:val="clear" w:color="auto" w:fill="auto"/>
            <w:vAlign w:val="center"/>
          </w:tcPr>
          <w:p w14:paraId="668B72DD" w14:textId="77777777" w:rsidR="00CA6241" w:rsidRPr="00F42BD8" w:rsidRDefault="000F27B8" w:rsidP="00F42BD8">
            <w:pPr>
              <w:keepNext/>
              <w:keepLines/>
              <w:outlineLvl w:val="3"/>
              <w:rPr>
                <w:rFonts w:ascii="Times New Roman" w:eastAsia="Times New Roman" w:hAnsi="Times New Roman" w:cs="Times New Roman"/>
                <w:color w:val="000000"/>
              </w:rPr>
            </w:pPr>
            <w:r w:rsidRPr="00A75685">
              <w:rPr>
                <w:rFonts w:ascii="Times New Roman" w:eastAsia="Times New Roman" w:hAnsi="Times New Roman" w:cs="Times New Roman"/>
                <w:color w:val="000000"/>
              </w:rPr>
              <w:t>1.03 (0.84, 1.25)</w:t>
            </w:r>
          </w:p>
        </w:tc>
        <w:tc>
          <w:tcPr>
            <w:tcW w:w="2693" w:type="dxa"/>
            <w:shd w:val="clear" w:color="auto" w:fill="808080" w:themeFill="background1" w:themeFillShade="80"/>
            <w:noWrap/>
            <w:vAlign w:val="center"/>
          </w:tcPr>
          <w:p w14:paraId="0EC27A08"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55D02E0A"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1.02 (0.83, 1.25)</w:t>
            </w:r>
          </w:p>
        </w:tc>
      </w:tr>
      <w:tr w:rsidR="00F958C7" w:rsidRPr="00A75685" w14:paraId="21424828" w14:textId="77777777" w:rsidTr="00F42BD8">
        <w:trPr>
          <w:trHeight w:val="300"/>
        </w:trPr>
        <w:tc>
          <w:tcPr>
            <w:tcW w:w="3282" w:type="dxa"/>
            <w:shd w:val="clear" w:color="auto" w:fill="auto"/>
            <w:noWrap/>
            <w:vAlign w:val="center"/>
          </w:tcPr>
          <w:p w14:paraId="791A16E8" w14:textId="77777777" w:rsidR="00CA6241" w:rsidRPr="00F42BD8" w:rsidRDefault="00A251D9" w:rsidP="00F42BD8">
            <w:pPr>
              <w:keepNext/>
              <w:keepLines/>
              <w:outlineLvl w:val="3"/>
              <w:rPr>
                <w:rFonts w:ascii="Times New Roman" w:eastAsia="Times New Roman" w:hAnsi="Times New Roman" w:cs="Times New Roman"/>
                <w:bCs/>
              </w:rPr>
            </w:pPr>
            <w:r w:rsidRPr="00F42BD8">
              <w:rPr>
                <w:rFonts w:ascii="Times New Roman" w:eastAsia="Times New Roman" w:hAnsi="Times New Roman" w:cs="Times New Roman"/>
                <w:bCs/>
              </w:rPr>
              <w:t>Erectile dysfunction medication</w:t>
            </w:r>
          </w:p>
        </w:tc>
        <w:tc>
          <w:tcPr>
            <w:tcW w:w="2355" w:type="dxa"/>
            <w:shd w:val="clear" w:color="auto" w:fill="auto"/>
            <w:vAlign w:val="center"/>
          </w:tcPr>
          <w:p w14:paraId="78EDA988" w14:textId="77777777" w:rsidR="00CA6241" w:rsidRPr="00F42BD8" w:rsidRDefault="000F27B8" w:rsidP="00F42BD8">
            <w:pPr>
              <w:keepNext/>
              <w:keepLines/>
              <w:outlineLvl w:val="3"/>
              <w:rPr>
                <w:rFonts w:ascii="Times New Roman" w:eastAsia="Times New Roman" w:hAnsi="Times New Roman" w:cs="Times New Roman"/>
                <w:color w:val="000000"/>
              </w:rPr>
            </w:pPr>
            <w:r w:rsidRPr="00A75685">
              <w:rPr>
                <w:rFonts w:ascii="Times New Roman" w:eastAsia="Times New Roman" w:hAnsi="Times New Roman" w:cs="Times New Roman"/>
                <w:color w:val="000000"/>
              </w:rPr>
              <w:t>1.07 (0.81, 1.42)</w:t>
            </w:r>
          </w:p>
        </w:tc>
        <w:tc>
          <w:tcPr>
            <w:tcW w:w="2693" w:type="dxa"/>
            <w:shd w:val="clear" w:color="auto" w:fill="808080" w:themeFill="background1" w:themeFillShade="80"/>
            <w:noWrap/>
            <w:vAlign w:val="center"/>
          </w:tcPr>
          <w:p w14:paraId="508DABEF"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6609CE75"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1.10 (0.83, 1.47)</w:t>
            </w:r>
          </w:p>
        </w:tc>
      </w:tr>
      <w:tr w:rsidR="00F958C7" w:rsidRPr="00A75685" w14:paraId="1926C39B" w14:textId="77777777" w:rsidTr="00F42BD8">
        <w:trPr>
          <w:trHeight w:val="300"/>
        </w:trPr>
        <w:tc>
          <w:tcPr>
            <w:tcW w:w="3282" w:type="dxa"/>
            <w:shd w:val="clear" w:color="auto" w:fill="auto"/>
            <w:noWrap/>
            <w:vAlign w:val="center"/>
          </w:tcPr>
          <w:p w14:paraId="06D6DE5B" w14:textId="77777777" w:rsidR="00CA6241" w:rsidRPr="00F42BD8" w:rsidRDefault="00A251D9" w:rsidP="00F42BD8">
            <w:pPr>
              <w:keepNext/>
              <w:keepLines/>
              <w:outlineLvl w:val="3"/>
              <w:rPr>
                <w:rFonts w:ascii="Times New Roman" w:eastAsia="Times New Roman" w:hAnsi="Times New Roman" w:cs="Times New Roman"/>
                <w:bCs/>
              </w:rPr>
            </w:pPr>
            <w:r w:rsidRPr="00F42BD8">
              <w:rPr>
                <w:rFonts w:ascii="Times New Roman" w:eastAsia="Times New Roman" w:hAnsi="Times New Roman" w:cs="Times New Roman"/>
                <w:bCs/>
              </w:rPr>
              <w:t>Cannabis</w:t>
            </w:r>
          </w:p>
        </w:tc>
        <w:tc>
          <w:tcPr>
            <w:tcW w:w="2355" w:type="dxa"/>
            <w:shd w:val="clear" w:color="auto" w:fill="auto"/>
            <w:vAlign w:val="center"/>
          </w:tcPr>
          <w:p w14:paraId="7C1D08E5" w14:textId="77777777" w:rsidR="00CA6241" w:rsidRPr="00F42BD8" w:rsidRDefault="000F27B8" w:rsidP="00F42BD8">
            <w:pPr>
              <w:keepNext/>
              <w:keepLines/>
              <w:outlineLvl w:val="3"/>
              <w:rPr>
                <w:rFonts w:ascii="Times New Roman" w:eastAsia="Times New Roman" w:hAnsi="Times New Roman" w:cs="Times New Roman"/>
                <w:color w:val="000000"/>
              </w:rPr>
            </w:pPr>
            <w:r w:rsidRPr="00A75685">
              <w:rPr>
                <w:rFonts w:ascii="Times New Roman" w:eastAsia="Times New Roman" w:hAnsi="Times New Roman" w:cs="Times New Roman"/>
                <w:color w:val="000000"/>
              </w:rPr>
              <w:t>1.26 (0.80, 1.99)</w:t>
            </w:r>
          </w:p>
        </w:tc>
        <w:tc>
          <w:tcPr>
            <w:tcW w:w="2693" w:type="dxa"/>
            <w:shd w:val="clear" w:color="auto" w:fill="808080" w:themeFill="background1" w:themeFillShade="80"/>
            <w:noWrap/>
            <w:vAlign w:val="center"/>
          </w:tcPr>
          <w:p w14:paraId="00EB301B"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59A13979"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1.26 (0.79, 1.99)</w:t>
            </w:r>
          </w:p>
        </w:tc>
      </w:tr>
      <w:tr w:rsidR="00F958C7" w:rsidRPr="00A75685" w14:paraId="67562CBA" w14:textId="77777777" w:rsidTr="00F42BD8">
        <w:trPr>
          <w:trHeight w:val="300"/>
        </w:trPr>
        <w:tc>
          <w:tcPr>
            <w:tcW w:w="3282" w:type="dxa"/>
            <w:shd w:val="clear" w:color="auto" w:fill="auto"/>
            <w:noWrap/>
            <w:vAlign w:val="center"/>
          </w:tcPr>
          <w:p w14:paraId="7F2ADEC8" w14:textId="77777777" w:rsidR="00CA6241" w:rsidRPr="00F42BD8" w:rsidRDefault="00A251D9" w:rsidP="00F42BD8">
            <w:pPr>
              <w:keepNext/>
              <w:keepLines/>
              <w:outlineLvl w:val="3"/>
              <w:rPr>
                <w:rFonts w:ascii="Times New Roman" w:eastAsia="Times New Roman" w:hAnsi="Times New Roman" w:cs="Times New Roman"/>
                <w:bCs/>
              </w:rPr>
            </w:pPr>
            <w:proofErr w:type="spellStart"/>
            <w:r w:rsidRPr="00F42BD8">
              <w:rPr>
                <w:rFonts w:ascii="Times New Roman" w:eastAsia="Times New Roman" w:hAnsi="Times New Roman" w:cs="Times New Roman"/>
                <w:bCs/>
              </w:rPr>
              <w:t>Chemsex</w:t>
            </w:r>
            <w:proofErr w:type="spellEnd"/>
            <w:r w:rsidRPr="00F42BD8">
              <w:rPr>
                <w:rFonts w:ascii="Times New Roman" w:eastAsia="Times New Roman" w:hAnsi="Times New Roman" w:cs="Times New Roman"/>
                <w:bCs/>
              </w:rPr>
              <w:t xml:space="preserve"> drugs</w:t>
            </w:r>
          </w:p>
        </w:tc>
        <w:tc>
          <w:tcPr>
            <w:tcW w:w="2355" w:type="dxa"/>
            <w:shd w:val="clear" w:color="auto" w:fill="auto"/>
            <w:vAlign w:val="center"/>
          </w:tcPr>
          <w:p w14:paraId="2AB197D1" w14:textId="77777777" w:rsidR="00CA6241" w:rsidRPr="00F42BD8" w:rsidRDefault="000F27B8" w:rsidP="00F42BD8">
            <w:pPr>
              <w:keepNext/>
              <w:keepLines/>
              <w:outlineLvl w:val="3"/>
              <w:rPr>
                <w:rFonts w:ascii="Times New Roman" w:eastAsia="Times New Roman" w:hAnsi="Times New Roman" w:cs="Times New Roman"/>
                <w:color w:val="000000"/>
              </w:rPr>
            </w:pPr>
            <w:r w:rsidRPr="00A75685">
              <w:rPr>
                <w:rFonts w:ascii="Times New Roman" w:eastAsia="Times New Roman" w:hAnsi="Times New Roman" w:cs="Times New Roman"/>
                <w:color w:val="000000"/>
              </w:rPr>
              <w:t>2.10** (1.35, 3.28)</w:t>
            </w:r>
          </w:p>
        </w:tc>
        <w:tc>
          <w:tcPr>
            <w:tcW w:w="2693" w:type="dxa"/>
            <w:shd w:val="clear" w:color="auto" w:fill="808080" w:themeFill="background1" w:themeFillShade="80"/>
            <w:noWrap/>
            <w:vAlign w:val="center"/>
          </w:tcPr>
          <w:p w14:paraId="7A19FBD2"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51DEB1C1"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2.08** (1.33, 3.24)</w:t>
            </w:r>
          </w:p>
        </w:tc>
      </w:tr>
      <w:tr w:rsidR="00F958C7" w:rsidRPr="00A75685" w14:paraId="4B7F029A" w14:textId="77777777" w:rsidTr="00F42BD8">
        <w:trPr>
          <w:trHeight w:val="300"/>
        </w:trPr>
        <w:tc>
          <w:tcPr>
            <w:tcW w:w="3282" w:type="dxa"/>
            <w:shd w:val="clear" w:color="auto" w:fill="auto"/>
            <w:noWrap/>
            <w:vAlign w:val="center"/>
          </w:tcPr>
          <w:p w14:paraId="6FFEBFD2" w14:textId="77777777" w:rsidR="00CA6241" w:rsidRPr="00F42BD8" w:rsidRDefault="00A251D9" w:rsidP="00F42BD8">
            <w:pPr>
              <w:keepNext/>
              <w:keepLines/>
              <w:outlineLvl w:val="3"/>
              <w:rPr>
                <w:rFonts w:ascii="Times New Roman" w:eastAsia="Times New Roman" w:hAnsi="Times New Roman" w:cs="Times New Roman"/>
                <w:bCs/>
              </w:rPr>
            </w:pPr>
            <w:r w:rsidRPr="00F42BD8">
              <w:rPr>
                <w:rFonts w:ascii="Times New Roman" w:eastAsia="Times New Roman" w:hAnsi="Times New Roman" w:cs="Times New Roman"/>
                <w:bCs/>
              </w:rPr>
              <w:t>Uppers</w:t>
            </w:r>
          </w:p>
        </w:tc>
        <w:tc>
          <w:tcPr>
            <w:tcW w:w="2355" w:type="dxa"/>
            <w:shd w:val="clear" w:color="auto" w:fill="auto"/>
            <w:vAlign w:val="center"/>
          </w:tcPr>
          <w:p w14:paraId="1B11DCD8" w14:textId="77777777" w:rsidR="00CA6241" w:rsidRPr="00F42BD8" w:rsidRDefault="000F27B8" w:rsidP="00F42BD8">
            <w:pPr>
              <w:keepNext/>
              <w:keepLines/>
              <w:outlineLvl w:val="3"/>
              <w:rPr>
                <w:rFonts w:ascii="Times New Roman" w:eastAsia="Times New Roman" w:hAnsi="Times New Roman" w:cs="Times New Roman"/>
                <w:color w:val="000000"/>
              </w:rPr>
            </w:pPr>
            <w:r w:rsidRPr="00A75685">
              <w:rPr>
                <w:rFonts w:ascii="Times New Roman" w:eastAsia="Times New Roman" w:hAnsi="Times New Roman" w:cs="Times New Roman"/>
                <w:color w:val="000000"/>
              </w:rPr>
              <w:t>1.62* (1.02, 2.55)</w:t>
            </w:r>
          </w:p>
        </w:tc>
        <w:tc>
          <w:tcPr>
            <w:tcW w:w="2693" w:type="dxa"/>
            <w:shd w:val="clear" w:color="auto" w:fill="808080" w:themeFill="background1" w:themeFillShade="80"/>
            <w:noWrap/>
            <w:vAlign w:val="center"/>
          </w:tcPr>
          <w:p w14:paraId="17520032"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vAlign w:val="center"/>
          </w:tcPr>
          <w:p w14:paraId="3FDE3AB5"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color w:val="000000"/>
              </w:rPr>
              <w:t>1.59* (1.00, 2.53)</w:t>
            </w:r>
          </w:p>
        </w:tc>
      </w:tr>
      <w:tr w:rsidR="00F958C7" w:rsidRPr="00A75685" w14:paraId="17DDF3F4" w14:textId="77777777" w:rsidTr="00F42BD8">
        <w:trPr>
          <w:trHeight w:val="300"/>
        </w:trPr>
        <w:tc>
          <w:tcPr>
            <w:tcW w:w="3282" w:type="dxa"/>
            <w:shd w:val="clear" w:color="auto" w:fill="auto"/>
            <w:noWrap/>
            <w:vAlign w:val="center"/>
            <w:hideMark/>
          </w:tcPr>
          <w:p w14:paraId="6293A768" w14:textId="77777777" w:rsidR="000F27B8" w:rsidRPr="00F42BD8" w:rsidRDefault="00A251D9" w:rsidP="00082AC8">
            <w:pPr>
              <w:rPr>
                <w:rFonts w:ascii="Times New Roman" w:eastAsia="Times New Roman" w:hAnsi="Times New Roman" w:cs="Times New Roman"/>
                <w:bCs/>
              </w:rPr>
            </w:pPr>
            <w:r w:rsidRPr="00F42BD8">
              <w:rPr>
                <w:rFonts w:ascii="Times New Roman" w:eastAsia="Times New Roman" w:hAnsi="Times New Roman" w:cs="Times New Roman"/>
                <w:bCs/>
              </w:rPr>
              <w:t>Location of sex</w:t>
            </w:r>
          </w:p>
        </w:tc>
        <w:tc>
          <w:tcPr>
            <w:tcW w:w="2355" w:type="dxa"/>
            <w:shd w:val="clear" w:color="auto" w:fill="auto"/>
            <w:vAlign w:val="center"/>
          </w:tcPr>
          <w:p w14:paraId="558A3C56"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noWrap/>
            <w:vAlign w:val="center"/>
            <w:hideMark/>
          </w:tcPr>
          <w:p w14:paraId="33399D3D"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 </w:t>
            </w:r>
          </w:p>
        </w:tc>
        <w:tc>
          <w:tcPr>
            <w:tcW w:w="2693" w:type="dxa"/>
            <w:shd w:val="clear" w:color="auto" w:fill="auto"/>
            <w:vAlign w:val="center"/>
          </w:tcPr>
          <w:p w14:paraId="4451F983"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r>
      <w:tr w:rsidR="00F958C7" w:rsidRPr="00A75685" w14:paraId="15EE9B72" w14:textId="77777777" w:rsidTr="00F42BD8">
        <w:trPr>
          <w:trHeight w:val="300"/>
        </w:trPr>
        <w:tc>
          <w:tcPr>
            <w:tcW w:w="3282" w:type="dxa"/>
            <w:shd w:val="clear" w:color="auto" w:fill="auto"/>
            <w:noWrap/>
            <w:vAlign w:val="center"/>
            <w:hideMark/>
          </w:tcPr>
          <w:p w14:paraId="38E4978E"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Home</w:t>
            </w:r>
          </w:p>
        </w:tc>
        <w:tc>
          <w:tcPr>
            <w:tcW w:w="2355" w:type="dxa"/>
            <w:shd w:val="clear" w:color="auto" w:fill="auto"/>
            <w:vAlign w:val="center"/>
          </w:tcPr>
          <w:p w14:paraId="3496FA1A"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Reference</w:t>
            </w:r>
          </w:p>
        </w:tc>
        <w:tc>
          <w:tcPr>
            <w:tcW w:w="2693" w:type="dxa"/>
            <w:shd w:val="clear" w:color="auto" w:fill="auto"/>
            <w:noWrap/>
            <w:vAlign w:val="center"/>
            <w:hideMark/>
          </w:tcPr>
          <w:p w14:paraId="1F059748"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Reference</w:t>
            </w:r>
          </w:p>
        </w:tc>
        <w:tc>
          <w:tcPr>
            <w:tcW w:w="2693" w:type="dxa"/>
            <w:shd w:val="clear" w:color="auto" w:fill="auto"/>
            <w:vAlign w:val="center"/>
          </w:tcPr>
          <w:p w14:paraId="348964D9"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Reference</w:t>
            </w:r>
          </w:p>
        </w:tc>
      </w:tr>
      <w:tr w:rsidR="00F958C7" w:rsidRPr="00A75685" w14:paraId="55E71322" w14:textId="77777777" w:rsidTr="00F42BD8">
        <w:trPr>
          <w:trHeight w:val="300"/>
        </w:trPr>
        <w:tc>
          <w:tcPr>
            <w:tcW w:w="3282" w:type="dxa"/>
            <w:shd w:val="clear" w:color="auto" w:fill="auto"/>
            <w:noWrap/>
            <w:vAlign w:val="center"/>
            <w:hideMark/>
          </w:tcPr>
          <w:p w14:paraId="7DCE2A3E" w14:textId="742EE6C2" w:rsidR="00CA6241" w:rsidRPr="00F42BD8" w:rsidRDefault="00A251D9" w:rsidP="00F42BD8">
            <w:pPr>
              <w:keepNext/>
              <w:keepLines/>
              <w:outlineLvl w:val="3"/>
              <w:rPr>
                <w:rFonts w:ascii="Times New Roman" w:eastAsia="Times New Roman" w:hAnsi="Times New Roman" w:cs="Times New Roman"/>
              </w:rPr>
            </w:pPr>
            <w:r w:rsidRPr="00F42BD8">
              <w:rPr>
                <w:rFonts w:ascii="Times New Roman" w:eastAsia="Times New Roman" w:hAnsi="Times New Roman" w:cs="Times New Roman"/>
              </w:rPr>
              <w:t>Sex-on-premises venue</w:t>
            </w:r>
          </w:p>
        </w:tc>
        <w:tc>
          <w:tcPr>
            <w:tcW w:w="2355" w:type="dxa"/>
            <w:shd w:val="clear" w:color="auto" w:fill="auto"/>
            <w:vAlign w:val="center"/>
          </w:tcPr>
          <w:p w14:paraId="693797D0"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0.69** (0.52, 0.91)</w:t>
            </w:r>
          </w:p>
        </w:tc>
        <w:tc>
          <w:tcPr>
            <w:tcW w:w="2693" w:type="dxa"/>
            <w:shd w:val="clear" w:color="auto" w:fill="auto"/>
            <w:noWrap/>
            <w:vAlign w:val="center"/>
            <w:hideMark/>
          </w:tcPr>
          <w:p w14:paraId="14C7FA2E"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0.71* (0.53, 0.95)</w:t>
            </w:r>
          </w:p>
        </w:tc>
        <w:tc>
          <w:tcPr>
            <w:tcW w:w="2693" w:type="dxa"/>
            <w:shd w:val="clear" w:color="auto" w:fill="auto"/>
            <w:vAlign w:val="center"/>
          </w:tcPr>
          <w:p w14:paraId="56D5749A"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0.70* (0.53, 0.94)</w:t>
            </w:r>
          </w:p>
        </w:tc>
      </w:tr>
      <w:tr w:rsidR="00F958C7" w:rsidRPr="00A75685" w14:paraId="4C25BC67" w14:textId="77777777" w:rsidTr="00F42BD8">
        <w:trPr>
          <w:trHeight w:val="300"/>
        </w:trPr>
        <w:tc>
          <w:tcPr>
            <w:tcW w:w="3282" w:type="dxa"/>
            <w:shd w:val="clear" w:color="auto" w:fill="auto"/>
            <w:noWrap/>
            <w:vAlign w:val="center"/>
            <w:hideMark/>
          </w:tcPr>
          <w:p w14:paraId="1CD5DB5E"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Cruising location</w:t>
            </w:r>
          </w:p>
        </w:tc>
        <w:tc>
          <w:tcPr>
            <w:tcW w:w="2355" w:type="dxa"/>
            <w:shd w:val="clear" w:color="auto" w:fill="auto"/>
            <w:vAlign w:val="center"/>
          </w:tcPr>
          <w:p w14:paraId="534D5AB9"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0.99 (0.66, 1.47)</w:t>
            </w:r>
          </w:p>
        </w:tc>
        <w:tc>
          <w:tcPr>
            <w:tcW w:w="2693" w:type="dxa"/>
            <w:shd w:val="clear" w:color="auto" w:fill="auto"/>
            <w:noWrap/>
            <w:vAlign w:val="center"/>
            <w:hideMark/>
          </w:tcPr>
          <w:p w14:paraId="599E402D"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1.11 (0.74, 1.66)</w:t>
            </w:r>
          </w:p>
        </w:tc>
        <w:tc>
          <w:tcPr>
            <w:tcW w:w="2693" w:type="dxa"/>
            <w:shd w:val="clear" w:color="auto" w:fill="auto"/>
            <w:vAlign w:val="center"/>
          </w:tcPr>
          <w:p w14:paraId="2710D770"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1.13 (0.75, 1.70)</w:t>
            </w:r>
          </w:p>
        </w:tc>
      </w:tr>
      <w:tr w:rsidR="00F958C7" w:rsidRPr="00A75685" w14:paraId="6BD2D364" w14:textId="77777777" w:rsidTr="00F42BD8">
        <w:trPr>
          <w:trHeight w:val="320"/>
        </w:trPr>
        <w:tc>
          <w:tcPr>
            <w:tcW w:w="3282" w:type="dxa"/>
            <w:shd w:val="clear" w:color="auto" w:fill="auto"/>
            <w:noWrap/>
            <w:vAlign w:val="center"/>
            <w:hideMark/>
          </w:tcPr>
          <w:p w14:paraId="0D6C28DB" w14:textId="77777777" w:rsidR="000F27B8" w:rsidRPr="00F42BD8" w:rsidRDefault="00A251D9" w:rsidP="00082AC8">
            <w:pPr>
              <w:rPr>
                <w:rFonts w:ascii="Times New Roman" w:eastAsia="Times New Roman" w:hAnsi="Times New Roman" w:cs="Times New Roman"/>
                <w:b/>
                <w:bCs/>
              </w:rPr>
            </w:pPr>
            <w:r w:rsidRPr="00F42BD8">
              <w:rPr>
                <w:rFonts w:ascii="Times New Roman" w:eastAsia="Times New Roman" w:hAnsi="Times New Roman" w:cs="Times New Roman"/>
                <w:b/>
                <w:bCs/>
              </w:rPr>
              <w:t>Wald test (χ</w:t>
            </w:r>
            <w:r w:rsidRPr="00F42BD8">
              <w:rPr>
                <w:rFonts w:ascii="Times New Roman" w:eastAsia="Times New Roman" w:hAnsi="Times New Roman" w:cs="Times New Roman"/>
                <w:b/>
                <w:bCs/>
                <w:vertAlign w:val="superscript"/>
              </w:rPr>
              <w:t>2</w:t>
            </w:r>
            <w:r w:rsidRPr="00F42BD8">
              <w:rPr>
                <w:rFonts w:ascii="Times New Roman" w:eastAsia="Times New Roman" w:hAnsi="Times New Roman" w:cs="Times New Roman"/>
                <w:b/>
                <w:bCs/>
              </w:rPr>
              <w:t xml:space="preserve">, </w:t>
            </w:r>
            <w:proofErr w:type="spellStart"/>
            <w:r w:rsidRPr="00F42BD8">
              <w:rPr>
                <w:rFonts w:ascii="Times New Roman" w:eastAsia="Times New Roman" w:hAnsi="Times New Roman" w:cs="Times New Roman"/>
                <w:b/>
                <w:bCs/>
              </w:rPr>
              <w:t>df</w:t>
            </w:r>
            <w:proofErr w:type="spellEnd"/>
            <w:r w:rsidRPr="00F42BD8">
              <w:rPr>
                <w:rFonts w:ascii="Times New Roman" w:eastAsia="Times New Roman" w:hAnsi="Times New Roman" w:cs="Times New Roman"/>
                <w:b/>
                <w:bCs/>
              </w:rPr>
              <w:t xml:space="preserve">, </w:t>
            </w:r>
            <w:r w:rsidRPr="00F42BD8">
              <w:rPr>
                <w:rFonts w:ascii="Times New Roman" w:eastAsia="Times New Roman" w:hAnsi="Times New Roman" w:cs="Times New Roman"/>
                <w:b/>
                <w:bCs/>
                <w:i/>
                <w:iCs/>
              </w:rPr>
              <w:t>p</w:t>
            </w:r>
            <w:r w:rsidRPr="00F42BD8">
              <w:rPr>
                <w:rFonts w:ascii="Times New Roman" w:eastAsia="Times New Roman" w:hAnsi="Times New Roman" w:cs="Times New Roman"/>
                <w:b/>
                <w:bCs/>
              </w:rPr>
              <w:t>-value)</w:t>
            </w:r>
          </w:p>
        </w:tc>
        <w:tc>
          <w:tcPr>
            <w:tcW w:w="2355" w:type="dxa"/>
            <w:shd w:val="clear" w:color="auto" w:fill="auto"/>
            <w:vAlign w:val="center"/>
          </w:tcPr>
          <w:p w14:paraId="0968185A" w14:textId="77777777" w:rsidR="000F27B8" w:rsidRPr="00F42BD8" w:rsidRDefault="000F27B8" w:rsidP="00082AC8">
            <w:pPr>
              <w:spacing w:before="100" w:beforeAutospacing="1" w:after="100" w:afterAutospacing="1"/>
              <w:ind w:left="720"/>
              <w:contextualSpacing/>
              <w:rPr>
                <w:rFonts w:ascii="Times New Roman" w:eastAsia="Times New Roman" w:hAnsi="Times New Roman" w:cs="Times New Roman"/>
              </w:rPr>
            </w:pPr>
          </w:p>
        </w:tc>
        <w:tc>
          <w:tcPr>
            <w:tcW w:w="2693" w:type="dxa"/>
            <w:shd w:val="clear" w:color="auto" w:fill="auto"/>
            <w:noWrap/>
            <w:vAlign w:val="center"/>
            <w:hideMark/>
          </w:tcPr>
          <w:p w14:paraId="797AF069" w14:textId="77777777" w:rsidR="000F27B8" w:rsidRPr="00F42BD8" w:rsidRDefault="00A251D9" w:rsidP="00082AC8">
            <w:pPr>
              <w:rPr>
                <w:rFonts w:ascii="Times New Roman" w:eastAsia="Times New Roman" w:hAnsi="Times New Roman" w:cs="Times New Roman"/>
              </w:rPr>
            </w:pPr>
            <w:r w:rsidRPr="00F42BD8">
              <w:rPr>
                <w:rFonts w:ascii="Times New Roman" w:eastAsia="Times New Roman" w:hAnsi="Times New Roman" w:cs="Times New Roman"/>
              </w:rPr>
              <w:t>29.96, 3, &lt;0.0001</w:t>
            </w:r>
          </w:p>
        </w:tc>
        <w:tc>
          <w:tcPr>
            <w:tcW w:w="2693" w:type="dxa"/>
            <w:shd w:val="clear" w:color="auto" w:fill="auto"/>
            <w:vAlign w:val="center"/>
          </w:tcPr>
          <w:p w14:paraId="7C65E36D" w14:textId="77777777" w:rsidR="00CA6241" w:rsidRPr="00F42BD8" w:rsidRDefault="000F27B8" w:rsidP="00F42BD8">
            <w:pPr>
              <w:keepNext/>
              <w:keepLines/>
              <w:outlineLvl w:val="3"/>
              <w:rPr>
                <w:rFonts w:ascii="Times New Roman" w:eastAsia="Times New Roman" w:hAnsi="Times New Roman" w:cs="Times New Roman"/>
              </w:rPr>
            </w:pPr>
            <w:r w:rsidRPr="00A75685">
              <w:rPr>
                <w:rFonts w:ascii="Times New Roman" w:eastAsia="Times New Roman" w:hAnsi="Times New Roman" w:cs="Times New Roman"/>
              </w:rPr>
              <w:t>74.37, 8, &lt;0.0001</w:t>
            </w:r>
          </w:p>
        </w:tc>
      </w:tr>
    </w:tbl>
    <w:p w14:paraId="12049AD8" w14:textId="4657A014" w:rsidR="00BB7CA1" w:rsidRPr="00A533BF" w:rsidRDefault="00BB7CA1" w:rsidP="00082AC8">
      <w:pPr>
        <w:rPr>
          <w:rFonts w:ascii="Times New Roman" w:hAnsi="Times New Roman" w:cs="Times New Roman"/>
        </w:rPr>
      </w:pPr>
      <w:r w:rsidRPr="00A533BF">
        <w:rPr>
          <w:rFonts w:ascii="Times New Roman" w:hAnsi="Times New Roman" w:cs="Times New Roman"/>
        </w:rPr>
        <w:t>*</w:t>
      </w:r>
      <w:r w:rsidRPr="00A533BF">
        <w:rPr>
          <w:rFonts w:ascii="Times New Roman" w:hAnsi="Times New Roman" w:cs="Times New Roman"/>
          <w:i/>
        </w:rPr>
        <w:t>p</w:t>
      </w:r>
      <w:r w:rsidRPr="00A533BF">
        <w:rPr>
          <w:rFonts w:ascii="Times New Roman" w:hAnsi="Times New Roman" w:cs="Times New Roman"/>
        </w:rPr>
        <w:t>&lt;0.05, **</w:t>
      </w:r>
      <w:r w:rsidRPr="00A533BF">
        <w:rPr>
          <w:rFonts w:ascii="Times New Roman" w:hAnsi="Times New Roman" w:cs="Times New Roman"/>
          <w:i/>
        </w:rPr>
        <w:t>p</w:t>
      </w:r>
      <w:r w:rsidRPr="00A533BF">
        <w:rPr>
          <w:rFonts w:ascii="Times New Roman" w:hAnsi="Times New Roman" w:cs="Times New Roman"/>
        </w:rPr>
        <w:t>&lt;0.01, ***</w:t>
      </w:r>
      <w:r w:rsidRPr="00A533BF">
        <w:rPr>
          <w:rFonts w:ascii="Times New Roman" w:hAnsi="Times New Roman" w:cs="Times New Roman"/>
          <w:i/>
        </w:rPr>
        <w:t>p</w:t>
      </w:r>
      <w:r w:rsidRPr="00A533BF">
        <w:rPr>
          <w:rFonts w:ascii="Times New Roman" w:hAnsi="Times New Roman" w:cs="Times New Roman"/>
        </w:rPr>
        <w:t>&lt;0.001</w:t>
      </w:r>
    </w:p>
    <w:p w14:paraId="55B4F927" w14:textId="77777777" w:rsidR="00F91166" w:rsidRDefault="00F91166" w:rsidP="00E54F0A">
      <w:pPr>
        <w:rPr>
          <w:rFonts w:ascii="Times New Roman" w:hAnsi="Times New Roman" w:cs="Times New Roman"/>
          <w:b/>
        </w:rPr>
        <w:sectPr w:rsidR="00F91166" w:rsidSect="00A544FA">
          <w:pgSz w:w="16840" w:h="11900" w:orient="landscape"/>
          <w:pgMar w:top="1701" w:right="1701" w:bottom="1701" w:left="1701" w:header="709" w:footer="709" w:gutter="0"/>
          <w:cols w:space="708"/>
          <w:docGrid w:linePitch="360"/>
        </w:sectPr>
      </w:pPr>
    </w:p>
    <w:p w14:paraId="1AC73F36" w14:textId="2AA505FE" w:rsidR="00F91166" w:rsidRPr="009238AC" w:rsidRDefault="00F91166" w:rsidP="00E54F0A">
      <w:pPr>
        <w:spacing w:line="480" w:lineRule="auto"/>
        <w:rPr>
          <w:rFonts w:ascii="Times New Roman" w:hAnsi="Times New Roman" w:cs="Times New Roman"/>
        </w:rPr>
      </w:pPr>
      <w:r>
        <w:rPr>
          <w:rFonts w:ascii="Times New Roman" w:hAnsi="Times New Roman" w:cs="Times New Roman"/>
        </w:rPr>
        <w:lastRenderedPageBreak/>
        <w:tab/>
        <w:t xml:space="preserve">Moderation models revealed a statistically significant interaction </w:t>
      </w:r>
      <w:r w:rsidR="009238AC">
        <w:rPr>
          <w:rFonts w:ascii="Times New Roman" w:hAnsi="Times New Roman" w:cs="Times New Roman"/>
        </w:rPr>
        <w:t xml:space="preserve">term </w:t>
      </w:r>
      <w:r>
        <w:rPr>
          <w:rFonts w:ascii="Times New Roman" w:hAnsi="Times New Roman" w:cs="Times New Roman"/>
        </w:rPr>
        <w:t xml:space="preserve">between sex in sex-on-premises venues and any respondent drug use </w:t>
      </w:r>
      <w:r w:rsidR="009238AC">
        <w:rPr>
          <w:rFonts w:ascii="Times New Roman" w:hAnsi="Times New Roman" w:cs="Times New Roman"/>
        </w:rPr>
        <w:t xml:space="preserve">(OR 2.23, 95% CI [1.21, 4.09]) </w:t>
      </w:r>
      <w:r>
        <w:rPr>
          <w:rFonts w:ascii="Times New Roman" w:hAnsi="Times New Roman" w:cs="Times New Roman"/>
        </w:rPr>
        <w:t xml:space="preserve">that was associated with increased odds of UAI (see Table 3).  </w:t>
      </w:r>
      <w:r w:rsidR="009238AC">
        <w:rPr>
          <w:rFonts w:ascii="Times New Roman" w:hAnsi="Times New Roman" w:cs="Times New Roman"/>
        </w:rPr>
        <w:t xml:space="preserve">That is, use of substances in sex-on-premises venues was associated with a greater increase in odds of sexual risk than use of substances in sexual encounters at home.  </w:t>
      </w:r>
      <w:r>
        <w:rPr>
          <w:rFonts w:ascii="Times New Roman" w:hAnsi="Times New Roman" w:cs="Times New Roman"/>
        </w:rPr>
        <w:t>Poppers use also significantly moderate</w:t>
      </w:r>
      <w:r w:rsidR="009238AC">
        <w:rPr>
          <w:rFonts w:ascii="Times New Roman" w:hAnsi="Times New Roman" w:cs="Times New Roman"/>
        </w:rPr>
        <w:t>d</w:t>
      </w:r>
      <w:r>
        <w:rPr>
          <w:rFonts w:ascii="Times New Roman" w:hAnsi="Times New Roman" w:cs="Times New Roman"/>
        </w:rPr>
        <w:t xml:space="preserve"> the association between sex-on-premises venues and sexual risk</w:t>
      </w:r>
      <w:r w:rsidR="009238AC">
        <w:rPr>
          <w:rFonts w:ascii="Times New Roman" w:hAnsi="Times New Roman" w:cs="Times New Roman"/>
        </w:rPr>
        <w:t>, with similar interpretation</w:t>
      </w:r>
      <w:r>
        <w:rPr>
          <w:rFonts w:ascii="Times New Roman" w:hAnsi="Times New Roman" w:cs="Times New Roman"/>
        </w:rPr>
        <w:t xml:space="preserve">.  Alcohol use appeared to moderate sexual risk in sex-on-premises venues, but this association was marginally significant (i.e. </w:t>
      </w:r>
      <w:r w:rsidRPr="00F91166">
        <w:rPr>
          <w:rFonts w:ascii="Times New Roman" w:hAnsi="Times New Roman" w:cs="Times New Roman"/>
          <w:i/>
        </w:rPr>
        <w:t>p</w:t>
      </w:r>
      <w:r>
        <w:rPr>
          <w:rFonts w:ascii="Times New Roman" w:hAnsi="Times New Roman" w:cs="Times New Roman"/>
        </w:rPr>
        <w:t xml:space="preserve">&lt;0.10).  </w:t>
      </w:r>
      <w:r w:rsidR="000335B7">
        <w:rPr>
          <w:rFonts w:ascii="Times New Roman" w:hAnsi="Times New Roman" w:cs="Times New Roman"/>
        </w:rPr>
        <w:t>Sexual risk in encounters in cruising locations did not appear to be significantly moderated by drug use.  Interpretation of these</w:t>
      </w:r>
      <w:r w:rsidR="009238AC">
        <w:rPr>
          <w:rFonts w:ascii="Times New Roman" w:hAnsi="Times New Roman" w:cs="Times New Roman"/>
        </w:rPr>
        <w:t xml:space="preserve"> moderation </w:t>
      </w:r>
      <w:r w:rsidR="000335B7">
        <w:rPr>
          <w:rFonts w:ascii="Times New Roman" w:hAnsi="Times New Roman" w:cs="Times New Roman"/>
        </w:rPr>
        <w:t>models in terms of significance and</w:t>
      </w:r>
      <w:r w:rsidR="009238AC">
        <w:rPr>
          <w:rFonts w:ascii="Times New Roman" w:hAnsi="Times New Roman" w:cs="Times New Roman"/>
        </w:rPr>
        <w:t xml:space="preserve"> magnitude was </w:t>
      </w:r>
      <w:r w:rsidR="00E54F0A">
        <w:rPr>
          <w:rFonts w:ascii="Times New Roman" w:hAnsi="Times New Roman" w:cs="Times New Roman"/>
        </w:rPr>
        <w:t>not affected by</w:t>
      </w:r>
      <w:r w:rsidR="009238AC">
        <w:rPr>
          <w:rFonts w:ascii="Times New Roman" w:hAnsi="Times New Roman" w:cs="Times New Roman"/>
        </w:rPr>
        <w:t xml:space="preserve"> inclusion of person-level confounders, with the exception of alcohol use in sex-on-premises venues, the interaction term for which was similar in magnitude </w:t>
      </w:r>
      <w:r w:rsidR="005B28C6">
        <w:rPr>
          <w:rFonts w:ascii="Times New Roman" w:hAnsi="Times New Roman" w:cs="Times New Roman"/>
        </w:rPr>
        <w:t xml:space="preserve">(OR 1.93) </w:t>
      </w:r>
      <w:r w:rsidR="009238AC">
        <w:rPr>
          <w:rFonts w:ascii="Times New Roman" w:hAnsi="Times New Roman" w:cs="Times New Roman"/>
        </w:rPr>
        <w:t>but statistically significant (</w:t>
      </w:r>
      <w:r w:rsidR="009238AC">
        <w:rPr>
          <w:rFonts w:ascii="Times New Roman" w:hAnsi="Times New Roman" w:cs="Times New Roman"/>
          <w:i/>
        </w:rPr>
        <w:t>p</w:t>
      </w:r>
      <w:r w:rsidR="009238AC">
        <w:rPr>
          <w:rFonts w:ascii="Times New Roman" w:hAnsi="Times New Roman" w:cs="Times New Roman"/>
        </w:rPr>
        <w:t>&lt;0.05).</w:t>
      </w:r>
    </w:p>
    <w:p w14:paraId="5A79C022" w14:textId="77777777" w:rsidR="00CA6241" w:rsidRDefault="000F27B8" w:rsidP="00F42BD8">
      <w:pPr>
        <w:rPr>
          <w:rFonts w:ascii="Times New Roman" w:hAnsi="Times New Roman" w:cs="Times New Roman"/>
        </w:rPr>
      </w:pPr>
      <w:r>
        <w:rPr>
          <w:rFonts w:ascii="Times New Roman" w:hAnsi="Times New Roman" w:cs="Times New Roman"/>
          <w:b/>
        </w:rPr>
        <w:t>Table 3.</w:t>
      </w:r>
      <w:r>
        <w:rPr>
          <w:rFonts w:ascii="Times New Roman" w:hAnsi="Times New Roman" w:cs="Times New Roman"/>
        </w:rPr>
        <w:t xml:space="preserve"> Moderation models</w:t>
      </w:r>
      <w:r w:rsidR="004B6F4D">
        <w:rPr>
          <w:rFonts w:ascii="Times New Roman" w:hAnsi="Times New Roman" w:cs="Times New Roman"/>
        </w:rPr>
        <w:t xml:space="preserve"> testing associations between unprotected anal intercourse, drug use and location of sex during sex between new male partners</w:t>
      </w:r>
    </w:p>
    <w:p w14:paraId="0BCCB185" w14:textId="77777777" w:rsidR="00CA6241" w:rsidRDefault="00CA6241" w:rsidP="00F42BD8">
      <w:pPr>
        <w:rPr>
          <w:rFonts w:ascii="Times New Roman" w:hAnsi="Times New Roman" w:cs="Times New Roman"/>
        </w:rPr>
      </w:pPr>
    </w:p>
    <w:tbl>
      <w:tblPr>
        <w:tblStyle w:val="TableGrid"/>
        <w:tblW w:w="0" w:type="auto"/>
        <w:tblLook w:val="04A0" w:firstRow="1" w:lastRow="0" w:firstColumn="1" w:lastColumn="0" w:noHBand="0" w:noVBand="1"/>
      </w:tblPr>
      <w:tblGrid>
        <w:gridCol w:w="2087"/>
        <w:gridCol w:w="2133"/>
        <w:gridCol w:w="2134"/>
        <w:gridCol w:w="2134"/>
      </w:tblGrid>
      <w:tr w:rsidR="00996C7A" w14:paraId="1F6E8E36" w14:textId="77777777" w:rsidTr="00F42BD8">
        <w:tc>
          <w:tcPr>
            <w:tcW w:w="3413" w:type="dxa"/>
            <w:vMerge w:val="restart"/>
            <w:vAlign w:val="center"/>
          </w:tcPr>
          <w:p w14:paraId="46C2F4A3" w14:textId="77777777" w:rsidR="00CA6241" w:rsidRPr="00F42BD8" w:rsidRDefault="00A251D9" w:rsidP="00F42BD8">
            <w:pPr>
              <w:keepNext/>
              <w:keepLines/>
              <w:outlineLvl w:val="3"/>
              <w:rPr>
                <w:rFonts w:ascii="Times New Roman" w:hAnsi="Times New Roman" w:cs="Times New Roman"/>
                <w:b/>
              </w:rPr>
            </w:pPr>
            <w:r w:rsidRPr="00F42BD8">
              <w:rPr>
                <w:rFonts w:ascii="Times New Roman" w:hAnsi="Times New Roman" w:cs="Times New Roman"/>
                <w:b/>
              </w:rPr>
              <w:t>Variable</w:t>
            </w:r>
          </w:p>
        </w:tc>
        <w:tc>
          <w:tcPr>
            <w:tcW w:w="3413" w:type="dxa"/>
            <w:vAlign w:val="center"/>
          </w:tcPr>
          <w:p w14:paraId="402FE955" w14:textId="77777777" w:rsidR="00CA6241" w:rsidRPr="00F42BD8" w:rsidRDefault="00A251D9" w:rsidP="00F42BD8">
            <w:pPr>
              <w:keepNext/>
              <w:keepLines/>
              <w:outlineLvl w:val="3"/>
              <w:rPr>
                <w:rFonts w:ascii="Times New Roman" w:hAnsi="Times New Roman" w:cs="Times New Roman"/>
                <w:b/>
              </w:rPr>
            </w:pPr>
            <w:r w:rsidRPr="00F42BD8">
              <w:rPr>
                <w:rFonts w:ascii="Times New Roman" w:hAnsi="Times New Roman" w:cs="Times New Roman"/>
                <w:b/>
              </w:rPr>
              <w:t>Any drug use</w:t>
            </w:r>
          </w:p>
        </w:tc>
        <w:tc>
          <w:tcPr>
            <w:tcW w:w="3414" w:type="dxa"/>
            <w:vAlign w:val="center"/>
          </w:tcPr>
          <w:p w14:paraId="09172CBC" w14:textId="77777777" w:rsidR="00CA6241" w:rsidRPr="00F42BD8" w:rsidRDefault="00A251D9" w:rsidP="00F42BD8">
            <w:pPr>
              <w:keepNext/>
              <w:keepLines/>
              <w:outlineLvl w:val="3"/>
              <w:rPr>
                <w:rFonts w:ascii="Times New Roman" w:hAnsi="Times New Roman" w:cs="Times New Roman"/>
                <w:b/>
              </w:rPr>
            </w:pPr>
            <w:r w:rsidRPr="00F42BD8">
              <w:rPr>
                <w:rFonts w:ascii="Times New Roman" w:hAnsi="Times New Roman" w:cs="Times New Roman"/>
                <w:b/>
              </w:rPr>
              <w:t xml:space="preserve">Poppers </w:t>
            </w:r>
            <w:proofErr w:type="spellStart"/>
            <w:r w:rsidRPr="00F42BD8">
              <w:rPr>
                <w:rFonts w:ascii="Times New Roman" w:hAnsi="Times New Roman" w:cs="Times New Roman"/>
                <w:b/>
              </w:rPr>
              <w:t>use</w:t>
            </w:r>
            <w:r w:rsidR="00941632">
              <w:rPr>
                <w:rFonts w:ascii="Times New Roman" w:eastAsia="Times New Roman" w:hAnsi="Times New Roman" w:cs="Times New Roman"/>
                <w:b/>
                <w:bCs/>
                <w:vertAlign w:val="superscript"/>
              </w:rPr>
              <w:t>b</w:t>
            </w:r>
            <w:proofErr w:type="spellEnd"/>
          </w:p>
        </w:tc>
        <w:tc>
          <w:tcPr>
            <w:tcW w:w="3414" w:type="dxa"/>
            <w:vAlign w:val="center"/>
          </w:tcPr>
          <w:p w14:paraId="591BED61" w14:textId="77777777" w:rsidR="00CA6241" w:rsidRPr="00F42BD8" w:rsidRDefault="00A251D9" w:rsidP="00F42BD8">
            <w:pPr>
              <w:keepNext/>
              <w:keepLines/>
              <w:outlineLvl w:val="3"/>
              <w:rPr>
                <w:rFonts w:ascii="Times New Roman" w:hAnsi="Times New Roman" w:cs="Times New Roman"/>
                <w:b/>
              </w:rPr>
            </w:pPr>
            <w:r w:rsidRPr="00F42BD8">
              <w:rPr>
                <w:rFonts w:ascii="Times New Roman" w:hAnsi="Times New Roman" w:cs="Times New Roman"/>
                <w:b/>
              </w:rPr>
              <w:t xml:space="preserve">Alcohol </w:t>
            </w:r>
            <w:proofErr w:type="spellStart"/>
            <w:r w:rsidRPr="00F42BD8">
              <w:rPr>
                <w:rFonts w:ascii="Times New Roman" w:hAnsi="Times New Roman" w:cs="Times New Roman"/>
                <w:b/>
              </w:rPr>
              <w:t>use</w:t>
            </w:r>
            <w:r w:rsidR="00941632">
              <w:rPr>
                <w:rFonts w:ascii="Times New Roman" w:eastAsia="Times New Roman" w:hAnsi="Times New Roman" w:cs="Times New Roman"/>
                <w:b/>
                <w:bCs/>
                <w:vertAlign w:val="superscript"/>
              </w:rPr>
              <w:t>b</w:t>
            </w:r>
            <w:proofErr w:type="spellEnd"/>
          </w:p>
        </w:tc>
      </w:tr>
      <w:tr w:rsidR="00996C7A" w14:paraId="624D2CC5" w14:textId="77777777" w:rsidTr="00F42BD8">
        <w:tc>
          <w:tcPr>
            <w:tcW w:w="3413" w:type="dxa"/>
            <w:vMerge/>
            <w:vAlign w:val="center"/>
          </w:tcPr>
          <w:p w14:paraId="6F527DA3" w14:textId="77777777" w:rsidR="00996C7A" w:rsidRDefault="00996C7A" w:rsidP="00E54F0A">
            <w:pPr>
              <w:rPr>
                <w:rFonts w:ascii="Times New Roman" w:hAnsi="Times New Roman" w:cs="Times New Roman"/>
                <w:b/>
                <w:bCs/>
                <w:sz w:val="20"/>
                <w:szCs w:val="20"/>
              </w:rPr>
            </w:pPr>
          </w:p>
        </w:tc>
        <w:tc>
          <w:tcPr>
            <w:tcW w:w="3413" w:type="dxa"/>
            <w:vAlign w:val="center"/>
          </w:tcPr>
          <w:p w14:paraId="4AAAD61E" w14:textId="77777777" w:rsidR="00996C7A" w:rsidRDefault="00996C7A" w:rsidP="00E54F0A">
            <w:pPr>
              <w:rPr>
                <w:rFonts w:ascii="Times New Roman" w:hAnsi="Times New Roman" w:cs="Times New Roman"/>
              </w:rPr>
            </w:pPr>
            <w:r w:rsidRPr="00165EC7">
              <w:rPr>
                <w:rFonts w:ascii="Times New Roman" w:eastAsia="Times New Roman" w:hAnsi="Times New Roman" w:cs="Times New Roman"/>
              </w:rPr>
              <w:t>OR (95% CI)</w:t>
            </w:r>
          </w:p>
        </w:tc>
        <w:tc>
          <w:tcPr>
            <w:tcW w:w="3414" w:type="dxa"/>
            <w:vAlign w:val="center"/>
          </w:tcPr>
          <w:p w14:paraId="16E51923" w14:textId="77777777" w:rsidR="00996C7A" w:rsidRDefault="00996C7A" w:rsidP="00E54F0A">
            <w:pPr>
              <w:rPr>
                <w:rFonts w:ascii="Times New Roman" w:hAnsi="Times New Roman" w:cs="Times New Roman"/>
              </w:rPr>
            </w:pPr>
            <w:r w:rsidRPr="00165EC7">
              <w:rPr>
                <w:rFonts w:ascii="Times New Roman" w:eastAsia="Times New Roman" w:hAnsi="Times New Roman" w:cs="Times New Roman"/>
              </w:rPr>
              <w:t>OR (95% CI)</w:t>
            </w:r>
          </w:p>
        </w:tc>
        <w:tc>
          <w:tcPr>
            <w:tcW w:w="3414" w:type="dxa"/>
            <w:vAlign w:val="center"/>
          </w:tcPr>
          <w:p w14:paraId="6E021E31" w14:textId="77777777" w:rsidR="00996C7A" w:rsidRDefault="00996C7A" w:rsidP="00E54F0A">
            <w:pPr>
              <w:rPr>
                <w:rFonts w:ascii="Times New Roman" w:hAnsi="Times New Roman" w:cs="Times New Roman"/>
              </w:rPr>
            </w:pPr>
            <w:r w:rsidRPr="00165EC7">
              <w:rPr>
                <w:rFonts w:ascii="Times New Roman" w:eastAsia="Times New Roman" w:hAnsi="Times New Roman" w:cs="Times New Roman"/>
              </w:rPr>
              <w:t>OR (95% CI)</w:t>
            </w:r>
          </w:p>
        </w:tc>
      </w:tr>
      <w:tr w:rsidR="00996C7A" w14:paraId="78D5D2D1" w14:textId="77777777" w:rsidTr="00F42BD8">
        <w:tc>
          <w:tcPr>
            <w:tcW w:w="3413" w:type="dxa"/>
            <w:vAlign w:val="center"/>
          </w:tcPr>
          <w:p w14:paraId="45BB5BDB" w14:textId="77777777" w:rsidR="00996C7A" w:rsidRDefault="00996C7A" w:rsidP="00082AC8">
            <w:pPr>
              <w:rPr>
                <w:rFonts w:ascii="Times New Roman" w:hAnsi="Times New Roman" w:cs="Times New Roman"/>
              </w:rPr>
            </w:pPr>
            <w:r>
              <w:rPr>
                <w:rFonts w:ascii="Times New Roman" w:hAnsi="Times New Roman" w:cs="Times New Roman"/>
              </w:rPr>
              <w:t>Home</w:t>
            </w:r>
          </w:p>
        </w:tc>
        <w:tc>
          <w:tcPr>
            <w:tcW w:w="3413" w:type="dxa"/>
            <w:vAlign w:val="center"/>
          </w:tcPr>
          <w:p w14:paraId="3FBFB5AD" w14:textId="77777777" w:rsidR="00996C7A" w:rsidRDefault="00996C7A" w:rsidP="00082AC8">
            <w:pPr>
              <w:rPr>
                <w:rFonts w:ascii="Times New Roman" w:hAnsi="Times New Roman" w:cs="Times New Roman"/>
              </w:rPr>
            </w:pPr>
            <w:r>
              <w:rPr>
                <w:rFonts w:ascii="Times New Roman" w:hAnsi="Times New Roman" w:cs="Times New Roman"/>
              </w:rPr>
              <w:t>Reference</w:t>
            </w:r>
          </w:p>
        </w:tc>
        <w:tc>
          <w:tcPr>
            <w:tcW w:w="3414" w:type="dxa"/>
            <w:vAlign w:val="center"/>
          </w:tcPr>
          <w:p w14:paraId="38A994E0" w14:textId="77777777" w:rsidR="00996C7A" w:rsidRDefault="00996C7A" w:rsidP="00082AC8">
            <w:pPr>
              <w:rPr>
                <w:rFonts w:ascii="Times New Roman" w:hAnsi="Times New Roman" w:cs="Times New Roman"/>
              </w:rPr>
            </w:pPr>
            <w:r>
              <w:rPr>
                <w:rFonts w:ascii="Times New Roman" w:hAnsi="Times New Roman" w:cs="Times New Roman"/>
              </w:rPr>
              <w:t>Reference</w:t>
            </w:r>
          </w:p>
        </w:tc>
        <w:tc>
          <w:tcPr>
            <w:tcW w:w="3414" w:type="dxa"/>
            <w:vAlign w:val="center"/>
          </w:tcPr>
          <w:p w14:paraId="5CC125D9" w14:textId="77777777" w:rsidR="00996C7A" w:rsidRDefault="00996C7A" w:rsidP="00E54F0A">
            <w:pPr>
              <w:rPr>
                <w:rFonts w:ascii="Times New Roman" w:hAnsi="Times New Roman" w:cs="Times New Roman"/>
              </w:rPr>
            </w:pPr>
            <w:r>
              <w:rPr>
                <w:rFonts w:ascii="Times New Roman" w:hAnsi="Times New Roman" w:cs="Times New Roman"/>
              </w:rPr>
              <w:t>Reference</w:t>
            </w:r>
          </w:p>
        </w:tc>
      </w:tr>
      <w:tr w:rsidR="00996C7A" w14:paraId="7384410D" w14:textId="77777777" w:rsidTr="00F42BD8">
        <w:tc>
          <w:tcPr>
            <w:tcW w:w="3413" w:type="dxa"/>
            <w:vAlign w:val="center"/>
          </w:tcPr>
          <w:p w14:paraId="3E0585BA" w14:textId="77777777" w:rsidR="00996C7A" w:rsidRDefault="00941632" w:rsidP="00082AC8">
            <w:pPr>
              <w:rPr>
                <w:rFonts w:ascii="Times New Roman" w:hAnsi="Times New Roman" w:cs="Times New Roman"/>
              </w:rPr>
            </w:pPr>
            <w:r>
              <w:rPr>
                <w:rFonts w:ascii="Times New Roman" w:hAnsi="Times New Roman" w:cs="Times New Roman"/>
              </w:rPr>
              <w:t>D</w:t>
            </w:r>
            <w:r w:rsidR="00996C7A">
              <w:rPr>
                <w:rFonts w:ascii="Times New Roman" w:hAnsi="Times New Roman" w:cs="Times New Roman"/>
              </w:rPr>
              <w:t xml:space="preserve">rug </w:t>
            </w:r>
            <w:proofErr w:type="spellStart"/>
            <w:r w:rsidR="00996C7A">
              <w:rPr>
                <w:rFonts w:ascii="Times New Roman" w:hAnsi="Times New Roman" w:cs="Times New Roman"/>
              </w:rPr>
              <w:t>use</w:t>
            </w:r>
            <w:r w:rsidR="00A251D9" w:rsidRPr="00F42BD8">
              <w:rPr>
                <w:rFonts w:ascii="Times New Roman" w:hAnsi="Times New Roman" w:cs="Times New Roman"/>
                <w:vertAlign w:val="superscript"/>
              </w:rPr>
              <w:t>a</w:t>
            </w:r>
            <w:proofErr w:type="spellEnd"/>
          </w:p>
        </w:tc>
        <w:tc>
          <w:tcPr>
            <w:tcW w:w="3413" w:type="dxa"/>
            <w:vAlign w:val="center"/>
          </w:tcPr>
          <w:p w14:paraId="74E7F653" w14:textId="77777777" w:rsidR="00996C7A" w:rsidRDefault="0053393E" w:rsidP="00082AC8">
            <w:pPr>
              <w:rPr>
                <w:rFonts w:ascii="Times New Roman" w:hAnsi="Times New Roman" w:cs="Times New Roman"/>
              </w:rPr>
            </w:pPr>
            <w:r>
              <w:rPr>
                <w:rFonts w:ascii="Times New Roman" w:hAnsi="Times New Roman" w:cs="Times New Roman"/>
              </w:rPr>
              <w:t>1.47*** (1.21, 1.79)</w:t>
            </w:r>
          </w:p>
        </w:tc>
        <w:tc>
          <w:tcPr>
            <w:tcW w:w="3414" w:type="dxa"/>
            <w:vAlign w:val="center"/>
          </w:tcPr>
          <w:p w14:paraId="01E1D27B" w14:textId="77777777" w:rsidR="00996C7A" w:rsidRDefault="0053393E" w:rsidP="00082AC8">
            <w:pPr>
              <w:rPr>
                <w:rFonts w:ascii="Times New Roman" w:hAnsi="Times New Roman" w:cs="Times New Roman"/>
              </w:rPr>
            </w:pPr>
            <w:r>
              <w:rPr>
                <w:rFonts w:ascii="Times New Roman" w:hAnsi="Times New Roman" w:cs="Times New Roman"/>
              </w:rPr>
              <w:t>1.61*** (1.28, 2.03)</w:t>
            </w:r>
          </w:p>
        </w:tc>
        <w:tc>
          <w:tcPr>
            <w:tcW w:w="3414" w:type="dxa"/>
            <w:vAlign w:val="center"/>
          </w:tcPr>
          <w:p w14:paraId="4F5463C4" w14:textId="77777777" w:rsidR="00996C7A" w:rsidRDefault="0053393E" w:rsidP="00E54F0A">
            <w:pPr>
              <w:rPr>
                <w:rFonts w:ascii="Times New Roman" w:hAnsi="Times New Roman" w:cs="Times New Roman"/>
              </w:rPr>
            </w:pPr>
            <w:r>
              <w:rPr>
                <w:rFonts w:ascii="Times New Roman" w:hAnsi="Times New Roman" w:cs="Times New Roman"/>
              </w:rPr>
              <w:t>0.98 (0.79, 1.21)</w:t>
            </w:r>
          </w:p>
        </w:tc>
      </w:tr>
      <w:tr w:rsidR="00996C7A" w14:paraId="7A13DCF8" w14:textId="77777777" w:rsidTr="00F42BD8">
        <w:tc>
          <w:tcPr>
            <w:tcW w:w="3413" w:type="dxa"/>
            <w:vAlign w:val="center"/>
          </w:tcPr>
          <w:p w14:paraId="33C08151" w14:textId="77777777" w:rsidR="00996C7A" w:rsidRDefault="00941632" w:rsidP="00082AC8">
            <w:pPr>
              <w:rPr>
                <w:rFonts w:ascii="Times New Roman" w:hAnsi="Times New Roman" w:cs="Times New Roman"/>
              </w:rPr>
            </w:pPr>
            <w:r>
              <w:rPr>
                <w:rFonts w:ascii="Times New Roman" w:hAnsi="Times New Roman" w:cs="Times New Roman"/>
              </w:rPr>
              <w:t>Sex-on-premises venues</w:t>
            </w:r>
          </w:p>
        </w:tc>
        <w:tc>
          <w:tcPr>
            <w:tcW w:w="3413" w:type="dxa"/>
            <w:vAlign w:val="center"/>
          </w:tcPr>
          <w:p w14:paraId="7B2DC1FC" w14:textId="77777777" w:rsidR="00996C7A" w:rsidRDefault="0053393E" w:rsidP="00082AC8">
            <w:pPr>
              <w:rPr>
                <w:rFonts w:ascii="Times New Roman" w:hAnsi="Times New Roman" w:cs="Times New Roman"/>
              </w:rPr>
            </w:pPr>
            <w:r>
              <w:rPr>
                <w:rFonts w:ascii="Times New Roman" w:hAnsi="Times New Roman" w:cs="Times New Roman"/>
              </w:rPr>
              <w:t>0.43** (0.26, 0.72)</w:t>
            </w:r>
          </w:p>
        </w:tc>
        <w:tc>
          <w:tcPr>
            <w:tcW w:w="3414" w:type="dxa"/>
            <w:vAlign w:val="center"/>
          </w:tcPr>
          <w:p w14:paraId="2577DE47" w14:textId="77777777" w:rsidR="00996C7A" w:rsidRDefault="0053393E" w:rsidP="00082AC8">
            <w:pPr>
              <w:rPr>
                <w:rFonts w:ascii="Times New Roman" w:hAnsi="Times New Roman" w:cs="Times New Roman"/>
              </w:rPr>
            </w:pPr>
            <w:r>
              <w:rPr>
                <w:rFonts w:ascii="Times New Roman" w:hAnsi="Times New Roman" w:cs="Times New Roman"/>
              </w:rPr>
              <w:t>0.54** (0.37, 0.79)</w:t>
            </w:r>
          </w:p>
        </w:tc>
        <w:tc>
          <w:tcPr>
            <w:tcW w:w="3414" w:type="dxa"/>
            <w:vAlign w:val="center"/>
          </w:tcPr>
          <w:p w14:paraId="02971BD8" w14:textId="77777777" w:rsidR="00996C7A" w:rsidRDefault="0053393E" w:rsidP="00E54F0A">
            <w:pPr>
              <w:rPr>
                <w:rFonts w:ascii="Times New Roman" w:hAnsi="Times New Roman" w:cs="Times New Roman"/>
              </w:rPr>
            </w:pPr>
            <w:r>
              <w:rPr>
                <w:rFonts w:ascii="Times New Roman" w:hAnsi="Times New Roman" w:cs="Times New Roman"/>
              </w:rPr>
              <w:t>0.60** (0.42, 0.85)</w:t>
            </w:r>
          </w:p>
        </w:tc>
      </w:tr>
      <w:tr w:rsidR="00996C7A" w14:paraId="48C94140" w14:textId="77777777" w:rsidTr="00F42BD8">
        <w:tc>
          <w:tcPr>
            <w:tcW w:w="3413" w:type="dxa"/>
            <w:vAlign w:val="center"/>
          </w:tcPr>
          <w:p w14:paraId="67111C71" w14:textId="77777777" w:rsidR="00996C7A" w:rsidRDefault="00941632" w:rsidP="00082AC8">
            <w:pPr>
              <w:rPr>
                <w:rFonts w:ascii="Times New Roman" w:hAnsi="Times New Roman" w:cs="Times New Roman"/>
              </w:rPr>
            </w:pPr>
            <w:r>
              <w:rPr>
                <w:rFonts w:ascii="Times New Roman" w:hAnsi="Times New Roman" w:cs="Times New Roman"/>
              </w:rPr>
              <w:t>Sex-on-premises venues X drug use</w:t>
            </w:r>
          </w:p>
        </w:tc>
        <w:tc>
          <w:tcPr>
            <w:tcW w:w="3413" w:type="dxa"/>
            <w:vAlign w:val="center"/>
          </w:tcPr>
          <w:p w14:paraId="167CFFAF" w14:textId="77777777" w:rsidR="00996C7A" w:rsidRDefault="0053393E" w:rsidP="00082AC8">
            <w:pPr>
              <w:rPr>
                <w:rFonts w:ascii="Times New Roman" w:hAnsi="Times New Roman" w:cs="Times New Roman"/>
              </w:rPr>
            </w:pPr>
            <w:r>
              <w:rPr>
                <w:rFonts w:ascii="Times New Roman" w:hAnsi="Times New Roman" w:cs="Times New Roman"/>
              </w:rPr>
              <w:t>2.23* (1.21, 4.09)</w:t>
            </w:r>
          </w:p>
        </w:tc>
        <w:tc>
          <w:tcPr>
            <w:tcW w:w="3414" w:type="dxa"/>
            <w:vAlign w:val="center"/>
          </w:tcPr>
          <w:p w14:paraId="54698DE0" w14:textId="77777777" w:rsidR="00996C7A" w:rsidRDefault="0053393E" w:rsidP="00082AC8">
            <w:pPr>
              <w:rPr>
                <w:rFonts w:ascii="Times New Roman" w:hAnsi="Times New Roman" w:cs="Times New Roman"/>
              </w:rPr>
            </w:pPr>
            <w:r>
              <w:rPr>
                <w:rFonts w:ascii="Times New Roman" w:hAnsi="Times New Roman" w:cs="Times New Roman"/>
              </w:rPr>
              <w:t>2.13* (1.15, 3.93)</w:t>
            </w:r>
          </w:p>
        </w:tc>
        <w:tc>
          <w:tcPr>
            <w:tcW w:w="3414" w:type="dxa"/>
            <w:vAlign w:val="center"/>
          </w:tcPr>
          <w:p w14:paraId="7074B824" w14:textId="77777777" w:rsidR="00996C7A" w:rsidRDefault="0053393E" w:rsidP="00E54F0A">
            <w:pPr>
              <w:rPr>
                <w:rFonts w:ascii="Times New Roman" w:hAnsi="Times New Roman" w:cs="Times New Roman"/>
              </w:rPr>
            </w:pPr>
            <w:r>
              <w:rPr>
                <w:rFonts w:ascii="Times New Roman" w:hAnsi="Times New Roman" w:cs="Times New Roman"/>
              </w:rPr>
              <w:t>1.81 (0.97, 3.40)</w:t>
            </w:r>
          </w:p>
        </w:tc>
      </w:tr>
      <w:tr w:rsidR="00996C7A" w14:paraId="51533E7C" w14:textId="77777777" w:rsidTr="00F42BD8">
        <w:tc>
          <w:tcPr>
            <w:tcW w:w="3413" w:type="dxa"/>
            <w:vAlign w:val="center"/>
          </w:tcPr>
          <w:p w14:paraId="6BD91DF9" w14:textId="77777777" w:rsidR="00996C7A" w:rsidRDefault="00941632" w:rsidP="00082AC8">
            <w:pPr>
              <w:rPr>
                <w:rFonts w:ascii="Times New Roman" w:hAnsi="Times New Roman" w:cs="Times New Roman"/>
              </w:rPr>
            </w:pPr>
            <w:r>
              <w:rPr>
                <w:rFonts w:ascii="Times New Roman" w:hAnsi="Times New Roman" w:cs="Times New Roman"/>
              </w:rPr>
              <w:t>Cruising locations</w:t>
            </w:r>
          </w:p>
        </w:tc>
        <w:tc>
          <w:tcPr>
            <w:tcW w:w="3413" w:type="dxa"/>
            <w:vAlign w:val="center"/>
          </w:tcPr>
          <w:p w14:paraId="035FBE9D" w14:textId="77777777" w:rsidR="00996C7A" w:rsidRDefault="0053393E" w:rsidP="00082AC8">
            <w:pPr>
              <w:rPr>
                <w:rFonts w:ascii="Times New Roman" w:hAnsi="Times New Roman" w:cs="Times New Roman"/>
              </w:rPr>
            </w:pPr>
            <w:r>
              <w:rPr>
                <w:rFonts w:ascii="Times New Roman" w:hAnsi="Times New Roman" w:cs="Times New Roman"/>
              </w:rPr>
              <w:t>1.21 (0.74, 1.97)</w:t>
            </w:r>
          </w:p>
        </w:tc>
        <w:tc>
          <w:tcPr>
            <w:tcW w:w="3414" w:type="dxa"/>
            <w:vAlign w:val="center"/>
          </w:tcPr>
          <w:p w14:paraId="0B2048E8" w14:textId="77777777" w:rsidR="00996C7A" w:rsidRDefault="0053393E" w:rsidP="00082AC8">
            <w:pPr>
              <w:rPr>
                <w:rFonts w:ascii="Times New Roman" w:hAnsi="Times New Roman" w:cs="Times New Roman"/>
              </w:rPr>
            </w:pPr>
            <w:r>
              <w:rPr>
                <w:rFonts w:ascii="Times New Roman" w:hAnsi="Times New Roman" w:cs="Times New Roman"/>
              </w:rPr>
              <w:t>1.03 (0.64, 1.65)</w:t>
            </w:r>
          </w:p>
        </w:tc>
        <w:tc>
          <w:tcPr>
            <w:tcW w:w="3414" w:type="dxa"/>
            <w:vAlign w:val="center"/>
          </w:tcPr>
          <w:p w14:paraId="7099A4C6" w14:textId="77777777" w:rsidR="00996C7A" w:rsidRDefault="0053393E" w:rsidP="00E54F0A">
            <w:pPr>
              <w:rPr>
                <w:rFonts w:ascii="Times New Roman" w:hAnsi="Times New Roman" w:cs="Times New Roman"/>
              </w:rPr>
            </w:pPr>
            <w:r>
              <w:rPr>
                <w:rFonts w:ascii="Times New Roman" w:hAnsi="Times New Roman" w:cs="Times New Roman"/>
              </w:rPr>
              <w:t>1.18 (0.77, 1.81)</w:t>
            </w:r>
          </w:p>
        </w:tc>
      </w:tr>
      <w:tr w:rsidR="00996C7A" w14:paraId="5333A00E" w14:textId="77777777" w:rsidTr="00F42BD8">
        <w:tc>
          <w:tcPr>
            <w:tcW w:w="3413" w:type="dxa"/>
            <w:vAlign w:val="center"/>
          </w:tcPr>
          <w:p w14:paraId="0190ECF3" w14:textId="77777777" w:rsidR="00996C7A" w:rsidRDefault="00941632" w:rsidP="00082AC8">
            <w:pPr>
              <w:rPr>
                <w:rFonts w:ascii="Times New Roman" w:hAnsi="Times New Roman" w:cs="Times New Roman"/>
              </w:rPr>
            </w:pPr>
            <w:r>
              <w:rPr>
                <w:rFonts w:ascii="Times New Roman" w:hAnsi="Times New Roman" w:cs="Times New Roman"/>
              </w:rPr>
              <w:t>Cruising locations X drug use</w:t>
            </w:r>
          </w:p>
        </w:tc>
        <w:tc>
          <w:tcPr>
            <w:tcW w:w="3413" w:type="dxa"/>
            <w:vAlign w:val="center"/>
          </w:tcPr>
          <w:p w14:paraId="2FDEC7D9" w14:textId="77777777" w:rsidR="00996C7A" w:rsidRDefault="0053393E" w:rsidP="00082AC8">
            <w:pPr>
              <w:rPr>
                <w:rFonts w:ascii="Times New Roman" w:hAnsi="Times New Roman" w:cs="Times New Roman"/>
              </w:rPr>
            </w:pPr>
            <w:r>
              <w:rPr>
                <w:rFonts w:ascii="Times New Roman" w:hAnsi="Times New Roman" w:cs="Times New Roman"/>
              </w:rPr>
              <w:t>0.73 (0.30, 1.75)</w:t>
            </w:r>
          </w:p>
        </w:tc>
        <w:tc>
          <w:tcPr>
            <w:tcW w:w="3414" w:type="dxa"/>
            <w:vAlign w:val="center"/>
          </w:tcPr>
          <w:p w14:paraId="10A591B3" w14:textId="77777777" w:rsidR="00996C7A" w:rsidRDefault="0053393E" w:rsidP="00082AC8">
            <w:pPr>
              <w:rPr>
                <w:rFonts w:ascii="Times New Roman" w:hAnsi="Times New Roman" w:cs="Times New Roman"/>
              </w:rPr>
            </w:pPr>
            <w:r>
              <w:rPr>
                <w:rFonts w:ascii="Times New Roman" w:hAnsi="Times New Roman" w:cs="Times New Roman"/>
              </w:rPr>
              <w:t>1.44 (0.55, 3.78)</w:t>
            </w:r>
          </w:p>
        </w:tc>
        <w:tc>
          <w:tcPr>
            <w:tcW w:w="3414" w:type="dxa"/>
            <w:vAlign w:val="center"/>
          </w:tcPr>
          <w:p w14:paraId="3AD3320B" w14:textId="77777777" w:rsidR="00996C7A" w:rsidRDefault="0053393E" w:rsidP="00E54F0A">
            <w:pPr>
              <w:rPr>
                <w:rFonts w:ascii="Times New Roman" w:hAnsi="Times New Roman" w:cs="Times New Roman"/>
              </w:rPr>
            </w:pPr>
            <w:r>
              <w:rPr>
                <w:rFonts w:ascii="Times New Roman" w:hAnsi="Times New Roman" w:cs="Times New Roman"/>
              </w:rPr>
              <w:t>0.64 (0.17, 2.43)</w:t>
            </w:r>
          </w:p>
        </w:tc>
      </w:tr>
      <w:tr w:rsidR="0053393E" w14:paraId="23D5F247" w14:textId="77777777" w:rsidTr="00F42BD8">
        <w:tc>
          <w:tcPr>
            <w:tcW w:w="3413" w:type="dxa"/>
            <w:vAlign w:val="center"/>
          </w:tcPr>
          <w:p w14:paraId="7E902953" w14:textId="77777777" w:rsidR="0053393E" w:rsidRDefault="0053393E" w:rsidP="00082AC8">
            <w:pPr>
              <w:rPr>
                <w:rFonts w:ascii="Times New Roman" w:hAnsi="Times New Roman" w:cs="Times New Roman"/>
              </w:rPr>
            </w:pPr>
            <w:r w:rsidRPr="00CB0B3D">
              <w:rPr>
                <w:rFonts w:ascii="Times New Roman" w:eastAsia="Times New Roman" w:hAnsi="Times New Roman" w:cs="Times New Roman"/>
                <w:b/>
                <w:bCs/>
              </w:rPr>
              <w:t>Wald test (χ</w:t>
            </w:r>
            <w:r w:rsidRPr="00CB0B3D">
              <w:rPr>
                <w:rFonts w:ascii="Times New Roman" w:eastAsia="Times New Roman" w:hAnsi="Times New Roman" w:cs="Times New Roman"/>
                <w:b/>
                <w:bCs/>
                <w:vertAlign w:val="superscript"/>
              </w:rPr>
              <w:t>2</w:t>
            </w:r>
            <w:r w:rsidRPr="00CB0B3D">
              <w:rPr>
                <w:rFonts w:ascii="Times New Roman" w:eastAsia="Times New Roman" w:hAnsi="Times New Roman" w:cs="Times New Roman"/>
                <w:b/>
                <w:bCs/>
              </w:rPr>
              <w:t xml:space="preserve">, </w:t>
            </w:r>
            <w:proofErr w:type="spellStart"/>
            <w:r w:rsidRPr="00CB0B3D">
              <w:rPr>
                <w:rFonts w:ascii="Times New Roman" w:eastAsia="Times New Roman" w:hAnsi="Times New Roman" w:cs="Times New Roman"/>
                <w:b/>
                <w:bCs/>
              </w:rPr>
              <w:t>df</w:t>
            </w:r>
            <w:proofErr w:type="spellEnd"/>
            <w:r w:rsidRPr="00CB0B3D">
              <w:rPr>
                <w:rFonts w:ascii="Times New Roman" w:eastAsia="Times New Roman" w:hAnsi="Times New Roman" w:cs="Times New Roman"/>
                <w:b/>
                <w:bCs/>
              </w:rPr>
              <w:t xml:space="preserve">, </w:t>
            </w:r>
            <w:r w:rsidRPr="00CB0B3D">
              <w:rPr>
                <w:rFonts w:ascii="Times New Roman" w:eastAsia="Times New Roman" w:hAnsi="Times New Roman" w:cs="Times New Roman"/>
                <w:b/>
                <w:bCs/>
                <w:i/>
                <w:iCs/>
              </w:rPr>
              <w:t>p</w:t>
            </w:r>
            <w:r w:rsidRPr="00CB0B3D">
              <w:rPr>
                <w:rFonts w:ascii="Times New Roman" w:eastAsia="Times New Roman" w:hAnsi="Times New Roman" w:cs="Times New Roman"/>
                <w:b/>
                <w:bCs/>
              </w:rPr>
              <w:t>-value)</w:t>
            </w:r>
          </w:p>
        </w:tc>
        <w:tc>
          <w:tcPr>
            <w:tcW w:w="3413" w:type="dxa"/>
            <w:vAlign w:val="center"/>
          </w:tcPr>
          <w:p w14:paraId="7B8E5919" w14:textId="77777777" w:rsidR="0053393E" w:rsidRDefault="007F03FF" w:rsidP="00082AC8">
            <w:pPr>
              <w:rPr>
                <w:rFonts w:ascii="Times New Roman" w:hAnsi="Times New Roman" w:cs="Times New Roman"/>
              </w:rPr>
            </w:pPr>
            <w:r>
              <w:rPr>
                <w:rFonts w:ascii="Times New Roman" w:hAnsi="Times New Roman" w:cs="Times New Roman"/>
              </w:rPr>
              <w:t>33.52, 5, &lt;0.0001</w:t>
            </w:r>
          </w:p>
        </w:tc>
        <w:tc>
          <w:tcPr>
            <w:tcW w:w="3414" w:type="dxa"/>
            <w:vAlign w:val="center"/>
          </w:tcPr>
          <w:p w14:paraId="1EFD0F57" w14:textId="77777777" w:rsidR="0053393E" w:rsidRDefault="0053393E" w:rsidP="00082AC8">
            <w:pPr>
              <w:rPr>
                <w:rFonts w:ascii="Times New Roman" w:hAnsi="Times New Roman" w:cs="Times New Roman"/>
              </w:rPr>
            </w:pPr>
            <w:r>
              <w:rPr>
                <w:rFonts w:ascii="Times New Roman" w:hAnsi="Times New Roman" w:cs="Times New Roman"/>
              </w:rPr>
              <w:t>78.60, 10, &lt;0.0001</w:t>
            </w:r>
          </w:p>
        </w:tc>
        <w:tc>
          <w:tcPr>
            <w:tcW w:w="3414" w:type="dxa"/>
            <w:vAlign w:val="center"/>
          </w:tcPr>
          <w:p w14:paraId="6D424ECD" w14:textId="77777777" w:rsidR="0053393E" w:rsidRDefault="0053393E" w:rsidP="00E54F0A">
            <w:pPr>
              <w:rPr>
                <w:rFonts w:ascii="Times New Roman" w:hAnsi="Times New Roman" w:cs="Times New Roman"/>
              </w:rPr>
            </w:pPr>
            <w:r>
              <w:rPr>
                <w:rFonts w:ascii="Times New Roman" w:hAnsi="Times New Roman" w:cs="Times New Roman"/>
              </w:rPr>
              <w:t>77.54, 10, &lt;0.0001</w:t>
            </w:r>
          </w:p>
        </w:tc>
      </w:tr>
    </w:tbl>
    <w:p w14:paraId="61BC6588" w14:textId="77777777" w:rsidR="00CA6241" w:rsidRDefault="002E5B7E" w:rsidP="00F42BD8">
      <w:pPr>
        <w:rPr>
          <w:rFonts w:ascii="Times New Roman" w:hAnsi="Times New Roman" w:cs="Times New Roman"/>
        </w:rPr>
      </w:pPr>
      <w:r w:rsidRPr="00CE3734">
        <w:rPr>
          <w:rFonts w:ascii="Times New Roman" w:hAnsi="Times New Roman" w:cs="Times New Roman"/>
        </w:rPr>
        <w:t>*</w:t>
      </w:r>
      <w:r w:rsidRPr="00CE3734">
        <w:rPr>
          <w:rFonts w:ascii="Times New Roman" w:hAnsi="Times New Roman" w:cs="Times New Roman"/>
          <w:i/>
        </w:rPr>
        <w:t>p</w:t>
      </w:r>
      <w:r w:rsidRPr="00CE3734">
        <w:rPr>
          <w:rFonts w:ascii="Times New Roman" w:hAnsi="Times New Roman" w:cs="Times New Roman"/>
        </w:rPr>
        <w:t>&lt;0.05, **</w:t>
      </w:r>
      <w:r w:rsidRPr="00CE3734">
        <w:rPr>
          <w:rFonts w:ascii="Times New Roman" w:hAnsi="Times New Roman" w:cs="Times New Roman"/>
          <w:i/>
        </w:rPr>
        <w:t>p</w:t>
      </w:r>
      <w:r w:rsidRPr="00CE3734">
        <w:rPr>
          <w:rFonts w:ascii="Times New Roman" w:hAnsi="Times New Roman" w:cs="Times New Roman"/>
        </w:rPr>
        <w:t>&lt;0.01, ***</w:t>
      </w:r>
      <w:r w:rsidRPr="00CE3734">
        <w:rPr>
          <w:rFonts w:ascii="Times New Roman" w:hAnsi="Times New Roman" w:cs="Times New Roman"/>
          <w:i/>
        </w:rPr>
        <w:t>p</w:t>
      </w:r>
      <w:r w:rsidRPr="00CE3734">
        <w:rPr>
          <w:rFonts w:ascii="Times New Roman" w:hAnsi="Times New Roman" w:cs="Times New Roman"/>
        </w:rPr>
        <w:t>&lt;0.001</w:t>
      </w:r>
    </w:p>
    <w:p w14:paraId="13900726" w14:textId="5A8A1401" w:rsidR="00CA6241" w:rsidRDefault="000D4F04" w:rsidP="00F42BD8">
      <w:pPr>
        <w:rPr>
          <w:rFonts w:ascii="Times New Roman" w:hAnsi="Times New Roman" w:cs="Times New Roman"/>
        </w:rPr>
      </w:pPr>
      <w:r w:rsidRPr="00F42BD8">
        <w:rPr>
          <w:rFonts w:ascii="Times New Roman" w:hAnsi="Times New Roman" w:cs="Times New Roman"/>
          <w:vertAlign w:val="superscript"/>
        </w:rPr>
        <w:t>a</w:t>
      </w:r>
      <w:r>
        <w:rPr>
          <w:rFonts w:ascii="Times New Roman" w:hAnsi="Times New Roman" w:cs="Times New Roman"/>
        </w:rPr>
        <w:t xml:space="preserve"> </w:t>
      </w:r>
      <w:r w:rsidR="00941632">
        <w:rPr>
          <w:rFonts w:ascii="Times New Roman" w:hAnsi="Times New Roman" w:cs="Times New Roman"/>
        </w:rPr>
        <w:t xml:space="preserve"> </w:t>
      </w:r>
      <w:r>
        <w:rPr>
          <w:rFonts w:ascii="Times New Roman" w:hAnsi="Times New Roman" w:cs="Times New Roman"/>
        </w:rPr>
        <w:t>B</w:t>
      </w:r>
      <w:r w:rsidR="00941632">
        <w:rPr>
          <w:rFonts w:ascii="Times New Roman" w:hAnsi="Times New Roman" w:cs="Times New Roman"/>
        </w:rPr>
        <w:t>ecause moderation models present ‘conditional’ estimates of regression coefficients, the strict interpretation of this coefficient is the increment in sexual risk associated with drug use in sexual encounters at home.</w:t>
      </w:r>
    </w:p>
    <w:p w14:paraId="176EF022" w14:textId="18CFAF5A" w:rsidR="009238AC" w:rsidRDefault="00941632" w:rsidP="00082AC8">
      <w:pPr>
        <w:spacing w:line="480" w:lineRule="auto"/>
        <w:rPr>
          <w:rFonts w:ascii="Times New Roman" w:hAnsi="Times New Roman" w:cs="Times New Roman"/>
        </w:rPr>
      </w:pPr>
      <w:proofErr w:type="gramStart"/>
      <w:r w:rsidRPr="00941632">
        <w:rPr>
          <w:rFonts w:ascii="Times New Roman" w:eastAsia="Times New Roman" w:hAnsi="Times New Roman" w:cs="Times New Roman"/>
          <w:b/>
          <w:bCs/>
          <w:vertAlign w:val="superscript"/>
        </w:rPr>
        <w:t>b</w:t>
      </w:r>
      <w:proofErr w:type="gramEnd"/>
      <w:r w:rsidR="000D4F04">
        <w:rPr>
          <w:rFonts w:ascii="Times New Roman" w:eastAsia="Times New Roman" w:hAnsi="Times New Roman" w:cs="Times New Roman"/>
          <w:b/>
          <w:bCs/>
          <w:vertAlign w:val="superscript"/>
        </w:rPr>
        <w:t xml:space="preserve"> </w:t>
      </w:r>
      <w:r w:rsidR="00A251D9" w:rsidRPr="00F42BD8">
        <w:rPr>
          <w:rFonts w:ascii="Times New Roman" w:eastAsia="Times New Roman" w:hAnsi="Times New Roman" w:cs="Times New Roman"/>
          <w:bCs/>
        </w:rPr>
        <w:t>These models included additional specific drug use variables.</w:t>
      </w:r>
    </w:p>
    <w:p w14:paraId="15FF0C17" w14:textId="77777777" w:rsidR="009141C7" w:rsidRDefault="009238AC" w:rsidP="00082AC8">
      <w:pPr>
        <w:spacing w:line="480" w:lineRule="auto"/>
        <w:rPr>
          <w:rFonts w:ascii="Times New Roman" w:hAnsi="Times New Roman" w:cs="Times New Roman"/>
        </w:rPr>
      </w:pPr>
      <w:r>
        <w:rPr>
          <w:rFonts w:ascii="Times New Roman" w:hAnsi="Times New Roman" w:cs="Times New Roman"/>
        </w:rPr>
        <w:lastRenderedPageBreak/>
        <w:tab/>
        <w:t>To facilitate interpretation of moderation effects, we calculated marginal probabilities of UAI under different location-drug use combinations</w:t>
      </w:r>
      <w:r w:rsidR="00515B98">
        <w:rPr>
          <w:rFonts w:ascii="Times New Roman" w:hAnsi="Times New Roman" w:cs="Times New Roman"/>
        </w:rPr>
        <w:t xml:space="preserve"> (see Figure 1; raw probabilities are included in Supplementary File 1).</w:t>
      </w:r>
      <w:r>
        <w:rPr>
          <w:rFonts w:ascii="Times New Roman" w:hAnsi="Times New Roman" w:cs="Times New Roman"/>
        </w:rPr>
        <w:t xml:space="preserve">  </w:t>
      </w:r>
      <w:r w:rsidRPr="00F91166">
        <w:rPr>
          <w:rFonts w:ascii="Times New Roman" w:hAnsi="Times New Roman" w:cs="Times New Roman"/>
        </w:rPr>
        <w:t>Predicted</w:t>
      </w:r>
      <w:r>
        <w:rPr>
          <w:rFonts w:ascii="Times New Roman" w:hAnsi="Times New Roman" w:cs="Times New Roman"/>
        </w:rPr>
        <w:t xml:space="preserve"> UAI probabilities </w:t>
      </w:r>
      <w:r w:rsidR="000D1C77">
        <w:rPr>
          <w:rFonts w:ascii="Times New Roman" w:hAnsi="Times New Roman" w:cs="Times New Roman"/>
        </w:rPr>
        <w:t>under any drug use</w:t>
      </w:r>
      <w:r>
        <w:rPr>
          <w:rFonts w:ascii="Times New Roman" w:hAnsi="Times New Roman" w:cs="Times New Roman"/>
        </w:rPr>
        <w:t xml:space="preserve"> showed that UAI probability under conditions of no drug use was 19% in homes, 9% in sex-on-premises venues and 22% in cruising locations.  Yet under conditions of drug use, UAI probability was 25% in both homes and sex-on-premises venues and 23% in cruising locations.</w:t>
      </w:r>
      <w:r w:rsidR="009141C7">
        <w:rPr>
          <w:rFonts w:ascii="Times New Roman" w:hAnsi="Times New Roman" w:cs="Times New Roman"/>
        </w:rPr>
        <w:t xml:space="preserve">  </w:t>
      </w:r>
      <w:r w:rsidR="00334365">
        <w:rPr>
          <w:rFonts w:ascii="Times New Roman" w:hAnsi="Times New Roman" w:cs="Times New Roman"/>
        </w:rPr>
        <w:t>Put otherwise</w:t>
      </w:r>
      <w:r w:rsidR="00F77782">
        <w:rPr>
          <w:rFonts w:ascii="Times New Roman" w:hAnsi="Times New Roman" w:cs="Times New Roman"/>
        </w:rPr>
        <w:t xml:space="preserve">, the increase in probability of UAI under drug use compared to no drug use </w:t>
      </w:r>
      <w:r w:rsidR="009141C7">
        <w:rPr>
          <w:rFonts w:ascii="Times New Roman" w:hAnsi="Times New Roman" w:cs="Times New Roman"/>
        </w:rPr>
        <w:t>was more than two and a half times higher in sex-on-premises venues as compared to home locations.</w:t>
      </w:r>
    </w:p>
    <w:p w14:paraId="5BCF8C99" w14:textId="7E2E3E34" w:rsidR="00334365" w:rsidRDefault="009141C7" w:rsidP="00082AC8">
      <w:pPr>
        <w:spacing w:line="480" w:lineRule="auto"/>
        <w:rPr>
          <w:rFonts w:ascii="Times New Roman" w:hAnsi="Times New Roman" w:cs="Times New Roman"/>
        </w:rPr>
      </w:pPr>
      <w:r>
        <w:rPr>
          <w:rFonts w:ascii="Times New Roman" w:hAnsi="Times New Roman" w:cs="Times New Roman"/>
        </w:rPr>
        <w:tab/>
        <w:t>Similar patterns were found for poppers use, where the difference in predicted UAI probabilities between drug use and no drug use in home encounters was 8% whereas this difference was 19% in sex-on-premises venues (see Supplementary File 1 for graphs).  There was no difference (i.e. 0%) between encounters with alcohol use and encounters without alcohol use at home, though this difference was 7% in sex-on-premises venues.</w:t>
      </w:r>
    </w:p>
    <w:p w14:paraId="4451C2E4" w14:textId="77777777" w:rsidR="00334365" w:rsidRPr="00F42BD8" w:rsidRDefault="00A251D9" w:rsidP="00082AC8">
      <w:pPr>
        <w:spacing w:line="480" w:lineRule="auto"/>
        <w:rPr>
          <w:rFonts w:ascii="Times New Roman" w:hAnsi="Times New Roman" w:cs="Times New Roman"/>
          <w:b/>
        </w:rPr>
      </w:pPr>
      <w:r w:rsidRPr="00F42BD8">
        <w:rPr>
          <w:rFonts w:ascii="Times New Roman" w:hAnsi="Times New Roman" w:cs="Times New Roman"/>
          <w:b/>
        </w:rPr>
        <w:t>DISCUSSION</w:t>
      </w:r>
    </w:p>
    <w:p w14:paraId="1EA961E0" w14:textId="7E825A12" w:rsidR="005F273E" w:rsidRDefault="00AA00B1" w:rsidP="00082AC8">
      <w:pPr>
        <w:spacing w:line="480" w:lineRule="auto"/>
        <w:rPr>
          <w:rFonts w:ascii="Times New Roman" w:hAnsi="Times New Roman" w:cs="Times New Roman"/>
        </w:rPr>
      </w:pPr>
      <w:r>
        <w:rPr>
          <w:rFonts w:ascii="Times New Roman" w:hAnsi="Times New Roman" w:cs="Times New Roman"/>
        </w:rPr>
        <w:tab/>
        <w:t xml:space="preserve">This analysis presents new evidence of </w:t>
      </w:r>
      <w:r w:rsidR="0047178E">
        <w:rPr>
          <w:rFonts w:ascii="Times New Roman" w:hAnsi="Times New Roman" w:cs="Times New Roman"/>
        </w:rPr>
        <w:t xml:space="preserve">encounter-level </w:t>
      </w:r>
      <w:r w:rsidR="009141C7">
        <w:rPr>
          <w:rFonts w:ascii="Times New Roman" w:hAnsi="Times New Roman" w:cs="Times New Roman"/>
        </w:rPr>
        <w:t xml:space="preserve">associations between drug use and sexual risk and between location of sex and sexual risk for </w:t>
      </w:r>
      <w:r w:rsidR="00B70A21">
        <w:rPr>
          <w:rFonts w:ascii="Times New Roman" w:hAnsi="Times New Roman" w:cs="Times New Roman"/>
        </w:rPr>
        <w:t xml:space="preserve">a </w:t>
      </w:r>
      <w:r w:rsidR="009141C7">
        <w:rPr>
          <w:rFonts w:ascii="Times New Roman" w:hAnsi="Times New Roman" w:cs="Times New Roman"/>
        </w:rPr>
        <w:t>population</w:t>
      </w:r>
      <w:r w:rsidR="0047178E">
        <w:rPr>
          <w:rFonts w:ascii="Times New Roman" w:hAnsi="Times New Roman" w:cs="Times New Roman"/>
        </w:rPr>
        <w:t xml:space="preserve"> in which encounter-level sexual risk is poorly understood</w:t>
      </w:r>
      <w:r w:rsidR="009141C7">
        <w:rPr>
          <w:rFonts w:ascii="Times New Roman" w:hAnsi="Times New Roman" w:cs="Times New Roman"/>
        </w:rPr>
        <w:t xml:space="preserve">, namely MSM living in England.  This analysis also presents new evidence of </w:t>
      </w:r>
      <w:r w:rsidR="00150C14">
        <w:rPr>
          <w:rFonts w:ascii="Times New Roman" w:hAnsi="Times New Roman" w:cs="Times New Roman"/>
        </w:rPr>
        <w:t>moderation</w:t>
      </w:r>
      <w:r>
        <w:rPr>
          <w:rFonts w:ascii="Times New Roman" w:hAnsi="Times New Roman" w:cs="Times New Roman"/>
        </w:rPr>
        <w:t xml:space="preserve"> between </w:t>
      </w:r>
      <w:r w:rsidR="0076208F">
        <w:rPr>
          <w:rFonts w:ascii="Times New Roman" w:hAnsi="Times New Roman" w:cs="Times New Roman"/>
        </w:rPr>
        <w:t>drug</w:t>
      </w:r>
      <w:r>
        <w:rPr>
          <w:rFonts w:ascii="Times New Roman" w:hAnsi="Times New Roman" w:cs="Times New Roman"/>
        </w:rPr>
        <w:t xml:space="preserve"> use and location of sex in</w:t>
      </w:r>
      <w:r w:rsidR="009D016E">
        <w:rPr>
          <w:rFonts w:ascii="Times New Roman" w:hAnsi="Times New Roman" w:cs="Times New Roman"/>
        </w:rPr>
        <w:t xml:space="preserve"> their</w:t>
      </w:r>
      <w:r>
        <w:rPr>
          <w:rFonts w:ascii="Times New Roman" w:hAnsi="Times New Roman" w:cs="Times New Roman"/>
        </w:rPr>
        <w:t xml:space="preserve"> associations with </w:t>
      </w:r>
      <w:r w:rsidR="009D016E">
        <w:rPr>
          <w:rFonts w:ascii="Times New Roman" w:hAnsi="Times New Roman" w:cs="Times New Roman"/>
        </w:rPr>
        <w:t xml:space="preserve">UAI during </w:t>
      </w:r>
      <w:r w:rsidR="009D3D2E">
        <w:rPr>
          <w:rFonts w:ascii="Times New Roman" w:hAnsi="Times New Roman" w:cs="Times New Roman"/>
        </w:rPr>
        <w:t>sex between men</w:t>
      </w:r>
      <w:r w:rsidR="009141C7">
        <w:rPr>
          <w:rFonts w:ascii="Times New Roman" w:hAnsi="Times New Roman" w:cs="Times New Roman"/>
        </w:rPr>
        <w:t>.  S</w:t>
      </w:r>
      <w:r w:rsidR="00FB0206">
        <w:rPr>
          <w:rFonts w:ascii="Times New Roman" w:hAnsi="Times New Roman" w:cs="Times New Roman"/>
        </w:rPr>
        <w:t>pecifically, th</w:t>
      </w:r>
      <w:r w:rsidR="009141C7">
        <w:rPr>
          <w:rFonts w:ascii="Times New Roman" w:hAnsi="Times New Roman" w:cs="Times New Roman"/>
        </w:rPr>
        <w:t xml:space="preserve">is analysis </w:t>
      </w:r>
      <w:r w:rsidR="0047178E">
        <w:rPr>
          <w:rFonts w:ascii="Times New Roman" w:hAnsi="Times New Roman" w:cs="Times New Roman"/>
        </w:rPr>
        <w:t>finds that</w:t>
      </w:r>
      <w:r w:rsidR="00FB0206">
        <w:rPr>
          <w:rFonts w:ascii="Times New Roman" w:hAnsi="Times New Roman" w:cs="Times New Roman"/>
        </w:rPr>
        <w:t xml:space="preserve"> </w:t>
      </w:r>
      <w:r w:rsidR="003C0798">
        <w:rPr>
          <w:rFonts w:ascii="Times New Roman" w:hAnsi="Times New Roman" w:cs="Times New Roman"/>
        </w:rPr>
        <w:t xml:space="preserve">any drug use, poppers use, </w:t>
      </w:r>
      <w:proofErr w:type="spellStart"/>
      <w:r w:rsidR="003C0798">
        <w:rPr>
          <w:rFonts w:ascii="Times New Roman" w:hAnsi="Times New Roman" w:cs="Times New Roman"/>
        </w:rPr>
        <w:t>chemsex</w:t>
      </w:r>
      <w:proofErr w:type="spellEnd"/>
      <w:r w:rsidR="003C0798">
        <w:rPr>
          <w:rFonts w:ascii="Times New Roman" w:hAnsi="Times New Roman" w:cs="Times New Roman"/>
        </w:rPr>
        <w:t xml:space="preserve"> drug use and uppers use are associated with increased sexual risk.  Moreover, </w:t>
      </w:r>
      <w:r w:rsidR="00FB0206">
        <w:rPr>
          <w:rFonts w:ascii="Times New Roman" w:hAnsi="Times New Roman" w:cs="Times New Roman"/>
        </w:rPr>
        <w:t xml:space="preserve">relative to encounters </w:t>
      </w:r>
      <w:r w:rsidR="000D4F04">
        <w:rPr>
          <w:rFonts w:ascii="Times New Roman" w:hAnsi="Times New Roman" w:cs="Times New Roman"/>
        </w:rPr>
        <w:t xml:space="preserve">with new partners </w:t>
      </w:r>
      <w:r w:rsidR="00FB0206">
        <w:rPr>
          <w:rFonts w:ascii="Times New Roman" w:hAnsi="Times New Roman" w:cs="Times New Roman"/>
        </w:rPr>
        <w:t xml:space="preserve">in </w:t>
      </w:r>
      <w:r w:rsidR="00A62EDE">
        <w:rPr>
          <w:rFonts w:ascii="Times New Roman" w:hAnsi="Times New Roman" w:cs="Times New Roman"/>
        </w:rPr>
        <w:t>homes</w:t>
      </w:r>
      <w:r w:rsidR="00FB0206">
        <w:rPr>
          <w:rFonts w:ascii="Times New Roman" w:hAnsi="Times New Roman" w:cs="Times New Roman"/>
        </w:rPr>
        <w:t xml:space="preserve">, encounters </w:t>
      </w:r>
      <w:r w:rsidR="000D4F04">
        <w:rPr>
          <w:rFonts w:ascii="Times New Roman" w:hAnsi="Times New Roman" w:cs="Times New Roman"/>
        </w:rPr>
        <w:t xml:space="preserve">with new partners </w:t>
      </w:r>
      <w:r w:rsidR="00FB0206">
        <w:rPr>
          <w:rFonts w:ascii="Times New Roman" w:hAnsi="Times New Roman" w:cs="Times New Roman"/>
        </w:rPr>
        <w:t xml:space="preserve">in </w:t>
      </w:r>
      <w:r w:rsidR="009D3D2E">
        <w:rPr>
          <w:rFonts w:ascii="Times New Roman" w:hAnsi="Times New Roman" w:cs="Times New Roman"/>
        </w:rPr>
        <w:t>sex-on-premises venue</w:t>
      </w:r>
      <w:r w:rsidR="00FB0206">
        <w:rPr>
          <w:rFonts w:ascii="Times New Roman" w:hAnsi="Times New Roman" w:cs="Times New Roman"/>
        </w:rPr>
        <w:t xml:space="preserve">s are </w:t>
      </w:r>
      <w:r w:rsidR="00FB0206">
        <w:rPr>
          <w:rFonts w:ascii="Times New Roman" w:hAnsi="Times New Roman" w:cs="Times New Roman"/>
        </w:rPr>
        <w:lastRenderedPageBreak/>
        <w:t>associated with decreased odds of UAI</w:t>
      </w:r>
      <w:r w:rsidR="003C0798">
        <w:rPr>
          <w:rFonts w:ascii="Times New Roman" w:hAnsi="Times New Roman" w:cs="Times New Roman"/>
        </w:rPr>
        <w:t>.  In moderation models, any drug use was associated with increases in sexual risk in both home venues and sex-on-premises venues, though drug use was associated with a greater increase in sexual risk in sex-on-premises venues.</w:t>
      </w:r>
    </w:p>
    <w:p w14:paraId="631C84D9" w14:textId="74E8E63F" w:rsidR="00AA00B1" w:rsidRDefault="005F273E" w:rsidP="00E54F0A">
      <w:pPr>
        <w:spacing w:line="480" w:lineRule="auto"/>
        <w:rPr>
          <w:rFonts w:ascii="Times New Roman" w:hAnsi="Times New Roman" w:cs="Times New Roman"/>
        </w:rPr>
      </w:pPr>
      <w:r>
        <w:rPr>
          <w:rFonts w:ascii="Times New Roman" w:hAnsi="Times New Roman" w:cs="Times New Roman"/>
        </w:rPr>
        <w:tab/>
      </w:r>
      <w:r w:rsidR="00AA00B1">
        <w:rPr>
          <w:rFonts w:ascii="Times New Roman" w:hAnsi="Times New Roman" w:cs="Times New Roman"/>
        </w:rPr>
        <w:t>Strengths of this study i</w:t>
      </w:r>
      <w:r w:rsidR="0098708A">
        <w:rPr>
          <w:rFonts w:ascii="Times New Roman" w:hAnsi="Times New Roman" w:cs="Times New Roman"/>
        </w:rPr>
        <w:t>nclude a large sample of MSM</w:t>
      </w:r>
      <w:r w:rsidR="005340E3">
        <w:rPr>
          <w:rFonts w:ascii="Times New Roman" w:hAnsi="Times New Roman" w:cs="Times New Roman"/>
        </w:rPr>
        <w:t xml:space="preserve"> and</w:t>
      </w:r>
      <w:r w:rsidR="00AA00B1">
        <w:rPr>
          <w:rFonts w:ascii="Times New Roman" w:hAnsi="Times New Roman" w:cs="Times New Roman"/>
        </w:rPr>
        <w:t xml:space="preserve"> the use of a robust analytic method</w:t>
      </w:r>
      <w:r w:rsidR="0098708A">
        <w:rPr>
          <w:rFonts w:ascii="Times New Roman" w:hAnsi="Times New Roman" w:cs="Times New Roman"/>
        </w:rPr>
        <w:t>.  A</w:t>
      </w:r>
      <w:r w:rsidR="00AA00B1">
        <w:rPr>
          <w:rFonts w:ascii="Times New Roman" w:hAnsi="Times New Roman" w:cs="Times New Roman"/>
        </w:rPr>
        <w:t xml:space="preserve"> key limitation was the use of a non-probability sample.  Co</w:t>
      </w:r>
      <w:r w:rsidR="000D4F04">
        <w:rPr>
          <w:rFonts w:ascii="Times New Roman" w:hAnsi="Times New Roman" w:cs="Times New Roman"/>
        </w:rPr>
        <w:t xml:space="preserve">nvenience </w:t>
      </w:r>
      <w:r w:rsidR="00AA00B1">
        <w:rPr>
          <w:rFonts w:ascii="Times New Roman" w:hAnsi="Times New Roman" w:cs="Times New Roman"/>
        </w:rPr>
        <w:t xml:space="preserve">samples report higher risk-taking than probability samples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"DOI" : "10.1136/sti.2005.015248", "ISSN" : "1368-4973", "PMID" : "16461615", "abstract" : "We compared characteristics of men who have sex with men (MSM) in a probability sample survey with a community based study in London. The majority of men in both surveys reported male sex partner(s) in the last year but MSM recruited through the population based survey had lower levels of HIV risk behaviour, reported fewer sexually transmitted infections and HIV testing than those recruited from gay venues. Community samples are likely to overestimate levels of risk behaviour among all MSM.", "author" : [ { "dropping-particle" : "", "family" : "Dodds", "given" : "J P", "non-dropping-particle" : "", "parse-names" : false, "suffix" : "" }, { "dropping-particle" : "", "family" : "Mercer", "given" : "C H", "non-dropping-particle" : "", "parse-names" : false, "suffix" : "" }, { "dropping-particle" : "", "family" : "Mercey", "given" : "D E", "non-dropping-particle" : "", "parse-names" : false, "suffix" : "" }, { "dropping-particle" : "", "family" : "Copas", "given" : "A J", "non-dropping-particle" : "", "parse-names" : false, "suffix" : "" }, { "dropping-particle" : "", "family" : "Johnson", "given" : "A M", "non-dropping-particle" : "", "parse-names" : false, "suffix" : "" } ], "container-title" : "Sexually transmitted infections", "id" : "ITEM-1", "issue" : "1", "issued" : { "date-parts" : [ [ "2006", "2" ] ] }, "page" : "86-7", "title" : "Men who have sex with men: a comparison of a probability sample survey and a community based study.", "type" : "article-journal", "volume" : "82" }, "uris" : [ "http://www.mendeley.com/documents/?uuid=61ee55db-5925-4c7c-a3c3-5c2c47559b99" ] } ], "mendeley" : { "formattedCitation" : "[15]", "plainTextFormattedCitation" : "[15]", "previouslyFormattedCitation" : "[14]" }, "properties" : { "noteIndex" : 0 }, "schema" : "https://github.com/citation-style-language/schema/raw/master/csl-citation.json" }</w:instrText>
      </w:r>
      <w:r w:rsidR="00A251D9">
        <w:rPr>
          <w:rFonts w:ascii="Times New Roman" w:hAnsi="Times New Roman" w:cs="Times New Roman"/>
        </w:rPr>
        <w:fldChar w:fldCharType="separate"/>
      </w:r>
      <w:r w:rsidR="00953B6A" w:rsidRPr="00953B6A">
        <w:rPr>
          <w:rFonts w:ascii="Times New Roman" w:hAnsi="Times New Roman" w:cs="Times New Roman"/>
          <w:noProof/>
        </w:rPr>
        <w:t>[15]</w:t>
      </w:r>
      <w:r w:rsidR="00A251D9">
        <w:rPr>
          <w:rFonts w:ascii="Times New Roman" w:hAnsi="Times New Roman" w:cs="Times New Roman"/>
        </w:rPr>
        <w:fldChar w:fldCharType="end"/>
      </w:r>
      <w:r w:rsidR="00AA00B1">
        <w:rPr>
          <w:rFonts w:ascii="Times New Roman" w:hAnsi="Times New Roman" w:cs="Times New Roman"/>
        </w:rPr>
        <w:t xml:space="preserve">. </w:t>
      </w:r>
      <w:r w:rsidR="000D1C77">
        <w:rPr>
          <w:rFonts w:ascii="Times New Roman" w:hAnsi="Times New Roman" w:cs="Times New Roman"/>
        </w:rPr>
        <w:t xml:space="preserve"> </w:t>
      </w:r>
      <w:r w:rsidR="00263CA3">
        <w:rPr>
          <w:rFonts w:ascii="Times New Roman" w:hAnsi="Times New Roman" w:cs="Times New Roman"/>
        </w:rPr>
        <w:t xml:space="preserve">Capturing the last encounter with a new partner may also not form a representative sample of dyadic encounters, particularly if the last encounter was preceded by several other encounters in a short time, as may be the case in </w:t>
      </w:r>
      <w:r w:rsidR="009D3D2E">
        <w:rPr>
          <w:rFonts w:ascii="Times New Roman" w:hAnsi="Times New Roman" w:cs="Times New Roman"/>
        </w:rPr>
        <w:t>sex-on-premises venue</w:t>
      </w:r>
      <w:r w:rsidR="00263CA3">
        <w:rPr>
          <w:rFonts w:ascii="Times New Roman" w:hAnsi="Times New Roman" w:cs="Times New Roman"/>
        </w:rPr>
        <w:t>s.</w:t>
      </w:r>
      <w:r w:rsidR="006418C0" w:rsidRPr="006418C0">
        <w:rPr>
          <w:rFonts w:ascii="Times New Roman" w:hAnsi="Times New Roman" w:cs="Times New Roman"/>
        </w:rPr>
        <w:t xml:space="preserve"> </w:t>
      </w:r>
      <w:r w:rsidR="006418C0">
        <w:rPr>
          <w:rFonts w:ascii="Times New Roman" w:hAnsi="Times New Roman" w:cs="Times New Roman"/>
        </w:rPr>
        <w:t xml:space="preserve"> Restriction of this analysis to dyadic new partner encounters was a strength, as it reduced confounding based on sexual history with number</w:t>
      </w:r>
      <w:r w:rsidR="00AA7130">
        <w:rPr>
          <w:rFonts w:ascii="Times New Roman" w:hAnsi="Times New Roman" w:cs="Times New Roman"/>
        </w:rPr>
        <w:t>s</w:t>
      </w:r>
      <w:r w:rsidR="006418C0">
        <w:rPr>
          <w:rFonts w:ascii="Times New Roman" w:hAnsi="Times New Roman" w:cs="Times New Roman"/>
        </w:rPr>
        <w:t xml:space="preserve"> of partners.  However, this does mean that the results </w:t>
      </w:r>
      <w:r w:rsidR="00F8150B">
        <w:rPr>
          <w:rFonts w:ascii="Times New Roman" w:hAnsi="Times New Roman" w:cs="Times New Roman"/>
        </w:rPr>
        <w:t xml:space="preserve">presented here are not </w:t>
      </w:r>
      <w:proofErr w:type="spellStart"/>
      <w:r w:rsidR="00F8150B">
        <w:rPr>
          <w:rFonts w:ascii="Times New Roman" w:hAnsi="Times New Roman" w:cs="Times New Roman"/>
        </w:rPr>
        <w:t>generalis</w:t>
      </w:r>
      <w:r w:rsidR="006418C0">
        <w:rPr>
          <w:rFonts w:ascii="Times New Roman" w:hAnsi="Times New Roman" w:cs="Times New Roman"/>
        </w:rPr>
        <w:t>able</w:t>
      </w:r>
      <w:proofErr w:type="spellEnd"/>
      <w:r w:rsidR="006418C0">
        <w:rPr>
          <w:rFonts w:ascii="Times New Roman" w:hAnsi="Times New Roman" w:cs="Times New Roman"/>
        </w:rPr>
        <w:t xml:space="preserve"> to </w:t>
      </w:r>
      <w:proofErr w:type="spellStart"/>
      <w:r w:rsidR="006418C0">
        <w:rPr>
          <w:rFonts w:ascii="Times New Roman" w:hAnsi="Times New Roman" w:cs="Times New Roman"/>
        </w:rPr>
        <w:t>multipartner</w:t>
      </w:r>
      <w:proofErr w:type="spellEnd"/>
      <w:r w:rsidR="006418C0">
        <w:rPr>
          <w:rFonts w:ascii="Times New Roman" w:hAnsi="Times New Roman" w:cs="Times New Roman"/>
        </w:rPr>
        <w:t xml:space="preserve"> encounters, the frequency of which represents an important characteristic of </w:t>
      </w:r>
      <w:r w:rsidR="009D3D2E">
        <w:rPr>
          <w:rFonts w:ascii="Times New Roman" w:hAnsi="Times New Roman" w:cs="Times New Roman"/>
        </w:rPr>
        <w:t>sex-on-premises venue</w:t>
      </w:r>
      <w:r w:rsidR="006418C0">
        <w:rPr>
          <w:rFonts w:ascii="Times New Roman" w:hAnsi="Times New Roman" w:cs="Times New Roman"/>
        </w:rPr>
        <w:t>s.</w:t>
      </w:r>
      <w:r w:rsidR="0047178E">
        <w:rPr>
          <w:rFonts w:ascii="Times New Roman" w:hAnsi="Times New Roman" w:cs="Times New Roman"/>
        </w:rPr>
        <w:t xml:space="preserve">  Additional limitations of this analysis include a relatively small number of encounters in cruising locations, which limits our ability to understand moderation of sexual risk in encounters in these locations.  We were also unable to explore moderation of associations between location of sex and sexual risk by other classes of drugs, including </w:t>
      </w:r>
      <w:r w:rsidR="00A205A8">
        <w:rPr>
          <w:rFonts w:ascii="Times New Roman" w:hAnsi="Times New Roman" w:cs="Times New Roman"/>
        </w:rPr>
        <w:t xml:space="preserve">drugs associated with </w:t>
      </w:r>
      <w:proofErr w:type="spellStart"/>
      <w:r w:rsidR="0047178E">
        <w:rPr>
          <w:rFonts w:ascii="Times New Roman" w:hAnsi="Times New Roman" w:cs="Times New Roman"/>
        </w:rPr>
        <w:t>chemsex</w:t>
      </w:r>
      <w:proofErr w:type="spellEnd"/>
      <w:r w:rsidR="0047178E">
        <w:rPr>
          <w:rFonts w:ascii="Times New Roman" w:hAnsi="Times New Roman" w:cs="Times New Roman"/>
        </w:rPr>
        <w:t xml:space="preserve">.  Though poppers and alcohol are key drugs of interest because of the frequency of their use, drugs </w:t>
      </w:r>
      <w:r w:rsidR="00A205A8">
        <w:rPr>
          <w:rFonts w:ascii="Times New Roman" w:hAnsi="Times New Roman" w:cs="Times New Roman"/>
        </w:rPr>
        <w:t>associated with</w:t>
      </w:r>
      <w:r w:rsidR="0047178E">
        <w:rPr>
          <w:rFonts w:ascii="Times New Roman" w:hAnsi="Times New Roman" w:cs="Times New Roman"/>
        </w:rPr>
        <w:t xml:space="preserve"> </w:t>
      </w:r>
      <w:proofErr w:type="spellStart"/>
      <w:r w:rsidR="0047178E">
        <w:rPr>
          <w:rFonts w:ascii="Times New Roman" w:hAnsi="Times New Roman" w:cs="Times New Roman"/>
        </w:rPr>
        <w:t>chemsex</w:t>
      </w:r>
      <w:proofErr w:type="spellEnd"/>
      <w:r w:rsidR="0047178E">
        <w:rPr>
          <w:rFonts w:ascii="Times New Roman" w:hAnsi="Times New Roman" w:cs="Times New Roman"/>
        </w:rPr>
        <w:t xml:space="preserve"> continue to rise in public health importance in </w:t>
      </w:r>
      <w:r w:rsidR="00D635C1">
        <w:rPr>
          <w:rFonts w:ascii="Times New Roman" w:hAnsi="Times New Roman" w:cs="Times New Roman"/>
        </w:rPr>
        <w:t xml:space="preserve">urban areas of </w:t>
      </w:r>
      <w:r w:rsidR="0047178E">
        <w:rPr>
          <w:rFonts w:ascii="Times New Roman" w:hAnsi="Times New Roman" w:cs="Times New Roman"/>
        </w:rPr>
        <w:t xml:space="preserve">the United Kingdom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"DOI" : "10.1016/S0140-6736(13)60032-X", "ISSN" : "01406736", "author" : [ { "dropping-particle" : "", "family" : "Kirby", "given" : "Tony", "non-dropping-particle" : "", "parse-names" : false, "suffix" : "" }, { "dropping-particle" : "", "family" : "Thornber-Dunwell", "given" : "Michelle", "non-dropping-particle" : "", "parse-names" : false, "suffix" : "" } ], "container-title" : "The Lancet", "id" : "ITEM-1", "issued" : { "date-parts" : [ [ "2013", "1" ] ] }, "page" : "101-102", "publisher" : "Elsevier Ltd", "title" : "High-risk drug practices tighten grip on London gay scene", "type" : "article-journal", "volume" : "381" }, "uris" : [ "http://www.mendeley.com/documents/?uuid=e0e7ce0c-507a-4d9a-80cc-2c4a8533f4a2" ] }, { "id" : "ITEM-2",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"ITEM-2",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"mendeley" : { "formattedCitation" : "[12,16]", "plainTextFormattedCitation" : "[12,16]", "previouslyFormattedCitation" : "[12,15]" }, "properties" : { "noteIndex" : 0 }, "schema" : "https://github.com/citation-style-language/schema/raw/master/csl-citation.json" }</w:instrText>
      </w:r>
      <w:r w:rsidR="00A251D9">
        <w:rPr>
          <w:rFonts w:ascii="Times New Roman" w:hAnsi="Times New Roman" w:cs="Times New Roman"/>
        </w:rPr>
        <w:fldChar w:fldCharType="separate"/>
      </w:r>
      <w:r w:rsidR="00953B6A" w:rsidRPr="00953B6A">
        <w:rPr>
          <w:rFonts w:ascii="Times New Roman" w:hAnsi="Times New Roman" w:cs="Times New Roman"/>
          <w:noProof/>
        </w:rPr>
        <w:t>[12,16]</w:t>
      </w:r>
      <w:r w:rsidR="00A251D9">
        <w:rPr>
          <w:rFonts w:ascii="Times New Roman" w:hAnsi="Times New Roman" w:cs="Times New Roman"/>
        </w:rPr>
        <w:fldChar w:fldCharType="end"/>
      </w:r>
      <w:r w:rsidR="00D635C1">
        <w:rPr>
          <w:rFonts w:ascii="Times New Roman" w:hAnsi="Times New Roman" w:cs="Times New Roman"/>
        </w:rPr>
        <w:t>.  Future research should seek to understand moderation of sexual risk by these emergent drugs.</w:t>
      </w:r>
    </w:p>
    <w:p w14:paraId="11BAFEAB" w14:textId="355F11DC" w:rsidR="00AF3216" w:rsidRDefault="00AF3216" w:rsidP="00E54F0A">
      <w:pPr>
        <w:spacing w:line="480" w:lineRule="auto"/>
        <w:rPr>
          <w:rFonts w:ascii="Times New Roman" w:hAnsi="Times New Roman" w:cs="Times New Roman"/>
        </w:rPr>
      </w:pPr>
      <w:r>
        <w:rPr>
          <w:rFonts w:ascii="Times New Roman" w:hAnsi="Times New Roman" w:cs="Times New Roman"/>
        </w:rPr>
        <w:lastRenderedPageBreak/>
        <w:tab/>
      </w:r>
      <w:r w:rsidR="00EE5383">
        <w:rPr>
          <w:rFonts w:ascii="Times New Roman" w:hAnsi="Times New Roman" w:cs="Times New Roman"/>
        </w:rPr>
        <w:t xml:space="preserve">Though evidence </w:t>
      </w:r>
      <w:r w:rsidR="001C3E18">
        <w:rPr>
          <w:rFonts w:ascii="Times New Roman" w:hAnsi="Times New Roman" w:cs="Times New Roman"/>
        </w:rPr>
        <w:t xml:space="preserve">from a recent systematic review </w:t>
      </w:r>
      <w:r w:rsidR="00EE5383">
        <w:rPr>
          <w:rFonts w:ascii="Times New Roman" w:hAnsi="Times New Roman" w:cs="Times New Roman"/>
        </w:rPr>
        <w:t xml:space="preserve">suggests that venue of partner meeting is associated with sexual risk </w:t>
      </w:r>
      <w:r w:rsidR="00A251D9">
        <w:rPr>
          <w:rFonts w:ascii="Times New Roman" w:hAnsi="Times New Roman" w:cs="Times New Roman"/>
        </w:rPr>
        <w:fldChar w:fldCharType="begin" w:fldLock="1"/>
      </w:r>
      <w:r w:rsidR="00D635C1">
        <w:rPr>
          <w:rFonts w:ascii="Times New Roman" w:hAnsi="Times New Roman" w:cs="Times New Roman"/>
        </w:rPr>
        <w:instrText>ADDIN CSL_CITATION { "citationItems" : [ { "id" : "ITEM-1", "itemData" : { "ISBN" : "1368-4973", "abstract" : "Introduction Men who have sex with men (MSM) who identify sex partners over the internet are more likely than other MSM to report having unprotected anal intercourse (UAI). It is unclear whether the internet facilitates pursuit of high-risk sex or whether MSM seeking sex online are a higher-risk population than other MSM. To summarise evidence as to whether internet-based partner selection predisposes MSM to high-risk behaviour, we conducted a meta-analysis of observational studies comparing MSM's UAI risk in online-initiated encounters to their UAI risk in offline-initiated encounters. Methods We systematically searched published, peer-reviewed literature to identify studies reporting MSM participants' engagement in UAI with online-identified and offline-identified male partners. We calculated pooled odds ratios for any UAI and for seroadaptive UAI practices with partners identified online relative to partners identified offline. Results We included 11 studies representing 39 602 sexual encounters. Odds for any UAI, seroconcordant UAI and serodiscordant UAI with strategic positioning were higher in online-initiated than offline-initiated encounters. Odds for UAI in group sex were higher in online-initiated encounters only among HIV-positive MSM. Effect sizes for all outcomes were greater among HIV-positive than HIV-negative MSM. Effect sizes were greatest when bathhouses, saunas and sex resorts were treated as offline comparison venues. Conclusions Encounters initiated online have elevated odds for entailing UAI and seroadaptive UAI practices. Online-delivered behavioural interventions should address insufficiency of risk-reducing practices involving UAI relative to consistent condom use and promote frequent HIV testing among MSM seeking UAI partners online.", "author" : [ { "dropping-particle" : "", "family" : "Lewnard", "given" : "J A", "non-dropping-particle" : "", "parse-names" : false, "suffix" : "" }, { "dropping-particle" : "", "family" : "Berrang-Ford", "given" : "L", "non-dropping-particle" : "", "parse-names" : false, "suffix" : "" } ], "container-title" : "Sexually Transmitted Infections", "id" : "ITEM-1", "issue" : "4", "issued" : { "date-parts" : [ [ "2014" ] ] }, "language" : "English", "page" : "290-296", "title" : "Internet-based partner selection and risk for unprotected anal intercourse in sexual encounters among men who have sex with men: a meta-analysis of observational studies", "type" : "article-journal", "volume" : "90" }, "uris" : [ "http://www.mendeley.com/documents/?uuid=893208dd-5082-4fb2-b43f-f24321b74f53" ] } ], "mendeley" : { "formattedCitation" : "[6]", "plainTextFormattedCitation" : "[6]", "previouslyFormattedCitation" : "[6]"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[6]</w:t>
      </w:r>
      <w:r w:rsidR="00A251D9">
        <w:rPr>
          <w:rFonts w:ascii="Times New Roman" w:hAnsi="Times New Roman" w:cs="Times New Roman"/>
        </w:rPr>
        <w:fldChar w:fldCharType="end"/>
      </w:r>
      <w:r w:rsidR="00EE5383">
        <w:rPr>
          <w:rFonts w:ascii="Times New Roman" w:hAnsi="Times New Roman" w:cs="Times New Roman"/>
        </w:rPr>
        <w:t>, p</w:t>
      </w:r>
      <w:r>
        <w:rPr>
          <w:rFonts w:ascii="Times New Roman" w:hAnsi="Times New Roman" w:cs="Times New Roman"/>
        </w:rPr>
        <w:t xml:space="preserve">ast studies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"DOI" : "10.1093/aje/kwh135",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"5", "15" ] ] }, "note" : "From Duplicate 1 ( ", "page" : "1002-1012", "publisher-place" : "San Francisco Department of Public Health, HIV Research Branch, 25 Van Ness Avenue, Suite 710, San Francisco, CA 94102-6033", "title" : "Substance use and sexual risk: A participant- and episode-level analysis among a cohort of men who have sex with men", "type" : "article-journal", "volume" : "159" }, "uris" : [ "http://www.mendeley.com/documents/?uuid=0bdce725-f385-4ef4-b137-b8f3182036ff" ] }, { "id" : "ITEM-2",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"ITEM-2", "issue" : "1", "issued" : { "date-parts" : [ [ "2005" ] ] }, "note" : "From Duplicate 2 ( ", "page" : "23-32", "publisher" : "National Centre in HIV Epidemiology and Clinical Research, University of New South Wales, Sydney, Australia. gprestage@nchecr.unsw.edu.au", "publisher-place" : "England", "title" : "Contexts for last occasions of unprotected anal intercourse among HIV-negative gay men in Sydney: the health in men cohort.", "type" : "article-journal", "volume" : "17" }, "uris" : [ "http://www.mendeley.com/documents/?uuid=e28415b8-0d6c-457e-b3d1-53f26fd4dd9a" ] }, { "id" : "ITEM-3", "itemData" : { "DOI" : "10.1136/sti.2008.031583",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"ITEM-3", "issue" : "6", "issued" : { "date-parts" : [ [ "2008", "11" ] ] }, "page" : "506-508", "title" : "Situational predictors of sexual risk episodes among men with HIV who have sex with men", "type" : "article-journal", "volume" : "84" }, "uris" : [ "http://www.mendeley.com/documents/?uuid=9e7297a7-0d52-42d1-b7d7-43e0e12a7a78" ] }, { "id" : "ITEM-4",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"ITEM-4", "issue" : "9-B", "issued" : { "date-parts" : [ [ "2004" ] ] }, "language" : "English", "note" : "From Duplicate 1 ( ",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"mendeley" : { "formattedCitation" : "[2,4,5,17]", "plainTextFormattedCitation" : "[2,4,5,17]", "previouslyFormattedCitation" : "[2,4,5,16]" }, "properties" : { "noteIndex" : 0 }, "schema" : "https://github.com/citation-style-language/schema/raw/master/csl-citation.json" }</w:instrText>
      </w:r>
      <w:r w:rsidR="00A251D9">
        <w:rPr>
          <w:rFonts w:ascii="Times New Roman" w:hAnsi="Times New Roman" w:cs="Times New Roman"/>
        </w:rPr>
        <w:fldChar w:fldCharType="separate"/>
      </w:r>
      <w:r w:rsidR="00953B6A" w:rsidRPr="00953B6A">
        <w:rPr>
          <w:rFonts w:ascii="Times New Roman" w:hAnsi="Times New Roman" w:cs="Times New Roman"/>
          <w:noProof/>
        </w:rPr>
        <w:t>[2,4,5,17]</w:t>
      </w:r>
      <w:r w:rsidR="00A251D9">
        <w:rPr>
          <w:rFonts w:ascii="Times New Roman" w:hAnsi="Times New Roman" w:cs="Times New Roman"/>
        </w:rPr>
        <w:fldChar w:fldCharType="end"/>
      </w:r>
      <w:r>
        <w:rPr>
          <w:rFonts w:ascii="Times New Roman" w:hAnsi="Times New Roman" w:cs="Times New Roman"/>
        </w:rPr>
        <w:t xml:space="preserve"> have disagreed on the direction</w:t>
      </w:r>
      <w:r w:rsidR="0098708A">
        <w:rPr>
          <w:rFonts w:ascii="Times New Roman" w:hAnsi="Times New Roman" w:cs="Times New Roman"/>
        </w:rPr>
        <w:t xml:space="preserve"> and statistical significance</w:t>
      </w:r>
      <w:r>
        <w:rPr>
          <w:rFonts w:ascii="Times New Roman" w:hAnsi="Times New Roman" w:cs="Times New Roman"/>
        </w:rPr>
        <w:t xml:space="preserve"> </w:t>
      </w:r>
      <w:r w:rsidR="0098708A">
        <w:rPr>
          <w:rFonts w:ascii="Times New Roman" w:hAnsi="Times New Roman" w:cs="Times New Roman"/>
        </w:rPr>
        <w:t xml:space="preserve">of the </w:t>
      </w:r>
      <w:r>
        <w:rPr>
          <w:rFonts w:ascii="Times New Roman" w:hAnsi="Times New Roman" w:cs="Times New Roman"/>
        </w:rPr>
        <w:t xml:space="preserve">association between location of sex and </w:t>
      </w:r>
      <w:r w:rsidR="00150CC1">
        <w:rPr>
          <w:rFonts w:ascii="Times New Roman" w:hAnsi="Times New Roman" w:cs="Times New Roman"/>
        </w:rPr>
        <w:t>UAI.</w:t>
      </w:r>
      <w:r w:rsidR="0098708A">
        <w:rPr>
          <w:rFonts w:ascii="Times New Roman" w:hAnsi="Times New Roman" w:cs="Times New Roman"/>
        </w:rPr>
        <w:t xml:space="preserve"> </w:t>
      </w:r>
      <w:r w:rsidR="00D635C1">
        <w:rPr>
          <w:rFonts w:ascii="Times New Roman" w:hAnsi="Times New Roman" w:cs="Times New Roman"/>
        </w:rPr>
        <w:t xml:space="preserve"> In particular,</w:t>
      </w:r>
      <w:r w:rsidR="001C3E18">
        <w:rPr>
          <w:rFonts w:ascii="Times New Roman" w:hAnsi="Times New Roman" w:cs="Times New Roman"/>
        </w:rPr>
        <w:t xml:space="preserve"> this</w:t>
      </w:r>
      <w:r w:rsidR="00D635C1">
        <w:rPr>
          <w:rFonts w:ascii="Times New Roman" w:hAnsi="Times New Roman" w:cs="Times New Roman"/>
        </w:rPr>
        <w:t xml:space="preserve"> systematic review has shown that encounters with internet-met partners are more likely to involve sexual risk than encounters with partners met in sex-on-premises venues or other social settings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"ISBN" : "1368-4973", "abstract" : "Introduction Men who have sex with men (MSM) who identify sex partners over the internet are more likely than other MSM to report having unprotected anal intercourse (UAI). It is unclear whether the internet facilitates pursuit of high-risk sex or whether MSM seeking sex online are a higher-risk population than other MSM. To summarise evidence as to whether internet-based partner selection predisposes MSM to high-risk behaviour, we conducted a meta-analysis of observational studies comparing MSM's UAI risk in online-initiated encounters to their UAI risk in offline-initiated encounters. Methods We systematically searched published, peer-reviewed literature to identify studies reporting MSM participants' engagement in UAI with online-identified and offline-identified male partners. We calculated pooled odds ratios for any UAI and for seroadaptive UAI practices with partners identified online relative to partners identified offline. Results We included 11 studies representing 39 602 sexual encounters. Odds for any UAI, seroconcordant UAI and serodiscordant UAI with strategic positioning were higher in online-initiated than offline-initiated encounters. Odds for UAI in group sex were higher in online-initiated encounters only among HIV-positive MSM. Effect sizes for all outcomes were greater among HIV-positive than HIV-negative MSM. Effect sizes were greatest when bathhouses, saunas and sex resorts were treated as offline comparison venues. Conclusions Encounters initiated online have elevated odds for entailing UAI and seroadaptive UAI practices. Online-delivered behavioural interventions should address insufficiency of risk-reducing practices involving UAI relative to consistent condom use and promote frequent HIV testing among MSM seeking UAI partners online.", "author" : [ { "dropping-particle" : "", "family" : "Lewnard", "given" : "J A", "non-dropping-particle" : "", "parse-names" : false, "suffix" : "" }, { "dropping-particle" : "", "family" : "Berrang-Ford", "given" : "L", "non-dropping-particle" : "", "parse-names" : false, "suffix" : "" } ], "container-title" : "Sexually Transmitted Infections", "id" : "ITEM-1", "issue" : "4", "issued" : { "date-parts" : [ [ "2014" ] ] }, "language" : "English", "page" : "290-296", "title" : "Internet-based partner selection and risk for unprotected anal intercourse in sexual encounters among men who have sex with men: a meta-analysis of observational studies", "type" : "article-journal", "volume" : "90" }, "uris" : [ "http://www.mendeley.com/documents/?uuid=893208dd-5082-4fb2-b43f-f24321b74f53" ] } ], "mendeley" : { "formattedCitation" : "[6]", "plainTextFormattedCitation" : "[6]", "previouslyFormattedCitation" : "[6]" }, "properties" : { "noteIndex" : 0 }, "schema" : "https://github.com/citation-style-language/schema/raw/master/csl-citation.json" }</w:instrText>
      </w:r>
      <w:r w:rsidR="00A251D9">
        <w:rPr>
          <w:rFonts w:ascii="Times New Roman" w:hAnsi="Times New Roman" w:cs="Times New Roman"/>
        </w:rPr>
        <w:fldChar w:fldCharType="separate"/>
      </w:r>
      <w:r w:rsidR="00D635C1" w:rsidRPr="00D635C1">
        <w:rPr>
          <w:rFonts w:ascii="Times New Roman" w:hAnsi="Times New Roman" w:cs="Times New Roman"/>
          <w:noProof/>
        </w:rPr>
        <w:t>[6]</w:t>
      </w:r>
      <w:r w:rsidR="00A251D9">
        <w:rPr>
          <w:rFonts w:ascii="Times New Roman" w:hAnsi="Times New Roman" w:cs="Times New Roman"/>
        </w:rPr>
        <w:fldChar w:fldCharType="end"/>
      </w:r>
      <w:r w:rsidR="00D635C1">
        <w:rPr>
          <w:rFonts w:ascii="Times New Roman" w:hAnsi="Times New Roman" w:cs="Times New Roman"/>
        </w:rPr>
        <w:t>.</w:t>
      </w:r>
      <w:r w:rsidR="001C3E18">
        <w:rPr>
          <w:rFonts w:ascii="Times New Roman" w:hAnsi="Times New Roman" w:cs="Times New Roman"/>
        </w:rPr>
        <w:t xml:space="preserve">  </w:t>
      </w:r>
      <w:r w:rsidR="00D635C1">
        <w:rPr>
          <w:rFonts w:ascii="Times New Roman" w:hAnsi="Times New Roman" w:cs="Times New Roman"/>
        </w:rPr>
        <w:t>The</w:t>
      </w:r>
      <w:r w:rsidR="000D4F04">
        <w:rPr>
          <w:rFonts w:ascii="Times New Roman" w:hAnsi="Times New Roman" w:cs="Times New Roman"/>
        </w:rPr>
        <w:t xml:space="preserve"> current</w:t>
      </w:r>
      <w:r w:rsidR="00D635C1">
        <w:rPr>
          <w:rFonts w:ascii="Times New Roman" w:hAnsi="Times New Roman" w:cs="Times New Roman"/>
        </w:rPr>
        <w:t xml:space="preserve"> findings nuance and extend </w:t>
      </w:r>
      <w:r w:rsidR="001C3E18">
        <w:rPr>
          <w:rFonts w:ascii="Times New Roman" w:hAnsi="Times New Roman" w:cs="Times New Roman"/>
        </w:rPr>
        <w:t>the conclusions of</w:t>
      </w:r>
      <w:r w:rsidR="00082AC8">
        <w:rPr>
          <w:rFonts w:ascii="Times New Roman" w:hAnsi="Times New Roman" w:cs="Times New Roman"/>
        </w:rPr>
        <w:t xml:space="preserve"> this systematic review by focu</w:t>
      </w:r>
      <w:r w:rsidR="001C3E18">
        <w:rPr>
          <w:rFonts w:ascii="Times New Roman" w:hAnsi="Times New Roman" w:cs="Times New Roman"/>
        </w:rPr>
        <w:t xml:space="preserve">sing specifically on location of sex.  </w:t>
      </w:r>
      <w:r w:rsidR="00150CC1">
        <w:rPr>
          <w:rFonts w:ascii="Times New Roman" w:hAnsi="Times New Roman" w:cs="Times New Roman"/>
        </w:rPr>
        <w:t>I</w:t>
      </w:r>
      <w:r w:rsidR="0098708A">
        <w:rPr>
          <w:rFonts w:ascii="Times New Roman" w:hAnsi="Times New Roman" w:cs="Times New Roman"/>
        </w:rPr>
        <w:t xml:space="preserve">t is plausible—as reflected by the </w:t>
      </w:r>
      <w:r w:rsidR="00D635C1">
        <w:rPr>
          <w:rFonts w:ascii="Times New Roman" w:hAnsi="Times New Roman" w:cs="Times New Roman"/>
        </w:rPr>
        <w:t xml:space="preserve">univariate and multivariate </w:t>
      </w:r>
      <w:r w:rsidR="0098708A">
        <w:rPr>
          <w:rFonts w:ascii="Times New Roman" w:hAnsi="Times New Roman" w:cs="Times New Roman"/>
        </w:rPr>
        <w:t>models—</w:t>
      </w:r>
      <w:r w:rsidR="00F433A9">
        <w:rPr>
          <w:rFonts w:ascii="Times New Roman" w:hAnsi="Times New Roman" w:cs="Times New Roman"/>
        </w:rPr>
        <w:t xml:space="preserve">that encounters </w:t>
      </w:r>
      <w:r w:rsidR="0098708A">
        <w:rPr>
          <w:rFonts w:ascii="Times New Roman" w:hAnsi="Times New Roman" w:cs="Times New Roman"/>
        </w:rPr>
        <w:t xml:space="preserve">in </w:t>
      </w:r>
      <w:r w:rsidR="009D3D2E">
        <w:rPr>
          <w:rFonts w:ascii="Times New Roman" w:hAnsi="Times New Roman" w:cs="Times New Roman"/>
        </w:rPr>
        <w:t>sex-on-premises venue</w:t>
      </w:r>
      <w:r w:rsidR="009348B8">
        <w:rPr>
          <w:rFonts w:ascii="Times New Roman" w:hAnsi="Times New Roman" w:cs="Times New Roman"/>
        </w:rPr>
        <w:t>s</w:t>
      </w:r>
      <w:r w:rsidR="0098708A">
        <w:rPr>
          <w:rFonts w:ascii="Times New Roman" w:hAnsi="Times New Roman" w:cs="Times New Roman"/>
        </w:rPr>
        <w:t xml:space="preserve"> may </w:t>
      </w:r>
      <w:r w:rsidR="00150CC1">
        <w:rPr>
          <w:rFonts w:ascii="Times New Roman" w:hAnsi="Times New Roman" w:cs="Times New Roman"/>
        </w:rPr>
        <w:t xml:space="preserve">be less likely to </w:t>
      </w:r>
      <w:r w:rsidR="0098708A">
        <w:rPr>
          <w:rFonts w:ascii="Times New Roman" w:hAnsi="Times New Roman" w:cs="Times New Roman"/>
        </w:rPr>
        <w:t xml:space="preserve">include </w:t>
      </w:r>
      <w:r w:rsidR="00150CC1">
        <w:rPr>
          <w:rFonts w:ascii="Times New Roman" w:hAnsi="Times New Roman" w:cs="Times New Roman"/>
        </w:rPr>
        <w:t>UAI</w:t>
      </w:r>
      <w:r w:rsidR="0079671C">
        <w:rPr>
          <w:rFonts w:ascii="Times New Roman" w:hAnsi="Times New Roman" w:cs="Times New Roman"/>
        </w:rPr>
        <w:t xml:space="preserve"> than in homes and cruising grounds</w:t>
      </w:r>
      <w:r w:rsidR="00150CC1">
        <w:rPr>
          <w:rFonts w:ascii="Times New Roman" w:hAnsi="Times New Roman" w:cs="Times New Roman"/>
        </w:rPr>
        <w:t>, while</w:t>
      </w:r>
      <w:r w:rsidR="0098708A">
        <w:rPr>
          <w:rFonts w:ascii="Times New Roman" w:hAnsi="Times New Roman" w:cs="Times New Roman"/>
        </w:rPr>
        <w:t xml:space="preserve"> encounters with </w:t>
      </w:r>
      <w:r w:rsidR="0076208F">
        <w:rPr>
          <w:rFonts w:ascii="Times New Roman" w:hAnsi="Times New Roman" w:cs="Times New Roman"/>
        </w:rPr>
        <w:t>drug</w:t>
      </w:r>
      <w:r w:rsidR="0098708A">
        <w:rPr>
          <w:rFonts w:ascii="Times New Roman" w:hAnsi="Times New Roman" w:cs="Times New Roman"/>
        </w:rPr>
        <w:t xml:space="preserve"> use shared remarkably similar probabilities of UAI</w:t>
      </w:r>
      <w:r w:rsidR="00FB0206">
        <w:rPr>
          <w:rFonts w:ascii="Times New Roman" w:hAnsi="Times New Roman" w:cs="Times New Roman"/>
        </w:rPr>
        <w:t xml:space="preserve"> across </w:t>
      </w:r>
      <w:r w:rsidR="000D4F04">
        <w:rPr>
          <w:rFonts w:ascii="Times New Roman" w:hAnsi="Times New Roman" w:cs="Times New Roman"/>
        </w:rPr>
        <w:t>private</w:t>
      </w:r>
      <w:r w:rsidR="001C3E18">
        <w:rPr>
          <w:rFonts w:ascii="Times New Roman" w:hAnsi="Times New Roman" w:cs="Times New Roman"/>
        </w:rPr>
        <w:t xml:space="preserve"> locations and sex-on-premises venues</w:t>
      </w:r>
      <w:r w:rsidR="00F433A9">
        <w:rPr>
          <w:rFonts w:ascii="Times New Roman" w:hAnsi="Times New Roman" w:cs="Times New Roman"/>
        </w:rPr>
        <w:t xml:space="preserve">.  On the one hand, this may reflect a ‘totalising effect’ of </w:t>
      </w:r>
      <w:r w:rsidR="0076208F">
        <w:rPr>
          <w:rFonts w:ascii="Times New Roman" w:hAnsi="Times New Roman" w:cs="Times New Roman"/>
        </w:rPr>
        <w:t>drug</w:t>
      </w:r>
      <w:r w:rsidR="009348B8">
        <w:rPr>
          <w:rFonts w:ascii="Times New Roman" w:hAnsi="Times New Roman" w:cs="Times New Roman"/>
        </w:rPr>
        <w:t xml:space="preserve"> use</w:t>
      </w:r>
      <w:r w:rsidR="0030129D">
        <w:rPr>
          <w:rFonts w:ascii="Times New Roman" w:hAnsi="Times New Roman" w:cs="Times New Roman"/>
        </w:rPr>
        <w:t>—</w:t>
      </w:r>
      <w:r w:rsidR="003C0798">
        <w:rPr>
          <w:rFonts w:ascii="Times New Roman" w:hAnsi="Times New Roman" w:cs="Times New Roman"/>
        </w:rPr>
        <w:t xml:space="preserve">that </w:t>
      </w:r>
      <w:r w:rsidR="00CA1C2A">
        <w:rPr>
          <w:rFonts w:ascii="Times New Roman" w:hAnsi="Times New Roman" w:cs="Times New Roman"/>
        </w:rPr>
        <w:t>r</w:t>
      </w:r>
      <w:r w:rsidR="00F433A9">
        <w:rPr>
          <w:rFonts w:ascii="Times New Roman" w:hAnsi="Times New Roman" w:cs="Times New Roman"/>
        </w:rPr>
        <w:t xml:space="preserve">egardless of </w:t>
      </w:r>
      <w:r w:rsidR="00CA1C2A">
        <w:rPr>
          <w:rFonts w:ascii="Times New Roman" w:hAnsi="Times New Roman" w:cs="Times New Roman"/>
        </w:rPr>
        <w:t>location</w:t>
      </w:r>
      <w:r w:rsidR="00F433A9">
        <w:rPr>
          <w:rFonts w:ascii="Times New Roman" w:hAnsi="Times New Roman" w:cs="Times New Roman"/>
        </w:rPr>
        <w:t xml:space="preserve">, the use of </w:t>
      </w:r>
      <w:r w:rsidR="0076208F">
        <w:rPr>
          <w:rFonts w:ascii="Times New Roman" w:hAnsi="Times New Roman" w:cs="Times New Roman"/>
        </w:rPr>
        <w:t>drug</w:t>
      </w:r>
      <w:r w:rsidR="00F433A9">
        <w:rPr>
          <w:rFonts w:ascii="Times New Roman" w:hAnsi="Times New Roman" w:cs="Times New Roman"/>
        </w:rPr>
        <w:t xml:space="preserve">s </w:t>
      </w:r>
      <w:r w:rsidR="0030129D">
        <w:rPr>
          <w:rFonts w:ascii="Times New Roman" w:hAnsi="Times New Roman" w:cs="Times New Roman"/>
        </w:rPr>
        <w:t>is</w:t>
      </w:r>
      <w:r w:rsidR="00F433A9">
        <w:rPr>
          <w:rFonts w:ascii="Times New Roman" w:hAnsi="Times New Roman" w:cs="Times New Roman"/>
        </w:rPr>
        <w:t xml:space="preserve"> uniformly associated with </w:t>
      </w:r>
      <w:r w:rsidR="00CA1C2A">
        <w:rPr>
          <w:rFonts w:ascii="Times New Roman" w:hAnsi="Times New Roman" w:cs="Times New Roman"/>
        </w:rPr>
        <w:t>UAI</w:t>
      </w:r>
      <w:r w:rsidR="00F433A9">
        <w:rPr>
          <w:rFonts w:ascii="Times New Roman" w:hAnsi="Times New Roman" w:cs="Times New Roman"/>
        </w:rPr>
        <w:t xml:space="preserve">.  On the other hand, the contrast </w:t>
      </w:r>
      <w:r w:rsidR="000633D4">
        <w:rPr>
          <w:rFonts w:ascii="Times New Roman" w:hAnsi="Times New Roman" w:cs="Times New Roman"/>
        </w:rPr>
        <w:t xml:space="preserve">in </w:t>
      </w:r>
      <w:r w:rsidR="00F433A9">
        <w:rPr>
          <w:rFonts w:ascii="Times New Roman" w:hAnsi="Times New Roman" w:cs="Times New Roman"/>
        </w:rPr>
        <w:t xml:space="preserve">probabilities </w:t>
      </w:r>
      <w:r w:rsidR="000633D4">
        <w:rPr>
          <w:rFonts w:ascii="Times New Roman" w:hAnsi="Times New Roman" w:cs="Times New Roman"/>
        </w:rPr>
        <w:t xml:space="preserve">of UAI </w:t>
      </w:r>
      <w:r w:rsidR="00F433A9">
        <w:rPr>
          <w:rFonts w:ascii="Times New Roman" w:hAnsi="Times New Roman" w:cs="Times New Roman"/>
        </w:rPr>
        <w:t xml:space="preserve">under conditions of no </w:t>
      </w:r>
      <w:r w:rsidR="0076208F">
        <w:rPr>
          <w:rFonts w:ascii="Times New Roman" w:hAnsi="Times New Roman" w:cs="Times New Roman"/>
        </w:rPr>
        <w:t>drug</w:t>
      </w:r>
      <w:r w:rsidR="00F433A9">
        <w:rPr>
          <w:rFonts w:ascii="Times New Roman" w:hAnsi="Times New Roman" w:cs="Times New Roman"/>
        </w:rPr>
        <w:t xml:space="preserve"> </w:t>
      </w:r>
      <w:r w:rsidR="000633D4">
        <w:rPr>
          <w:rFonts w:ascii="Times New Roman" w:hAnsi="Times New Roman" w:cs="Times New Roman"/>
        </w:rPr>
        <w:t>versus</w:t>
      </w:r>
      <w:r w:rsidR="00F433A9">
        <w:rPr>
          <w:rFonts w:ascii="Times New Roman" w:hAnsi="Times New Roman" w:cs="Times New Roman"/>
        </w:rPr>
        <w:t xml:space="preserve"> </w:t>
      </w:r>
      <w:r w:rsidR="0076208F">
        <w:rPr>
          <w:rFonts w:ascii="Times New Roman" w:hAnsi="Times New Roman" w:cs="Times New Roman"/>
        </w:rPr>
        <w:t>drug</w:t>
      </w:r>
      <w:r w:rsidR="00F433A9">
        <w:rPr>
          <w:rFonts w:ascii="Times New Roman" w:hAnsi="Times New Roman" w:cs="Times New Roman"/>
        </w:rPr>
        <w:t xml:space="preserve"> use in </w:t>
      </w:r>
      <w:r w:rsidR="009D3D2E">
        <w:rPr>
          <w:rFonts w:ascii="Times New Roman" w:hAnsi="Times New Roman" w:cs="Times New Roman"/>
        </w:rPr>
        <w:t>sex-on-premises venue</w:t>
      </w:r>
      <w:r w:rsidR="00F433A9">
        <w:rPr>
          <w:rFonts w:ascii="Times New Roman" w:hAnsi="Times New Roman" w:cs="Times New Roman"/>
        </w:rPr>
        <w:t xml:space="preserve">s </w:t>
      </w:r>
      <w:r w:rsidR="000633D4">
        <w:rPr>
          <w:rFonts w:ascii="Times New Roman" w:hAnsi="Times New Roman" w:cs="Times New Roman"/>
        </w:rPr>
        <w:t xml:space="preserve">could </w:t>
      </w:r>
      <w:r w:rsidR="00F433A9">
        <w:rPr>
          <w:rFonts w:ascii="Times New Roman" w:hAnsi="Times New Roman" w:cs="Times New Roman"/>
        </w:rPr>
        <w:t>suggest a mechanism of disinhibition</w:t>
      </w:r>
      <w:r w:rsidR="00F8150B">
        <w:rPr>
          <w:rFonts w:ascii="Times New Roman" w:hAnsi="Times New Roman" w:cs="Times New Roman"/>
        </w:rPr>
        <w:t xml:space="preserve"> that undermines precautionary intentions in</w:t>
      </w:r>
      <w:r w:rsidR="00263CA3">
        <w:rPr>
          <w:rFonts w:ascii="Times New Roman" w:hAnsi="Times New Roman" w:cs="Times New Roman"/>
        </w:rPr>
        <w:t xml:space="preserve"> a highly stimulating sexual context</w:t>
      </w:r>
      <w:r w:rsidR="00F433A9">
        <w:rPr>
          <w:rFonts w:ascii="Times New Roman" w:hAnsi="Times New Roman" w:cs="Times New Roman"/>
        </w:rPr>
        <w:t xml:space="preserve">, or of planned </w:t>
      </w:r>
      <w:r w:rsidR="0076208F">
        <w:rPr>
          <w:rFonts w:ascii="Times New Roman" w:hAnsi="Times New Roman" w:cs="Times New Roman"/>
        </w:rPr>
        <w:t>drug</w:t>
      </w:r>
      <w:r w:rsidR="00F433A9">
        <w:rPr>
          <w:rFonts w:ascii="Times New Roman" w:hAnsi="Times New Roman" w:cs="Times New Roman"/>
        </w:rPr>
        <w:t xml:space="preserve"> use for</w:t>
      </w:r>
      <w:r w:rsidR="00F8150B">
        <w:rPr>
          <w:rFonts w:ascii="Times New Roman" w:hAnsi="Times New Roman" w:cs="Times New Roman"/>
        </w:rPr>
        <w:t xml:space="preserve"> intended</w:t>
      </w:r>
      <w:r w:rsidR="00F433A9">
        <w:rPr>
          <w:rFonts w:ascii="Times New Roman" w:hAnsi="Times New Roman" w:cs="Times New Roman"/>
        </w:rPr>
        <w:t xml:space="preserve"> cognitive escape</w:t>
      </w:r>
      <w:r w:rsidR="00380FA6">
        <w:rPr>
          <w:rFonts w:ascii="Times New Roman" w:hAnsi="Times New Roman" w:cs="Times New Roman"/>
        </w:rPr>
        <w:t xml:space="preserve"> </w:t>
      </w:r>
      <w:r w:rsidR="00A251D9">
        <w:rPr>
          <w:rFonts w:ascii="Times New Roman" w:hAnsi="Times New Roman" w:cs="Times New Roman"/>
        </w:rPr>
        <w:fldChar w:fldCharType="begin" w:fldLock="1"/>
      </w:r>
      <w:r w:rsidR="00953B6A">
        <w:rPr>
          <w:rFonts w:ascii="Times New Roman" w:hAnsi="Times New Roman" w:cs="Times New Roman"/>
        </w:rPr>
        <w:instrText>ADDIN CSL_CITATION { "citationItems" : [ { "id" : "ITEM-1", "itemData" : { "ISBN" : "0954-0121, 0954-0121", "ISSN" : "0954-0121", "abstract" : "The lack of an effective HIV vaccine or other biomedical intervention means that behavioural change will continue to be critical to the prevention of HIV infection. Despite near universal knowledge of HIV and sexual safety, and widespread intentions to be safe, rates of unprotected sex and HIV sero-conversion remain high among gay and bisexual men. Explanatory models that link risk-taking and prevention to rational processes such as knowledge, social norms, behavioural intentions, or perceived vulnerability to infection, cannot fully account for the continued risk behaviours observed in virtually all cohorts of gay men. We feel that innovative conceptions of risk and risk prevention are needed, that emphasize non-rational, affective processes in risk-taking and decision-making. Consistent with recent models from social psychology, we propose that for many people sexual risk does not stem from a lack of community norms or personal standards, but from a desire to escape cognitive awareness of very rigorous norms and standards. Being self-aware of HIV risk arouses anxiety and precludes highly-desired activities: fatigue, fatalism, or other negative affect over HIV may lead people to \"cognitively disengage\" within the sexual situation, and not to follow their norms or intentions toward safety. We propose that both substance use and the approach of high stimulation or other sexual settings facilitates this cognitive disengagement, wherein people enact \"automatic\" sexual scripts and/or become more responsive to external pressures toward risk. We briefly review current psychosocial models of HIV risk behaviour, outline a cognitive escape model with particular emphasis on substance use as a behavioural risk factor, and discuss implications of an escape model for behavioural interventions among gay and bisexual men.", "author" : [ { "dropping-particle" : "", "family" : "McKirnan", "given" : "David J", "non-dropping-particle" : "", "parse-names" : false, "suffix" : "" }, { "dropping-particle" : "", "family" : "Ostrow", "given" : "David G", "non-dropping-particle" : "", "parse-names" : false, "suffix" : "" }, { "dropping-particle" : "", "family" : "Hope", "given" : "B Y", "non-dropping-particle" : "", "parse-names" : false, "suffix" : "" } ], "chapter-number" : "655", "container-title" : "AIDS care", "id" : "ITEM-1", "issue" : "6", "issued" : { "date-parts" : [ [ "1996", "12" ] ] }, "note" : "\n        From Duplicate 1 ( \n        \n        \n          Sex, drugs and escape: a psychological model of HIV-risk sexual behaviours.\n        \n        \n         - McKirnan, David J; Ostrow, David G; Hope, B )\n\n        \n        \n\n        From Duplicate 1 ( \n        \n        \n          Sex, drugs and escape: a psychological model of HIV-risk sexual behaviours.\n        \n        \n         - McKirnan, D J; Ostrow, D G; Hope, B )\n\n        \n        \nAccession Number: 1997044636. Language: English. Entry Date: 19971201. Revision Date: 20091218. Publication Type: journal article; research. Journal Subset: Biomedical; Europe; Peer Reviewed; UK &amp; Ireland. No. of Refs: 92 ref. NLM UID: 8915313. Email: E-mail: davidmck@uic.edu\n\n        \n\n        \n\n        \n\n      ", "page" : "655-670", "publisher-place" : "Department of Psychology, m/c 285, The University of Illinois at Chicago, 1007 W. Harrison Street, Chicago, IL 60607-7137", "title" : "Sex, drugs and escape: a psychological model of HIV-risk sexual behaviours.", "type" : "article-journal", "volume" : "8" }, "uris" : [ "http://www.mendeley.com/documents/?uuid=ab78e148-c479-419e-bfec-0f7920bd9a64" ] } ], "mendeley" : { "formattedCitation" : "[18]", "plainTextFormattedCitation" : "[18]", "previouslyFormattedCitation" : "[17]" }, "properties" : { "noteIndex" : 0 }, "schema" : "https://github.com/citation-style-language/schema/raw/master/csl-citation.json" }</w:instrText>
      </w:r>
      <w:r w:rsidR="00A251D9">
        <w:rPr>
          <w:rFonts w:ascii="Times New Roman" w:hAnsi="Times New Roman" w:cs="Times New Roman"/>
        </w:rPr>
        <w:fldChar w:fldCharType="separate"/>
      </w:r>
      <w:r w:rsidR="00953B6A" w:rsidRPr="00953B6A">
        <w:rPr>
          <w:rFonts w:ascii="Times New Roman" w:hAnsi="Times New Roman" w:cs="Times New Roman"/>
          <w:noProof/>
        </w:rPr>
        <w:t>[18]</w:t>
      </w:r>
      <w:r w:rsidR="00A251D9">
        <w:rPr>
          <w:rFonts w:ascii="Times New Roman" w:hAnsi="Times New Roman" w:cs="Times New Roman"/>
        </w:rPr>
        <w:fldChar w:fldCharType="end"/>
      </w:r>
      <w:r w:rsidR="00F433A9">
        <w:rPr>
          <w:rFonts w:ascii="Times New Roman" w:hAnsi="Times New Roman" w:cs="Times New Roman"/>
        </w:rPr>
        <w:t>.</w:t>
      </w:r>
    </w:p>
    <w:p w14:paraId="7A42B814" w14:textId="60E8D989" w:rsidR="00A56D69" w:rsidRDefault="00CA404F" w:rsidP="00E54F0A">
      <w:pPr>
        <w:spacing w:line="480" w:lineRule="auto"/>
        <w:rPr>
          <w:rFonts w:ascii="Times New Roman" w:hAnsi="Times New Roman" w:cs="Times New Roman"/>
        </w:rPr>
      </w:pPr>
      <w:r>
        <w:rPr>
          <w:rFonts w:ascii="Times New Roman" w:hAnsi="Times New Roman" w:cs="Times New Roman"/>
        </w:rPr>
        <w:tab/>
      </w:r>
      <w:r w:rsidR="00CA1C2A">
        <w:rPr>
          <w:rFonts w:ascii="Times New Roman" w:hAnsi="Times New Roman" w:cs="Times New Roman"/>
        </w:rPr>
        <w:t>Our findings suggest that interventions</w:t>
      </w:r>
      <w:r w:rsidR="00F8150B">
        <w:rPr>
          <w:rFonts w:ascii="Times New Roman" w:hAnsi="Times New Roman" w:cs="Times New Roman"/>
        </w:rPr>
        <w:t xml:space="preserve"> that aim</w:t>
      </w:r>
      <w:r w:rsidR="00CA1C2A">
        <w:rPr>
          <w:rFonts w:ascii="Times New Roman" w:hAnsi="Times New Roman" w:cs="Times New Roman"/>
        </w:rPr>
        <w:t xml:space="preserve"> to reduce drug use in </w:t>
      </w:r>
      <w:r w:rsidR="003C0798">
        <w:rPr>
          <w:rFonts w:ascii="Times New Roman" w:hAnsi="Times New Roman" w:cs="Times New Roman"/>
        </w:rPr>
        <w:t xml:space="preserve">both home locations and </w:t>
      </w:r>
      <w:r w:rsidR="009D3D2E">
        <w:rPr>
          <w:rFonts w:ascii="Times New Roman" w:hAnsi="Times New Roman" w:cs="Times New Roman"/>
        </w:rPr>
        <w:t>sex-on-premises venue</w:t>
      </w:r>
      <w:r w:rsidR="00CA1C2A">
        <w:rPr>
          <w:rFonts w:ascii="Times New Roman" w:hAnsi="Times New Roman" w:cs="Times New Roman"/>
        </w:rPr>
        <w:t xml:space="preserve">s are likely to reduce sexual risk behaviours in those venues. </w:t>
      </w:r>
      <w:r>
        <w:rPr>
          <w:rFonts w:ascii="Times New Roman" w:hAnsi="Times New Roman" w:cs="Times New Roman"/>
        </w:rPr>
        <w:t>Fu</w:t>
      </w:r>
      <w:r w:rsidR="00CA1C2A">
        <w:rPr>
          <w:rFonts w:ascii="Times New Roman" w:hAnsi="Times New Roman" w:cs="Times New Roman"/>
        </w:rPr>
        <w:t xml:space="preserve">rther </w:t>
      </w:r>
      <w:r>
        <w:rPr>
          <w:rFonts w:ascii="Times New Roman" w:hAnsi="Times New Roman" w:cs="Times New Roman"/>
        </w:rPr>
        <w:t xml:space="preserve">research </w:t>
      </w:r>
      <w:r w:rsidR="00CA1C2A">
        <w:rPr>
          <w:rFonts w:ascii="Times New Roman" w:hAnsi="Times New Roman" w:cs="Times New Roman"/>
        </w:rPr>
        <w:t>c</w:t>
      </w:r>
      <w:r>
        <w:rPr>
          <w:rFonts w:ascii="Times New Roman" w:hAnsi="Times New Roman" w:cs="Times New Roman"/>
        </w:rPr>
        <w:t>ould aim to duplicate these findings in different samples</w:t>
      </w:r>
      <w:r w:rsidR="003C0798">
        <w:rPr>
          <w:rFonts w:ascii="Times New Roman" w:hAnsi="Times New Roman" w:cs="Times New Roman"/>
        </w:rPr>
        <w:t>, to</w:t>
      </w:r>
      <w:r>
        <w:rPr>
          <w:rFonts w:ascii="Times New Roman" w:hAnsi="Times New Roman" w:cs="Times New Roman"/>
        </w:rPr>
        <w:t xml:space="preserve"> extend these analyses to within-subjects comparisons</w:t>
      </w:r>
      <w:r w:rsidR="00CA1C2A">
        <w:rPr>
          <w:rFonts w:ascii="Times New Roman" w:hAnsi="Times New Roman" w:cs="Times New Roman"/>
        </w:rPr>
        <w:t xml:space="preserve">, and to explore the impact of public health interventions on </w:t>
      </w:r>
      <w:r w:rsidR="003C0798">
        <w:rPr>
          <w:rFonts w:ascii="Times New Roman" w:hAnsi="Times New Roman" w:cs="Times New Roman"/>
        </w:rPr>
        <w:t>different locations of sex</w:t>
      </w:r>
      <w:r>
        <w:rPr>
          <w:rFonts w:ascii="Times New Roman" w:hAnsi="Times New Roman" w:cs="Times New Roman"/>
        </w:rPr>
        <w:t>.  Qualitative research is necessary to understand the differences in predicted probabilities across venues and between encounters with and with</w:t>
      </w:r>
      <w:r w:rsidR="009348B8">
        <w:rPr>
          <w:rFonts w:ascii="Times New Roman" w:hAnsi="Times New Roman" w:cs="Times New Roman"/>
        </w:rPr>
        <w:t>out</w:t>
      </w:r>
      <w:r>
        <w:rPr>
          <w:rFonts w:ascii="Times New Roman" w:hAnsi="Times New Roman" w:cs="Times New Roman"/>
        </w:rPr>
        <w:t xml:space="preserve"> </w:t>
      </w:r>
      <w:r w:rsidR="0076208F">
        <w:rPr>
          <w:rFonts w:ascii="Times New Roman" w:hAnsi="Times New Roman" w:cs="Times New Roman"/>
        </w:rPr>
        <w:t>drug</w:t>
      </w:r>
      <w:r>
        <w:rPr>
          <w:rFonts w:ascii="Times New Roman" w:hAnsi="Times New Roman" w:cs="Times New Roman"/>
        </w:rPr>
        <w:t xml:space="preserve"> use</w:t>
      </w:r>
      <w:r w:rsidR="00CA1C2A">
        <w:rPr>
          <w:rFonts w:ascii="Times New Roman" w:hAnsi="Times New Roman" w:cs="Times New Roman"/>
        </w:rPr>
        <w:t xml:space="preserve">, and the feasibility and acceptability of </w:t>
      </w:r>
      <w:r w:rsidR="00E05D1F">
        <w:rPr>
          <w:rFonts w:ascii="Times New Roman" w:hAnsi="Times New Roman" w:cs="Times New Roman"/>
        </w:rPr>
        <w:t>interventions</w:t>
      </w:r>
      <w:r w:rsidR="00BB7CA1">
        <w:rPr>
          <w:rFonts w:ascii="Times New Roman" w:hAnsi="Times New Roman" w:cs="Times New Roman"/>
        </w:rPr>
        <w:t>.</w:t>
      </w:r>
    </w:p>
    <w:p w14:paraId="6C9CDCB6" w14:textId="77777777" w:rsidR="00B76BB5" w:rsidRPr="00B76BB5" w:rsidRDefault="00B76BB5" w:rsidP="00E54F0A">
      <w:pPr>
        <w:spacing w:line="480" w:lineRule="auto"/>
        <w:rPr>
          <w:rFonts w:ascii="Times New Roman" w:hAnsi="Times New Roman" w:cs="Times New Roman"/>
          <w:b/>
        </w:rPr>
      </w:pPr>
      <w:r>
        <w:rPr>
          <w:rFonts w:ascii="Times New Roman" w:hAnsi="Times New Roman" w:cs="Times New Roman"/>
          <w:b/>
        </w:rPr>
        <w:lastRenderedPageBreak/>
        <w:t>KEY MESSAGES</w:t>
      </w:r>
    </w:p>
    <w:p w14:paraId="58CC1F49" w14:textId="5FEE4EE2" w:rsidR="00B76BB5" w:rsidRDefault="00B76BB5" w:rsidP="00E54F0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Previous observational studies have noted associations between location of sex and </w:t>
      </w:r>
      <w:r w:rsidR="006A4A8C">
        <w:rPr>
          <w:rFonts w:ascii="Times New Roman" w:hAnsi="Times New Roman" w:cs="Times New Roman"/>
        </w:rPr>
        <w:t xml:space="preserve">drug </w:t>
      </w:r>
      <w:r>
        <w:rPr>
          <w:rFonts w:ascii="Times New Roman" w:hAnsi="Times New Roman" w:cs="Times New Roman"/>
        </w:rPr>
        <w:t>use and sexual risk behaviour in men who have sex with men.</w:t>
      </w:r>
    </w:p>
    <w:p w14:paraId="29D92663" w14:textId="4FA7AE58" w:rsidR="00B76BB5" w:rsidRDefault="00B76BB5" w:rsidP="00E54F0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In this sample of dyadic new partner encounters, </w:t>
      </w:r>
      <w:r w:rsidR="006A4A8C">
        <w:rPr>
          <w:rFonts w:ascii="Times New Roman" w:hAnsi="Times New Roman" w:cs="Times New Roman"/>
        </w:rPr>
        <w:t xml:space="preserve">drug use moderated </w:t>
      </w:r>
      <w:r>
        <w:rPr>
          <w:rFonts w:ascii="Times New Roman" w:hAnsi="Times New Roman" w:cs="Times New Roman"/>
        </w:rPr>
        <w:t>location of sex in associations with sexual risk behaviour.</w:t>
      </w:r>
    </w:p>
    <w:p w14:paraId="0AA268E7" w14:textId="7873C11C" w:rsidR="00B76BB5" w:rsidRDefault="00A56D69" w:rsidP="00E54F0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Drug </w:t>
      </w:r>
      <w:r w:rsidR="00B76BB5">
        <w:rPr>
          <w:rFonts w:ascii="Times New Roman" w:hAnsi="Times New Roman" w:cs="Times New Roman"/>
        </w:rPr>
        <w:t xml:space="preserve">use </w:t>
      </w:r>
      <w:r w:rsidR="00CC01E4">
        <w:rPr>
          <w:rFonts w:ascii="Times New Roman" w:hAnsi="Times New Roman" w:cs="Times New Roman"/>
        </w:rPr>
        <w:t>is associated with increased sexual risk in both home encounters and in sex-on-premises venues, but not in cruising locations</w:t>
      </w:r>
      <w:r w:rsidR="00B76BB5">
        <w:rPr>
          <w:rFonts w:ascii="Times New Roman" w:hAnsi="Times New Roman" w:cs="Times New Roman"/>
        </w:rPr>
        <w:t>.</w:t>
      </w:r>
    </w:p>
    <w:p w14:paraId="139F1D98" w14:textId="77777777" w:rsidR="00B76BB5" w:rsidRDefault="00B76BB5" w:rsidP="00E54F0A">
      <w:pPr>
        <w:rPr>
          <w:rFonts w:ascii="Times New Roman" w:hAnsi="Times New Roman" w:cs="Times New Roman"/>
        </w:rPr>
      </w:pPr>
      <w:r>
        <w:rPr>
          <w:rFonts w:ascii="Times New Roman" w:hAnsi="Times New Roman" w:cs="Times New Roman"/>
        </w:rPr>
        <w:br w:type="page"/>
      </w:r>
    </w:p>
    <w:p w14:paraId="09344008" w14:textId="54E6D39B" w:rsidR="004D305B" w:rsidRPr="00F42BD8" w:rsidRDefault="004D305B" w:rsidP="00E54F0A">
      <w:pPr>
        <w:spacing w:line="480" w:lineRule="auto"/>
        <w:rPr>
          <w:rFonts w:ascii="Times New Roman" w:hAnsi="Times New Roman" w:cs="Times New Roman"/>
        </w:rPr>
      </w:pPr>
      <w:r>
        <w:rPr>
          <w:rFonts w:ascii="Times New Roman" w:hAnsi="Times New Roman" w:cs="Times New Roman"/>
          <w:b/>
        </w:rPr>
        <w:lastRenderedPageBreak/>
        <w:t>WORD COUNT</w:t>
      </w:r>
      <w:r>
        <w:rPr>
          <w:rFonts w:ascii="Times New Roman" w:hAnsi="Times New Roman" w:cs="Times New Roman"/>
        </w:rPr>
        <w:t xml:space="preserve"> 2,302 words, without abstract, references or key messages</w:t>
      </w:r>
    </w:p>
    <w:p w14:paraId="5A3F021F" w14:textId="77777777" w:rsidR="00B76BB5" w:rsidRDefault="00B76BB5" w:rsidP="00E54F0A">
      <w:pPr>
        <w:spacing w:line="480" w:lineRule="auto"/>
        <w:rPr>
          <w:rFonts w:ascii="Times New Roman" w:hAnsi="Times New Roman" w:cs="Times New Roman"/>
          <w:b/>
        </w:rPr>
      </w:pPr>
      <w:r>
        <w:rPr>
          <w:rFonts w:ascii="Times New Roman" w:hAnsi="Times New Roman" w:cs="Times New Roman"/>
          <w:b/>
        </w:rPr>
        <w:t>ACKNOWLEDGEMENTS</w:t>
      </w:r>
    </w:p>
    <w:p w14:paraId="3E41380D" w14:textId="77777777" w:rsidR="00B76BB5" w:rsidRDefault="00B76BB5" w:rsidP="00E54F0A">
      <w:pPr>
        <w:spacing w:line="480" w:lineRule="auto"/>
        <w:rPr>
          <w:rFonts w:ascii="Times New Roman" w:hAnsi="Times New Roman" w:cs="Times New Roman"/>
        </w:rPr>
      </w:pPr>
      <w:r>
        <w:rPr>
          <w:rFonts w:ascii="Times New Roman" w:hAnsi="Times New Roman" w:cs="Times New Roman"/>
        </w:rPr>
        <w:t xml:space="preserve">We thank </w:t>
      </w:r>
      <w:r w:rsidRPr="00B76BB5">
        <w:rPr>
          <w:rFonts w:ascii="Times New Roman" w:hAnsi="Times New Roman" w:cs="Times New Roman"/>
        </w:rPr>
        <w:t xml:space="preserve">to Richard </w:t>
      </w:r>
      <w:proofErr w:type="spellStart"/>
      <w:r w:rsidRPr="00B76BB5">
        <w:rPr>
          <w:rFonts w:ascii="Times New Roman" w:hAnsi="Times New Roman" w:cs="Times New Roman"/>
        </w:rPr>
        <w:t>Scholey</w:t>
      </w:r>
      <w:proofErr w:type="spellEnd"/>
      <w:r w:rsidRPr="00B76BB5">
        <w:rPr>
          <w:rFonts w:ascii="Times New Roman" w:hAnsi="Times New Roman" w:cs="Times New Roman"/>
        </w:rPr>
        <w:t xml:space="preserve"> (THT), Matthew </w:t>
      </w:r>
      <w:proofErr w:type="spellStart"/>
      <w:r w:rsidRPr="00B76BB5">
        <w:rPr>
          <w:rFonts w:ascii="Times New Roman" w:hAnsi="Times New Roman" w:cs="Times New Roman"/>
        </w:rPr>
        <w:t>Hodson</w:t>
      </w:r>
      <w:proofErr w:type="spellEnd"/>
      <w:r w:rsidRPr="00B76BB5">
        <w:rPr>
          <w:rFonts w:ascii="Times New Roman" w:hAnsi="Times New Roman" w:cs="Times New Roman"/>
        </w:rPr>
        <w:t xml:space="preserve"> (GMFA), Bobby Pickering (</w:t>
      </w:r>
      <w:proofErr w:type="spellStart"/>
      <w:r w:rsidRPr="00B76BB5">
        <w:rPr>
          <w:rFonts w:ascii="Times New Roman" w:hAnsi="Times New Roman" w:cs="Times New Roman"/>
        </w:rPr>
        <w:t>Demographix</w:t>
      </w:r>
      <w:proofErr w:type="spellEnd"/>
      <w:r w:rsidRPr="00B76BB5">
        <w:rPr>
          <w:rFonts w:ascii="Times New Roman" w:hAnsi="Times New Roman" w:cs="Times New Roman"/>
        </w:rPr>
        <w:t>), David Novak (Online Buddies Inc.) and all the men who took part in the Sigma Panel 2011.</w:t>
      </w:r>
    </w:p>
    <w:p w14:paraId="67102DED" w14:textId="77777777" w:rsidR="00B76BB5" w:rsidRDefault="00B76BB5" w:rsidP="00E54F0A">
      <w:pPr>
        <w:spacing w:line="480" w:lineRule="auto"/>
        <w:rPr>
          <w:rFonts w:ascii="Times New Roman" w:hAnsi="Times New Roman" w:cs="Times New Roman"/>
          <w:b/>
        </w:rPr>
      </w:pPr>
      <w:r>
        <w:rPr>
          <w:rFonts w:ascii="Times New Roman" w:hAnsi="Times New Roman" w:cs="Times New Roman"/>
          <w:b/>
        </w:rPr>
        <w:t>CONTRIBUTIONS</w:t>
      </w:r>
    </w:p>
    <w:p w14:paraId="72BEC9D1" w14:textId="77777777" w:rsidR="00B76BB5" w:rsidRDefault="00B76BB5" w:rsidP="00E54F0A">
      <w:pPr>
        <w:spacing w:line="480" w:lineRule="auto"/>
        <w:rPr>
          <w:rFonts w:ascii="Times New Roman" w:hAnsi="Times New Roman" w:cs="Times New Roman"/>
        </w:rPr>
      </w:pPr>
      <w:r>
        <w:rPr>
          <w:rFonts w:ascii="Times New Roman" w:hAnsi="Times New Roman" w:cs="Times New Roman"/>
        </w:rPr>
        <w:t>PW conceived the Sigma P</w:t>
      </w:r>
      <w:r w:rsidRPr="00B76BB5">
        <w:rPr>
          <w:rFonts w:ascii="Times New Roman" w:hAnsi="Times New Roman" w:cs="Times New Roman"/>
        </w:rPr>
        <w:t xml:space="preserve">anel and its technical specification. </w:t>
      </w:r>
      <w:r>
        <w:rPr>
          <w:rFonts w:ascii="Times New Roman" w:hAnsi="Times New Roman" w:cs="Times New Roman"/>
        </w:rPr>
        <w:t xml:space="preserve"> </w:t>
      </w:r>
      <w:r w:rsidRPr="00B76BB5">
        <w:rPr>
          <w:rFonts w:ascii="Times New Roman" w:hAnsi="Times New Roman" w:cs="Times New Roman"/>
        </w:rPr>
        <w:t xml:space="preserve">FH coordinated the panel study. </w:t>
      </w:r>
      <w:r>
        <w:rPr>
          <w:rFonts w:ascii="Times New Roman" w:hAnsi="Times New Roman" w:cs="Times New Roman"/>
        </w:rPr>
        <w:t xml:space="preserve"> </w:t>
      </w:r>
      <w:r w:rsidRPr="00B76BB5">
        <w:rPr>
          <w:rFonts w:ascii="Times New Roman" w:hAnsi="Times New Roman" w:cs="Times New Roman"/>
        </w:rPr>
        <w:t xml:space="preserve">FH, CB and DR designed the monthly questionnaires. </w:t>
      </w:r>
      <w:r>
        <w:rPr>
          <w:rFonts w:ascii="Times New Roman" w:hAnsi="Times New Roman" w:cs="Times New Roman"/>
        </w:rPr>
        <w:t xml:space="preserve"> </w:t>
      </w:r>
      <w:r w:rsidRPr="00B76BB5">
        <w:rPr>
          <w:rFonts w:ascii="Times New Roman" w:hAnsi="Times New Roman" w:cs="Times New Roman"/>
        </w:rPr>
        <w:t xml:space="preserve">DR and FH were responsible for communications with respondents, the technical implementation of the panel and data management and cleaning. </w:t>
      </w:r>
      <w:r>
        <w:rPr>
          <w:rFonts w:ascii="Times New Roman" w:hAnsi="Times New Roman" w:cs="Times New Roman"/>
        </w:rPr>
        <w:t xml:space="preserve"> GJMT and CB</w:t>
      </w:r>
      <w:r w:rsidRPr="00B76BB5">
        <w:rPr>
          <w:rFonts w:ascii="Times New Roman" w:hAnsi="Times New Roman" w:cs="Times New Roman"/>
        </w:rPr>
        <w:t xml:space="preserve"> planned the data analysis. </w:t>
      </w:r>
      <w:r>
        <w:rPr>
          <w:rFonts w:ascii="Times New Roman" w:hAnsi="Times New Roman" w:cs="Times New Roman"/>
        </w:rPr>
        <w:t>GJMT</w:t>
      </w:r>
      <w:r w:rsidRPr="00B76BB5">
        <w:rPr>
          <w:rFonts w:ascii="Times New Roman" w:hAnsi="Times New Roman" w:cs="Times New Roman"/>
        </w:rPr>
        <w:t xml:space="preserve"> performed the data analysis. </w:t>
      </w:r>
      <w:r>
        <w:rPr>
          <w:rFonts w:ascii="Times New Roman" w:hAnsi="Times New Roman" w:cs="Times New Roman"/>
        </w:rPr>
        <w:t>GJMT drafted the paper and PW, FH</w:t>
      </w:r>
      <w:r w:rsidRPr="00B76BB5">
        <w:rPr>
          <w:rFonts w:ascii="Times New Roman" w:hAnsi="Times New Roman" w:cs="Times New Roman"/>
        </w:rPr>
        <w:t xml:space="preserve"> and CB edited it. All authors agreed </w:t>
      </w:r>
      <w:r w:rsidR="00B63076">
        <w:rPr>
          <w:rFonts w:ascii="Times New Roman" w:hAnsi="Times New Roman" w:cs="Times New Roman"/>
        </w:rPr>
        <w:t xml:space="preserve">on </w:t>
      </w:r>
      <w:r w:rsidRPr="00B76BB5">
        <w:rPr>
          <w:rFonts w:ascii="Times New Roman" w:hAnsi="Times New Roman" w:cs="Times New Roman"/>
        </w:rPr>
        <w:t>the final manuscript.</w:t>
      </w:r>
    </w:p>
    <w:p w14:paraId="1C514646" w14:textId="77777777" w:rsidR="00B63076" w:rsidRPr="00B63076" w:rsidRDefault="00B63076" w:rsidP="00E54F0A">
      <w:pPr>
        <w:spacing w:line="480" w:lineRule="auto"/>
        <w:rPr>
          <w:rFonts w:ascii="Times New Roman" w:hAnsi="Times New Roman" w:cs="Times New Roman"/>
        </w:rPr>
      </w:pPr>
      <w:r>
        <w:rPr>
          <w:rFonts w:ascii="Times New Roman" w:hAnsi="Times New Roman" w:cs="Times New Roman"/>
          <w:b/>
        </w:rPr>
        <w:t>FUNDING</w:t>
      </w:r>
    </w:p>
    <w:p w14:paraId="75019BE8" w14:textId="7B7C6047" w:rsidR="00B63076" w:rsidRPr="00B76BB5" w:rsidRDefault="00B63076" w:rsidP="00E54F0A">
      <w:pPr>
        <w:spacing w:line="480" w:lineRule="auto"/>
        <w:rPr>
          <w:rFonts w:ascii="Times New Roman" w:hAnsi="Times New Roman" w:cs="Times New Roman"/>
        </w:rPr>
      </w:pPr>
      <w:r w:rsidRPr="00B63076">
        <w:rPr>
          <w:rFonts w:ascii="Times New Roman" w:hAnsi="Times New Roman" w:cs="Times New Roman"/>
        </w:rPr>
        <w:t>This work was supported by the Department of Health for England through the CHAPS programme</w:t>
      </w:r>
      <w:r w:rsidR="00A205A8">
        <w:rPr>
          <w:rFonts w:ascii="Times New Roman" w:hAnsi="Times New Roman" w:cs="Times New Roman"/>
        </w:rPr>
        <w:t xml:space="preserve"> (1996-2012)</w:t>
      </w:r>
      <w:r w:rsidRPr="00B63076">
        <w:rPr>
          <w:rFonts w:ascii="Times New Roman" w:hAnsi="Times New Roman" w:cs="Times New Roman"/>
        </w:rPr>
        <w:t>.</w:t>
      </w:r>
    </w:p>
    <w:p w14:paraId="59C70120" w14:textId="77777777" w:rsidR="00B76BB5" w:rsidRDefault="00B76BB5" w:rsidP="00E54F0A">
      <w:pPr>
        <w:spacing w:line="480" w:lineRule="auto"/>
        <w:rPr>
          <w:rFonts w:ascii="Times New Roman" w:hAnsi="Times New Roman" w:cs="Times New Roman"/>
        </w:rPr>
      </w:pPr>
      <w:r>
        <w:rPr>
          <w:rFonts w:ascii="Times New Roman" w:hAnsi="Times New Roman" w:cs="Times New Roman"/>
          <w:b/>
        </w:rPr>
        <w:t>COMPETING INTERESTS</w:t>
      </w:r>
    </w:p>
    <w:p w14:paraId="42830D8E" w14:textId="77777777" w:rsidR="00B76BB5" w:rsidRPr="00B76BB5" w:rsidRDefault="00B76BB5" w:rsidP="00E54F0A">
      <w:pPr>
        <w:spacing w:line="480" w:lineRule="auto"/>
        <w:rPr>
          <w:rFonts w:ascii="Times New Roman" w:hAnsi="Times New Roman" w:cs="Times New Roman"/>
        </w:rPr>
      </w:pPr>
      <w:r>
        <w:rPr>
          <w:rFonts w:ascii="Times New Roman" w:hAnsi="Times New Roman" w:cs="Times New Roman"/>
        </w:rPr>
        <w:t>None.</w:t>
      </w:r>
    </w:p>
    <w:p w14:paraId="38ABCDC3" w14:textId="77777777" w:rsidR="00B76BB5" w:rsidRDefault="00B76BB5" w:rsidP="00E54F0A">
      <w:pPr>
        <w:spacing w:line="480" w:lineRule="auto"/>
        <w:rPr>
          <w:rFonts w:ascii="Times New Roman" w:hAnsi="Times New Roman" w:cs="Times New Roman"/>
        </w:rPr>
      </w:pPr>
      <w:r>
        <w:rPr>
          <w:rFonts w:ascii="Times New Roman" w:hAnsi="Times New Roman" w:cs="Times New Roman"/>
          <w:b/>
        </w:rPr>
        <w:t>ETHICS APPROVAL</w:t>
      </w:r>
    </w:p>
    <w:p w14:paraId="32018F20" w14:textId="77777777" w:rsidR="00B76BB5" w:rsidRPr="00B76BB5" w:rsidRDefault="00B76BB5" w:rsidP="00E54F0A">
      <w:pPr>
        <w:spacing w:line="480" w:lineRule="auto"/>
        <w:rPr>
          <w:rFonts w:ascii="Times New Roman" w:hAnsi="Times New Roman" w:cs="Times New Roman"/>
        </w:rPr>
      </w:pPr>
      <w:r>
        <w:rPr>
          <w:rFonts w:ascii="Times New Roman" w:hAnsi="Times New Roman" w:cs="Times New Roman"/>
        </w:rPr>
        <w:t>The survey was conducted with the approval of the London School of Hygiene and Tropical Medicine Ethics Committee (approval number 5834).  Approval for this specific analysis was granted by the Department of Social Policy and Intervention Research Ethics Committee at the University of Oxford.</w:t>
      </w:r>
    </w:p>
    <w:p w14:paraId="00DC9DF0" w14:textId="77777777" w:rsidR="00BB7CA1" w:rsidRDefault="00BB7CA1" w:rsidP="00E54F0A">
      <w:pPr>
        <w:rPr>
          <w:rFonts w:ascii="Times New Roman" w:hAnsi="Times New Roman" w:cs="Times New Roman"/>
        </w:rPr>
      </w:pPr>
      <w:r>
        <w:rPr>
          <w:rFonts w:ascii="Times New Roman" w:hAnsi="Times New Roman" w:cs="Times New Roman"/>
        </w:rPr>
        <w:br w:type="page"/>
      </w:r>
    </w:p>
    <w:p w14:paraId="2AA3B577" w14:textId="77777777" w:rsidR="00D90D59" w:rsidRDefault="00D90D59" w:rsidP="00E54F0A">
      <w:pPr>
        <w:rPr>
          <w:rFonts w:ascii="Times New Roman" w:hAnsi="Times New Roman" w:cs="Times New Roman"/>
          <w:b/>
        </w:rPr>
      </w:pPr>
      <w:r>
        <w:rPr>
          <w:rFonts w:ascii="Times New Roman" w:hAnsi="Times New Roman" w:cs="Times New Roman"/>
          <w:b/>
        </w:rPr>
        <w:lastRenderedPageBreak/>
        <w:t>FIGURES</w:t>
      </w:r>
    </w:p>
    <w:p w14:paraId="65754F53" w14:textId="77777777" w:rsidR="00D90D59" w:rsidRDefault="00D90D59" w:rsidP="00E54F0A">
      <w:pPr>
        <w:rPr>
          <w:rFonts w:ascii="Times New Roman" w:hAnsi="Times New Roman" w:cs="Times New Roman"/>
          <w:b/>
        </w:rPr>
      </w:pPr>
    </w:p>
    <w:p w14:paraId="6071183A" w14:textId="77777777" w:rsidR="00D90D59" w:rsidRDefault="00D90D59" w:rsidP="00E54F0A">
      <w:pPr>
        <w:rPr>
          <w:rFonts w:ascii="Times New Roman" w:hAnsi="Times New Roman" w:cs="Times New Roman"/>
        </w:rPr>
      </w:pPr>
      <w:r>
        <w:rPr>
          <w:rFonts w:ascii="Times New Roman" w:hAnsi="Times New Roman" w:cs="Times New Roman"/>
          <w:b/>
        </w:rPr>
        <w:t>Figure 1.</w:t>
      </w:r>
      <w:r>
        <w:rPr>
          <w:rFonts w:ascii="Times New Roman" w:hAnsi="Times New Roman" w:cs="Times New Roman"/>
        </w:rPr>
        <w:t xml:space="preserve">  Predicted probabilities for UAI under drug use-location of sex combinations.</w:t>
      </w:r>
    </w:p>
    <w:p w14:paraId="6DBB4EF8" w14:textId="77777777" w:rsidR="00D90D59" w:rsidRDefault="00D90D59" w:rsidP="00E54F0A">
      <w:pPr>
        <w:rPr>
          <w:rFonts w:ascii="Times New Roman" w:hAnsi="Times New Roman" w:cs="Times New Roman"/>
        </w:rPr>
      </w:pPr>
      <w:r>
        <w:rPr>
          <w:rFonts w:ascii="Times New Roman" w:hAnsi="Times New Roman" w:cs="Times New Roman"/>
        </w:rPr>
        <w:br w:type="page"/>
      </w:r>
    </w:p>
    <w:p w14:paraId="1161B34A" w14:textId="77777777" w:rsidR="00901E41" w:rsidRDefault="00901E41" w:rsidP="00E54F0A">
      <w:pPr>
        <w:rPr>
          <w:rFonts w:ascii="Times New Roman" w:hAnsi="Times New Roman" w:cs="Times New Roman"/>
          <w:b/>
        </w:rPr>
      </w:pPr>
      <w:r>
        <w:rPr>
          <w:rFonts w:ascii="Times New Roman" w:hAnsi="Times New Roman" w:cs="Times New Roman"/>
          <w:b/>
        </w:rPr>
        <w:lastRenderedPageBreak/>
        <w:t>Works cited</w:t>
      </w:r>
    </w:p>
    <w:p w14:paraId="1220C95B" w14:textId="48655FDB" w:rsidR="00953B6A" w:rsidRPr="00953B6A" w:rsidRDefault="00A251D9" w:rsidP="00E54F0A">
      <w:pPr>
        <w:pStyle w:val="NormalWeb"/>
        <w:ind w:left="640" w:hanging="640"/>
        <w:divId w:val="1289119917"/>
        <w:rPr>
          <w:rFonts w:ascii="Times New Roman" w:hAnsi="Times New Roman"/>
          <w:noProof/>
          <w:sz w:val="24"/>
        </w:rPr>
      </w:pPr>
      <w:r>
        <w:rPr>
          <w:rFonts w:ascii="Times New Roman" w:hAnsi="Times New Roman"/>
        </w:rPr>
        <w:fldChar w:fldCharType="begin" w:fldLock="1"/>
      </w:r>
      <w:r w:rsidR="00901E41">
        <w:rPr>
          <w:rFonts w:ascii="Times New Roman" w:hAnsi="Times New Roman"/>
        </w:rPr>
        <w:instrText xml:space="preserve">ADDIN Mendeley Bibliography CSL_BIBLIOGRAPHY </w:instrText>
      </w:r>
      <w:r>
        <w:rPr>
          <w:rFonts w:ascii="Times New Roman" w:hAnsi="Times New Roman"/>
        </w:rPr>
        <w:fldChar w:fldCharType="separate"/>
      </w:r>
      <w:r w:rsidR="00953B6A" w:rsidRPr="00953B6A">
        <w:rPr>
          <w:rFonts w:ascii="Times New Roman" w:hAnsi="Times New Roman"/>
          <w:noProof/>
          <w:sz w:val="24"/>
        </w:rPr>
        <w:t xml:space="preserve">1 </w:t>
      </w:r>
      <w:r w:rsidR="00953B6A" w:rsidRPr="00953B6A">
        <w:rPr>
          <w:rFonts w:ascii="Times New Roman" w:hAnsi="Times New Roman"/>
          <w:noProof/>
          <w:sz w:val="24"/>
        </w:rPr>
        <w:tab/>
        <w:t xml:space="preserve">Reisen CA, Iracheta MA, Zea MC, </w:t>
      </w:r>
      <w:r w:rsidR="00953B6A" w:rsidRPr="00953B6A">
        <w:rPr>
          <w:rFonts w:ascii="Times New Roman" w:hAnsi="Times New Roman"/>
          <w:i/>
          <w:iCs/>
          <w:noProof/>
          <w:sz w:val="24"/>
        </w:rPr>
        <w:t>et al.</w:t>
      </w:r>
      <w:r w:rsidR="00953B6A" w:rsidRPr="00953B6A">
        <w:rPr>
          <w:rFonts w:ascii="Times New Roman" w:hAnsi="Times New Roman"/>
          <w:noProof/>
          <w:sz w:val="24"/>
        </w:rPr>
        <w:t xml:space="preserve"> Sex in public and private settings among Latino MSM. </w:t>
      </w:r>
      <w:r w:rsidR="00953B6A" w:rsidRPr="00953B6A">
        <w:rPr>
          <w:rFonts w:ascii="Times New Roman" w:hAnsi="Times New Roman"/>
          <w:i/>
          <w:iCs/>
          <w:noProof/>
          <w:sz w:val="24"/>
        </w:rPr>
        <w:t>AIDS Care</w:t>
      </w:r>
      <w:r w:rsidR="00953B6A" w:rsidRPr="00953B6A">
        <w:rPr>
          <w:rFonts w:ascii="Times New Roman" w:hAnsi="Times New Roman"/>
          <w:noProof/>
          <w:sz w:val="24"/>
        </w:rPr>
        <w:t xml:space="preserve"> 2010;</w:t>
      </w:r>
      <w:r w:rsidR="00953B6A" w:rsidRPr="00953B6A">
        <w:rPr>
          <w:rFonts w:ascii="Times New Roman" w:hAnsi="Times New Roman"/>
          <w:b/>
          <w:bCs/>
          <w:noProof/>
          <w:sz w:val="24"/>
        </w:rPr>
        <w:t>22</w:t>
      </w:r>
      <w:r w:rsidR="00953B6A" w:rsidRPr="00953B6A">
        <w:rPr>
          <w:rFonts w:ascii="Times New Roman" w:hAnsi="Times New Roman"/>
          <w:noProof/>
          <w:sz w:val="24"/>
        </w:rPr>
        <w:t>:697–704. doi:http://dx.doi.org/10.1080/09540120903325433</w:t>
      </w:r>
    </w:p>
    <w:p w14:paraId="0ED96B7F"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2 </w:t>
      </w:r>
      <w:r w:rsidRPr="00953B6A">
        <w:rPr>
          <w:rFonts w:ascii="Times New Roman" w:hAnsi="Times New Roman"/>
          <w:noProof/>
          <w:sz w:val="24"/>
        </w:rPr>
        <w:tab/>
        <w:t xml:space="preserve">Colfax GN, Vittinghoff E, Husnik MJ, </w:t>
      </w:r>
      <w:r w:rsidRPr="00953B6A">
        <w:rPr>
          <w:rFonts w:ascii="Times New Roman" w:hAnsi="Times New Roman"/>
          <w:i/>
          <w:iCs/>
          <w:noProof/>
          <w:sz w:val="24"/>
        </w:rPr>
        <w:t>et al.</w:t>
      </w:r>
      <w:r w:rsidRPr="00953B6A">
        <w:rPr>
          <w:rFonts w:ascii="Times New Roman" w:hAnsi="Times New Roman"/>
          <w:noProof/>
          <w:sz w:val="24"/>
        </w:rPr>
        <w:t xml:space="preserve"> Substance use and sexual risk: A participant- and episode-level analysis among a cohort of men who have sex with men. </w:t>
      </w:r>
      <w:r w:rsidRPr="00953B6A">
        <w:rPr>
          <w:rFonts w:ascii="Times New Roman" w:hAnsi="Times New Roman"/>
          <w:i/>
          <w:iCs/>
          <w:noProof/>
          <w:sz w:val="24"/>
        </w:rPr>
        <w:t>Am J Epidemiol</w:t>
      </w:r>
      <w:r w:rsidRPr="00953B6A">
        <w:rPr>
          <w:rFonts w:ascii="Times New Roman" w:hAnsi="Times New Roman"/>
          <w:noProof/>
          <w:sz w:val="24"/>
        </w:rPr>
        <w:t xml:space="preserve"> 2004;</w:t>
      </w:r>
      <w:r w:rsidRPr="00953B6A">
        <w:rPr>
          <w:rFonts w:ascii="Times New Roman" w:hAnsi="Times New Roman"/>
          <w:b/>
          <w:bCs/>
          <w:noProof/>
          <w:sz w:val="24"/>
        </w:rPr>
        <w:t>159</w:t>
      </w:r>
      <w:r w:rsidRPr="00953B6A">
        <w:rPr>
          <w:rFonts w:ascii="Times New Roman" w:hAnsi="Times New Roman"/>
          <w:noProof/>
          <w:sz w:val="24"/>
        </w:rPr>
        <w:t>:1002–12. doi:10.1093/aje/kwh135</w:t>
      </w:r>
    </w:p>
    <w:p w14:paraId="45FDACE5"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3 </w:t>
      </w:r>
      <w:r w:rsidRPr="00953B6A">
        <w:rPr>
          <w:rFonts w:ascii="Times New Roman" w:hAnsi="Times New Roman"/>
          <w:noProof/>
          <w:sz w:val="24"/>
        </w:rPr>
        <w:tab/>
        <w:t xml:space="preserve">Grov C, Hirshfield S, Remien RH, </w:t>
      </w:r>
      <w:r w:rsidRPr="00953B6A">
        <w:rPr>
          <w:rFonts w:ascii="Times New Roman" w:hAnsi="Times New Roman"/>
          <w:i/>
          <w:iCs/>
          <w:noProof/>
          <w:sz w:val="24"/>
        </w:rPr>
        <w:t>et al.</w:t>
      </w:r>
      <w:r w:rsidRPr="00953B6A">
        <w:rPr>
          <w:rFonts w:ascii="Times New Roman" w:hAnsi="Times New Roman"/>
          <w:noProof/>
          <w:sz w:val="24"/>
        </w:rPr>
        <w:t xml:space="preserve"> Exploring the Venue’s Role in Risky Sexual Behavior Among Gay and Bisexual Men: An Event-Level Analysis from a National Online Survey in the U.S. </w:t>
      </w:r>
      <w:r w:rsidRPr="00953B6A">
        <w:rPr>
          <w:rFonts w:ascii="Times New Roman" w:hAnsi="Times New Roman"/>
          <w:i/>
          <w:iCs/>
          <w:noProof/>
          <w:sz w:val="24"/>
        </w:rPr>
        <w:t>Arch Sex Behav</w:t>
      </w:r>
      <w:r w:rsidRPr="00953B6A">
        <w:rPr>
          <w:rFonts w:ascii="Times New Roman" w:hAnsi="Times New Roman"/>
          <w:noProof/>
          <w:sz w:val="24"/>
        </w:rPr>
        <w:t xml:space="preserve"> 2013;</w:t>
      </w:r>
      <w:r w:rsidRPr="00953B6A">
        <w:rPr>
          <w:rFonts w:ascii="Times New Roman" w:hAnsi="Times New Roman"/>
          <w:b/>
          <w:bCs/>
          <w:noProof/>
          <w:sz w:val="24"/>
        </w:rPr>
        <w:t>42</w:t>
      </w:r>
      <w:r w:rsidRPr="00953B6A">
        <w:rPr>
          <w:rFonts w:ascii="Times New Roman" w:hAnsi="Times New Roman"/>
          <w:noProof/>
          <w:sz w:val="24"/>
        </w:rPr>
        <w:t>:291–302. doi:http://dx.doi.org/10.1007/s10508-011-9854-x</w:t>
      </w:r>
    </w:p>
    <w:p w14:paraId="2FDEAB27"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4 </w:t>
      </w:r>
      <w:r w:rsidRPr="00953B6A">
        <w:rPr>
          <w:rFonts w:ascii="Times New Roman" w:hAnsi="Times New Roman"/>
          <w:noProof/>
          <w:sz w:val="24"/>
        </w:rPr>
        <w:tab/>
        <w:t xml:space="preserve">Wilson PA. </w:t>
      </w:r>
      <w:r w:rsidRPr="00953B6A">
        <w:rPr>
          <w:rFonts w:ascii="Times New Roman" w:hAnsi="Times New Roman"/>
          <w:i/>
          <w:iCs/>
          <w:noProof/>
          <w:sz w:val="24"/>
        </w:rPr>
        <w:t>Sexual risk-taking and drug use among Latino men: Examining episodes of high-risk and low-risk sexual behavior</w:t>
      </w:r>
      <w:r w:rsidRPr="00953B6A">
        <w:rPr>
          <w:rFonts w:ascii="Times New Roman" w:hAnsi="Times New Roman"/>
          <w:noProof/>
          <w:sz w:val="24"/>
        </w:rPr>
        <w:t>. ProQuest Diss. Theses. 2004;</w:t>
      </w:r>
      <w:r w:rsidRPr="00953B6A">
        <w:rPr>
          <w:rFonts w:ascii="Times New Roman" w:hAnsi="Times New Roman"/>
          <w:b/>
          <w:bCs/>
          <w:noProof/>
          <w:sz w:val="24"/>
        </w:rPr>
        <w:t>65</w:t>
      </w:r>
      <w:r w:rsidRPr="00953B6A">
        <w:rPr>
          <w:rFonts w:ascii="Times New Roman" w:hAnsi="Times New Roman"/>
          <w:noProof/>
          <w:sz w:val="24"/>
        </w:rPr>
        <w:t>.</w:t>
      </w:r>
    </w:p>
    <w:p w14:paraId="0C58C878"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5 </w:t>
      </w:r>
      <w:r w:rsidRPr="00953B6A">
        <w:rPr>
          <w:rFonts w:ascii="Times New Roman" w:hAnsi="Times New Roman"/>
          <w:noProof/>
          <w:sz w:val="24"/>
        </w:rPr>
        <w:tab/>
        <w:t xml:space="preserve">Prestage G, Van de Ven P, Grulich A, </w:t>
      </w:r>
      <w:r w:rsidRPr="00953B6A">
        <w:rPr>
          <w:rFonts w:ascii="Times New Roman" w:hAnsi="Times New Roman"/>
          <w:i/>
          <w:iCs/>
          <w:noProof/>
          <w:sz w:val="24"/>
        </w:rPr>
        <w:t>et al.</w:t>
      </w:r>
      <w:r w:rsidRPr="00953B6A">
        <w:rPr>
          <w:rFonts w:ascii="Times New Roman" w:hAnsi="Times New Roman"/>
          <w:noProof/>
          <w:sz w:val="24"/>
        </w:rPr>
        <w:t xml:space="preserve"> Contexts for last occasions of unprotected anal intercourse among HIV-negative gay men in Sydney: the health in men cohort. </w:t>
      </w:r>
      <w:r w:rsidRPr="00953B6A">
        <w:rPr>
          <w:rFonts w:ascii="Times New Roman" w:hAnsi="Times New Roman"/>
          <w:i/>
          <w:iCs/>
          <w:noProof/>
          <w:sz w:val="24"/>
        </w:rPr>
        <w:t>AIDS Care</w:t>
      </w:r>
      <w:r w:rsidRPr="00953B6A">
        <w:rPr>
          <w:rFonts w:ascii="Times New Roman" w:hAnsi="Times New Roman"/>
          <w:noProof/>
          <w:sz w:val="24"/>
        </w:rPr>
        <w:t xml:space="preserve"> 2005;</w:t>
      </w:r>
      <w:r w:rsidRPr="00953B6A">
        <w:rPr>
          <w:rFonts w:ascii="Times New Roman" w:hAnsi="Times New Roman"/>
          <w:b/>
          <w:bCs/>
          <w:noProof/>
          <w:sz w:val="24"/>
        </w:rPr>
        <w:t>17</w:t>
      </w:r>
      <w:r w:rsidRPr="00953B6A">
        <w:rPr>
          <w:rFonts w:ascii="Times New Roman" w:hAnsi="Times New Roman"/>
          <w:noProof/>
          <w:sz w:val="24"/>
        </w:rPr>
        <w:t>:23–32.</w:t>
      </w:r>
    </w:p>
    <w:p w14:paraId="450F5A24"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6 </w:t>
      </w:r>
      <w:r w:rsidRPr="00953B6A">
        <w:rPr>
          <w:rFonts w:ascii="Times New Roman" w:hAnsi="Times New Roman"/>
          <w:noProof/>
          <w:sz w:val="24"/>
        </w:rPr>
        <w:tab/>
        <w:t xml:space="preserve">Lewnard JA, Berrang-Ford L. Internet-based partner selection and risk for unprotected anal intercourse in sexual encounters among men who have sex with men: a meta-analysis of observational studies. </w:t>
      </w:r>
      <w:r w:rsidRPr="00953B6A">
        <w:rPr>
          <w:rFonts w:ascii="Times New Roman" w:hAnsi="Times New Roman"/>
          <w:i/>
          <w:iCs/>
          <w:noProof/>
          <w:sz w:val="24"/>
        </w:rPr>
        <w:t>Sex Transm Infect</w:t>
      </w:r>
      <w:r w:rsidRPr="00953B6A">
        <w:rPr>
          <w:rFonts w:ascii="Times New Roman" w:hAnsi="Times New Roman"/>
          <w:noProof/>
          <w:sz w:val="24"/>
        </w:rPr>
        <w:t xml:space="preserve"> 2014;</w:t>
      </w:r>
      <w:r w:rsidRPr="00953B6A">
        <w:rPr>
          <w:rFonts w:ascii="Times New Roman" w:hAnsi="Times New Roman"/>
          <w:b/>
          <w:bCs/>
          <w:noProof/>
          <w:sz w:val="24"/>
        </w:rPr>
        <w:t>90</w:t>
      </w:r>
      <w:r w:rsidRPr="00953B6A">
        <w:rPr>
          <w:rFonts w:ascii="Times New Roman" w:hAnsi="Times New Roman"/>
          <w:noProof/>
          <w:sz w:val="24"/>
        </w:rPr>
        <w:t>:290–6.</w:t>
      </w:r>
    </w:p>
    <w:p w14:paraId="7901F9E8"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7 </w:t>
      </w:r>
      <w:r w:rsidRPr="00953B6A">
        <w:rPr>
          <w:rFonts w:ascii="Times New Roman" w:hAnsi="Times New Roman"/>
          <w:noProof/>
          <w:sz w:val="24"/>
        </w:rPr>
        <w:tab/>
        <w:t xml:space="preserve">Vosburgh HW, Mansergh G, Sullivan PS, </w:t>
      </w:r>
      <w:r w:rsidRPr="00953B6A">
        <w:rPr>
          <w:rFonts w:ascii="Times New Roman" w:hAnsi="Times New Roman"/>
          <w:i/>
          <w:iCs/>
          <w:noProof/>
          <w:sz w:val="24"/>
        </w:rPr>
        <w:t>et al.</w:t>
      </w:r>
      <w:r w:rsidRPr="00953B6A">
        <w:rPr>
          <w:rFonts w:ascii="Times New Roman" w:hAnsi="Times New Roman"/>
          <w:noProof/>
          <w:sz w:val="24"/>
        </w:rPr>
        <w:t xml:space="preserve"> A review of the literature on event-level substance use and sexual risk behavior among men who have sex with men. </w:t>
      </w:r>
      <w:r w:rsidRPr="00953B6A">
        <w:rPr>
          <w:rFonts w:ascii="Times New Roman" w:hAnsi="Times New Roman"/>
          <w:i/>
          <w:iCs/>
          <w:noProof/>
          <w:sz w:val="24"/>
        </w:rPr>
        <w:t>AIDS Behav</w:t>
      </w:r>
      <w:r w:rsidRPr="00953B6A">
        <w:rPr>
          <w:rFonts w:ascii="Times New Roman" w:hAnsi="Times New Roman"/>
          <w:noProof/>
          <w:sz w:val="24"/>
        </w:rPr>
        <w:t xml:space="preserve"> 2012;</w:t>
      </w:r>
      <w:r w:rsidRPr="00953B6A">
        <w:rPr>
          <w:rFonts w:ascii="Times New Roman" w:hAnsi="Times New Roman"/>
          <w:b/>
          <w:bCs/>
          <w:noProof/>
          <w:sz w:val="24"/>
        </w:rPr>
        <w:t>16</w:t>
      </w:r>
      <w:r w:rsidRPr="00953B6A">
        <w:rPr>
          <w:rFonts w:ascii="Times New Roman" w:hAnsi="Times New Roman"/>
          <w:noProof/>
          <w:sz w:val="24"/>
        </w:rPr>
        <w:t>:1394–410. doi:10.1007/s10461-011-0131-8</w:t>
      </w:r>
    </w:p>
    <w:p w14:paraId="5BDD2986"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8 </w:t>
      </w:r>
      <w:r w:rsidRPr="00953B6A">
        <w:rPr>
          <w:rFonts w:ascii="Times New Roman" w:hAnsi="Times New Roman"/>
          <w:noProof/>
          <w:sz w:val="24"/>
        </w:rPr>
        <w:tab/>
        <w:t xml:space="preserve">Drumright LN, Patterson TL, Strathdee SA. Club drugs as causal risk factors for HIV acquisition among men who have sex with men: a review. </w:t>
      </w:r>
      <w:r w:rsidRPr="00953B6A">
        <w:rPr>
          <w:rFonts w:ascii="Times New Roman" w:hAnsi="Times New Roman"/>
          <w:i/>
          <w:iCs/>
          <w:noProof/>
          <w:sz w:val="24"/>
        </w:rPr>
        <w:t>Subst Use Misuse</w:t>
      </w:r>
      <w:r w:rsidRPr="00953B6A">
        <w:rPr>
          <w:rFonts w:ascii="Times New Roman" w:hAnsi="Times New Roman"/>
          <w:noProof/>
          <w:sz w:val="24"/>
        </w:rPr>
        <w:t xml:space="preserve"> 2006;</w:t>
      </w:r>
      <w:r w:rsidRPr="00953B6A">
        <w:rPr>
          <w:rFonts w:ascii="Times New Roman" w:hAnsi="Times New Roman"/>
          <w:b/>
          <w:bCs/>
          <w:noProof/>
          <w:sz w:val="24"/>
        </w:rPr>
        <w:t>41</w:t>
      </w:r>
      <w:r w:rsidRPr="00953B6A">
        <w:rPr>
          <w:rFonts w:ascii="Times New Roman" w:hAnsi="Times New Roman"/>
          <w:noProof/>
          <w:sz w:val="24"/>
        </w:rPr>
        <w:t>:1551–601. doi:10.1080/10826080600847894</w:t>
      </w:r>
    </w:p>
    <w:p w14:paraId="4E8ED76A"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9 </w:t>
      </w:r>
      <w:r w:rsidRPr="00953B6A">
        <w:rPr>
          <w:rFonts w:ascii="Times New Roman" w:hAnsi="Times New Roman"/>
          <w:noProof/>
          <w:sz w:val="24"/>
        </w:rPr>
        <w:tab/>
        <w:t xml:space="preserve">Bedoya CA, Mimiaga MJ, Beauchamp G, </w:t>
      </w:r>
      <w:r w:rsidRPr="00953B6A">
        <w:rPr>
          <w:rFonts w:ascii="Times New Roman" w:hAnsi="Times New Roman"/>
          <w:i/>
          <w:iCs/>
          <w:noProof/>
          <w:sz w:val="24"/>
        </w:rPr>
        <w:t>et al.</w:t>
      </w:r>
      <w:r w:rsidRPr="00953B6A">
        <w:rPr>
          <w:rFonts w:ascii="Times New Roman" w:hAnsi="Times New Roman"/>
          <w:noProof/>
          <w:sz w:val="24"/>
        </w:rPr>
        <w:t xml:space="preserve"> Predictors of HIV Transmission Risk Behavior and Seroconversion Among Latino Men Who have Sex with Men in Project EXPLORE. </w:t>
      </w:r>
      <w:r w:rsidRPr="00953B6A">
        <w:rPr>
          <w:rFonts w:ascii="Times New Roman" w:hAnsi="Times New Roman"/>
          <w:i/>
          <w:iCs/>
          <w:noProof/>
          <w:sz w:val="24"/>
        </w:rPr>
        <w:t>AIDS Behav</w:t>
      </w:r>
      <w:r w:rsidRPr="00953B6A">
        <w:rPr>
          <w:rFonts w:ascii="Times New Roman" w:hAnsi="Times New Roman"/>
          <w:noProof/>
          <w:sz w:val="24"/>
        </w:rPr>
        <w:t xml:space="preserve"> 2012;</w:t>
      </w:r>
      <w:r w:rsidRPr="00953B6A">
        <w:rPr>
          <w:rFonts w:ascii="Times New Roman" w:hAnsi="Times New Roman"/>
          <w:b/>
          <w:bCs/>
          <w:noProof/>
          <w:sz w:val="24"/>
        </w:rPr>
        <w:t>16</w:t>
      </w:r>
      <w:r w:rsidRPr="00953B6A">
        <w:rPr>
          <w:rFonts w:ascii="Times New Roman" w:hAnsi="Times New Roman"/>
          <w:noProof/>
          <w:sz w:val="24"/>
        </w:rPr>
        <w:t>:608–17. doi:10.1007/s10461-011-9911-4</w:t>
      </w:r>
    </w:p>
    <w:p w14:paraId="58EAE043"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10 </w:t>
      </w:r>
      <w:r w:rsidRPr="00953B6A">
        <w:rPr>
          <w:rFonts w:ascii="Times New Roman" w:hAnsi="Times New Roman"/>
          <w:noProof/>
          <w:sz w:val="24"/>
        </w:rPr>
        <w:tab/>
        <w:t xml:space="preserve">Heiligenberg M, Wermeling PR, van Rooijen MS, </w:t>
      </w:r>
      <w:r w:rsidRPr="00953B6A">
        <w:rPr>
          <w:rFonts w:ascii="Times New Roman" w:hAnsi="Times New Roman"/>
          <w:i/>
          <w:iCs/>
          <w:noProof/>
          <w:sz w:val="24"/>
        </w:rPr>
        <w:t>et al.</w:t>
      </w:r>
      <w:r w:rsidRPr="00953B6A">
        <w:rPr>
          <w:rFonts w:ascii="Times New Roman" w:hAnsi="Times New Roman"/>
          <w:noProof/>
          <w:sz w:val="24"/>
        </w:rPr>
        <w:t xml:space="preserve"> Recreational Drug Use During Sex and Sexually Transmitted Infections Among Clients of a City Sexually Transmitted Infections Clinic in Amsterdam, The Netherlands. </w:t>
      </w:r>
      <w:r w:rsidRPr="00953B6A">
        <w:rPr>
          <w:rFonts w:ascii="Times New Roman" w:hAnsi="Times New Roman"/>
          <w:i/>
          <w:iCs/>
          <w:noProof/>
          <w:sz w:val="24"/>
        </w:rPr>
        <w:t>Sex Transm Dis</w:t>
      </w:r>
      <w:r w:rsidRPr="00953B6A">
        <w:rPr>
          <w:rFonts w:ascii="Times New Roman" w:hAnsi="Times New Roman"/>
          <w:noProof/>
          <w:sz w:val="24"/>
        </w:rPr>
        <w:t xml:space="preserve"> 2012;</w:t>
      </w:r>
      <w:r w:rsidRPr="00953B6A">
        <w:rPr>
          <w:rFonts w:ascii="Times New Roman" w:hAnsi="Times New Roman"/>
          <w:b/>
          <w:bCs/>
          <w:noProof/>
          <w:sz w:val="24"/>
        </w:rPr>
        <w:t>39</w:t>
      </w:r>
      <w:r w:rsidRPr="00953B6A">
        <w:rPr>
          <w:rFonts w:ascii="Times New Roman" w:hAnsi="Times New Roman"/>
          <w:noProof/>
          <w:sz w:val="24"/>
        </w:rPr>
        <w:t>:518–27. doi:10.1097/OLQ.0b013e3182515601</w:t>
      </w:r>
    </w:p>
    <w:p w14:paraId="45AA539D"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11 </w:t>
      </w:r>
      <w:r w:rsidRPr="00953B6A">
        <w:rPr>
          <w:rFonts w:ascii="Times New Roman" w:hAnsi="Times New Roman"/>
          <w:noProof/>
          <w:sz w:val="24"/>
        </w:rPr>
        <w:tab/>
        <w:t xml:space="preserve">Fisher MP, Ramchand R, Bana S, </w:t>
      </w:r>
      <w:r w:rsidRPr="00953B6A">
        <w:rPr>
          <w:rFonts w:ascii="Times New Roman" w:hAnsi="Times New Roman"/>
          <w:i/>
          <w:iCs/>
          <w:noProof/>
          <w:sz w:val="24"/>
        </w:rPr>
        <w:t>et al.</w:t>
      </w:r>
      <w:r w:rsidRPr="00953B6A">
        <w:rPr>
          <w:rFonts w:ascii="Times New Roman" w:hAnsi="Times New Roman"/>
          <w:noProof/>
          <w:sz w:val="24"/>
        </w:rPr>
        <w:t xml:space="preserve"> Risk behaviors among HIV-positive gay and bisexual men at party-oriented vacations. </w:t>
      </w:r>
      <w:r w:rsidRPr="00953B6A">
        <w:rPr>
          <w:rFonts w:ascii="Times New Roman" w:hAnsi="Times New Roman"/>
          <w:i/>
          <w:iCs/>
          <w:noProof/>
          <w:sz w:val="24"/>
        </w:rPr>
        <w:t>J Stud Alcohol Drugs</w:t>
      </w:r>
      <w:r w:rsidRPr="00953B6A">
        <w:rPr>
          <w:rFonts w:ascii="Times New Roman" w:hAnsi="Times New Roman"/>
          <w:noProof/>
          <w:sz w:val="24"/>
        </w:rPr>
        <w:t xml:space="preserve"> 2013;</w:t>
      </w:r>
      <w:r w:rsidRPr="00953B6A">
        <w:rPr>
          <w:rFonts w:ascii="Times New Roman" w:hAnsi="Times New Roman"/>
          <w:b/>
          <w:bCs/>
          <w:noProof/>
          <w:sz w:val="24"/>
        </w:rPr>
        <w:t>74</w:t>
      </w:r>
      <w:r w:rsidRPr="00953B6A">
        <w:rPr>
          <w:rFonts w:ascii="Times New Roman" w:hAnsi="Times New Roman"/>
          <w:noProof/>
          <w:sz w:val="24"/>
        </w:rPr>
        <w:t>:158–67.</w:t>
      </w:r>
    </w:p>
    <w:p w14:paraId="32568FBE"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lastRenderedPageBreak/>
        <w:t xml:space="preserve">12 </w:t>
      </w:r>
      <w:r w:rsidRPr="00953B6A">
        <w:rPr>
          <w:rFonts w:ascii="Times New Roman" w:hAnsi="Times New Roman"/>
          <w:noProof/>
          <w:sz w:val="24"/>
        </w:rPr>
        <w:tab/>
        <w:t xml:space="preserve">Bourne A, Reid D, Hickson F, </w:t>
      </w:r>
      <w:r w:rsidRPr="00953B6A">
        <w:rPr>
          <w:rFonts w:ascii="Times New Roman" w:hAnsi="Times New Roman"/>
          <w:i/>
          <w:iCs/>
          <w:noProof/>
          <w:sz w:val="24"/>
        </w:rPr>
        <w:t>et al.</w:t>
      </w:r>
      <w:r w:rsidRPr="00953B6A">
        <w:rPr>
          <w:rFonts w:ascii="Times New Roman" w:hAnsi="Times New Roman"/>
          <w:noProof/>
          <w:sz w:val="24"/>
        </w:rPr>
        <w:t xml:space="preserve"> </w:t>
      </w:r>
      <w:r w:rsidRPr="00953B6A">
        <w:rPr>
          <w:rFonts w:ascii="Times New Roman" w:hAnsi="Times New Roman"/>
          <w:i/>
          <w:iCs/>
          <w:noProof/>
          <w:sz w:val="24"/>
        </w:rPr>
        <w:t>The Chemsex Study: drug use in sexual settings among gay &amp; bisexual men in Lambeth, Southwark, &amp; Lewisham.</w:t>
      </w:r>
      <w:r w:rsidRPr="00953B6A">
        <w:rPr>
          <w:rFonts w:ascii="Times New Roman" w:hAnsi="Times New Roman"/>
          <w:noProof/>
          <w:sz w:val="24"/>
        </w:rPr>
        <w:t xml:space="preserve"> London: : Sigma Research, London School of Hygiene and Tropical Medicine 2014. </w:t>
      </w:r>
    </w:p>
    <w:p w14:paraId="3DD54078"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13 </w:t>
      </w:r>
      <w:r w:rsidRPr="00953B6A">
        <w:rPr>
          <w:rFonts w:ascii="Times New Roman" w:hAnsi="Times New Roman"/>
          <w:noProof/>
          <w:sz w:val="24"/>
        </w:rPr>
        <w:tab/>
        <w:t xml:space="preserve">Hickson F, Tomlin K, Hargreaves J, </w:t>
      </w:r>
      <w:r w:rsidRPr="00953B6A">
        <w:rPr>
          <w:rFonts w:ascii="Times New Roman" w:hAnsi="Times New Roman"/>
          <w:i/>
          <w:iCs/>
          <w:noProof/>
          <w:sz w:val="24"/>
        </w:rPr>
        <w:t>et al.</w:t>
      </w:r>
      <w:r w:rsidRPr="00953B6A">
        <w:rPr>
          <w:rFonts w:ascii="Times New Roman" w:hAnsi="Times New Roman"/>
          <w:noProof/>
          <w:sz w:val="24"/>
        </w:rPr>
        <w:t xml:space="preserve"> Internet-based cohort study of HIV testing over 1 year among men who have sex with men living in England and exposed to a social marketing intervention promoting testing. </w:t>
      </w:r>
      <w:r w:rsidRPr="00953B6A">
        <w:rPr>
          <w:rFonts w:ascii="Times New Roman" w:hAnsi="Times New Roman"/>
          <w:i/>
          <w:iCs/>
          <w:noProof/>
          <w:sz w:val="24"/>
        </w:rPr>
        <w:t>Sex Transm Infect</w:t>
      </w:r>
      <w:r w:rsidRPr="00953B6A">
        <w:rPr>
          <w:rFonts w:ascii="Times New Roman" w:hAnsi="Times New Roman"/>
          <w:noProof/>
          <w:sz w:val="24"/>
        </w:rPr>
        <w:t xml:space="preserve"> 2014;:1–7. doi:10.1136/sextrans-2014-051598</w:t>
      </w:r>
    </w:p>
    <w:p w14:paraId="39170A45"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14 </w:t>
      </w:r>
      <w:r w:rsidRPr="00953B6A">
        <w:rPr>
          <w:rFonts w:ascii="Times New Roman" w:hAnsi="Times New Roman"/>
          <w:noProof/>
          <w:sz w:val="24"/>
        </w:rPr>
        <w:tab/>
        <w:t xml:space="preserve">Baron RM, Kenny D a. The moderator-mediator variable distinction in social psychological research: conceptual, strategic, and statistical considerations. </w:t>
      </w:r>
      <w:r w:rsidRPr="00953B6A">
        <w:rPr>
          <w:rFonts w:ascii="Times New Roman" w:hAnsi="Times New Roman"/>
          <w:i/>
          <w:iCs/>
          <w:noProof/>
          <w:sz w:val="24"/>
        </w:rPr>
        <w:t>J Pers Soc Psychol</w:t>
      </w:r>
      <w:r w:rsidRPr="00953B6A">
        <w:rPr>
          <w:rFonts w:ascii="Times New Roman" w:hAnsi="Times New Roman"/>
          <w:noProof/>
          <w:sz w:val="24"/>
        </w:rPr>
        <w:t xml:space="preserve"> 1986;</w:t>
      </w:r>
      <w:r w:rsidRPr="00953B6A">
        <w:rPr>
          <w:rFonts w:ascii="Times New Roman" w:hAnsi="Times New Roman"/>
          <w:b/>
          <w:bCs/>
          <w:noProof/>
          <w:sz w:val="24"/>
        </w:rPr>
        <w:t>51</w:t>
      </w:r>
      <w:r w:rsidRPr="00953B6A">
        <w:rPr>
          <w:rFonts w:ascii="Times New Roman" w:hAnsi="Times New Roman"/>
          <w:noProof/>
          <w:sz w:val="24"/>
        </w:rPr>
        <w:t>:1173–82.</w:t>
      </w:r>
    </w:p>
    <w:p w14:paraId="43F1C844"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15 </w:t>
      </w:r>
      <w:r w:rsidRPr="00953B6A">
        <w:rPr>
          <w:rFonts w:ascii="Times New Roman" w:hAnsi="Times New Roman"/>
          <w:noProof/>
          <w:sz w:val="24"/>
        </w:rPr>
        <w:tab/>
        <w:t xml:space="preserve">Dodds JP, Mercer CH, Mercey DE, </w:t>
      </w:r>
      <w:r w:rsidRPr="00953B6A">
        <w:rPr>
          <w:rFonts w:ascii="Times New Roman" w:hAnsi="Times New Roman"/>
          <w:i/>
          <w:iCs/>
          <w:noProof/>
          <w:sz w:val="24"/>
        </w:rPr>
        <w:t>et al.</w:t>
      </w:r>
      <w:r w:rsidRPr="00953B6A">
        <w:rPr>
          <w:rFonts w:ascii="Times New Roman" w:hAnsi="Times New Roman"/>
          <w:noProof/>
          <w:sz w:val="24"/>
        </w:rPr>
        <w:t xml:space="preserve"> Men who have sex with men: a comparison of a probability sample survey and a community based study. </w:t>
      </w:r>
      <w:r w:rsidRPr="00953B6A">
        <w:rPr>
          <w:rFonts w:ascii="Times New Roman" w:hAnsi="Times New Roman"/>
          <w:i/>
          <w:iCs/>
          <w:noProof/>
          <w:sz w:val="24"/>
        </w:rPr>
        <w:t>Sex Transm Infect</w:t>
      </w:r>
      <w:r w:rsidRPr="00953B6A">
        <w:rPr>
          <w:rFonts w:ascii="Times New Roman" w:hAnsi="Times New Roman"/>
          <w:noProof/>
          <w:sz w:val="24"/>
        </w:rPr>
        <w:t xml:space="preserve"> 2006;</w:t>
      </w:r>
      <w:r w:rsidRPr="00953B6A">
        <w:rPr>
          <w:rFonts w:ascii="Times New Roman" w:hAnsi="Times New Roman"/>
          <w:b/>
          <w:bCs/>
          <w:noProof/>
          <w:sz w:val="24"/>
        </w:rPr>
        <w:t>82</w:t>
      </w:r>
      <w:r w:rsidRPr="00953B6A">
        <w:rPr>
          <w:rFonts w:ascii="Times New Roman" w:hAnsi="Times New Roman"/>
          <w:noProof/>
          <w:sz w:val="24"/>
        </w:rPr>
        <w:t>:86–7. doi:10.1136/sti.2005.015248</w:t>
      </w:r>
    </w:p>
    <w:p w14:paraId="2D9CB252"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16 </w:t>
      </w:r>
      <w:r w:rsidRPr="00953B6A">
        <w:rPr>
          <w:rFonts w:ascii="Times New Roman" w:hAnsi="Times New Roman"/>
          <w:noProof/>
          <w:sz w:val="24"/>
        </w:rPr>
        <w:tab/>
        <w:t xml:space="preserve">Kirby T, Thornber-Dunwell M. High-risk drug practices tighten grip on London gay scene. </w:t>
      </w:r>
      <w:r w:rsidRPr="00953B6A">
        <w:rPr>
          <w:rFonts w:ascii="Times New Roman" w:hAnsi="Times New Roman"/>
          <w:i/>
          <w:iCs/>
          <w:noProof/>
          <w:sz w:val="24"/>
        </w:rPr>
        <w:t>Lancet</w:t>
      </w:r>
      <w:r w:rsidRPr="00953B6A">
        <w:rPr>
          <w:rFonts w:ascii="Times New Roman" w:hAnsi="Times New Roman"/>
          <w:noProof/>
          <w:sz w:val="24"/>
        </w:rPr>
        <w:t xml:space="preserve"> 2013;</w:t>
      </w:r>
      <w:r w:rsidRPr="00953B6A">
        <w:rPr>
          <w:rFonts w:ascii="Times New Roman" w:hAnsi="Times New Roman"/>
          <w:b/>
          <w:bCs/>
          <w:noProof/>
          <w:sz w:val="24"/>
        </w:rPr>
        <w:t>381</w:t>
      </w:r>
      <w:r w:rsidRPr="00953B6A">
        <w:rPr>
          <w:rFonts w:ascii="Times New Roman" w:hAnsi="Times New Roman"/>
          <w:noProof/>
          <w:sz w:val="24"/>
        </w:rPr>
        <w:t>:101–2. doi:10.1016/S0140-6736(13)60032-X</w:t>
      </w:r>
    </w:p>
    <w:p w14:paraId="6F71B08E"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17 </w:t>
      </w:r>
      <w:r w:rsidRPr="00953B6A">
        <w:rPr>
          <w:rFonts w:ascii="Times New Roman" w:hAnsi="Times New Roman"/>
          <w:noProof/>
          <w:sz w:val="24"/>
        </w:rPr>
        <w:tab/>
        <w:t xml:space="preserve">Wilson PA, Cook S, McGaskey J, </w:t>
      </w:r>
      <w:r w:rsidRPr="00953B6A">
        <w:rPr>
          <w:rFonts w:ascii="Times New Roman" w:hAnsi="Times New Roman"/>
          <w:i/>
          <w:iCs/>
          <w:noProof/>
          <w:sz w:val="24"/>
        </w:rPr>
        <w:t>et al.</w:t>
      </w:r>
      <w:r w:rsidRPr="00953B6A">
        <w:rPr>
          <w:rFonts w:ascii="Times New Roman" w:hAnsi="Times New Roman"/>
          <w:noProof/>
          <w:sz w:val="24"/>
        </w:rPr>
        <w:t xml:space="preserve"> Situational predictors of sexual risk episodes among men with HIV who have sex with men. </w:t>
      </w:r>
      <w:r w:rsidRPr="00953B6A">
        <w:rPr>
          <w:rFonts w:ascii="Times New Roman" w:hAnsi="Times New Roman"/>
          <w:i/>
          <w:iCs/>
          <w:noProof/>
          <w:sz w:val="24"/>
        </w:rPr>
        <w:t>Sex Transm Infect</w:t>
      </w:r>
      <w:r w:rsidRPr="00953B6A">
        <w:rPr>
          <w:rFonts w:ascii="Times New Roman" w:hAnsi="Times New Roman"/>
          <w:noProof/>
          <w:sz w:val="24"/>
        </w:rPr>
        <w:t xml:space="preserve"> 2008;</w:t>
      </w:r>
      <w:r w:rsidRPr="00953B6A">
        <w:rPr>
          <w:rFonts w:ascii="Times New Roman" w:hAnsi="Times New Roman"/>
          <w:b/>
          <w:bCs/>
          <w:noProof/>
          <w:sz w:val="24"/>
        </w:rPr>
        <w:t>84</w:t>
      </w:r>
      <w:r w:rsidRPr="00953B6A">
        <w:rPr>
          <w:rFonts w:ascii="Times New Roman" w:hAnsi="Times New Roman"/>
          <w:noProof/>
          <w:sz w:val="24"/>
        </w:rPr>
        <w:t>:506–8. doi:10.1136/sti.2008.031583</w:t>
      </w:r>
    </w:p>
    <w:p w14:paraId="778F1D56" w14:textId="77777777" w:rsidR="00953B6A" w:rsidRPr="00953B6A" w:rsidRDefault="00953B6A" w:rsidP="00E54F0A">
      <w:pPr>
        <w:pStyle w:val="NormalWeb"/>
        <w:ind w:left="640" w:hanging="640"/>
        <w:divId w:val="1289119917"/>
        <w:rPr>
          <w:rFonts w:ascii="Times New Roman" w:hAnsi="Times New Roman"/>
          <w:noProof/>
          <w:sz w:val="24"/>
        </w:rPr>
      </w:pPr>
      <w:r w:rsidRPr="00953B6A">
        <w:rPr>
          <w:rFonts w:ascii="Times New Roman" w:hAnsi="Times New Roman"/>
          <w:noProof/>
          <w:sz w:val="24"/>
        </w:rPr>
        <w:t xml:space="preserve">18 </w:t>
      </w:r>
      <w:r w:rsidRPr="00953B6A">
        <w:rPr>
          <w:rFonts w:ascii="Times New Roman" w:hAnsi="Times New Roman"/>
          <w:noProof/>
          <w:sz w:val="24"/>
        </w:rPr>
        <w:tab/>
        <w:t xml:space="preserve">McKirnan DJ, Ostrow DG, Hope BY. Sex, drugs and escape: a psychological model of HIV-risk sexual behaviours. </w:t>
      </w:r>
      <w:r w:rsidRPr="00953B6A">
        <w:rPr>
          <w:rFonts w:ascii="Times New Roman" w:hAnsi="Times New Roman"/>
          <w:i/>
          <w:iCs/>
          <w:noProof/>
          <w:sz w:val="24"/>
        </w:rPr>
        <w:t>AIDS Care</w:t>
      </w:r>
      <w:r w:rsidRPr="00953B6A">
        <w:rPr>
          <w:rFonts w:ascii="Times New Roman" w:hAnsi="Times New Roman"/>
          <w:noProof/>
          <w:sz w:val="24"/>
        </w:rPr>
        <w:t xml:space="preserve"> 1996;</w:t>
      </w:r>
      <w:r w:rsidRPr="00953B6A">
        <w:rPr>
          <w:rFonts w:ascii="Times New Roman" w:hAnsi="Times New Roman"/>
          <w:b/>
          <w:bCs/>
          <w:noProof/>
          <w:sz w:val="24"/>
        </w:rPr>
        <w:t>8</w:t>
      </w:r>
      <w:r w:rsidRPr="00953B6A">
        <w:rPr>
          <w:rFonts w:ascii="Times New Roman" w:hAnsi="Times New Roman"/>
          <w:noProof/>
          <w:sz w:val="24"/>
        </w:rPr>
        <w:t xml:space="preserve">:655–70. </w:t>
      </w:r>
    </w:p>
    <w:p w14:paraId="20F645F2" w14:textId="39A80F00" w:rsidR="00901E41" w:rsidRPr="00901E41" w:rsidRDefault="00A251D9" w:rsidP="00E54F0A">
      <w:pPr>
        <w:pStyle w:val="NormalWeb"/>
        <w:ind w:left="640" w:hanging="640"/>
        <w:divId w:val="1669357492"/>
        <w:rPr>
          <w:rFonts w:ascii="Times New Roman" w:hAnsi="Times New Roman"/>
        </w:rPr>
      </w:pPr>
      <w:r>
        <w:rPr>
          <w:rFonts w:ascii="Times New Roman" w:hAnsi="Times New Roman"/>
        </w:rPr>
        <w:fldChar w:fldCharType="end"/>
      </w:r>
    </w:p>
    <w:sectPr w:rsidR="00901E41" w:rsidRPr="00901E41" w:rsidSect="00A544FA">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A6E85" w14:textId="77777777" w:rsidR="00D61F4F" w:rsidRDefault="00D61F4F" w:rsidP="00F94BB3">
      <w:r>
        <w:separator/>
      </w:r>
    </w:p>
  </w:endnote>
  <w:endnote w:type="continuationSeparator" w:id="0">
    <w:p w14:paraId="40940E2F" w14:textId="77777777" w:rsidR="00D61F4F" w:rsidRDefault="00D61F4F" w:rsidP="00F9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5689" w14:textId="77777777" w:rsidR="00D61F4F" w:rsidRDefault="00D61F4F" w:rsidP="00082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A845589" w14:textId="77777777" w:rsidR="00D61F4F" w:rsidRDefault="00D61F4F" w:rsidP="00F42B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BE94" w14:textId="77777777" w:rsidR="00D61F4F" w:rsidRPr="00082AC8" w:rsidRDefault="00D61F4F" w:rsidP="00082AC8">
    <w:pPr>
      <w:pStyle w:val="Footer"/>
      <w:framePr w:wrap="around" w:vAnchor="text" w:hAnchor="margin" w:xAlign="right" w:y="1"/>
      <w:rPr>
        <w:rStyle w:val="PageNumber"/>
        <w:rFonts w:ascii="Times New Roman" w:hAnsi="Times New Roman"/>
      </w:rPr>
    </w:pPr>
    <w:r w:rsidRPr="00082AC8">
      <w:rPr>
        <w:rStyle w:val="PageNumber"/>
        <w:rFonts w:ascii="Times New Roman" w:hAnsi="Times New Roman"/>
      </w:rPr>
      <w:fldChar w:fldCharType="begin"/>
    </w:r>
    <w:r w:rsidRPr="00082AC8">
      <w:rPr>
        <w:rStyle w:val="PageNumber"/>
        <w:rFonts w:ascii="Times New Roman" w:hAnsi="Times New Roman"/>
      </w:rPr>
      <w:instrText xml:space="preserve">PAGE  </w:instrText>
    </w:r>
    <w:r w:rsidRPr="00082AC8">
      <w:rPr>
        <w:rStyle w:val="PageNumber"/>
        <w:rFonts w:ascii="Times New Roman" w:hAnsi="Times New Roman"/>
      </w:rPr>
      <w:fldChar w:fldCharType="separate"/>
    </w:r>
    <w:r w:rsidR="00D06A3E">
      <w:rPr>
        <w:rStyle w:val="PageNumber"/>
        <w:rFonts w:ascii="Times New Roman" w:hAnsi="Times New Roman"/>
        <w:noProof/>
      </w:rPr>
      <w:t>9</w:t>
    </w:r>
    <w:r w:rsidRPr="00082AC8">
      <w:rPr>
        <w:rStyle w:val="PageNumber"/>
        <w:rFonts w:ascii="Times New Roman" w:hAnsi="Times New Roman"/>
      </w:rPr>
      <w:fldChar w:fldCharType="end"/>
    </w:r>
  </w:p>
  <w:p w14:paraId="42A60C46" w14:textId="77777777" w:rsidR="00D61F4F" w:rsidRPr="00082AC8" w:rsidRDefault="00D61F4F" w:rsidP="00082AC8">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9EF4" w14:textId="77777777" w:rsidR="00D61F4F" w:rsidRDefault="00D61F4F" w:rsidP="00F94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B13CE3B" w14:textId="77777777" w:rsidR="00D61F4F" w:rsidRDefault="00D61F4F" w:rsidP="00F42BD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A3BB" w14:textId="77777777" w:rsidR="00D61F4F" w:rsidRPr="00F94BB3" w:rsidRDefault="00D61F4F" w:rsidP="00F94BB3">
    <w:pPr>
      <w:pStyle w:val="Footer"/>
      <w:framePr w:wrap="around" w:vAnchor="text" w:hAnchor="margin" w:xAlign="right" w:y="1"/>
      <w:rPr>
        <w:rStyle w:val="PageNumber"/>
        <w:rFonts w:ascii="Times New Roman" w:hAnsi="Times New Roman" w:cs="Times New Roman"/>
      </w:rPr>
    </w:pPr>
    <w:r w:rsidRPr="00F94BB3">
      <w:rPr>
        <w:rStyle w:val="PageNumber"/>
        <w:rFonts w:ascii="Times New Roman" w:hAnsi="Times New Roman" w:cs="Times New Roman"/>
      </w:rPr>
      <w:fldChar w:fldCharType="begin"/>
    </w:r>
    <w:r w:rsidRPr="00F94BB3">
      <w:rPr>
        <w:rStyle w:val="PageNumber"/>
        <w:rFonts w:ascii="Times New Roman" w:hAnsi="Times New Roman" w:cs="Times New Roman"/>
      </w:rPr>
      <w:instrText xml:space="preserve">PAGE  </w:instrText>
    </w:r>
    <w:r w:rsidRPr="00F94BB3">
      <w:rPr>
        <w:rStyle w:val="PageNumber"/>
        <w:rFonts w:ascii="Times New Roman" w:hAnsi="Times New Roman" w:cs="Times New Roman"/>
      </w:rPr>
      <w:fldChar w:fldCharType="separate"/>
    </w:r>
    <w:r w:rsidR="00D06A3E">
      <w:rPr>
        <w:rStyle w:val="PageNumber"/>
        <w:rFonts w:ascii="Times New Roman" w:hAnsi="Times New Roman" w:cs="Times New Roman"/>
        <w:noProof/>
      </w:rPr>
      <w:t>19</w:t>
    </w:r>
    <w:r w:rsidRPr="00F94BB3">
      <w:rPr>
        <w:rStyle w:val="PageNumber"/>
        <w:rFonts w:ascii="Times New Roman" w:hAnsi="Times New Roman" w:cs="Times New Roman"/>
      </w:rPr>
      <w:fldChar w:fldCharType="end"/>
    </w:r>
  </w:p>
  <w:p w14:paraId="6EDFFFEB" w14:textId="77777777" w:rsidR="00D61F4F" w:rsidRPr="00F94BB3" w:rsidRDefault="00D61F4F" w:rsidP="00F94BB3">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2135" w14:textId="77777777" w:rsidR="00D61F4F" w:rsidRDefault="00D61F4F" w:rsidP="00F94BB3">
      <w:r>
        <w:separator/>
      </w:r>
    </w:p>
  </w:footnote>
  <w:footnote w:type="continuationSeparator" w:id="0">
    <w:p w14:paraId="170D1EC1" w14:textId="77777777" w:rsidR="00D61F4F" w:rsidRDefault="00D61F4F" w:rsidP="00F9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81ABC"/>
    <w:multiLevelType w:val="hybridMultilevel"/>
    <w:tmpl w:val="A7E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C4"/>
    <w:rsid w:val="000000A9"/>
    <w:rsid w:val="000335B7"/>
    <w:rsid w:val="00050441"/>
    <w:rsid w:val="00056197"/>
    <w:rsid w:val="000633D4"/>
    <w:rsid w:val="000744F0"/>
    <w:rsid w:val="00077609"/>
    <w:rsid w:val="00082AC8"/>
    <w:rsid w:val="00083AF3"/>
    <w:rsid w:val="000A5115"/>
    <w:rsid w:val="000B416F"/>
    <w:rsid w:val="000D1C77"/>
    <w:rsid w:val="000D2013"/>
    <w:rsid w:val="000D4F04"/>
    <w:rsid w:val="000F27B8"/>
    <w:rsid w:val="00104B9B"/>
    <w:rsid w:val="0013732D"/>
    <w:rsid w:val="00150C14"/>
    <w:rsid w:val="00150CC1"/>
    <w:rsid w:val="0016331B"/>
    <w:rsid w:val="00163B5F"/>
    <w:rsid w:val="00166C3D"/>
    <w:rsid w:val="00181CBA"/>
    <w:rsid w:val="001C3E18"/>
    <w:rsid w:val="001C4F71"/>
    <w:rsid w:val="001F7D9B"/>
    <w:rsid w:val="0024592A"/>
    <w:rsid w:val="00263CA3"/>
    <w:rsid w:val="00296162"/>
    <w:rsid w:val="002B5C0C"/>
    <w:rsid w:val="002E5B7E"/>
    <w:rsid w:val="002E66B3"/>
    <w:rsid w:val="0030129D"/>
    <w:rsid w:val="0030643A"/>
    <w:rsid w:val="003324C2"/>
    <w:rsid w:val="00334365"/>
    <w:rsid w:val="00380FA6"/>
    <w:rsid w:val="003A5736"/>
    <w:rsid w:val="003C0798"/>
    <w:rsid w:val="003F1BE2"/>
    <w:rsid w:val="003F24C4"/>
    <w:rsid w:val="003F4232"/>
    <w:rsid w:val="004063D1"/>
    <w:rsid w:val="00420B18"/>
    <w:rsid w:val="00436EBD"/>
    <w:rsid w:val="00446923"/>
    <w:rsid w:val="004621EB"/>
    <w:rsid w:val="0047178E"/>
    <w:rsid w:val="004829DF"/>
    <w:rsid w:val="004A0EC4"/>
    <w:rsid w:val="004B6F4D"/>
    <w:rsid w:val="004D305B"/>
    <w:rsid w:val="004E68F1"/>
    <w:rsid w:val="004F1876"/>
    <w:rsid w:val="005105FF"/>
    <w:rsid w:val="00515B98"/>
    <w:rsid w:val="0053393E"/>
    <w:rsid w:val="005340E3"/>
    <w:rsid w:val="00546D0B"/>
    <w:rsid w:val="00547121"/>
    <w:rsid w:val="005974E0"/>
    <w:rsid w:val="005979D3"/>
    <w:rsid w:val="005A77C3"/>
    <w:rsid w:val="005B28C6"/>
    <w:rsid w:val="005B5EF4"/>
    <w:rsid w:val="005B6B7F"/>
    <w:rsid w:val="005C0998"/>
    <w:rsid w:val="005F273E"/>
    <w:rsid w:val="00620374"/>
    <w:rsid w:val="006418C0"/>
    <w:rsid w:val="00657DF7"/>
    <w:rsid w:val="00677CB7"/>
    <w:rsid w:val="00693BBA"/>
    <w:rsid w:val="006A4A8C"/>
    <w:rsid w:val="006C75A2"/>
    <w:rsid w:val="006D41ED"/>
    <w:rsid w:val="006E4730"/>
    <w:rsid w:val="00703308"/>
    <w:rsid w:val="00713B49"/>
    <w:rsid w:val="00716CB2"/>
    <w:rsid w:val="0076208F"/>
    <w:rsid w:val="00792690"/>
    <w:rsid w:val="0079671C"/>
    <w:rsid w:val="007F03FF"/>
    <w:rsid w:val="007F37BD"/>
    <w:rsid w:val="00817408"/>
    <w:rsid w:val="0082089A"/>
    <w:rsid w:val="00846FBC"/>
    <w:rsid w:val="00855AD2"/>
    <w:rsid w:val="00883A53"/>
    <w:rsid w:val="008A368E"/>
    <w:rsid w:val="008D4813"/>
    <w:rsid w:val="00901E41"/>
    <w:rsid w:val="00912856"/>
    <w:rsid w:val="009141C7"/>
    <w:rsid w:val="009238AC"/>
    <w:rsid w:val="009348B8"/>
    <w:rsid w:val="0093662A"/>
    <w:rsid w:val="00941632"/>
    <w:rsid w:val="0094674A"/>
    <w:rsid w:val="00950638"/>
    <w:rsid w:val="00953B6A"/>
    <w:rsid w:val="00960F55"/>
    <w:rsid w:val="00985DDC"/>
    <w:rsid w:val="0098708A"/>
    <w:rsid w:val="00996C7A"/>
    <w:rsid w:val="009A3C0E"/>
    <w:rsid w:val="009D016E"/>
    <w:rsid w:val="009D3D2E"/>
    <w:rsid w:val="009F11BF"/>
    <w:rsid w:val="00A078C9"/>
    <w:rsid w:val="00A17481"/>
    <w:rsid w:val="00A205A8"/>
    <w:rsid w:val="00A251D9"/>
    <w:rsid w:val="00A52C89"/>
    <w:rsid w:val="00A533BF"/>
    <w:rsid w:val="00A544FA"/>
    <w:rsid w:val="00A56D69"/>
    <w:rsid w:val="00A62EDE"/>
    <w:rsid w:val="00A75685"/>
    <w:rsid w:val="00AA00B1"/>
    <w:rsid w:val="00AA7130"/>
    <w:rsid w:val="00AF01FC"/>
    <w:rsid w:val="00AF3216"/>
    <w:rsid w:val="00B30978"/>
    <w:rsid w:val="00B40F35"/>
    <w:rsid w:val="00B51B5C"/>
    <w:rsid w:val="00B63076"/>
    <w:rsid w:val="00B70A21"/>
    <w:rsid w:val="00B726F5"/>
    <w:rsid w:val="00B76BB5"/>
    <w:rsid w:val="00B84C89"/>
    <w:rsid w:val="00B94D20"/>
    <w:rsid w:val="00B96294"/>
    <w:rsid w:val="00BB2E08"/>
    <w:rsid w:val="00BB7CA1"/>
    <w:rsid w:val="00BE458F"/>
    <w:rsid w:val="00BE7A52"/>
    <w:rsid w:val="00BF2864"/>
    <w:rsid w:val="00C7380D"/>
    <w:rsid w:val="00CA1C2A"/>
    <w:rsid w:val="00CA404F"/>
    <w:rsid w:val="00CA6241"/>
    <w:rsid w:val="00CA6925"/>
    <w:rsid w:val="00CB1EBE"/>
    <w:rsid w:val="00CC01E4"/>
    <w:rsid w:val="00CC21FC"/>
    <w:rsid w:val="00CE3734"/>
    <w:rsid w:val="00D06A3E"/>
    <w:rsid w:val="00D61F4F"/>
    <w:rsid w:val="00D635C1"/>
    <w:rsid w:val="00D90D59"/>
    <w:rsid w:val="00DF3F6E"/>
    <w:rsid w:val="00E033E8"/>
    <w:rsid w:val="00E05D1F"/>
    <w:rsid w:val="00E4094B"/>
    <w:rsid w:val="00E54F0A"/>
    <w:rsid w:val="00E6512C"/>
    <w:rsid w:val="00E75028"/>
    <w:rsid w:val="00E844D5"/>
    <w:rsid w:val="00E84D36"/>
    <w:rsid w:val="00E91A6F"/>
    <w:rsid w:val="00EB38FD"/>
    <w:rsid w:val="00EE27CE"/>
    <w:rsid w:val="00EE288C"/>
    <w:rsid w:val="00EE4274"/>
    <w:rsid w:val="00EE5383"/>
    <w:rsid w:val="00EF55D1"/>
    <w:rsid w:val="00F04E13"/>
    <w:rsid w:val="00F165BD"/>
    <w:rsid w:val="00F37FEB"/>
    <w:rsid w:val="00F42BD8"/>
    <w:rsid w:val="00F433A9"/>
    <w:rsid w:val="00F51787"/>
    <w:rsid w:val="00F53518"/>
    <w:rsid w:val="00F770A8"/>
    <w:rsid w:val="00F77782"/>
    <w:rsid w:val="00F8150B"/>
    <w:rsid w:val="00F87936"/>
    <w:rsid w:val="00F90F51"/>
    <w:rsid w:val="00F91166"/>
    <w:rsid w:val="00F9123B"/>
    <w:rsid w:val="00F94BB3"/>
    <w:rsid w:val="00F958C7"/>
    <w:rsid w:val="00FA7F5F"/>
    <w:rsid w:val="00FB02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662B2"/>
  <w15:docId w15:val="{BB5176EC-6F92-433A-B179-7648F776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C4"/>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E4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84D36"/>
    <w:rPr>
      <w:rFonts w:ascii="Tahoma" w:hAnsi="Tahoma" w:cs="Tahoma"/>
      <w:sz w:val="16"/>
      <w:szCs w:val="16"/>
    </w:rPr>
  </w:style>
  <w:style w:type="character" w:customStyle="1" w:styleId="BalloonTextChar">
    <w:name w:val="Balloon Text Char"/>
    <w:basedOn w:val="DefaultParagraphFont"/>
    <w:link w:val="BalloonText"/>
    <w:uiPriority w:val="99"/>
    <w:semiHidden/>
    <w:rsid w:val="00E84D36"/>
    <w:rPr>
      <w:rFonts w:ascii="Tahoma" w:hAnsi="Tahoma" w:cs="Tahoma"/>
      <w:sz w:val="16"/>
      <w:szCs w:val="16"/>
    </w:rPr>
  </w:style>
  <w:style w:type="character" w:styleId="CommentReference">
    <w:name w:val="annotation reference"/>
    <w:basedOn w:val="DefaultParagraphFont"/>
    <w:uiPriority w:val="99"/>
    <w:semiHidden/>
    <w:unhideWhenUsed/>
    <w:rsid w:val="00F165BD"/>
    <w:rPr>
      <w:sz w:val="16"/>
      <w:szCs w:val="16"/>
    </w:rPr>
  </w:style>
  <w:style w:type="paragraph" w:styleId="CommentText">
    <w:name w:val="annotation text"/>
    <w:basedOn w:val="Normal"/>
    <w:link w:val="CommentTextChar"/>
    <w:uiPriority w:val="99"/>
    <w:semiHidden/>
    <w:unhideWhenUsed/>
    <w:rsid w:val="00F165BD"/>
    <w:rPr>
      <w:sz w:val="20"/>
      <w:szCs w:val="20"/>
    </w:rPr>
  </w:style>
  <w:style w:type="character" w:customStyle="1" w:styleId="CommentTextChar">
    <w:name w:val="Comment Text Char"/>
    <w:basedOn w:val="DefaultParagraphFont"/>
    <w:link w:val="CommentText"/>
    <w:uiPriority w:val="99"/>
    <w:semiHidden/>
    <w:rsid w:val="00F165B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165BD"/>
    <w:rPr>
      <w:b/>
      <w:bCs/>
    </w:rPr>
  </w:style>
  <w:style w:type="character" w:customStyle="1" w:styleId="CommentSubjectChar">
    <w:name w:val="Comment Subject Char"/>
    <w:basedOn w:val="CommentTextChar"/>
    <w:link w:val="CommentSubject"/>
    <w:uiPriority w:val="99"/>
    <w:semiHidden/>
    <w:rsid w:val="00F165BD"/>
    <w:rPr>
      <w:rFonts w:asciiTheme="minorHAnsi" w:hAnsiTheme="minorHAnsi" w:cstheme="minorBidi"/>
      <w:b/>
      <w:bCs/>
      <w:sz w:val="20"/>
      <w:szCs w:val="20"/>
    </w:rPr>
  </w:style>
  <w:style w:type="paragraph" w:styleId="Revision">
    <w:name w:val="Revision"/>
    <w:hidden/>
    <w:uiPriority w:val="99"/>
    <w:semiHidden/>
    <w:rsid w:val="00296162"/>
    <w:rPr>
      <w:rFonts w:asciiTheme="minorHAnsi" w:hAnsiTheme="minorHAnsi" w:cstheme="minorBidi"/>
    </w:rPr>
  </w:style>
  <w:style w:type="paragraph" w:styleId="ListParagraph">
    <w:name w:val="List Paragraph"/>
    <w:basedOn w:val="Normal"/>
    <w:uiPriority w:val="34"/>
    <w:qFormat/>
    <w:rsid w:val="00B76BB5"/>
    <w:pPr>
      <w:ind w:left="720"/>
      <w:contextualSpacing/>
    </w:pPr>
  </w:style>
  <w:style w:type="paragraph" w:styleId="Header">
    <w:name w:val="header"/>
    <w:basedOn w:val="Normal"/>
    <w:link w:val="HeaderChar"/>
    <w:uiPriority w:val="99"/>
    <w:unhideWhenUsed/>
    <w:rsid w:val="00F94BB3"/>
    <w:pPr>
      <w:tabs>
        <w:tab w:val="center" w:pos="4320"/>
        <w:tab w:val="right" w:pos="8640"/>
      </w:tabs>
    </w:pPr>
  </w:style>
  <w:style w:type="character" w:customStyle="1" w:styleId="HeaderChar">
    <w:name w:val="Header Char"/>
    <w:basedOn w:val="DefaultParagraphFont"/>
    <w:link w:val="Header"/>
    <w:uiPriority w:val="99"/>
    <w:rsid w:val="00F94BB3"/>
    <w:rPr>
      <w:rFonts w:asciiTheme="minorHAnsi" w:hAnsiTheme="minorHAnsi" w:cstheme="minorBidi"/>
    </w:rPr>
  </w:style>
  <w:style w:type="paragraph" w:styleId="Footer">
    <w:name w:val="footer"/>
    <w:basedOn w:val="Normal"/>
    <w:link w:val="FooterChar"/>
    <w:uiPriority w:val="99"/>
    <w:unhideWhenUsed/>
    <w:rsid w:val="00F94BB3"/>
    <w:pPr>
      <w:tabs>
        <w:tab w:val="center" w:pos="4320"/>
        <w:tab w:val="right" w:pos="8640"/>
      </w:tabs>
    </w:pPr>
  </w:style>
  <w:style w:type="character" w:customStyle="1" w:styleId="FooterChar">
    <w:name w:val="Footer Char"/>
    <w:basedOn w:val="DefaultParagraphFont"/>
    <w:link w:val="Footer"/>
    <w:uiPriority w:val="99"/>
    <w:rsid w:val="00F94BB3"/>
    <w:rPr>
      <w:rFonts w:asciiTheme="minorHAnsi" w:hAnsiTheme="minorHAnsi" w:cstheme="minorBidi"/>
    </w:rPr>
  </w:style>
  <w:style w:type="character" w:styleId="PageNumber">
    <w:name w:val="page number"/>
    <w:basedOn w:val="DefaultParagraphFont"/>
    <w:uiPriority w:val="99"/>
    <w:semiHidden/>
    <w:unhideWhenUsed/>
    <w:rsid w:val="00F94BB3"/>
  </w:style>
  <w:style w:type="table" w:styleId="TableGrid">
    <w:name w:val="Table Grid"/>
    <w:basedOn w:val="TableNormal"/>
    <w:uiPriority w:val="59"/>
    <w:rsid w:val="0008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2AC8"/>
  </w:style>
  <w:style w:type="character" w:styleId="Hyperlink">
    <w:name w:val="Hyperlink"/>
    <w:basedOn w:val="DefaultParagraphFont"/>
    <w:uiPriority w:val="99"/>
    <w:unhideWhenUsed/>
    <w:rsid w:val="006A4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23780">
      <w:bodyDiv w:val="1"/>
      <w:marLeft w:val="0"/>
      <w:marRight w:val="0"/>
      <w:marTop w:val="0"/>
      <w:marBottom w:val="0"/>
      <w:divBdr>
        <w:top w:val="none" w:sz="0" w:space="0" w:color="auto"/>
        <w:left w:val="none" w:sz="0" w:space="0" w:color="auto"/>
        <w:bottom w:val="none" w:sz="0" w:space="0" w:color="auto"/>
        <w:right w:val="none" w:sz="0" w:space="0" w:color="auto"/>
      </w:divBdr>
    </w:div>
    <w:div w:id="1074546034">
      <w:bodyDiv w:val="1"/>
      <w:marLeft w:val="0"/>
      <w:marRight w:val="0"/>
      <w:marTop w:val="0"/>
      <w:marBottom w:val="0"/>
      <w:divBdr>
        <w:top w:val="none" w:sz="0" w:space="0" w:color="auto"/>
        <w:left w:val="none" w:sz="0" w:space="0" w:color="auto"/>
        <w:bottom w:val="none" w:sz="0" w:space="0" w:color="auto"/>
        <w:right w:val="none" w:sz="0" w:space="0" w:color="auto"/>
      </w:divBdr>
      <w:divsChild>
        <w:div w:id="1414006929">
          <w:marLeft w:val="0"/>
          <w:marRight w:val="0"/>
          <w:marTop w:val="0"/>
          <w:marBottom w:val="0"/>
          <w:divBdr>
            <w:top w:val="none" w:sz="0" w:space="0" w:color="auto"/>
            <w:left w:val="none" w:sz="0" w:space="0" w:color="auto"/>
            <w:bottom w:val="none" w:sz="0" w:space="0" w:color="auto"/>
            <w:right w:val="none" w:sz="0" w:space="0" w:color="auto"/>
          </w:divBdr>
          <w:divsChild>
            <w:div w:id="1489666042">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0960270">
                      <w:marLeft w:val="0"/>
                      <w:marRight w:val="0"/>
                      <w:marTop w:val="0"/>
                      <w:marBottom w:val="0"/>
                      <w:divBdr>
                        <w:top w:val="none" w:sz="0" w:space="0" w:color="auto"/>
                        <w:left w:val="none" w:sz="0" w:space="0" w:color="auto"/>
                        <w:bottom w:val="none" w:sz="0" w:space="0" w:color="auto"/>
                        <w:right w:val="none" w:sz="0" w:space="0" w:color="auto"/>
                      </w:divBdr>
                      <w:divsChild>
                        <w:div w:id="1070078939">
                          <w:marLeft w:val="0"/>
                          <w:marRight w:val="0"/>
                          <w:marTop w:val="0"/>
                          <w:marBottom w:val="0"/>
                          <w:divBdr>
                            <w:top w:val="none" w:sz="0" w:space="0" w:color="auto"/>
                            <w:left w:val="none" w:sz="0" w:space="0" w:color="auto"/>
                            <w:bottom w:val="none" w:sz="0" w:space="0" w:color="auto"/>
                            <w:right w:val="none" w:sz="0" w:space="0" w:color="auto"/>
                          </w:divBdr>
                          <w:divsChild>
                            <w:div w:id="1273561493">
                              <w:marLeft w:val="0"/>
                              <w:marRight w:val="0"/>
                              <w:marTop w:val="0"/>
                              <w:marBottom w:val="0"/>
                              <w:divBdr>
                                <w:top w:val="none" w:sz="0" w:space="0" w:color="auto"/>
                                <w:left w:val="none" w:sz="0" w:space="0" w:color="auto"/>
                                <w:bottom w:val="none" w:sz="0" w:space="0" w:color="auto"/>
                                <w:right w:val="none" w:sz="0" w:space="0" w:color="auto"/>
                              </w:divBdr>
                              <w:divsChild>
                                <w:div w:id="1385180559">
                                  <w:marLeft w:val="0"/>
                                  <w:marRight w:val="0"/>
                                  <w:marTop w:val="0"/>
                                  <w:marBottom w:val="0"/>
                                  <w:divBdr>
                                    <w:top w:val="none" w:sz="0" w:space="0" w:color="auto"/>
                                    <w:left w:val="none" w:sz="0" w:space="0" w:color="auto"/>
                                    <w:bottom w:val="none" w:sz="0" w:space="0" w:color="auto"/>
                                    <w:right w:val="none" w:sz="0" w:space="0" w:color="auto"/>
                                  </w:divBdr>
                                  <w:divsChild>
                                    <w:div w:id="1973906351">
                                      <w:marLeft w:val="0"/>
                                      <w:marRight w:val="0"/>
                                      <w:marTop w:val="0"/>
                                      <w:marBottom w:val="0"/>
                                      <w:divBdr>
                                        <w:top w:val="none" w:sz="0" w:space="0" w:color="auto"/>
                                        <w:left w:val="none" w:sz="0" w:space="0" w:color="auto"/>
                                        <w:bottom w:val="none" w:sz="0" w:space="0" w:color="auto"/>
                                        <w:right w:val="none" w:sz="0" w:space="0" w:color="auto"/>
                                      </w:divBdr>
                                      <w:divsChild>
                                        <w:div w:id="1896310673">
                                          <w:marLeft w:val="0"/>
                                          <w:marRight w:val="0"/>
                                          <w:marTop w:val="0"/>
                                          <w:marBottom w:val="0"/>
                                          <w:divBdr>
                                            <w:top w:val="none" w:sz="0" w:space="0" w:color="auto"/>
                                            <w:left w:val="none" w:sz="0" w:space="0" w:color="auto"/>
                                            <w:bottom w:val="none" w:sz="0" w:space="0" w:color="auto"/>
                                            <w:right w:val="none" w:sz="0" w:space="0" w:color="auto"/>
                                          </w:divBdr>
                                          <w:divsChild>
                                            <w:div w:id="1669357492">
                                              <w:marLeft w:val="0"/>
                                              <w:marRight w:val="0"/>
                                              <w:marTop w:val="0"/>
                                              <w:marBottom w:val="0"/>
                                              <w:divBdr>
                                                <w:top w:val="none" w:sz="0" w:space="0" w:color="auto"/>
                                                <w:left w:val="none" w:sz="0" w:space="0" w:color="auto"/>
                                                <w:bottom w:val="none" w:sz="0" w:space="0" w:color="auto"/>
                                                <w:right w:val="none" w:sz="0" w:space="0" w:color="auto"/>
                                              </w:divBdr>
                                              <w:divsChild>
                                                <w:div w:id="12891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o.melendez-torres@spi.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0C95-0260-4F23-961F-2E150026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14782</Words>
  <Characters>84263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CEBI</Company>
  <LinksUpToDate>false</LinksUpToDate>
  <CharactersWithSpaces>98848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Ford Hickson</cp:lastModifiedBy>
  <cp:revision>3</cp:revision>
  <cp:lastPrinted>2014-10-30T15:04:00Z</cp:lastPrinted>
  <dcterms:created xsi:type="dcterms:W3CDTF">2015-05-18T12:17:00Z</dcterms:created>
  <dcterms:modified xsi:type="dcterms:W3CDTF">2015-09-16T11:00:00Z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gerardo.melendez-torres@spi.ox.ac.uk@www.mendeley.com</vt:lpwstr>
  </property>
  <property fmtid="{D5CDD505-2E9C-101B-9397-08002B2CF9AE}" pid="4" name="Mendeley Citation Style_1">
    <vt:lpwstr>http://www.zotero.org/styles/bmj</vt:lpwstr>
  </property>
  <property fmtid="{D5CDD505-2E9C-101B-9397-08002B2CF9AE}" pid="5" name="Mendeley Recent Style Id 0_1">
    <vt:lpwstr>http://www.zotero.org/styles/aids-and-behavior</vt:lpwstr>
  </property>
  <property fmtid="{D5CDD505-2E9C-101B-9397-08002B2CF9AE}" pid="6" name="Mendeley Recent Style Name 0_1">
    <vt:lpwstr>AIDS and Behavior</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http://www.zotero.org/styles/bmj</vt:lpwstr>
  </property>
  <property fmtid="{D5CDD505-2E9C-101B-9397-08002B2CF9AE}" pid="10" name="Mendeley Recent Style Name 2_1">
    <vt:lpwstr>BMJ</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http://www.zotero.org/styles/international-journal-of-drug-policy</vt:lpwstr>
  </property>
  <property fmtid="{D5CDD505-2E9C-101B-9397-08002B2CF9AE}" pid="16" name="Mendeley Recent Style Name 5_1">
    <vt:lpwstr>International Journal of Drug Policy</vt:lpwstr>
  </property>
  <property fmtid="{D5CDD505-2E9C-101B-9397-08002B2CF9AE}" pid="17" name="Mendeley Recent Style Id 6_1">
    <vt:lpwstr>http://www.zotero.org/styles/journal-of-epidemiology-and-community-health</vt:lpwstr>
  </property>
  <property fmtid="{D5CDD505-2E9C-101B-9397-08002B2CF9AE}" pid="18" name="Mendeley Recent Style Name 6_1">
    <vt:lpwstr>Journal of Epidemiology and Community Health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