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03F6F" w14:textId="3F5B2F1D" w:rsidR="006621BC" w:rsidRDefault="008F7E27" w:rsidP="00B3280D">
      <w:pPr>
        <w:spacing w:line="276" w:lineRule="auto"/>
        <w:rPr>
          <w:b/>
        </w:rPr>
      </w:pPr>
      <w:bookmarkStart w:id="0" w:name="_GoBack"/>
      <w:bookmarkEnd w:id="0"/>
      <w:r w:rsidRPr="00C17400">
        <w:rPr>
          <w:b/>
        </w:rPr>
        <w:t>Adjusting the lens-real world outcomes in nephrotic syndrome</w:t>
      </w:r>
    </w:p>
    <w:p w14:paraId="282B4F7E" w14:textId="06222778" w:rsidR="00B3280D" w:rsidRPr="00C17400" w:rsidRDefault="00B3280D" w:rsidP="00B3280D">
      <w:pPr>
        <w:spacing w:line="276" w:lineRule="auto"/>
        <w:rPr>
          <w:b/>
        </w:rPr>
      </w:pPr>
      <w:r>
        <w:rPr>
          <w:b/>
        </w:rPr>
        <w:t>Clare Castledine</w:t>
      </w:r>
      <w:r w:rsidRPr="00B3280D">
        <w:rPr>
          <w:b/>
          <w:vertAlign w:val="superscript"/>
        </w:rPr>
        <w:t>1</w:t>
      </w:r>
      <w:r>
        <w:rPr>
          <w:b/>
        </w:rPr>
        <w:t xml:space="preserve">, Laurie </w:t>
      </w:r>
      <w:r w:rsidR="00F73390">
        <w:rPr>
          <w:b/>
        </w:rPr>
        <w:t xml:space="preserve">A </w:t>
      </w:r>
      <w:r>
        <w:rPr>
          <w:b/>
        </w:rPr>
        <w:t>Tomlinson</w:t>
      </w:r>
      <w:r w:rsidRPr="00B3280D">
        <w:rPr>
          <w:b/>
          <w:vertAlign w:val="superscript"/>
        </w:rPr>
        <w:t>1,2</w:t>
      </w:r>
      <w:r w:rsidR="005B5A4C">
        <w:rPr>
          <w:b/>
          <w:vertAlign w:val="superscript"/>
        </w:rPr>
        <w:t>*</w:t>
      </w:r>
    </w:p>
    <w:p w14:paraId="11CB83CE" w14:textId="6490B179" w:rsidR="00B3280D" w:rsidRDefault="00B3280D" w:rsidP="00B3280D">
      <w:pPr>
        <w:spacing w:line="276" w:lineRule="auto"/>
      </w:pPr>
      <w:r w:rsidRPr="005B5A4C">
        <w:rPr>
          <w:vertAlign w:val="superscript"/>
        </w:rPr>
        <w:t xml:space="preserve">1 </w:t>
      </w:r>
      <w:r>
        <w:t>Sussex Kidney Unit, Brighton and Sussex University Hospitals NHS Trust, Brighton</w:t>
      </w:r>
    </w:p>
    <w:p w14:paraId="10BA8F30" w14:textId="6750E203" w:rsidR="00B3280D" w:rsidRDefault="00B3280D" w:rsidP="00B3280D">
      <w:pPr>
        <w:rPr>
          <w:rFonts w:asciiTheme="majorHAnsi" w:eastAsiaTheme="minorEastAsia" w:hAnsiTheme="majorHAnsi" w:cstheme="majorHAnsi"/>
          <w:iCs/>
          <w:noProof/>
          <w:sz w:val="18"/>
          <w:szCs w:val="18"/>
          <w:lang w:val="en-US" w:eastAsia="en-GB"/>
        </w:rPr>
      </w:pPr>
      <w:r w:rsidRPr="00B3280D">
        <w:rPr>
          <w:vertAlign w:val="superscript"/>
        </w:rPr>
        <w:t>2</w:t>
      </w:r>
      <w:r>
        <w:t xml:space="preserve"> </w:t>
      </w:r>
      <w:hyperlink r:id="rId6" w:history="1">
        <w:r w:rsidRPr="00B3280D">
          <w:rPr>
            <w:rFonts w:eastAsia="Times New Roman"/>
          </w:rPr>
          <w:t>Faculty of Epidemiology and Population Health</w:t>
        </w:r>
      </w:hyperlink>
      <w:r w:rsidRPr="00B3280D">
        <w:rPr>
          <w:rFonts w:eastAsia="Times New Roman"/>
        </w:rPr>
        <w:t>, London School of Hygiene and Tropical Medicine, London</w:t>
      </w:r>
      <w:r>
        <w:rPr>
          <w:rFonts w:asciiTheme="majorHAnsi" w:eastAsiaTheme="minorEastAsia" w:hAnsiTheme="majorHAnsi" w:cstheme="majorHAnsi"/>
          <w:iCs/>
          <w:noProof/>
          <w:sz w:val="18"/>
          <w:szCs w:val="18"/>
          <w:lang w:val="en-US" w:eastAsia="en-GB"/>
        </w:rPr>
        <w:t xml:space="preserve"> </w:t>
      </w:r>
    </w:p>
    <w:p w14:paraId="24FB7400" w14:textId="1AB3EE85" w:rsidR="005B5A4C" w:rsidRPr="005B5A4C" w:rsidRDefault="005B5A4C" w:rsidP="005B5A4C">
      <w:pPr>
        <w:rPr>
          <w:rFonts w:asciiTheme="majorHAnsi" w:eastAsiaTheme="minorEastAsia" w:hAnsiTheme="majorHAnsi" w:cstheme="majorHAnsi"/>
          <w:iCs/>
          <w:noProof/>
          <w:sz w:val="18"/>
          <w:szCs w:val="18"/>
          <w:lang w:val="en-US" w:eastAsia="en-GB"/>
        </w:rPr>
      </w:pPr>
      <w:r w:rsidRPr="005B5A4C">
        <w:rPr>
          <w:rFonts w:asciiTheme="majorHAnsi" w:eastAsiaTheme="minorEastAsia" w:hAnsiTheme="majorHAnsi" w:cstheme="majorHAnsi"/>
          <w:iCs/>
          <w:noProof/>
          <w:sz w:val="18"/>
          <w:szCs w:val="18"/>
          <w:lang w:val="en-US" w:eastAsia="en-GB"/>
        </w:rPr>
        <w:t>*</w:t>
      </w:r>
      <w:r>
        <w:rPr>
          <w:rFonts w:asciiTheme="majorHAnsi" w:eastAsiaTheme="minorEastAsia" w:hAnsiTheme="majorHAnsi" w:cstheme="majorHAnsi"/>
          <w:iCs/>
          <w:noProof/>
          <w:sz w:val="18"/>
          <w:szCs w:val="18"/>
          <w:lang w:val="en-US" w:eastAsia="en-GB"/>
        </w:rPr>
        <w:t xml:space="preserve"> </w:t>
      </w:r>
      <w:r w:rsidRPr="005B5A4C">
        <w:rPr>
          <w:rFonts w:eastAsia="Times New Roman"/>
        </w:rPr>
        <w:t>Corresponding author</w:t>
      </w:r>
    </w:p>
    <w:p w14:paraId="5E0B0B84" w14:textId="7A3DCBD3" w:rsidR="00B3280D" w:rsidRDefault="00B3280D" w:rsidP="00B3280D">
      <w:pPr>
        <w:spacing w:line="276" w:lineRule="auto"/>
      </w:pPr>
    </w:p>
    <w:p w14:paraId="651C91C9" w14:textId="7F999D2F" w:rsidR="003B15A7" w:rsidRDefault="00113CA8" w:rsidP="003B15A7">
      <w:pPr>
        <w:spacing w:line="480" w:lineRule="auto"/>
      </w:pPr>
      <w:r>
        <w:t>When a</w:t>
      </w:r>
      <w:r w:rsidR="00EB31F1">
        <w:t xml:space="preserve"> patient pre</w:t>
      </w:r>
      <w:r>
        <w:t>sents with nephrotic syndrome t</w:t>
      </w:r>
      <w:r w:rsidR="00EB31F1">
        <w:t xml:space="preserve">he </w:t>
      </w:r>
      <w:r w:rsidR="00A82EA8">
        <w:t xml:space="preserve">immediate </w:t>
      </w:r>
      <w:r w:rsidR="00EB31F1">
        <w:t xml:space="preserve">focus </w:t>
      </w:r>
      <w:r w:rsidR="00A82EA8">
        <w:t xml:space="preserve">is </w:t>
      </w:r>
      <w:r w:rsidR="00EB31F1">
        <w:t xml:space="preserve">on </w:t>
      </w:r>
      <w:r w:rsidR="009B7945">
        <w:t xml:space="preserve">the practicalities of performing a biopsy or not, </w:t>
      </w:r>
      <w:r w:rsidR="00EB31F1">
        <w:t xml:space="preserve">defining the precise glomerular lesion, </w:t>
      </w:r>
      <w:r w:rsidR="0088026A">
        <w:t>the determination of a specific treatment plan and the exclusion of other serious underlying conditions</w:t>
      </w:r>
      <w:r w:rsidR="003B15A7">
        <w:t xml:space="preserve">  Compare this to the far more common scenario </w:t>
      </w:r>
      <w:r w:rsidR="005B5A4C">
        <w:t xml:space="preserve">when we meet a person with progressive chronic kidney disease (CKD) </w:t>
      </w:r>
      <w:r w:rsidR="003B15A7">
        <w:t xml:space="preserve">where </w:t>
      </w:r>
      <w:r w:rsidR="005B5A4C">
        <w:t xml:space="preserve">no cause is identified and specific </w:t>
      </w:r>
      <w:r w:rsidR="003B15A7">
        <w:t xml:space="preserve">treatment </w:t>
      </w:r>
      <w:r w:rsidR="005B5A4C">
        <w:t xml:space="preserve">not indicated: here </w:t>
      </w:r>
      <w:r w:rsidR="003B15A7">
        <w:t xml:space="preserve">we consider the patient to be at the beginning of a CKD journey </w:t>
      </w:r>
      <w:r w:rsidR="009B7945">
        <w:t xml:space="preserve">and </w:t>
      </w:r>
      <w:r w:rsidR="003B15A7">
        <w:t xml:space="preserve">we focus instead on slowing progression, reducing cardiovascular morbidity and preparing for renal replacement therapy. </w:t>
      </w:r>
    </w:p>
    <w:p w14:paraId="7EA12141" w14:textId="65215672" w:rsidR="00614711" w:rsidRDefault="00614711" w:rsidP="00614711">
      <w:pPr>
        <w:spacing w:line="480" w:lineRule="auto"/>
      </w:pPr>
      <w:r>
        <w:t xml:space="preserve">Our clinical focus on the immediate disease process </w:t>
      </w:r>
      <w:r w:rsidR="00FF6241">
        <w:t xml:space="preserve">for nephrotic syndrome </w:t>
      </w:r>
      <w:r>
        <w:t>may relate to existing studies concerning the management of nephrotic syndrome which focus on drug specific effects on proteinuria with short term follow-up. As an example, consider the evidence related to what is considered the most benign cause of nephrotic syndrome, minimal change disease. The evidence for steroid treatment is extrapolated from several randomised controlled trials in children and from two studies in adults undertaken in the 1970s and 1980s.</w:t>
      </w:r>
      <w:r>
        <w:fldChar w:fldCharType="begin" w:fldLock="1"/>
      </w:r>
      <w:r>
        <w:instrText>ADDIN CSL_CITATION {"citationItems":[{"id":"ITEM-1","itemData":{"ISSN":"00657778","PMID":"3915841","author":[{"dropping-particle":"","family":"Coggins","given":"C. H.","non-dropping-particle":"","parse-names":false,"suffix":""}],"container-title":"Transactions of the American Clinical and Climatological Association","id":"ITEM-1","issued":{"date-parts":[["1985"]]},"title":"Adult minimal change nephropathy: experience of the collaborative study of glomerular disease.","type":"article-journal"},"uris":["http://www.mendeley.com/documents/?uuid=6770bc6b-55dd-4d5a-85fb-8f6cb0d9abd8"]}],"mendeley":{"formattedCitation":"(2)","plainTextFormattedCitation":"(2)","previouslyFormattedCitation":"(2)"},"properties":{"noteIndex":0},"schema":"https://github.com/citation-style-language/schema/raw/master/csl-citation.json"}</w:instrText>
      </w:r>
      <w:r>
        <w:fldChar w:fldCharType="separate"/>
      </w:r>
      <w:r w:rsidRPr="00FA1302">
        <w:rPr>
          <w:noProof/>
        </w:rPr>
        <w:t>(</w:t>
      </w:r>
      <w:r>
        <w:rPr>
          <w:noProof/>
        </w:rPr>
        <w:t xml:space="preserve">1, </w:t>
      </w:r>
      <w:r w:rsidRPr="00FA1302">
        <w:rPr>
          <w:noProof/>
        </w:rPr>
        <w:t>2)</w:t>
      </w:r>
      <w:r>
        <w:fldChar w:fldCharType="end"/>
      </w:r>
      <w:r>
        <w:t>. The response rate to prednisolone was high, 84% and 86% at 6 months but the broader representativeness of this evidence is limited by small sample size, limited follow-up, young age of enrolled patients and substantial improvements in dialysis technology and availability since the trials were conducted. Similarly, further randomised controlled trials to examine the use of tacrolimus as alterative to steroids demonstrate high response rates but with relatively small numbers, limited follow-up and information about mortality and renal functional outcomes.</w:t>
      </w:r>
      <w:r>
        <w:fldChar w:fldCharType="begin" w:fldLock="1"/>
      </w:r>
      <w:r>
        <w:instrText>ADDIN CSL_CITATION {"citationItems":[{"id":"ITEM-1","itemData":{"DOI":"10.2215/CJN.06180519","ISSN":"1555905X","PMID":"31953303","abstract":"Background and objectives Minimal change disease is an important cause of nephrotic syndrome in adults. Corticosteroids are first-line therapy for minimal change disease, but a prolonged course of treatment is often required and relapse rates are high. Patients with minimal change disease are therefore often exposed to high cumulative corticosteroid doses and are at risk of associated adverse effects. This study investigated whether tacrolimus monotherapy without corticosteroids would be effective for the treatment of de novo minimal change disease. Design, setting, participants, &amp; measurements This was a multicenter, prospective, open-label, randomized, controlled trial involving six nephrology units across the United Kingdom. Adult patients with first presentation of minimal change disease and nephrotic syndrome were randomized to treatment with either oral tacrolimus at 0.05 mg/kg twice daily, or prednisolone at 1 mg/kg daily up to 60 mg daily. The primary outcome was complete remission of nephrotic syndrome after 8 weeks of therapy. Secondary outcomes included remission of nephrotic syndrome at 16 and 26 weeks, rates of relapse of nephrotic syndrome, and changes from baseline kidney function. Results There were no significant differences between the tacrolimus and prednisolone treatment cohorts in the proportion of patients in complete remission at 8 weeks (21 out of 25 [84%] for prednisolone and 17 out of 25 [68%] for tacrolimus cohorts; P50.32; difference in remission rates was 16%; 95% confidence interval [95% CI], 211% to 40%), 16 weeks (23 out of 25 [92%] for prednisolone and 19 out of 25 [76%] for tacrolimus cohorts; P50.25; difference in remission rates was 16%; 95% CI, 28% to 38%), or 26 weeks (23 out of 25 [92%] for prednisolone and 22 out of 25 [88%] for tacrolimus cohorts; P50.99; difference in remission rates was 4%; 95% CI, 217% to 25%). There was no significant difference in relapse rates (17 out of 23 [74%] for prednisolone and 16 out of 22 [73%] for tacrolimus cohorts) for patients in each group who achieved complete remission (P50.99) or in the time from complete remission to relapse. Conclusions Tacrolimus monotherapy can be effective alternative treatment for patients wishing to avoid steroid therapy for minimal change disease.","author":[{"dropping-particle":"","family":"Medjeral-Thomas","given":"Nicholas Rhys","non-dropping-particle":"","parse-names":false,"suffix":""},{"dropping-particle":"","family":"Lawrence","given":"Christopher","non-dropping-particle":"","parse-names":false,"suffix":""},{"dropping-particle":"","family":"Condon","given":"Marie","non-dropping-particle":"","parse-names":false,"suffix":""},{"dropping-particle":"","family":"Sood","given":"Bhrigu","non-dropping-particle":"","parse-names":false,"suffix":""},{"dropping-particle":"","family":"Warwicker","given":"Paul","non-dropping-particle":"","parse-names":false,"suffix":""},{"dropping-particle":"","family":"Brown","given":"Heather","non-dropping-particle":"","parse-names":false,"suffix":""},{"dropping-particle":"","family":"Pattison","given":"James","non-dropping-particle":"","parse-names":false,"suffix":""},{"dropping-particle":"","family":"Bhandari","given":"Sunil","non-dropping-particle":"","parse-names":false,"suffix":""},{"dropping-particle":"","family":"Barratt","given":"Jonathan","non-dropping-particle":"","parse-names":false,"suffix":""},{"dropping-particle":"","family":"Turner","given":"Neil","non-dropping-particle":"","parse-names":false,"suffix":""},{"dropping-particle":"","family":"Cook","given":"H. Terence","non-dropping-particle":"","parse-names":false,"suffix":""},{"dropping-particle":"","family":"Levy","given":"Jeremy B.","non-dropping-particle":"","parse-names":false,"suffix":""},{"dropping-particle":"","family":"Lightstone","given":"Liz","non-dropping-particle":"","parse-names":false,"suffix":""},{"dropping-particle":"","family":"Pusey","given":"Charles","non-dropping-particle":"","parse-names":false,"suffix":""},{"dropping-particle":"","family":"Galliford","given":"Jack","non-dropping-particle":"","parse-names":false,"suffix":""},{"dropping-particle":"","family":"Cairns","given":"Thomas D.","non-dropping-particle":"","parse-names":false,"suffix":""},{"dropping-particle":"","family":"Griffith","given":"Megan","non-dropping-particle":"","parse-names":false,"suffix":""}],"container-title":"Clinical Journal of the American Society of Nephrology","id":"ITEM-1","issued":{"date-parts":[["2020"]]},"title":"Randomized, controlled trial of tacrolimus and prednisolone monotherapy for adults with de novo minimal change disease a multicenter, randomized, controlled trial","type":"article-journal"},"uris":["http://www.mendeley.com/documents/?uuid=06c12bca-c6dc-47e7-a8ea-4fcc3fd4e07e"]},{"id":"ITEM-2","itemData":{"DOI":"10.1681/ASN.2016030342","ISSN":"15333450","PMID":"27807213","abstract":"Glucocorticoid treatment is the first choice therapy for adults with minimal change nephrotic syndrome; however, this therapy associates with many adverse effects. Tacrolimus may be an alternative to conventional glucocorticoid therapy. To investigate this possibility, we conductedaprospective, randomized, controlled trial (WHOInternationalClinical Trials Registry Platform:ChiCTR-TRC-11001454) in eight renal units acrossChina.We randomized enrolled patients with adult-onset minimal change nephrotic syndrome (n=119) to receive glucocorticoid therapy or tacrolimus after intravenous methylprednisolone (0.8 mg/kg per day) for 10 days. Patients received a conventional glucocorticoid regimen or tacrolimus monotherapy, starting with 0.05 mg/kg per day (target troughwhole-blood level of 4-8 ng/ml) for 16-20 weeks and subsequently tapering over approximately 18 weeks. Remission occurred in 51 of 53 (96.2%; all complete remission) glucocorticoid-treated patients and 55 of 56 (98.3%; 52 complete and three partial remission) tacrolimus-treated patients (P=0.61 for remission; P=0.68 for complete remission).Thegroupshadsimilarmean timetoremission(P=0.55). Relapse occurred in 49.0%and 45.5% of the glucocorticoid- and tacrolimus-treated patients, respectively (P=0.71), with similar time to relapse (P=0.86). Seven (13.7%) glucocorticoid-treated and four (7.3%) tacrolimus-treated patients suffered frequent relapse (P=0.28); five glucocorticoid-treated and two tacrolimus-treated patients became drug dependent (P=0.26). Adverse events occurredmore frequently in the glucocorticoid group (128 versus 81 in the tacrolimus group). Seven adverse events in the glucocorticoid group and two adverse events in the tacrolimus group were serious. Consequently, tacrolimusmonotherapy after short-term intravenous methylprednisolone is noninferior to conventional glucocorticoid treatment for adult-onset minimal change nephrotic syndrome in this cohort.","author":[{"dropping-particle":"","family":"Li","given":"Xiayu","non-dropping-particle":"","parse-names":false,"suffix":""},{"dropping-particle":"","family":"Liu","given":"Zhangsuo","non-dropping-particle":"","parse-names":false,"suffix":""},{"dropping-particle":"","family":"Wang","given":"Li","non-dropping-particle":"","parse-names":false,"suffix":""},{"dropping-particle":"","family":"Wang","given":"Rong","non-dropping-particle":"","parse-names":false,"suffix":""},{"dropping-particle":"","family":"Ding","given":"Guohua","non-dropping-particle":"","parse-names":false,"suffix":""},{"dropping-particle":"","family":"Shi","given":"Wei","non-dropping-particle":"","parse-names":false,"suffix":""},{"dropping-particle":"","family":"Fu","given":"Ping","non-dropping-particle":"","parse-names":false,"suffix":""},{"dropping-particle":"","family":"He","given":"Yani","non-dropping-particle":"","parse-names":false,"suffix":""},{"dropping-particle":"","family":"Cheng","given":"Genyang","non-dropping-particle":"","parse-names":false,"suffix":""},{"dropping-particle":"","family":"Wu","given":"Shukun","non-dropping-particle":"","parse-names":false,"suffix":""},{"dropping-particle":"","family":"Chen","given":"Bing","non-dropping-particle":"","parse-names":false,"suffix":""},{"dropping-particle":"","family":"Du","given":"Juan","non-dropping-particle":"","parse-names":false,"suffix":""},{"dropping-particle":"","family":"Ye","given":"Zhiming","non-dropping-particle":"","parse-names":false,"suffix":""},{"dropping-particle":"","family":"Tao","given":"Ye","non-dropping-particle":"","parse-names":false,"suffix":""},{"dropping-particle":"","family":"Huo","given":"Bengang","non-dropping-particle":"","parse-names":false,"suffix":""},{"dropping-particle":"","family":"Li","given":"Heng","non-dropping-particle":"","parse-names":false,"suffix":""},{"dropping-particle":"","family":"Chen","given":"Jianghua","non-dropping-particle":"","parse-names":false,"suffix":""}],"container-title":"Journal of the American Society of Nephrology","id":"ITEM-2","issued":{"date-parts":[["2017"]]},"title":"Tacrolimus monotherapy after intravenous methylprednisolone in adults with minimal change nephrotic syndrome","type":"article-journal"},"uris":["http://www.mendeley.com/documents/?uuid=cd984b12-db46-4888-b6ef-3c3c7e386e44"]}],"mendeley":{"formattedCitation":"(3,4)","plainTextFormattedCitation":"(3,4)","previouslyFormattedCitation":"(3,4)"},"properties":{"noteIndex":0},"schema":"https://github.com/citation-style-language/schema/raw/master/csl-citation.json"}</w:instrText>
      </w:r>
      <w:r>
        <w:fldChar w:fldCharType="separate"/>
      </w:r>
      <w:r w:rsidRPr="0040765A">
        <w:rPr>
          <w:noProof/>
        </w:rPr>
        <w:t>(3,4)</w:t>
      </w:r>
      <w:r>
        <w:fldChar w:fldCharType="end"/>
      </w:r>
    </w:p>
    <w:p w14:paraId="4A356CF0" w14:textId="77777777" w:rsidR="00614711" w:rsidRDefault="00614711" w:rsidP="003B15A7">
      <w:pPr>
        <w:spacing w:line="480" w:lineRule="auto"/>
      </w:pPr>
    </w:p>
    <w:p w14:paraId="623824AB" w14:textId="30D4F1CC" w:rsidR="0086065B" w:rsidRPr="005D0086" w:rsidRDefault="00C6562F" w:rsidP="005D0086">
      <w:pPr>
        <w:shd w:val="clear" w:color="auto" w:fill="FFFFFF"/>
        <w:spacing w:after="150" w:line="480" w:lineRule="auto"/>
        <w:rPr>
          <w:rFonts w:cstheme="minorHAnsi"/>
        </w:rPr>
      </w:pPr>
      <w:r>
        <w:lastRenderedPageBreak/>
        <w:t>Th</w:t>
      </w:r>
      <w:r w:rsidR="009B7945">
        <w:t>is</w:t>
      </w:r>
      <w:r>
        <w:t xml:space="preserve"> study by Anna Kolb and colleagues shows the limitation of focus on these immediate concerns and highlights the additional importance of considering the broader prognosis of patients presenting with nephrotic syndrome.</w:t>
      </w:r>
      <w:r w:rsidR="00614711" w:rsidRPr="00614711">
        <w:t xml:space="preserve"> </w:t>
      </w:r>
      <w:r w:rsidR="00614711">
        <w:t xml:space="preserve">(5) </w:t>
      </w:r>
      <w:r>
        <w:t xml:space="preserve"> </w:t>
      </w:r>
      <w:r>
        <w:rPr>
          <w:rFonts w:cstheme="minorHAnsi"/>
        </w:rPr>
        <w:t>T</w:t>
      </w:r>
      <w:r w:rsidR="0086065B" w:rsidRPr="005D0086">
        <w:rPr>
          <w:rFonts w:cstheme="minorHAnsi"/>
        </w:rPr>
        <w:t>he auth</w:t>
      </w:r>
      <w:r w:rsidR="00B706FC" w:rsidRPr="005D0086">
        <w:rPr>
          <w:rFonts w:cstheme="minorHAnsi"/>
        </w:rPr>
        <w:t>ors linked the records of all 522</w:t>
      </w:r>
      <w:r w:rsidR="0086065B" w:rsidRPr="005D0086">
        <w:rPr>
          <w:rFonts w:cstheme="minorHAnsi"/>
        </w:rPr>
        <w:t xml:space="preserve"> patients recorded in the Scottish Renal Biopsy Registry who underwent a kidney biopsy for nephrotic syndrome between 2014 and 2017 to national mortality data for date and cause of death. </w:t>
      </w:r>
      <w:r w:rsidR="00F816FF" w:rsidRPr="005D0086">
        <w:rPr>
          <w:rFonts w:cstheme="minorHAnsi"/>
        </w:rPr>
        <w:t xml:space="preserve">For comparison, </w:t>
      </w:r>
      <w:r w:rsidR="0086065B" w:rsidRPr="005D0086">
        <w:rPr>
          <w:rFonts w:cstheme="minorHAnsi"/>
        </w:rPr>
        <w:t>the</w:t>
      </w:r>
      <w:r w:rsidR="00F816FF" w:rsidRPr="005D0086">
        <w:rPr>
          <w:rFonts w:cstheme="minorHAnsi"/>
        </w:rPr>
        <w:t>y</w:t>
      </w:r>
      <w:r w:rsidR="0086065B" w:rsidRPr="005D0086">
        <w:rPr>
          <w:rFonts w:cstheme="minorHAnsi"/>
        </w:rPr>
        <w:t xml:space="preserve"> determined age- and sex-specific mortality rates in the general </w:t>
      </w:r>
      <w:r w:rsidR="00F816FF" w:rsidRPr="005D0086">
        <w:rPr>
          <w:rFonts w:cstheme="minorHAnsi"/>
        </w:rPr>
        <w:t xml:space="preserve">Scottish </w:t>
      </w:r>
      <w:r w:rsidR="0086065B" w:rsidRPr="005D0086">
        <w:rPr>
          <w:rFonts w:cstheme="minorHAnsi"/>
        </w:rPr>
        <w:t xml:space="preserve">population </w:t>
      </w:r>
      <w:r w:rsidR="00F816FF" w:rsidRPr="005D0086">
        <w:rPr>
          <w:rFonts w:cstheme="minorHAnsi"/>
        </w:rPr>
        <w:t>using</w:t>
      </w:r>
      <w:r w:rsidR="0086065B" w:rsidRPr="005D0086">
        <w:rPr>
          <w:rFonts w:cstheme="minorHAnsi"/>
        </w:rPr>
        <w:t xml:space="preserve"> publicly-accessible national records</w:t>
      </w:r>
      <w:r w:rsidR="00B706FC" w:rsidRPr="005D0086">
        <w:rPr>
          <w:rFonts w:cstheme="minorHAnsi"/>
        </w:rPr>
        <w:t>. In addition, the authors linked to inform</w:t>
      </w:r>
      <w:r w:rsidR="00F816FF" w:rsidRPr="005D0086">
        <w:rPr>
          <w:rFonts w:cstheme="minorHAnsi"/>
        </w:rPr>
        <w:t>ation regarding renal function and proteinuria enabling them to estimate disease remission, development of AKI</w:t>
      </w:r>
      <w:r w:rsidR="00B706FC" w:rsidRPr="005D0086">
        <w:rPr>
          <w:rFonts w:cstheme="minorHAnsi"/>
        </w:rPr>
        <w:t xml:space="preserve"> and of end-stage renal disease. </w:t>
      </w:r>
      <w:r w:rsidR="00F816FF" w:rsidRPr="005D0086">
        <w:rPr>
          <w:rFonts w:cstheme="minorHAnsi"/>
        </w:rPr>
        <w:t>Among the biopsied population, t</w:t>
      </w:r>
      <w:r w:rsidR="00B706FC" w:rsidRPr="005D0086">
        <w:rPr>
          <w:rFonts w:cstheme="minorHAnsi"/>
        </w:rPr>
        <w:t xml:space="preserve">he sample included 327 with a primary glomerular lesion – most commonly </w:t>
      </w:r>
      <w:r w:rsidR="00F816FF" w:rsidRPr="005D0086">
        <w:rPr>
          <w:rFonts w:cstheme="minorHAnsi"/>
        </w:rPr>
        <w:t>m</w:t>
      </w:r>
      <w:r w:rsidR="00C32D44" w:rsidRPr="005D0086">
        <w:rPr>
          <w:rFonts w:cstheme="minorHAnsi"/>
        </w:rPr>
        <w:t xml:space="preserve">embranous nephropathy, minimal change nephropathy and FSGS </w:t>
      </w:r>
      <w:r w:rsidR="005D0086">
        <w:rPr>
          <w:rFonts w:cstheme="minorHAnsi"/>
        </w:rPr>
        <w:t xml:space="preserve">- </w:t>
      </w:r>
      <w:r w:rsidR="00C32D44" w:rsidRPr="005D0086">
        <w:rPr>
          <w:rFonts w:cstheme="minorHAnsi"/>
        </w:rPr>
        <w:t>while 150 had a secondary cause, primarily diabetes, plasma cell dyscrasia and systemic lupus erythematosus</w:t>
      </w:r>
      <w:r w:rsidR="00F816FF" w:rsidRPr="005D0086">
        <w:rPr>
          <w:rFonts w:cstheme="minorHAnsi"/>
        </w:rPr>
        <w:t>.</w:t>
      </w:r>
      <w:r w:rsidR="00C32D44" w:rsidRPr="005D0086">
        <w:rPr>
          <w:rFonts w:cstheme="minorHAnsi"/>
        </w:rPr>
        <w:t xml:space="preserve"> </w:t>
      </w:r>
    </w:p>
    <w:p w14:paraId="7EDF9181" w14:textId="32157AB3" w:rsidR="00B706FC" w:rsidRPr="005D0086" w:rsidRDefault="004F2D90" w:rsidP="005D0086">
      <w:pPr>
        <w:shd w:val="clear" w:color="auto" w:fill="FFFFFF"/>
        <w:spacing w:after="150" w:line="480" w:lineRule="auto"/>
        <w:rPr>
          <w:rFonts w:cstheme="minorHAnsi"/>
        </w:rPr>
      </w:pPr>
      <w:r w:rsidRPr="005D0086">
        <w:rPr>
          <w:rFonts w:cstheme="minorHAnsi"/>
        </w:rPr>
        <w:t xml:space="preserve">The results are sobering. During a median follow-up of </w:t>
      </w:r>
      <w:r w:rsidR="00F816FF" w:rsidRPr="005D0086">
        <w:rPr>
          <w:rFonts w:cstheme="minorHAnsi"/>
        </w:rPr>
        <w:t xml:space="preserve">2.4 years, 21% died. People aged under 60 years with secondary nephrotic syndrome had 24 times the number of deaths compared to that expected in the </w:t>
      </w:r>
      <w:r w:rsidR="005D0086">
        <w:rPr>
          <w:rFonts w:cstheme="minorHAnsi"/>
        </w:rPr>
        <w:t xml:space="preserve">age and sex standardised </w:t>
      </w:r>
      <w:r w:rsidR="00F816FF" w:rsidRPr="005D0086">
        <w:rPr>
          <w:rFonts w:cstheme="minorHAnsi"/>
        </w:rPr>
        <w:t>general population. Even for people with primary nephrotic syndrome, those aged over 60 years had more than 5 times the number of deaths.</w:t>
      </w:r>
    </w:p>
    <w:p w14:paraId="67A378F7" w14:textId="5A55706F" w:rsidR="004F2D90" w:rsidRPr="005D0086" w:rsidRDefault="00D83116" w:rsidP="005D0086">
      <w:pPr>
        <w:shd w:val="clear" w:color="auto" w:fill="FFFFFF"/>
        <w:spacing w:after="150" w:line="480" w:lineRule="auto"/>
        <w:rPr>
          <w:rFonts w:cstheme="minorHAnsi"/>
        </w:rPr>
      </w:pPr>
      <w:r w:rsidRPr="005D0086">
        <w:rPr>
          <w:rFonts w:cstheme="minorHAnsi"/>
        </w:rPr>
        <w:t xml:space="preserve">In survival modelling, age and a secondary cause of </w:t>
      </w:r>
      <w:r w:rsidR="0027774E">
        <w:rPr>
          <w:rFonts w:cstheme="minorHAnsi"/>
        </w:rPr>
        <w:t>nephrotic syndrome</w:t>
      </w:r>
      <w:r w:rsidRPr="005D0086">
        <w:rPr>
          <w:rFonts w:cstheme="minorHAnsi"/>
        </w:rPr>
        <w:t xml:space="preserve"> were the strongest associations of mortality, while the nature of the histological lesion was less </w:t>
      </w:r>
      <w:r w:rsidR="009B7945">
        <w:rPr>
          <w:rFonts w:cstheme="minorHAnsi"/>
        </w:rPr>
        <w:t xml:space="preserve">strongly associated with mortality than age, </w:t>
      </w:r>
      <w:r w:rsidRPr="005D0086">
        <w:rPr>
          <w:rFonts w:cstheme="minorHAnsi"/>
        </w:rPr>
        <w:t xml:space="preserve">even among older people with primary causes of </w:t>
      </w:r>
      <w:r w:rsidR="0027774E" w:rsidRPr="005D0086">
        <w:rPr>
          <w:rFonts w:cstheme="minorHAnsi"/>
        </w:rPr>
        <w:t>nephrotic syndrome</w:t>
      </w:r>
      <w:r w:rsidRPr="005D0086">
        <w:rPr>
          <w:rFonts w:cstheme="minorHAnsi"/>
        </w:rPr>
        <w:t>.</w:t>
      </w:r>
    </w:p>
    <w:p w14:paraId="756B26FF" w14:textId="4F9A8428" w:rsidR="005D0086" w:rsidRPr="005D0086" w:rsidRDefault="00EB32D2" w:rsidP="005D0086">
      <w:pPr>
        <w:autoSpaceDE w:val="0"/>
        <w:autoSpaceDN w:val="0"/>
        <w:adjustRightInd w:val="0"/>
        <w:spacing w:after="0" w:line="480" w:lineRule="auto"/>
        <w:rPr>
          <w:rFonts w:cstheme="minorHAnsi"/>
        </w:rPr>
      </w:pPr>
      <w:r w:rsidRPr="005D0086">
        <w:rPr>
          <w:rFonts w:cstheme="minorHAnsi"/>
        </w:rPr>
        <w:t xml:space="preserve">Perhaps less surprising, </w:t>
      </w:r>
      <w:r w:rsidR="005D0086" w:rsidRPr="005D0086">
        <w:rPr>
          <w:rFonts w:cstheme="minorHAnsi"/>
        </w:rPr>
        <w:t xml:space="preserve">overall </w:t>
      </w:r>
      <w:r w:rsidR="00D04C6B" w:rsidRPr="005D0086">
        <w:rPr>
          <w:rFonts w:cstheme="minorHAnsi"/>
        </w:rPr>
        <w:t>15%</w:t>
      </w:r>
      <w:r w:rsidRPr="005D0086">
        <w:rPr>
          <w:rFonts w:cstheme="minorHAnsi"/>
        </w:rPr>
        <w:t xml:space="preserve"> of </w:t>
      </w:r>
      <w:r w:rsidR="005D0086" w:rsidRPr="005D0086">
        <w:rPr>
          <w:rFonts w:cstheme="minorHAnsi"/>
        </w:rPr>
        <w:t>patients</w:t>
      </w:r>
      <w:r w:rsidR="00D04C6B" w:rsidRPr="005D0086">
        <w:rPr>
          <w:rFonts w:cstheme="minorHAnsi"/>
        </w:rPr>
        <w:t xml:space="preserve"> progressed to ESKD during follow-up. </w:t>
      </w:r>
      <w:r w:rsidR="005D0086" w:rsidRPr="005D0086">
        <w:rPr>
          <w:rFonts w:cstheme="minorHAnsi"/>
        </w:rPr>
        <w:t xml:space="preserve">Among people aged over 60, </w:t>
      </w:r>
      <w:r w:rsidR="0027774E">
        <w:rPr>
          <w:rFonts w:cstheme="minorHAnsi"/>
        </w:rPr>
        <w:t>at three</w:t>
      </w:r>
      <w:r w:rsidR="005D0086" w:rsidRPr="005D0086">
        <w:rPr>
          <w:rFonts w:cstheme="minorHAnsi"/>
        </w:rPr>
        <w:t xml:space="preserve"> years the proportion with ESKD </w:t>
      </w:r>
      <w:r w:rsidR="009B7945">
        <w:rPr>
          <w:rFonts w:cstheme="minorHAnsi"/>
        </w:rPr>
        <w:t>was</w:t>
      </w:r>
      <w:r w:rsidR="0027774E">
        <w:rPr>
          <w:rFonts w:cstheme="minorHAnsi"/>
        </w:rPr>
        <w:t xml:space="preserve"> 8.4% </w:t>
      </w:r>
      <w:r w:rsidR="005D0086" w:rsidRPr="005D0086">
        <w:rPr>
          <w:rFonts w:cstheme="minorHAnsi"/>
        </w:rPr>
        <w:t xml:space="preserve">in primary </w:t>
      </w:r>
      <w:r w:rsidR="0027774E" w:rsidRPr="005D0086">
        <w:rPr>
          <w:rFonts w:cstheme="minorHAnsi"/>
        </w:rPr>
        <w:t>nephrotic syndrome</w:t>
      </w:r>
      <w:r w:rsidR="0027774E">
        <w:rPr>
          <w:rFonts w:cstheme="minorHAnsi"/>
        </w:rPr>
        <w:t xml:space="preserve"> and 35.1% </w:t>
      </w:r>
      <w:r w:rsidR="005D0086" w:rsidRPr="005D0086">
        <w:rPr>
          <w:rFonts w:cstheme="minorHAnsi"/>
        </w:rPr>
        <w:t xml:space="preserve">in secondary </w:t>
      </w:r>
      <w:r w:rsidR="0027774E" w:rsidRPr="005D0086">
        <w:rPr>
          <w:rFonts w:cstheme="minorHAnsi"/>
        </w:rPr>
        <w:t>nephrotic syndrome</w:t>
      </w:r>
      <w:r w:rsidR="005D0086" w:rsidRPr="005D0086">
        <w:rPr>
          <w:rFonts w:cstheme="minorHAnsi"/>
        </w:rPr>
        <w:t>. Among older patients with primary NS, baseline GFR as well as membranous a</w:t>
      </w:r>
      <w:r w:rsidR="009E2C40">
        <w:rPr>
          <w:rFonts w:cstheme="minorHAnsi"/>
        </w:rPr>
        <w:t>nd mesangiocapillary lesions</w:t>
      </w:r>
      <w:r w:rsidR="005D0086" w:rsidRPr="005D0086">
        <w:rPr>
          <w:rFonts w:cstheme="minorHAnsi"/>
        </w:rPr>
        <w:t xml:space="preserve"> were associated with a higher risk of ESKD.</w:t>
      </w:r>
      <w:r w:rsidR="00CE1E3A">
        <w:rPr>
          <w:rFonts w:cstheme="minorHAnsi"/>
        </w:rPr>
        <w:t xml:space="preserve"> Overall, 29% of patients </w:t>
      </w:r>
      <w:r w:rsidR="00CE1E3A" w:rsidRPr="005D0086">
        <w:rPr>
          <w:rFonts w:cstheme="minorHAnsi"/>
        </w:rPr>
        <w:t xml:space="preserve">did not </w:t>
      </w:r>
      <w:r w:rsidR="00CE1E3A">
        <w:rPr>
          <w:rFonts w:cstheme="minorHAnsi"/>
        </w:rPr>
        <w:t xml:space="preserve">achieve even partial remission within </w:t>
      </w:r>
      <w:r w:rsidR="0027774E">
        <w:rPr>
          <w:rFonts w:cstheme="minorHAnsi"/>
        </w:rPr>
        <w:t>six</w:t>
      </w:r>
      <w:r w:rsidR="00CE1E3A">
        <w:rPr>
          <w:rFonts w:cstheme="minorHAnsi"/>
        </w:rPr>
        <w:t xml:space="preserve"> months of the biopsy.</w:t>
      </w:r>
      <w:r w:rsidR="00D36C39">
        <w:rPr>
          <w:rFonts w:cstheme="minorHAnsi"/>
        </w:rPr>
        <w:t xml:space="preserve"> </w:t>
      </w:r>
      <w:r w:rsidR="00D36C39">
        <w:t xml:space="preserve">Even </w:t>
      </w:r>
      <w:commentRangeStart w:id="1"/>
      <w:r w:rsidR="00D36C39">
        <w:lastRenderedPageBreak/>
        <w:t>for minimal change disease, only 50% had entered complete remission by 6 months, much lower than that reported in literature.</w:t>
      </w:r>
      <w:r w:rsidR="00FF6241">
        <w:t>(6-8)</w:t>
      </w:r>
      <w:commentRangeEnd w:id="1"/>
      <w:r w:rsidR="00FF6241">
        <w:rPr>
          <w:rStyle w:val="CommentReference"/>
        </w:rPr>
        <w:commentReference w:id="1"/>
      </w:r>
    </w:p>
    <w:p w14:paraId="0247CBA0" w14:textId="6C05D431" w:rsidR="00CE1E3A" w:rsidRDefault="00CE1E3A" w:rsidP="008E4437">
      <w:pPr>
        <w:shd w:val="clear" w:color="auto" w:fill="FFFFFF"/>
        <w:spacing w:after="150" w:line="480" w:lineRule="auto"/>
        <w:rPr>
          <w:rFonts w:cstheme="minorHAnsi"/>
        </w:rPr>
      </w:pPr>
      <w:r w:rsidRPr="008E4437">
        <w:rPr>
          <w:rFonts w:cstheme="minorHAnsi"/>
        </w:rPr>
        <w:t>Given the nature of routine data</w:t>
      </w:r>
      <w:r w:rsidR="009B7945">
        <w:rPr>
          <w:rFonts w:cstheme="minorHAnsi"/>
        </w:rPr>
        <w:t>,</w:t>
      </w:r>
      <w:r w:rsidRPr="008E4437">
        <w:rPr>
          <w:rFonts w:cstheme="minorHAnsi"/>
        </w:rPr>
        <w:t xml:space="preserve"> there are of course limitations to the study</w:t>
      </w:r>
      <w:r w:rsidR="008E4437">
        <w:rPr>
          <w:rFonts w:cstheme="minorHAnsi"/>
        </w:rPr>
        <w:t xml:space="preserve"> although these have been addressed where possible</w:t>
      </w:r>
      <w:r w:rsidRPr="008E4437">
        <w:rPr>
          <w:rFonts w:cstheme="minorHAnsi"/>
        </w:rPr>
        <w:t xml:space="preserve">. The major issues concern the very limited information about baseline comorbidities, and relatively small numbers, particularly for models of subgroups where many estimates have wide confidence intervals. The study is only generalizable to people who </w:t>
      </w:r>
      <w:r w:rsidR="008E4437">
        <w:rPr>
          <w:rFonts w:cstheme="minorHAnsi"/>
        </w:rPr>
        <w:t>were considered well enough to undergo a kidney biopsy</w:t>
      </w:r>
      <w:r w:rsidR="0027774E">
        <w:rPr>
          <w:rFonts w:cstheme="minorHAnsi"/>
        </w:rPr>
        <w:t>,</w:t>
      </w:r>
      <w:r w:rsidR="008E4437">
        <w:rPr>
          <w:rFonts w:cstheme="minorHAnsi"/>
        </w:rPr>
        <w:t xml:space="preserve"> and the high rates of death attributed to cardiovascular causes may reflect the characteristics of a Scottish population. Finally</w:t>
      </w:r>
      <w:r w:rsidR="0027774E">
        <w:rPr>
          <w:rFonts w:cstheme="minorHAnsi"/>
        </w:rPr>
        <w:t>,</w:t>
      </w:r>
      <w:r w:rsidR="008E4437">
        <w:rPr>
          <w:rFonts w:cstheme="minorHAnsi"/>
        </w:rPr>
        <w:t xml:space="preserve"> there may be errors in the classification of cause of </w:t>
      </w:r>
      <w:r w:rsidR="0027774E" w:rsidRPr="005D0086">
        <w:rPr>
          <w:rFonts w:cstheme="minorHAnsi"/>
        </w:rPr>
        <w:t>nephrotic syndrome</w:t>
      </w:r>
      <w:r w:rsidR="008E4437">
        <w:rPr>
          <w:rFonts w:cstheme="minorHAnsi"/>
        </w:rPr>
        <w:t xml:space="preserve"> </w:t>
      </w:r>
      <w:r w:rsidR="0027774E">
        <w:rPr>
          <w:rFonts w:cstheme="minorHAnsi"/>
        </w:rPr>
        <w:t>and, as in clinical practice, it is hard to distinguish acute kidney injury from progression of kidney disease.</w:t>
      </w:r>
    </w:p>
    <w:p w14:paraId="01090118" w14:textId="31594D1D" w:rsidR="00A82EA8" w:rsidRDefault="008E4437" w:rsidP="00E9284F">
      <w:pPr>
        <w:shd w:val="clear" w:color="auto" w:fill="FFFFFF"/>
        <w:spacing w:after="150" w:line="480" w:lineRule="auto"/>
        <w:rPr>
          <w:rFonts w:cstheme="minorHAnsi"/>
        </w:rPr>
      </w:pPr>
      <w:r>
        <w:rPr>
          <w:rFonts w:cstheme="minorHAnsi"/>
        </w:rPr>
        <w:t xml:space="preserve">Nonetheless this study is important. </w:t>
      </w:r>
      <w:r w:rsidR="00A82EA8">
        <w:rPr>
          <w:rFonts w:cstheme="minorHAnsi"/>
        </w:rPr>
        <w:t>From an academic perspective, t</w:t>
      </w:r>
      <w:r w:rsidR="002527FC">
        <w:rPr>
          <w:rFonts w:cstheme="minorHAnsi"/>
        </w:rPr>
        <w:t xml:space="preserve">he pre-specified protocol with explanation of deviations and open analytical code are welcome and should be widely replicated. </w:t>
      </w:r>
    </w:p>
    <w:p w14:paraId="1AB5AC74" w14:textId="1C8B4BDE" w:rsidR="00A82EA8" w:rsidRPr="00614711" w:rsidRDefault="00A82EA8" w:rsidP="009E2C40">
      <w:pPr>
        <w:shd w:val="clear" w:color="auto" w:fill="FFFFFF"/>
        <w:spacing w:after="150" w:line="480" w:lineRule="auto"/>
        <w:rPr>
          <w:rFonts w:cstheme="minorHAnsi"/>
        </w:rPr>
      </w:pPr>
      <w:r>
        <w:rPr>
          <w:rFonts w:cstheme="minorHAnsi"/>
        </w:rPr>
        <w:t xml:space="preserve">Clinically, the study </w:t>
      </w:r>
      <w:r w:rsidR="00D36C39">
        <w:rPr>
          <w:rFonts w:cstheme="minorHAnsi"/>
        </w:rPr>
        <w:t xml:space="preserve">highlights the difference between renal and mortality outcomes for a routine care population and that shown among the selected population in clinical trials and disease specific cohorts. </w:t>
      </w:r>
      <w:r w:rsidR="00FF6241">
        <w:t xml:space="preserve">This could allow us to provide more accurate prognostic information for our patients. In addition, the paper </w:t>
      </w:r>
      <w:r>
        <w:rPr>
          <w:rFonts w:cstheme="minorHAnsi"/>
        </w:rPr>
        <w:t xml:space="preserve">reminds us to focus </w:t>
      </w:r>
      <w:r w:rsidR="009E2C40">
        <w:rPr>
          <w:rFonts w:cstheme="minorHAnsi"/>
        </w:rPr>
        <w:t xml:space="preserve">on </w:t>
      </w:r>
      <w:r>
        <w:rPr>
          <w:rFonts w:cstheme="minorHAnsi"/>
        </w:rPr>
        <w:t>outcomes</w:t>
      </w:r>
      <w:r w:rsidR="009E2C40">
        <w:t xml:space="preserve"> beyond their glomeruli</w:t>
      </w:r>
      <w:r w:rsidR="009E2C40">
        <w:rPr>
          <w:rFonts w:cstheme="minorHAnsi"/>
        </w:rPr>
        <w:t xml:space="preserve">. We must </w:t>
      </w:r>
      <w:r w:rsidR="009E2C40">
        <w:t xml:space="preserve">establish patients’ priorities of care and consider adequate </w:t>
      </w:r>
      <w:r w:rsidR="009E2C40">
        <w:rPr>
          <w:rFonts w:cstheme="minorHAnsi"/>
        </w:rPr>
        <w:t>preparation for renal replacement therapy</w:t>
      </w:r>
      <w:r>
        <w:rPr>
          <w:rFonts w:cstheme="minorHAnsi"/>
        </w:rPr>
        <w:t xml:space="preserve"> </w:t>
      </w:r>
      <w:r w:rsidR="009E2C40">
        <w:rPr>
          <w:rFonts w:cstheme="minorHAnsi"/>
        </w:rPr>
        <w:t>and advance care planning when required</w:t>
      </w:r>
      <w:r>
        <w:rPr>
          <w:rFonts w:cstheme="minorHAnsi"/>
        </w:rPr>
        <w:t>.</w:t>
      </w:r>
      <w:r w:rsidR="009E2C40">
        <w:rPr>
          <w:rFonts w:cstheme="minorHAnsi"/>
        </w:rPr>
        <w:t xml:space="preserve"> </w:t>
      </w:r>
      <w:r w:rsidR="009E2C40" w:rsidRPr="00811D82">
        <w:rPr>
          <w:rFonts w:cstheme="minorHAnsi"/>
          <w:iCs/>
        </w:rPr>
        <w:t xml:space="preserve">In this, the situation is analogous to </w:t>
      </w:r>
      <w:r w:rsidRPr="00811D82">
        <w:rPr>
          <w:iCs/>
        </w:rPr>
        <w:t>the management of the failing renal transplant where despite specialist nephrology follow</w:t>
      </w:r>
      <w:r w:rsidR="00FF6241">
        <w:rPr>
          <w:iCs/>
        </w:rPr>
        <w:t>-</w:t>
      </w:r>
      <w:r w:rsidRPr="00811D82">
        <w:rPr>
          <w:iCs/>
        </w:rPr>
        <w:t>up patients arri</w:t>
      </w:r>
      <w:r w:rsidR="009E2C40" w:rsidRPr="00811D82">
        <w:rPr>
          <w:iCs/>
        </w:rPr>
        <w:t>ve at dialysis poorly prepared</w:t>
      </w:r>
      <w:r w:rsidR="00FF6241">
        <w:rPr>
          <w:iCs/>
        </w:rPr>
        <w:t>.</w:t>
      </w:r>
      <w:r w:rsidR="009E2C40" w:rsidRPr="00811D82">
        <w:rPr>
          <w:iCs/>
        </w:rPr>
        <w:fldChar w:fldCharType="begin" w:fldLock="1"/>
      </w:r>
      <w:r w:rsidR="00806794">
        <w:rPr>
          <w:iCs/>
        </w:rPr>
        <w:instrText>ADDIN CSL_CITATION {"citationItems":[{"id":"ITEM-1","itemData":{"DOI":"10.1046/j.1523-1755.2002.00373.x","ISSN":"00852538","PMID":"12028460","abstract":"Background. Patients initiating dialysis after a failed kidney transplant are a subgroup of chronic kidney disease (CKD) patients who have not been characterized. Exposure to immunosuppressive medications differentiates these patients from the general incident end-stage renal disease (ESRD) population. Methods. Data from the Health Care Financing Administration 2728 form were used to determine the hematocrit, erythropoietin use, serum albumin and glomerular filtration rate (GFR) among 4643 patients with failed kidney transplants who initiated dialysis between April 1995 and December 1998. Results. At dialysis initiation, the mean hematocrit, serum albumin and GFR were 27.5%, 3.3 g/dL, and 8.4 mL/min/1.73 m2, respectively, and only 35% of patients had received erythropoietin. In a multivariate analysis, patients &lt;45 years, females, patients of non-White race, non-diabetic patients, hemodialysis patients and patients with a lower serum albumin had a higher odds for hematocrit &lt;30%. Erythropoietin use was associated with female gender, White race, increased time since transplantation, being employed, peritoneal dialysis, and higher serum albumin. Patients ≥45 years and patients with diabetes or congestive heart failure had higher odds for hypoalbuminemia, while employed patients, peritoneal dialysis patients, patients with higher hematocrit and patients who had received erythropoietin had lower odds of hypoalbuminemia. Conclusions. Despite being known to specialty physicians, patients with failed kidney transplants initiate dialysis at levels of hematocrit, serum albumin, and GFR that may be suboptimal and similar to those in the general incident ESRD population. Socioeconomic factors remain important barriers to the provision of CKD care even among these patients with established specialty physician contact. Improved CKD care could improve the outcomes of this unique subgroup of CKD patients.","author":[{"dropping-particle":"","family":"Gill","given":"John S.","non-dropping-particle":"","parse-names":false,"suffix":""},{"dropping-particle":"","family":"Abichandani","given":"Rekha","non-dropping-particle":"","parse-names":false,"suffix":""},{"dropping-particle":"","family":"Khan","given":"Samina","non-dropping-particle":"","parse-names":false,"suffix":""},{"dropping-particle":"","family":"Kausz","given":"Annamaria T.","non-dropping-particle":"","parse-names":false,"suffix":""},{"dropping-particle":"","family":"Pereira","given":"Brian J.G.","non-dropping-particle":"","parse-names":false,"suffix":""}],"container-title":"Kidney International","id":"ITEM-1","issued":{"date-parts":[["2002"]]},"title":"Opportunities to improve the care of patients with kidney transplant failure","type":"article-journal"},"uris":["http://www.mendeley.com/documents/?uuid=bcc1e49e-7573-4b2f-adb1-83cd7c56d566"]}],"mendeley":{"formattedCitation":"(10)","plainTextFormattedCitation":"(10)","previouslyFormattedCitation":"(9)"},"properties":{"noteIndex":0},"schema":"https://github.com/citation-style-language/schema/raw/master/csl-citation.json"}</w:instrText>
      </w:r>
      <w:r w:rsidR="009E2C40" w:rsidRPr="00811D82">
        <w:rPr>
          <w:iCs/>
        </w:rPr>
        <w:fldChar w:fldCharType="separate"/>
      </w:r>
      <w:r w:rsidR="00FF6241">
        <w:rPr>
          <w:iCs/>
          <w:noProof/>
        </w:rPr>
        <w:t>(9</w:t>
      </w:r>
      <w:r w:rsidR="00806794" w:rsidRPr="00806794">
        <w:rPr>
          <w:iCs/>
          <w:noProof/>
        </w:rPr>
        <w:t>)</w:t>
      </w:r>
      <w:r w:rsidR="009E2C40" w:rsidRPr="00811D82">
        <w:rPr>
          <w:iCs/>
        </w:rPr>
        <w:fldChar w:fldCharType="end"/>
      </w:r>
      <w:r w:rsidR="00811D82" w:rsidRPr="00811D82">
        <w:rPr>
          <w:iCs/>
        </w:rPr>
        <w:t xml:space="preserve"> Again, the focus on the diagnosis of the transplant </w:t>
      </w:r>
      <w:r w:rsidR="00FF6241">
        <w:rPr>
          <w:iCs/>
        </w:rPr>
        <w:t xml:space="preserve">pathology </w:t>
      </w:r>
      <w:r w:rsidR="00811D82" w:rsidRPr="00811D82">
        <w:rPr>
          <w:iCs/>
        </w:rPr>
        <w:t xml:space="preserve">can blur our vision when it comes to focusing on patient centred outcomes. </w:t>
      </w:r>
      <w:r w:rsidR="009E2C40" w:rsidRPr="00811D82">
        <w:rPr>
          <w:iCs/>
        </w:rPr>
        <w:t xml:space="preserve"> </w:t>
      </w:r>
      <w:r w:rsidR="00811D82" w:rsidRPr="00811D82">
        <w:rPr>
          <w:iCs/>
        </w:rPr>
        <w:t>The benefits of involving patient and carer groups in trial design has been taken a step forward in recent years with t</w:t>
      </w:r>
      <w:r w:rsidRPr="00811D82">
        <w:rPr>
          <w:iCs/>
        </w:rPr>
        <w:t xml:space="preserve">he SONG initiative to identify research priorities from both the patient, carer and clinician perspective in many different areas of kidney disease </w:t>
      </w:r>
      <w:r w:rsidR="00811D82" w:rsidRPr="00811D82">
        <w:rPr>
          <w:iCs/>
        </w:rPr>
        <w:t xml:space="preserve">and this collaborative </w:t>
      </w:r>
      <w:r w:rsidRPr="00811D82">
        <w:rPr>
          <w:iCs/>
        </w:rPr>
        <w:t xml:space="preserve">is currently undertaking this process for glomerulonephritis </w:t>
      </w:r>
      <w:r w:rsidRPr="00811D82">
        <w:rPr>
          <w:iCs/>
        </w:rPr>
        <w:fldChar w:fldCharType="begin" w:fldLock="1"/>
      </w:r>
      <w:r w:rsidR="00806794">
        <w:rPr>
          <w:iCs/>
        </w:rPr>
        <w:instrText>ADDIN CSL_CITATION {"citationItems":[{"id":"ITEM-1","itemData":{"id":"ITEM-1","issued":{"date-parts":[["0"]]},"title":"https://kdigo.org/wp-content/uploads/2018/02/SONG-Full-Proposal.pdfNo Title","type":"article-journal"},"uris":["http://www.mendeley.com/documents/?uuid=77e76f67-a44d-40c2-b689-91e0ea98acb6"]}],"mendeley":{"formattedCitation":"(11)","plainTextFormattedCitation":"(11)","previouslyFormattedCitation":"(10)"},"properties":{"noteIndex":0},"schema":"https://github.com/citation-style-language/schema/raw/master/csl-citation.json"}</w:instrText>
      </w:r>
      <w:r w:rsidRPr="00811D82">
        <w:rPr>
          <w:iCs/>
        </w:rPr>
        <w:fldChar w:fldCharType="separate"/>
      </w:r>
      <w:r w:rsidR="00FF6241">
        <w:rPr>
          <w:iCs/>
          <w:noProof/>
        </w:rPr>
        <w:t>(10</w:t>
      </w:r>
      <w:r w:rsidR="00806794" w:rsidRPr="00806794">
        <w:rPr>
          <w:iCs/>
          <w:noProof/>
        </w:rPr>
        <w:t>)</w:t>
      </w:r>
      <w:r w:rsidRPr="00811D82">
        <w:rPr>
          <w:iCs/>
        </w:rPr>
        <w:fldChar w:fldCharType="end"/>
      </w:r>
      <w:r w:rsidRPr="00811D82">
        <w:rPr>
          <w:iCs/>
        </w:rPr>
        <w:t>.</w:t>
      </w:r>
    </w:p>
    <w:p w14:paraId="697BFF8E" w14:textId="77CFA31F" w:rsidR="00CE1E3A" w:rsidRDefault="002527FC" w:rsidP="00A30E35">
      <w:pPr>
        <w:shd w:val="clear" w:color="auto" w:fill="FFFFFF"/>
        <w:spacing w:after="150" w:line="480" w:lineRule="auto"/>
        <w:rPr>
          <w:rFonts w:ascii="PalatinoLinotype-Roman" w:hAnsi="PalatinoLinotype-Roman" w:cs="PalatinoLinotype-Roman"/>
          <w:sz w:val="20"/>
          <w:szCs w:val="20"/>
        </w:rPr>
      </w:pPr>
      <w:r>
        <w:rPr>
          <w:rFonts w:cstheme="minorHAnsi"/>
        </w:rPr>
        <w:lastRenderedPageBreak/>
        <w:t>In addition</w:t>
      </w:r>
      <w:r w:rsidR="00A30E35">
        <w:rPr>
          <w:rFonts w:cstheme="minorHAnsi"/>
        </w:rPr>
        <w:t>,</w:t>
      </w:r>
      <w:r>
        <w:rPr>
          <w:rFonts w:cstheme="minorHAnsi"/>
        </w:rPr>
        <w:t xml:space="preserve"> this paper </w:t>
      </w:r>
      <w:r w:rsidR="00A30E35">
        <w:rPr>
          <w:rFonts w:cstheme="minorHAnsi"/>
        </w:rPr>
        <w:t xml:space="preserve">creates an expectation. </w:t>
      </w:r>
      <w:r w:rsidR="00A30E35" w:rsidRPr="00A30E35">
        <w:rPr>
          <w:rFonts w:cstheme="minorHAnsi"/>
          <w:i/>
        </w:rPr>
        <w:t>Why</w:t>
      </w:r>
      <w:r w:rsidR="00A30E35">
        <w:rPr>
          <w:rFonts w:cstheme="minorHAnsi"/>
        </w:rPr>
        <w:t xml:space="preserve"> is data linkage of this kind not the norm? </w:t>
      </w:r>
      <w:r w:rsidR="00A30E35" w:rsidRPr="00A30E35">
        <w:rPr>
          <w:rFonts w:cstheme="minorHAnsi"/>
          <w:i/>
        </w:rPr>
        <w:t>Why</w:t>
      </w:r>
      <w:r w:rsidR="00A30E35">
        <w:rPr>
          <w:rFonts w:cstheme="minorHAnsi"/>
        </w:rPr>
        <w:t xml:space="preserve"> do we struggle to determine cause of death for our patients who die away from local services? </w:t>
      </w:r>
      <w:r w:rsidR="00A30E35" w:rsidRPr="00A30E35">
        <w:rPr>
          <w:rFonts w:cstheme="minorHAnsi"/>
          <w:i/>
        </w:rPr>
        <w:t>Why</w:t>
      </w:r>
      <w:r w:rsidR="00A30E35">
        <w:rPr>
          <w:rFonts w:cstheme="minorHAnsi"/>
        </w:rPr>
        <w:t xml:space="preserve"> is this data surprising? While e</w:t>
      </w:r>
      <w:r>
        <w:rPr>
          <w:rFonts w:cstheme="minorHAnsi"/>
        </w:rPr>
        <w:t>ach</w:t>
      </w:r>
      <w:r w:rsidR="00A30E35">
        <w:rPr>
          <w:rFonts w:cstheme="minorHAnsi"/>
        </w:rPr>
        <w:t xml:space="preserve"> specific</w:t>
      </w:r>
      <w:r>
        <w:rPr>
          <w:rFonts w:cstheme="minorHAnsi"/>
        </w:rPr>
        <w:t xml:space="preserve"> cause of nephro</w:t>
      </w:r>
      <w:r w:rsidR="00A30E35">
        <w:rPr>
          <w:rFonts w:cstheme="minorHAnsi"/>
        </w:rPr>
        <w:t xml:space="preserve">tic syndrome is relatively rare, </w:t>
      </w:r>
      <w:r>
        <w:rPr>
          <w:rFonts w:cstheme="minorHAnsi"/>
        </w:rPr>
        <w:t xml:space="preserve">imagine the power of a UK wide </w:t>
      </w:r>
      <w:r w:rsidR="006235A3">
        <w:rPr>
          <w:rFonts w:cstheme="minorHAnsi"/>
        </w:rPr>
        <w:t xml:space="preserve">or international </w:t>
      </w:r>
      <w:r>
        <w:rPr>
          <w:rFonts w:cstheme="minorHAnsi"/>
        </w:rPr>
        <w:t>study of renal biopsy information with full linkage to treatment and biochemical data</w:t>
      </w:r>
      <w:r w:rsidR="00A30E35">
        <w:rPr>
          <w:rFonts w:cstheme="minorHAnsi"/>
        </w:rPr>
        <w:t xml:space="preserve"> to understand features associated with</w:t>
      </w:r>
      <w:r w:rsidR="00C6562F">
        <w:rPr>
          <w:rFonts w:cstheme="minorHAnsi"/>
        </w:rPr>
        <w:t xml:space="preserve"> renal and mortality outcomes. While we persist with randomised trials, better use of routine</w:t>
      </w:r>
      <w:r w:rsidR="00A30E35">
        <w:rPr>
          <w:rFonts w:cstheme="minorHAnsi"/>
        </w:rPr>
        <w:t xml:space="preserve"> </w:t>
      </w:r>
      <w:r w:rsidR="00C6562F">
        <w:rPr>
          <w:rFonts w:cstheme="minorHAnsi"/>
        </w:rPr>
        <w:t xml:space="preserve">data </w:t>
      </w:r>
      <w:r w:rsidR="00A30E35">
        <w:rPr>
          <w:rFonts w:cstheme="minorHAnsi"/>
        </w:rPr>
        <w:t>could help us quantify the patients most likely to benefit from intensive immunosuppressive regimes. It is imperative that we move towards greater access to and</w:t>
      </w:r>
      <w:r w:rsidR="00CE1E3A" w:rsidRPr="00C6562F">
        <w:rPr>
          <w:rFonts w:cstheme="minorHAnsi"/>
        </w:rPr>
        <w:t xml:space="preserve"> wider use of linked data</w:t>
      </w:r>
      <w:r w:rsidR="00A30E35" w:rsidRPr="00C6562F">
        <w:rPr>
          <w:rFonts w:cstheme="minorHAnsi"/>
        </w:rPr>
        <w:t>: our patients have provided the data and we have to find ways to use it for maximum clinical benefit for all.</w:t>
      </w:r>
    </w:p>
    <w:p w14:paraId="35C998F7" w14:textId="11FE064A" w:rsidR="00F73390" w:rsidRDefault="00F73390" w:rsidP="00A30E35">
      <w:pPr>
        <w:shd w:val="clear" w:color="auto" w:fill="FFFFFF"/>
        <w:spacing w:after="150" w:line="480" w:lineRule="auto"/>
        <w:rPr>
          <w:rFonts w:ascii="PalatinoLinotype-Roman" w:hAnsi="PalatinoLinotype-Roman" w:cs="PalatinoLinotype-Roman"/>
          <w:sz w:val="20"/>
          <w:szCs w:val="20"/>
        </w:rPr>
      </w:pPr>
    </w:p>
    <w:p w14:paraId="5943EE18" w14:textId="6EBBA227" w:rsidR="00F73390" w:rsidRDefault="00F73390" w:rsidP="00A30E35">
      <w:pPr>
        <w:shd w:val="clear" w:color="auto" w:fill="FFFFFF"/>
        <w:spacing w:after="150" w:line="480" w:lineRule="auto"/>
        <w:rPr>
          <w:rFonts w:ascii="PalatinoLinotype-Roman" w:hAnsi="PalatinoLinotype-Roman" w:cs="PalatinoLinotype-Roman"/>
          <w:b/>
          <w:sz w:val="20"/>
          <w:szCs w:val="20"/>
        </w:rPr>
      </w:pPr>
      <w:r w:rsidRPr="00F73390">
        <w:rPr>
          <w:rFonts w:ascii="PalatinoLinotype-Roman" w:hAnsi="PalatinoLinotype-Roman" w:cs="PalatinoLinotype-Roman"/>
          <w:b/>
          <w:sz w:val="20"/>
          <w:szCs w:val="20"/>
        </w:rPr>
        <w:t>References</w:t>
      </w:r>
    </w:p>
    <w:p w14:paraId="106F7F35" w14:textId="7D143E46" w:rsidR="00806794" w:rsidRPr="00806794" w:rsidRDefault="00795318"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Pr>
          <w:rFonts w:ascii="PalatinoLinotype-Roman" w:hAnsi="PalatinoLinotype-Roman" w:cs="PalatinoLinotype-Roman"/>
          <w:b/>
          <w:sz w:val="20"/>
          <w:szCs w:val="20"/>
        </w:rPr>
        <w:fldChar w:fldCharType="begin" w:fldLock="1"/>
      </w:r>
      <w:r>
        <w:rPr>
          <w:rFonts w:ascii="PalatinoLinotype-Roman" w:hAnsi="PalatinoLinotype-Roman" w:cs="PalatinoLinotype-Roman"/>
          <w:b/>
          <w:sz w:val="20"/>
          <w:szCs w:val="20"/>
        </w:rPr>
        <w:instrText xml:space="preserve">ADDIN Mendeley Bibliography CSL_BIBLIOGRAPHY </w:instrText>
      </w:r>
      <w:r>
        <w:rPr>
          <w:rFonts w:ascii="PalatinoLinotype-Roman" w:hAnsi="PalatinoLinotype-Roman" w:cs="PalatinoLinotype-Roman"/>
          <w:b/>
          <w:sz w:val="20"/>
          <w:szCs w:val="20"/>
        </w:rPr>
        <w:fldChar w:fldCharType="separate"/>
      </w:r>
      <w:r w:rsidR="00806794" w:rsidRPr="00806794">
        <w:rPr>
          <w:rFonts w:ascii="PalatinoLinotype-Roman" w:hAnsi="PalatinoLinotype-Roman" w:cs="Times New Roman"/>
          <w:noProof/>
          <w:sz w:val="20"/>
          <w:szCs w:val="24"/>
        </w:rPr>
        <w:t xml:space="preserve">1. </w:t>
      </w:r>
      <w:r w:rsidR="00806794" w:rsidRPr="00806794">
        <w:rPr>
          <w:rFonts w:ascii="PalatinoLinotype-Roman" w:hAnsi="PalatinoLinotype-Roman" w:cs="Times New Roman"/>
          <w:noProof/>
          <w:sz w:val="20"/>
          <w:szCs w:val="24"/>
        </w:rPr>
        <w:tab/>
        <w:t xml:space="preserve">Black DAK, Rose G, Brewer DB. Controlled Trial of Prednisone in Adult Patients with the Nephrotic Syndrome. Br Med J. 1970; </w:t>
      </w:r>
    </w:p>
    <w:p w14:paraId="206FD658"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t xml:space="preserve">2. </w:t>
      </w:r>
      <w:r w:rsidRPr="00806794">
        <w:rPr>
          <w:rFonts w:ascii="PalatinoLinotype-Roman" w:hAnsi="PalatinoLinotype-Roman" w:cs="Times New Roman"/>
          <w:noProof/>
          <w:sz w:val="20"/>
          <w:szCs w:val="24"/>
        </w:rPr>
        <w:tab/>
        <w:t xml:space="preserve">Coggins CH. Adult minimal change nephropathy: experience of the collaborative study of glomerular disease. Trans Am Clin Climatol Assoc. 1985; </w:t>
      </w:r>
    </w:p>
    <w:p w14:paraId="7D7EA962"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t xml:space="preserve">3. </w:t>
      </w:r>
      <w:r w:rsidRPr="00806794">
        <w:rPr>
          <w:rFonts w:ascii="PalatinoLinotype-Roman" w:hAnsi="PalatinoLinotype-Roman" w:cs="Times New Roman"/>
          <w:noProof/>
          <w:sz w:val="20"/>
          <w:szCs w:val="24"/>
        </w:rPr>
        <w:tab/>
        <w:t xml:space="preserve">Medjeral-Thomas NR, Lawrence C, Condon M, Sood B, Warwicker P, Brown H, et al. Randomized, controlled trial of tacrolimus and prednisolone monotherapy for adults with de novo minimal change disease a multicenter, randomized, controlled trial. Clin J Am Soc Nephrol. 2020; </w:t>
      </w:r>
    </w:p>
    <w:p w14:paraId="7F351660"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t xml:space="preserve">4. </w:t>
      </w:r>
      <w:r w:rsidRPr="00806794">
        <w:rPr>
          <w:rFonts w:ascii="PalatinoLinotype-Roman" w:hAnsi="PalatinoLinotype-Roman" w:cs="Times New Roman"/>
          <w:noProof/>
          <w:sz w:val="20"/>
          <w:szCs w:val="24"/>
        </w:rPr>
        <w:tab/>
        <w:t xml:space="preserve">Li X, Liu Z, Wang L, Wang R, Ding G, Shi W, et al. Tacrolimus monotherapy after intravenous methylprednisolone in adults with minimal change nephrotic syndrome. J Am Soc Nephrol. 2017; </w:t>
      </w:r>
    </w:p>
    <w:p w14:paraId="32A851CB"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t xml:space="preserve">5. </w:t>
      </w:r>
      <w:r w:rsidRPr="00806794">
        <w:rPr>
          <w:rFonts w:ascii="PalatinoLinotype-Roman" w:hAnsi="PalatinoLinotype-Roman" w:cs="Times New Roman"/>
          <w:noProof/>
          <w:sz w:val="20"/>
          <w:szCs w:val="24"/>
        </w:rPr>
        <w:tab/>
        <w:t xml:space="preserve">Kolb A, Campbell J, O’Neill M, Hunter R. A national registry study of patient and renal survival in adult nephrotic syndrome. KI Reports[in Press. </w:t>
      </w:r>
    </w:p>
    <w:p w14:paraId="7E56A864"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lastRenderedPageBreak/>
        <w:t xml:space="preserve">6. </w:t>
      </w:r>
      <w:r w:rsidRPr="00806794">
        <w:rPr>
          <w:rFonts w:ascii="PalatinoLinotype-Roman" w:hAnsi="PalatinoLinotype-Roman" w:cs="Times New Roman"/>
          <w:noProof/>
          <w:sz w:val="20"/>
          <w:szCs w:val="24"/>
        </w:rPr>
        <w:tab/>
        <w:t xml:space="preserve">Colliou E, Karras A, Boffa J-J, Ribes D, Garrouste C, Quintrec M, et al. Outcomes of Older Patients (≥60 years) with New-Onset Idiopathic Nephrotic Syndrome Receiving Immunosuppressive Regimen: A Multicentre Study of 116 Patients. J Clin Med. 2019; </w:t>
      </w:r>
    </w:p>
    <w:p w14:paraId="5D8707C0" w14:textId="77777777"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sidRPr="00806794">
        <w:rPr>
          <w:rFonts w:ascii="PalatinoLinotype-Roman" w:hAnsi="PalatinoLinotype-Roman" w:cs="Times New Roman"/>
          <w:noProof/>
          <w:sz w:val="20"/>
          <w:szCs w:val="24"/>
        </w:rPr>
        <w:t xml:space="preserve">7. </w:t>
      </w:r>
      <w:r w:rsidRPr="00806794">
        <w:rPr>
          <w:rFonts w:ascii="PalatinoLinotype-Roman" w:hAnsi="PalatinoLinotype-Roman" w:cs="Times New Roman"/>
          <w:noProof/>
          <w:sz w:val="20"/>
          <w:szCs w:val="24"/>
        </w:rPr>
        <w:tab/>
        <w:t xml:space="preserve">Fenton A, Smith SW, Hewins P. Adult minimal-change disease: Observational data from a UK centre on patient characteristics, therapies, and outcomes. BMC Nephrol. 2018; </w:t>
      </w:r>
    </w:p>
    <w:p w14:paraId="02810CB3" w14:textId="2542BA18" w:rsidR="00806794" w:rsidRPr="00806794" w:rsidRDefault="00FF6241"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Pr>
          <w:rFonts w:ascii="PalatinoLinotype-Roman" w:hAnsi="PalatinoLinotype-Roman" w:cs="Times New Roman"/>
          <w:noProof/>
          <w:sz w:val="20"/>
          <w:szCs w:val="24"/>
        </w:rPr>
        <w:t>8</w:t>
      </w:r>
      <w:r w:rsidR="00806794" w:rsidRPr="00806794">
        <w:rPr>
          <w:rFonts w:ascii="PalatinoLinotype-Roman" w:hAnsi="PalatinoLinotype-Roman" w:cs="Times New Roman"/>
          <w:noProof/>
          <w:sz w:val="20"/>
          <w:szCs w:val="24"/>
        </w:rPr>
        <w:t xml:space="preserve">. </w:t>
      </w:r>
      <w:r w:rsidR="00806794" w:rsidRPr="00806794">
        <w:rPr>
          <w:rFonts w:ascii="PalatinoLinotype-Roman" w:hAnsi="PalatinoLinotype-Roman" w:cs="Times New Roman"/>
          <w:noProof/>
          <w:sz w:val="20"/>
          <w:szCs w:val="24"/>
        </w:rPr>
        <w:tab/>
        <w:t xml:space="preserve">Maas RJ, Deegens JK, Beukhof JR, Reichert LJ, ten Dam MA, Beutler JJ, et al. The Clinical Course of Minimal Change Nephrotic Syndrome With Onset in Adulthood or Late Adolescence: A Case Series. Am J Kidney Dis. 2017; </w:t>
      </w:r>
    </w:p>
    <w:p w14:paraId="2BD0DEC2" w14:textId="42353140" w:rsidR="00806794" w:rsidRPr="00806794" w:rsidRDefault="00FF6241" w:rsidP="00806794">
      <w:pPr>
        <w:widowControl w:val="0"/>
        <w:autoSpaceDE w:val="0"/>
        <w:autoSpaceDN w:val="0"/>
        <w:adjustRightInd w:val="0"/>
        <w:spacing w:line="480" w:lineRule="auto"/>
        <w:ind w:left="640" w:hanging="640"/>
        <w:rPr>
          <w:rFonts w:ascii="PalatinoLinotype-Roman" w:hAnsi="PalatinoLinotype-Roman" w:cs="Times New Roman"/>
          <w:noProof/>
          <w:sz w:val="20"/>
          <w:szCs w:val="24"/>
        </w:rPr>
      </w:pPr>
      <w:r>
        <w:rPr>
          <w:rFonts w:ascii="PalatinoLinotype-Roman" w:hAnsi="PalatinoLinotype-Roman" w:cs="Times New Roman"/>
          <w:noProof/>
          <w:sz w:val="20"/>
          <w:szCs w:val="24"/>
        </w:rPr>
        <w:t>9</w:t>
      </w:r>
      <w:r w:rsidR="00806794" w:rsidRPr="00806794">
        <w:rPr>
          <w:rFonts w:ascii="PalatinoLinotype-Roman" w:hAnsi="PalatinoLinotype-Roman" w:cs="Times New Roman"/>
          <w:noProof/>
          <w:sz w:val="20"/>
          <w:szCs w:val="24"/>
        </w:rPr>
        <w:t xml:space="preserve">. </w:t>
      </w:r>
      <w:r w:rsidR="00806794" w:rsidRPr="00806794">
        <w:rPr>
          <w:rFonts w:ascii="PalatinoLinotype-Roman" w:hAnsi="PalatinoLinotype-Roman" w:cs="Times New Roman"/>
          <w:noProof/>
          <w:sz w:val="20"/>
          <w:szCs w:val="24"/>
        </w:rPr>
        <w:tab/>
        <w:t xml:space="preserve">Gill JS, Abichandani R, Khan S, Kausz AT, Pereira BJG. Opportunities to improve the care of patients with kidney transplant failure. Kidney Int. 2002; </w:t>
      </w:r>
    </w:p>
    <w:p w14:paraId="06FE8702" w14:textId="1704C8FF" w:rsidR="00806794" w:rsidRPr="00806794" w:rsidRDefault="00806794" w:rsidP="00806794">
      <w:pPr>
        <w:widowControl w:val="0"/>
        <w:autoSpaceDE w:val="0"/>
        <w:autoSpaceDN w:val="0"/>
        <w:adjustRightInd w:val="0"/>
        <w:spacing w:line="480" w:lineRule="auto"/>
        <w:ind w:left="640" w:hanging="640"/>
        <w:rPr>
          <w:rFonts w:ascii="PalatinoLinotype-Roman" w:hAnsi="PalatinoLinotype-Roman"/>
          <w:noProof/>
          <w:sz w:val="20"/>
        </w:rPr>
      </w:pPr>
      <w:r w:rsidRPr="00806794">
        <w:rPr>
          <w:rFonts w:ascii="PalatinoLinotype-Roman" w:hAnsi="PalatinoLinotype-Roman" w:cs="Times New Roman"/>
          <w:noProof/>
          <w:sz w:val="20"/>
          <w:szCs w:val="24"/>
        </w:rPr>
        <w:t>1</w:t>
      </w:r>
      <w:r w:rsidR="00FF6241">
        <w:rPr>
          <w:rFonts w:ascii="PalatinoLinotype-Roman" w:hAnsi="PalatinoLinotype-Roman" w:cs="Times New Roman"/>
          <w:noProof/>
          <w:sz w:val="20"/>
          <w:szCs w:val="24"/>
        </w:rPr>
        <w:t>0</w:t>
      </w:r>
      <w:r w:rsidRPr="00806794">
        <w:rPr>
          <w:rFonts w:ascii="PalatinoLinotype-Roman" w:hAnsi="PalatinoLinotype-Roman" w:cs="Times New Roman"/>
          <w:noProof/>
          <w:sz w:val="20"/>
          <w:szCs w:val="24"/>
        </w:rPr>
        <w:t xml:space="preserve">. </w:t>
      </w:r>
      <w:r w:rsidRPr="00806794">
        <w:rPr>
          <w:rFonts w:ascii="PalatinoLinotype-Roman" w:hAnsi="PalatinoLinotype-Roman" w:cs="Times New Roman"/>
          <w:noProof/>
          <w:sz w:val="20"/>
          <w:szCs w:val="24"/>
        </w:rPr>
        <w:tab/>
        <w:t xml:space="preserve">https://kdigo.org/wp-content/uploads/2018/02/SONG-Full-Proposal.pdfNo Title. </w:t>
      </w:r>
    </w:p>
    <w:p w14:paraId="2F48AA48" w14:textId="7FEB8734" w:rsidR="00795318" w:rsidRPr="00F73390" w:rsidRDefault="00795318" w:rsidP="00A30E35">
      <w:pPr>
        <w:shd w:val="clear" w:color="auto" w:fill="FFFFFF"/>
        <w:spacing w:after="150" w:line="480" w:lineRule="auto"/>
        <w:rPr>
          <w:rFonts w:ascii="PalatinoLinotype-Roman" w:hAnsi="PalatinoLinotype-Roman" w:cs="PalatinoLinotype-Roman"/>
          <w:b/>
          <w:sz w:val="20"/>
          <w:szCs w:val="20"/>
        </w:rPr>
      </w:pPr>
      <w:r>
        <w:rPr>
          <w:rFonts w:ascii="PalatinoLinotype-Roman" w:hAnsi="PalatinoLinotype-Roman" w:cs="PalatinoLinotype-Roman"/>
          <w:b/>
          <w:sz w:val="20"/>
          <w:szCs w:val="20"/>
        </w:rPr>
        <w:fldChar w:fldCharType="end"/>
      </w:r>
    </w:p>
    <w:p w14:paraId="40C0EFB6" w14:textId="400A830B" w:rsidR="00C17400" w:rsidRPr="00C17400" w:rsidRDefault="00C17400">
      <w:pPr>
        <w:rPr>
          <w:b/>
        </w:rPr>
      </w:pPr>
    </w:p>
    <w:sectPr w:rsidR="00C17400" w:rsidRPr="00C1740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urie Tomlinson" w:date="2020-12-03T23:38:00Z" w:initials="LT">
    <w:p w14:paraId="02F850CD" w14:textId="49FC9447" w:rsidR="00FF6241" w:rsidRDefault="00FF6241">
      <w:pPr>
        <w:pStyle w:val="CommentText"/>
      </w:pPr>
      <w:r>
        <w:rPr>
          <w:rStyle w:val="CommentReference"/>
        </w:rPr>
        <w:annotationRef/>
      </w:r>
      <w:r>
        <w:t>Does this summarise these rerences?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F850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004A"/>
    <w:multiLevelType w:val="hybridMultilevel"/>
    <w:tmpl w:val="A6F2457A"/>
    <w:lvl w:ilvl="0" w:tplc="F34C2B12">
      <w:start w:val="2"/>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ie Tomlinson">
    <w15:presenceInfo w15:providerId="AD" w15:userId="S-1-5-21-1149302403-3944600604-1635044949-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8F"/>
    <w:rsid w:val="000B6C3E"/>
    <w:rsid w:val="000E1B7F"/>
    <w:rsid w:val="00113CA8"/>
    <w:rsid w:val="00181DBC"/>
    <w:rsid w:val="00187A3E"/>
    <w:rsid w:val="00200704"/>
    <w:rsid w:val="002149C7"/>
    <w:rsid w:val="00220E3B"/>
    <w:rsid w:val="002527FC"/>
    <w:rsid w:val="0027774E"/>
    <w:rsid w:val="002B2103"/>
    <w:rsid w:val="002D4075"/>
    <w:rsid w:val="003468D3"/>
    <w:rsid w:val="003B1421"/>
    <w:rsid w:val="003B15A7"/>
    <w:rsid w:val="003C6048"/>
    <w:rsid w:val="0040765A"/>
    <w:rsid w:val="004F2D90"/>
    <w:rsid w:val="005107E9"/>
    <w:rsid w:val="00521066"/>
    <w:rsid w:val="005B5A4C"/>
    <w:rsid w:val="005D0086"/>
    <w:rsid w:val="005E47B0"/>
    <w:rsid w:val="00614711"/>
    <w:rsid w:val="006235A3"/>
    <w:rsid w:val="00642C5B"/>
    <w:rsid w:val="00655657"/>
    <w:rsid w:val="006621BC"/>
    <w:rsid w:val="006F272E"/>
    <w:rsid w:val="0070262B"/>
    <w:rsid w:val="00727464"/>
    <w:rsid w:val="00743340"/>
    <w:rsid w:val="00752162"/>
    <w:rsid w:val="00795318"/>
    <w:rsid w:val="00806794"/>
    <w:rsid w:val="00811D82"/>
    <w:rsid w:val="008161B2"/>
    <w:rsid w:val="0086065B"/>
    <w:rsid w:val="0088026A"/>
    <w:rsid w:val="008E4437"/>
    <w:rsid w:val="008E5B7F"/>
    <w:rsid w:val="008F7E27"/>
    <w:rsid w:val="009B7945"/>
    <w:rsid w:val="009C73E2"/>
    <w:rsid w:val="009E2C40"/>
    <w:rsid w:val="00A30E35"/>
    <w:rsid w:val="00A82EA8"/>
    <w:rsid w:val="00A83E26"/>
    <w:rsid w:val="00B3280D"/>
    <w:rsid w:val="00B40F7D"/>
    <w:rsid w:val="00B706FC"/>
    <w:rsid w:val="00C057A3"/>
    <w:rsid w:val="00C17400"/>
    <w:rsid w:val="00C24774"/>
    <w:rsid w:val="00C32D44"/>
    <w:rsid w:val="00C6562F"/>
    <w:rsid w:val="00CB5482"/>
    <w:rsid w:val="00CC300C"/>
    <w:rsid w:val="00CD6CF2"/>
    <w:rsid w:val="00CE1E3A"/>
    <w:rsid w:val="00D04C6B"/>
    <w:rsid w:val="00D36C39"/>
    <w:rsid w:val="00D83116"/>
    <w:rsid w:val="00DA7B45"/>
    <w:rsid w:val="00DB5A8F"/>
    <w:rsid w:val="00E53594"/>
    <w:rsid w:val="00E67A86"/>
    <w:rsid w:val="00E90E2D"/>
    <w:rsid w:val="00E9284F"/>
    <w:rsid w:val="00EB31F1"/>
    <w:rsid w:val="00EB32D2"/>
    <w:rsid w:val="00EB696B"/>
    <w:rsid w:val="00F134D5"/>
    <w:rsid w:val="00F163D5"/>
    <w:rsid w:val="00F36D7C"/>
    <w:rsid w:val="00F73390"/>
    <w:rsid w:val="00F816FF"/>
    <w:rsid w:val="00FA1302"/>
    <w:rsid w:val="00FF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533C"/>
  <w15:chartTrackingRefBased/>
  <w15:docId w15:val="{0C2A0723-A492-4D5C-B695-2E4CA3F9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96B"/>
    <w:rPr>
      <w:color w:val="0563C1" w:themeColor="hyperlink"/>
      <w:u w:val="single"/>
    </w:rPr>
  </w:style>
  <w:style w:type="character" w:customStyle="1" w:styleId="UnresolvedMention1">
    <w:name w:val="Unresolved Mention1"/>
    <w:basedOn w:val="DefaultParagraphFont"/>
    <w:uiPriority w:val="99"/>
    <w:semiHidden/>
    <w:unhideWhenUsed/>
    <w:rsid w:val="00EB696B"/>
    <w:rPr>
      <w:color w:val="605E5C"/>
      <w:shd w:val="clear" w:color="auto" w:fill="E1DFDD"/>
    </w:rPr>
  </w:style>
  <w:style w:type="character" w:customStyle="1" w:styleId="Heading1Char">
    <w:name w:val="Heading 1 Char"/>
    <w:basedOn w:val="DefaultParagraphFont"/>
    <w:link w:val="Heading1"/>
    <w:uiPriority w:val="9"/>
    <w:rsid w:val="0075216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B5A4C"/>
    <w:pPr>
      <w:ind w:left="720"/>
      <w:contextualSpacing/>
    </w:pPr>
  </w:style>
  <w:style w:type="character" w:styleId="CommentReference">
    <w:name w:val="annotation reference"/>
    <w:basedOn w:val="DefaultParagraphFont"/>
    <w:uiPriority w:val="99"/>
    <w:semiHidden/>
    <w:unhideWhenUsed/>
    <w:rsid w:val="00FF6241"/>
    <w:rPr>
      <w:sz w:val="16"/>
      <w:szCs w:val="16"/>
    </w:rPr>
  </w:style>
  <w:style w:type="paragraph" w:styleId="CommentText">
    <w:name w:val="annotation text"/>
    <w:basedOn w:val="Normal"/>
    <w:link w:val="CommentTextChar"/>
    <w:uiPriority w:val="99"/>
    <w:semiHidden/>
    <w:unhideWhenUsed/>
    <w:rsid w:val="00FF6241"/>
    <w:pPr>
      <w:spacing w:line="240" w:lineRule="auto"/>
    </w:pPr>
    <w:rPr>
      <w:sz w:val="20"/>
      <w:szCs w:val="20"/>
    </w:rPr>
  </w:style>
  <w:style w:type="character" w:customStyle="1" w:styleId="CommentTextChar">
    <w:name w:val="Comment Text Char"/>
    <w:basedOn w:val="DefaultParagraphFont"/>
    <w:link w:val="CommentText"/>
    <w:uiPriority w:val="99"/>
    <w:semiHidden/>
    <w:rsid w:val="00FF6241"/>
    <w:rPr>
      <w:sz w:val="20"/>
      <w:szCs w:val="20"/>
    </w:rPr>
  </w:style>
  <w:style w:type="paragraph" w:styleId="CommentSubject">
    <w:name w:val="annotation subject"/>
    <w:basedOn w:val="CommentText"/>
    <w:next w:val="CommentText"/>
    <w:link w:val="CommentSubjectChar"/>
    <w:uiPriority w:val="99"/>
    <w:semiHidden/>
    <w:unhideWhenUsed/>
    <w:rsid w:val="00FF6241"/>
    <w:rPr>
      <w:b/>
      <w:bCs/>
    </w:rPr>
  </w:style>
  <w:style w:type="character" w:customStyle="1" w:styleId="CommentSubjectChar">
    <w:name w:val="Comment Subject Char"/>
    <w:basedOn w:val="CommentTextChar"/>
    <w:link w:val="CommentSubject"/>
    <w:uiPriority w:val="99"/>
    <w:semiHidden/>
    <w:rsid w:val="00FF6241"/>
    <w:rPr>
      <w:b/>
      <w:bCs/>
      <w:sz w:val="20"/>
      <w:szCs w:val="20"/>
    </w:rPr>
  </w:style>
  <w:style w:type="paragraph" w:styleId="BalloonText">
    <w:name w:val="Balloon Text"/>
    <w:basedOn w:val="Normal"/>
    <w:link w:val="BalloonTextChar"/>
    <w:uiPriority w:val="99"/>
    <w:semiHidden/>
    <w:unhideWhenUsed/>
    <w:rsid w:val="00FF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33139">
      <w:bodyDiv w:val="1"/>
      <w:marLeft w:val="0"/>
      <w:marRight w:val="0"/>
      <w:marTop w:val="0"/>
      <w:marBottom w:val="0"/>
      <w:divBdr>
        <w:top w:val="none" w:sz="0" w:space="0" w:color="auto"/>
        <w:left w:val="none" w:sz="0" w:space="0" w:color="auto"/>
        <w:bottom w:val="none" w:sz="0" w:space="0" w:color="auto"/>
        <w:right w:val="none" w:sz="0" w:space="0" w:color="auto"/>
      </w:divBdr>
    </w:div>
    <w:div w:id="1509248610">
      <w:bodyDiv w:val="1"/>
      <w:marLeft w:val="0"/>
      <w:marRight w:val="0"/>
      <w:marTop w:val="0"/>
      <w:marBottom w:val="0"/>
      <w:divBdr>
        <w:top w:val="none" w:sz="0" w:space="0" w:color="auto"/>
        <w:left w:val="none" w:sz="0" w:space="0" w:color="auto"/>
        <w:bottom w:val="none" w:sz="0" w:space="0" w:color="auto"/>
        <w:right w:val="none" w:sz="0" w:space="0" w:color="auto"/>
      </w:divBdr>
    </w:div>
    <w:div w:id="17310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shtm.ac.uk/ep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3ED7-1A7D-4DCB-9E0B-E170FFD4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Castledine</dc:creator>
  <cp:keywords/>
  <dc:description/>
  <cp:lastModifiedBy>Laurie Tomlinson</cp:lastModifiedBy>
  <cp:revision>2</cp:revision>
  <dcterms:created xsi:type="dcterms:W3CDTF">2021-02-04T07:27:00Z</dcterms:created>
  <dcterms:modified xsi:type="dcterms:W3CDTF">2021-02-04T07:27:00Z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ace301ab-6181-3c27-92fd-3d141a26e781</vt:lpwstr>
  </property>
  <property fmtid="{D5CDD505-2E9C-101B-9397-08002B2CF9AE}" pid="24" name="Mendeley Citation Style_1">
    <vt:lpwstr>http://www.zotero.org/styles/vancouver</vt:lpwstr>
  </property>
</Properties>
</file>