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574D0" w14:textId="09BE26FF" w:rsidR="001531E1" w:rsidRPr="00037832" w:rsidRDefault="00DE3A72" w:rsidP="00DA303F">
      <w:pPr>
        <w:spacing w:before="120" w:after="120" w:line="480" w:lineRule="auto"/>
        <w:rPr>
          <w:sz w:val="28"/>
        </w:rPr>
      </w:pPr>
      <w:r w:rsidRPr="00037832">
        <w:rPr>
          <w:sz w:val="28"/>
        </w:rPr>
        <w:t>Deworming children</w:t>
      </w:r>
      <w:r w:rsidR="00C5396C" w:rsidRPr="00037832">
        <w:rPr>
          <w:sz w:val="28"/>
        </w:rPr>
        <w:t xml:space="preserve"> for soil-transmitted helminths</w:t>
      </w:r>
      <w:r w:rsidRPr="00037832">
        <w:rPr>
          <w:sz w:val="28"/>
        </w:rPr>
        <w:t xml:space="preserve"> in low and middle income countries: Systematic review and individual participant data network meta-analysis </w:t>
      </w:r>
    </w:p>
    <w:p w14:paraId="46901872" w14:textId="44B3DBC2" w:rsidR="000C7888" w:rsidRPr="00507D19" w:rsidRDefault="000C7888" w:rsidP="000C7888">
      <w:pPr>
        <w:spacing w:before="120" w:after="120" w:line="480" w:lineRule="auto"/>
      </w:pPr>
      <w:r w:rsidRPr="00DA303F">
        <w:t>Vivian A Welch</w:t>
      </w:r>
      <w:r>
        <w:rPr>
          <w:vertAlign w:val="superscript"/>
        </w:rPr>
        <w:t>1</w:t>
      </w:r>
      <w:r w:rsidR="00C026F5">
        <w:rPr>
          <w:vertAlign w:val="superscript"/>
        </w:rPr>
        <w:t>,</w:t>
      </w:r>
      <w:r>
        <w:rPr>
          <w:vertAlign w:val="superscript"/>
        </w:rPr>
        <w:t>2*</w:t>
      </w:r>
      <w:r>
        <w:t xml:space="preserve">, </w:t>
      </w:r>
      <w:r w:rsidRPr="00DA303F">
        <w:t xml:space="preserve">Alomgir </w:t>
      </w:r>
      <w:r w:rsidRPr="00BC2403">
        <w:t>Hossain</w:t>
      </w:r>
      <w:r>
        <w:rPr>
          <w:vertAlign w:val="superscript"/>
        </w:rPr>
        <w:t>2</w:t>
      </w:r>
      <w:r w:rsidR="00C026F5">
        <w:rPr>
          <w:vertAlign w:val="superscript"/>
        </w:rPr>
        <w:t>,</w:t>
      </w:r>
      <w:r w:rsidRPr="00BC2403">
        <w:rPr>
          <w:vertAlign w:val="superscript"/>
        </w:rPr>
        <w:t>3</w:t>
      </w:r>
      <w:r w:rsidR="00C026F5">
        <w:rPr>
          <w:vertAlign w:val="superscript"/>
        </w:rPr>
        <w:t>,</w:t>
      </w:r>
      <w:r w:rsidRPr="00BC2403">
        <w:rPr>
          <w:vertAlign w:val="superscript"/>
        </w:rPr>
        <w:t>4</w:t>
      </w:r>
      <w:r w:rsidRPr="00DA303F">
        <w:t>,</w:t>
      </w:r>
      <w:r>
        <w:t xml:space="preserve"> </w:t>
      </w:r>
      <w:r w:rsidRPr="00DA303F">
        <w:t>Elizabeth Ghogomu</w:t>
      </w:r>
      <w:r>
        <w:rPr>
          <w:vertAlign w:val="superscript"/>
        </w:rPr>
        <w:t>5</w:t>
      </w:r>
      <w:r>
        <w:t xml:space="preserve">, </w:t>
      </w:r>
      <w:r w:rsidRPr="00DA303F">
        <w:t>Alison Riddle</w:t>
      </w:r>
      <w:r>
        <w:rPr>
          <w:vertAlign w:val="superscript"/>
        </w:rPr>
        <w:t>2</w:t>
      </w:r>
      <w:r>
        <w:t xml:space="preserve">, </w:t>
      </w:r>
      <w:r w:rsidR="00F230C4" w:rsidRPr="00DA303F">
        <w:t>Simon Cousens</w:t>
      </w:r>
      <w:r w:rsidR="00F230C4">
        <w:rPr>
          <w:vertAlign w:val="superscript"/>
        </w:rPr>
        <w:t>10</w:t>
      </w:r>
      <w:r w:rsidR="00F230C4" w:rsidRPr="00DA303F">
        <w:t xml:space="preserve">, </w:t>
      </w:r>
      <w:r w:rsidRPr="00DA303F">
        <w:t>Michelle Gaffey</w:t>
      </w:r>
      <w:r>
        <w:rPr>
          <w:vertAlign w:val="superscript"/>
        </w:rPr>
        <w:t>6</w:t>
      </w:r>
      <w:r w:rsidRPr="00DA303F">
        <w:t>,</w:t>
      </w:r>
      <w:r>
        <w:t xml:space="preserve"> </w:t>
      </w:r>
      <w:r w:rsidRPr="00DA303F">
        <w:t>Paul Arora</w:t>
      </w:r>
      <w:r>
        <w:rPr>
          <w:vertAlign w:val="superscript"/>
        </w:rPr>
        <w:t>7</w:t>
      </w:r>
      <w:r w:rsidR="00C026F5">
        <w:rPr>
          <w:vertAlign w:val="superscript"/>
        </w:rPr>
        <w:t>,</w:t>
      </w:r>
      <w:r>
        <w:rPr>
          <w:vertAlign w:val="superscript"/>
        </w:rPr>
        <w:t>8</w:t>
      </w:r>
      <w:r w:rsidRPr="00DA303F">
        <w:t>,</w:t>
      </w:r>
      <w:r>
        <w:t xml:space="preserve"> </w:t>
      </w:r>
      <w:r w:rsidR="008C7075" w:rsidRPr="00DA303F">
        <w:t>Robert Black</w:t>
      </w:r>
      <w:r w:rsidR="008C7075">
        <w:rPr>
          <w:vertAlign w:val="superscript"/>
        </w:rPr>
        <w:t>12</w:t>
      </w:r>
      <w:r w:rsidR="008C7075" w:rsidRPr="00DA303F">
        <w:t>,</w:t>
      </w:r>
      <w:r w:rsidR="008C7075">
        <w:t xml:space="preserve"> </w:t>
      </w:r>
      <w:r w:rsidR="008C7075" w:rsidRPr="0000259B">
        <w:t>Donald Bundy</w:t>
      </w:r>
      <w:r w:rsidR="008C7075">
        <w:rPr>
          <w:vertAlign w:val="superscript"/>
        </w:rPr>
        <w:t>16</w:t>
      </w:r>
      <w:r w:rsidR="008C7075">
        <w:t xml:space="preserve">, </w:t>
      </w:r>
      <w:r w:rsidR="008C7075" w:rsidRPr="00DA303F">
        <w:rPr>
          <w:rFonts w:eastAsia="Times New Roman" w:cs="Arial"/>
          <w:color w:val="222222"/>
        </w:rPr>
        <w:t>Mary Christine Castro</w:t>
      </w:r>
      <w:r w:rsidR="008C7075">
        <w:rPr>
          <w:rFonts w:eastAsia="Times New Roman" w:cs="Arial"/>
          <w:color w:val="222222"/>
          <w:vertAlign w:val="superscript"/>
        </w:rPr>
        <w:t>17</w:t>
      </w:r>
      <w:r w:rsidR="008C7075">
        <w:rPr>
          <w:rFonts w:eastAsia="Times New Roman" w:cs="Arial"/>
          <w:color w:val="222222"/>
        </w:rPr>
        <w:t xml:space="preserve">, </w:t>
      </w:r>
      <w:r w:rsidR="008C7075">
        <w:t>Li Chen</w:t>
      </w:r>
      <w:r w:rsidR="008C7075">
        <w:rPr>
          <w:vertAlign w:val="superscript"/>
        </w:rPr>
        <w:t>3</w:t>
      </w:r>
      <w:r w:rsidR="008C7075">
        <w:t>,</w:t>
      </w:r>
      <w:r w:rsidR="008C7075" w:rsidRPr="00CE0168">
        <w:rPr>
          <w:lang w:val="en-GB"/>
        </w:rPr>
        <w:t xml:space="preserve"> </w:t>
      </w:r>
      <w:r w:rsidRPr="00DA303F">
        <w:t>Omar Dewidar</w:t>
      </w:r>
      <w:r>
        <w:rPr>
          <w:vertAlign w:val="superscript"/>
        </w:rPr>
        <w:t>5</w:t>
      </w:r>
      <w:r>
        <w:t>,</w:t>
      </w:r>
      <w:r>
        <w:rPr>
          <w:rFonts w:eastAsia="Times New Roman" w:cs="Helvetica"/>
          <w:color w:val="1155CC"/>
          <w:u w:val="single"/>
        </w:rPr>
        <w:t xml:space="preserve"> </w:t>
      </w:r>
      <w:r w:rsidR="008C7075" w:rsidRPr="00CE141D">
        <w:rPr>
          <w:rFonts w:eastAsia="Times New Roman" w:cs="Arial"/>
          <w:color w:val="222222"/>
        </w:rPr>
        <w:t>Alison Elliott</w:t>
      </w:r>
      <w:r w:rsidR="008C7075">
        <w:rPr>
          <w:rFonts w:eastAsia="Times New Roman" w:cs="Arial"/>
          <w:color w:val="222222"/>
          <w:vertAlign w:val="superscript"/>
        </w:rPr>
        <w:t>18</w:t>
      </w:r>
      <w:r w:rsidR="008C7075">
        <w:rPr>
          <w:rFonts w:eastAsia="Times New Roman" w:cs="Arial"/>
          <w:color w:val="222222"/>
        </w:rPr>
        <w:t xml:space="preserve">, </w:t>
      </w:r>
      <w:r w:rsidR="008C7075" w:rsidRPr="00CE141D">
        <w:rPr>
          <w:rFonts w:eastAsia="Times New Roman" w:cs="Arial"/>
          <w:color w:val="222222"/>
        </w:rPr>
        <w:t>Henrik Friis</w:t>
      </w:r>
      <w:r w:rsidR="008C7075">
        <w:rPr>
          <w:rFonts w:eastAsia="Times New Roman" w:cs="Arial"/>
          <w:color w:val="222222"/>
          <w:vertAlign w:val="superscript"/>
        </w:rPr>
        <w:t>19</w:t>
      </w:r>
      <w:r w:rsidR="008C7075">
        <w:rPr>
          <w:rFonts w:eastAsia="Times New Roman" w:cs="Arial"/>
          <w:color w:val="222222"/>
        </w:rPr>
        <w:t xml:space="preserve">, </w:t>
      </w:r>
      <w:r w:rsidR="008C7075" w:rsidRPr="00BF4BC0">
        <w:rPr>
          <w:shd w:val="clear" w:color="auto" w:fill="FFFFFF"/>
        </w:rPr>
        <w:t xml:space="preserve">T. </w:t>
      </w:r>
      <w:proofErr w:type="spellStart"/>
      <w:r w:rsidR="008C7075" w:rsidRPr="00BF4BC0">
        <w:rPr>
          <w:shd w:val="clear" w:color="auto" w:fill="FFFFFF"/>
        </w:rPr>
        <w:t>Déirdre</w:t>
      </w:r>
      <w:proofErr w:type="spellEnd"/>
      <w:r w:rsidR="008C7075" w:rsidRPr="00BF4BC0">
        <w:rPr>
          <w:shd w:val="clear" w:color="auto" w:fill="FFFFFF"/>
        </w:rPr>
        <w:t xml:space="preserve"> Hollingsworth</w:t>
      </w:r>
      <w:r w:rsidR="008C7075">
        <w:rPr>
          <w:shd w:val="clear" w:color="auto" w:fill="FFFFFF"/>
          <w:vertAlign w:val="superscript"/>
        </w:rPr>
        <w:t>13</w:t>
      </w:r>
      <w:r w:rsidR="008C7075" w:rsidRPr="00BF4BC0">
        <w:rPr>
          <w:shd w:val="clear" w:color="auto" w:fill="FFFFFF"/>
        </w:rPr>
        <w:t>,</w:t>
      </w:r>
      <w:r w:rsidR="008C7075">
        <w:rPr>
          <w:shd w:val="clear" w:color="auto" w:fill="FFFFFF"/>
        </w:rPr>
        <w:t xml:space="preserve"> </w:t>
      </w:r>
      <w:r w:rsidR="008C7075" w:rsidRPr="00DA303F">
        <w:t>Sue Horton</w:t>
      </w:r>
      <w:r w:rsidR="008C7075">
        <w:rPr>
          <w:vertAlign w:val="superscript"/>
        </w:rPr>
        <w:t>14</w:t>
      </w:r>
      <w:r w:rsidR="008C7075" w:rsidRPr="00DA303F">
        <w:t>,</w:t>
      </w:r>
      <w:r w:rsidR="008C7075">
        <w:t xml:space="preserve"> </w:t>
      </w:r>
      <w:r w:rsidR="00223272">
        <w:rPr>
          <w:rFonts w:ascii="Calibri" w:hAnsi="Calibri"/>
          <w:color w:val="222222"/>
          <w:shd w:val="clear" w:color="auto" w:fill="FFFFFF"/>
        </w:rPr>
        <w:t xml:space="preserve">Charles H. </w:t>
      </w:r>
      <w:r w:rsidR="008C7075">
        <w:rPr>
          <w:rFonts w:ascii="Calibri" w:hAnsi="Calibri"/>
          <w:color w:val="222222"/>
          <w:shd w:val="clear" w:color="auto" w:fill="FFFFFF"/>
        </w:rPr>
        <w:t>King</w:t>
      </w:r>
      <w:r w:rsidR="008C7075">
        <w:rPr>
          <w:rFonts w:ascii="Calibri" w:hAnsi="Calibri"/>
          <w:color w:val="222222"/>
          <w:shd w:val="clear" w:color="auto" w:fill="FFFFFF"/>
          <w:vertAlign w:val="superscript"/>
        </w:rPr>
        <w:t>21</w:t>
      </w:r>
      <w:r w:rsidR="008C7075">
        <w:rPr>
          <w:rFonts w:ascii="Calibri" w:hAnsi="Calibri"/>
          <w:color w:val="222222"/>
          <w:shd w:val="clear" w:color="auto" w:fill="FFFFFF"/>
        </w:rPr>
        <w:t xml:space="preserve">, </w:t>
      </w:r>
      <w:r w:rsidR="008C7075" w:rsidRPr="00DA303F">
        <w:rPr>
          <w:rFonts w:eastAsia="Times New Roman" w:cs="Arial"/>
          <w:color w:val="222222"/>
        </w:rPr>
        <w:t>Huong</w:t>
      </w:r>
      <w:r w:rsidR="008C7075">
        <w:rPr>
          <w:rFonts w:eastAsia="Times New Roman" w:cs="Arial"/>
          <w:color w:val="222222"/>
        </w:rPr>
        <w:t xml:space="preserve"> </w:t>
      </w:r>
      <w:r w:rsidR="008C7075" w:rsidRPr="00DA303F">
        <w:rPr>
          <w:rFonts w:eastAsia="Times New Roman" w:cs="Arial"/>
          <w:color w:val="222222"/>
        </w:rPr>
        <w:t>Le Thi</w:t>
      </w:r>
      <w:r w:rsidR="008C7075">
        <w:rPr>
          <w:rFonts w:eastAsia="Times New Roman" w:cs="Arial"/>
          <w:color w:val="222222"/>
          <w:vertAlign w:val="superscript"/>
        </w:rPr>
        <w:t>20</w:t>
      </w:r>
      <w:r w:rsidR="008C7075" w:rsidRPr="00DA303F">
        <w:rPr>
          <w:rFonts w:eastAsia="Times New Roman" w:cs="Arial"/>
          <w:color w:val="222222"/>
        </w:rPr>
        <w:t>,</w:t>
      </w:r>
      <w:r w:rsidR="008C7075">
        <w:rPr>
          <w:rFonts w:eastAsia="Times New Roman" w:cs="Arial"/>
          <w:color w:val="222222"/>
        </w:rPr>
        <w:t xml:space="preserve"> </w:t>
      </w:r>
      <w:proofErr w:type="spellStart"/>
      <w:r w:rsidR="008C7075" w:rsidRPr="00CE141D">
        <w:rPr>
          <w:rFonts w:ascii="Calibri" w:hAnsi="Calibri"/>
          <w:color w:val="222222"/>
          <w:shd w:val="clear" w:color="auto" w:fill="FFFFFF"/>
        </w:rPr>
        <w:t>Chengfang</w:t>
      </w:r>
      <w:proofErr w:type="spellEnd"/>
      <w:r w:rsidR="008C7075" w:rsidRPr="00CE141D">
        <w:rPr>
          <w:rFonts w:ascii="Calibri" w:hAnsi="Calibri"/>
          <w:color w:val="222222"/>
          <w:shd w:val="clear" w:color="auto" w:fill="FFFFFF"/>
        </w:rPr>
        <w:t xml:space="preserve"> Liu</w:t>
      </w:r>
      <w:r w:rsidR="008C7075">
        <w:rPr>
          <w:rFonts w:ascii="Calibri" w:hAnsi="Calibri"/>
          <w:color w:val="222222"/>
          <w:shd w:val="clear" w:color="auto" w:fill="FFFFFF"/>
          <w:vertAlign w:val="superscript"/>
        </w:rPr>
        <w:t>22</w:t>
      </w:r>
      <w:r w:rsidR="008C7075" w:rsidRPr="00CE141D">
        <w:rPr>
          <w:rFonts w:ascii="Calibri" w:hAnsi="Calibri"/>
          <w:color w:val="222222"/>
          <w:shd w:val="clear" w:color="auto" w:fill="FFFFFF"/>
        </w:rPr>
        <w:t>,</w:t>
      </w:r>
      <w:r w:rsidR="008C7075">
        <w:rPr>
          <w:rFonts w:ascii="Calibri" w:hAnsi="Calibri"/>
          <w:color w:val="222222"/>
          <w:shd w:val="clear" w:color="auto" w:fill="FFFFFF"/>
        </w:rPr>
        <w:t xml:space="preserve"> </w:t>
      </w:r>
      <w:r w:rsidR="00F230C4" w:rsidRPr="00CE141D">
        <w:rPr>
          <w:rFonts w:ascii="Calibri" w:hAnsi="Calibri"/>
          <w:color w:val="222222"/>
          <w:shd w:val="clear" w:color="auto" w:fill="FFFFFF"/>
        </w:rPr>
        <w:t>Fabian Rohner</w:t>
      </w:r>
      <w:r w:rsidR="00F230C4">
        <w:rPr>
          <w:rFonts w:ascii="Calibri" w:hAnsi="Calibri"/>
          <w:color w:val="222222"/>
          <w:shd w:val="clear" w:color="auto" w:fill="FFFFFF"/>
          <w:vertAlign w:val="superscript"/>
        </w:rPr>
        <w:t>23</w:t>
      </w:r>
      <w:r w:rsidR="00F230C4" w:rsidRPr="00CE141D">
        <w:rPr>
          <w:rFonts w:ascii="Calibri" w:hAnsi="Calibri"/>
          <w:color w:val="222222"/>
          <w:shd w:val="clear" w:color="auto" w:fill="FFFFFF"/>
        </w:rPr>
        <w:t>,</w:t>
      </w:r>
      <w:r w:rsidR="00F230C4">
        <w:rPr>
          <w:rFonts w:ascii="Calibri" w:hAnsi="Calibri"/>
          <w:color w:val="222222"/>
          <w:shd w:val="clear" w:color="auto" w:fill="FFFFFF"/>
        </w:rPr>
        <w:t xml:space="preserve"> </w:t>
      </w:r>
      <w:r w:rsidR="00F230C4" w:rsidRPr="00DA303F">
        <w:rPr>
          <w:rFonts w:eastAsia="Times New Roman" w:cs="Arial"/>
          <w:color w:val="222222"/>
        </w:rPr>
        <w:t>Emily K Rousham</w:t>
      </w:r>
      <w:r w:rsidR="00F230C4">
        <w:rPr>
          <w:rFonts w:eastAsia="Times New Roman" w:cs="Arial"/>
          <w:color w:val="222222"/>
          <w:vertAlign w:val="superscript"/>
        </w:rPr>
        <w:t>24</w:t>
      </w:r>
      <w:r w:rsidR="00F230C4">
        <w:rPr>
          <w:rFonts w:eastAsia="Times New Roman" w:cs="Arial"/>
          <w:color w:val="222222"/>
        </w:rPr>
        <w:t xml:space="preserve">, </w:t>
      </w:r>
      <w:r w:rsidRPr="00CE0168">
        <w:rPr>
          <w:lang w:val="en-GB"/>
        </w:rPr>
        <w:t>Rehana</w:t>
      </w:r>
      <w:r>
        <w:t xml:space="preserve"> Sala</w:t>
      </w:r>
      <w:r w:rsidRPr="00DA303F">
        <w:t>m</w:t>
      </w:r>
      <w:r>
        <w:rPr>
          <w:vertAlign w:val="superscript"/>
        </w:rPr>
        <w:t>9</w:t>
      </w:r>
      <w:r w:rsidRPr="00DA303F">
        <w:t>,</w:t>
      </w:r>
      <w:r w:rsidR="00C026F5">
        <w:rPr>
          <w:shd w:val="clear" w:color="auto" w:fill="FFFFFF"/>
        </w:rPr>
        <w:t xml:space="preserve"> </w:t>
      </w:r>
      <w:proofErr w:type="spellStart"/>
      <w:r w:rsidR="008C7075" w:rsidRPr="00CE141D">
        <w:rPr>
          <w:rFonts w:eastAsia="Times New Roman" w:cs="Arial"/>
          <w:color w:val="222222"/>
        </w:rPr>
        <w:t>Erliyani</w:t>
      </w:r>
      <w:proofErr w:type="spellEnd"/>
      <w:r w:rsidR="008C7075" w:rsidRPr="00CE141D">
        <w:rPr>
          <w:rFonts w:eastAsia="Times New Roman" w:cs="Arial"/>
          <w:color w:val="222222"/>
        </w:rPr>
        <w:t xml:space="preserve"> Sartono</w:t>
      </w:r>
      <w:r w:rsidR="008C7075">
        <w:rPr>
          <w:rFonts w:eastAsia="Times New Roman" w:cs="Arial"/>
          <w:color w:val="222222"/>
          <w:vertAlign w:val="superscript"/>
        </w:rPr>
        <w:t>25</w:t>
      </w:r>
      <w:r w:rsidR="008C7075" w:rsidRPr="00CE141D">
        <w:rPr>
          <w:rFonts w:eastAsia="Times New Roman" w:cs="Arial"/>
          <w:color w:val="222222"/>
        </w:rPr>
        <w:t>,</w:t>
      </w:r>
      <w:r w:rsidR="008C7075">
        <w:rPr>
          <w:rFonts w:eastAsia="Times New Roman" w:cs="Arial"/>
          <w:color w:val="222222"/>
        </w:rPr>
        <w:t xml:space="preserve"> </w:t>
      </w:r>
      <w:r w:rsidR="008C7075" w:rsidRPr="00822792">
        <w:rPr>
          <w:lang w:val="de-CH"/>
        </w:rPr>
        <w:t>Peter Steinmann</w:t>
      </w:r>
      <w:r w:rsidR="008C7075">
        <w:rPr>
          <w:vertAlign w:val="superscript"/>
          <w:lang w:val="de-CH"/>
        </w:rPr>
        <w:t>26</w:t>
      </w:r>
      <w:r w:rsidR="008C7075">
        <w:rPr>
          <w:lang w:val="de-CH"/>
        </w:rPr>
        <w:t xml:space="preserve">, </w:t>
      </w:r>
      <w:proofErr w:type="spellStart"/>
      <w:r w:rsidR="008C7075" w:rsidRPr="00CE141D">
        <w:rPr>
          <w:lang w:val="de-CH"/>
        </w:rPr>
        <w:t>Taniawati</w:t>
      </w:r>
      <w:proofErr w:type="spellEnd"/>
      <w:r w:rsidR="008C7075" w:rsidRPr="00CE141D">
        <w:rPr>
          <w:lang w:val="de-CH"/>
        </w:rPr>
        <w:t xml:space="preserve"> Supali</w:t>
      </w:r>
      <w:r w:rsidR="008C7075">
        <w:rPr>
          <w:vertAlign w:val="superscript"/>
          <w:lang w:val="de-CH"/>
        </w:rPr>
        <w:t>27</w:t>
      </w:r>
      <w:r w:rsidR="008C7075" w:rsidRPr="00CE141D">
        <w:rPr>
          <w:lang w:val="de-CH"/>
        </w:rPr>
        <w:t>,</w:t>
      </w:r>
      <w:r w:rsidR="008C7075">
        <w:rPr>
          <w:rFonts w:eastAsia="Times New Roman" w:cs="Arial"/>
          <w:color w:val="222222"/>
        </w:rPr>
        <w:t xml:space="preserve"> </w:t>
      </w:r>
      <w:r w:rsidR="00C026F5" w:rsidRPr="00DA303F">
        <w:t>Peter Tugwell</w:t>
      </w:r>
      <w:r w:rsidR="00C026F5">
        <w:rPr>
          <w:vertAlign w:val="superscript"/>
        </w:rPr>
        <w:t xml:space="preserve">15 </w:t>
      </w:r>
      <w:r w:rsidR="00C026F5">
        <w:t xml:space="preserve">, </w:t>
      </w:r>
      <w:r w:rsidR="005E5A86" w:rsidRPr="00CE141D">
        <w:rPr>
          <w:lang w:val="de-CH"/>
        </w:rPr>
        <w:t>Emily Webb</w:t>
      </w:r>
      <w:r w:rsidR="005E5A86">
        <w:rPr>
          <w:vertAlign w:val="superscript"/>
          <w:lang w:val="de-CH"/>
        </w:rPr>
        <w:t>28</w:t>
      </w:r>
      <w:r w:rsidR="005E5A86" w:rsidRPr="00CE141D">
        <w:rPr>
          <w:lang w:val="de-CH"/>
        </w:rPr>
        <w:t>,</w:t>
      </w:r>
      <w:r w:rsidR="005E5A86">
        <w:rPr>
          <w:lang w:val="de-CH"/>
        </w:rPr>
        <w:t xml:space="preserve"> </w:t>
      </w:r>
      <w:r w:rsidR="005E5A86" w:rsidRPr="00DA303F">
        <w:rPr>
          <w:lang w:val="de-CH"/>
        </w:rPr>
        <w:t>Franck Wieringa</w:t>
      </w:r>
      <w:r w:rsidR="005E5A86">
        <w:rPr>
          <w:vertAlign w:val="superscript"/>
          <w:lang w:val="de-CH"/>
        </w:rPr>
        <w:t>29</w:t>
      </w:r>
      <w:r w:rsidR="005E5A86" w:rsidRPr="00DA303F">
        <w:rPr>
          <w:lang w:val="de-CH"/>
        </w:rPr>
        <w:t>,</w:t>
      </w:r>
      <w:r w:rsidR="005E5A86">
        <w:rPr>
          <w:lang w:val="de-CH"/>
        </w:rPr>
        <w:t xml:space="preserve"> </w:t>
      </w:r>
      <w:r w:rsidR="005E5A86" w:rsidRPr="00DA303F">
        <w:t>Pattanee Winnichagoon</w:t>
      </w:r>
      <w:r w:rsidR="005E5A86">
        <w:rPr>
          <w:vertAlign w:val="superscript"/>
        </w:rPr>
        <w:t>30</w:t>
      </w:r>
      <w:r w:rsidR="005E5A86">
        <w:t xml:space="preserve">, </w:t>
      </w:r>
      <w:r w:rsidR="005E5A86" w:rsidRPr="00DA303F">
        <w:t>Maria Yazdanbakhsh</w:t>
      </w:r>
      <w:r w:rsidR="005E5A86">
        <w:rPr>
          <w:vertAlign w:val="superscript"/>
        </w:rPr>
        <w:t>25</w:t>
      </w:r>
      <w:r w:rsidR="00C026F5">
        <w:t xml:space="preserve">, </w:t>
      </w:r>
      <w:r w:rsidRPr="00DA303F">
        <w:t>Zulfiqar A Bhutta</w:t>
      </w:r>
      <w:r w:rsidRPr="00BC2403">
        <w:rPr>
          <w:vertAlign w:val="superscript"/>
        </w:rPr>
        <w:t>11¶</w:t>
      </w:r>
      <w:r w:rsidRPr="00DA303F">
        <w:t xml:space="preserve">, George </w:t>
      </w:r>
      <w:r>
        <w:t xml:space="preserve">A </w:t>
      </w:r>
      <w:r w:rsidRPr="00DA303F">
        <w:t>Wells</w:t>
      </w:r>
      <w:r>
        <w:rPr>
          <w:vertAlign w:val="superscript"/>
        </w:rPr>
        <w:t>2</w:t>
      </w:r>
      <w:r w:rsidR="00C026F5">
        <w:rPr>
          <w:vertAlign w:val="superscript"/>
        </w:rPr>
        <w:t>,</w:t>
      </w:r>
      <w:r>
        <w:rPr>
          <w:vertAlign w:val="superscript"/>
        </w:rPr>
        <w:t>3</w:t>
      </w:r>
      <w:r w:rsidRPr="00BC2403">
        <w:rPr>
          <w:vertAlign w:val="superscript"/>
        </w:rPr>
        <w:t>¶</w:t>
      </w:r>
    </w:p>
    <w:p w14:paraId="210696EC" w14:textId="77777777" w:rsidR="000C7888" w:rsidRDefault="000C7888" w:rsidP="000C7888">
      <w:pPr>
        <w:spacing w:before="120" w:after="120" w:line="480" w:lineRule="auto"/>
      </w:pPr>
      <w:r>
        <w:rPr>
          <w:vertAlign w:val="superscript"/>
        </w:rPr>
        <w:t>1</w:t>
      </w:r>
      <w:r w:rsidRPr="00DA303F">
        <w:t>Centre for Global Health</w:t>
      </w:r>
      <w:r>
        <w:t>,</w:t>
      </w:r>
      <w:r w:rsidRPr="00DA303F">
        <w:t xml:space="preserve"> Bruyère Research Institute, Ottawa, O</w:t>
      </w:r>
      <w:r>
        <w:t>ntario</w:t>
      </w:r>
      <w:r w:rsidRPr="00DA303F">
        <w:t xml:space="preserve">, Canada </w:t>
      </w:r>
    </w:p>
    <w:p w14:paraId="5878F1CD" w14:textId="49BD3EAE" w:rsidR="00DE3A72" w:rsidRPr="00DA303F" w:rsidRDefault="000C7888" w:rsidP="00DA303F">
      <w:pPr>
        <w:spacing w:before="120" w:after="120" w:line="480" w:lineRule="auto"/>
      </w:pPr>
      <w:r>
        <w:rPr>
          <w:vertAlign w:val="superscript"/>
        </w:rPr>
        <w:t>2</w:t>
      </w:r>
      <w:r w:rsidRPr="00DA303F">
        <w:t>School</w:t>
      </w:r>
      <w:r w:rsidR="003D0CF8" w:rsidRPr="00DA303F">
        <w:t xml:space="preserve"> of Epidemiology, Public Health and Preventive Medicine</w:t>
      </w:r>
      <w:r w:rsidR="00DA303F">
        <w:t>,</w:t>
      </w:r>
      <w:r w:rsidR="003D0CF8" w:rsidRPr="00DA303F">
        <w:t xml:space="preserve"> University of Ottawa,</w:t>
      </w:r>
      <w:r w:rsidR="00780B14" w:rsidRPr="00DA303F">
        <w:t xml:space="preserve"> </w:t>
      </w:r>
      <w:r w:rsidR="00DA303F" w:rsidRPr="00DA303F">
        <w:t>Ottawa, Ontario, Canada</w:t>
      </w:r>
      <w:r w:rsidRPr="00DA303F" w:rsidDel="00227B5E">
        <w:t xml:space="preserve"> </w:t>
      </w:r>
      <w:r w:rsidR="00DA303F">
        <w:t xml:space="preserve"> </w:t>
      </w:r>
    </w:p>
    <w:p w14:paraId="458FFBAB" w14:textId="77777777" w:rsidR="000C7888" w:rsidRDefault="000C7888" w:rsidP="000C7888">
      <w:pPr>
        <w:spacing w:before="120" w:after="120" w:line="480" w:lineRule="auto"/>
      </w:pPr>
      <w:r>
        <w:rPr>
          <w:vertAlign w:val="superscript"/>
        </w:rPr>
        <w:t>3</w:t>
      </w:r>
      <w:r w:rsidRPr="00DA303F">
        <w:t xml:space="preserve">Cardiovascular Research Methods, University of Ottawa Heart Institute, Ottawa, ON, Canada </w:t>
      </w:r>
    </w:p>
    <w:p w14:paraId="3FB69B53" w14:textId="77777777" w:rsidR="000C7888" w:rsidRPr="00DA303F" w:rsidRDefault="000C7888" w:rsidP="000C7888">
      <w:pPr>
        <w:spacing w:before="120" w:after="120" w:line="480" w:lineRule="auto"/>
      </w:pPr>
      <w:r>
        <w:rPr>
          <w:vertAlign w:val="superscript"/>
        </w:rPr>
        <w:t>4</w:t>
      </w:r>
      <w:r>
        <w:t xml:space="preserve">Institute for Clinical Evaluative Sciences (ICES), </w:t>
      </w:r>
      <w:r w:rsidRPr="00DA303F">
        <w:t>University of Ottawa, Ottawa, O</w:t>
      </w:r>
      <w:r>
        <w:t>ntario</w:t>
      </w:r>
      <w:r w:rsidRPr="00DA303F">
        <w:t>, Canada</w:t>
      </w:r>
      <w:r w:rsidRPr="00DA303F" w:rsidDel="00227B5E">
        <w:t xml:space="preserve"> </w:t>
      </w:r>
    </w:p>
    <w:p w14:paraId="5B718E93" w14:textId="77777777" w:rsidR="000C7888" w:rsidRPr="00DA303F" w:rsidRDefault="000C7888" w:rsidP="000C7888">
      <w:pPr>
        <w:spacing w:before="120" w:after="120" w:line="480" w:lineRule="auto"/>
      </w:pPr>
      <w:r>
        <w:rPr>
          <w:vertAlign w:val="superscript"/>
        </w:rPr>
        <w:t>5</w:t>
      </w:r>
      <w:r w:rsidRPr="00DA303F">
        <w:t xml:space="preserve">Bruyère Research Institute, University of Ottawa, Ottawa, Ontario, Canada  </w:t>
      </w:r>
    </w:p>
    <w:p w14:paraId="03133F60" w14:textId="10285426" w:rsidR="00DE3A72" w:rsidRPr="00DA303F" w:rsidRDefault="000C7888" w:rsidP="00DA303F">
      <w:pPr>
        <w:spacing w:before="120" w:after="120" w:line="480" w:lineRule="auto"/>
      </w:pPr>
      <w:r>
        <w:rPr>
          <w:vertAlign w:val="superscript"/>
        </w:rPr>
        <w:t>6</w:t>
      </w:r>
      <w:r w:rsidRPr="00BC2403">
        <w:t>Hospital</w:t>
      </w:r>
      <w:r w:rsidR="00E0653D" w:rsidRPr="00DA303F">
        <w:t xml:space="preserve"> for Sick Children, and University of Toronto 555 University Avenue</w:t>
      </w:r>
      <w:r w:rsidR="00DA303F">
        <w:t xml:space="preserve"> </w:t>
      </w:r>
    </w:p>
    <w:p w14:paraId="15D61C61" w14:textId="426FDE3F" w:rsidR="000C7888" w:rsidRDefault="000C7888" w:rsidP="000C7888">
      <w:pPr>
        <w:spacing w:before="120" w:after="120" w:line="480" w:lineRule="auto"/>
      </w:pPr>
      <w:r>
        <w:rPr>
          <w:vertAlign w:val="superscript"/>
        </w:rPr>
        <w:t>7</w:t>
      </w:r>
      <w:r w:rsidRPr="00DA303F">
        <w:t>Public</w:t>
      </w:r>
      <w:r w:rsidR="003F1A54" w:rsidRPr="00DA303F">
        <w:t xml:space="preserve"> Health Agency of Canada in the National Public Health Laboratory</w:t>
      </w:r>
      <w:r>
        <w:t>, Toronto, Ontario, Canada</w:t>
      </w:r>
      <w:r w:rsidRPr="00DA303F">
        <w:t xml:space="preserve"> </w:t>
      </w:r>
    </w:p>
    <w:p w14:paraId="1472EF2A" w14:textId="549E2A6E" w:rsidR="00DE3A72" w:rsidRPr="00DA303F" w:rsidRDefault="000C7888" w:rsidP="00DA303F">
      <w:pPr>
        <w:spacing w:before="120" w:after="120" w:line="480" w:lineRule="auto"/>
      </w:pPr>
      <w:r>
        <w:rPr>
          <w:vertAlign w:val="superscript"/>
        </w:rPr>
        <w:t>8</w:t>
      </w:r>
      <w:r w:rsidRPr="00DA303F">
        <w:t>Dalla</w:t>
      </w:r>
      <w:r w:rsidR="003F1A54" w:rsidRPr="00DA303F">
        <w:t xml:space="preserve"> Lana School of Publi</w:t>
      </w:r>
      <w:r w:rsidR="00EC611E">
        <w:t>c Health, University of Toronto</w:t>
      </w:r>
      <w:r>
        <w:t>, Ontario, Canada</w:t>
      </w:r>
      <w:r w:rsidR="003F1A54" w:rsidRPr="00DA303F">
        <w:t xml:space="preserve"> </w:t>
      </w:r>
    </w:p>
    <w:p w14:paraId="7CEF9C68" w14:textId="4BBE96EE" w:rsidR="00DE3A72" w:rsidRPr="00DA303F" w:rsidRDefault="000C7888" w:rsidP="00DA303F">
      <w:pPr>
        <w:spacing w:before="120" w:after="120" w:line="480" w:lineRule="auto"/>
      </w:pPr>
      <w:r>
        <w:rPr>
          <w:vertAlign w:val="superscript"/>
        </w:rPr>
        <w:t>9</w:t>
      </w:r>
      <w:r w:rsidRPr="00BC2403">
        <w:t>South</w:t>
      </w:r>
      <w:r w:rsidR="007E3E4E" w:rsidRPr="00DA303F">
        <w:t xml:space="preserve"> Australian Health and Medical Research Institute, </w:t>
      </w:r>
      <w:r w:rsidR="003F1A54" w:rsidRPr="00DA303F">
        <w:t xml:space="preserve">University of Adelaide, </w:t>
      </w:r>
      <w:r w:rsidR="007E3E4E" w:rsidRPr="00DA303F">
        <w:t>Adelaide, Australia</w:t>
      </w:r>
      <w:r w:rsidR="00DA303F">
        <w:t xml:space="preserve"> </w:t>
      </w:r>
    </w:p>
    <w:p w14:paraId="0F504715" w14:textId="4AB850AC" w:rsidR="00DE3A72" w:rsidRPr="00DA303F" w:rsidRDefault="000C7888" w:rsidP="00DA303F">
      <w:pPr>
        <w:spacing w:before="120" w:after="120" w:line="480" w:lineRule="auto"/>
      </w:pPr>
      <w:r>
        <w:rPr>
          <w:vertAlign w:val="superscript"/>
        </w:rPr>
        <w:t>10</w:t>
      </w:r>
      <w:r w:rsidRPr="00DA303F">
        <w:t>London</w:t>
      </w:r>
      <w:r w:rsidR="003F1A54" w:rsidRPr="00DA303F">
        <w:t xml:space="preserve"> School of Hygiene and Tropical Medicine (LSHTM) Room 116-LSHTM Keppel Street London</w:t>
      </w:r>
      <w:r>
        <w:t>, UK</w:t>
      </w:r>
      <w:r w:rsidRPr="00DA303F">
        <w:t xml:space="preserve"> </w:t>
      </w:r>
      <w:r w:rsidR="00DA303F">
        <w:t xml:space="preserve"> </w:t>
      </w:r>
    </w:p>
    <w:p w14:paraId="15C3A981" w14:textId="3BF37A33" w:rsidR="00DE3A72" w:rsidRPr="00DA303F" w:rsidRDefault="000C7888" w:rsidP="00DA303F">
      <w:pPr>
        <w:spacing w:before="120" w:after="120" w:line="480" w:lineRule="auto"/>
      </w:pPr>
      <w:r>
        <w:rPr>
          <w:vertAlign w:val="superscript"/>
        </w:rPr>
        <w:lastRenderedPageBreak/>
        <w:t>11</w:t>
      </w:r>
      <w:r w:rsidRPr="00DA303F">
        <w:t>Centre</w:t>
      </w:r>
      <w:r w:rsidR="00780B14" w:rsidRPr="00DA303F">
        <w:t xml:space="preserve"> for Global Child Health, The Hospital for Sick Children; Center of Excellence in Women and Child Health, Aga Khan University</w:t>
      </w:r>
    </w:p>
    <w:p w14:paraId="72FF34D3" w14:textId="42879CD3" w:rsidR="00DA303F" w:rsidRDefault="00C026F5" w:rsidP="00DA303F">
      <w:pPr>
        <w:spacing w:before="120" w:after="120" w:line="480" w:lineRule="auto"/>
        <w:rPr>
          <w:rFonts w:cs="Arial"/>
          <w:bdr w:val="none" w:sz="0" w:space="0" w:color="auto" w:frame="1"/>
          <w:shd w:val="clear" w:color="auto" w:fill="FFFFFF"/>
        </w:rPr>
      </w:pPr>
      <w:r>
        <w:rPr>
          <w:rFonts w:cs="Arial"/>
          <w:vertAlign w:val="superscript"/>
        </w:rPr>
        <w:t>12</w:t>
      </w:r>
      <w:r w:rsidRPr="00DA303F">
        <w:rPr>
          <w:rFonts w:cs="Arial"/>
        </w:rPr>
        <w:t>Department</w:t>
      </w:r>
      <w:r w:rsidR="00634E21" w:rsidRPr="00DA303F">
        <w:rPr>
          <w:rFonts w:cs="Arial"/>
        </w:rPr>
        <w:t xml:space="preserve"> of International Health, Johns Hopkins School of Hygiene and Public Health, 615 North Wolfe Street, Baltimore, Maryland 21205, </w:t>
      </w:r>
      <w:r w:rsidRPr="00DA303F">
        <w:rPr>
          <w:rFonts w:cs="Arial"/>
        </w:rPr>
        <w:t>U</w:t>
      </w:r>
      <w:r>
        <w:rPr>
          <w:rFonts w:cs="Arial"/>
        </w:rPr>
        <w:t>SA</w:t>
      </w:r>
      <w:r w:rsidR="00DA303F" w:rsidRPr="00CE320C">
        <w:t xml:space="preserve"> </w:t>
      </w:r>
    </w:p>
    <w:p w14:paraId="4F5C6C21" w14:textId="5411DB9C" w:rsidR="00116076" w:rsidRPr="00DA303F" w:rsidRDefault="00C026F5" w:rsidP="00DA303F">
      <w:pPr>
        <w:spacing w:before="120" w:after="120" w:line="480" w:lineRule="auto"/>
      </w:pPr>
      <w:r>
        <w:rPr>
          <w:rFonts w:cs="Arial"/>
          <w:shd w:val="clear" w:color="auto" w:fill="FFFFFF"/>
          <w:vertAlign w:val="superscript"/>
        </w:rPr>
        <w:t>13</w:t>
      </w:r>
      <w:r w:rsidRPr="00BF4BC0">
        <w:rPr>
          <w:rFonts w:cs="Arial"/>
          <w:shd w:val="clear" w:color="auto" w:fill="FFFFFF"/>
        </w:rPr>
        <w:t>Big</w:t>
      </w:r>
      <w:r w:rsidR="00116076" w:rsidRPr="00BF4BC0">
        <w:rPr>
          <w:rFonts w:cs="Arial"/>
          <w:shd w:val="clear" w:color="auto" w:fill="FFFFFF"/>
        </w:rPr>
        <w:t xml:space="preserve"> Data Institute, Li </w:t>
      </w:r>
      <w:proofErr w:type="spellStart"/>
      <w:r w:rsidR="00116076" w:rsidRPr="00BF4BC0">
        <w:rPr>
          <w:rFonts w:cs="Arial"/>
          <w:shd w:val="clear" w:color="auto" w:fill="FFFFFF"/>
        </w:rPr>
        <w:t>Ka</w:t>
      </w:r>
      <w:proofErr w:type="spellEnd"/>
      <w:r w:rsidR="00116076" w:rsidRPr="00BF4BC0">
        <w:rPr>
          <w:rFonts w:cs="Arial"/>
          <w:shd w:val="clear" w:color="auto" w:fill="FFFFFF"/>
        </w:rPr>
        <w:t xml:space="preserve"> </w:t>
      </w:r>
      <w:proofErr w:type="spellStart"/>
      <w:r w:rsidR="00116076" w:rsidRPr="00BF4BC0">
        <w:rPr>
          <w:rFonts w:cs="Arial"/>
          <w:shd w:val="clear" w:color="auto" w:fill="FFFFFF"/>
        </w:rPr>
        <w:t>Shing</w:t>
      </w:r>
      <w:proofErr w:type="spellEnd"/>
      <w:r w:rsidR="00116076" w:rsidRPr="00BF4BC0">
        <w:rPr>
          <w:rFonts w:cs="Arial"/>
          <w:shd w:val="clear" w:color="auto" w:fill="FFFFFF"/>
        </w:rPr>
        <w:t xml:space="preserve"> Centre for Health Information and Discovery,  Nuffield Department of Medicine, University of Oxford, </w:t>
      </w:r>
      <w:r>
        <w:rPr>
          <w:rFonts w:cs="Arial"/>
          <w:shd w:val="clear" w:color="auto" w:fill="FFFFFF"/>
        </w:rPr>
        <w:t>UK</w:t>
      </w:r>
    </w:p>
    <w:p w14:paraId="1230B850" w14:textId="3C3E89CE" w:rsidR="00015505" w:rsidRPr="00DA303F" w:rsidRDefault="00C026F5" w:rsidP="00DA303F">
      <w:pPr>
        <w:spacing w:before="120" w:after="120" w:line="480" w:lineRule="auto"/>
      </w:pPr>
      <w:r>
        <w:rPr>
          <w:vertAlign w:val="superscript"/>
        </w:rPr>
        <w:t>14</w:t>
      </w:r>
      <w:hyperlink r:id="rId8" w:history="1">
        <w:r w:rsidR="00E65FD6" w:rsidRPr="00E9375A">
          <w:rPr>
            <w:shd w:val="clear" w:color="auto" w:fill="FFFFFF"/>
          </w:rPr>
          <w:t>School of Public Health and Health Systems</w:t>
        </w:r>
      </w:hyperlink>
      <w:r w:rsidR="00E65FD6" w:rsidRPr="00DA303F">
        <w:t xml:space="preserve">, </w:t>
      </w:r>
      <w:r w:rsidR="00E65FD6" w:rsidRPr="00A43AD7">
        <w:rPr>
          <w:rFonts w:cs="Arial"/>
          <w:shd w:val="clear" w:color="auto" w:fill="FFFFFF"/>
        </w:rPr>
        <w:t>University of Waterloo, Waterloo, ON, Canada</w:t>
      </w:r>
    </w:p>
    <w:p w14:paraId="5D1242B8" w14:textId="3BE05315" w:rsidR="00015505" w:rsidRPr="00DA303F" w:rsidRDefault="00C026F5" w:rsidP="00DA303F">
      <w:pPr>
        <w:spacing w:before="120" w:after="120" w:line="480" w:lineRule="auto"/>
      </w:pPr>
      <w:r>
        <w:rPr>
          <w:vertAlign w:val="superscript"/>
        </w:rPr>
        <w:t>15</w:t>
      </w:r>
      <w:r w:rsidRPr="00DA303F">
        <w:t>Center</w:t>
      </w:r>
      <w:r w:rsidR="003F1A54" w:rsidRPr="00DA303F">
        <w:t xml:space="preserve"> for Global Health, WHO Collaborating Centre for Knowledge Translation and Health Technology Assessment in Health Equity, Bruyère Research Institute</w:t>
      </w:r>
      <w:r>
        <w:t>,</w:t>
      </w:r>
      <w:r w:rsidR="003F1A54" w:rsidRPr="00DA303F">
        <w:t xml:space="preserve"> School of Epidemiology, Public Health and Preventive Medicine, University of Ottawa,</w:t>
      </w:r>
      <w:r w:rsidR="003D0CF8" w:rsidRPr="00DA303F">
        <w:t xml:space="preserve"> </w:t>
      </w:r>
      <w:r>
        <w:t>Ontario, Canada</w:t>
      </w:r>
    </w:p>
    <w:p w14:paraId="456C938E" w14:textId="08C1BA32" w:rsidR="00DE3A72" w:rsidRPr="00DA303F" w:rsidRDefault="00C026F5" w:rsidP="00DA303F">
      <w:pPr>
        <w:spacing w:before="120" w:after="120" w:line="480" w:lineRule="auto"/>
      </w:pPr>
      <w:r>
        <w:rPr>
          <w:vertAlign w:val="superscript"/>
        </w:rPr>
        <w:t>16</w:t>
      </w:r>
      <w:r w:rsidRPr="003D42E2">
        <w:rPr>
          <w:lang w:val="en-US"/>
        </w:rPr>
        <w:t>London</w:t>
      </w:r>
      <w:r w:rsidR="0090249C" w:rsidRPr="003D42E2">
        <w:rPr>
          <w:lang w:val="en-US"/>
        </w:rPr>
        <w:t xml:space="preserve"> School of Hygiene &amp; Tropical Medicine</w:t>
      </w:r>
      <w:r w:rsidR="0090249C" w:rsidRPr="0000259B">
        <w:rPr>
          <w:rFonts w:cs="Arial"/>
          <w:color w:val="000000"/>
          <w:shd w:val="clear" w:color="auto" w:fill="FFFFFF"/>
        </w:rPr>
        <w:t>, London, UK</w:t>
      </w:r>
      <w:r w:rsidR="0000259B">
        <w:rPr>
          <w:rFonts w:cs="Arial"/>
          <w:color w:val="000000"/>
          <w:shd w:val="clear" w:color="auto" w:fill="FFFFFF"/>
        </w:rPr>
        <w:t xml:space="preserve"> </w:t>
      </w:r>
    </w:p>
    <w:p w14:paraId="66BF4CCC" w14:textId="5D4BE338" w:rsidR="00103E8B" w:rsidRPr="00DA303F" w:rsidRDefault="00C026F5" w:rsidP="00DA303F">
      <w:pPr>
        <w:spacing w:before="120" w:after="120" w:line="480" w:lineRule="auto"/>
      </w:pPr>
      <w:r>
        <w:rPr>
          <w:rFonts w:eastAsia="Times New Roman" w:cs="Arial"/>
          <w:color w:val="222222"/>
          <w:vertAlign w:val="superscript"/>
        </w:rPr>
        <w:t>17</w:t>
      </w:r>
      <w:r w:rsidRPr="00DA303F">
        <w:rPr>
          <w:rFonts w:eastAsia="Times New Roman" w:cs="Arial"/>
          <w:color w:val="222222"/>
        </w:rPr>
        <w:t>Nutrition</w:t>
      </w:r>
      <w:r w:rsidR="00103E8B" w:rsidRPr="00DA303F">
        <w:rPr>
          <w:rFonts w:eastAsia="Times New Roman" w:cs="Arial"/>
          <w:color w:val="222222"/>
        </w:rPr>
        <w:t xml:space="preserve"> Center of the Philippines</w:t>
      </w:r>
      <w:r w:rsidR="00B62D6D">
        <w:rPr>
          <w:rFonts w:eastAsia="Times New Roman" w:cs="Arial"/>
          <w:color w:val="222222"/>
        </w:rPr>
        <w:t>, Taguig City, Philippines</w:t>
      </w:r>
      <w:r w:rsidR="00A43AD7">
        <w:t xml:space="preserve"> </w:t>
      </w:r>
    </w:p>
    <w:p w14:paraId="097B7CEF" w14:textId="0BD8BD94" w:rsidR="003D42E2" w:rsidRPr="003D42E2" w:rsidRDefault="00C026F5" w:rsidP="00E22E1A">
      <w:pPr>
        <w:spacing w:line="480" w:lineRule="auto"/>
        <w:rPr>
          <w:lang w:val="en-US"/>
        </w:rPr>
      </w:pPr>
      <w:r w:rsidRPr="00E22E1A">
        <w:rPr>
          <w:vertAlign w:val="superscript"/>
        </w:rPr>
        <w:t>18</w:t>
      </w:r>
      <w:r w:rsidRPr="00E22E1A">
        <w:t>Medical</w:t>
      </w:r>
      <w:r w:rsidR="003D42E2" w:rsidRPr="00E22E1A">
        <w:t xml:space="preserve"> Research Council/Uganda Virus Research Institute and London</w:t>
      </w:r>
      <w:r w:rsidR="003D42E2" w:rsidRPr="003D42E2">
        <w:rPr>
          <w:lang w:val="en-US"/>
        </w:rPr>
        <w:t xml:space="preserve"> School of Hygiene &amp; Tropical Medicine Uganda Research Unit, Entebbe, Uganda </w:t>
      </w:r>
    </w:p>
    <w:p w14:paraId="0D5FEBED" w14:textId="6E50D513" w:rsidR="00B308E1" w:rsidRPr="00A43AD7" w:rsidRDefault="00C026F5" w:rsidP="00E22E1A">
      <w:pPr>
        <w:spacing w:line="480" w:lineRule="auto"/>
        <w:rPr>
          <w:rFonts w:eastAsia="Times New Roman" w:cs="Arial"/>
          <w:lang w:val="en-US"/>
        </w:rPr>
      </w:pPr>
      <w:r>
        <w:rPr>
          <w:vertAlign w:val="superscript"/>
        </w:rPr>
        <w:t>19</w:t>
      </w:r>
      <w:r w:rsidRPr="00A43AD7">
        <w:t>Department</w:t>
      </w:r>
      <w:r w:rsidR="00EE7974" w:rsidRPr="00A43AD7">
        <w:t xml:space="preserve"> of Human Nutrition, University of Copenhagen, Frederiksberg,</w:t>
      </w:r>
      <w:r w:rsidR="00A43AD7">
        <w:t xml:space="preserve"> </w:t>
      </w:r>
      <w:r w:rsidR="00822792">
        <w:t xml:space="preserve">Denmark </w:t>
      </w:r>
    </w:p>
    <w:p w14:paraId="2BF5D1AC" w14:textId="5DA5F8A4" w:rsidR="00A30805" w:rsidRPr="00DA303F" w:rsidRDefault="00C026F5" w:rsidP="00DA303F">
      <w:pPr>
        <w:shd w:val="clear" w:color="auto" w:fill="FFFFFF"/>
        <w:spacing w:after="0" w:line="480" w:lineRule="auto"/>
        <w:rPr>
          <w:rFonts w:cs="Arial"/>
          <w:color w:val="555555"/>
          <w:shd w:val="clear" w:color="auto" w:fill="FFFFFF"/>
        </w:rPr>
      </w:pPr>
      <w:r>
        <w:rPr>
          <w:rFonts w:eastAsia="Times New Roman" w:cs="Arial"/>
          <w:color w:val="222222"/>
          <w:vertAlign w:val="superscript"/>
        </w:rPr>
        <w:t>20</w:t>
      </w:r>
      <w:r w:rsidRPr="00DA303F">
        <w:rPr>
          <w:rFonts w:eastAsia="Times New Roman" w:cs="Arial"/>
          <w:color w:val="222222"/>
        </w:rPr>
        <w:t>Institute</w:t>
      </w:r>
      <w:r w:rsidR="00A30805" w:rsidRPr="00DA303F">
        <w:rPr>
          <w:rFonts w:eastAsia="Times New Roman" w:cs="Arial"/>
          <w:color w:val="222222"/>
        </w:rPr>
        <w:t xml:space="preserve"> for Preventive Medicine and Public H</w:t>
      </w:r>
      <w:r w:rsidR="00822792">
        <w:rPr>
          <w:rFonts w:eastAsia="Times New Roman" w:cs="Arial"/>
          <w:color w:val="222222"/>
        </w:rPr>
        <w:t>ealth, Hanoi Medical University</w:t>
      </w:r>
      <w:r>
        <w:rPr>
          <w:rFonts w:eastAsia="Times New Roman" w:cs="Arial"/>
          <w:color w:val="222222"/>
        </w:rPr>
        <w:t xml:space="preserve"> </w:t>
      </w:r>
    </w:p>
    <w:p w14:paraId="5D79EEB7" w14:textId="20665876" w:rsidR="00EC611E" w:rsidRPr="00CE320C" w:rsidRDefault="00C026F5" w:rsidP="00CE320C">
      <w:pPr>
        <w:spacing w:after="0" w:line="480" w:lineRule="auto"/>
        <w:rPr>
          <w:rFonts w:ascii="Calibri" w:hAnsi="Calibri"/>
          <w:color w:val="222222"/>
          <w:shd w:val="clear" w:color="auto" w:fill="FFFFFF"/>
        </w:rPr>
      </w:pPr>
      <w:r>
        <w:rPr>
          <w:rFonts w:ascii="Calibri" w:hAnsi="Calibri"/>
          <w:color w:val="222222"/>
          <w:shd w:val="clear" w:color="auto" w:fill="FFFFFF"/>
          <w:vertAlign w:val="superscript"/>
        </w:rPr>
        <w:t>21</w:t>
      </w:r>
      <w:r>
        <w:rPr>
          <w:rFonts w:ascii="Calibri" w:hAnsi="Calibri"/>
          <w:color w:val="222222"/>
          <w:shd w:val="clear" w:color="auto" w:fill="FFFFFF"/>
        </w:rPr>
        <w:t>Center</w:t>
      </w:r>
      <w:r w:rsidR="00223272">
        <w:rPr>
          <w:rFonts w:ascii="Calibri" w:hAnsi="Calibri"/>
          <w:color w:val="222222"/>
          <w:shd w:val="clear" w:color="auto" w:fill="FFFFFF"/>
        </w:rPr>
        <w:t xml:space="preserve"> for Global Health and Diseases, Case Western Reserve University School of Medicine, Cleveland, Ohio, </w:t>
      </w:r>
      <w:r>
        <w:rPr>
          <w:rFonts w:ascii="Calibri" w:hAnsi="Calibri"/>
          <w:color w:val="222222"/>
          <w:shd w:val="clear" w:color="auto" w:fill="FFFFFF"/>
        </w:rPr>
        <w:t xml:space="preserve">USA </w:t>
      </w:r>
    </w:p>
    <w:p w14:paraId="08CCF5A2" w14:textId="17106402" w:rsidR="00A30805" w:rsidRPr="00DA303F" w:rsidRDefault="00C026F5" w:rsidP="00DA303F">
      <w:pPr>
        <w:shd w:val="clear" w:color="auto" w:fill="FFFFFF"/>
        <w:spacing w:after="0" w:line="480" w:lineRule="auto"/>
        <w:jc w:val="both"/>
        <w:rPr>
          <w:rFonts w:eastAsia="DengXian" w:cs="Times New Roman"/>
          <w:color w:val="222222"/>
        </w:rPr>
      </w:pPr>
      <w:r>
        <w:rPr>
          <w:vertAlign w:val="superscript"/>
        </w:rPr>
        <w:t>22</w:t>
      </w:r>
      <w:r w:rsidRPr="00DA303F">
        <w:rPr>
          <w:rFonts w:eastAsia="DengXian" w:cs="Times New Roman"/>
          <w:color w:val="222222"/>
        </w:rPr>
        <w:t>School</w:t>
      </w:r>
      <w:bookmarkStart w:id="0" w:name="m_-5709031811578630299_OLE_LINK77"/>
      <w:bookmarkStart w:id="1" w:name="m_-5709031811578630299_OLE_LINK78"/>
      <w:bookmarkStart w:id="2" w:name="m_-5709031811578630299_OLE_LINK84"/>
      <w:bookmarkStart w:id="3" w:name="m_-5709031811578630299_OLE_LINK88"/>
      <w:bookmarkStart w:id="4" w:name="m_-5709031811578630299_OLE_LINK89"/>
      <w:bookmarkStart w:id="5" w:name="m_-5709031811578630299_OLE_LINK92"/>
      <w:bookmarkStart w:id="6" w:name="m_-5709031811578630299_OLE_LINK75"/>
      <w:bookmarkStart w:id="7" w:name="m_-5709031811578630299_OLE_LINK76"/>
      <w:bookmarkStart w:id="8" w:name="m_-5709031811578630299_OLE_LINK90"/>
      <w:bookmarkStart w:id="9" w:name="m_-5709031811578630299_OLE_LINK91"/>
      <w:bookmarkStart w:id="10" w:name="m_-5709031811578630299_OLE_LINK94"/>
      <w:bookmarkEnd w:id="0"/>
      <w:bookmarkEnd w:id="1"/>
      <w:bookmarkEnd w:id="2"/>
      <w:bookmarkEnd w:id="3"/>
      <w:bookmarkEnd w:id="4"/>
      <w:bookmarkEnd w:id="5"/>
      <w:bookmarkEnd w:id="6"/>
      <w:bookmarkEnd w:id="7"/>
      <w:bookmarkEnd w:id="8"/>
      <w:bookmarkEnd w:id="9"/>
      <w:r w:rsidR="00A30805" w:rsidRPr="00DA303F">
        <w:rPr>
          <w:rFonts w:eastAsia="DengXian" w:cs="Times New Roman"/>
          <w:color w:val="222222"/>
        </w:rPr>
        <w:t xml:space="preserve"> of Advanced Agricultural Sciences (SAAS)</w:t>
      </w:r>
      <w:bookmarkEnd w:id="10"/>
      <w:r w:rsidR="00A43AD7">
        <w:rPr>
          <w:rFonts w:eastAsia="DengXian" w:cs="Times New Roman"/>
          <w:color w:val="222222"/>
        </w:rPr>
        <w:t xml:space="preserve">, </w:t>
      </w:r>
      <w:r w:rsidR="00A30805" w:rsidRPr="00DA303F">
        <w:rPr>
          <w:rFonts w:eastAsia="DengXian" w:cs="Times New Roman"/>
          <w:color w:val="222222"/>
        </w:rPr>
        <w:t>China Center for Agricultural Policy (CCAP), Peking University</w:t>
      </w:r>
      <w:r w:rsidR="00A43AD7">
        <w:rPr>
          <w:rFonts w:eastAsia="DengXian" w:cs="Times New Roman"/>
          <w:color w:val="222222"/>
        </w:rPr>
        <w:t>, Beijing, China</w:t>
      </w:r>
      <w:bookmarkStart w:id="11" w:name="m_-5709031811578630299_OLE_LINK80"/>
      <w:bookmarkStart w:id="12" w:name="m_-5709031811578630299_OLE_LINK114"/>
      <w:bookmarkStart w:id="13" w:name="m_-5709031811578630299_OLE_LINK117"/>
      <w:bookmarkEnd w:id="11"/>
      <w:bookmarkEnd w:id="12"/>
      <w:bookmarkEnd w:id="13"/>
      <w:r w:rsidR="00A43AD7">
        <w:rPr>
          <w:rFonts w:eastAsia="DengXian" w:cs="Times New Roman"/>
          <w:color w:val="222222"/>
        </w:rPr>
        <w:t xml:space="preserve"> </w:t>
      </w:r>
    </w:p>
    <w:p w14:paraId="60B0BDF0" w14:textId="42AC99C6" w:rsidR="00DE3A72" w:rsidRPr="00DA303F" w:rsidRDefault="00C026F5" w:rsidP="00DA303F">
      <w:pPr>
        <w:spacing w:before="120" w:after="120" w:line="480" w:lineRule="auto"/>
      </w:pPr>
      <w:r>
        <w:rPr>
          <w:vertAlign w:val="superscript"/>
        </w:rPr>
        <w:t>23</w:t>
      </w:r>
      <w:r w:rsidRPr="00DA303F">
        <w:t>GroundWork</w:t>
      </w:r>
      <w:r w:rsidR="000E1708" w:rsidRPr="00DA303F">
        <w:t xml:space="preserve">, </w:t>
      </w:r>
      <w:proofErr w:type="spellStart"/>
      <w:r w:rsidR="000E1708" w:rsidRPr="00DA303F">
        <w:t>Hintergasse</w:t>
      </w:r>
      <w:proofErr w:type="spellEnd"/>
      <w:r w:rsidR="000E1708" w:rsidRPr="00DA303F">
        <w:t xml:space="preserve"> 1, 7306 </w:t>
      </w:r>
      <w:proofErr w:type="spellStart"/>
      <w:r w:rsidR="000E1708" w:rsidRPr="00DA303F">
        <w:t>Fläsch</w:t>
      </w:r>
      <w:proofErr w:type="spellEnd"/>
      <w:r w:rsidR="000E1708" w:rsidRPr="00DA303F">
        <w:t>, Switzerland</w:t>
      </w:r>
      <w:r w:rsidR="00822792">
        <w:t xml:space="preserve"> </w:t>
      </w:r>
    </w:p>
    <w:p w14:paraId="46594F27" w14:textId="0D189F42" w:rsidR="00EC611E" w:rsidRDefault="00C026F5" w:rsidP="00DA303F">
      <w:pPr>
        <w:spacing w:before="120" w:after="120" w:line="480" w:lineRule="auto"/>
      </w:pPr>
      <w:r>
        <w:rPr>
          <w:rFonts w:eastAsia="Times New Roman" w:cs="Arial"/>
          <w:color w:val="222222"/>
          <w:vertAlign w:val="superscript"/>
        </w:rPr>
        <w:t>24</w:t>
      </w:r>
      <w:r>
        <w:rPr>
          <w:rFonts w:eastAsia="Times New Roman" w:cs="Arial"/>
          <w:color w:val="222222"/>
        </w:rPr>
        <w:t>S</w:t>
      </w:r>
      <w:r w:rsidRPr="00DA303F">
        <w:rPr>
          <w:rFonts w:eastAsia="Times New Roman" w:cs="Arial"/>
          <w:color w:val="222222"/>
        </w:rPr>
        <w:t>chool</w:t>
      </w:r>
      <w:r w:rsidR="00EC611E" w:rsidRPr="00DA303F">
        <w:rPr>
          <w:rFonts w:eastAsia="Times New Roman" w:cs="Arial"/>
          <w:color w:val="222222"/>
        </w:rPr>
        <w:t xml:space="preserve"> of Sport, Exercise and Health Sciences, Loughborough University, Leicestershire, UK</w:t>
      </w:r>
      <w:r>
        <w:rPr>
          <w:rFonts w:eastAsia="Times New Roman" w:cs="Arial"/>
          <w:color w:val="222222"/>
        </w:rPr>
        <w:t xml:space="preserve"> </w:t>
      </w:r>
    </w:p>
    <w:p w14:paraId="35152C27" w14:textId="2D24CE69" w:rsidR="00F56694" w:rsidRPr="00DA303F" w:rsidRDefault="00C026F5" w:rsidP="00DA303F">
      <w:pPr>
        <w:spacing w:before="120" w:after="120" w:line="480" w:lineRule="auto"/>
      </w:pPr>
      <w:r>
        <w:rPr>
          <w:vertAlign w:val="superscript"/>
        </w:rPr>
        <w:lastRenderedPageBreak/>
        <w:t>25</w:t>
      </w:r>
      <w:r w:rsidRPr="00DA303F">
        <w:t>Dept.</w:t>
      </w:r>
      <w:r w:rsidR="00C6339D" w:rsidRPr="00DA303F">
        <w:t xml:space="preserve"> of Parasitology, Leiden University Medical Center, Leiden, the Netherlands</w:t>
      </w:r>
      <w:r w:rsidR="00822792">
        <w:t xml:space="preserve"> </w:t>
      </w:r>
    </w:p>
    <w:p w14:paraId="77B1CD81" w14:textId="74307D32" w:rsidR="008B19CE" w:rsidRPr="00822792" w:rsidRDefault="00C026F5" w:rsidP="00DA303F">
      <w:pPr>
        <w:spacing w:before="120" w:after="120" w:line="480" w:lineRule="auto"/>
      </w:pPr>
      <w:r>
        <w:rPr>
          <w:vertAlign w:val="superscript"/>
          <w:lang w:val="de-CH"/>
        </w:rPr>
        <w:t>26</w:t>
      </w:r>
      <w:r w:rsidRPr="00DA303F">
        <w:rPr>
          <w:rFonts w:cs="Arial"/>
          <w:color w:val="222222"/>
          <w:shd w:val="clear" w:color="auto" w:fill="FFFFFF"/>
        </w:rPr>
        <w:t>Swiss</w:t>
      </w:r>
      <w:r w:rsidR="00103E8B" w:rsidRPr="00DA303F">
        <w:rPr>
          <w:rFonts w:cs="Arial"/>
          <w:color w:val="222222"/>
          <w:shd w:val="clear" w:color="auto" w:fill="FFFFFF"/>
        </w:rPr>
        <w:t xml:space="preserve"> Tropical and Public Health Institute, University of Basel, Basel</w:t>
      </w:r>
      <w:r>
        <w:rPr>
          <w:rFonts w:cs="Arial"/>
          <w:color w:val="222222"/>
          <w:shd w:val="clear" w:color="auto" w:fill="FFFFFF"/>
        </w:rPr>
        <w:t>,</w:t>
      </w:r>
      <w:r w:rsidR="00103E8B" w:rsidRPr="00DA303F">
        <w:rPr>
          <w:rFonts w:cs="Arial"/>
          <w:color w:val="222222"/>
          <w:shd w:val="clear" w:color="auto" w:fill="FFFFFF"/>
        </w:rPr>
        <w:t xml:space="preserve"> Switzerland</w:t>
      </w:r>
      <w:r w:rsidR="00822792">
        <w:rPr>
          <w:rFonts w:cs="Arial"/>
          <w:color w:val="222222"/>
          <w:shd w:val="clear" w:color="auto" w:fill="FFFFFF"/>
        </w:rPr>
        <w:t xml:space="preserve">  </w:t>
      </w:r>
    </w:p>
    <w:p w14:paraId="08561137" w14:textId="177BF85E" w:rsidR="00EC611E" w:rsidRPr="00DA303F" w:rsidRDefault="00C026F5" w:rsidP="00EC611E">
      <w:pPr>
        <w:spacing w:before="120" w:after="120" w:line="480" w:lineRule="auto"/>
      </w:pPr>
      <w:r>
        <w:rPr>
          <w:vertAlign w:val="superscript"/>
        </w:rPr>
        <w:t>27</w:t>
      </w:r>
      <w:r w:rsidRPr="003D42E2">
        <w:t>Dept.</w:t>
      </w:r>
      <w:r w:rsidR="00EC611E" w:rsidRPr="003D42E2">
        <w:t xml:space="preserve"> Parasitology, Faculty of Medicine, </w:t>
      </w:r>
      <w:proofErr w:type="spellStart"/>
      <w:r w:rsidR="00EC611E" w:rsidRPr="003D42E2">
        <w:t>Universitas</w:t>
      </w:r>
      <w:proofErr w:type="spellEnd"/>
      <w:r w:rsidR="00EC611E" w:rsidRPr="003D42E2">
        <w:t xml:space="preserve"> Indonesia, Jakarta, Indonesia</w:t>
      </w:r>
      <w:r w:rsidR="00EC611E">
        <w:t xml:space="preserve"> </w:t>
      </w:r>
    </w:p>
    <w:p w14:paraId="7504E125" w14:textId="4D457A44" w:rsidR="003C33B1" w:rsidRPr="00CE320C" w:rsidRDefault="00C026F5" w:rsidP="005771EC">
      <w:pPr>
        <w:spacing w:line="480" w:lineRule="auto"/>
      </w:pPr>
      <w:r>
        <w:rPr>
          <w:vertAlign w:val="superscript"/>
          <w:lang w:val="de-CH"/>
        </w:rPr>
        <w:t>28</w:t>
      </w:r>
      <w:r w:rsidRPr="005771EC">
        <w:rPr>
          <w:rFonts w:eastAsia="Times New Roman" w:cs="Times New Roman"/>
          <w:color w:val="000000"/>
          <w:lang w:val="en-US"/>
        </w:rPr>
        <w:t>Faculty</w:t>
      </w:r>
      <w:r w:rsidR="003C33B1" w:rsidRPr="005771EC">
        <w:rPr>
          <w:rFonts w:eastAsia="Times New Roman" w:cs="Times New Roman"/>
          <w:color w:val="000000"/>
          <w:lang w:val="en-US"/>
        </w:rPr>
        <w:t xml:space="preserve"> of Epidemiology and Population Health, Department of Infectious Disease Epidemiology</w:t>
      </w:r>
      <w:r w:rsidR="003C33B1" w:rsidRPr="005771EC">
        <w:rPr>
          <w:color w:val="000000"/>
        </w:rPr>
        <w:t xml:space="preserve"> London School of  Hygiene and Tropical Medicine</w:t>
      </w:r>
      <w:r>
        <w:rPr>
          <w:color w:val="000000"/>
        </w:rPr>
        <w:t>,</w:t>
      </w:r>
      <w:r w:rsidR="003C33B1" w:rsidRPr="005771EC">
        <w:rPr>
          <w:color w:val="000000"/>
        </w:rPr>
        <w:t xml:space="preserve"> </w:t>
      </w:r>
      <w:r w:rsidR="003C33B1" w:rsidRPr="005771EC">
        <w:rPr>
          <w:rFonts w:eastAsia="Times New Roman" w:cs="Times New Roman"/>
          <w:color w:val="000000"/>
          <w:lang w:val="en-US"/>
        </w:rPr>
        <w:t>Room G12</w:t>
      </w:r>
      <w:r w:rsidR="003C33B1" w:rsidRPr="005771EC">
        <w:rPr>
          <w:rFonts w:eastAsia="Times New Roman" w:cs="Times New Roman"/>
          <w:lang w:val="en-US"/>
        </w:rPr>
        <w:t xml:space="preserve"> </w:t>
      </w:r>
      <w:r w:rsidR="003C33B1" w:rsidRPr="005771EC">
        <w:rPr>
          <w:rFonts w:eastAsia="Times New Roman" w:cs="Times New Roman"/>
          <w:color w:val="000000"/>
          <w:lang w:val="en-US"/>
        </w:rPr>
        <w:t>LSHTM</w:t>
      </w:r>
      <w:r>
        <w:rPr>
          <w:rFonts w:eastAsia="Times New Roman" w:cs="Times New Roman"/>
          <w:color w:val="000000"/>
          <w:lang w:val="en-US"/>
        </w:rPr>
        <w:t>,</w:t>
      </w:r>
      <w:r w:rsidR="003C33B1" w:rsidRPr="005771EC">
        <w:rPr>
          <w:rFonts w:eastAsia="Times New Roman" w:cs="Times New Roman"/>
          <w:color w:val="000000"/>
          <w:lang w:val="en-US"/>
        </w:rPr>
        <w:t xml:space="preserve"> Keppel Street London</w:t>
      </w:r>
      <w:r>
        <w:rPr>
          <w:rFonts w:eastAsia="Times New Roman" w:cs="Times New Roman"/>
          <w:color w:val="000000"/>
          <w:lang w:val="en-US"/>
        </w:rPr>
        <w:t>, UK</w:t>
      </w:r>
      <w:r w:rsidR="005771EC" w:rsidRPr="00CE320C">
        <w:t xml:space="preserve"> </w:t>
      </w:r>
    </w:p>
    <w:p w14:paraId="68C96EC2" w14:textId="5FB9265A" w:rsidR="005771EC" w:rsidRPr="00CE320C" w:rsidRDefault="00C026F5" w:rsidP="003D42E2">
      <w:pPr>
        <w:spacing w:before="120" w:after="120" w:line="480" w:lineRule="auto"/>
        <w:rPr>
          <w:color w:val="000000"/>
          <w:shd w:val="clear" w:color="auto" w:fill="FFFFFF"/>
          <w:lang w:val="fr-CA"/>
        </w:rPr>
      </w:pPr>
      <w:r>
        <w:rPr>
          <w:vertAlign w:val="superscript"/>
          <w:lang w:val="de-CH"/>
        </w:rPr>
        <w:t>29</w:t>
      </w:r>
      <w:r w:rsidRPr="003D42E2">
        <w:rPr>
          <w:rFonts w:cs="Arial"/>
          <w:color w:val="000000"/>
          <w:shd w:val="clear" w:color="auto" w:fill="FFFFFF"/>
          <w:lang w:val="fr-CA"/>
        </w:rPr>
        <w:t>UMR204</w:t>
      </w:r>
      <w:r w:rsidR="003D42E2" w:rsidRPr="003D42E2">
        <w:rPr>
          <w:rFonts w:cs="Arial"/>
          <w:color w:val="000000"/>
          <w:shd w:val="clear" w:color="auto" w:fill="FFFFFF"/>
          <w:lang w:val="fr-CA"/>
        </w:rPr>
        <w:t xml:space="preserve"> </w:t>
      </w:r>
      <w:proofErr w:type="spellStart"/>
      <w:r w:rsidR="003D42E2" w:rsidRPr="003D42E2">
        <w:rPr>
          <w:rFonts w:cs="Arial"/>
          <w:color w:val="000000"/>
          <w:shd w:val="clear" w:color="auto" w:fill="FFFFFF"/>
          <w:lang w:val="fr-CA"/>
        </w:rPr>
        <w:t>Nutripass</w:t>
      </w:r>
      <w:proofErr w:type="spellEnd"/>
      <w:r w:rsidR="003D42E2">
        <w:rPr>
          <w:rFonts w:cs="Arial"/>
          <w:color w:val="000000"/>
          <w:shd w:val="clear" w:color="auto" w:fill="FFFFFF"/>
          <w:lang w:val="fr-CA"/>
        </w:rPr>
        <w:t xml:space="preserve">, </w:t>
      </w:r>
      <w:r w:rsidR="003D42E2" w:rsidRPr="003D42E2">
        <w:rPr>
          <w:rFonts w:cs="Arial"/>
          <w:color w:val="000000"/>
          <w:shd w:val="clear" w:color="auto" w:fill="FFFFFF"/>
          <w:lang w:val="fr-CA"/>
        </w:rPr>
        <w:t>Institute de Recherche pour le Développement, IRD/UM/</w:t>
      </w:r>
      <w:proofErr w:type="spellStart"/>
      <w:r w:rsidR="003D42E2" w:rsidRPr="003D42E2">
        <w:rPr>
          <w:rFonts w:cs="Arial"/>
          <w:color w:val="000000"/>
          <w:shd w:val="clear" w:color="auto" w:fill="FFFFFF"/>
          <w:lang w:val="fr-CA"/>
        </w:rPr>
        <w:t>SupAgro</w:t>
      </w:r>
      <w:proofErr w:type="spellEnd"/>
      <w:r w:rsidR="003D42E2">
        <w:rPr>
          <w:rFonts w:cs="Arial"/>
          <w:color w:val="000000"/>
          <w:shd w:val="clear" w:color="auto" w:fill="FFFFFF"/>
          <w:lang w:val="fr-CA"/>
        </w:rPr>
        <w:t xml:space="preserve"> </w:t>
      </w:r>
      <w:r w:rsidR="003D42E2" w:rsidRPr="003D42E2">
        <w:rPr>
          <w:rFonts w:cs="Arial"/>
          <w:color w:val="000000"/>
          <w:shd w:val="clear" w:color="auto" w:fill="FFFFFF"/>
          <w:lang w:val="fr-CA"/>
        </w:rPr>
        <w:t>34394</w:t>
      </w:r>
      <w:r w:rsidR="00E9375A">
        <w:rPr>
          <w:rFonts w:cs="Arial"/>
          <w:color w:val="000000"/>
          <w:shd w:val="clear" w:color="auto" w:fill="FFFFFF"/>
          <w:lang w:val="fr-CA"/>
        </w:rPr>
        <w:t>, Montpellier, France</w:t>
      </w:r>
      <w:r w:rsidR="00E9375A" w:rsidRPr="00CE320C">
        <w:rPr>
          <w:color w:val="000000"/>
          <w:shd w:val="clear" w:color="auto" w:fill="FFFFFF"/>
          <w:lang w:val="fr-CA"/>
        </w:rPr>
        <w:t xml:space="preserve"> </w:t>
      </w:r>
    </w:p>
    <w:p w14:paraId="79CECE13" w14:textId="484471B9" w:rsidR="00C026F5" w:rsidRPr="00DA303F" w:rsidRDefault="00C026F5" w:rsidP="00C026F5">
      <w:pPr>
        <w:spacing w:before="120" w:after="120" w:line="480" w:lineRule="auto"/>
      </w:pPr>
      <w:r>
        <w:rPr>
          <w:vertAlign w:val="superscript"/>
        </w:rPr>
        <w:t>30</w:t>
      </w:r>
      <w:r w:rsidRPr="00DA303F">
        <w:t>Community</w:t>
      </w:r>
      <w:r w:rsidR="008B19CE" w:rsidRPr="00DA303F">
        <w:t>/International Nutrition, Institute of Nutrition, Mahidol University</w:t>
      </w:r>
      <w:r w:rsidR="005771EC">
        <w:t>, Thailand</w:t>
      </w:r>
      <w:r>
        <w:t xml:space="preserve"> </w:t>
      </w:r>
    </w:p>
    <w:p w14:paraId="0DC4B0C2" w14:textId="77777777" w:rsidR="000C7888" w:rsidRDefault="000C7888" w:rsidP="000C7888">
      <w:pPr>
        <w:spacing w:before="120" w:after="120" w:line="480" w:lineRule="auto"/>
      </w:pPr>
    </w:p>
    <w:p w14:paraId="4DBDADB6" w14:textId="77777777" w:rsidR="000C7888" w:rsidRDefault="000C7888" w:rsidP="000C7888">
      <w:r>
        <w:t>* Corresponding author</w:t>
      </w:r>
    </w:p>
    <w:p w14:paraId="12267A47" w14:textId="09F246A9" w:rsidR="008B19CE" w:rsidRPr="00037832" w:rsidRDefault="000C7888" w:rsidP="00CE320C">
      <w:r w:rsidRPr="00037832">
        <w:t>Email:</w:t>
      </w:r>
      <w:r w:rsidR="00C6703F" w:rsidRPr="00037832">
        <w:t xml:space="preserve"> </w:t>
      </w:r>
      <w:hyperlink r:id="rId9" w:history="1">
        <w:r w:rsidRPr="00037832">
          <w:rPr>
            <w:rStyle w:val="Hyperlink"/>
            <w:rFonts w:asciiTheme="minorHAnsi" w:hAnsiTheme="minorHAnsi"/>
          </w:rPr>
          <w:t>vwelch@campbellcollaboration.org</w:t>
        </w:r>
      </w:hyperlink>
      <w:r w:rsidRPr="00037832">
        <w:rPr>
          <w:rStyle w:val="Hyperlink"/>
          <w:rFonts w:asciiTheme="minorHAnsi" w:hAnsiTheme="minorHAnsi"/>
          <w:u w:val="none"/>
        </w:rPr>
        <w:t xml:space="preserve"> </w:t>
      </w:r>
      <w:r w:rsidRPr="00037832">
        <w:rPr>
          <w:rStyle w:val="Hyperlink"/>
          <w:rFonts w:asciiTheme="minorHAnsi" w:hAnsiTheme="minorHAnsi"/>
          <w:color w:val="auto"/>
          <w:u w:val="none"/>
        </w:rPr>
        <w:t>(VW)</w:t>
      </w:r>
    </w:p>
    <w:p w14:paraId="0E59F311" w14:textId="77777777" w:rsidR="000C7888" w:rsidRPr="00037832" w:rsidRDefault="000C7888" w:rsidP="000C7888">
      <w:pPr>
        <w:pStyle w:val="ListParagraph"/>
      </w:pPr>
    </w:p>
    <w:p w14:paraId="2BCE87D1" w14:textId="77777777" w:rsidR="000C7888" w:rsidRPr="00BC2403" w:rsidRDefault="000C7888" w:rsidP="000C7888">
      <w:pPr>
        <w:spacing w:before="120" w:after="120" w:line="480" w:lineRule="auto"/>
      </w:pPr>
      <w:r w:rsidRPr="00BC2403">
        <w:rPr>
          <w:vertAlign w:val="superscript"/>
        </w:rPr>
        <w:t>¶</w:t>
      </w:r>
      <w:r>
        <w:rPr>
          <w:vertAlign w:val="superscript"/>
        </w:rPr>
        <w:t xml:space="preserve"> </w:t>
      </w:r>
      <w:r>
        <w:t>ZAB and GAW are J</w:t>
      </w:r>
      <w:r w:rsidRPr="00BC2403">
        <w:t xml:space="preserve">oint </w:t>
      </w:r>
      <w:r>
        <w:t>S</w:t>
      </w:r>
      <w:r w:rsidRPr="00BC2403">
        <w:t xml:space="preserve">enior </w:t>
      </w:r>
      <w:r>
        <w:t>A</w:t>
      </w:r>
      <w:r w:rsidRPr="00BC2403">
        <w:t>uthors</w:t>
      </w:r>
    </w:p>
    <w:p w14:paraId="2D3D1456" w14:textId="77777777" w:rsidR="00B01DE4" w:rsidRPr="00037832" w:rsidRDefault="00B01DE4" w:rsidP="00037832">
      <w:pPr>
        <w:spacing w:before="120" w:after="120" w:line="480" w:lineRule="auto"/>
      </w:pPr>
    </w:p>
    <w:p w14:paraId="1B41FA4E" w14:textId="77777777" w:rsidR="00E45D5C" w:rsidRPr="00037832" w:rsidRDefault="00E45D5C" w:rsidP="00F610F0">
      <w:pPr>
        <w:pStyle w:val="Heading1"/>
        <w:rPr>
          <w:rFonts w:asciiTheme="minorHAnsi" w:hAnsiTheme="minorHAnsi"/>
        </w:rPr>
      </w:pPr>
      <w:r w:rsidRPr="00037832">
        <w:rPr>
          <w:rFonts w:asciiTheme="minorHAnsi" w:hAnsiTheme="minorHAnsi"/>
        </w:rPr>
        <w:t>Author contributions</w:t>
      </w:r>
    </w:p>
    <w:p w14:paraId="4D2C3001" w14:textId="77777777" w:rsidR="00E45D5C" w:rsidRPr="00B70704" w:rsidRDefault="00E45D5C" w:rsidP="007309C5">
      <w:pPr>
        <w:spacing w:before="120" w:after="120" w:line="480" w:lineRule="auto"/>
      </w:pPr>
      <w:r w:rsidRPr="00B70704">
        <w:t>VW, EG, AH, AR, GAW had full access to the data and take responsibility for the accuracy of data analyses.</w:t>
      </w:r>
    </w:p>
    <w:p w14:paraId="333A7842" w14:textId="77777777" w:rsidR="000C7888" w:rsidRPr="00B70704" w:rsidRDefault="000C7888" w:rsidP="000C7888">
      <w:pPr>
        <w:spacing w:before="120" w:after="120" w:line="480" w:lineRule="auto"/>
      </w:pPr>
      <w:r w:rsidRPr="00B70704">
        <w:t xml:space="preserve">Concept and design: ZB, MG, SC, VW, GAW, PA, </w:t>
      </w:r>
      <w:r w:rsidR="00C026F5">
        <w:t>and the Advisory Board (SH</w:t>
      </w:r>
      <w:r w:rsidRPr="00B70704">
        <w:t xml:space="preserve">, </w:t>
      </w:r>
      <w:r w:rsidR="00C026F5">
        <w:t>RB</w:t>
      </w:r>
      <w:r w:rsidRPr="00B70704">
        <w:t xml:space="preserve">, </w:t>
      </w:r>
      <w:r w:rsidR="00C026F5">
        <w:t>PT</w:t>
      </w:r>
      <w:r w:rsidRPr="00B70704">
        <w:t xml:space="preserve">, </w:t>
      </w:r>
      <w:r w:rsidR="00C026F5">
        <w:t>DH</w:t>
      </w:r>
      <w:r w:rsidRPr="00B70704">
        <w:t xml:space="preserve">, </w:t>
      </w:r>
      <w:r w:rsidR="00C026F5">
        <w:t>CH)</w:t>
      </w:r>
    </w:p>
    <w:p w14:paraId="3CEBF0E2" w14:textId="77777777" w:rsidR="000C7888" w:rsidRPr="00B70704" w:rsidRDefault="00B924EC" w:rsidP="000C7888">
      <w:pPr>
        <w:spacing w:before="120" w:after="120" w:line="480" w:lineRule="auto"/>
      </w:pPr>
      <w:r w:rsidRPr="00B70704">
        <w:t xml:space="preserve">Acquisition of data: VW, EG, CM, </w:t>
      </w:r>
      <w:r w:rsidR="00C026F5">
        <w:t>OD, AR</w:t>
      </w:r>
      <w:r w:rsidR="008C7075">
        <w:t xml:space="preserve"> and all trial authors (DB, MCC, AE, HF, DH, CK, HL, CL, ES, PS, TS, FR, ER, EW, FW, PW, MY)</w:t>
      </w:r>
    </w:p>
    <w:p w14:paraId="00DF6D6C" w14:textId="77777777" w:rsidR="000C7888" w:rsidRPr="00B70704" w:rsidRDefault="00B924EC" w:rsidP="000C7888">
      <w:pPr>
        <w:spacing w:before="120" w:after="120" w:line="480" w:lineRule="auto"/>
      </w:pPr>
      <w:r w:rsidRPr="00B70704">
        <w:t>Drafting of manuscript: VW, EG</w:t>
      </w:r>
      <w:r w:rsidR="00C026F5">
        <w:t>, AR</w:t>
      </w:r>
    </w:p>
    <w:p w14:paraId="16758946" w14:textId="77777777" w:rsidR="00B924EC" w:rsidRPr="00B70704" w:rsidRDefault="00B924EC" w:rsidP="007309C5">
      <w:pPr>
        <w:spacing w:before="120" w:after="120" w:line="480" w:lineRule="auto"/>
      </w:pPr>
      <w:r w:rsidRPr="00B70704">
        <w:t>Critical revision of content: all authors</w:t>
      </w:r>
    </w:p>
    <w:p w14:paraId="36200F62" w14:textId="77777777" w:rsidR="00B924EC" w:rsidRPr="00B70704" w:rsidRDefault="00B924EC" w:rsidP="007309C5">
      <w:pPr>
        <w:spacing w:before="120" w:after="120" w:line="480" w:lineRule="auto"/>
      </w:pPr>
      <w:r w:rsidRPr="00B70704">
        <w:lastRenderedPageBreak/>
        <w:t>Statistical analysis: VW, AH, AR, OD</w:t>
      </w:r>
    </w:p>
    <w:p w14:paraId="64CEC70A" w14:textId="77777777" w:rsidR="000C7888" w:rsidRPr="00B70704" w:rsidRDefault="00B924EC" w:rsidP="000C7888">
      <w:pPr>
        <w:spacing w:before="120" w:after="120" w:line="480" w:lineRule="auto"/>
      </w:pPr>
      <w:r w:rsidRPr="00B70704">
        <w:t xml:space="preserve">Obtained funding: ZB, MG, </w:t>
      </w:r>
      <w:r w:rsidR="008C7075">
        <w:t xml:space="preserve">SC, </w:t>
      </w:r>
      <w:r w:rsidR="000C7888" w:rsidRPr="00B70704">
        <w:t>GAW, VW</w:t>
      </w:r>
    </w:p>
    <w:p w14:paraId="6BB6BC39" w14:textId="77777777" w:rsidR="008B0F98" w:rsidRPr="00037832" w:rsidRDefault="008B0F98" w:rsidP="007309C5">
      <w:pPr>
        <w:spacing w:before="120" w:after="120" w:line="480" w:lineRule="auto"/>
        <w:rPr>
          <w:b/>
        </w:rPr>
      </w:pPr>
    </w:p>
    <w:p w14:paraId="5F135687" w14:textId="4310929C" w:rsidR="00015505" w:rsidRPr="00037832" w:rsidRDefault="00015505" w:rsidP="00037832">
      <w:pPr>
        <w:pStyle w:val="Heading1"/>
        <w:rPr>
          <w:b w:val="0"/>
        </w:rPr>
      </w:pPr>
      <w:r w:rsidRPr="00037832">
        <w:rPr>
          <w:rFonts w:asciiTheme="minorHAnsi" w:hAnsiTheme="minorHAnsi"/>
        </w:rPr>
        <w:t>Abstract</w:t>
      </w:r>
      <w:r w:rsidR="008C1BAF" w:rsidRPr="00037832">
        <w:rPr>
          <w:rFonts w:asciiTheme="minorHAnsi" w:hAnsiTheme="minorHAnsi"/>
        </w:rPr>
        <w:t xml:space="preserve"> </w:t>
      </w:r>
    </w:p>
    <w:p w14:paraId="03EB56DB" w14:textId="3418E79C" w:rsidR="00DE3A72" w:rsidRPr="00037832" w:rsidRDefault="003A07F9" w:rsidP="00037832">
      <w:pPr>
        <w:pStyle w:val="Heading2"/>
        <w:rPr>
          <w:b w:val="0"/>
        </w:rPr>
      </w:pPr>
      <w:r w:rsidRPr="00037832">
        <w:rPr>
          <w:rFonts w:asciiTheme="minorHAnsi" w:hAnsiTheme="minorHAnsi"/>
          <w:i w:val="0"/>
        </w:rPr>
        <w:t>Background</w:t>
      </w:r>
    </w:p>
    <w:p w14:paraId="6E069ED8" w14:textId="13C0021E" w:rsidR="000C7888" w:rsidRPr="00B70704" w:rsidRDefault="000C7888" w:rsidP="000C7888">
      <w:pPr>
        <w:spacing w:line="480" w:lineRule="auto"/>
      </w:pPr>
      <w:r>
        <w:rPr>
          <w:lang w:val="en-US"/>
        </w:rPr>
        <w:t>Intestinal parasites</w:t>
      </w:r>
      <w:r w:rsidRPr="00B70704">
        <w:rPr>
          <w:lang w:val="en-US"/>
        </w:rPr>
        <w:t xml:space="preserve"> affect</w:t>
      </w:r>
      <w:r w:rsidR="00251076" w:rsidRPr="00B70704">
        <w:rPr>
          <w:lang w:val="en-US"/>
        </w:rPr>
        <w:t xml:space="preserve"> millions of children </w:t>
      </w:r>
      <w:r>
        <w:rPr>
          <w:lang w:val="en-US"/>
        </w:rPr>
        <w:t>in low and middle income countries</w:t>
      </w:r>
      <w:r w:rsidR="00251076" w:rsidRPr="00B70704">
        <w:rPr>
          <w:lang w:val="en-US"/>
        </w:rPr>
        <w:t>.</w:t>
      </w:r>
      <w:r w:rsidR="00766597">
        <w:rPr>
          <w:lang w:val="en-US"/>
        </w:rPr>
        <w:t xml:space="preserve"> </w:t>
      </w:r>
      <w:r w:rsidR="00251076" w:rsidRPr="00B70704">
        <w:t>We aimed</w:t>
      </w:r>
      <w:r w:rsidR="00D666F3" w:rsidRPr="00B70704">
        <w:t xml:space="preserve"> </w:t>
      </w:r>
      <w:r w:rsidR="001E02FF" w:rsidRPr="00B70704">
        <w:t xml:space="preserve">to </w:t>
      </w:r>
      <w:r w:rsidR="002904E3" w:rsidRPr="00B70704">
        <w:t xml:space="preserve">assess effects of deworming </w:t>
      </w:r>
      <w:r w:rsidR="005636DB" w:rsidRPr="00B70704">
        <w:t xml:space="preserve">on nutritional </w:t>
      </w:r>
      <w:r w:rsidR="002904E3" w:rsidRPr="00B70704">
        <w:t xml:space="preserve">and cognitive </w:t>
      </w:r>
      <w:r w:rsidR="005636DB" w:rsidRPr="00B70704">
        <w:t>outcomes</w:t>
      </w:r>
      <w:r w:rsidR="002904E3" w:rsidRPr="00B70704">
        <w:t xml:space="preserve"> across potential effect modifiers</w:t>
      </w:r>
      <w:r>
        <w:t xml:space="preserve"> using</w:t>
      </w:r>
      <w:r w:rsidR="003A07F9" w:rsidRPr="00037832">
        <w:t xml:space="preserve"> individual participant data</w:t>
      </w:r>
      <w:r w:rsidRPr="00B70704">
        <w:t>.</w:t>
      </w:r>
    </w:p>
    <w:p w14:paraId="0F08A43B" w14:textId="77777777" w:rsidR="000C7888" w:rsidRPr="00BC2403" w:rsidRDefault="000C7888" w:rsidP="000C7888">
      <w:pPr>
        <w:pStyle w:val="Heading2"/>
        <w:rPr>
          <w:rFonts w:asciiTheme="minorHAnsi" w:hAnsiTheme="minorHAnsi"/>
          <w:i w:val="0"/>
        </w:rPr>
      </w:pPr>
      <w:r w:rsidRPr="00BC2403">
        <w:rPr>
          <w:rFonts w:asciiTheme="minorHAnsi" w:hAnsiTheme="minorHAnsi"/>
          <w:i w:val="0"/>
        </w:rPr>
        <w:t>Methodology/Findings</w:t>
      </w:r>
    </w:p>
    <w:p w14:paraId="0552339C" w14:textId="3DE540D7" w:rsidR="00D666F3" w:rsidRPr="00B70704" w:rsidRDefault="000C7888" w:rsidP="00037832">
      <w:pPr>
        <w:spacing w:before="120" w:after="120" w:line="480" w:lineRule="auto"/>
      </w:pPr>
      <w:r>
        <w:rPr>
          <w:lang w:val="en-US"/>
        </w:rPr>
        <w:t>W</w:t>
      </w:r>
      <w:r w:rsidRPr="00B70704">
        <w:rPr>
          <w:lang w:val="en-US"/>
        </w:rPr>
        <w:t>e</w:t>
      </w:r>
      <w:r w:rsidR="00D666F3" w:rsidRPr="00B70704">
        <w:rPr>
          <w:lang w:val="en-US"/>
        </w:rPr>
        <w:t xml:space="preserve"> searched </w:t>
      </w:r>
      <w:r w:rsidR="00D666F3" w:rsidRPr="00B70704">
        <w:rPr>
          <w:rFonts w:eastAsia="Calibri"/>
          <w:lang w:val="en-US"/>
        </w:rPr>
        <w:t xml:space="preserve">MEDLINE, CINAHL, LILACS, EMBASE, the Cochrane Library, </w:t>
      </w:r>
      <w:proofErr w:type="spellStart"/>
      <w:r w:rsidR="00D666F3" w:rsidRPr="00B70704">
        <w:rPr>
          <w:rFonts w:eastAsia="Calibri"/>
          <w:lang w:val="en-US"/>
        </w:rPr>
        <w:t>Econlit</w:t>
      </w:r>
      <w:proofErr w:type="spellEnd"/>
      <w:r w:rsidR="00D666F3" w:rsidRPr="00B70704">
        <w:rPr>
          <w:rFonts w:eastAsia="Calibri"/>
          <w:lang w:val="en-US"/>
        </w:rPr>
        <w:t>, Internet Documents in Economics Access Service, Public Affairs Information Service, Social Services Abstracts, Global Health CABI and CAB Abstracts to March 27, 2018.  We searched grey literature</w:t>
      </w:r>
      <w:r w:rsidR="003E6358" w:rsidRPr="00B70704">
        <w:rPr>
          <w:rFonts w:eastAsia="Calibri"/>
          <w:lang w:val="en-US"/>
        </w:rPr>
        <w:t xml:space="preserve">, </w:t>
      </w:r>
      <w:r w:rsidR="00D666F3" w:rsidRPr="00B70704">
        <w:rPr>
          <w:rFonts w:eastAsia="Calibri"/>
          <w:lang w:val="en-US"/>
        </w:rPr>
        <w:t>contacted authors and screened reviews</w:t>
      </w:r>
      <w:r w:rsidR="005636DB" w:rsidRPr="00B70704">
        <w:rPr>
          <w:rFonts w:eastAsia="Calibri"/>
          <w:lang w:val="en-US"/>
        </w:rPr>
        <w:t>.</w:t>
      </w:r>
      <w:r>
        <w:rPr>
          <w:rFonts w:eastAsia="Calibri"/>
          <w:lang w:val="en-US"/>
        </w:rPr>
        <w:t xml:space="preserve"> </w:t>
      </w:r>
      <w:r w:rsidR="00D666F3" w:rsidRPr="00B70704">
        <w:rPr>
          <w:lang w:val="en-US"/>
        </w:rPr>
        <w:t xml:space="preserve">We included randomized and quasi randomized trials </w:t>
      </w:r>
      <w:r w:rsidR="00B12DAC" w:rsidRPr="00B70704">
        <w:rPr>
          <w:lang w:val="en-US"/>
        </w:rPr>
        <w:t>of deworming children</w:t>
      </w:r>
      <w:r w:rsidR="00D666F3" w:rsidRPr="00B70704">
        <w:rPr>
          <w:lang w:val="en-US"/>
        </w:rPr>
        <w:t xml:space="preserve"> compared to placebo or other </w:t>
      </w:r>
      <w:r w:rsidR="00BF1863" w:rsidRPr="00B70704">
        <w:rPr>
          <w:lang w:val="en-US"/>
        </w:rPr>
        <w:t xml:space="preserve">nutritional </w:t>
      </w:r>
      <w:r w:rsidR="00A16FF8" w:rsidRPr="00B70704">
        <w:rPr>
          <w:lang w:val="en-US"/>
        </w:rPr>
        <w:t xml:space="preserve">or deworming </w:t>
      </w:r>
      <w:r w:rsidR="00D666F3" w:rsidRPr="00B70704">
        <w:rPr>
          <w:lang w:val="en-US"/>
        </w:rPr>
        <w:t>interventions with</w:t>
      </w:r>
      <w:r w:rsidR="003E6358" w:rsidRPr="00B70704">
        <w:rPr>
          <w:lang w:val="en-US"/>
        </w:rPr>
        <w:t xml:space="preserve"> </w:t>
      </w:r>
      <w:r w:rsidR="007C1D14" w:rsidRPr="00B70704">
        <w:rPr>
          <w:lang w:val="en-US"/>
        </w:rPr>
        <w:t xml:space="preserve">data on </w:t>
      </w:r>
      <w:r w:rsidR="00D666F3" w:rsidRPr="00B70704">
        <w:rPr>
          <w:lang w:val="en-US"/>
        </w:rPr>
        <w:t>baseline infection.</w:t>
      </w:r>
      <w:r w:rsidR="003A07F9">
        <w:rPr>
          <w:lang w:val="en-US"/>
        </w:rPr>
        <w:t xml:space="preserve">  </w:t>
      </w:r>
    </w:p>
    <w:p w14:paraId="663FC9C2" w14:textId="27A335A5" w:rsidR="003E6358" w:rsidRPr="00B70704" w:rsidRDefault="00D666F3" w:rsidP="007309C5">
      <w:pPr>
        <w:spacing w:before="120" w:after="120" w:line="480" w:lineRule="auto"/>
      </w:pPr>
      <w:r w:rsidRPr="00B70704">
        <w:t xml:space="preserve">We </w:t>
      </w:r>
      <w:r w:rsidR="00CD06D6" w:rsidRPr="00B70704">
        <w:t>used</w:t>
      </w:r>
      <w:r w:rsidRPr="00B70704">
        <w:t xml:space="preserve"> a random-effects network meta-analysis</w:t>
      </w:r>
      <w:r w:rsidR="00BF1863" w:rsidRPr="00B70704">
        <w:t xml:space="preserve"> with</w:t>
      </w:r>
      <w:r w:rsidR="00D129EB">
        <w:t xml:space="preserve"> </w:t>
      </w:r>
      <w:r w:rsidR="00645561">
        <w:t>IPD</w:t>
      </w:r>
      <w:r w:rsidR="003A07F9">
        <w:t xml:space="preserve"> </w:t>
      </w:r>
      <w:r w:rsidR="000C7888">
        <w:t>and</w:t>
      </w:r>
      <w:r w:rsidR="000C7888" w:rsidRPr="00B70704">
        <w:t xml:space="preserve"> </w:t>
      </w:r>
      <w:r w:rsidR="00116076" w:rsidRPr="00B70704">
        <w:t xml:space="preserve">assessed </w:t>
      </w:r>
      <w:r w:rsidR="008C1BAF" w:rsidRPr="00B70704">
        <w:t>overall quality</w:t>
      </w:r>
      <w:r w:rsidR="00BF1863" w:rsidRPr="00B70704">
        <w:t>, following a pre-specified protocol</w:t>
      </w:r>
      <w:r w:rsidRPr="00B70704">
        <w:t xml:space="preserve">.  </w:t>
      </w:r>
      <w:r w:rsidR="003A07F9">
        <w:rPr>
          <w:lang w:val="en-US"/>
        </w:rPr>
        <w:t>The o</w:t>
      </w:r>
      <w:r w:rsidR="003E6358" w:rsidRPr="00B70704">
        <w:rPr>
          <w:lang w:val="en-US"/>
        </w:rPr>
        <w:t>utcomes were weight, height,</w:t>
      </w:r>
      <w:r w:rsidR="003E6358" w:rsidRPr="00037832">
        <w:rPr>
          <w:lang w:val="en-GB"/>
        </w:rPr>
        <w:t xml:space="preserve"> </w:t>
      </w:r>
      <w:r w:rsidR="00157BCF" w:rsidRPr="00037832">
        <w:rPr>
          <w:lang w:val="en-GB"/>
        </w:rPr>
        <w:t>haemoglobin</w:t>
      </w:r>
      <w:r w:rsidR="003A07F9">
        <w:rPr>
          <w:lang w:val="en-US"/>
        </w:rPr>
        <w:t xml:space="preserve"> </w:t>
      </w:r>
      <w:r w:rsidR="003E6358" w:rsidRPr="00B70704">
        <w:rPr>
          <w:lang w:val="en-US"/>
        </w:rPr>
        <w:t xml:space="preserve">and </w:t>
      </w:r>
      <w:r w:rsidR="00251076" w:rsidRPr="00B70704">
        <w:rPr>
          <w:lang w:val="en-US"/>
        </w:rPr>
        <w:t>cognition</w:t>
      </w:r>
      <w:r w:rsidR="003E6358" w:rsidRPr="00B70704">
        <w:rPr>
          <w:lang w:val="en-US"/>
        </w:rPr>
        <w:t>.</w:t>
      </w:r>
    </w:p>
    <w:p w14:paraId="4E610EDD" w14:textId="6822C92A" w:rsidR="00D666F3" w:rsidRPr="00B70704" w:rsidRDefault="003E6358" w:rsidP="007309C5">
      <w:pPr>
        <w:spacing w:line="480" w:lineRule="auto"/>
        <w:rPr>
          <w:lang w:val="en-US"/>
        </w:rPr>
      </w:pPr>
      <w:r w:rsidRPr="00B70704">
        <w:rPr>
          <w:lang w:val="en-US"/>
        </w:rPr>
        <w:t>W</w:t>
      </w:r>
      <w:r w:rsidR="00D666F3" w:rsidRPr="00B70704">
        <w:rPr>
          <w:lang w:val="en-US"/>
        </w:rPr>
        <w:t xml:space="preserve">e received </w:t>
      </w:r>
      <w:r w:rsidR="000C085E">
        <w:rPr>
          <w:lang w:val="en-US"/>
        </w:rPr>
        <w:t>IPD</w:t>
      </w:r>
      <w:r w:rsidR="00D666F3" w:rsidRPr="00B70704">
        <w:rPr>
          <w:lang w:val="en-US"/>
        </w:rPr>
        <w:t xml:space="preserve"> from 19 </w:t>
      </w:r>
      <w:r w:rsidR="000C7888">
        <w:rPr>
          <w:lang w:val="en-US"/>
        </w:rPr>
        <w:t>trials</w:t>
      </w:r>
      <w:r w:rsidR="00D666F3" w:rsidRPr="00B70704">
        <w:rPr>
          <w:lang w:val="en-US"/>
        </w:rPr>
        <w:t xml:space="preserve"> </w:t>
      </w:r>
      <w:r w:rsidR="005E7488">
        <w:rPr>
          <w:lang w:val="en-US"/>
        </w:rPr>
        <w:t xml:space="preserve">of STH deworming </w:t>
      </w:r>
      <w:r w:rsidR="000C7888">
        <w:rPr>
          <w:lang w:val="en-US"/>
        </w:rPr>
        <w:t>(n=</w:t>
      </w:r>
      <w:r w:rsidR="00D666F3" w:rsidRPr="00B70704">
        <w:rPr>
          <w:lang w:val="en-US"/>
        </w:rPr>
        <w:t xml:space="preserve"> 31,945</w:t>
      </w:r>
      <w:r w:rsidR="000C7888">
        <w:rPr>
          <w:lang w:val="en-US"/>
        </w:rPr>
        <w:t>)</w:t>
      </w:r>
      <w:r w:rsidR="000C7888" w:rsidRPr="00B70704">
        <w:rPr>
          <w:lang w:val="en-US"/>
        </w:rPr>
        <w:t>.</w:t>
      </w:r>
      <w:r w:rsidR="00D666F3" w:rsidRPr="00B70704">
        <w:rPr>
          <w:lang w:val="en-US"/>
        </w:rPr>
        <w:t xml:space="preserve">  </w:t>
      </w:r>
      <w:r w:rsidR="001E02FF" w:rsidRPr="00B70704">
        <w:rPr>
          <w:lang w:val="en-US"/>
        </w:rPr>
        <w:t>Overall r</w:t>
      </w:r>
      <w:r w:rsidR="00D666F3" w:rsidRPr="00B70704">
        <w:rPr>
          <w:lang w:val="en-US"/>
        </w:rPr>
        <w:t>isk of bias was low.</w:t>
      </w:r>
    </w:p>
    <w:p w14:paraId="65FE1F76" w14:textId="79CB1C69" w:rsidR="00D666F3" w:rsidRPr="00B70704" w:rsidRDefault="00D666F3" w:rsidP="007309C5">
      <w:pPr>
        <w:spacing w:line="480" w:lineRule="auto"/>
      </w:pPr>
      <w:r w:rsidRPr="00B70704">
        <w:rPr>
          <w:rFonts w:cs="Arial"/>
        </w:rPr>
        <w:t xml:space="preserve">There were no statistically significant </w:t>
      </w:r>
      <w:r w:rsidR="004452D2" w:rsidRPr="00B70704">
        <w:rPr>
          <w:rFonts w:cs="Arial"/>
        </w:rPr>
        <w:t xml:space="preserve">subgroup </w:t>
      </w:r>
      <w:r w:rsidRPr="00B70704">
        <w:rPr>
          <w:rFonts w:cs="Arial"/>
        </w:rPr>
        <w:t xml:space="preserve">effects across </w:t>
      </w:r>
      <w:r w:rsidRPr="00B70704">
        <w:t xml:space="preserve">age, sex, nutritional status </w:t>
      </w:r>
      <w:r w:rsidR="00935807" w:rsidRPr="00B70704">
        <w:t xml:space="preserve">or </w:t>
      </w:r>
      <w:r w:rsidRPr="00B70704">
        <w:t>infection intensity</w:t>
      </w:r>
      <w:r w:rsidR="004452D2" w:rsidRPr="00B70704">
        <w:t xml:space="preserve"> for </w:t>
      </w:r>
      <w:r w:rsidR="000C7888">
        <w:t>each type of STH</w:t>
      </w:r>
      <w:r w:rsidR="000C7888" w:rsidRPr="00B70704">
        <w:t>.</w:t>
      </w:r>
      <w:r w:rsidR="000C7888">
        <w:t xml:space="preserve"> </w:t>
      </w:r>
      <w:r w:rsidR="00CE320C">
        <w:t xml:space="preserve"> However, these analyses showed that </w:t>
      </w:r>
      <w:r w:rsidR="004452D2" w:rsidRPr="00B70704">
        <w:t xml:space="preserve">children with </w:t>
      </w:r>
      <w:r w:rsidR="000C7888">
        <w:t>moderate or heavy</w:t>
      </w:r>
      <w:r w:rsidR="004452D2" w:rsidRPr="00B70704">
        <w:t xml:space="preserve"> intensity </w:t>
      </w:r>
      <w:r w:rsidR="000C7888" w:rsidRPr="00E77359">
        <w:rPr>
          <w:i/>
        </w:rPr>
        <w:t>A</w:t>
      </w:r>
      <w:r w:rsidR="00B35C1B">
        <w:rPr>
          <w:i/>
        </w:rPr>
        <w:t>.</w:t>
      </w:r>
      <w:r w:rsidR="000C7888" w:rsidRPr="00CE0168">
        <w:rPr>
          <w:i/>
          <w:lang w:val="en-GB"/>
        </w:rPr>
        <w:t xml:space="preserve"> </w:t>
      </w:r>
      <w:r w:rsidR="00B35C1B">
        <w:rPr>
          <w:i/>
          <w:lang w:val="en-GB"/>
        </w:rPr>
        <w:t>l</w:t>
      </w:r>
      <w:r w:rsidR="000C7888" w:rsidRPr="00CE0168">
        <w:rPr>
          <w:i/>
          <w:lang w:val="en-GB"/>
        </w:rPr>
        <w:t>umbricoides</w:t>
      </w:r>
      <w:r w:rsidR="000C7888">
        <w:t xml:space="preserve"> or </w:t>
      </w:r>
      <w:r w:rsidR="000C7888" w:rsidRPr="00E77359">
        <w:rPr>
          <w:i/>
        </w:rPr>
        <w:t>T</w:t>
      </w:r>
      <w:r w:rsidR="00B35C1B">
        <w:rPr>
          <w:i/>
        </w:rPr>
        <w:t>.</w:t>
      </w:r>
      <w:r w:rsidR="000C7888" w:rsidRPr="00E77359">
        <w:rPr>
          <w:i/>
        </w:rPr>
        <w:t xml:space="preserve"> </w:t>
      </w:r>
      <w:proofErr w:type="spellStart"/>
      <w:r w:rsidR="00B35C1B">
        <w:rPr>
          <w:i/>
        </w:rPr>
        <w:t>t</w:t>
      </w:r>
      <w:r w:rsidR="00CE0168">
        <w:rPr>
          <w:i/>
        </w:rPr>
        <w:t>richiura</w:t>
      </w:r>
      <w:proofErr w:type="spellEnd"/>
      <w:r w:rsidR="000C7888">
        <w:t xml:space="preserve"> </w:t>
      </w:r>
      <w:r w:rsidR="004452D2" w:rsidRPr="00B70704">
        <w:t>infections</w:t>
      </w:r>
      <w:r w:rsidR="000C7888">
        <w:t xml:space="preserve">, deworming </w:t>
      </w:r>
      <w:r w:rsidR="00CE320C">
        <w:t xml:space="preserve">for STH </w:t>
      </w:r>
      <w:r w:rsidR="000C7888">
        <w:t>may increase weight gain (very low certainty).</w:t>
      </w:r>
    </w:p>
    <w:p w14:paraId="1DC05D25" w14:textId="5FF85AC3" w:rsidR="000C7888" w:rsidRDefault="000C7888" w:rsidP="000C7888">
      <w:pPr>
        <w:spacing w:line="480" w:lineRule="auto"/>
      </w:pPr>
      <w:r>
        <w:t>We updated prior systematic reviews with new data,</w:t>
      </w:r>
      <w:r w:rsidR="00756A4B" w:rsidRPr="00037832">
        <w:t xml:space="preserve"> and </w:t>
      </w:r>
      <w:r>
        <w:t>replicated findings of small effects on</w:t>
      </w:r>
      <w:r w:rsidR="006E7231" w:rsidRPr="00037832">
        <w:t xml:space="preserve"> population</w:t>
      </w:r>
      <w:r>
        <w:t>-</w:t>
      </w:r>
      <w:r w:rsidR="006E7231" w:rsidRPr="00037832">
        <w:t>level</w:t>
      </w:r>
      <w:r w:rsidR="00E954F3" w:rsidRPr="00037832">
        <w:t xml:space="preserve"> </w:t>
      </w:r>
      <w:r>
        <w:t>weight gain.</w:t>
      </w:r>
    </w:p>
    <w:p w14:paraId="77C22463" w14:textId="77777777" w:rsidR="000C7888" w:rsidRPr="00BC2403" w:rsidRDefault="000C7888" w:rsidP="000C7888">
      <w:pPr>
        <w:pStyle w:val="Heading2"/>
        <w:rPr>
          <w:rFonts w:asciiTheme="minorHAnsi" w:hAnsiTheme="minorHAnsi"/>
          <w:i w:val="0"/>
        </w:rPr>
      </w:pPr>
      <w:r w:rsidRPr="00BC2403">
        <w:rPr>
          <w:rFonts w:asciiTheme="minorHAnsi" w:hAnsiTheme="minorHAnsi"/>
          <w:i w:val="0"/>
        </w:rPr>
        <w:lastRenderedPageBreak/>
        <w:t>Conclusions/Significance</w:t>
      </w:r>
    </w:p>
    <w:p w14:paraId="2C9997E7" w14:textId="23A310EF" w:rsidR="000C7888" w:rsidRPr="00B22B9C" w:rsidRDefault="008842B6" w:rsidP="000C7888">
      <w:pPr>
        <w:widowControl w:val="0"/>
        <w:spacing w:before="80" w:after="240" w:line="480" w:lineRule="auto"/>
        <w:rPr>
          <w:b/>
          <w:lang w:val="en-US"/>
        </w:rPr>
      </w:pPr>
      <w:r w:rsidRPr="008842B6">
        <w:rPr>
          <w:lang w:val="en-US"/>
        </w:rPr>
        <w:t>The added value of this review is exploration of effects on growth and cognition in children with moderate to heavy infections as well as replicating prior systematic review results of small effects at the population level.  Policy implications are that complementary public health strategies need to be assessed and considered to achieve growth and cognition benefits for children in helminth endemic areas.  This review is limited by short study durations and that IPD could only be retrieved from half of the eligible trials.  We also encourage adoption of Open Data to maximize the societal benefit of research for the most vulnerable populations.</w:t>
      </w:r>
      <w:bookmarkStart w:id="14" w:name="_GoBack"/>
      <w:bookmarkEnd w:id="14"/>
    </w:p>
    <w:p w14:paraId="3EFC3769" w14:textId="17436292" w:rsidR="00756A4B" w:rsidRPr="00B70704" w:rsidRDefault="000C085E" w:rsidP="00037832">
      <w:pPr>
        <w:widowControl w:val="0"/>
        <w:spacing w:before="80" w:after="240" w:line="480" w:lineRule="auto"/>
      </w:pPr>
      <w:r w:rsidRPr="000C085E">
        <w:rPr>
          <w:b/>
        </w:rPr>
        <w:t>Funding</w:t>
      </w:r>
      <w:r>
        <w:t>: Bill and Melinda Gates Foundation</w:t>
      </w:r>
    </w:p>
    <w:p w14:paraId="65745849" w14:textId="0F292993" w:rsidR="00EA5D0D" w:rsidRPr="00037832" w:rsidRDefault="00212654" w:rsidP="007309C5">
      <w:pPr>
        <w:spacing w:before="120" w:after="120" w:line="480" w:lineRule="auto"/>
      </w:pPr>
      <w:r w:rsidRPr="00B70704">
        <w:rPr>
          <w:b/>
        </w:rPr>
        <w:t>Registration</w:t>
      </w:r>
      <w:r w:rsidRPr="00B70704">
        <w:t>: The protocol for this systematic review was peer-reviewed and published with the Campbell Collaboration.</w:t>
      </w:r>
    </w:p>
    <w:p w14:paraId="1B654918" w14:textId="77777777" w:rsidR="000C7888" w:rsidRDefault="000C7888" w:rsidP="000C7888">
      <w:pPr>
        <w:rPr>
          <w:b/>
        </w:rPr>
      </w:pPr>
      <w:r>
        <w:rPr>
          <w:b/>
        </w:rPr>
        <w:br w:type="page"/>
      </w:r>
    </w:p>
    <w:p w14:paraId="17B1DED6" w14:textId="77777777" w:rsidR="000C7888" w:rsidRPr="00BC2403" w:rsidRDefault="000C7888" w:rsidP="000C7888">
      <w:pPr>
        <w:pStyle w:val="Heading1"/>
        <w:rPr>
          <w:rFonts w:asciiTheme="minorHAnsi" w:hAnsiTheme="minorHAnsi"/>
        </w:rPr>
      </w:pPr>
      <w:r w:rsidRPr="00BC2403">
        <w:rPr>
          <w:rFonts w:asciiTheme="minorHAnsi" w:hAnsiTheme="minorHAnsi"/>
        </w:rPr>
        <w:lastRenderedPageBreak/>
        <w:t xml:space="preserve">Author Summary </w:t>
      </w:r>
    </w:p>
    <w:p w14:paraId="1DBE654D" w14:textId="5D26BE0D" w:rsidR="000C7888" w:rsidRDefault="000C7888" w:rsidP="000C7888">
      <w:pPr>
        <w:spacing w:before="120" w:after="120" w:line="480" w:lineRule="auto"/>
      </w:pPr>
      <w:r>
        <w:t>Mass deworming has been a cornerstone of development programs for many years.  However, recent systematic reviews have shown small effects on nutritional outcomes at a population level and reached discordant conclusions about the importance of prevalence of infections.  We collect</w:t>
      </w:r>
      <w:r w:rsidR="000C64BD">
        <w:t>ed</w:t>
      </w:r>
      <w:r>
        <w:t xml:space="preserve"> individual participant data from all eligible studies to assess whether the small effects </w:t>
      </w:r>
      <w:r w:rsidR="000C64BD">
        <w:t xml:space="preserve">at population-level </w:t>
      </w:r>
      <w:r>
        <w:t>were explained by subgroup effects in vulnerable populations with poorer nutritional status or heavier intensity infections.</w:t>
      </w:r>
    </w:p>
    <w:p w14:paraId="2C40FF3C" w14:textId="4A30CFBC" w:rsidR="000C7888" w:rsidRDefault="000C7888" w:rsidP="000C7888">
      <w:pPr>
        <w:spacing w:before="120" w:after="120" w:line="480" w:lineRule="auto"/>
      </w:pPr>
      <w:r>
        <w:t xml:space="preserve">We used a network meta-analysis approach which allows the comparison of different combinations of deworming with micronutrients and iron. Our findings suggest that effects of deworming on weight gain may be larger in children with moderate to heavy intensity infections, based on very low certainty evidence.  We also identified new studies and added these to prior meta-analyses, </w:t>
      </w:r>
      <w:r w:rsidR="000C64BD">
        <w:t>which replicate prior</w:t>
      </w:r>
      <w:r>
        <w:t xml:space="preserve"> findings of small average effects of deworming on nutritional outcomes</w:t>
      </w:r>
      <w:r w:rsidR="009F455F">
        <w:t xml:space="preserve"> and no effect on cognitive outcomes</w:t>
      </w:r>
      <w:r>
        <w:t>.</w:t>
      </w:r>
    </w:p>
    <w:p w14:paraId="548C667B" w14:textId="2F0A1C47" w:rsidR="000C7888" w:rsidRDefault="000C7888" w:rsidP="000C7888">
      <w:pPr>
        <w:spacing w:before="120" w:after="120" w:line="480" w:lineRule="auto"/>
      </w:pPr>
      <w:r>
        <w:t>A limitation of this review is that almost half of eligible studies could not be retrieved due to the burden of sharing data and lost data.  Thus, we emphatically support the urgent need for much wider adoption of Open Data to facilitate analyses such as these aimed at understanding benefits for the most vulnerable populations.</w:t>
      </w:r>
    </w:p>
    <w:p w14:paraId="294453AD" w14:textId="77777777" w:rsidR="000C7888" w:rsidRPr="00B70704" w:rsidRDefault="000C7888" w:rsidP="000C7888">
      <w:pPr>
        <w:spacing w:before="120" w:after="120" w:line="480" w:lineRule="auto"/>
        <w:rPr>
          <w:rFonts w:eastAsiaTheme="majorEastAsia" w:cstheme="majorBidi"/>
          <w:b/>
        </w:rPr>
      </w:pPr>
      <w:r w:rsidRPr="00B70704">
        <w:br w:type="page"/>
      </w:r>
    </w:p>
    <w:p w14:paraId="3B6BCBF3" w14:textId="4FBEAAAD" w:rsidR="00DE3A72" w:rsidRPr="00037832" w:rsidRDefault="000C085E" w:rsidP="007309C5">
      <w:pPr>
        <w:pStyle w:val="Heading1"/>
        <w:spacing w:line="480" w:lineRule="auto"/>
        <w:rPr>
          <w:rFonts w:asciiTheme="minorHAnsi" w:hAnsiTheme="minorHAnsi"/>
        </w:rPr>
      </w:pPr>
      <w:r w:rsidRPr="00037832">
        <w:rPr>
          <w:rFonts w:asciiTheme="minorHAnsi" w:hAnsiTheme="minorHAnsi"/>
        </w:rPr>
        <w:lastRenderedPageBreak/>
        <w:t>Introduction</w:t>
      </w:r>
    </w:p>
    <w:p w14:paraId="3D4AE944" w14:textId="4956D841" w:rsidR="000C7888" w:rsidRPr="00B70704" w:rsidRDefault="000C7888" w:rsidP="000C7888">
      <w:pPr>
        <w:spacing w:line="480" w:lineRule="auto"/>
      </w:pPr>
      <w:r>
        <w:t>In 2014, o</w:t>
      </w:r>
      <w:r w:rsidRPr="00B70704">
        <w:t xml:space="preserve">ver 800 million people </w:t>
      </w:r>
      <w:r>
        <w:t>we</w:t>
      </w:r>
      <w:r w:rsidRPr="00B70704">
        <w:t>re infected with soil transmitted helminths (STH) and water-borne schistosomes</w:t>
      </w:r>
      <w:r w:rsidR="00F0062F">
        <w:fldChar w:fldCharType="begin"/>
      </w:r>
      <w:r w:rsidR="00F0062F">
        <w:instrText xml:space="preserve"> ADDIN EN.CITE &lt;EndNote&gt;&lt;Cite&gt;&lt;Author&gt;Pullan&lt;/Author&gt;&lt;Year&gt;2014&lt;/Year&gt;&lt;RecNum&gt;1&lt;/RecNum&gt;&lt;DisplayText&gt;(1)&lt;/DisplayText&gt;&lt;record&gt;&lt;rec-number&gt;1&lt;/rec-number&gt;&lt;foreign-keys&gt;&lt;key app="EN" db-id="esezwrfeppt5a0ee92qx55shpt2wawp2txd5" timestamp="1561122244"&gt;1&lt;/key&gt;&lt;/foreign-keys&gt;&lt;ref-type name="Journal Article"&gt;17&lt;/ref-type&gt;&lt;contributors&gt;&lt;authors&gt;&lt;author&gt;Pullan, Rachel L&lt;/author&gt;&lt;author&gt;Smith, Jennifer L&lt;/author&gt;&lt;author&gt;Jasrasaria, Rashmi&lt;/author&gt;&lt;author&gt;Brooker, Simon J&lt;/author&gt;&lt;/authors&gt;&lt;/contributors&gt;&lt;titles&gt;&lt;title&gt;Global numbers of infection and disease burden of soil transmitted helminth infections in 2010&lt;/title&gt;&lt;secondary-title&gt;Parasites &amp;amp; vectors&lt;/secondary-title&gt;&lt;/titles&gt;&lt;periodical&gt;&lt;full-title&gt;Parasites &amp;amp; vectors&lt;/full-title&gt;&lt;/periodical&gt;&lt;pages&gt;37&lt;/pages&gt;&lt;volume&gt;7&lt;/volume&gt;&lt;number&gt;1&lt;/number&gt;&lt;dates&gt;&lt;year&gt;2014&lt;/year&gt;&lt;/dates&gt;&lt;isbn&gt;1756-3305&lt;/isbn&gt;&lt;urls&gt;&lt;/urls&gt;&lt;/record&gt;&lt;/Cite&gt;&lt;/EndNote&gt;</w:instrText>
      </w:r>
      <w:r w:rsidR="00F0062F">
        <w:fldChar w:fldCharType="separate"/>
      </w:r>
      <w:r w:rsidR="00F0062F">
        <w:rPr>
          <w:noProof/>
        </w:rPr>
        <w:t>(</w:t>
      </w:r>
      <w:r w:rsidR="00BD5A89">
        <w:rPr>
          <w:noProof/>
        </w:rPr>
        <w:t>1</w:t>
      </w:r>
      <w:r w:rsidR="00F0062F">
        <w:rPr>
          <w:noProof/>
        </w:rPr>
        <w:t>)</w:t>
      </w:r>
      <w:r w:rsidR="00F0062F">
        <w:fldChar w:fldCharType="end"/>
      </w:r>
      <w:r w:rsidRPr="00B70704">
        <w:t xml:space="preserve">.  Mass deworming has been </w:t>
      </w:r>
      <w:r>
        <w:t>described as</w:t>
      </w:r>
      <w:r w:rsidRPr="00B70704">
        <w:t xml:space="preserve"> one of the most cost-effective development interventions</w:t>
      </w:r>
      <w:r w:rsidR="00F0062F">
        <w:fldChar w:fldCharType="begin"/>
      </w:r>
      <w:r w:rsidR="00F0062F">
        <w:instrText xml:space="preserve"> ADDIN EN.CITE &lt;EndNote&gt;&lt;Cite&gt;&lt;Author&gt;Bundy&lt;/Author&gt;&lt;Year&gt;2018&lt;/Year&gt;&lt;RecNum&gt;2&lt;/RecNum&gt;&lt;DisplayText&gt;(2)&lt;/DisplayText&gt;&lt;record&gt;&lt;rec-number&gt;2&lt;/rec-number&gt;&lt;foreign-keys&gt;&lt;key app="EN" db-id="esezwrfeppt5a0ee92qx55shpt2wawp2txd5" timestamp="1561122244"&gt;2&lt;/key&gt;&lt;/foreign-keys&gt;&lt;ref-type name="Book Section"&gt;5&lt;/ref-type&gt;&lt;contributors&gt;&lt;authors&gt;&lt;author&gt;Bundy, Donald AP&lt;/author&gt;&lt;author&gt;Appleby, Laura J&lt;/author&gt;&lt;author&gt;Bradley, Mark&lt;/author&gt;&lt;author&gt;Croke, Kevin&lt;/author&gt;&lt;author&gt;Hollingsworth, T Deirdre&lt;/author&gt;&lt;author&gt;Pullan, Rachel&lt;/author&gt;&lt;author&gt;Turner, Hugo C&lt;/author&gt;&lt;author&gt;de Silva, Nilanthi&lt;/author&gt;&lt;/authors&gt;&lt;/contributors&gt;&lt;titles&gt;&lt;title&gt;100 Years of Mass Deworming Programmes: A Policy Perspective From the World Bank&amp;apos;s Disease Control Priorities Analyses&lt;/title&gt;&lt;secondary-title&gt;Advances in parasitology&lt;/secondary-title&gt;&lt;/titles&gt;&lt;pages&gt;127-154&lt;/pages&gt;&lt;volume&gt;100&lt;/volume&gt;&lt;dates&gt;&lt;year&gt;2018&lt;/year&gt;&lt;/dates&gt;&lt;publisher&gt;Elsevier&lt;/publisher&gt;&lt;isbn&gt;0065-308X&lt;/isbn&gt;&lt;urls&gt;&lt;/urls&gt;&lt;/record&gt;&lt;/Cite&gt;&lt;/EndNote&gt;</w:instrText>
      </w:r>
      <w:r w:rsidR="00F0062F">
        <w:fldChar w:fldCharType="separate"/>
      </w:r>
      <w:r w:rsidR="00F0062F">
        <w:rPr>
          <w:noProof/>
        </w:rPr>
        <w:t>(</w:t>
      </w:r>
      <w:r w:rsidR="00BD5A89">
        <w:rPr>
          <w:noProof/>
        </w:rPr>
        <w:t>2</w:t>
      </w:r>
      <w:r w:rsidR="00F0062F">
        <w:rPr>
          <w:noProof/>
        </w:rPr>
        <w:t>)</w:t>
      </w:r>
      <w:r w:rsidR="00F0062F">
        <w:fldChar w:fldCharType="end"/>
      </w:r>
      <w:r w:rsidRPr="00B70704">
        <w:t>.  The WHO 2017 guidelines recommend annual or biannual mass deworming for children, to be accompanied with hygiene and water interventions</w:t>
      </w:r>
      <w:r w:rsidR="00F0062F">
        <w:fldChar w:fldCharType="begin"/>
      </w:r>
      <w:r w:rsidR="00F0062F">
        <w:instrText xml:space="preserve"> ADDIN EN.CITE &lt;EndNote&gt;&lt;Cite&gt;&lt;Author&gt;World Health Organization&lt;/Author&gt;&lt;Year&gt;2017&lt;/Year&gt;&lt;RecNum&gt;3&lt;/RecNum&gt;&lt;DisplayText&gt;(3)&lt;/DisplayText&gt;&lt;record&gt;&lt;rec-number&gt;3&lt;/rec-number&gt;&lt;foreign-keys&gt;&lt;key app="EN" db-id="esezwrfeppt5a0ee92qx55shpt2wawp2txd5" timestamp="1561122244"&gt;3&lt;/key&gt;&lt;/foreign-keys&gt;&lt;ref-type name="Electronic Source"&gt;12&lt;/ref-type&gt;&lt;contributors&gt;&lt;authors&gt;&lt;author&gt;World Health Organization,&lt;/author&gt;&lt;/authors&gt;&lt;/contributors&gt;&lt;titles&gt;&lt;title&gt;Guideline: Preventive chemotherapy to control soil-transmitted helminth infections in at-risk population groups&lt;/title&gt;&lt;/titles&gt;&lt;dates&gt;&lt;year&gt;2017&lt;/year&gt;&lt;/dates&gt;&lt;publisher&gt;World Health Organization&lt;/publisher&gt;&lt;isbn&gt;9241550112&lt;/isbn&gt;&lt;urls&gt;&lt;related-urls&gt;&lt;url&gt;http://apps.who.int/iris/bitstream/handle/10665/258983/9789241550116-eng.pdf;jsessionid=EB785E884EDF96CCC9826D3F9AAE0912?sequence=1&lt;/url&gt;&lt;/related-urls&gt;&lt;/urls&gt;&lt;custom2&gt;September 12, 2018&lt;/custom2&gt;&lt;/record&gt;&lt;/Cite&gt;&lt;/EndNote&gt;</w:instrText>
      </w:r>
      <w:r w:rsidR="00F0062F">
        <w:fldChar w:fldCharType="separate"/>
      </w:r>
      <w:r w:rsidR="00F0062F">
        <w:rPr>
          <w:noProof/>
        </w:rPr>
        <w:t>(</w:t>
      </w:r>
      <w:r w:rsidR="00BD5A89">
        <w:rPr>
          <w:noProof/>
        </w:rPr>
        <w:t>3</w:t>
      </w:r>
      <w:r w:rsidR="00F0062F">
        <w:rPr>
          <w:noProof/>
        </w:rPr>
        <w:t>)</w:t>
      </w:r>
      <w:r w:rsidR="00F0062F">
        <w:fldChar w:fldCharType="end"/>
      </w:r>
      <w:r w:rsidRPr="00B70704">
        <w:t>.</w:t>
      </w:r>
    </w:p>
    <w:p w14:paraId="7DC7051C" w14:textId="7ED639BA" w:rsidR="00015505" w:rsidRPr="00B70704" w:rsidRDefault="00C8271C" w:rsidP="007309C5">
      <w:pPr>
        <w:spacing w:line="480" w:lineRule="auto"/>
      </w:pPr>
      <w:r w:rsidRPr="00B70704">
        <w:t xml:space="preserve">Two </w:t>
      </w:r>
      <w:r w:rsidR="00A53769" w:rsidRPr="00B70704">
        <w:t xml:space="preserve">recent </w:t>
      </w:r>
      <w:r w:rsidRPr="00B70704">
        <w:t>systematic reviews on mass deworming</w:t>
      </w:r>
      <w:r w:rsidR="00A842EC" w:rsidRPr="00B70704">
        <w:t xml:space="preserve"> </w:t>
      </w:r>
      <w:r w:rsidRPr="00B70704">
        <w:t xml:space="preserve">for soil transmitted helminths </w:t>
      </w:r>
      <w:r w:rsidR="00A842EC" w:rsidRPr="00B70704">
        <w:t xml:space="preserve">concluded there was little to no effect on </w:t>
      </w:r>
      <w:r w:rsidRPr="00B70704">
        <w:t>nutritional status, cognition or sc</w:t>
      </w:r>
      <w:r w:rsidR="00D31970" w:rsidRPr="00B70704">
        <w:t>hool attendance</w:t>
      </w:r>
      <w:r w:rsidR="00F0062F">
        <w:fldChar w:fldCharType="begin">
          <w:fldData xml:space="preserve">PEVuZE5vdGU+PENpdGU+PEF1dGhvcj5UYXlsb3LigJBSb2JpbnNvbjwvQXV0aG9yPjxZZWFyPjIw
MTU8L1llYXI+PFJlY051bT40PC9SZWNOdW0+PERpc3BsYXlUZXh0Pig0LCA1KTwvRGlzcGxheVRl
eHQ+PHJlY29yZD48cmVjLW51bWJlcj40PC9yZWMtbnVtYmVyPjxmb3JlaWduLWtleXM+PGtleSBh
cHA9IkVOIiBkYi1pZD0iZXNlendyZmVwcHQ1YTBlZTkycXg1NXNocHQyd2F3cDJ0eGQ1IiB0aW1l
c3RhbXA9IjE1NjExMjIyNDQiPjQ8L2tleT48L2ZvcmVpZ24ta2V5cz48cmVmLXR5cGUgbmFtZT0i
Sm91cm5hbCBBcnRpY2xlIj4xNzwvcmVmLXR5cGU+PGNvbnRyaWJ1dG9ycz48YXV0aG9ycz48YXV0
aG9yPlRheWxvcuKAkFJvYmluc29uLCBEYXZpZCBDPC9hdXRob3I+PGF1dGhvcj5NYWF5YW4sIE5p
Y29sYTwvYXV0aG9yPjxhdXRob3I+U29hcmVz4oCQV2Vpc2VyLCBLYXJsYTwvYXV0aG9yPjxhdXRo
b3I+RG9uZWdhbiwgU2FyYWg8L2F1dGhvcj48YXV0aG9yPkdhcm5lciwgUGF1bDwvYXV0aG9yPjwv
YXV0aG9ycz48L2NvbnRyaWJ1dG9ycz48dGl0bGVzPjx0aXRsZT5EZXdvcm1pbmcgZHJ1Z3MgZm9y
IHNvaWzigJB0cmFuc21pdHRlZCBpbnRlc3RpbmFsIHdvcm1zIGluIGNoaWxkcmVuOiBlZmZlY3Rz
IG9uIG51dHJpdGlvbmFsIGluZGljYXRvcnMsIGhhZW1vZ2xvYmluLCBhbmQgc2Nob29sIHBlcmZv
cm1hbmNlPC90aXRsZT48c2Vjb25kYXJ5LXRpdGxlPkNvY2hyYW5lIERhdGFiYXNlIG9mIFN5c3Rl
bWF0aWMgUmV2aWV3czwvc2Vjb25kYXJ5LXRpdGxlPjwvdGl0bGVzPjxwZXJpb2RpY2FsPjxmdWxs
LXRpdGxlPkNvY2hyYW5lIERhdGFiYXNlIG9mIFN5c3RlbWF0aWMgUmV2aWV3czwvZnVsbC10aXRs
ZT48L3BlcmlvZGljYWw+PG51bWJlcj43PC9udW1iZXI+PGRhdGVzPjx5ZWFyPjIwMTU8L3llYXI+
PC9kYXRlcz48aXNibj4xNDY1LTE4NTg8L2lzYm4+PHVybHM+PC91cmxzPjwvcmVjb3JkPjwvQ2l0
ZT48Q2l0ZT48QXV0aG9yPldlbGNoPC9BdXRob3I+PFllYXI+MjAxNjwvWWVhcj48UmVjTnVtPjU8
L1JlY051bT48cmVjb3JkPjxyZWMtbnVtYmVyPjU8L3JlYy1udW1iZXI+PGZvcmVpZ24ta2V5cz48
a2V5IGFwcD0iRU4iIGRiLWlkPSJlc2V6d3JmZXBwdDVhMGVlOTJxeDU1c2hwdDJ3YXdwMnR4ZDUi
IHRpbWVzdGFtcD0iMTU2MTEyMjI0NSI+NTwva2V5PjwvZm9yZWlnbi1rZXlzPjxyZWYtdHlwZSBu
YW1lPSJKb3VybmFsIEFydGljbGUiPjE3PC9yZWYtdHlwZT48Y29udHJpYnV0b3JzPjxhdXRob3Jz
PjxhdXRob3I+V2VsY2gsIFZpdmlhbi48L2F1dGhvcj48YXV0aG9yPkdob2dvbXUsIEVsaXphYmV0
aC48L2F1dGhvcj48YXV0aG9yPkhvc3NhaW4sIEFsb21naXIuPC9hdXRob3I+PGF1dGhvcj5Bd2Fz
dGhpLCBTaGFsbHkuPC9hdXRob3I+PGF1dGhvcj5CaHV0dGEsIFp1bGZpLiA8L2F1dGhvcj48YXV0
aG9yPkN1bWJlcmJhdGNoLCBDaGlzYS48L2F1dGhvcj48YXV0aG9yPkZsZXRjaGVyLCBSb2JlcnQu
PC9hdXRob3I+PGF1dGhvcj5NY0dvd2FuLCAgSmVzc2llLjwvYXV0aG9yPjxhdXRob3I+S3Jpc2hu
YXJhdG5lLCBTaGFyaS48L2F1dGhvcj48YXV0aG9yPktyaXN0amFuc3NvbiwgRWxpemFiZXRoLjwv
YXV0aG9yPjxhdXRob3I+U29oYW5pLCBTYWxpbS48L2F1dGhvcj48YXV0aG9yPlN1cmVzaCwgU2hh
bGluaS48L2F1dGhvcj48YXV0aG9yPlR1Z3dlbGwsIFBldGVyLjwvYXV0aG9yPjxhdXRob3I+V2Vs
bHMsIEdlb3JnZS4gIDwvYXV0aG9yPjxhdXRob3I+V2hpdGUsIEhvd2FyZC48L2F1dGhvcj48L2F1
dGhvcnM+PC9jb250cmlidXRvcnM+PHRpdGxlcz48dGl0bGU+RGV3b3JtaW5nIGFuZCBBZGp1dmFu
dCBJbnRlcnZlbnRpb25zIGZvciBJbXByb3ZpbmcgdGhlIERldmVsb3BtZW50YWwgSGVhbHRoIGFu
ZCBXZWxsLWJlaW5nIG9mIENoaWxkcmVuIGluIExvdy0gYW5kIE1pZGRsZS1pbmNvbWUgQ291bnRy
aWVzOiBBIFN5c3RlbWF0aWMgUmV2aWV3IGFuZCBOZXR3b3JrIE1ldGEtYW5hbHlzaXM8L3RpdGxl
PjxzZWNvbmRhcnktdGl0bGU+Q2FtcGJlbGwgU3lzdGVtYXRpYyBSZXZpZXdzPC9zZWNvbmRhcnkt
dGl0bGU+PC90aXRsZXM+PHBlcmlvZGljYWw+PGZ1bGwtdGl0bGU+Q2FtcGJlbGwgU3lzdGVtYXRp
YyBSZXZpZXdzPC9mdWxsLXRpdGxlPjwvcGVyaW9kaWNhbD48dm9sdW1lPjIwMTY6Nzwvdm9sdW1l
PjxkYXRlcz48eWVhcj4yMDE2PC95ZWFyPjwvZGF0ZXM+PHVybHM+PC91cmxzPjxlbGVjdHJvbmlj
LXJlc291cmNlLW51bT4xMC40MDczL2Nzci4yMDE2Ljc8L2VsZWN0cm9uaWMtcmVzb3VyY2UtbnVt
PjwvcmVjb3JkPjwvQ2l0ZT48L0VuZE5vdGU+AG==
</w:fldData>
        </w:fldChar>
      </w:r>
      <w:r w:rsidR="00F0062F">
        <w:instrText xml:space="preserve"> ADDIN EN.CITE </w:instrText>
      </w:r>
      <w:r w:rsidR="00F0062F">
        <w:fldChar w:fldCharType="begin">
          <w:fldData xml:space="preserve">PEVuZE5vdGU+PENpdGU+PEF1dGhvcj5UYXlsb3LigJBSb2JpbnNvbjwvQXV0aG9yPjxZZWFyPjIw
MTU8L1llYXI+PFJlY051bT40PC9SZWNOdW0+PERpc3BsYXlUZXh0Pig0LCA1KTwvRGlzcGxheVRl
eHQ+PHJlY29yZD48cmVjLW51bWJlcj40PC9yZWMtbnVtYmVyPjxmb3JlaWduLWtleXM+PGtleSBh
cHA9IkVOIiBkYi1pZD0iZXNlendyZmVwcHQ1YTBlZTkycXg1NXNocHQyd2F3cDJ0eGQ1IiB0aW1l
c3RhbXA9IjE1NjExMjIyNDQiPjQ8L2tleT48L2ZvcmVpZ24ta2V5cz48cmVmLXR5cGUgbmFtZT0i
Sm91cm5hbCBBcnRpY2xlIj4xNzwvcmVmLXR5cGU+PGNvbnRyaWJ1dG9ycz48YXV0aG9ycz48YXV0
aG9yPlRheWxvcuKAkFJvYmluc29uLCBEYXZpZCBDPC9hdXRob3I+PGF1dGhvcj5NYWF5YW4sIE5p
Y29sYTwvYXV0aG9yPjxhdXRob3I+U29hcmVz4oCQV2Vpc2VyLCBLYXJsYTwvYXV0aG9yPjxhdXRo
b3I+RG9uZWdhbiwgU2FyYWg8L2F1dGhvcj48YXV0aG9yPkdhcm5lciwgUGF1bDwvYXV0aG9yPjwv
YXV0aG9ycz48L2NvbnRyaWJ1dG9ycz48dGl0bGVzPjx0aXRsZT5EZXdvcm1pbmcgZHJ1Z3MgZm9y
IHNvaWzigJB0cmFuc21pdHRlZCBpbnRlc3RpbmFsIHdvcm1zIGluIGNoaWxkcmVuOiBlZmZlY3Rz
IG9uIG51dHJpdGlvbmFsIGluZGljYXRvcnMsIGhhZW1vZ2xvYmluLCBhbmQgc2Nob29sIHBlcmZv
cm1hbmNlPC90aXRsZT48c2Vjb25kYXJ5LXRpdGxlPkNvY2hyYW5lIERhdGFiYXNlIG9mIFN5c3Rl
bWF0aWMgUmV2aWV3czwvc2Vjb25kYXJ5LXRpdGxlPjwvdGl0bGVzPjxwZXJpb2RpY2FsPjxmdWxs
LXRpdGxlPkNvY2hyYW5lIERhdGFiYXNlIG9mIFN5c3RlbWF0aWMgUmV2aWV3czwvZnVsbC10aXRs
ZT48L3BlcmlvZGljYWw+PG51bWJlcj43PC9udW1iZXI+PGRhdGVzPjx5ZWFyPjIwMTU8L3llYXI+
PC9kYXRlcz48aXNibj4xNDY1LTE4NTg8L2lzYm4+PHVybHM+PC91cmxzPjwvcmVjb3JkPjwvQ2l0
ZT48Q2l0ZT48QXV0aG9yPldlbGNoPC9BdXRob3I+PFllYXI+MjAxNjwvWWVhcj48UmVjTnVtPjU8
L1JlY051bT48cmVjb3JkPjxyZWMtbnVtYmVyPjU8L3JlYy1udW1iZXI+PGZvcmVpZ24ta2V5cz48
a2V5IGFwcD0iRU4iIGRiLWlkPSJlc2V6d3JmZXBwdDVhMGVlOTJxeDU1c2hwdDJ3YXdwMnR4ZDUi
IHRpbWVzdGFtcD0iMTU2MTEyMjI0NSI+NTwva2V5PjwvZm9yZWlnbi1rZXlzPjxyZWYtdHlwZSBu
YW1lPSJKb3VybmFsIEFydGljbGUiPjE3PC9yZWYtdHlwZT48Y29udHJpYnV0b3JzPjxhdXRob3Jz
PjxhdXRob3I+V2VsY2gsIFZpdmlhbi48L2F1dGhvcj48YXV0aG9yPkdob2dvbXUsIEVsaXphYmV0
aC48L2F1dGhvcj48YXV0aG9yPkhvc3NhaW4sIEFsb21naXIuPC9hdXRob3I+PGF1dGhvcj5Bd2Fz
dGhpLCBTaGFsbHkuPC9hdXRob3I+PGF1dGhvcj5CaHV0dGEsIFp1bGZpLiA8L2F1dGhvcj48YXV0
aG9yPkN1bWJlcmJhdGNoLCBDaGlzYS48L2F1dGhvcj48YXV0aG9yPkZsZXRjaGVyLCBSb2JlcnQu
PC9hdXRob3I+PGF1dGhvcj5NY0dvd2FuLCAgSmVzc2llLjwvYXV0aG9yPjxhdXRob3I+S3Jpc2hu
YXJhdG5lLCBTaGFyaS48L2F1dGhvcj48YXV0aG9yPktyaXN0amFuc3NvbiwgRWxpemFiZXRoLjwv
YXV0aG9yPjxhdXRob3I+U29oYW5pLCBTYWxpbS48L2F1dGhvcj48YXV0aG9yPlN1cmVzaCwgU2hh
bGluaS48L2F1dGhvcj48YXV0aG9yPlR1Z3dlbGwsIFBldGVyLjwvYXV0aG9yPjxhdXRob3I+V2Vs
bHMsIEdlb3JnZS4gIDwvYXV0aG9yPjxhdXRob3I+V2hpdGUsIEhvd2FyZC48L2F1dGhvcj48L2F1
dGhvcnM+PC9jb250cmlidXRvcnM+PHRpdGxlcz48dGl0bGU+RGV3b3JtaW5nIGFuZCBBZGp1dmFu
dCBJbnRlcnZlbnRpb25zIGZvciBJbXByb3ZpbmcgdGhlIERldmVsb3BtZW50YWwgSGVhbHRoIGFu
ZCBXZWxsLWJlaW5nIG9mIENoaWxkcmVuIGluIExvdy0gYW5kIE1pZGRsZS1pbmNvbWUgQ291bnRy
aWVzOiBBIFN5c3RlbWF0aWMgUmV2aWV3IGFuZCBOZXR3b3JrIE1ldGEtYW5hbHlzaXM8L3RpdGxl
PjxzZWNvbmRhcnktdGl0bGU+Q2FtcGJlbGwgU3lzdGVtYXRpYyBSZXZpZXdzPC9zZWNvbmRhcnkt
dGl0bGU+PC90aXRsZXM+PHBlcmlvZGljYWw+PGZ1bGwtdGl0bGU+Q2FtcGJlbGwgU3lzdGVtYXRp
YyBSZXZpZXdzPC9mdWxsLXRpdGxlPjwvcGVyaW9kaWNhbD48dm9sdW1lPjIwMTY6Nzwvdm9sdW1l
PjxkYXRlcz48eWVhcj4yMDE2PC95ZWFyPjwvZGF0ZXM+PHVybHM+PC91cmxzPjxlbGVjdHJvbmlj
LXJlc291cmNlLW51bT4xMC40MDczL2Nzci4yMDE2Ljc8L2VsZWN0cm9uaWMtcmVzb3VyY2UtbnVt
PjwvcmVjb3JkPjwvQ2l0ZT48L0VuZE5vdGU+AG==
</w:fldData>
        </w:fldChar>
      </w:r>
      <w:r w:rsidR="00F0062F">
        <w:instrText xml:space="preserve"> ADDIN EN.CITE.DATA </w:instrText>
      </w:r>
      <w:r w:rsidR="00F0062F">
        <w:fldChar w:fldCharType="end"/>
      </w:r>
      <w:r w:rsidR="00F0062F">
        <w:fldChar w:fldCharType="separate"/>
      </w:r>
      <w:r w:rsidR="00F0062F">
        <w:rPr>
          <w:noProof/>
        </w:rPr>
        <w:t>(</w:t>
      </w:r>
      <w:r w:rsidR="00BD5A89">
        <w:rPr>
          <w:noProof/>
        </w:rPr>
        <w:t>4</w:t>
      </w:r>
      <w:r w:rsidR="00F0062F">
        <w:rPr>
          <w:noProof/>
        </w:rPr>
        <w:t xml:space="preserve">, </w:t>
      </w:r>
      <w:r w:rsidR="00BD5A89">
        <w:rPr>
          <w:noProof/>
        </w:rPr>
        <w:t>5</w:t>
      </w:r>
      <w:r w:rsidR="00F0062F">
        <w:rPr>
          <w:noProof/>
        </w:rPr>
        <w:t>)</w:t>
      </w:r>
      <w:r w:rsidR="00F0062F">
        <w:fldChar w:fldCharType="end"/>
      </w:r>
      <w:r w:rsidR="00DD38EF" w:rsidRPr="00B70704">
        <w:t xml:space="preserve">.  </w:t>
      </w:r>
      <w:r w:rsidRPr="00B70704">
        <w:t>These reviews</w:t>
      </w:r>
      <w:r w:rsidR="00DD38EF" w:rsidRPr="00B70704">
        <w:t xml:space="preserve"> </w:t>
      </w:r>
      <w:r w:rsidR="00A842EC" w:rsidRPr="00B70704">
        <w:t xml:space="preserve">did not find </w:t>
      </w:r>
      <w:r w:rsidR="00D31970" w:rsidRPr="00B70704">
        <w:t>evidence of subgroup effects</w:t>
      </w:r>
      <w:r w:rsidR="00A842EC" w:rsidRPr="00B70704">
        <w:t xml:space="preserve"> across intensity of infection, prevalence, nutritional status </w:t>
      </w:r>
      <w:r w:rsidRPr="00B70704">
        <w:t>or</w:t>
      </w:r>
      <w:r w:rsidR="00A842EC" w:rsidRPr="00B70704">
        <w:t xml:space="preserve"> sex. </w:t>
      </w:r>
      <w:r w:rsidRPr="00B70704">
        <w:t xml:space="preserve"> </w:t>
      </w:r>
      <w:r w:rsidR="00A842EC" w:rsidRPr="00B70704">
        <w:t xml:space="preserve">In contrast, </w:t>
      </w:r>
      <w:r w:rsidR="00877D7D" w:rsidRPr="00B70704">
        <w:t>a</w:t>
      </w:r>
      <w:r w:rsidRPr="00B70704">
        <w:t xml:space="preserve"> different </w:t>
      </w:r>
      <w:r w:rsidR="00A842EC" w:rsidRPr="00B70704">
        <w:t>meta-analysis</w:t>
      </w:r>
      <w:r w:rsidR="0019481D" w:rsidRPr="00B70704">
        <w:t xml:space="preserve"> </w:t>
      </w:r>
      <w:r w:rsidR="00A842EC" w:rsidRPr="00B70704">
        <w:t>found</w:t>
      </w:r>
      <w:r w:rsidR="00DD38EF" w:rsidRPr="00B70704">
        <w:t xml:space="preserve"> larger effects </w:t>
      </w:r>
      <w:r w:rsidRPr="00B70704">
        <w:t xml:space="preserve">for weight </w:t>
      </w:r>
      <w:r w:rsidR="00CE320C">
        <w:t xml:space="preserve">in areas </w:t>
      </w:r>
      <w:r w:rsidR="00DD38EF" w:rsidRPr="00B70704">
        <w:t>with high</w:t>
      </w:r>
      <w:r w:rsidR="00A842EC" w:rsidRPr="00B70704">
        <w:t>er prevalence of STH infections</w:t>
      </w:r>
      <w:r w:rsidR="00F0062F">
        <w:fldChar w:fldCharType="begin"/>
      </w:r>
      <w:r w:rsidR="00F0062F">
        <w:instrText xml:space="preserve"> ADDIN EN.CITE &lt;EndNote&gt;&lt;Cite&gt;&lt;Author&gt;Croke&lt;/Author&gt;&lt;Year&gt;2016&lt;/Year&gt;&lt;RecNum&gt;6&lt;/RecNum&gt;&lt;DisplayText&gt;(6)&lt;/DisplayText&gt;&lt;record&gt;&lt;rec-number&gt;6&lt;/rec-number&gt;&lt;foreign-keys&gt;&lt;key app="EN" db-id="esezwrfeppt5a0ee92qx55shpt2wawp2txd5" timestamp="1561122245"&gt;6&lt;/key&gt;&lt;/foreign-keys&gt;&lt;ref-type name="Journal Article"&gt;17&lt;/ref-type&gt;&lt;contributors&gt;&lt;authors&gt;&lt;author&gt;Croke, Kevin&lt;/author&gt;&lt;author&gt;Hicks, Joan Hamory&lt;/author&gt;&lt;author&gt;Hsu, Eric&lt;/author&gt;&lt;author&gt;Kremer, Michael&lt;/author&gt;&lt;author&gt;Miguel, Edward&lt;/author&gt;&lt;/authors&gt;&lt;/contributors&gt;&lt;titles&gt;&lt;title&gt;Does mass deworming affect child nutrition&lt;/title&gt;&lt;secondary-title&gt;Meta-analysis, Cost-Effectiveness, and Statistical Power. Natl Bur Econ Res Work Pap Ser&lt;/secondary-title&gt;&lt;/titles&gt;&lt;periodical&gt;&lt;full-title&gt;Meta-analysis, Cost-Effectiveness, and Statistical Power. Natl Bur Econ Res Work Pap Ser&lt;/full-title&gt;&lt;/periodical&gt;&lt;volume&gt;22382&lt;/volume&gt;&lt;dates&gt;&lt;year&gt;2016&lt;/year&gt;&lt;/dates&gt;&lt;urls&gt;&lt;/urls&gt;&lt;/record&gt;&lt;/Cite&gt;&lt;/EndNote&gt;</w:instrText>
      </w:r>
      <w:r w:rsidR="00F0062F">
        <w:fldChar w:fldCharType="separate"/>
      </w:r>
      <w:r w:rsidR="00F0062F">
        <w:rPr>
          <w:noProof/>
        </w:rPr>
        <w:t>(</w:t>
      </w:r>
      <w:r w:rsidR="00BD5A89">
        <w:rPr>
          <w:noProof/>
        </w:rPr>
        <w:t>6</w:t>
      </w:r>
      <w:r w:rsidR="00F0062F">
        <w:rPr>
          <w:noProof/>
        </w:rPr>
        <w:t>)</w:t>
      </w:r>
      <w:r w:rsidR="00F0062F">
        <w:fldChar w:fldCharType="end"/>
      </w:r>
      <w:r w:rsidR="000C7888" w:rsidRPr="00B70704">
        <w:t>.</w:t>
      </w:r>
      <w:r w:rsidR="00A0044C" w:rsidRPr="00B70704">
        <w:t xml:space="preserve">  </w:t>
      </w:r>
    </w:p>
    <w:p w14:paraId="571C015A" w14:textId="26AF25BA" w:rsidR="0013334D" w:rsidRPr="00B70704" w:rsidRDefault="00A842EC" w:rsidP="007309C5">
      <w:pPr>
        <w:spacing w:line="480" w:lineRule="auto"/>
      </w:pPr>
      <w:r w:rsidRPr="00B70704">
        <w:t xml:space="preserve">These previous </w:t>
      </w:r>
      <w:r w:rsidR="00877D7D" w:rsidRPr="00B70704">
        <w:t>assessments of</w:t>
      </w:r>
      <w:r w:rsidRPr="00B70704">
        <w:t xml:space="preserve"> effect modification </w:t>
      </w:r>
      <w:r w:rsidR="000C7888">
        <w:t>assessed the relationship between effects</w:t>
      </w:r>
      <w:r w:rsidRPr="00B70704">
        <w:t xml:space="preserve"> of </w:t>
      </w:r>
      <w:r w:rsidR="000C7888">
        <w:t>deworming to</w:t>
      </w:r>
      <w:r w:rsidRPr="00B70704">
        <w:t xml:space="preserve"> study-level </w:t>
      </w:r>
      <w:r w:rsidR="000C7888">
        <w:t xml:space="preserve">average infection prevalence, which may </w:t>
      </w:r>
      <w:r w:rsidR="0080066D">
        <w:t>be confounded by other study-level characteristics (e.g. food security, other NGO programs)</w:t>
      </w:r>
      <w:r w:rsidR="000C7888" w:rsidRPr="00B70704">
        <w:t>.</w:t>
      </w:r>
      <w:r w:rsidRPr="00B70704">
        <w:t xml:space="preserve">  </w:t>
      </w:r>
      <w:r w:rsidR="0019481D" w:rsidRPr="00B70704">
        <w:t>T</w:t>
      </w:r>
      <w:r w:rsidR="00D31970" w:rsidRPr="00B70704">
        <w:t xml:space="preserve">he question of whether deworming </w:t>
      </w:r>
      <w:r w:rsidR="000C7888">
        <w:t>has greater effects on child nutritional and cognitive outcomes</w:t>
      </w:r>
      <w:r w:rsidR="00D31970" w:rsidRPr="00B70704">
        <w:t xml:space="preserve"> </w:t>
      </w:r>
      <w:r w:rsidR="0019481D" w:rsidRPr="00B70704">
        <w:t xml:space="preserve">in </w:t>
      </w:r>
      <w:r w:rsidR="00C8271C" w:rsidRPr="00B70704">
        <w:t>areas with higher prevalence and intensity of infections</w:t>
      </w:r>
      <w:r w:rsidR="0019481D" w:rsidRPr="00B70704">
        <w:t xml:space="preserve"> </w:t>
      </w:r>
      <w:r w:rsidR="00D31970" w:rsidRPr="00B70704">
        <w:t>is important for policy to focus deworm</w:t>
      </w:r>
      <w:r w:rsidR="001D6FC5" w:rsidRPr="00B70704">
        <w:t>ing where it is most needed and</w:t>
      </w:r>
      <w:r w:rsidR="0013334D" w:rsidRPr="00B70704">
        <w:t xml:space="preserve"> likely to</w:t>
      </w:r>
      <w:r w:rsidR="00D31970" w:rsidRPr="00B70704">
        <w:t xml:space="preserve"> have the largest impact.  </w:t>
      </w:r>
    </w:p>
    <w:p w14:paraId="686CAF09" w14:textId="3D752569" w:rsidR="001D227E" w:rsidRPr="00B70704" w:rsidRDefault="001A12AF" w:rsidP="007309C5">
      <w:pPr>
        <w:spacing w:line="480" w:lineRule="auto"/>
      </w:pPr>
      <w:r w:rsidRPr="00B70704">
        <w:t>We aimed</w:t>
      </w:r>
      <w:r w:rsidR="00A842EC" w:rsidRPr="00B70704">
        <w:t xml:space="preserve"> to </w:t>
      </w:r>
      <w:r w:rsidR="00816EB8" w:rsidRPr="00B70704">
        <w:t>explore the importance of effect modifiers</w:t>
      </w:r>
      <w:r w:rsidR="00A842EC" w:rsidRPr="00B70704">
        <w:t xml:space="preserve"> using individua</w:t>
      </w:r>
      <w:r w:rsidR="00D31970" w:rsidRPr="00B70704">
        <w:t>l participant data</w:t>
      </w:r>
      <w:r w:rsidR="00816EB8" w:rsidRPr="00B70704">
        <w:t xml:space="preserve"> (IPD).  </w:t>
      </w:r>
      <w:r w:rsidR="000C7888" w:rsidRPr="00B70704">
        <w:t>IPD allows all outcomes to be converted to a common metric, allows adjustment for potential confounders and provides better power to assess subgroup effects</w:t>
      </w:r>
      <w:r w:rsidR="00F0062F">
        <w:fldChar w:fldCharType="begin"/>
      </w:r>
      <w:r w:rsidR="00F0062F">
        <w:instrText xml:space="preserve"> ADDIN EN.CITE &lt;EndNote&gt;&lt;Cite&gt;&lt;Author&gt;Dagne&lt;/Author&gt;&lt;Year&gt;2016&lt;/Year&gt;&lt;RecNum&gt;7&lt;/RecNum&gt;&lt;DisplayText&gt;(7)&lt;/DisplayText&gt;&lt;record&gt;&lt;rec-number&gt;7&lt;/rec-number&gt;&lt;foreign-keys&gt;&lt;key app="EN" db-id="esezwrfeppt5a0ee92qx55shpt2wawp2txd5" timestamp="1561122245"&gt;7&lt;/key&gt;&lt;/foreign-keys&gt;&lt;ref-type name="Journal Article"&gt;17&lt;/ref-type&gt;&lt;contributors&gt;&lt;authors&gt;&lt;author&gt;Dagne, Getachew A&lt;/author&gt;&lt;author&gt;Brown, C Hendricks&lt;/author&gt;&lt;author&gt;Howe, George&lt;/author&gt;&lt;author&gt;Kellam, Sheppard G&lt;/author&gt;&lt;author&gt;Liu, Lei&lt;/author&gt;&lt;/authors&gt;&lt;/contributors&gt;&lt;titles&gt;&lt;title&gt;Testing moderation in network meta‐analysis with individual participant data&lt;/title&gt;&lt;secondary-title&gt;Statistics in medicine&lt;/secondary-title&gt;&lt;/titles&gt;&lt;periodical&gt;&lt;full-title&gt;Statistics in medicine&lt;/full-title&gt;&lt;/periodical&gt;&lt;pages&gt;2485-2502&lt;/pages&gt;&lt;volume&gt;35&lt;/volume&gt;&lt;number&gt;15&lt;/number&gt;&lt;dates&gt;&lt;year&gt;2016&lt;/year&gt;&lt;/dates&gt;&lt;isbn&gt;0277-6715&lt;/isbn&gt;&lt;urls&gt;&lt;/urls&gt;&lt;/record&gt;&lt;/Cite&gt;&lt;/EndNote&gt;</w:instrText>
      </w:r>
      <w:r w:rsidR="00F0062F">
        <w:fldChar w:fldCharType="separate"/>
      </w:r>
      <w:r w:rsidR="00F0062F">
        <w:rPr>
          <w:noProof/>
        </w:rPr>
        <w:t>(</w:t>
      </w:r>
      <w:hyperlink w:anchor="_ENREF_7" w:tooltip="Dagne, 2016 #7" w:history="1">
        <w:r w:rsidR="00BD5A89">
          <w:rPr>
            <w:noProof/>
          </w:rPr>
          <w:t>7</w:t>
        </w:r>
      </w:hyperlink>
      <w:r w:rsidR="00F0062F">
        <w:rPr>
          <w:noProof/>
        </w:rPr>
        <w:t>)</w:t>
      </w:r>
      <w:r w:rsidR="00F0062F">
        <w:fldChar w:fldCharType="end"/>
      </w:r>
      <w:r w:rsidR="000C7888" w:rsidRPr="00B70704">
        <w:t>.  Because concurrent interventions are often given in studies of deworming, we used a network meta-analysis approach which has greater power to compare different treatments which may not have been directly compared.</w:t>
      </w:r>
    </w:p>
    <w:p w14:paraId="2C83E834" w14:textId="77777777" w:rsidR="001D227E" w:rsidRPr="00037832" w:rsidRDefault="00015505" w:rsidP="007309C5">
      <w:pPr>
        <w:pStyle w:val="Heading1"/>
        <w:spacing w:line="480" w:lineRule="auto"/>
        <w:rPr>
          <w:rFonts w:asciiTheme="minorHAnsi" w:hAnsiTheme="minorHAnsi"/>
        </w:rPr>
      </w:pPr>
      <w:r w:rsidRPr="00037832">
        <w:rPr>
          <w:rFonts w:asciiTheme="minorHAnsi" w:hAnsiTheme="minorHAnsi"/>
        </w:rPr>
        <w:lastRenderedPageBreak/>
        <w:t>Methods</w:t>
      </w:r>
    </w:p>
    <w:p w14:paraId="07A754AA" w14:textId="1BD0E00D" w:rsidR="000C7888" w:rsidRPr="00896AA8" w:rsidRDefault="000C7888" w:rsidP="000C7888">
      <w:pPr>
        <w:spacing w:line="480" w:lineRule="auto"/>
      </w:pPr>
      <w:r>
        <w:t xml:space="preserve">We conducted a systematic review and network meta-analysis of </w:t>
      </w:r>
      <w:r w:rsidRPr="00896AA8">
        <w:t xml:space="preserve">individual participant data (IPD). Network meta-analysis (NMA) </w:t>
      </w:r>
      <w:r>
        <w:t>is an approach which compares effects of multiple interventions using evidence from trials which have directly compared them as well as estimating indirect effects for interventions which have not been compared to each other in a trial</w:t>
      </w:r>
      <w:r w:rsidR="00F0062F">
        <w:fldChar w:fldCharType="begin"/>
      </w:r>
      <w:r w:rsidR="00F0062F">
        <w:instrText xml:space="preserve"> ADDIN EN.CITE &lt;EndNote&gt;&lt;Cite&gt;&lt;Author&gt;Salanti&lt;/Author&gt;&lt;Year&gt;2012&lt;/Year&gt;&lt;RecNum&gt;8&lt;/RecNum&gt;&lt;DisplayText&gt;(8)&lt;/DisplayText&gt;&lt;record&gt;&lt;rec-number&gt;8&lt;/rec-number&gt;&lt;foreign-keys&gt;&lt;key app="EN" db-id="esezwrfeppt5a0ee92qx55shpt2wawp2txd5" timestamp="1561122245"&gt;8&lt;/key&gt;&lt;/foreign-keys&gt;&lt;ref-type name="Journal Article"&gt;17&lt;/ref-type&gt;&lt;contributors&gt;&lt;authors&gt;&lt;author&gt;Salanti, Georgia&lt;/author&gt;&lt;/authors&gt;&lt;/contributors&gt;&lt;titles&gt;&lt;title&gt;Indirect and mixed‐treatment comparison, network, or multiple‐treatments meta‐analysis: many names, many benefits, many concerns for the next generation evidence synthesis tool&lt;/title&gt;&lt;secondary-title&gt;Research synthesis methods&lt;/secondary-title&gt;&lt;/titles&gt;&lt;periodical&gt;&lt;full-title&gt;Research synthesis methods&lt;/full-title&gt;&lt;/periodical&gt;&lt;pages&gt;80-97&lt;/pages&gt;&lt;volume&gt;3&lt;/volume&gt;&lt;number&gt;2&lt;/number&gt;&lt;dates&gt;&lt;year&gt;2012&lt;/year&gt;&lt;/dates&gt;&lt;isbn&gt;1759-2879&lt;/isbn&gt;&lt;urls&gt;&lt;/urls&gt;&lt;/record&gt;&lt;/Cite&gt;&lt;/EndNote&gt;</w:instrText>
      </w:r>
      <w:r w:rsidR="00F0062F">
        <w:fldChar w:fldCharType="separate"/>
      </w:r>
      <w:r w:rsidR="00F0062F">
        <w:rPr>
          <w:noProof/>
        </w:rPr>
        <w:t>(</w:t>
      </w:r>
      <w:hyperlink w:anchor="_ENREF_8" w:tooltip="Salanti, 2012 #8" w:history="1">
        <w:r w:rsidR="00BD5A89">
          <w:rPr>
            <w:noProof/>
          </w:rPr>
          <w:t>8</w:t>
        </w:r>
      </w:hyperlink>
      <w:r w:rsidR="00F0062F">
        <w:rPr>
          <w:noProof/>
        </w:rPr>
        <w:t>)</w:t>
      </w:r>
      <w:r w:rsidR="00F0062F">
        <w:fldChar w:fldCharType="end"/>
      </w:r>
      <w:r w:rsidRPr="00B74391">
        <w:t>.</w:t>
      </w:r>
      <w:r>
        <w:t xml:space="preserve">  NMA has been described as the “next generation” of evidence synthesis because it</w:t>
      </w:r>
      <w:r w:rsidRPr="00896AA8">
        <w:t xml:space="preserve"> increase</w:t>
      </w:r>
      <w:r>
        <w:t>s</w:t>
      </w:r>
      <w:r w:rsidRPr="00896AA8">
        <w:t xml:space="preserve"> the precision of effect estimates for direct comparisons and allow</w:t>
      </w:r>
      <w:r>
        <w:t>s</w:t>
      </w:r>
      <w:r w:rsidRPr="00896AA8">
        <w:t xml:space="preserve"> comparison</w:t>
      </w:r>
      <w:r>
        <w:t>s</w:t>
      </w:r>
      <w:r w:rsidRPr="00896AA8">
        <w:t xml:space="preserve"> of interventions which may not have been directly compared</w:t>
      </w:r>
      <w:r w:rsidR="00F0062F">
        <w:fldChar w:fldCharType="begin"/>
      </w:r>
      <w:r w:rsidR="00F0062F">
        <w:instrText xml:space="preserve"> ADDIN EN.CITE &lt;EndNote&gt;&lt;Cite&gt;&lt;Author&gt;Salanti&lt;/Author&gt;&lt;Year&gt;2012&lt;/Year&gt;&lt;RecNum&gt;8&lt;/RecNum&gt;&lt;DisplayText&gt;(8)&lt;/DisplayText&gt;&lt;record&gt;&lt;rec-number&gt;8&lt;/rec-number&gt;&lt;foreign-keys&gt;&lt;key app="EN" db-id="esezwrfeppt5a0ee92qx55shpt2wawp2txd5" timestamp="1561122245"&gt;8&lt;/key&gt;&lt;/foreign-keys&gt;&lt;ref-type name="Journal Article"&gt;17&lt;/ref-type&gt;&lt;contributors&gt;&lt;authors&gt;&lt;author&gt;Salanti, Georgia&lt;/author&gt;&lt;/authors&gt;&lt;/contributors&gt;&lt;titles&gt;&lt;title&gt;Indirect and mixed‐treatment comparison, network, or multiple‐treatments meta‐analysis: many names, many benefits, many concerns for the next generation evidence synthesis tool&lt;/title&gt;&lt;secondary-title&gt;Research synthesis methods&lt;/secondary-title&gt;&lt;/titles&gt;&lt;periodical&gt;&lt;full-title&gt;Research synthesis methods&lt;/full-title&gt;&lt;/periodical&gt;&lt;pages&gt;80-97&lt;/pages&gt;&lt;volume&gt;3&lt;/volume&gt;&lt;number&gt;2&lt;/number&gt;&lt;dates&gt;&lt;year&gt;2012&lt;/year&gt;&lt;/dates&gt;&lt;isbn&gt;1759-2879&lt;/isbn&gt;&lt;urls&gt;&lt;/urls&gt;&lt;/record&gt;&lt;/Cite&gt;&lt;/EndNote&gt;</w:instrText>
      </w:r>
      <w:r w:rsidR="00F0062F">
        <w:fldChar w:fldCharType="separate"/>
      </w:r>
      <w:r w:rsidR="00F0062F">
        <w:rPr>
          <w:noProof/>
        </w:rPr>
        <w:t>(</w:t>
      </w:r>
      <w:hyperlink w:anchor="_ENREF_8" w:tooltip="Salanti, 2012 #8" w:history="1">
        <w:r w:rsidR="00BD5A89">
          <w:rPr>
            <w:noProof/>
          </w:rPr>
          <w:t>8</w:t>
        </w:r>
      </w:hyperlink>
      <w:r w:rsidR="00F0062F">
        <w:rPr>
          <w:noProof/>
        </w:rPr>
        <w:t>)</w:t>
      </w:r>
      <w:r w:rsidR="00F0062F">
        <w:fldChar w:fldCharType="end"/>
      </w:r>
      <w:r w:rsidRPr="00896AA8">
        <w:t>.  The use of IPD further strengthens the approach leading to decreases in heterogeneity within comparisons and improving overall network consistency because it accounts for effect modification at the individual participant level and missing data can be addressed</w:t>
      </w:r>
      <w:r w:rsidR="00F0062F">
        <w:fldChar w:fldCharType="begin"/>
      </w:r>
      <w:r w:rsidR="00F0062F">
        <w:instrText xml:space="preserve"> ADDIN EN.CITE &lt;EndNote&gt;&lt;Cite&gt;&lt;Author&gt;Debray&lt;/Author&gt;&lt;Year&gt;2018&lt;/Year&gt;&lt;RecNum&gt;9&lt;/RecNum&gt;&lt;DisplayText&gt;(9)&lt;/DisplayText&gt;&lt;record&gt;&lt;rec-number&gt;9&lt;/rec-number&gt;&lt;foreign-keys&gt;&lt;key app="EN" db-id="esezwrfeppt5a0ee92qx55shpt2wawp2txd5" timestamp="1561122245"&gt;9&lt;/key&gt;&lt;/foreign-keys&gt;&lt;ref-type name="Journal Article"&gt;17&lt;/ref-type&gt;&lt;contributors&gt;&lt;authors&gt;&lt;author&gt;Debray, Thomas PA&lt;/author&gt;&lt;author&gt;Schuit, Ewoud&lt;/author&gt;&lt;author&gt;Efthimiou, Orestis&lt;/author&gt;&lt;author&gt;Reitsma, Johannes B&lt;/author&gt;&lt;author&gt;Ioannidis, John PA&lt;/author&gt;&lt;author&gt;Salanti, Georgia&lt;/author&gt;&lt;author&gt;Moons, Karel GM&lt;/author&gt;&lt;author&gt;GetReal Workpackage&lt;/author&gt;&lt;/authors&gt;&lt;/contributors&gt;&lt;titles&gt;&lt;title&gt;An overview of methods for network meta-analysis using individual participant data: when do benefits arise?&lt;/title&gt;&lt;secondary-title&gt;Statistical methods in medical research&lt;/secondary-title&gt;&lt;/titles&gt;&lt;periodical&gt;&lt;full-title&gt;Statistical methods in medical research&lt;/full-title&gt;&lt;/periodical&gt;&lt;pages&gt;1351-1364&lt;/pages&gt;&lt;volume&gt;27&lt;/volume&gt;&lt;number&gt;5&lt;/number&gt;&lt;dates&gt;&lt;year&gt;2018&lt;/year&gt;&lt;/dates&gt;&lt;isbn&gt;0962-2802&lt;/isbn&gt;&lt;urls&gt;&lt;/urls&gt;&lt;/record&gt;&lt;/Cite&gt;&lt;/EndNote&gt;</w:instrText>
      </w:r>
      <w:r w:rsidR="00F0062F">
        <w:fldChar w:fldCharType="separate"/>
      </w:r>
      <w:r w:rsidR="00F0062F">
        <w:rPr>
          <w:noProof/>
        </w:rPr>
        <w:t>(</w:t>
      </w:r>
      <w:hyperlink w:anchor="_ENREF_9" w:tooltip="Debray, 2018 #9" w:history="1">
        <w:r w:rsidR="00BD5A89">
          <w:rPr>
            <w:noProof/>
          </w:rPr>
          <w:t>9</w:t>
        </w:r>
      </w:hyperlink>
      <w:r w:rsidR="00F0062F">
        <w:rPr>
          <w:noProof/>
        </w:rPr>
        <w:t>)</w:t>
      </w:r>
      <w:r w:rsidR="00F0062F">
        <w:fldChar w:fldCharType="end"/>
      </w:r>
      <w:r w:rsidRPr="00896AA8">
        <w:t xml:space="preserve">.  </w:t>
      </w:r>
    </w:p>
    <w:p w14:paraId="3967C012" w14:textId="0706A48A" w:rsidR="000C7888" w:rsidRPr="00B70704" w:rsidRDefault="000C7888" w:rsidP="000C7888">
      <w:pPr>
        <w:spacing w:line="480" w:lineRule="auto"/>
      </w:pPr>
      <w:r w:rsidRPr="00B70704">
        <w:t>We report results according to the Preferred Reporting Items for Systematic Reviews and Meta-analysis (PRISMA) extensions for network meta-analysis (NMA)</w:t>
      </w:r>
      <w:r w:rsidR="00F0062F">
        <w:fldChar w:fldCharType="begin"/>
      </w:r>
      <w:r w:rsidR="00F0062F">
        <w:instrText xml:space="preserve"> ADDIN EN.CITE &lt;EndNote&gt;&lt;Cite&gt;&lt;Author&gt;Hutton&lt;/Author&gt;&lt;Year&gt;2015&lt;/Year&gt;&lt;RecNum&gt;10&lt;/RecNum&gt;&lt;DisplayText&gt;(10)&lt;/DisplayText&gt;&lt;record&gt;&lt;rec-number&gt;10&lt;/rec-number&gt;&lt;foreign-keys&gt;&lt;key app="EN" db-id="esezwrfeppt5a0ee92qx55shpt2wawp2txd5" timestamp="1561122245"&gt;10&lt;/key&gt;&lt;/foreign-keys&gt;&lt;ref-type name="Journal Article"&gt;17&lt;/ref-type&gt;&lt;contributors&gt;&lt;authors&gt;&lt;author&gt;Hutton, Brian&lt;/author&gt;&lt;author&gt;Salanti, Georgia&lt;/author&gt;&lt;author&gt;Caldwell, Deborah M&lt;/author&gt;&lt;author&gt;Chaimani, Anna&lt;/author&gt;&lt;author&gt;Schmid, Christopher H&lt;/author&gt;&lt;author&gt;Cameron, Chris&lt;/author&gt;&lt;author&gt;Ioannidis, John PA&lt;/author&gt;&lt;author&gt;Straus, Sharon&lt;/author&gt;&lt;author&gt;Thorlund, Kristian&lt;/author&gt;&lt;author&gt;Jansen, Jeroen P&lt;/author&gt;&lt;/authors&gt;&lt;/contributors&gt;&lt;titles&gt;&lt;title&gt;The PRISMA extension statement for reporting of systematic reviews incorporating network meta-analyses of health care interventions: checklist and explanations&lt;/title&gt;&lt;secondary-title&gt;Annals of internal medicine&lt;/secondary-title&gt;&lt;/titles&gt;&lt;periodical&gt;&lt;full-title&gt;Annals of internal medicine&lt;/full-title&gt;&lt;/periodical&gt;&lt;pages&gt;777-784&lt;/pages&gt;&lt;volume&gt;162&lt;/volume&gt;&lt;number&gt;11&lt;/number&gt;&lt;dates&gt;&lt;year&gt;2015&lt;/year&gt;&lt;/dates&gt;&lt;isbn&gt;0003-4819&lt;/isbn&gt;&lt;urls&gt;&lt;/urls&gt;&lt;/record&gt;&lt;/Cite&gt;&lt;/EndNote&gt;</w:instrText>
      </w:r>
      <w:r w:rsidR="00F0062F">
        <w:fldChar w:fldCharType="separate"/>
      </w:r>
      <w:r w:rsidR="00F0062F">
        <w:rPr>
          <w:noProof/>
        </w:rPr>
        <w:t>(</w:t>
      </w:r>
      <w:hyperlink w:anchor="_ENREF_10" w:tooltip="Hutton, 2015 #10" w:history="1">
        <w:r w:rsidR="00BD5A89">
          <w:rPr>
            <w:noProof/>
          </w:rPr>
          <w:t>10</w:t>
        </w:r>
      </w:hyperlink>
      <w:r w:rsidR="00F0062F">
        <w:rPr>
          <w:noProof/>
        </w:rPr>
        <w:t>)</w:t>
      </w:r>
      <w:r w:rsidR="00F0062F">
        <w:fldChar w:fldCharType="end"/>
      </w:r>
      <w:r w:rsidRPr="00B70704">
        <w:t xml:space="preserve"> </w:t>
      </w:r>
      <w:r w:rsidRPr="00B70704">
        <w:fldChar w:fldCharType="begin" w:fldLock="1"/>
      </w:r>
      <w:r w:rsidRPr="00B70704">
        <w:instrText>ADDIN CSL_CITATION {"citationItems":[{"id":"ITEM-1","itemData":{"DOI":"10.7326/M14-2385","ISBN":"0003-4819","ISSN":"15393704","PMID":"26030634","abstract":"The PRISMA statement is a reporting guideline designed to improve the completeness of reporting of systematic reviews and meta-analyses. Authors have used this guideline worldwide to prepare their reviews for publication. In the past, these reports typically compared 2 treatment alternatives. With the evolution of systematic reviews that compare multiple treatments, some of them only indirectly, authors face novel challenges for conducting and reporting their reviews. This extension of the PRISMA (Preferred Reporting Items for Systematic Reviews and Meta-analyses) statement was developed specifically to improve the reporting of systematic reviews incorporating network meta-analyses. A group of experts participated in a systematic review, Delphi survey, and face-to-face discussion and consensus meeting to establish new checklist items for this extension statement. Current PRISMA items were also clarified. A modified, 32-item PRISMA extension checklist was developed to address what the group considered to be immediately relevant to the reporting of network meta-analyses. This document presents the extension and provides examples of good reporting, as well as elaborations regarding the rationale for new checklist items and the modification of previously existing items from the PRISMA statement. It also highlights educational information related to key considerations in the practice of network meta-analysis. The target audience includes authors and readers of network meta-analyses, as well as journal editors and peer reviewers.","author":[{"dropping-particle":"","family":"Hutton","given":"Bria","non-dropping-particle":"","parse-names":false,"suffix":""},{"dropping-particle":"","family":"Salanti","given":"Georgi","non-dropping-particle":"","parse-names":false,"suffix":""},{"dropping-particle":"","family":"Caldwell","given":"Deborah M.","non-dropping-particle":"","parse-names":false,"suffix":""},{"dropping-particle":"","family":"Chaimani","given":"Ann","non-dropping-particle":"","parse-names":false,"suffix":""},{"dropping-particle":"","family":"Schmid","given":"Christopher H.","non-dropping-particle":"","parse-names":false,"suffix":""},{"dropping-particle":"","family":"Cameron","given":"Chri","non-dropping-particle":"","parse-names":false,"suffix":""},{"dropping-particle":"","family":"Ioannidis","given":"John P.A.","non-dropping-particle":"","parse-names":false,"suffix":""},{"dropping-particle":"","family":"Straus","given":"Sharo","non-dropping-particle":"","parse-names":false,"suffix":""},{"dropping-particle":"","family":"Thorlund","given":"Kristia","non-dropping-particle":"","parse-names":false,"suffix":""},{"dropping-particle":"","family":"Jansen","given":"Jeroen P.","non-dropping-particle":"","parse-names":false,"suffix":""},{"dropping-particle":"","family":"Mulrow","given":"Cynthi","non-dropping-particle":"","parse-names":false,"suffix":""},{"dropping-particle":"","family":"Catala-Lopez","given":"Ferra","non-dropping-particle":"","parse-names":false,"suffix":""},{"dropping-particle":"","family":"Gotzsche","given":"Peter C.","non-dropping-particle":"","parse-names":false,"suffix":""},{"dropping-particle":"","family":"Dickersin","given":"Ka","non-dropping-particle":"","parse-names":false,"suffix":""},{"dropping-particle":"","family":"Boutron","given":"Isabell","non-dropping-particle":"","parse-names":false,"suffix":""},{"dropping-particle":"","family":"Altman","given":"Douglas G.","non-dropping-particle":"","parse-names":false,"suffix":""},{"dropping-particle":"","family":"Moher","given":"Davi","non-dropping-particle":"","parse-names":false,"suffix":""}],"container-title":"Annals of Internal Medicine","id":"ITEM-1","issued":{"date-parts":[["2015"]]},"title":"The PRISMA extension statement for reporting of systematic reviews incorporating network meta-analyses of health care interventions: Checklist and explanations","type":"article-journal"},"uris":["http://www.mendeley.com/documents/?uuid=2246ddac-2549-4a80-a2e8-13bb874948d5"]}],"mendeley":{"formattedCitation":"(9)","plainTextFormattedCitation":"(9)","previouslyFormattedCitation":"(9)"},"properties":{"noteIndex":0},"schema":"https://github.com/citation-style-language/schema/raw/master/csl-citation.json"}</w:instrText>
      </w:r>
      <w:r w:rsidRPr="00B70704">
        <w:fldChar w:fldCharType="end"/>
      </w:r>
      <w:r w:rsidRPr="00B70704">
        <w:t>and IPD</w:t>
      </w:r>
      <w:r w:rsidR="00F0062F">
        <w:fldChar w:fldCharType="begin"/>
      </w:r>
      <w:r w:rsidR="00F0062F">
        <w:instrText xml:space="preserve"> ADDIN EN.CITE &lt;EndNote&gt;&lt;Cite&gt;&lt;Author&gt;Stewart&lt;/Author&gt;&lt;Year&gt;2015&lt;/Year&gt;&lt;RecNum&gt;11&lt;/RecNum&gt;&lt;DisplayText&gt;(11)&lt;/DisplayText&gt;&lt;record&gt;&lt;rec-number&gt;11&lt;/rec-number&gt;&lt;foreign-keys&gt;&lt;key app="EN" db-id="esezwrfeppt5a0ee92qx55shpt2wawp2txd5" timestamp="1561122245"&gt;11&lt;/key&gt;&lt;/foreign-keys&gt;&lt;ref-type name="Journal Article"&gt;17&lt;/ref-type&gt;&lt;contributors&gt;&lt;authors&gt;&lt;author&gt;Stewart, Lesley A&lt;/author&gt;&lt;author&gt;Clarke, Mike&lt;/author&gt;&lt;author&gt;Rovers, Maroeska&lt;/author&gt;&lt;author&gt;Riley, Richard D&lt;/author&gt;&lt;author&gt;Simmonds, Mark&lt;/author&gt;&lt;author&gt;Stewart, Gavin&lt;/author&gt;&lt;author&gt;Tierney, Jayne F&lt;/author&gt;&lt;/authors&gt;&lt;/contributors&gt;&lt;titles&gt;&lt;title&gt;Preferred reporting items for a systematic review and meta-analysis of individual participant data: the PRISMA-IPD statement&lt;/title&gt;&lt;secondary-title&gt;Jama&lt;/secondary-title&gt;&lt;/titles&gt;&lt;periodical&gt;&lt;full-title&gt;Jama&lt;/full-title&gt;&lt;/periodical&gt;&lt;pages&gt;1657-1665&lt;/pages&gt;&lt;volume&gt;313&lt;/volume&gt;&lt;number&gt;16&lt;/number&gt;&lt;dates&gt;&lt;year&gt;2015&lt;/year&gt;&lt;/dates&gt;&lt;isbn&gt;0098-7484&lt;/isbn&gt;&lt;urls&gt;&lt;/urls&gt;&lt;/record&gt;&lt;/Cite&gt;&lt;/EndNote&gt;</w:instrText>
      </w:r>
      <w:r w:rsidR="00F0062F">
        <w:fldChar w:fldCharType="separate"/>
      </w:r>
      <w:r w:rsidR="00F0062F">
        <w:rPr>
          <w:noProof/>
        </w:rPr>
        <w:t>(</w:t>
      </w:r>
      <w:hyperlink w:anchor="_ENREF_11" w:tooltip="Stewart, 2015 #11" w:history="1">
        <w:r w:rsidR="00BD5A89">
          <w:rPr>
            <w:noProof/>
          </w:rPr>
          <w:t>11</w:t>
        </w:r>
      </w:hyperlink>
      <w:r w:rsidR="00F0062F">
        <w:rPr>
          <w:noProof/>
        </w:rPr>
        <w:t>)</w:t>
      </w:r>
      <w:r w:rsidR="00F0062F">
        <w:fldChar w:fldCharType="end"/>
      </w:r>
      <w:r w:rsidRPr="00B70704">
        <w:t>.</w:t>
      </w:r>
      <w:r>
        <w:t xml:space="preserve"> </w:t>
      </w:r>
      <w:r w:rsidRPr="00B70704">
        <w:t xml:space="preserve">The protocol </w:t>
      </w:r>
      <w:r>
        <w:t>was published with the Campbell Collaboration</w:t>
      </w:r>
      <w:r w:rsidR="00F0062F">
        <w:fldChar w:fldCharType="begin"/>
      </w:r>
      <w:r w:rsidR="00F0062F">
        <w:instrText xml:space="preserve"> ADDIN EN.CITE &lt;EndNote&gt;&lt;Cite&gt;&lt;Author&gt;Welch&lt;/Author&gt;&lt;Year&gt;2018&lt;/Year&gt;&lt;RecNum&gt;12&lt;/RecNum&gt;&lt;DisplayText&gt;(12)&lt;/DisplayText&gt;&lt;record&gt;&lt;rec-number&gt;12&lt;/rec-number&gt;&lt;foreign-keys&gt;&lt;key app="EN" db-id="esezwrfeppt5a0ee92qx55shpt2wawp2txd5" timestamp="1561122246"&gt;12&lt;/key&gt;&lt;/foreign-keys&gt;&lt;ref-type name="Journal Article"&gt;17&lt;/ref-type&gt;&lt;contributors&gt;&lt;authors&gt;&lt;author&gt;Welch, Vivian.&lt;/author&gt;&lt;author&gt;Ghogomu, Elizabeth.&lt;/author&gt;&lt;author&gt;Hossain, Alomgir.&lt;/author&gt;&lt;author&gt;Arora, Paul.&lt;/author&gt;&lt;author&gt;Cousens, Simon.&lt;/author&gt;&lt;author&gt;Gaffey, Michelle.&lt;/author&gt;&lt;author&gt;Riddle, Alison.&lt;/author&gt;&lt;author&gt;Salam, Rehana.&lt;/author&gt;&lt;author&gt;Tugwell, Peter.&lt;/author&gt;&lt;author&gt;Bhutta, Zulfiqar.&lt;/author&gt;&lt;author&gt;Wells, George.&lt;/author&gt;&lt;/authors&gt;&lt;/contributors&gt;&lt;titles&gt;&lt;title&gt;Mass deworming for improving health and cognition of children in endemic helminth areas: a systematic review and individual participant data network meta-analysis&lt;/title&gt;&lt;secondary-title&gt;Campbell Systematic Reviews &lt;/secondary-title&gt;&lt;/titles&gt;&lt;periodical&gt;&lt;full-title&gt;Campbell Systematic Reviews&lt;/full-title&gt;&lt;/periodical&gt;&lt;volume&gt;2018:4&lt;/volume&gt;&lt;dates&gt;&lt;year&gt;2018&lt;/year&gt;&lt;/dates&gt;&lt;urls&gt;&lt;/urls&gt;&lt;/record&gt;&lt;/Cite&gt;&lt;/EndNote&gt;</w:instrText>
      </w:r>
      <w:r w:rsidR="00F0062F">
        <w:fldChar w:fldCharType="separate"/>
      </w:r>
      <w:r w:rsidR="00F0062F">
        <w:rPr>
          <w:noProof/>
        </w:rPr>
        <w:t>(</w:t>
      </w:r>
      <w:hyperlink w:anchor="_ENREF_12" w:tooltip="Welch, 2018 #12" w:history="1">
        <w:r w:rsidR="00BD5A89">
          <w:rPr>
            <w:noProof/>
          </w:rPr>
          <w:t>12</w:t>
        </w:r>
      </w:hyperlink>
      <w:r w:rsidR="00F0062F">
        <w:rPr>
          <w:noProof/>
        </w:rPr>
        <w:t>)</w:t>
      </w:r>
      <w:r w:rsidR="00F0062F">
        <w:fldChar w:fldCharType="end"/>
      </w:r>
      <w:r w:rsidRPr="00B70704">
        <w:t xml:space="preserve">.  </w:t>
      </w:r>
      <w:r w:rsidR="00C1310D">
        <w:t xml:space="preserve">Deviations from the protocol are described </w:t>
      </w:r>
      <w:r w:rsidR="009F455F">
        <w:t>in S1 Appendix.</w:t>
      </w:r>
    </w:p>
    <w:p w14:paraId="5C4042DC" w14:textId="77777777" w:rsidR="00015505" w:rsidRPr="00037832" w:rsidRDefault="000C085E" w:rsidP="007309C5">
      <w:pPr>
        <w:pStyle w:val="Heading2"/>
        <w:spacing w:line="480" w:lineRule="auto"/>
        <w:rPr>
          <w:rFonts w:asciiTheme="minorHAnsi" w:hAnsiTheme="minorHAnsi"/>
          <w:i w:val="0"/>
        </w:rPr>
      </w:pPr>
      <w:r w:rsidRPr="00037832">
        <w:rPr>
          <w:rFonts w:asciiTheme="minorHAnsi" w:hAnsiTheme="minorHAnsi"/>
          <w:i w:val="0"/>
        </w:rPr>
        <w:t>Search strategy and selection criteria</w:t>
      </w:r>
    </w:p>
    <w:p w14:paraId="210AB9EB" w14:textId="77E22518" w:rsidR="002E1692" w:rsidRPr="00B70704" w:rsidRDefault="001D227E" w:rsidP="007309C5">
      <w:pPr>
        <w:spacing w:line="480" w:lineRule="auto"/>
      </w:pPr>
      <w:r w:rsidRPr="00B70704">
        <w:t xml:space="preserve">We included randomized and quasi-randomized controlled trials of deworming for STH </w:t>
      </w:r>
      <w:r w:rsidR="00A53769" w:rsidRPr="00B70704">
        <w:t xml:space="preserve">(including </w:t>
      </w:r>
      <w:proofErr w:type="spellStart"/>
      <w:r w:rsidR="00A53769" w:rsidRPr="004129DE">
        <w:rPr>
          <w:rFonts w:eastAsia="Times New Roman" w:cs="Times New Roman"/>
          <w:i/>
          <w:iCs/>
          <w:color w:val="222222"/>
        </w:rPr>
        <w:t>Ascaris</w:t>
      </w:r>
      <w:proofErr w:type="spellEnd"/>
      <w:r w:rsidR="00A53769" w:rsidRPr="004129DE">
        <w:rPr>
          <w:rFonts w:eastAsia="Times New Roman" w:cs="Times New Roman"/>
          <w:i/>
          <w:iCs/>
          <w:color w:val="222222"/>
        </w:rPr>
        <w:t xml:space="preserve"> </w:t>
      </w:r>
      <w:proofErr w:type="spellStart"/>
      <w:r w:rsidR="00A53769" w:rsidRPr="004129DE">
        <w:rPr>
          <w:rFonts w:eastAsia="Times New Roman" w:cs="Times New Roman"/>
          <w:i/>
          <w:iCs/>
          <w:color w:val="222222"/>
        </w:rPr>
        <w:t>lumbricoides</w:t>
      </w:r>
      <w:proofErr w:type="spellEnd"/>
      <w:r w:rsidR="00A53769" w:rsidRPr="004129DE">
        <w:rPr>
          <w:rFonts w:eastAsia="Times New Roman" w:cs="Times New Roman"/>
          <w:color w:val="222222"/>
        </w:rPr>
        <w:t>, </w:t>
      </w:r>
      <w:proofErr w:type="spellStart"/>
      <w:r w:rsidR="00DF5CB2">
        <w:rPr>
          <w:rFonts w:eastAsia="Times New Roman" w:cs="Times New Roman"/>
          <w:i/>
          <w:iCs/>
          <w:color w:val="222222"/>
        </w:rPr>
        <w:t>Trichuris</w:t>
      </w:r>
      <w:proofErr w:type="spellEnd"/>
      <w:r w:rsidR="00DF5CB2">
        <w:rPr>
          <w:rFonts w:eastAsia="Times New Roman" w:cs="Times New Roman"/>
          <w:i/>
          <w:iCs/>
          <w:color w:val="222222"/>
        </w:rPr>
        <w:t xml:space="preserve"> </w:t>
      </w:r>
      <w:proofErr w:type="spellStart"/>
      <w:r w:rsidR="00EB3807">
        <w:rPr>
          <w:rFonts w:eastAsia="Times New Roman" w:cs="Times New Roman"/>
          <w:i/>
          <w:iCs/>
          <w:color w:val="222222"/>
        </w:rPr>
        <w:t>trich</w:t>
      </w:r>
      <w:r w:rsidR="00D129EB">
        <w:rPr>
          <w:rFonts w:eastAsia="Times New Roman" w:cs="Times New Roman"/>
          <w:i/>
          <w:iCs/>
          <w:color w:val="222222"/>
        </w:rPr>
        <w:t>i</w:t>
      </w:r>
      <w:r w:rsidR="00EB3807">
        <w:rPr>
          <w:rFonts w:eastAsia="Times New Roman" w:cs="Times New Roman"/>
          <w:i/>
          <w:iCs/>
          <w:color w:val="222222"/>
        </w:rPr>
        <w:t>ura</w:t>
      </w:r>
      <w:proofErr w:type="spellEnd"/>
      <w:r w:rsidR="00A53769" w:rsidRPr="004129DE">
        <w:rPr>
          <w:rFonts w:eastAsia="Times New Roman" w:cs="Times New Roman"/>
          <w:color w:val="222222"/>
        </w:rPr>
        <w:t> and hookworm</w:t>
      </w:r>
      <w:r w:rsidR="00A53769" w:rsidRPr="00B70704">
        <w:rPr>
          <w:rFonts w:eastAsia="Times New Roman" w:cs="Times New Roman"/>
          <w:color w:val="222222"/>
        </w:rPr>
        <w:t xml:space="preserve">) </w:t>
      </w:r>
      <w:r w:rsidR="000C7888">
        <w:rPr>
          <w:rFonts w:eastAsia="Times New Roman" w:cs="Times New Roman"/>
          <w:color w:val="222222"/>
        </w:rPr>
        <w:t>or schistosomiasis</w:t>
      </w:r>
      <w:r w:rsidR="000C7888" w:rsidRPr="00B70704">
        <w:rPr>
          <w:rFonts w:eastAsia="Times New Roman" w:cs="Times New Roman"/>
          <w:color w:val="222222"/>
        </w:rPr>
        <w:t xml:space="preserve"> </w:t>
      </w:r>
      <w:r w:rsidR="002E1692" w:rsidRPr="00B70704">
        <w:t>in children 0.5 years to 16 years of age,</w:t>
      </w:r>
      <w:r w:rsidRPr="00B70704">
        <w:t xml:space="preserve"> with </w:t>
      </w:r>
      <w:r w:rsidR="005413A5" w:rsidRPr="00B70704">
        <w:t>duration</w:t>
      </w:r>
      <w:r w:rsidRPr="00B70704">
        <w:t xml:space="preserve"> of four months or more</w:t>
      </w:r>
      <w:r w:rsidR="002E1692" w:rsidRPr="00B70704">
        <w:t>. W</w:t>
      </w:r>
      <w:r w:rsidRPr="00B70704">
        <w:t xml:space="preserve">e included studies </w:t>
      </w:r>
      <w:r w:rsidR="00C8271C" w:rsidRPr="00B70704">
        <w:t xml:space="preserve">of mass deworming as well as those </w:t>
      </w:r>
      <w:r w:rsidRPr="00B70704">
        <w:t xml:space="preserve">which screened for infection. </w:t>
      </w:r>
      <w:r w:rsidR="007B4B67" w:rsidRPr="00B70704">
        <w:t>We included</w:t>
      </w:r>
      <w:r w:rsidR="00C8271C" w:rsidRPr="00B70704">
        <w:t xml:space="preserve"> nutritional</w:t>
      </w:r>
      <w:r w:rsidR="007B4B67" w:rsidRPr="00B70704">
        <w:t xml:space="preserve"> c</w:t>
      </w:r>
      <w:r w:rsidRPr="00B70704">
        <w:t>o</w:t>
      </w:r>
      <w:r w:rsidR="002E1692" w:rsidRPr="00B70704">
        <w:t>-</w:t>
      </w:r>
      <w:r w:rsidRPr="00B70704">
        <w:t xml:space="preserve">interventions and </w:t>
      </w:r>
      <w:r w:rsidR="00C8271C" w:rsidRPr="00B70704">
        <w:t xml:space="preserve">comparisons with other </w:t>
      </w:r>
      <w:r w:rsidR="001D6FC5" w:rsidRPr="00B70704">
        <w:t>deworming or nutritional interventions</w:t>
      </w:r>
      <w:r w:rsidRPr="00B70704">
        <w:t>.</w:t>
      </w:r>
      <w:r w:rsidR="00F37A93" w:rsidRPr="00B70704">
        <w:t xml:space="preserve">  We excluded studies with less than 100 participants</w:t>
      </w:r>
      <w:r w:rsidR="000C7888">
        <w:t xml:space="preserve"> since the Advisory Board and team felt the additional effort to trace these studies would have a limited contribution to the evidence network</w:t>
      </w:r>
      <w:r w:rsidR="00E03E61" w:rsidRPr="00B70704">
        <w:t>.</w:t>
      </w:r>
      <w:r w:rsidR="0098479B" w:rsidRPr="00B70704">
        <w:t xml:space="preserve"> </w:t>
      </w:r>
      <w:r w:rsidR="00351E9B" w:rsidRPr="00B70704">
        <w:t>W</w:t>
      </w:r>
      <w:r w:rsidR="0098479B" w:rsidRPr="00B70704">
        <w:rPr>
          <w:rFonts w:eastAsia="Calibri"/>
          <w:lang w:val="en-US"/>
        </w:rPr>
        <w:t xml:space="preserve">e excluded studies that did not measure baseline infection </w:t>
      </w:r>
      <w:r w:rsidR="001A12AF" w:rsidRPr="00B70704">
        <w:rPr>
          <w:rFonts w:eastAsia="Calibri"/>
          <w:lang w:val="en-US"/>
        </w:rPr>
        <w:t>intensity of</w:t>
      </w:r>
      <w:r w:rsidR="0098479B" w:rsidRPr="00B70704">
        <w:rPr>
          <w:rFonts w:eastAsia="Calibri"/>
          <w:lang w:val="en-US"/>
        </w:rPr>
        <w:t xml:space="preserve"> </w:t>
      </w:r>
      <w:r w:rsidR="00351E9B" w:rsidRPr="00B70704">
        <w:rPr>
          <w:rFonts w:eastAsia="Calibri"/>
          <w:lang w:val="en-US"/>
        </w:rPr>
        <w:t>STH</w:t>
      </w:r>
      <w:r w:rsidR="0098479B" w:rsidRPr="00B70704">
        <w:rPr>
          <w:rFonts w:eastAsia="Calibri"/>
          <w:lang w:val="en-US"/>
        </w:rPr>
        <w:t>.</w:t>
      </w:r>
      <w:r w:rsidR="00A0467D">
        <w:rPr>
          <w:rFonts w:eastAsia="Calibri"/>
          <w:lang w:val="en-US"/>
        </w:rPr>
        <w:t xml:space="preserve">  </w:t>
      </w:r>
    </w:p>
    <w:p w14:paraId="00597693" w14:textId="284710EF" w:rsidR="002E1692" w:rsidRPr="00B70704" w:rsidRDefault="006607A2" w:rsidP="007309C5">
      <w:pPr>
        <w:spacing w:line="480" w:lineRule="auto"/>
      </w:pPr>
      <w:r w:rsidRPr="00B70704">
        <w:lastRenderedPageBreak/>
        <w:t>W</w:t>
      </w:r>
      <w:r w:rsidR="00A0044C" w:rsidRPr="00B70704">
        <w:t xml:space="preserve">e searched </w:t>
      </w:r>
      <w:r w:rsidR="00EE4CBD" w:rsidRPr="00B70704">
        <w:t>up to March 27</w:t>
      </w:r>
      <w:r w:rsidR="00700E6C" w:rsidRPr="00B70704">
        <w:t>,</w:t>
      </w:r>
      <w:r w:rsidR="00EE4CBD" w:rsidRPr="00B70704">
        <w:t xml:space="preserve"> 2018 in MEDLINE, CINAHL, LILACS, EMBASE, the Cochrane Library, </w:t>
      </w:r>
      <w:proofErr w:type="spellStart"/>
      <w:r w:rsidR="00EE4CBD" w:rsidRPr="00B70704">
        <w:t>Econlit</w:t>
      </w:r>
      <w:proofErr w:type="spellEnd"/>
      <w:r w:rsidR="00EE4CBD" w:rsidRPr="00B70704">
        <w:t>, Internet Documents in Economics Access Service, Publi</w:t>
      </w:r>
      <w:r w:rsidR="001A12AF" w:rsidRPr="00B70704">
        <w:t>c Affairs Information Service</w:t>
      </w:r>
      <w:r w:rsidR="00EE4CBD" w:rsidRPr="00B70704">
        <w:t>, Social Services Abstracts, Global Health CABI and CAB Abstracts</w:t>
      </w:r>
      <w:r w:rsidR="000C7888">
        <w:t xml:space="preserve"> (S</w:t>
      </w:r>
      <w:r w:rsidR="00C1310D">
        <w:t>2</w:t>
      </w:r>
      <w:r w:rsidR="000C7888">
        <w:t xml:space="preserve"> Appendix)</w:t>
      </w:r>
      <w:r w:rsidR="000C7888" w:rsidRPr="00B70704">
        <w:t>.</w:t>
      </w:r>
      <w:r w:rsidR="00EE4CBD" w:rsidRPr="00B70704">
        <w:t xml:space="preserve"> We searched grey literature, websites, asked experts, contacted authors and screened 299 included studies from relevant systematic reviews. </w:t>
      </w:r>
      <w:r w:rsidR="002E1692" w:rsidRPr="00B70704">
        <w:t>There were no language limits.</w:t>
      </w:r>
    </w:p>
    <w:p w14:paraId="789EBA1C" w14:textId="77777777" w:rsidR="002E1692" w:rsidRPr="00B70704" w:rsidRDefault="002E1692" w:rsidP="007309C5">
      <w:pPr>
        <w:spacing w:line="480" w:lineRule="auto"/>
      </w:pPr>
      <w:r w:rsidRPr="00B70704">
        <w:t xml:space="preserve">Two independent reviewers screened titles and abstracts.  Conflicts were discussed and resolved with VW or MG.  All potentially eligible studies were retrieved </w:t>
      </w:r>
      <w:r w:rsidR="00EE4CBD" w:rsidRPr="00B70704">
        <w:t xml:space="preserve">and screened in duplicate </w:t>
      </w:r>
      <w:r w:rsidRPr="00B70704">
        <w:t xml:space="preserve">in full text.  </w:t>
      </w:r>
    </w:p>
    <w:p w14:paraId="27089D7F" w14:textId="49617BC9" w:rsidR="0098479B" w:rsidRPr="00B70704" w:rsidRDefault="00070E32" w:rsidP="007309C5">
      <w:pPr>
        <w:spacing w:line="480" w:lineRule="auto"/>
      </w:pPr>
      <w:r w:rsidRPr="00B70704">
        <w:t xml:space="preserve">The first authors of all </w:t>
      </w:r>
      <w:r w:rsidR="008702B4" w:rsidRPr="00B70704">
        <w:t>eligible studies</w:t>
      </w:r>
      <w:r w:rsidRPr="00B70704">
        <w:t xml:space="preserve"> were </w:t>
      </w:r>
      <w:r w:rsidR="004C52D9" w:rsidRPr="00B70704">
        <w:t>invited</w:t>
      </w:r>
      <w:r w:rsidRPr="00B70704">
        <w:t xml:space="preserve"> to join the Trialists</w:t>
      </w:r>
      <w:r w:rsidR="001A12AF" w:rsidRPr="00B70704">
        <w:t>’</w:t>
      </w:r>
      <w:r w:rsidRPr="00B70704">
        <w:t xml:space="preserve"> Collaborative</w:t>
      </w:r>
      <w:r w:rsidR="0017299F" w:rsidRPr="00B70704">
        <w:t xml:space="preserve"> in December 2016</w:t>
      </w:r>
      <w:r w:rsidRPr="00B70704">
        <w:t xml:space="preserve">.  </w:t>
      </w:r>
      <w:r w:rsidR="00EE4CBD" w:rsidRPr="00B70704">
        <w:t>In case of no reply</w:t>
      </w:r>
      <w:r w:rsidRPr="00B70704">
        <w:t xml:space="preserve">, we contacted all </w:t>
      </w:r>
      <w:r w:rsidR="004C52D9" w:rsidRPr="00B70704">
        <w:t xml:space="preserve">authors and their institutions.  </w:t>
      </w:r>
      <w:r w:rsidR="0017299F" w:rsidRPr="00B70704">
        <w:t xml:space="preserve">Data collection was closed in </w:t>
      </w:r>
      <w:r w:rsidR="0039421F" w:rsidRPr="00B70704">
        <w:t>March</w:t>
      </w:r>
      <w:r w:rsidR="0017299F" w:rsidRPr="00B70704">
        <w:t xml:space="preserve"> 2018.  </w:t>
      </w:r>
      <w:r w:rsidRPr="00B70704">
        <w:t xml:space="preserve">Authors </w:t>
      </w:r>
      <w:r w:rsidR="0039421F" w:rsidRPr="00B70704">
        <w:t>signed</w:t>
      </w:r>
      <w:r w:rsidRPr="00B70704">
        <w:t xml:space="preserve"> a data sharing agreement.  IPD were checked for completeness</w:t>
      </w:r>
      <w:r w:rsidR="008702B4" w:rsidRPr="00B70704">
        <w:t>.  W</w:t>
      </w:r>
      <w:r w:rsidR="00EE4CBD" w:rsidRPr="00B70704">
        <w:t>e verified any questions with authors</w:t>
      </w:r>
      <w:r w:rsidRPr="00B70704">
        <w:t>. Data were prepared in</w:t>
      </w:r>
      <w:r w:rsidR="004C52D9" w:rsidRPr="00B70704">
        <w:t xml:space="preserve"> an</w:t>
      </w:r>
      <w:r w:rsidRPr="00B70704">
        <w:t xml:space="preserve"> excel spreadsheet </w:t>
      </w:r>
      <w:r w:rsidR="0039421F" w:rsidRPr="00B70704">
        <w:t>which</w:t>
      </w:r>
      <w:r w:rsidR="00EE4CBD" w:rsidRPr="00B70704">
        <w:t xml:space="preserve"> include</w:t>
      </w:r>
      <w:r w:rsidR="0039421F" w:rsidRPr="00B70704">
        <w:t>d</w:t>
      </w:r>
      <w:r w:rsidR="00EE4CBD" w:rsidRPr="00B70704">
        <w:t xml:space="preserve"> outcomes, covariates and study design variables</w:t>
      </w:r>
      <w:r w:rsidRPr="00B70704">
        <w:t xml:space="preserve">.  We </w:t>
      </w:r>
      <w:r w:rsidR="004C52D9" w:rsidRPr="00B70704">
        <w:t>replicated</w:t>
      </w:r>
      <w:r w:rsidRPr="00B70704">
        <w:t xml:space="preserve"> baseline and end of study </w:t>
      </w:r>
      <w:r w:rsidR="001D6FC5" w:rsidRPr="00B70704">
        <w:t>analyses</w:t>
      </w:r>
      <w:r w:rsidRPr="00B70704">
        <w:t xml:space="preserve"> </w:t>
      </w:r>
      <w:r w:rsidR="0098479B" w:rsidRPr="00B70704">
        <w:t xml:space="preserve">and calculated the standardized mean difference between the </w:t>
      </w:r>
      <w:r w:rsidR="009B4CE8" w:rsidRPr="00B70704">
        <w:t>publication</w:t>
      </w:r>
      <w:r w:rsidR="002C0BFA" w:rsidRPr="00B70704">
        <w:t xml:space="preserve"> and our replication</w:t>
      </w:r>
      <w:r w:rsidR="00F0062F">
        <w:fldChar w:fldCharType="begin"/>
      </w:r>
      <w:r w:rsidR="00F0062F">
        <w:instrText xml:space="preserve"> ADDIN EN.CITE &lt;EndNote&gt;&lt;Cite&gt;&lt;Author&gt;Austin&lt;/Author&gt;&lt;Year&gt;2009&lt;/Year&gt;&lt;RecNum&gt;13&lt;/RecNum&gt;&lt;DisplayText&gt;(13)&lt;/DisplayText&gt;&lt;record&gt;&lt;rec-number&gt;13&lt;/rec-number&gt;&lt;foreign-keys&gt;&lt;key app="EN" db-id="esezwrfeppt5a0ee92qx55shpt2wawp2txd5" timestamp="1561122246"&gt;13&lt;/key&gt;&lt;/foreign-keys&gt;&lt;ref-type name="Journal Article"&gt;17&lt;/ref-type&gt;&lt;contributors&gt;&lt;authors&gt;&lt;author&gt;Austin, Peter C&lt;/author&gt;&lt;/authors&gt;&lt;/contributors&gt;&lt;titles&gt;&lt;title&gt;Balance diagnostics for comparing the distribution of baseline covariates between treatment groups in propensity‐score matched samples&lt;/title&gt;&lt;secondary-title&gt;Statistics in medicine&lt;/secondary-title&gt;&lt;/titles&gt;&lt;periodical&gt;&lt;full-title&gt;Statistics in medicine&lt;/full-title&gt;&lt;/periodical&gt;&lt;pages&gt;3083-3107&lt;/pages&gt;&lt;volume&gt;28&lt;/volume&gt;&lt;number&gt;25&lt;/number&gt;&lt;dates&gt;&lt;year&gt;2009&lt;/year&gt;&lt;/dates&gt;&lt;isbn&gt;0277-6715&lt;/isbn&gt;&lt;urls&gt;&lt;/urls&gt;&lt;/record&gt;&lt;/Cite&gt;&lt;/EndNote&gt;</w:instrText>
      </w:r>
      <w:r w:rsidR="00F0062F">
        <w:fldChar w:fldCharType="separate"/>
      </w:r>
      <w:r w:rsidR="00F0062F">
        <w:rPr>
          <w:noProof/>
        </w:rPr>
        <w:t>(</w:t>
      </w:r>
      <w:hyperlink w:anchor="_ENREF_13" w:tooltip="Austin, 2009 #13" w:history="1">
        <w:r w:rsidR="00BD5A89">
          <w:rPr>
            <w:noProof/>
          </w:rPr>
          <w:t>13</w:t>
        </w:r>
      </w:hyperlink>
      <w:r w:rsidR="00F0062F">
        <w:rPr>
          <w:noProof/>
        </w:rPr>
        <w:t>)</w:t>
      </w:r>
      <w:r w:rsidR="00F0062F">
        <w:fldChar w:fldCharType="end"/>
      </w:r>
      <w:r w:rsidR="0098479B" w:rsidRPr="00B70704">
        <w:fldChar w:fldCharType="begin" w:fldLock="1"/>
      </w:r>
      <w:r w:rsidR="009A71B3" w:rsidRPr="00B70704">
        <w:instrText>ADDIN CSL_CITATION {"citationItems":[{"id":"ITEM-1","itemData":{"DOI":"10.1002/sim.3697","ISBN":"2007090091480","ISSN":"02776715","PMID":"19455509","abstract":"The propensity score is a subject’s probability of treatment, conditional on observed baseline covariates. Conditional on the true propensity score, treated and untreated subjects have similar distributions of observed baseline covariates. Propensity-score matching is a popular method of using the propensity score in the medical literature. Using this approach, matched sets of treated and untreated subjects with similar values of the propensity score are formed. Inferences about treatment effect made using propensity-score matching are valid only if, in the matched sample, treated and untreated subjects have similar distributions of measured baseline covariates. In this paper we discuss the following methods for assessing whether the propensity score model has been correctly specified: comparing means and prevalences of baseline characteristics using standardized differences; ratios comparing the variance of continuous covariates between treated and untreated subjects; comparison of higher order moments and interactions; five-number summaries; and graphical methods such as quantile–quantile plots, side-by- side boxplots, and non-parametric density plots for comparing the distribution of baseline covariates between treatment groups.We describe methods to determine the sampling distribution of the standardized difference when the true standardized difference is equal to zero, thereby allowing one to determine the range of standardized differences that are plausible with the propensity score model having been correctly specified. We highlight the limitations of some previously used methods for assessing the adequacy of the specification of the propensity-score model. In particular, methods based on comparing the distribution of the estimated propensity score between treated and untreated subjects are uninformative.","author":[{"dropping-particle":"","family":"Austin","given":"Peter C.","non-dropping-particle":"","parse-names":false,"suffix":""}],"container-title":"Statistics in Medicine","id":"ITEM-1","issued":{"date-parts":[["2009"]]},"title":"Balance diagnostics for comparing the distribution of baseline covariates between treatment groups in propensity-score matched samples","type":"article-journal"},"uris":["http://www.mendeley.com/documents/?uuid=29928b1d-a015-49a5-b16b-5baa01acd7bf"]}],"mendeley":{"formattedCitation":"(12)","plainTextFormattedCitation":"(12)","previouslyFormattedCitation":"(12)"},"properties":{"noteIndex":0},"schema":"https://github.com/citation-style-language/schema/raw/master/csl-citation.json"}</w:instrText>
      </w:r>
      <w:r w:rsidR="0098479B" w:rsidRPr="00B70704">
        <w:fldChar w:fldCharType="end"/>
      </w:r>
      <w:r w:rsidRPr="00B70704">
        <w:t>.</w:t>
      </w:r>
      <w:r w:rsidR="004C52D9" w:rsidRPr="00B70704">
        <w:t xml:space="preserve"> </w:t>
      </w:r>
      <w:r w:rsidR="00E03E61" w:rsidRPr="00B70704">
        <w:t xml:space="preserve">To assess the influence of studies </w:t>
      </w:r>
      <w:r w:rsidR="000C7888" w:rsidRPr="00B70704">
        <w:t xml:space="preserve">which we </w:t>
      </w:r>
      <w:r w:rsidR="000C7888">
        <w:t>were unable to</w:t>
      </w:r>
      <w:r w:rsidR="000C7888" w:rsidRPr="00B70704">
        <w:t xml:space="preserve"> retrieve, we </w:t>
      </w:r>
      <w:r w:rsidR="000C7888">
        <w:t>compared average findings for weight gain using</w:t>
      </w:r>
      <w:r w:rsidR="000C7888" w:rsidRPr="00B70704">
        <w:t xml:space="preserve"> aggregate data from our prior review</w:t>
      </w:r>
      <w:r w:rsidR="000C7888">
        <w:t xml:space="preserve"> </w:t>
      </w:r>
      <w:r w:rsidR="00F0062F">
        <w:fldChar w:fldCharType="begin"/>
      </w:r>
      <w:r w:rsidR="00F0062F">
        <w:instrText xml:space="preserve"> ADDIN EN.CITE &lt;EndNote&gt;&lt;Cite&gt;&lt;Author&gt;Welch&lt;/Author&gt;&lt;Year&gt;2016&lt;/Year&gt;&lt;RecNum&gt;5&lt;/RecNum&gt;&lt;DisplayText&gt;(5)&lt;/DisplayText&gt;&lt;record&gt;&lt;rec-number&gt;5&lt;/rec-number&gt;&lt;foreign-keys&gt;&lt;key app="EN" db-id="esezwrfeppt5a0ee92qx55shpt2wawp2txd5" timestamp="1561122245"&gt;5&lt;/key&gt;&lt;/foreign-keys&gt;&lt;ref-type name="Journal Article"&gt;17&lt;/ref-type&gt;&lt;contributors&gt;&lt;authors&gt;&lt;author&gt;Welch, Vivian.&lt;/author&gt;&lt;author&gt;Ghogomu, Elizabeth.&lt;/author&gt;&lt;author&gt;Hossain, Alomgir.&lt;/author&gt;&lt;author&gt;Awasthi, Shally.&lt;/author&gt;&lt;author&gt;Bhutta, Zulfi. &lt;/author&gt;&lt;author&gt;Cumberbatch, Chisa.&lt;/author&gt;&lt;author&gt;Fletcher, Robert.&lt;/author&gt;&lt;author&gt;McGowan,  Jessie.&lt;/author&gt;&lt;author&gt;Krishnaratne, Shari.&lt;/author&gt;&lt;author&gt;Kristjansson, Elizabeth.&lt;/author&gt;&lt;author&gt;Sohani, Salim.&lt;/author&gt;&lt;author&gt;Suresh, Shalini.&lt;/author&gt;&lt;author&gt;Tugwell, Peter.&lt;/author&gt;&lt;author&gt;Wells, George.  &lt;/author&gt;&lt;author&gt;White, Howard.&lt;/author&gt;&lt;/authors&gt;&lt;/contributors&gt;&lt;titles&gt;&lt;title&gt;Deworming and Adjuvant Interventions for Improving the Developmental Health and Well-being of Children in Low- and Middle-income Countries: A Systematic Review and Network Meta-analysis&lt;/title&gt;&lt;secondary-title&gt;Campbell Systematic Reviews&lt;/secondary-title&gt;&lt;/titles&gt;&lt;periodical&gt;&lt;full-title&gt;Campbell Systematic Reviews&lt;/full-title&gt;&lt;/periodical&gt;&lt;volume&gt;2016:7&lt;/volume&gt;&lt;dates&gt;&lt;year&gt;2016&lt;/year&gt;&lt;/dates&gt;&lt;urls&gt;&lt;/urls&gt;&lt;electronic-resource-num&gt;10.4073/csr.2016.7&lt;/electronic-resource-num&gt;&lt;/record&gt;&lt;/Cite&gt;&lt;/EndNote&gt;</w:instrText>
      </w:r>
      <w:r w:rsidR="00F0062F">
        <w:fldChar w:fldCharType="separate"/>
      </w:r>
      <w:r w:rsidR="00F0062F">
        <w:rPr>
          <w:noProof/>
        </w:rPr>
        <w:t>(</w:t>
      </w:r>
      <w:hyperlink w:anchor="_ENREF_5" w:tooltip="Welch, 2016 #5" w:history="1">
        <w:r w:rsidR="00BD5A89">
          <w:rPr>
            <w:noProof/>
          </w:rPr>
          <w:t>5</w:t>
        </w:r>
      </w:hyperlink>
      <w:r w:rsidR="00F0062F">
        <w:rPr>
          <w:noProof/>
        </w:rPr>
        <w:t>)</w:t>
      </w:r>
      <w:r w:rsidR="00F0062F">
        <w:fldChar w:fldCharType="end"/>
      </w:r>
      <w:r w:rsidR="000C7888" w:rsidRPr="00B70704">
        <w:t>.</w:t>
      </w:r>
    </w:p>
    <w:p w14:paraId="554F50B3" w14:textId="4AC81A48" w:rsidR="00015505" w:rsidRPr="00037832" w:rsidRDefault="00015505" w:rsidP="007309C5">
      <w:pPr>
        <w:pStyle w:val="Heading2"/>
        <w:spacing w:line="480" w:lineRule="auto"/>
        <w:rPr>
          <w:rFonts w:asciiTheme="minorHAnsi" w:hAnsiTheme="minorHAnsi"/>
          <w:i w:val="0"/>
        </w:rPr>
      </w:pPr>
      <w:r w:rsidRPr="00037832">
        <w:rPr>
          <w:rFonts w:asciiTheme="minorHAnsi" w:hAnsiTheme="minorHAnsi"/>
          <w:i w:val="0"/>
        </w:rPr>
        <w:t xml:space="preserve">Data </w:t>
      </w:r>
      <w:r w:rsidR="00A0467D" w:rsidRPr="00037832">
        <w:rPr>
          <w:rFonts w:asciiTheme="minorHAnsi" w:hAnsiTheme="minorHAnsi"/>
          <w:i w:val="0"/>
        </w:rPr>
        <w:t>analysis</w:t>
      </w:r>
    </w:p>
    <w:p w14:paraId="5ED7C269" w14:textId="308023F7" w:rsidR="004C52D9" w:rsidRPr="00B70704" w:rsidRDefault="004C52D9" w:rsidP="007309C5">
      <w:pPr>
        <w:spacing w:line="480" w:lineRule="auto"/>
      </w:pPr>
      <w:r w:rsidRPr="00B70704">
        <w:t>Two independent reviewers collected details on participants, inter</w:t>
      </w:r>
      <w:r w:rsidR="0098479B" w:rsidRPr="00B70704">
        <w:t xml:space="preserve">ventions, outcomes, </w:t>
      </w:r>
      <w:r w:rsidRPr="00B70704">
        <w:t>study design</w:t>
      </w:r>
      <w:r w:rsidR="0098479B" w:rsidRPr="00B70704">
        <w:t>, setting</w:t>
      </w:r>
      <w:r w:rsidRPr="00B70704">
        <w:t xml:space="preserve"> and duration</w:t>
      </w:r>
      <w:r w:rsidR="001679DF" w:rsidRPr="00B70704">
        <w:t xml:space="preserve"> </w:t>
      </w:r>
      <w:r w:rsidR="000C7888" w:rsidRPr="00B70704">
        <w:t>(</w:t>
      </w:r>
      <w:r w:rsidR="000C7888">
        <w:rPr>
          <w:lang w:val="en-US"/>
        </w:rPr>
        <w:t>Table 1</w:t>
      </w:r>
      <w:r w:rsidR="000C7888" w:rsidRPr="00B70704">
        <w:t>)</w:t>
      </w:r>
      <w:r w:rsidR="003921B7" w:rsidRPr="00B70704">
        <w:t xml:space="preserve"> </w:t>
      </w:r>
      <w:r w:rsidRPr="00B70704">
        <w:t xml:space="preserve">using a pre-tested form.  </w:t>
      </w:r>
    </w:p>
    <w:p w14:paraId="46BDC7A9" w14:textId="6495F502" w:rsidR="000C7888" w:rsidRPr="00B70704" w:rsidRDefault="002E1692" w:rsidP="000C7888">
      <w:pPr>
        <w:spacing w:line="480" w:lineRule="auto"/>
      </w:pPr>
      <w:r w:rsidRPr="00B70704">
        <w:t>T</w:t>
      </w:r>
      <w:r w:rsidR="001A12AF" w:rsidRPr="00B70704">
        <w:t>he primary outcomes were weight</w:t>
      </w:r>
      <w:r w:rsidR="00D605B0">
        <w:t xml:space="preserve"> (</w:t>
      </w:r>
      <w:r w:rsidR="00A4074D">
        <w:t>kilograms)</w:t>
      </w:r>
      <w:r w:rsidRPr="00B70704">
        <w:t>, height</w:t>
      </w:r>
      <w:r w:rsidR="00A4074D">
        <w:t xml:space="preserve"> </w:t>
      </w:r>
      <w:r w:rsidR="00D129EB">
        <w:t>(</w:t>
      </w:r>
      <w:r w:rsidR="00A4074D">
        <w:t>centimetres</w:t>
      </w:r>
      <w:r w:rsidR="00D129EB">
        <w:t>)</w:t>
      </w:r>
      <w:r w:rsidRPr="00B70704">
        <w:t xml:space="preserve">, haemoglobin </w:t>
      </w:r>
      <w:r w:rsidR="00A4074D">
        <w:t xml:space="preserve">(g/L) </w:t>
      </w:r>
      <w:r w:rsidRPr="00B70704">
        <w:t xml:space="preserve">and cognitive outcomes.  </w:t>
      </w:r>
      <w:r w:rsidR="00A4074D">
        <w:t xml:space="preserve">We chose to use weight and height in kg and cm respectively because these would have the greatest precision to detect differences.  To adjust for differences in importance of a given weight </w:t>
      </w:r>
      <w:r w:rsidR="00152C47">
        <w:t xml:space="preserve">and height </w:t>
      </w:r>
      <w:r w:rsidR="00A4074D">
        <w:t>change for different ages, sex</w:t>
      </w:r>
      <w:r w:rsidR="00152C47">
        <w:t>, anaemia</w:t>
      </w:r>
      <w:r w:rsidR="00A4074D">
        <w:t xml:space="preserve"> and nutritional status, we adjusted for these factors in our model</w:t>
      </w:r>
      <w:r w:rsidR="00B6548F">
        <w:t>, as well as</w:t>
      </w:r>
      <w:r w:rsidR="00152C47">
        <w:t xml:space="preserve"> infection intensity of each STH.  </w:t>
      </w:r>
      <w:r w:rsidR="000C7888" w:rsidRPr="00B70704">
        <w:t xml:space="preserve">We did not include harms since these have been </w:t>
      </w:r>
      <w:r w:rsidR="000C7888" w:rsidRPr="00B70704">
        <w:lastRenderedPageBreak/>
        <w:t>assessed in previous reviews and are not considered serious</w:t>
      </w:r>
      <w:r w:rsidR="00F0062F">
        <w:fldChar w:fldCharType="begin"/>
      </w:r>
      <w:r w:rsidR="00F0062F">
        <w:instrText xml:space="preserve"> ADDIN EN.CITE &lt;EndNote&gt;&lt;Cite&gt;&lt;Author&gt;World Health Organization&lt;/Author&gt;&lt;Year&gt;2017&lt;/Year&gt;&lt;RecNum&gt;3&lt;/RecNum&gt;&lt;DisplayText&gt;(3)&lt;/DisplayText&gt;&lt;record&gt;&lt;rec-number&gt;3&lt;/rec-number&gt;&lt;foreign-keys&gt;&lt;key app="EN" db-id="esezwrfeppt5a0ee92qx55shpt2wawp2txd5" timestamp="1561122244"&gt;3&lt;/key&gt;&lt;/foreign-keys&gt;&lt;ref-type name="Electronic Source"&gt;12&lt;/ref-type&gt;&lt;contributors&gt;&lt;authors&gt;&lt;author&gt;World Health Organization,&lt;/author&gt;&lt;/authors&gt;&lt;/contributors&gt;&lt;titles&gt;&lt;title&gt;Guideline: Preventive chemotherapy to control soil-transmitted helminth infections in at-risk population groups&lt;/title&gt;&lt;/titles&gt;&lt;dates&gt;&lt;year&gt;2017&lt;/year&gt;&lt;/dates&gt;&lt;publisher&gt;World Health Organization&lt;/publisher&gt;&lt;isbn&gt;9241550112&lt;/isbn&gt;&lt;urls&gt;&lt;related-urls&gt;&lt;url&gt;http://apps.who.int/iris/bitstream/handle/10665/258983/9789241550116-eng.pdf;jsessionid=EB785E884EDF96CCC9826D3F9AAE0912?sequence=1&lt;/url&gt;&lt;/related-urls&gt;&lt;/urls&gt;&lt;custom2&gt;September 12, 2018&lt;/custom2&gt;&lt;/record&gt;&lt;/Cite&gt;&lt;/EndNote&gt;</w:instrText>
      </w:r>
      <w:r w:rsidR="00F0062F">
        <w:fldChar w:fldCharType="separate"/>
      </w:r>
      <w:r w:rsidR="00F0062F">
        <w:rPr>
          <w:noProof/>
        </w:rPr>
        <w:t>(</w:t>
      </w:r>
      <w:hyperlink w:anchor="_ENREF_3" w:tooltip="World Health Organization, 2017 #3" w:history="1">
        <w:r w:rsidR="00BD5A89">
          <w:rPr>
            <w:noProof/>
          </w:rPr>
          <w:t>3</w:t>
        </w:r>
      </w:hyperlink>
      <w:r w:rsidR="00F0062F">
        <w:rPr>
          <w:noProof/>
        </w:rPr>
        <w:t>)</w:t>
      </w:r>
      <w:r w:rsidR="00F0062F">
        <w:fldChar w:fldCharType="end"/>
      </w:r>
      <w:r w:rsidR="000C7888" w:rsidRPr="00B70704">
        <w:t xml:space="preserve">. We intended to assess plasma ferritin but </w:t>
      </w:r>
      <w:r w:rsidR="000C7888">
        <w:t>only six</w:t>
      </w:r>
      <w:r w:rsidR="000C7888" w:rsidRPr="00B70704">
        <w:t xml:space="preserve"> studies reported this</w:t>
      </w:r>
      <w:r w:rsidR="000C7888">
        <w:t xml:space="preserve"> outcome, thus we decided not to conduct these analyses which the advisory board felt could be misleading.</w:t>
      </w:r>
    </w:p>
    <w:p w14:paraId="35AF910E" w14:textId="124699B3" w:rsidR="001015D7" w:rsidRPr="00B70704" w:rsidRDefault="000C7888" w:rsidP="007309C5">
      <w:pPr>
        <w:spacing w:line="480" w:lineRule="auto"/>
      </w:pPr>
      <w:r w:rsidRPr="006C0AB1">
        <w:t>We used multiple imputation for missing data, based on the assumption that data are missing at random</w:t>
      </w:r>
      <w:r w:rsidR="00F0062F">
        <w:fldChar w:fldCharType="begin">
          <w:fldData xml:space="preserve">PEVuZE5vdGU+PENpdGU+PEF1dGhvcj5EZWJyYXk8L0F1dGhvcj48WWVhcj4yMDE4PC9ZZWFyPjxS
ZWNOdW0+OTwvUmVjTnVtPjxEaXNwbGF5VGV4dD4oOSwgMTQsIDE1KTwvRGlzcGxheVRleHQ+PHJl
Y29yZD48cmVjLW51bWJlcj45PC9yZWMtbnVtYmVyPjxmb3JlaWduLWtleXM+PGtleSBhcHA9IkVO
IiBkYi1pZD0iZXNlendyZmVwcHQ1YTBlZTkycXg1NXNocHQyd2F3cDJ0eGQ1IiB0aW1lc3RhbXA9
IjE1NjExMjIyNDUiPjk8L2tleT48L2ZvcmVpZ24ta2V5cz48cmVmLXR5cGUgbmFtZT0iSm91cm5h
bCBBcnRpY2xlIj4xNzwvcmVmLXR5cGU+PGNvbnRyaWJ1dG9ycz48YXV0aG9ycz48YXV0aG9yPkRl
YnJheSwgVGhvbWFzIFBBPC9hdXRob3I+PGF1dGhvcj5TY2h1aXQsIEV3b3VkPC9hdXRob3I+PGF1
dGhvcj5FZnRoaW1pb3UsIE9yZXN0aXM8L2F1dGhvcj48YXV0aG9yPlJlaXRzbWEsIEpvaGFubmVz
IEI8L2F1dGhvcj48YXV0aG9yPklvYW5uaWRpcywgSm9obiBQQTwvYXV0aG9yPjxhdXRob3I+U2Fs
YW50aSwgR2VvcmdpYTwvYXV0aG9yPjxhdXRob3I+TW9vbnMsIEthcmVsIEdNPC9hdXRob3I+PGF1
dGhvcj5HZXRSZWFsIFdvcmtwYWNrYWdlPC9hdXRob3I+PC9hdXRob3JzPjwvY29udHJpYnV0b3Jz
Pjx0aXRsZXM+PHRpdGxlPkFuIG92ZXJ2aWV3IG9mIG1ldGhvZHMgZm9yIG5ldHdvcmsgbWV0YS1h
bmFseXNpcyB1c2luZyBpbmRpdmlkdWFsIHBhcnRpY2lwYW50IGRhdGE6IHdoZW4gZG8gYmVuZWZp
dHMgYXJpc2U/PC90aXRsZT48c2Vjb25kYXJ5LXRpdGxlPlN0YXRpc3RpY2FsIG1ldGhvZHMgaW4g
bWVkaWNhbCByZXNlYXJjaDwvc2Vjb25kYXJ5LXRpdGxlPjwvdGl0bGVzPjxwZXJpb2RpY2FsPjxm
dWxsLXRpdGxlPlN0YXRpc3RpY2FsIG1ldGhvZHMgaW4gbWVkaWNhbCByZXNlYXJjaDwvZnVsbC10
aXRsZT48L3BlcmlvZGljYWw+PHBhZ2VzPjEzNTEtMTM2NDwvcGFnZXM+PHZvbHVtZT4yNzwvdm9s
dW1lPjxudW1iZXI+NTwvbnVtYmVyPjxkYXRlcz48eWVhcj4yMDE4PC95ZWFyPjwvZGF0ZXM+PGlz
Ym4+MDk2Mi0yODAyPC9pc2JuPjx1cmxzPjwvdXJscz48L3JlY29yZD48L0NpdGU+PENpdGU+PEF1
dGhvcj5Hcm9lbndvbGQ8L0F1dGhvcj48WWVhcj4yMDE0PC9ZZWFyPjxSZWNOdW0+MTQ8L1JlY051
bT48cmVjb3JkPjxyZWMtbnVtYmVyPjE0PC9yZWMtbnVtYmVyPjxmb3JlaWduLWtleXM+PGtleSBh
cHA9IkVOIiBkYi1pZD0iZXNlendyZmVwcHQ1YTBlZTkycXg1NXNocHQyd2F3cDJ0eGQ1IiB0aW1l
c3RhbXA9IjE1NjExMjIyNDYiPjE0PC9rZXk+PC9mb3JlaWduLWtleXM+PHJlZi10eXBlIG5hbWU9
IkpvdXJuYWwgQXJ0aWNsZSI+MTc8L3JlZi10eXBlPjxjb250cmlidXRvcnM+PGF1dGhvcnM+PGF1
dGhvcj5Hcm9lbndvbGQsIFJvbGYgSEg8L2F1dGhvcj48YXV0aG9yPk1vb25zLCBLYXJlbCBHTTwv
YXV0aG9yPjxhdXRob3I+VmFuZGVuYnJvdWNrZSwgSmFuIFAgJUogQ01BSjwvYXV0aG9yPjwvYXV0
aG9ycz48L2NvbnRyaWJ1dG9ycz48dGl0bGVzPjx0aXRsZT5SYW5kb21pemVkIHRyaWFscyB3aXRo
IG1pc3Npbmcgb3V0Y29tZSBkYXRhOiBob3cgdG8gYW5hbHl6ZSBhbmQgd2hhdCB0byByZXBvcnQ8
L3RpdGxlPjwvdGl0bGVzPjxwYWdlcz4xMTUzLTExNTc8L3BhZ2VzPjx2b2x1bWU+MTg2PC92b2x1
bWU+PG51bWJlcj4xNTwvbnVtYmVyPjxkYXRlcz48eWVhcj4yMDE0PC95ZWFyPjwvZGF0ZXM+PGlz
Ym4+MDgyMC0zOTQ2PC9pc2JuPjx1cmxzPjwvdXJscz48L3JlY29yZD48L0NpdGU+PENpdGU+PEF1
dGhvcj5KYWtvYnNlbjwvQXV0aG9yPjxZZWFyPjIwMTc8L1llYXI+PFJlY051bT4xNTwvUmVjTnVt
PjxyZWNvcmQ+PHJlYy1udW1iZXI+MTU8L3JlYy1udW1iZXI+PGZvcmVpZ24ta2V5cz48a2V5IGFw
cD0iRU4iIGRiLWlkPSJlc2V6d3JmZXBwdDVhMGVlOTJxeDU1c2hwdDJ3YXdwMnR4ZDUiIHRpbWVz
dGFtcD0iMTU2MTEyMjI0NiI+MTU8L2tleT48L2ZvcmVpZ24ta2V5cz48cmVmLXR5cGUgbmFtZT0i
Sm91cm5hbCBBcnRpY2xlIj4xNzwvcmVmLXR5cGU+PGNvbnRyaWJ1dG9ycz48YXV0aG9ycz48YXV0
aG9yPkpha29ic2VuLCBKYW51cyBDaHJpc3RpYW48L2F1dGhvcj48YXV0aG9yPkdsdXVkLCBDaHJp
c3RpYW48L2F1dGhvcj48YXV0aG9yPldldHRlcnNsZXYsIErDuHJuPC9hdXRob3I+PGF1dGhvcj5X
aW5rZWwsIFBlciAlSiBCTUMgbWVkaWNhbCByZXNlYXJjaCBtZXRob2RvbG9neTwvYXV0aG9yPjwv
YXV0aG9ycz48L2NvbnRyaWJ1dG9ycz48dGl0bGVzPjx0aXRsZT5XaGVuIGFuZCBob3cgc2hvdWxk
IG11bHRpcGxlIGltcHV0YXRpb24gYmUgdXNlZCBmb3IgaGFuZGxpbmcgbWlzc2luZyBkYXRhIGlu
IHJhbmRvbWlzZWQgY2xpbmljYWwgdHJpYWxz4oCTYSBwcmFjdGljYWwgZ3VpZGUgd2l0aCBmbG93
Y2hhcnRzPC90aXRsZT48L3RpdGxlcz48cGFnZXM+MTYyPC9wYWdlcz48dm9sdW1lPjE3PC92b2x1
bWU+PG51bWJlcj4xPC9udW1iZXI+PGRhdGVzPjx5ZWFyPjIwMTc8L3llYXI+PC9kYXRlcz48aXNi
bj4xNDcxLTIyODg8L2lzYm4+PHVybHM+PC91cmxzPjwvcmVjb3JkPjwvQ2l0ZT48L0VuZE5vdGU+
AG==
</w:fldData>
        </w:fldChar>
      </w:r>
      <w:r w:rsidR="00F0062F">
        <w:instrText xml:space="preserve"> ADDIN EN.CITE </w:instrText>
      </w:r>
      <w:r w:rsidR="00F0062F">
        <w:fldChar w:fldCharType="begin">
          <w:fldData xml:space="preserve">PEVuZE5vdGU+PENpdGU+PEF1dGhvcj5EZWJyYXk8L0F1dGhvcj48WWVhcj4yMDE4PC9ZZWFyPjxS
ZWNOdW0+OTwvUmVjTnVtPjxEaXNwbGF5VGV4dD4oOSwgMTQsIDE1KTwvRGlzcGxheVRleHQ+PHJl
Y29yZD48cmVjLW51bWJlcj45PC9yZWMtbnVtYmVyPjxmb3JlaWduLWtleXM+PGtleSBhcHA9IkVO
IiBkYi1pZD0iZXNlendyZmVwcHQ1YTBlZTkycXg1NXNocHQyd2F3cDJ0eGQ1IiB0aW1lc3RhbXA9
IjE1NjExMjIyNDUiPjk8L2tleT48L2ZvcmVpZ24ta2V5cz48cmVmLXR5cGUgbmFtZT0iSm91cm5h
bCBBcnRpY2xlIj4xNzwvcmVmLXR5cGU+PGNvbnRyaWJ1dG9ycz48YXV0aG9ycz48YXV0aG9yPkRl
YnJheSwgVGhvbWFzIFBBPC9hdXRob3I+PGF1dGhvcj5TY2h1aXQsIEV3b3VkPC9hdXRob3I+PGF1
dGhvcj5FZnRoaW1pb3UsIE9yZXN0aXM8L2F1dGhvcj48YXV0aG9yPlJlaXRzbWEsIEpvaGFubmVz
IEI8L2F1dGhvcj48YXV0aG9yPklvYW5uaWRpcywgSm9obiBQQTwvYXV0aG9yPjxhdXRob3I+U2Fs
YW50aSwgR2VvcmdpYTwvYXV0aG9yPjxhdXRob3I+TW9vbnMsIEthcmVsIEdNPC9hdXRob3I+PGF1
dGhvcj5HZXRSZWFsIFdvcmtwYWNrYWdlPC9hdXRob3I+PC9hdXRob3JzPjwvY29udHJpYnV0b3Jz
Pjx0aXRsZXM+PHRpdGxlPkFuIG92ZXJ2aWV3IG9mIG1ldGhvZHMgZm9yIG5ldHdvcmsgbWV0YS1h
bmFseXNpcyB1c2luZyBpbmRpdmlkdWFsIHBhcnRpY2lwYW50IGRhdGE6IHdoZW4gZG8gYmVuZWZp
dHMgYXJpc2U/PC90aXRsZT48c2Vjb25kYXJ5LXRpdGxlPlN0YXRpc3RpY2FsIG1ldGhvZHMgaW4g
bWVkaWNhbCByZXNlYXJjaDwvc2Vjb25kYXJ5LXRpdGxlPjwvdGl0bGVzPjxwZXJpb2RpY2FsPjxm
dWxsLXRpdGxlPlN0YXRpc3RpY2FsIG1ldGhvZHMgaW4gbWVkaWNhbCByZXNlYXJjaDwvZnVsbC10
aXRsZT48L3BlcmlvZGljYWw+PHBhZ2VzPjEzNTEtMTM2NDwvcGFnZXM+PHZvbHVtZT4yNzwvdm9s
dW1lPjxudW1iZXI+NTwvbnVtYmVyPjxkYXRlcz48eWVhcj4yMDE4PC95ZWFyPjwvZGF0ZXM+PGlz
Ym4+MDk2Mi0yODAyPC9pc2JuPjx1cmxzPjwvdXJscz48L3JlY29yZD48L0NpdGU+PENpdGU+PEF1
dGhvcj5Hcm9lbndvbGQ8L0F1dGhvcj48WWVhcj4yMDE0PC9ZZWFyPjxSZWNOdW0+MTQ8L1JlY051
bT48cmVjb3JkPjxyZWMtbnVtYmVyPjE0PC9yZWMtbnVtYmVyPjxmb3JlaWduLWtleXM+PGtleSBh
cHA9IkVOIiBkYi1pZD0iZXNlendyZmVwcHQ1YTBlZTkycXg1NXNocHQyd2F3cDJ0eGQ1IiB0aW1l
c3RhbXA9IjE1NjExMjIyNDYiPjE0PC9rZXk+PC9mb3JlaWduLWtleXM+PHJlZi10eXBlIG5hbWU9
IkpvdXJuYWwgQXJ0aWNsZSI+MTc8L3JlZi10eXBlPjxjb250cmlidXRvcnM+PGF1dGhvcnM+PGF1
dGhvcj5Hcm9lbndvbGQsIFJvbGYgSEg8L2F1dGhvcj48YXV0aG9yPk1vb25zLCBLYXJlbCBHTTwv
YXV0aG9yPjxhdXRob3I+VmFuZGVuYnJvdWNrZSwgSmFuIFAgJUogQ01BSjwvYXV0aG9yPjwvYXV0
aG9ycz48L2NvbnRyaWJ1dG9ycz48dGl0bGVzPjx0aXRsZT5SYW5kb21pemVkIHRyaWFscyB3aXRo
IG1pc3Npbmcgb3V0Y29tZSBkYXRhOiBob3cgdG8gYW5hbHl6ZSBhbmQgd2hhdCB0byByZXBvcnQ8
L3RpdGxlPjwvdGl0bGVzPjxwYWdlcz4xMTUzLTExNTc8L3BhZ2VzPjx2b2x1bWU+MTg2PC92b2x1
bWU+PG51bWJlcj4xNTwvbnVtYmVyPjxkYXRlcz48eWVhcj4yMDE0PC95ZWFyPjwvZGF0ZXM+PGlz
Ym4+MDgyMC0zOTQ2PC9pc2JuPjx1cmxzPjwvdXJscz48L3JlY29yZD48L0NpdGU+PENpdGU+PEF1
dGhvcj5KYWtvYnNlbjwvQXV0aG9yPjxZZWFyPjIwMTc8L1llYXI+PFJlY051bT4xNTwvUmVjTnVt
PjxyZWNvcmQ+PHJlYy1udW1iZXI+MTU8L3JlYy1udW1iZXI+PGZvcmVpZ24ta2V5cz48a2V5IGFw
cD0iRU4iIGRiLWlkPSJlc2V6d3JmZXBwdDVhMGVlOTJxeDU1c2hwdDJ3YXdwMnR4ZDUiIHRpbWVz
dGFtcD0iMTU2MTEyMjI0NiI+MTU8L2tleT48L2ZvcmVpZ24ta2V5cz48cmVmLXR5cGUgbmFtZT0i
Sm91cm5hbCBBcnRpY2xlIj4xNzwvcmVmLXR5cGU+PGNvbnRyaWJ1dG9ycz48YXV0aG9ycz48YXV0
aG9yPkpha29ic2VuLCBKYW51cyBDaHJpc3RpYW48L2F1dGhvcj48YXV0aG9yPkdsdXVkLCBDaHJp
c3RpYW48L2F1dGhvcj48YXV0aG9yPldldHRlcnNsZXYsIErDuHJuPC9hdXRob3I+PGF1dGhvcj5X
aW5rZWwsIFBlciAlSiBCTUMgbWVkaWNhbCByZXNlYXJjaCBtZXRob2RvbG9neTwvYXV0aG9yPjwv
YXV0aG9ycz48L2NvbnRyaWJ1dG9ycz48dGl0bGVzPjx0aXRsZT5XaGVuIGFuZCBob3cgc2hvdWxk
IG11bHRpcGxlIGltcHV0YXRpb24gYmUgdXNlZCBmb3IgaGFuZGxpbmcgbWlzc2luZyBkYXRhIGlu
IHJhbmRvbWlzZWQgY2xpbmljYWwgdHJpYWxz4oCTYSBwcmFjdGljYWwgZ3VpZGUgd2l0aCBmbG93
Y2hhcnRzPC90aXRsZT48L3RpdGxlcz48cGFnZXM+MTYyPC9wYWdlcz48dm9sdW1lPjE3PC92b2x1
bWU+PG51bWJlcj4xPC9udW1iZXI+PGRhdGVzPjx5ZWFyPjIwMTc8L3llYXI+PC9kYXRlcz48aXNi
bj4xNDcxLTIyODg8L2lzYm4+PHVybHM+PC91cmxzPjwvcmVjb3JkPjwvQ2l0ZT48L0VuZE5vdGU+
AG==
</w:fldData>
        </w:fldChar>
      </w:r>
      <w:r w:rsidR="00F0062F">
        <w:instrText xml:space="preserve"> ADDIN EN.CITE.DATA </w:instrText>
      </w:r>
      <w:r w:rsidR="00F0062F">
        <w:fldChar w:fldCharType="end"/>
      </w:r>
      <w:r w:rsidR="00F0062F">
        <w:fldChar w:fldCharType="separate"/>
      </w:r>
      <w:r w:rsidR="00F0062F">
        <w:rPr>
          <w:noProof/>
        </w:rPr>
        <w:t>(</w:t>
      </w:r>
      <w:hyperlink w:anchor="_ENREF_9" w:tooltip="Debray, 2018 #9" w:history="1">
        <w:r w:rsidR="00BD5A89">
          <w:rPr>
            <w:noProof/>
          </w:rPr>
          <w:t>9</w:t>
        </w:r>
      </w:hyperlink>
      <w:r w:rsidR="00F0062F">
        <w:rPr>
          <w:noProof/>
        </w:rPr>
        <w:t xml:space="preserve">, </w:t>
      </w:r>
      <w:hyperlink w:anchor="_ENREF_14" w:tooltip="Groenwold, 2014 #14" w:history="1">
        <w:r w:rsidR="00BD5A89">
          <w:rPr>
            <w:noProof/>
          </w:rPr>
          <w:t>14</w:t>
        </w:r>
      </w:hyperlink>
      <w:r w:rsidR="00F0062F">
        <w:rPr>
          <w:noProof/>
        </w:rPr>
        <w:t xml:space="preserve">, </w:t>
      </w:r>
      <w:hyperlink w:anchor="_ENREF_15" w:tooltip="Jakobsen, 2017 #15" w:history="1">
        <w:r w:rsidR="00BD5A89">
          <w:rPr>
            <w:noProof/>
          </w:rPr>
          <w:t>15</w:t>
        </w:r>
      </w:hyperlink>
      <w:r w:rsidR="00F0062F">
        <w:rPr>
          <w:noProof/>
        </w:rPr>
        <w:t>)</w:t>
      </w:r>
      <w:r w:rsidR="00F0062F">
        <w:fldChar w:fldCharType="end"/>
      </w:r>
      <w:r w:rsidR="001015D7" w:rsidRPr="00B70704">
        <w:t xml:space="preserve"> For studies with less than 50% missing data, we used multiple imputation for baseline and </w:t>
      </w:r>
      <w:r w:rsidR="00641412" w:rsidRPr="00B70704">
        <w:t>endline</w:t>
      </w:r>
      <w:r w:rsidR="001015D7" w:rsidRPr="00B70704">
        <w:t xml:space="preserve"> and created five complete datasets using Proc MI in SAS9.4/STAT (SAS Institute Inc., Cary, NC, USA). All model estimates and standard errors were obtained by fitting the model to each of these five imputed datasets and aggregating results across them using Rubin’s Rule which incorporates uncertainty due to imputation. Proc MIANALYZE in SAS 9.4/STAT was used to obtain the overall estimates across imputed datasets.  We used </w:t>
      </w:r>
      <w:bookmarkStart w:id="15" w:name="_Hlk525552871"/>
      <w:r w:rsidR="001015D7" w:rsidRPr="00B70704">
        <w:t xml:space="preserve">WHO Anthro 3.2.2 </w:t>
      </w:r>
      <w:bookmarkEnd w:id="15"/>
      <w:r w:rsidR="001015D7" w:rsidRPr="00B70704">
        <w:t xml:space="preserve">to calculate </w:t>
      </w:r>
      <w:r w:rsidR="00700E6C" w:rsidRPr="00B70704">
        <w:t>BMI-for-</w:t>
      </w:r>
      <w:r w:rsidR="001015D7" w:rsidRPr="00B70704">
        <w:t>age</w:t>
      </w:r>
      <w:r w:rsidR="00886D0B" w:rsidRPr="00B70704">
        <w:t>,</w:t>
      </w:r>
      <w:r w:rsidR="001015D7" w:rsidRPr="00B70704">
        <w:t xml:space="preserve"> and </w:t>
      </w:r>
      <w:r w:rsidR="00700E6C" w:rsidRPr="00B70704">
        <w:t>height-for-</w:t>
      </w:r>
      <w:r w:rsidR="001015D7" w:rsidRPr="00B70704">
        <w:t>age</w:t>
      </w:r>
      <w:r w:rsidR="00AE5BE4" w:rsidRPr="00B70704">
        <w:t xml:space="preserve"> </w:t>
      </w:r>
      <w:r w:rsidR="00394257">
        <w:t>z-</w:t>
      </w:r>
      <w:r w:rsidR="00AE5BE4" w:rsidRPr="00B70704">
        <w:t>scores</w:t>
      </w:r>
      <w:r w:rsidR="001015D7" w:rsidRPr="00B70704">
        <w:t>.</w:t>
      </w:r>
      <w:r w:rsidR="006B5CB3" w:rsidRPr="00B70704">
        <w:t xml:space="preserve"> </w:t>
      </w:r>
      <w:r w:rsidR="00C451EA" w:rsidRPr="00B70704">
        <w:t>Anaemia was defined according to age and sex using WHO standards</w:t>
      </w:r>
      <w:r w:rsidR="00D86DF5">
        <w:t xml:space="preserve"> and corrected for altitude, if needed</w:t>
      </w:r>
      <w:r w:rsidR="00F0062F">
        <w:fldChar w:fldCharType="begin"/>
      </w:r>
      <w:r w:rsidR="00F0062F">
        <w:instrText xml:space="preserve"> ADDIN EN.CITE &lt;EndNote&gt;&lt;Cite&gt;&lt;Author&gt;World Health Organization&lt;/Author&gt;&lt;Year&gt;2011&lt;/Year&gt;&lt;RecNum&gt;16&lt;/RecNum&gt;&lt;DisplayText&gt;(16)&lt;/DisplayText&gt;&lt;record&gt;&lt;rec-number&gt;16&lt;/rec-number&gt;&lt;foreign-keys&gt;&lt;key app="EN" db-id="esezwrfeppt5a0ee92qx55shpt2wawp2txd5" timestamp="1561122246"&gt;16&lt;/key&gt;&lt;/foreign-keys&gt;&lt;ref-type name="Electronic Source"&gt;12&lt;/ref-type&gt;&lt;contributors&gt;&lt;authors&gt;&lt;author&gt;World Health Organization,&lt;/author&gt;&lt;/authors&gt;&lt;/contributors&gt;&lt;titles&gt;&lt;title&gt;Haemoglobin concentrations for the diagnosis of anaemia and assessment of severity&lt;/title&gt;&lt;/titles&gt;&lt;dates&gt;&lt;year&gt;2011&lt;/year&gt;&lt;/dates&gt;&lt;urls&gt;&lt;related-urls&gt;&lt;url&gt;http://www.who.int/vmnis/indicators/haemoglobin/en/&lt;/url&gt;&lt;/related-urls&gt;&lt;/urls&gt;&lt;custom2&gt;September 12, 2018&lt;/custom2&gt;&lt;/record&gt;&lt;/Cite&gt;&lt;/EndNote&gt;</w:instrText>
      </w:r>
      <w:r w:rsidR="00F0062F">
        <w:fldChar w:fldCharType="separate"/>
      </w:r>
      <w:r w:rsidR="00F0062F">
        <w:rPr>
          <w:noProof/>
        </w:rPr>
        <w:t>(</w:t>
      </w:r>
      <w:hyperlink w:anchor="_ENREF_16" w:tooltip="World Health Organization, 2011 #16" w:history="1">
        <w:r w:rsidR="00BD5A89">
          <w:rPr>
            <w:noProof/>
          </w:rPr>
          <w:t>16</w:t>
        </w:r>
      </w:hyperlink>
      <w:r w:rsidR="00F0062F">
        <w:rPr>
          <w:noProof/>
        </w:rPr>
        <w:t>)</w:t>
      </w:r>
      <w:r w:rsidR="00F0062F">
        <w:fldChar w:fldCharType="end"/>
      </w:r>
      <w:r w:rsidRPr="00B70704">
        <w:t>.</w:t>
      </w:r>
    </w:p>
    <w:p w14:paraId="33A45917" w14:textId="6E15CCE0" w:rsidR="004C52D9" w:rsidRPr="00B70704" w:rsidRDefault="004C52D9" w:rsidP="007309C5">
      <w:pPr>
        <w:spacing w:line="480" w:lineRule="auto"/>
      </w:pPr>
      <w:r w:rsidRPr="00B70704">
        <w:t xml:space="preserve">Risk of bias was appraised </w:t>
      </w:r>
      <w:r w:rsidR="004F533A" w:rsidRPr="00B70704">
        <w:t xml:space="preserve">by outcome </w:t>
      </w:r>
      <w:r w:rsidRPr="00B70704">
        <w:t>with the Cochrane Risk of Bias tool</w:t>
      </w:r>
      <w:r w:rsidR="00641412" w:rsidRPr="00B70704">
        <w:t xml:space="preserve"> in duplicate</w:t>
      </w:r>
      <w:r w:rsidRPr="00B70704">
        <w:t xml:space="preserve">. A funnel plot was constructed for comparisons with more than 10 </w:t>
      </w:r>
      <w:r w:rsidR="00767EE6" w:rsidRPr="00B70704">
        <w:t>studies</w:t>
      </w:r>
      <w:r w:rsidRPr="00B70704">
        <w:t>.</w:t>
      </w:r>
    </w:p>
    <w:p w14:paraId="20B1133F" w14:textId="04732226" w:rsidR="0098479B" w:rsidRPr="00896AA8" w:rsidRDefault="0098479B" w:rsidP="007309C5">
      <w:pPr>
        <w:spacing w:line="480" w:lineRule="auto"/>
      </w:pPr>
      <w:r w:rsidRPr="00B70704">
        <w:t xml:space="preserve">We </w:t>
      </w:r>
      <w:r w:rsidR="006607A2" w:rsidRPr="00B70704">
        <w:t>used a</w:t>
      </w:r>
      <w:r w:rsidRPr="00B70704">
        <w:t xml:space="preserve"> frequentist approach for random-effects </w:t>
      </w:r>
      <w:r w:rsidR="00767EE6" w:rsidRPr="00B70704">
        <w:t>NMA</w:t>
      </w:r>
      <w:r w:rsidRPr="00B70704">
        <w:t>. T</w:t>
      </w:r>
      <w:r w:rsidR="00351E9B" w:rsidRPr="00B70704">
        <w:t>he covariates were identified with</w:t>
      </w:r>
      <w:r w:rsidRPr="00B70704">
        <w:t xml:space="preserve"> the </w:t>
      </w:r>
      <w:r w:rsidR="00F62802" w:rsidRPr="00B70704">
        <w:t>a</w:t>
      </w:r>
      <w:r w:rsidRPr="00B70704">
        <w:t xml:space="preserve">dvisory </w:t>
      </w:r>
      <w:r w:rsidR="00F62802" w:rsidRPr="00B70704">
        <w:t>g</w:t>
      </w:r>
      <w:r w:rsidRPr="00B70704">
        <w:t>roup: age, sex, baseline weight</w:t>
      </w:r>
      <w:r w:rsidR="006607A2" w:rsidRPr="00B70704">
        <w:t>,</w:t>
      </w:r>
      <w:r w:rsidR="00877D7D" w:rsidRPr="00B70704">
        <w:t xml:space="preserve"> </w:t>
      </w:r>
      <w:r w:rsidRPr="00B70704">
        <w:t xml:space="preserve">height, haemoglobin, and infection intensity. </w:t>
      </w:r>
      <w:r w:rsidR="009B5BF0" w:rsidRPr="00B70704">
        <w:t xml:space="preserve">Random effect </w:t>
      </w:r>
      <w:r w:rsidR="00A0467D">
        <w:t>General Linear Mixed Models (</w:t>
      </w:r>
      <w:r w:rsidR="009B5BF0" w:rsidRPr="00B70704">
        <w:t>GLMM</w:t>
      </w:r>
      <w:r w:rsidR="00A0467D">
        <w:t>)</w:t>
      </w:r>
      <w:r w:rsidR="009B5BF0" w:rsidRPr="00B70704">
        <w:t xml:space="preserve"> was conducted with two random intercepts considered in the model: random effect 'trial' accounts for the response variables of patients within a given trial being correlated; and random effect 'Patient's clusters' which accounts for the correlation of responses between any patients from the same clusters (such as villages, schools or households) within a given trial. </w:t>
      </w:r>
      <w:r w:rsidRPr="00B70704">
        <w:t xml:space="preserve"> We expected a connected network of trials to allow direct and indirect comparisons based on our </w:t>
      </w:r>
      <w:r w:rsidR="00877D7D" w:rsidRPr="00B70704">
        <w:t>previous review</w:t>
      </w:r>
      <w:r w:rsidRPr="00B70704">
        <w:t xml:space="preserve"> </w:t>
      </w:r>
      <w:r w:rsidR="00F0062F">
        <w:fldChar w:fldCharType="begin"/>
      </w:r>
      <w:r w:rsidR="00F0062F">
        <w:instrText xml:space="preserve"> ADDIN EN.CITE &lt;EndNote&gt;&lt;Cite&gt;&lt;Author&gt;Welch&lt;/Author&gt;&lt;Year&gt;2016&lt;/Year&gt;&lt;RecNum&gt;5&lt;/RecNum&gt;&lt;DisplayText&gt;(5)&lt;/DisplayText&gt;&lt;record&gt;&lt;rec-number&gt;5&lt;/rec-number&gt;&lt;foreign-keys&gt;&lt;key app="EN" db-id="esezwrfeppt5a0ee92qx55shpt2wawp2txd5" timestamp="1561122245"&gt;5&lt;/key&gt;&lt;/foreign-keys&gt;&lt;ref-type name="Journal Article"&gt;17&lt;/ref-type&gt;&lt;contributors&gt;&lt;authors&gt;&lt;author&gt;Welch, Vivian.&lt;/author&gt;&lt;author&gt;Ghogomu, Elizabeth.&lt;/author&gt;&lt;author&gt;Hossain, Alomgir.&lt;/author&gt;&lt;author&gt;Awasthi, Shally.&lt;/author&gt;&lt;author&gt;Bhutta, Zulfi. &lt;/author&gt;&lt;author&gt;Cumberbatch, Chisa.&lt;/author&gt;&lt;author&gt;Fletcher, Robert.&lt;/author&gt;&lt;author&gt;McGowan,  Jessie.&lt;/author&gt;&lt;author&gt;Krishnaratne, Shari.&lt;/author&gt;&lt;author&gt;Kristjansson, Elizabeth.&lt;/author&gt;&lt;author&gt;Sohani, Salim.&lt;/author&gt;&lt;author&gt;Suresh, Shalini.&lt;/author&gt;&lt;author&gt;Tugwell, Peter.&lt;/author&gt;&lt;author&gt;Wells, George.  &lt;/author&gt;&lt;author&gt;White, Howard.&lt;/author&gt;&lt;/authors&gt;&lt;/contributors&gt;&lt;titles&gt;&lt;title&gt;Deworming and Adjuvant Interventions for Improving the Developmental Health and Well-being of Children in Low- and Middle-income Countries: A Systematic Review and Network Meta-analysis&lt;/title&gt;&lt;secondary-title&gt;Campbell Systematic Reviews&lt;/secondary-title&gt;&lt;/titles&gt;&lt;periodical&gt;&lt;full-title&gt;Campbell Systematic Reviews&lt;/full-title&gt;&lt;/periodical&gt;&lt;volume&gt;2016:7&lt;/volume&gt;&lt;dates&gt;&lt;year&gt;2016&lt;/year&gt;&lt;/dates&gt;&lt;urls&gt;&lt;/urls&gt;&lt;electronic-resource-num&gt;10.4073/csr.2016.7&lt;/electronic-resource-num&gt;&lt;/record&gt;&lt;/Cite&gt;&lt;/EndNote&gt;</w:instrText>
      </w:r>
      <w:r w:rsidR="00F0062F">
        <w:fldChar w:fldCharType="separate"/>
      </w:r>
      <w:r w:rsidR="00F0062F">
        <w:rPr>
          <w:noProof/>
        </w:rPr>
        <w:t>(</w:t>
      </w:r>
      <w:hyperlink w:anchor="_ENREF_5" w:tooltip="Welch, 2016 #5" w:history="1">
        <w:r w:rsidR="00BD5A89">
          <w:rPr>
            <w:noProof/>
          </w:rPr>
          <w:t>5</w:t>
        </w:r>
      </w:hyperlink>
      <w:r w:rsidR="00F0062F">
        <w:rPr>
          <w:noProof/>
        </w:rPr>
        <w:t>)</w:t>
      </w:r>
      <w:r w:rsidR="00F0062F">
        <w:fldChar w:fldCharType="end"/>
      </w:r>
      <w:r w:rsidR="000C7888" w:rsidRPr="00B70704">
        <w:t>.</w:t>
      </w:r>
      <w:r w:rsidRPr="00B70704">
        <w:t xml:space="preserve">  We used the GLIMMIX procedure in SAS 9.4/STAT (SAS Institute Inc., Cary, NC, USA) for the GLMM </w:t>
      </w:r>
      <w:r w:rsidR="00767EE6" w:rsidRPr="00B70704">
        <w:t>NMA</w:t>
      </w:r>
      <w:r w:rsidRPr="00B70704">
        <w:t xml:space="preserve">, considering models </w:t>
      </w:r>
      <w:r w:rsidRPr="00896AA8">
        <w:t xml:space="preserve">that account for multi-arm trials and adjust for covariates. </w:t>
      </w:r>
      <w:r w:rsidRPr="00896AA8">
        <w:lastRenderedPageBreak/>
        <w:t>Results are summarized as point estimates</w:t>
      </w:r>
      <w:r w:rsidR="00EB3807" w:rsidRPr="00896AA8">
        <w:t xml:space="preserve"> with 95% confidence intervals for the outcomes of weight (kg), height (cm), and </w:t>
      </w:r>
      <w:r w:rsidR="00157BCF" w:rsidRPr="00896AA8">
        <w:t>haemoglobin</w:t>
      </w:r>
      <w:r w:rsidR="00EB3807" w:rsidRPr="00896AA8">
        <w:t xml:space="preserve"> </w:t>
      </w:r>
      <w:r w:rsidR="00705996" w:rsidRPr="00896AA8">
        <w:t>(</w:t>
      </w:r>
      <w:r w:rsidR="00EB3807" w:rsidRPr="00896AA8">
        <w:t>g/L).  Data were analyzed as intention to treat</w:t>
      </w:r>
      <w:r w:rsidR="00BC37DE">
        <w:t>.</w:t>
      </w:r>
    </w:p>
    <w:p w14:paraId="443C2D9B" w14:textId="5773D056" w:rsidR="004C52D9" w:rsidRPr="00B70704" w:rsidRDefault="00F37A93" w:rsidP="007309C5">
      <w:pPr>
        <w:spacing w:line="480" w:lineRule="auto"/>
      </w:pPr>
      <w:r w:rsidRPr="00B70704">
        <w:t>The transitivity assumption was assessed by comparing distribution of effect modifiers for each comparison</w:t>
      </w:r>
      <w:r w:rsidR="00F0062F">
        <w:fldChar w:fldCharType="begin"/>
      </w:r>
      <w:r w:rsidR="00F0062F">
        <w:instrText xml:space="preserve"> ADDIN EN.CITE &lt;EndNote&gt;&lt;Cite&gt;&lt;Author&gt;Salanti&lt;/Author&gt;&lt;Year&gt;2012&lt;/Year&gt;&lt;RecNum&gt;8&lt;/RecNum&gt;&lt;DisplayText&gt;(8)&lt;/DisplayText&gt;&lt;record&gt;&lt;rec-number&gt;8&lt;/rec-number&gt;&lt;foreign-keys&gt;&lt;key app="EN" db-id="esezwrfeppt5a0ee92qx55shpt2wawp2txd5" timestamp="1561122245"&gt;8&lt;/key&gt;&lt;/foreign-keys&gt;&lt;ref-type name="Journal Article"&gt;17&lt;/ref-type&gt;&lt;contributors&gt;&lt;authors&gt;&lt;author&gt;Salanti, Georgia&lt;/author&gt;&lt;/authors&gt;&lt;/contributors&gt;&lt;titles&gt;&lt;title&gt;Indirect and mixed‐treatment comparison, network, or multiple‐treatments meta‐analysis: many names, many benefits, many concerns for the next generation evidence synthesis tool&lt;/title&gt;&lt;secondary-title&gt;Research synthesis methods&lt;/secondary-title&gt;&lt;/titles&gt;&lt;periodical&gt;&lt;full-title&gt;Research synthesis methods&lt;/full-title&gt;&lt;/periodical&gt;&lt;pages&gt;80-97&lt;/pages&gt;&lt;volume&gt;3&lt;/volume&gt;&lt;number&gt;2&lt;/number&gt;&lt;dates&gt;&lt;year&gt;2012&lt;/year&gt;&lt;/dates&gt;&lt;isbn&gt;1759-2879&lt;/isbn&gt;&lt;urls&gt;&lt;/urls&gt;&lt;/record&gt;&lt;/Cite&gt;&lt;/EndNote&gt;</w:instrText>
      </w:r>
      <w:r w:rsidR="00F0062F">
        <w:fldChar w:fldCharType="separate"/>
      </w:r>
      <w:r w:rsidR="00F0062F">
        <w:rPr>
          <w:noProof/>
        </w:rPr>
        <w:t>(</w:t>
      </w:r>
      <w:hyperlink w:anchor="_ENREF_8" w:tooltip="Salanti, 2012 #8" w:history="1">
        <w:r w:rsidR="00BD5A89">
          <w:rPr>
            <w:noProof/>
          </w:rPr>
          <w:t>8</w:t>
        </w:r>
      </w:hyperlink>
      <w:r w:rsidR="00F0062F">
        <w:rPr>
          <w:noProof/>
        </w:rPr>
        <w:t>)</w:t>
      </w:r>
      <w:r w:rsidR="00F0062F">
        <w:fldChar w:fldCharType="end"/>
      </w:r>
      <w:r w:rsidR="000C7888" w:rsidRPr="00B70704">
        <w:t>.</w:t>
      </w:r>
      <w:r w:rsidRPr="00B70704">
        <w:t xml:space="preserve">  </w:t>
      </w:r>
      <w:r w:rsidR="003255FE" w:rsidRPr="00B70704">
        <w:t xml:space="preserve">The evidence network was designed with </w:t>
      </w:r>
      <w:r w:rsidR="00641412" w:rsidRPr="00B70704">
        <w:t>the a</w:t>
      </w:r>
      <w:r w:rsidR="003255FE" w:rsidRPr="00B70704">
        <w:t xml:space="preserve">dvisory board, research team and </w:t>
      </w:r>
      <w:r w:rsidR="00641412" w:rsidRPr="00B70704">
        <w:t>trial authors</w:t>
      </w:r>
      <w:r w:rsidR="003255FE" w:rsidRPr="00B70704">
        <w:t xml:space="preserve"> based on clinical judgment</w:t>
      </w:r>
      <w:r w:rsidR="0098479B" w:rsidRPr="00B70704">
        <w:t xml:space="preserve"> and other evidence</w:t>
      </w:r>
      <w:r w:rsidR="003255FE" w:rsidRPr="00B70704">
        <w:t xml:space="preserve">. The consistency assumption was assessed by evaluating the heterogeneity of direct comparisons </w:t>
      </w:r>
      <w:r w:rsidR="0098479B" w:rsidRPr="00B70704">
        <w:t>(using visual inspection of forest plots and I</w:t>
      </w:r>
      <w:r w:rsidR="0098479B" w:rsidRPr="00B70704">
        <w:rPr>
          <w:vertAlign w:val="superscript"/>
        </w:rPr>
        <w:t>2</w:t>
      </w:r>
      <w:r w:rsidR="000C7888" w:rsidRPr="00B70704">
        <w:t>)</w:t>
      </w:r>
      <w:r w:rsidR="00F0062F">
        <w:fldChar w:fldCharType="begin"/>
      </w:r>
      <w:r w:rsidR="00F0062F">
        <w:instrText xml:space="preserve"> ADDIN EN.CITE &lt;EndNote&gt;&lt;Cite&gt;&lt;Author&gt;Higgins&lt;/Author&gt;&lt;Year&gt;2002&lt;/Year&gt;&lt;RecNum&gt;17&lt;/RecNum&gt;&lt;DisplayText&gt;(17)&lt;/DisplayText&gt;&lt;record&gt;&lt;rec-number&gt;17&lt;/rec-number&gt;&lt;foreign-keys&gt;&lt;key app="EN" db-id="esezwrfeppt5a0ee92qx55shpt2wawp2txd5" timestamp="1561122246"&gt;17&lt;/key&gt;&lt;/foreign-keys&gt;&lt;ref-type name="Journal Article"&gt;17&lt;/ref-type&gt;&lt;contributors&gt;&lt;authors&gt;&lt;author&gt;Higgins, Julian PT&lt;/author&gt;&lt;author&gt;Thompson, Simon G&lt;/author&gt;&lt;/authors&gt;&lt;/contributors&gt;&lt;titles&gt;&lt;title&gt;Quantifying heterogeneity in a meta‐analysis&lt;/title&gt;&lt;secondary-title&gt;Statistics in medicine&lt;/secondary-title&gt;&lt;/titles&gt;&lt;periodical&gt;&lt;full-title&gt;Statistics in medicine&lt;/full-title&gt;&lt;/periodical&gt;&lt;pages&gt;1539-1558&lt;/pages&gt;&lt;volume&gt;21&lt;/volume&gt;&lt;number&gt;11&lt;/number&gt;&lt;dates&gt;&lt;year&gt;2002&lt;/year&gt;&lt;/dates&gt;&lt;isbn&gt;1097-0258&lt;/isbn&gt;&lt;urls&gt;&lt;/urls&gt;&lt;/record&gt;&lt;/Cite&gt;&lt;/EndNote&gt;</w:instrText>
      </w:r>
      <w:r w:rsidR="00F0062F">
        <w:fldChar w:fldCharType="separate"/>
      </w:r>
      <w:r w:rsidR="00F0062F">
        <w:rPr>
          <w:noProof/>
        </w:rPr>
        <w:t>(</w:t>
      </w:r>
      <w:hyperlink w:anchor="_ENREF_17" w:tooltip="Higgins, 2002 #17" w:history="1">
        <w:r w:rsidR="00BD5A89">
          <w:rPr>
            <w:noProof/>
          </w:rPr>
          <w:t>17</w:t>
        </w:r>
      </w:hyperlink>
      <w:r w:rsidR="00F0062F">
        <w:rPr>
          <w:noProof/>
        </w:rPr>
        <w:t>)</w:t>
      </w:r>
      <w:r w:rsidR="00F0062F">
        <w:fldChar w:fldCharType="end"/>
      </w:r>
      <w:r w:rsidR="0098479B" w:rsidRPr="00B70704">
        <w:t xml:space="preserve"> </w:t>
      </w:r>
      <w:r w:rsidR="003255FE" w:rsidRPr="00B70704">
        <w:t xml:space="preserve">and comparing the effect estimates for direct evidence (aggregate), direct evidence (IPD) and indirect + direct evidence (NMA).  </w:t>
      </w:r>
    </w:p>
    <w:p w14:paraId="53AE655B" w14:textId="110C64C3" w:rsidR="009A71B3" w:rsidRPr="00B70704" w:rsidRDefault="003255FE" w:rsidP="007309C5">
      <w:pPr>
        <w:spacing w:line="480" w:lineRule="auto"/>
      </w:pPr>
      <w:r w:rsidRPr="00B70704">
        <w:t xml:space="preserve">We </w:t>
      </w:r>
      <w:r w:rsidR="00767EE6" w:rsidRPr="00B70704">
        <w:t xml:space="preserve">planned </w:t>
      </w:r>
      <w:r w:rsidR="009A71B3" w:rsidRPr="00B70704">
        <w:t xml:space="preserve">subgroup analyses across </w:t>
      </w:r>
      <w:r w:rsidR="009A71B3" w:rsidRPr="00B70704">
        <w:rPr>
          <w:i/>
        </w:rPr>
        <w:t>a priori</w:t>
      </w:r>
      <w:r w:rsidR="009B4CE8" w:rsidRPr="00B70704">
        <w:t xml:space="preserve"> defined variables</w:t>
      </w:r>
      <w:r w:rsidR="009A71B3" w:rsidRPr="00B70704">
        <w:t xml:space="preserve"> </w:t>
      </w:r>
      <w:r w:rsidR="00351E9B" w:rsidRPr="00B70704">
        <w:t>of</w:t>
      </w:r>
      <w:r w:rsidR="009B4CE8" w:rsidRPr="00B70704">
        <w:t xml:space="preserve"> i</w:t>
      </w:r>
      <w:r w:rsidR="009A71B3" w:rsidRPr="00B70704">
        <w:t xml:space="preserve">ndividual-level </w:t>
      </w:r>
      <w:r w:rsidR="007B4B67" w:rsidRPr="00B70704">
        <w:t xml:space="preserve">baseline </w:t>
      </w:r>
      <w:r w:rsidR="009A71B3" w:rsidRPr="00B70704">
        <w:t xml:space="preserve">intensity of infection with </w:t>
      </w:r>
      <w:r w:rsidR="00DF5CB2">
        <w:rPr>
          <w:i/>
        </w:rPr>
        <w:t>A. lumbricoides</w:t>
      </w:r>
      <w:r w:rsidR="009A71B3" w:rsidRPr="00B70704">
        <w:rPr>
          <w:i/>
        </w:rPr>
        <w:t xml:space="preserve">, </w:t>
      </w:r>
      <w:r w:rsidR="00DF5CB2">
        <w:rPr>
          <w:i/>
        </w:rPr>
        <w:t xml:space="preserve">T. </w:t>
      </w:r>
      <w:proofErr w:type="spellStart"/>
      <w:r w:rsidR="00EB3807">
        <w:rPr>
          <w:i/>
        </w:rPr>
        <w:t>trich</w:t>
      </w:r>
      <w:r w:rsidR="00DA7184">
        <w:rPr>
          <w:i/>
        </w:rPr>
        <w:t>i</w:t>
      </w:r>
      <w:r w:rsidR="00EB3807">
        <w:rPr>
          <w:i/>
        </w:rPr>
        <w:t>ura</w:t>
      </w:r>
      <w:proofErr w:type="spellEnd"/>
      <w:r w:rsidR="009B4CE8" w:rsidRPr="00B70704">
        <w:t xml:space="preserve"> and hookworm, stunting, undernutrition,</w:t>
      </w:r>
      <w:r w:rsidR="009A71B3" w:rsidRPr="00B70704">
        <w:t xml:space="preserve"> ana</w:t>
      </w:r>
      <w:r w:rsidR="009B4CE8" w:rsidRPr="00B70704">
        <w:t>emia, age, sex</w:t>
      </w:r>
      <w:r w:rsidR="000D2463" w:rsidRPr="00B70704">
        <w:t>,</w:t>
      </w:r>
      <w:r w:rsidR="009B4CE8" w:rsidRPr="00B70704">
        <w:t xml:space="preserve"> and </w:t>
      </w:r>
      <w:r w:rsidR="009A71B3" w:rsidRPr="00B70704">
        <w:t>socioeconomic status</w:t>
      </w:r>
      <w:r w:rsidR="00F0062F">
        <w:fldChar w:fldCharType="begin">
          <w:fldData xml:space="preserve">PEVuZE5vdGU+PENpdGU+PEF1dGhvcj5XZWxjaDwvQXV0aG9yPjxZZWFyPjIwMTg8L1llYXI+PFJl
Y051bT4xMjwvUmVjTnVtPjxEaXNwbGF5VGV4dD4oMTIpPC9EaXNwbGF5VGV4dD48cmVjb3JkPjxy
ZWMtbnVtYmVyPjEyPC9yZWMtbnVtYmVyPjxmb3JlaWduLWtleXM+PGtleSBhcHA9IkVOIiBkYi1p
ZD0iZXNlendyZmVwcHQ1YTBlZTkycXg1NXNocHQyd2F3cDJ0eGQ1IiB0aW1lc3RhbXA9IjE1NjEx
MjIyNDYiPjEyPC9rZXk+PC9mb3JlaWduLWtleXM+PHJlZi10eXBlIG5hbWU9IkpvdXJuYWwgQXJ0
aWNsZSI+MTc8L3JlZi10eXBlPjxjb250cmlidXRvcnM+PGF1dGhvcnM+PGF1dGhvcj5XZWxjaCwg
Vml2aWFuLjwvYXV0aG9yPjxhdXRob3I+R2hvZ29tdSwgRWxpemFiZXRoLjwvYXV0aG9yPjxhdXRo
b3I+SG9zc2FpbiwgQWxvbWdpci48L2F1dGhvcj48YXV0aG9yPkFyb3JhLCBQYXVsLjwvYXV0aG9y
PjxhdXRob3I+Q291c2VucywgU2ltb24uPC9hdXRob3I+PGF1dGhvcj5HYWZmZXksIE1pY2hlbGxl
LjwvYXV0aG9yPjxhdXRob3I+UmlkZGxlLCBBbGlzb24uPC9hdXRob3I+PGF1dGhvcj5TYWxhbSwg
UmVoYW5hLjwvYXV0aG9yPjxhdXRob3I+VHVnd2VsbCwgUGV0ZXIuPC9hdXRob3I+PGF1dGhvcj5C
aHV0dGEsIFp1bGZpcWFyLjwvYXV0aG9yPjxhdXRob3I+V2VsbHMsIEdlb3JnZS48L2F1dGhvcj48
L2F1dGhvcnM+PC9jb250cmlidXRvcnM+PHRpdGxlcz48dGl0bGU+TWFzcyBkZXdvcm1pbmcgZm9y
IGltcHJvdmluZyBoZWFsdGggYW5kIGNvZ25pdGlvbiBvZiBjaGlsZHJlbiBpbiBlbmRlbWljIGhl
bG1pbnRoIGFyZWFzOiBhIHN5c3RlbWF0aWMgcmV2aWV3IGFuZCBpbmRpdmlkdWFsIHBhcnRpY2lw
YW50IGRhdGEgbmV0d29yayBtZXRhLWFuYWx5c2lzPC90aXRsZT48c2Vjb25kYXJ5LXRpdGxlPkNh
bXBiZWxsIFN5c3RlbWF0aWMgUmV2aWV3cyA8L3NlY29uZGFyeS10aXRsZT48L3RpdGxlcz48cGVy
aW9kaWNhbD48ZnVsbC10aXRsZT5DYW1wYmVsbCBTeXN0ZW1hdGljIFJldmlld3M8L2Z1bGwtdGl0
bGU+PC9wZXJpb2RpY2FsPjx2b2x1bWU+MjAxODo0PC92b2x1bWU+PGRhdGVzPjx5ZWFyPjIwMTg8
L3llYXI+PC9kYXRlcz48dXJscz48L3VybHM+PC9yZWNvcmQ+PC9DaXRlPjxDaXRlPjxBdXRob3I+
V2VsY2g8L0F1dGhvcj48WWVhcj4yMDE4PC9ZZWFyPjxSZWNOdW0+MTI8L1JlY051bT48cmVjb3Jk
PjxyZWMtbnVtYmVyPjEyPC9yZWMtbnVtYmVyPjxmb3JlaWduLWtleXM+PGtleSBhcHA9IkVOIiBk
Yi1pZD0iZXNlendyZmVwcHQ1YTBlZTkycXg1NXNocHQyd2F3cDJ0eGQ1IiB0aW1lc3RhbXA9IjE1
NjExMjIyNDYiPjEyPC9rZXk+PC9mb3JlaWduLWtleXM+PHJlZi10eXBlIG5hbWU9IkpvdXJuYWwg
QXJ0aWNsZSI+MTc8L3JlZi10eXBlPjxjb250cmlidXRvcnM+PGF1dGhvcnM+PGF1dGhvcj5XZWxj
aCwgVml2aWFuLjwvYXV0aG9yPjxhdXRob3I+R2hvZ29tdSwgRWxpemFiZXRoLjwvYXV0aG9yPjxh
dXRob3I+SG9zc2FpbiwgQWxvbWdpci48L2F1dGhvcj48YXV0aG9yPkFyb3JhLCBQYXVsLjwvYXV0
aG9yPjxhdXRob3I+Q291c2VucywgU2ltb24uPC9hdXRob3I+PGF1dGhvcj5HYWZmZXksIE1pY2hl
bGxlLjwvYXV0aG9yPjxhdXRob3I+UmlkZGxlLCBBbGlzb24uPC9hdXRob3I+PGF1dGhvcj5TYWxh
bSwgUmVoYW5hLjwvYXV0aG9yPjxhdXRob3I+VHVnd2VsbCwgUGV0ZXIuPC9hdXRob3I+PGF1dGhv
cj5CaHV0dGEsIFp1bGZpcWFyLjwvYXV0aG9yPjxhdXRob3I+V2VsbHMsIEdlb3JnZS48L2F1dGhv
cj48L2F1dGhvcnM+PC9jb250cmlidXRvcnM+PHRpdGxlcz48dGl0bGU+TWFzcyBkZXdvcm1pbmcg
Zm9yIGltcHJvdmluZyBoZWFsdGggYW5kIGNvZ25pdGlvbiBvZiBjaGlsZHJlbiBpbiBlbmRlbWlj
IGhlbG1pbnRoIGFyZWFzOiBhIHN5c3RlbWF0aWMgcmV2aWV3IGFuZCBpbmRpdmlkdWFsIHBhcnRp
Y2lwYW50IGRhdGEgbmV0d29yayBtZXRhLWFuYWx5c2lzPC90aXRsZT48c2Vjb25kYXJ5LXRpdGxl
PkNhbXBiZWxsIFN5c3RlbWF0aWMgUmV2aWV3cyA8L3NlY29uZGFyeS10aXRsZT48L3RpdGxlcz48
cGVyaW9kaWNhbD48ZnVsbC10aXRsZT5DYW1wYmVsbCBTeXN0ZW1hdGljIFJldmlld3M8L2Z1bGwt
dGl0bGU+PC9wZXJpb2RpY2FsPjx2b2x1bWU+MjAxODo0PC92b2x1bWU+PGRhdGVzPjx5ZWFyPjIw
MTg8L3llYXI+PC9kYXRlcz48dXJscz48L3VybHM+PC9yZWNvcmQ+PC9DaXRlPjwvRW5kTm90ZT5=
</w:fldData>
        </w:fldChar>
      </w:r>
      <w:r w:rsidR="00F0062F">
        <w:instrText xml:space="preserve"> ADDIN EN.CITE </w:instrText>
      </w:r>
      <w:r w:rsidR="00F0062F">
        <w:fldChar w:fldCharType="begin">
          <w:fldData xml:space="preserve">PEVuZE5vdGU+PENpdGU+PEF1dGhvcj5XZWxjaDwvQXV0aG9yPjxZZWFyPjIwMTg8L1llYXI+PFJl
Y051bT4xMjwvUmVjTnVtPjxEaXNwbGF5VGV4dD4oMTIpPC9EaXNwbGF5VGV4dD48cmVjb3JkPjxy
ZWMtbnVtYmVyPjEyPC9yZWMtbnVtYmVyPjxmb3JlaWduLWtleXM+PGtleSBhcHA9IkVOIiBkYi1p
ZD0iZXNlendyZmVwcHQ1YTBlZTkycXg1NXNocHQyd2F3cDJ0eGQ1IiB0aW1lc3RhbXA9IjE1NjEx
MjIyNDYiPjEyPC9rZXk+PC9mb3JlaWduLWtleXM+PHJlZi10eXBlIG5hbWU9IkpvdXJuYWwgQXJ0
aWNsZSI+MTc8L3JlZi10eXBlPjxjb250cmlidXRvcnM+PGF1dGhvcnM+PGF1dGhvcj5XZWxjaCwg
Vml2aWFuLjwvYXV0aG9yPjxhdXRob3I+R2hvZ29tdSwgRWxpemFiZXRoLjwvYXV0aG9yPjxhdXRo
b3I+SG9zc2FpbiwgQWxvbWdpci48L2F1dGhvcj48YXV0aG9yPkFyb3JhLCBQYXVsLjwvYXV0aG9y
PjxhdXRob3I+Q291c2VucywgU2ltb24uPC9hdXRob3I+PGF1dGhvcj5HYWZmZXksIE1pY2hlbGxl
LjwvYXV0aG9yPjxhdXRob3I+UmlkZGxlLCBBbGlzb24uPC9hdXRob3I+PGF1dGhvcj5TYWxhbSwg
UmVoYW5hLjwvYXV0aG9yPjxhdXRob3I+VHVnd2VsbCwgUGV0ZXIuPC9hdXRob3I+PGF1dGhvcj5C
aHV0dGEsIFp1bGZpcWFyLjwvYXV0aG9yPjxhdXRob3I+V2VsbHMsIEdlb3JnZS48L2F1dGhvcj48
L2F1dGhvcnM+PC9jb250cmlidXRvcnM+PHRpdGxlcz48dGl0bGU+TWFzcyBkZXdvcm1pbmcgZm9y
IGltcHJvdmluZyBoZWFsdGggYW5kIGNvZ25pdGlvbiBvZiBjaGlsZHJlbiBpbiBlbmRlbWljIGhl
bG1pbnRoIGFyZWFzOiBhIHN5c3RlbWF0aWMgcmV2aWV3IGFuZCBpbmRpdmlkdWFsIHBhcnRpY2lw
YW50IGRhdGEgbmV0d29yayBtZXRhLWFuYWx5c2lzPC90aXRsZT48c2Vjb25kYXJ5LXRpdGxlPkNh
bXBiZWxsIFN5c3RlbWF0aWMgUmV2aWV3cyA8L3NlY29uZGFyeS10aXRsZT48L3RpdGxlcz48cGVy
aW9kaWNhbD48ZnVsbC10aXRsZT5DYW1wYmVsbCBTeXN0ZW1hdGljIFJldmlld3M8L2Z1bGwtdGl0
bGU+PC9wZXJpb2RpY2FsPjx2b2x1bWU+MjAxODo0PC92b2x1bWU+PGRhdGVzPjx5ZWFyPjIwMTg8
L3llYXI+PC9kYXRlcz48dXJscz48L3VybHM+PC9yZWNvcmQ+PC9DaXRlPjxDaXRlPjxBdXRob3I+
V2VsY2g8L0F1dGhvcj48WWVhcj4yMDE4PC9ZZWFyPjxSZWNOdW0+MTI8L1JlY051bT48cmVjb3Jk
PjxyZWMtbnVtYmVyPjEyPC9yZWMtbnVtYmVyPjxmb3JlaWduLWtleXM+PGtleSBhcHA9IkVOIiBk
Yi1pZD0iZXNlendyZmVwcHQ1YTBlZTkycXg1NXNocHQyd2F3cDJ0eGQ1IiB0aW1lc3RhbXA9IjE1
NjExMjIyNDYiPjEyPC9rZXk+PC9mb3JlaWduLWtleXM+PHJlZi10eXBlIG5hbWU9IkpvdXJuYWwg
QXJ0aWNsZSI+MTc8L3JlZi10eXBlPjxjb250cmlidXRvcnM+PGF1dGhvcnM+PGF1dGhvcj5XZWxj
aCwgVml2aWFuLjwvYXV0aG9yPjxhdXRob3I+R2hvZ29tdSwgRWxpemFiZXRoLjwvYXV0aG9yPjxh
dXRob3I+SG9zc2FpbiwgQWxvbWdpci48L2F1dGhvcj48YXV0aG9yPkFyb3JhLCBQYXVsLjwvYXV0
aG9yPjxhdXRob3I+Q291c2VucywgU2ltb24uPC9hdXRob3I+PGF1dGhvcj5HYWZmZXksIE1pY2hl
bGxlLjwvYXV0aG9yPjxhdXRob3I+UmlkZGxlLCBBbGlzb24uPC9hdXRob3I+PGF1dGhvcj5TYWxh
bSwgUmVoYW5hLjwvYXV0aG9yPjxhdXRob3I+VHVnd2VsbCwgUGV0ZXIuPC9hdXRob3I+PGF1dGhv
cj5CaHV0dGEsIFp1bGZpcWFyLjwvYXV0aG9yPjxhdXRob3I+V2VsbHMsIEdlb3JnZS48L2F1dGhv
cj48L2F1dGhvcnM+PC9jb250cmlidXRvcnM+PHRpdGxlcz48dGl0bGU+TWFzcyBkZXdvcm1pbmcg
Zm9yIGltcHJvdmluZyBoZWFsdGggYW5kIGNvZ25pdGlvbiBvZiBjaGlsZHJlbiBpbiBlbmRlbWlj
IGhlbG1pbnRoIGFyZWFzOiBhIHN5c3RlbWF0aWMgcmV2aWV3IGFuZCBpbmRpdmlkdWFsIHBhcnRp
Y2lwYW50IGRhdGEgbmV0d29yayBtZXRhLWFuYWx5c2lzPC90aXRsZT48c2Vjb25kYXJ5LXRpdGxl
PkNhbXBiZWxsIFN5c3RlbWF0aWMgUmV2aWV3cyA8L3NlY29uZGFyeS10aXRsZT48L3RpdGxlcz48
cGVyaW9kaWNhbD48ZnVsbC10aXRsZT5DYW1wYmVsbCBTeXN0ZW1hdGljIFJldmlld3M8L2Z1bGwt
dGl0bGU+PC9wZXJpb2RpY2FsPjx2b2x1bWU+MjAxODo0PC92b2x1bWU+PGRhdGVzPjx5ZWFyPjIw
MTg8L3llYXI+PC9kYXRlcz48dXJscz48L3VybHM+PC9yZWNvcmQ+PC9DaXRlPjwvRW5kTm90ZT5=
</w:fldData>
        </w:fldChar>
      </w:r>
      <w:r w:rsidR="00F0062F">
        <w:instrText xml:space="preserve"> ADDIN EN.CITE.DATA </w:instrText>
      </w:r>
      <w:r w:rsidR="00F0062F">
        <w:fldChar w:fldCharType="end"/>
      </w:r>
      <w:r w:rsidR="00F0062F">
        <w:fldChar w:fldCharType="separate"/>
      </w:r>
      <w:r w:rsidR="00F0062F">
        <w:rPr>
          <w:noProof/>
        </w:rPr>
        <w:t>(</w:t>
      </w:r>
      <w:hyperlink w:anchor="_ENREF_12" w:tooltip="Welch, 2018 #12" w:history="1">
        <w:r w:rsidR="00BD5A89">
          <w:rPr>
            <w:noProof/>
          </w:rPr>
          <w:t>12</w:t>
        </w:r>
      </w:hyperlink>
      <w:r w:rsidR="00F0062F">
        <w:rPr>
          <w:noProof/>
        </w:rPr>
        <w:t>)</w:t>
      </w:r>
      <w:r w:rsidR="00F0062F">
        <w:fldChar w:fldCharType="end"/>
      </w:r>
      <w:r w:rsidR="006607A2" w:rsidRPr="00B70704">
        <w:fldChar w:fldCharType="begin" w:fldLock="1"/>
      </w:r>
      <w:r w:rsidR="006B5CB3" w:rsidRPr="00B70704">
        <w:instrText>ADDIN CSL_CITATION {"citationItems":[{"id":"ITEM-1","itemData":{"author":[{"dropping-particle":"","family":"Welch","given":"Vivian","non-dropping-particle":"","parse-names":false,"suffix":""},{"dropping-particle":"","family":"Ghogomu","given":"Elizabeth","non-dropping-particle":"","parse-names":false,"suffix":""},{"dropping-particle":"","family":"Hossain","given":"Alomgir","non-dropping-particle":"","parse-names":false,"suffix":""},{"dropping-particle":"","family":"Arora","given":"Paul","non-dropping-particle":"","parse-names":false,"suffix":""},{"dropping-particle":"","family":"Cousens","given":"Simon","non-dropping-particle":"","parse-names":false,"suffix":""},{"dropping-particle":"","family":"Gaffey","given":"Michelle","non-dropping-particle":"","parse-names":false,"suffix":""},{"dropping-particle":"","family":"Riddle","given":"Alison","non-dropping-particle":"","parse-names":false,"suffix":""},{"dropping-particle":"","family":"Salam","given":"Rehana","non-dropping-particle":"","parse-names":false,"suffix":""},{"dropping-particle":"","family":"Tugwell","given":"Peter","non-dropping-particle":"","parse-names":false,"suffix":""},{"dropping-particle":"","family":"Bhutta","given":"Zulfiqar","non-dropping-particle":"","parse-names":false,"suffix":""},{"dropping-particle":"","family":"Wells","given":"George A","non-dropping-particle":"","parse-names":false,"suffix":""},{"dropping-particle":"","family":"Black","given":"Robert","non-dropping-particle":"","parse-names":false,"suffix":""},{"dropping-particle":"","family":"Holland","given":"Celia","non-dropping-particle":"","parse-names":false,"suffix":""},{"dropping-particle":"","family":"Hollingsworth","given":"Deirdre","non-dropping-particle":"","parse-names":false,"suffix":""},{"dropping-particle":"","family":"Horton","given":"Sue","non-dropping-particle":"","parse-names":false,"suffix":""},{"dropping-particle":"","family":"Wijeseker","given":"Sanjay","non-dropping-particle":"","parse-names":false,"suffix":""}],"container-title":"Campbell Systematic Reviews","id":"ITEM-1","issued":{"date-parts":[["2018"]]},"title":"Mass deworming for improving health and cognition of children in endemic helminth areas: a systematic review and individual participant data network meta-analysis","type":"article-journal"},"uris":["http://www.mendeley.com/documents/?uuid=379eedc1-9109-3c98-980c-69660b512158"]}],"mendeley":{"formattedCitation":"(11)","plainTextFormattedCitation":"(11)","previouslyFormattedCitation":"(11)"},"properties":{"noteIndex":0},"schema":"https://github.com/citation-style-language/schema/raw/master/csl-citation.json"}</w:instrText>
      </w:r>
      <w:r w:rsidR="006607A2" w:rsidRPr="00B70704">
        <w:fldChar w:fldCharType="end"/>
      </w:r>
      <w:r w:rsidR="009A71B3" w:rsidRPr="00B70704">
        <w:t>.</w:t>
      </w:r>
    </w:p>
    <w:p w14:paraId="647329ED" w14:textId="7014BF9D" w:rsidR="003255FE" w:rsidRPr="00B70704" w:rsidRDefault="003255FE" w:rsidP="007309C5">
      <w:pPr>
        <w:spacing w:line="480" w:lineRule="auto"/>
      </w:pPr>
      <w:r w:rsidRPr="00B70704">
        <w:t xml:space="preserve">We conducted </w:t>
      </w:r>
      <w:r w:rsidR="004F20B5" w:rsidRPr="00B70704">
        <w:t xml:space="preserve">planned </w:t>
      </w:r>
      <w:r w:rsidRPr="00B70704">
        <w:t xml:space="preserve">sensitivity analyses </w:t>
      </w:r>
      <w:r w:rsidR="0039421F" w:rsidRPr="00B70704">
        <w:t xml:space="preserve">restricting to studies with low </w:t>
      </w:r>
      <w:r w:rsidRPr="00B70704">
        <w:t>risk of bias</w:t>
      </w:r>
      <w:r w:rsidR="004F20B5" w:rsidRPr="00B70704">
        <w:t xml:space="preserve"> for allocation concealment and</w:t>
      </w:r>
      <w:r w:rsidRPr="00B70704">
        <w:t xml:space="preserve"> without imputation (</w:t>
      </w:r>
      <w:r w:rsidR="004F20B5" w:rsidRPr="00B70704">
        <w:t xml:space="preserve">i.e. complete case analysis).  </w:t>
      </w:r>
    </w:p>
    <w:p w14:paraId="311C4915" w14:textId="520C8872" w:rsidR="003255FE" w:rsidRPr="00B70704" w:rsidRDefault="00EE4CBD" w:rsidP="007309C5">
      <w:pPr>
        <w:spacing w:line="480" w:lineRule="auto"/>
      </w:pPr>
      <w:r w:rsidRPr="00B70704">
        <w:t>We developed a summary of findings table for STH deworming vs</w:t>
      </w:r>
      <w:r w:rsidR="00851A82" w:rsidRPr="00B70704">
        <w:t>.</w:t>
      </w:r>
      <w:r w:rsidRPr="00B70704">
        <w:t xml:space="preserve"> </w:t>
      </w:r>
      <w:r w:rsidR="000C7888" w:rsidRPr="00B70704">
        <w:t>placebo, and assessed GRADE certainty for each outcome</w:t>
      </w:r>
      <w:r w:rsidR="00F0062F">
        <w:fldChar w:fldCharType="begin"/>
      </w:r>
      <w:r w:rsidR="00F0062F">
        <w:instrText xml:space="preserve"> ADDIN EN.CITE &lt;EndNote&gt;&lt;Cite&gt;&lt;Author&gt;Puhan&lt;/Author&gt;&lt;Year&gt;2014&lt;/Year&gt;&lt;RecNum&gt;18&lt;/RecNum&gt;&lt;DisplayText&gt;(18)&lt;/DisplayText&gt;&lt;record&gt;&lt;rec-number&gt;18&lt;/rec-number&gt;&lt;foreign-keys&gt;&lt;key app="EN" db-id="esezwrfeppt5a0ee92qx55shpt2wawp2txd5" timestamp="1561122247"&gt;18&lt;/key&gt;&lt;/foreign-keys&gt;&lt;ref-type name="Journal Article"&gt;17&lt;/ref-type&gt;&lt;contributors&gt;&lt;authors&gt;&lt;author&gt;Puhan, Milo A&lt;/author&gt;&lt;author&gt;Schünemann, Holger J&lt;/author&gt;&lt;author&gt;Murad, Mohammad Hassan&lt;/author&gt;&lt;author&gt;Li, Tianjing&lt;/author&gt;&lt;author&gt;Brignardello-Petersen, Romina&lt;/author&gt;&lt;author&gt;Singh, Jasvinder A&lt;/author&gt;&lt;author&gt;Kessels, Alfons G&lt;/author&gt;&lt;author&gt;Guyatt, Gordon H&lt;/author&gt;&lt;/authors&gt;&lt;/contributors&gt;&lt;titles&gt;&lt;title&gt;A GRADE Working Group approach for rating the quality of treatment effect estimates from network meta-analysis&lt;/title&gt;&lt;secondary-title&gt;Bmj&lt;/secondary-title&gt;&lt;/titles&gt;&lt;periodical&gt;&lt;full-title&gt;Bmj&lt;/full-title&gt;&lt;/periodical&gt;&lt;pages&gt;g5630&lt;/pages&gt;&lt;volume&gt;349&lt;/volume&gt;&lt;dates&gt;&lt;year&gt;2014&lt;/year&gt;&lt;/dates&gt;&lt;isbn&gt;1756-1833&lt;/isbn&gt;&lt;urls&gt;&lt;/urls&gt;&lt;/record&gt;&lt;/Cite&gt;&lt;/EndNote&gt;</w:instrText>
      </w:r>
      <w:r w:rsidR="00F0062F">
        <w:fldChar w:fldCharType="separate"/>
      </w:r>
      <w:r w:rsidR="00F0062F">
        <w:rPr>
          <w:noProof/>
        </w:rPr>
        <w:t>(</w:t>
      </w:r>
      <w:hyperlink w:anchor="_ENREF_18" w:tooltip="Puhan, 2014 #18" w:history="1">
        <w:r w:rsidR="00BD5A89">
          <w:rPr>
            <w:noProof/>
          </w:rPr>
          <w:t>18</w:t>
        </w:r>
      </w:hyperlink>
      <w:r w:rsidR="00F0062F">
        <w:rPr>
          <w:noProof/>
        </w:rPr>
        <w:t>)</w:t>
      </w:r>
      <w:r w:rsidR="00F0062F">
        <w:fldChar w:fldCharType="end"/>
      </w:r>
      <w:r w:rsidR="000C7888" w:rsidRPr="00B70704">
        <w:t>.</w:t>
      </w:r>
    </w:p>
    <w:p w14:paraId="252C7842" w14:textId="137C3009" w:rsidR="004F20B5" w:rsidRDefault="004F20B5" w:rsidP="007309C5">
      <w:pPr>
        <w:spacing w:line="480" w:lineRule="auto"/>
      </w:pPr>
      <w:r w:rsidRPr="00B70704">
        <w:t xml:space="preserve">We met with our advisory board </w:t>
      </w:r>
      <w:r w:rsidR="00F959C8" w:rsidRPr="00B70704">
        <w:t xml:space="preserve">in </w:t>
      </w:r>
      <w:r w:rsidR="003922B1" w:rsidRPr="00B70704">
        <w:t>November 2016</w:t>
      </w:r>
      <w:r w:rsidR="00F959C8" w:rsidRPr="00B70704">
        <w:t xml:space="preserve">, </w:t>
      </w:r>
      <w:r w:rsidR="003922B1" w:rsidRPr="00B70704">
        <w:t>July 2017</w:t>
      </w:r>
      <w:r w:rsidR="00F959C8" w:rsidRPr="00B70704">
        <w:t xml:space="preserve"> and March 2018</w:t>
      </w:r>
      <w:r w:rsidRPr="00B70704">
        <w:t xml:space="preserve">.  </w:t>
      </w:r>
      <w:r w:rsidR="00F959C8" w:rsidRPr="00B70704">
        <w:t xml:space="preserve">Trial authors </w:t>
      </w:r>
      <w:r w:rsidR="008D3AA8" w:rsidRPr="00B70704">
        <w:t>met</w:t>
      </w:r>
      <w:r w:rsidRPr="00B70704">
        <w:t xml:space="preserve"> twice to </w:t>
      </w:r>
      <w:r w:rsidR="00F959C8" w:rsidRPr="00B70704">
        <w:t>discuss</w:t>
      </w:r>
      <w:r w:rsidRPr="00B70704">
        <w:t xml:space="preserve"> results </w:t>
      </w:r>
      <w:r w:rsidR="003922B1" w:rsidRPr="00B70704">
        <w:t>(November 2017, March 2018)</w:t>
      </w:r>
      <w:r w:rsidRPr="00B70704">
        <w:t xml:space="preserve">.  This study was approved by the </w:t>
      </w:r>
      <w:r w:rsidR="0039421F" w:rsidRPr="00B70704">
        <w:t>Bruyère</w:t>
      </w:r>
      <w:r w:rsidRPr="00B70704">
        <w:t xml:space="preserve"> Research Institute and Sick</w:t>
      </w:r>
      <w:r w:rsidR="0039421F" w:rsidRPr="00B70704">
        <w:t>K</w:t>
      </w:r>
      <w:r w:rsidRPr="00B70704">
        <w:t>ids research ethics boards.</w:t>
      </w:r>
    </w:p>
    <w:p w14:paraId="12138E3E" w14:textId="5D5F3BB8" w:rsidR="000C7888" w:rsidRDefault="000C7888" w:rsidP="000C7888">
      <w:pPr>
        <w:spacing w:line="480" w:lineRule="auto"/>
      </w:pPr>
      <w:r>
        <w:t>The evidence network and composition of the nodes were decided based on clinical and methodological reasons with our advisory board</w:t>
      </w:r>
      <w:r w:rsidR="00F0062F">
        <w:fldChar w:fldCharType="begin"/>
      </w:r>
      <w:r w:rsidR="00F0062F">
        <w:instrText xml:space="preserve"> ADDIN EN.CITE &lt;EndNote&gt;&lt;Cite&gt;&lt;Author&gt;Giovane&lt;/Author&gt;&lt;Year&gt;2013&lt;/Year&gt;&lt;RecNum&gt;19&lt;/RecNum&gt;&lt;DisplayText&gt;(19)&lt;/DisplayText&gt;&lt;record&gt;&lt;rec-number&gt;19&lt;/rec-number&gt;&lt;foreign-keys&gt;&lt;key app="EN" db-id="esezwrfeppt5a0ee92qx55shpt2wawp2txd5" timestamp="1561122247"&gt;19&lt;/key&gt;&lt;/foreign-keys&gt;&lt;ref-type name="Journal Article"&gt;17&lt;/ref-type&gt;&lt;contributors&gt;&lt;authors&gt;&lt;author&gt;Giovane, Cinzia Del&lt;/author&gt;&lt;author&gt;Vacchi, Laura&lt;/author&gt;&lt;author&gt;Mavridis, Dimitris&lt;/author&gt;&lt;author&gt;Filippini, Graziella&lt;/author&gt;&lt;author&gt;Salanti, Georgia %J Statistics in Medicine&lt;/author&gt;&lt;/authors&gt;&lt;/contributors&gt;&lt;titles&gt;&lt;title&gt;Network meta‐analysis models to account for variability in treatment definitions: application to dose effects&lt;/title&gt;&lt;/titles&gt;&lt;pages&gt;25-39&lt;/pages&gt;&lt;volume&gt;32&lt;/volume&gt;&lt;number&gt;1&lt;/number&gt;&lt;dates&gt;&lt;year&gt;2013&lt;/year&gt;&lt;/dates&gt;&lt;isbn&gt;0277-6715&lt;/isbn&gt;&lt;urls&gt;&lt;/urls&gt;&lt;/record&gt;&lt;/Cite&gt;&lt;/EndNote&gt;</w:instrText>
      </w:r>
      <w:r w:rsidR="00F0062F">
        <w:fldChar w:fldCharType="separate"/>
      </w:r>
      <w:r w:rsidR="00F0062F">
        <w:rPr>
          <w:noProof/>
        </w:rPr>
        <w:t>(</w:t>
      </w:r>
      <w:hyperlink w:anchor="_ENREF_19" w:tooltip="Giovane, 2013 #19" w:history="1">
        <w:r w:rsidR="00BD5A89">
          <w:rPr>
            <w:noProof/>
          </w:rPr>
          <w:t>19</w:t>
        </w:r>
      </w:hyperlink>
      <w:r w:rsidR="00F0062F">
        <w:rPr>
          <w:noProof/>
        </w:rPr>
        <w:t>)</w:t>
      </w:r>
      <w:r w:rsidR="00F0062F">
        <w:fldChar w:fldCharType="end"/>
      </w:r>
      <w:r>
        <w:t>.</w:t>
      </w:r>
    </w:p>
    <w:p w14:paraId="360E3659" w14:textId="77777777" w:rsidR="00015505" w:rsidRPr="00037832" w:rsidRDefault="00015505" w:rsidP="007309C5">
      <w:pPr>
        <w:pStyle w:val="Heading1"/>
        <w:spacing w:line="480" w:lineRule="auto"/>
        <w:rPr>
          <w:rFonts w:asciiTheme="minorHAnsi" w:hAnsiTheme="minorHAnsi"/>
        </w:rPr>
      </w:pPr>
      <w:r w:rsidRPr="00037832">
        <w:rPr>
          <w:rFonts w:asciiTheme="minorHAnsi" w:hAnsiTheme="minorHAnsi"/>
        </w:rPr>
        <w:lastRenderedPageBreak/>
        <w:t>Results</w:t>
      </w:r>
    </w:p>
    <w:p w14:paraId="134494AD" w14:textId="77777777" w:rsidR="000C7888" w:rsidRPr="00BC2403" w:rsidRDefault="000C7888" w:rsidP="000C7888">
      <w:pPr>
        <w:pStyle w:val="Heading2"/>
        <w:rPr>
          <w:rFonts w:asciiTheme="minorHAnsi" w:hAnsiTheme="minorHAnsi"/>
          <w:i w:val="0"/>
        </w:rPr>
      </w:pPr>
      <w:r w:rsidRPr="00BC2403">
        <w:rPr>
          <w:rFonts w:asciiTheme="minorHAnsi" w:hAnsiTheme="minorHAnsi"/>
          <w:i w:val="0"/>
        </w:rPr>
        <w:t>Search and study identification</w:t>
      </w:r>
    </w:p>
    <w:p w14:paraId="0CDA80E5" w14:textId="0A2DD01C" w:rsidR="003255FE" w:rsidRPr="00B70704" w:rsidRDefault="003255FE" w:rsidP="007309C5">
      <w:pPr>
        <w:spacing w:line="480" w:lineRule="auto"/>
      </w:pPr>
      <w:r w:rsidRPr="00B70704">
        <w:t xml:space="preserve">We screened </w:t>
      </w:r>
      <w:r w:rsidR="00DB2BB5" w:rsidRPr="00B70704">
        <w:t>14034</w:t>
      </w:r>
      <w:r w:rsidRPr="00B70704">
        <w:t xml:space="preserve"> title</w:t>
      </w:r>
      <w:r w:rsidR="00877D7D" w:rsidRPr="00B70704">
        <w:t>s</w:t>
      </w:r>
      <w:r w:rsidRPr="00B70704">
        <w:t xml:space="preserve"> and abstract</w:t>
      </w:r>
      <w:r w:rsidR="00877D7D" w:rsidRPr="00B70704">
        <w:t>s</w:t>
      </w:r>
      <w:r w:rsidRPr="00B70704">
        <w:t xml:space="preserve">.  </w:t>
      </w:r>
      <w:r w:rsidR="004F20B5" w:rsidRPr="00B70704">
        <w:t>340</w:t>
      </w:r>
      <w:r w:rsidRPr="00B70704">
        <w:t xml:space="preserve"> studies were screened in full-text.  </w:t>
      </w:r>
      <w:r w:rsidR="00747F81" w:rsidRPr="00B70704">
        <w:t>55</w:t>
      </w:r>
      <w:r w:rsidRPr="00B70704">
        <w:t xml:space="preserve"> studies were considered eligible (</w:t>
      </w:r>
      <w:r w:rsidR="000C7888" w:rsidRPr="00186BF4">
        <w:t>Fig</w:t>
      </w:r>
      <w:r w:rsidR="00186BF4" w:rsidRPr="00186BF4">
        <w:t xml:space="preserve"> 1</w:t>
      </w:r>
      <w:r w:rsidRPr="00B70704">
        <w:t>).</w:t>
      </w:r>
      <w:r w:rsidR="004F20B5" w:rsidRPr="00B70704">
        <w:t xml:space="preserve"> Reasons for exclusion at</w:t>
      </w:r>
      <w:r w:rsidR="008D3AA8" w:rsidRPr="00B70704">
        <w:t xml:space="preserve"> </w:t>
      </w:r>
      <w:r w:rsidR="004F20B5" w:rsidRPr="00B70704">
        <w:t xml:space="preserve">full-text were </w:t>
      </w:r>
      <w:r w:rsidR="00F62802" w:rsidRPr="00B70704">
        <w:t xml:space="preserve">not </w:t>
      </w:r>
      <w:r w:rsidR="00F959C8" w:rsidRPr="00B70704">
        <w:t>randomized or quasi-randomized trial</w:t>
      </w:r>
      <w:r w:rsidR="004F20B5" w:rsidRPr="00B70704">
        <w:t xml:space="preserve"> (n=</w:t>
      </w:r>
      <w:r w:rsidR="00DB2BB5" w:rsidRPr="00B70704">
        <w:t>262</w:t>
      </w:r>
      <w:r w:rsidR="004F20B5" w:rsidRPr="00B70704">
        <w:t>), no baseline infection intensity (n=</w:t>
      </w:r>
      <w:r w:rsidR="00DB2BB5" w:rsidRPr="00B70704">
        <w:t>14</w:t>
      </w:r>
      <w:r w:rsidR="004F20B5" w:rsidRPr="00B70704">
        <w:t xml:space="preserve">) or too short (9 </w:t>
      </w:r>
      <w:r w:rsidR="00747F81" w:rsidRPr="00B70704">
        <w:t xml:space="preserve">studies </w:t>
      </w:r>
      <w:r w:rsidR="004F20B5" w:rsidRPr="00B70704">
        <w:t>were &lt;4 months</w:t>
      </w:r>
      <w:r w:rsidR="00747F81" w:rsidRPr="00B70704">
        <w:t xml:space="preserve"> duration</w:t>
      </w:r>
      <w:r w:rsidR="000C7888" w:rsidRPr="00B70704">
        <w:t>)</w:t>
      </w:r>
      <w:r w:rsidR="00C1310D">
        <w:t xml:space="preserve"> (S</w:t>
      </w:r>
      <w:r w:rsidR="007C3A13" w:rsidRPr="00037832">
        <w:rPr>
          <w:rStyle w:val="CommentReference"/>
          <w:sz w:val="22"/>
          <w:szCs w:val="22"/>
        </w:rPr>
        <w:t>3</w:t>
      </w:r>
      <w:r w:rsidR="00C1310D">
        <w:t xml:space="preserve"> Appendix</w:t>
      </w:r>
      <w:r w:rsidR="004F20B5" w:rsidRPr="00B70704">
        <w:t>).</w:t>
      </w:r>
    </w:p>
    <w:p w14:paraId="63D2F16C" w14:textId="77777777" w:rsidR="000C7888" w:rsidRDefault="000C7888" w:rsidP="000C7888">
      <w:pPr>
        <w:spacing w:line="480" w:lineRule="auto"/>
      </w:pPr>
      <w:r>
        <w:t>We obtained data from only two trials of deworming for schistosomiasis (2/14 studies).  The advisory board decided not to analyze these since results would not be representative of the totality of the evidence.</w:t>
      </w:r>
    </w:p>
    <w:p w14:paraId="2E84B505" w14:textId="77777777" w:rsidR="000C7888" w:rsidRPr="00BC2403" w:rsidRDefault="000C7888" w:rsidP="000C7888">
      <w:pPr>
        <w:spacing w:line="480" w:lineRule="auto"/>
        <w:rPr>
          <w:b/>
        </w:rPr>
      </w:pPr>
      <w:r w:rsidRPr="00BC2403">
        <w:rPr>
          <w:b/>
        </w:rPr>
        <w:t>Fig 1. PRISMA Flow chart of searches up to March 27, 2018</w:t>
      </w:r>
    </w:p>
    <w:p w14:paraId="614E1E59" w14:textId="4E1193F3" w:rsidR="00D077E6" w:rsidRPr="00037832" w:rsidRDefault="00D077E6" w:rsidP="007309C5">
      <w:pPr>
        <w:spacing w:line="480" w:lineRule="auto"/>
        <w:rPr>
          <w:lang w:val="en-US"/>
        </w:rPr>
      </w:pPr>
      <w:r w:rsidRPr="00B70704">
        <w:t xml:space="preserve">We obtained </w:t>
      </w:r>
      <w:r w:rsidR="008D3AA8" w:rsidRPr="00B70704">
        <w:t xml:space="preserve">data for </w:t>
      </w:r>
      <w:r w:rsidR="00A0467D" w:rsidRPr="00B70704">
        <w:t>79% of children (</w:t>
      </w:r>
      <w:r w:rsidR="000C7888" w:rsidRPr="00B70704">
        <w:t>31</w:t>
      </w:r>
      <w:r w:rsidR="000C7888">
        <w:t>,</w:t>
      </w:r>
      <w:r w:rsidR="000C7888" w:rsidRPr="00B70704">
        <w:t>945</w:t>
      </w:r>
      <w:r w:rsidR="00A0467D" w:rsidRPr="00B70704">
        <w:t xml:space="preserve"> of </w:t>
      </w:r>
      <w:r w:rsidR="000C7888" w:rsidRPr="00B70704">
        <w:t>40</w:t>
      </w:r>
      <w:r w:rsidR="000C7888">
        <w:t>,</w:t>
      </w:r>
      <w:r w:rsidR="000C7888" w:rsidRPr="00B70704">
        <w:t>525</w:t>
      </w:r>
      <w:r w:rsidR="00A0467D" w:rsidRPr="00B70704">
        <w:t>)</w:t>
      </w:r>
      <w:r w:rsidR="00A0467D">
        <w:t xml:space="preserve"> randomized to eligible studies </w:t>
      </w:r>
      <w:r w:rsidR="000C7888">
        <w:t xml:space="preserve">of STH deworming </w:t>
      </w:r>
      <w:r w:rsidR="00A0467D">
        <w:t>(</w:t>
      </w:r>
      <w:r w:rsidR="000C64BD">
        <w:t>19 of 42</w:t>
      </w:r>
      <w:r w:rsidRPr="00B70704">
        <w:t xml:space="preserve"> eligible </w:t>
      </w:r>
      <w:r w:rsidR="000C7888">
        <w:t xml:space="preserve">published </w:t>
      </w:r>
      <w:r w:rsidR="000C7888" w:rsidRPr="00B70704">
        <w:t>trials</w:t>
      </w:r>
      <w:r w:rsidR="000C7888">
        <w:t>).  For the 2</w:t>
      </w:r>
      <w:r w:rsidR="000C64BD">
        <w:t>2</w:t>
      </w:r>
      <w:r w:rsidR="000C7888">
        <w:t xml:space="preserve"> studies that we could not retrieve, r</w:t>
      </w:r>
      <w:r w:rsidR="000C7888" w:rsidRPr="00B70704">
        <w:t>easons</w:t>
      </w:r>
      <w:r w:rsidR="0074337C" w:rsidRPr="00B70704">
        <w:t xml:space="preserve"> for not providing data were </w:t>
      </w:r>
      <w:r w:rsidR="000C7888">
        <w:t xml:space="preserve">non-response (n=7 studies), </w:t>
      </w:r>
      <w:r w:rsidR="0074337C" w:rsidRPr="00B70704">
        <w:t xml:space="preserve">lost </w:t>
      </w:r>
      <w:r w:rsidR="00767EE6" w:rsidRPr="00B70704">
        <w:t xml:space="preserve">data </w:t>
      </w:r>
      <w:r w:rsidR="0074337C" w:rsidRPr="00B70704">
        <w:t xml:space="preserve">(n=10 studies) and administrative issues (n=5).  </w:t>
      </w:r>
      <w:r w:rsidR="0039421F" w:rsidRPr="00B70704">
        <w:rPr>
          <w:lang w:val="en-US"/>
        </w:rPr>
        <w:t>For studies conducted before 2000, we recei</w:t>
      </w:r>
      <w:r w:rsidR="00641412" w:rsidRPr="00B70704">
        <w:rPr>
          <w:lang w:val="en-US"/>
        </w:rPr>
        <w:t xml:space="preserve">ved only 4 of 19 </w:t>
      </w:r>
      <w:r w:rsidR="000C7888">
        <w:rPr>
          <w:lang w:val="en-US"/>
        </w:rPr>
        <w:t xml:space="preserve">STH deworming </w:t>
      </w:r>
      <w:r w:rsidR="00641412" w:rsidRPr="00B70704">
        <w:rPr>
          <w:lang w:val="en-US"/>
        </w:rPr>
        <w:t>studies (21%)</w:t>
      </w:r>
      <w:r w:rsidR="0039421F" w:rsidRPr="00B70704">
        <w:rPr>
          <w:lang w:val="en-US"/>
        </w:rPr>
        <w:t>.</w:t>
      </w:r>
      <w:r w:rsidR="000C7888">
        <w:rPr>
          <w:lang w:val="en-US"/>
        </w:rPr>
        <w:t xml:space="preserve"> </w:t>
      </w:r>
    </w:p>
    <w:p w14:paraId="5A786961" w14:textId="77777777" w:rsidR="008D545A" w:rsidRPr="00037832" w:rsidRDefault="008D545A" w:rsidP="008D545A">
      <w:pPr>
        <w:pStyle w:val="Heading2"/>
        <w:tabs>
          <w:tab w:val="clear" w:pos="426"/>
        </w:tabs>
        <w:ind w:left="0" w:firstLine="0"/>
        <w:rPr>
          <w:rFonts w:asciiTheme="minorHAnsi" w:hAnsiTheme="minorHAnsi"/>
          <w:i w:val="0"/>
          <w:lang w:val="en-US"/>
        </w:rPr>
      </w:pPr>
      <w:r w:rsidRPr="00037832">
        <w:rPr>
          <w:rFonts w:asciiTheme="minorHAnsi" w:hAnsiTheme="minorHAnsi"/>
          <w:i w:val="0"/>
          <w:lang w:val="en-US"/>
        </w:rPr>
        <w:t xml:space="preserve">Comparison of studies retrieved with those not retrieved </w:t>
      </w:r>
    </w:p>
    <w:p w14:paraId="586FA333" w14:textId="7C6E5033" w:rsidR="008D545A" w:rsidRPr="00037832" w:rsidRDefault="008D545A" w:rsidP="008D545A">
      <w:pPr>
        <w:spacing w:line="480" w:lineRule="auto"/>
      </w:pPr>
      <w:r w:rsidRPr="00037832">
        <w:t>We used aggregate data from our previous Campbell review to compare studies of deworming for STH vs. placebo for which we received data compared to those for which data was not received.  The effects on weight gain was 0.02 kg (-0.04 to 0.08) for studies received vs. 0.17 kg (-0.11, 0.44) for those not received (interaction test for subgroup differences: p=0.31).</w:t>
      </w:r>
      <w:r w:rsidR="00037832">
        <w:t xml:space="preserve"> S</w:t>
      </w:r>
      <w:r w:rsidRPr="00037832">
        <w:t>tudies for which we did not receive IPD had a larger pooled effect size on weight gain with a wider confidence interval.</w:t>
      </w:r>
    </w:p>
    <w:p w14:paraId="37F88986" w14:textId="77777777" w:rsidR="000C7888" w:rsidRPr="00BC2403" w:rsidRDefault="000C7888" w:rsidP="000C7888">
      <w:pPr>
        <w:pStyle w:val="Heading2"/>
        <w:rPr>
          <w:rFonts w:asciiTheme="minorHAnsi" w:hAnsiTheme="minorHAnsi"/>
          <w:i w:val="0"/>
        </w:rPr>
      </w:pPr>
      <w:r w:rsidRPr="00BC2403">
        <w:rPr>
          <w:rFonts w:asciiTheme="minorHAnsi" w:hAnsiTheme="minorHAnsi"/>
          <w:i w:val="0"/>
        </w:rPr>
        <w:t>Description of studies</w:t>
      </w:r>
    </w:p>
    <w:p w14:paraId="51A0EC1C" w14:textId="53831BBF" w:rsidR="000C7888" w:rsidRDefault="003504E7" w:rsidP="000C7888">
      <w:pPr>
        <w:spacing w:line="480" w:lineRule="auto"/>
        <w:rPr>
          <w:lang w:val="en-US"/>
        </w:rPr>
      </w:pPr>
      <w:r w:rsidRPr="00B70704">
        <w:t xml:space="preserve">The studies </w:t>
      </w:r>
      <w:r w:rsidR="006A108B" w:rsidRPr="00B70704">
        <w:t xml:space="preserve">were conducted </w:t>
      </w:r>
      <w:r w:rsidR="009B4CE8" w:rsidRPr="00B70704">
        <w:t>globally</w:t>
      </w:r>
      <w:r w:rsidR="006A108B" w:rsidRPr="00B70704">
        <w:t xml:space="preserve"> (</w:t>
      </w:r>
      <w:r w:rsidR="009E5CF3" w:rsidRPr="00B70704">
        <w:t xml:space="preserve">Table </w:t>
      </w:r>
      <w:r w:rsidR="000C7888">
        <w:t>1</w:t>
      </w:r>
      <w:r w:rsidR="000C7888" w:rsidRPr="00B70704">
        <w:t>;</w:t>
      </w:r>
      <w:r w:rsidR="000C7888">
        <w:t xml:space="preserve"> Fig 2; S1 Table</w:t>
      </w:r>
      <w:r w:rsidR="000C7888" w:rsidRPr="00B70704">
        <w:t>).</w:t>
      </w:r>
      <w:r w:rsidR="006A108B" w:rsidRPr="00B70704">
        <w:t xml:space="preserve">  </w:t>
      </w:r>
      <w:r w:rsidR="009B4CE8" w:rsidRPr="00B70704">
        <w:rPr>
          <w:lang w:val="en-US"/>
        </w:rPr>
        <w:t xml:space="preserve">Children were a median of </w:t>
      </w:r>
      <w:r w:rsidR="000C7888">
        <w:rPr>
          <w:lang w:val="en-US"/>
        </w:rPr>
        <w:t>10.8</w:t>
      </w:r>
      <w:r w:rsidR="009B4CE8" w:rsidRPr="00B70704">
        <w:rPr>
          <w:lang w:val="en-US"/>
        </w:rPr>
        <w:t xml:space="preserve"> years old</w:t>
      </w:r>
      <w:r w:rsidR="000C7888">
        <w:rPr>
          <w:lang w:val="en-US"/>
        </w:rPr>
        <w:t xml:space="preserve"> at enrolment (interquartile range: 8.8 to 13.0) according to IPD</w:t>
      </w:r>
      <w:r w:rsidR="009B4CE8" w:rsidRPr="00B70704">
        <w:rPr>
          <w:lang w:val="en-US"/>
        </w:rPr>
        <w:t xml:space="preserve">, </w:t>
      </w:r>
      <w:r w:rsidR="0039421F" w:rsidRPr="00B70704">
        <w:rPr>
          <w:lang w:val="en-US"/>
        </w:rPr>
        <w:t xml:space="preserve"> medi</w:t>
      </w:r>
      <w:r w:rsidR="009B4CE8" w:rsidRPr="00B70704">
        <w:rPr>
          <w:lang w:val="en-US"/>
        </w:rPr>
        <w:t xml:space="preserve">an study duration was </w:t>
      </w:r>
      <w:r w:rsidR="000C7888">
        <w:rPr>
          <w:lang w:val="en-US"/>
        </w:rPr>
        <w:t>12</w:t>
      </w:r>
      <w:r w:rsidR="009B4CE8" w:rsidRPr="00B70704">
        <w:rPr>
          <w:lang w:val="en-US"/>
        </w:rPr>
        <w:t xml:space="preserve"> months</w:t>
      </w:r>
      <w:r w:rsidR="000C7888">
        <w:rPr>
          <w:lang w:val="en-US"/>
        </w:rPr>
        <w:t xml:space="preserve"> </w:t>
      </w:r>
      <w:r w:rsidR="000C7888">
        <w:rPr>
          <w:lang w:val="en-US"/>
        </w:rPr>
        <w:lastRenderedPageBreak/>
        <w:t>(range 4 months to 45 months)</w:t>
      </w:r>
      <w:r w:rsidR="000C7888" w:rsidRPr="00B70704">
        <w:rPr>
          <w:lang w:val="en-US"/>
        </w:rPr>
        <w:t>,</w:t>
      </w:r>
      <w:r w:rsidR="009B4CE8" w:rsidRPr="00B70704">
        <w:rPr>
          <w:lang w:val="en-US"/>
        </w:rPr>
        <w:t xml:space="preserve"> m</w:t>
      </w:r>
      <w:r w:rsidR="00474FA2" w:rsidRPr="00B70704">
        <w:rPr>
          <w:lang w:val="en-US"/>
        </w:rPr>
        <w:t>edian frequency of deworming was every 4 months</w:t>
      </w:r>
      <w:r w:rsidR="000C7888">
        <w:rPr>
          <w:lang w:val="en-US"/>
        </w:rPr>
        <w:t xml:space="preserve"> (range: 2 to 8 months)</w:t>
      </w:r>
      <w:r w:rsidR="000C7888" w:rsidRPr="00B70704">
        <w:rPr>
          <w:lang w:val="en-US"/>
        </w:rPr>
        <w:t>,</w:t>
      </w:r>
      <w:r w:rsidR="00474FA2" w:rsidRPr="00B70704">
        <w:rPr>
          <w:lang w:val="en-US"/>
        </w:rPr>
        <w:t xml:space="preserve"> and </w:t>
      </w:r>
      <w:r w:rsidR="00A3338A">
        <w:rPr>
          <w:lang w:val="en-US"/>
        </w:rPr>
        <w:t>7</w:t>
      </w:r>
      <w:r w:rsidR="00A3338A" w:rsidRPr="00B70704">
        <w:rPr>
          <w:lang w:val="en-US"/>
        </w:rPr>
        <w:t xml:space="preserve"> </w:t>
      </w:r>
      <w:r w:rsidR="00474FA2" w:rsidRPr="00B70704">
        <w:rPr>
          <w:lang w:val="en-US"/>
        </w:rPr>
        <w:t>out of 19 studies gave a single dose of deworming.</w:t>
      </w:r>
      <w:r w:rsidR="009B4CE8" w:rsidRPr="00B70704">
        <w:rPr>
          <w:lang w:val="en-US"/>
        </w:rPr>
        <w:t xml:space="preserve"> </w:t>
      </w:r>
      <w:r w:rsidR="0039421F" w:rsidRPr="00B70704">
        <w:rPr>
          <w:lang w:val="en-US"/>
        </w:rPr>
        <w:t xml:space="preserve"> </w:t>
      </w:r>
    </w:p>
    <w:p w14:paraId="68ED579D" w14:textId="77777777" w:rsidR="00B80028" w:rsidRDefault="00B80028">
      <w:pPr>
        <w:rPr>
          <w:b/>
        </w:rPr>
      </w:pPr>
      <w:r>
        <w:rPr>
          <w:b/>
        </w:rPr>
        <w:br w:type="page"/>
      </w:r>
    </w:p>
    <w:p w14:paraId="258EDFD7" w14:textId="2750FC57" w:rsidR="000C7888" w:rsidRPr="00BC2403" w:rsidRDefault="000C7888" w:rsidP="000C7888">
      <w:pPr>
        <w:spacing w:before="120" w:after="120" w:line="240" w:lineRule="auto"/>
        <w:rPr>
          <w:b/>
        </w:rPr>
      </w:pPr>
      <w:r w:rsidRPr="00BC2403">
        <w:rPr>
          <w:b/>
        </w:rPr>
        <w:lastRenderedPageBreak/>
        <w:t>Table 1: Characteristics of included studies</w:t>
      </w:r>
    </w:p>
    <w:tbl>
      <w:tblPr>
        <w:tblStyle w:val="TableGrid"/>
        <w:tblW w:w="10173" w:type="dxa"/>
        <w:tblLayout w:type="fixed"/>
        <w:tblLook w:val="04A0" w:firstRow="1" w:lastRow="0" w:firstColumn="1" w:lastColumn="0" w:noHBand="0" w:noVBand="1"/>
      </w:tblPr>
      <w:tblGrid>
        <w:gridCol w:w="988"/>
        <w:gridCol w:w="920"/>
        <w:gridCol w:w="810"/>
        <w:gridCol w:w="990"/>
        <w:gridCol w:w="990"/>
        <w:gridCol w:w="900"/>
        <w:gridCol w:w="1890"/>
        <w:gridCol w:w="1267"/>
        <w:gridCol w:w="1418"/>
      </w:tblGrid>
      <w:tr w:rsidR="000C7888" w:rsidRPr="000F214A" w14:paraId="5F335187" w14:textId="77777777" w:rsidTr="00CE0168">
        <w:trPr>
          <w:cantSplit/>
          <w:tblHeader/>
        </w:trPr>
        <w:tc>
          <w:tcPr>
            <w:tcW w:w="988" w:type="dxa"/>
          </w:tcPr>
          <w:p w14:paraId="752E03A2"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b/>
                <w:bCs/>
                <w:kern w:val="24"/>
                <w:lang w:eastAsia="nb-NO"/>
              </w:rPr>
              <w:t>Study</w:t>
            </w:r>
          </w:p>
        </w:tc>
        <w:tc>
          <w:tcPr>
            <w:tcW w:w="920" w:type="dxa"/>
          </w:tcPr>
          <w:p w14:paraId="014E5777" w14:textId="77777777" w:rsidR="000C7888" w:rsidRPr="000F214A" w:rsidRDefault="000C7888" w:rsidP="00CE0168">
            <w:pPr>
              <w:spacing w:line="240" w:lineRule="auto"/>
              <w:contextualSpacing/>
              <w:textAlignment w:val="center"/>
              <w:rPr>
                <w:rFonts w:asciiTheme="minorHAnsi" w:hAnsiTheme="minorHAnsi" w:cs="Arial"/>
                <w:b/>
                <w:bCs/>
                <w:kern w:val="24"/>
                <w:lang w:eastAsia="nb-NO"/>
              </w:rPr>
            </w:pPr>
            <w:r w:rsidRPr="000F214A">
              <w:rPr>
                <w:rFonts w:asciiTheme="minorHAnsi" w:hAnsiTheme="minorHAnsi" w:cs="Arial"/>
                <w:b/>
                <w:bCs/>
                <w:kern w:val="24"/>
                <w:lang w:eastAsia="nb-NO"/>
              </w:rPr>
              <w:t>Country</w:t>
            </w:r>
          </w:p>
        </w:tc>
        <w:tc>
          <w:tcPr>
            <w:tcW w:w="810" w:type="dxa"/>
          </w:tcPr>
          <w:p w14:paraId="357E1C37"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b/>
                <w:bCs/>
                <w:kern w:val="24"/>
                <w:lang w:eastAsia="nb-NO"/>
              </w:rPr>
              <w:t>Design</w:t>
            </w:r>
          </w:p>
        </w:tc>
        <w:tc>
          <w:tcPr>
            <w:tcW w:w="990" w:type="dxa"/>
          </w:tcPr>
          <w:p w14:paraId="420D355C" w14:textId="77777777" w:rsidR="000C7888" w:rsidRPr="000F214A" w:rsidRDefault="000C7888" w:rsidP="00CE0168">
            <w:pPr>
              <w:spacing w:line="240" w:lineRule="auto"/>
              <w:contextualSpacing/>
              <w:textAlignment w:val="center"/>
              <w:rPr>
                <w:rFonts w:asciiTheme="minorHAnsi" w:hAnsiTheme="minorHAnsi" w:cs="Arial"/>
                <w:b/>
                <w:bCs/>
                <w:kern w:val="24"/>
                <w:lang w:eastAsia="nb-NO"/>
              </w:rPr>
            </w:pPr>
            <w:r w:rsidRPr="000F214A">
              <w:rPr>
                <w:rFonts w:asciiTheme="minorHAnsi" w:hAnsiTheme="minorHAnsi" w:cs="Arial"/>
                <w:b/>
                <w:bCs/>
                <w:kern w:val="24"/>
                <w:lang w:eastAsia="nb-NO"/>
              </w:rPr>
              <w:t>Type of Cluster (number of clusters)</w:t>
            </w:r>
          </w:p>
        </w:tc>
        <w:tc>
          <w:tcPr>
            <w:tcW w:w="990" w:type="dxa"/>
          </w:tcPr>
          <w:p w14:paraId="0FC4E563" w14:textId="77777777" w:rsidR="000C7888" w:rsidRPr="000F214A" w:rsidRDefault="000C7888" w:rsidP="00CE0168">
            <w:pPr>
              <w:spacing w:line="240" w:lineRule="auto"/>
              <w:contextualSpacing/>
              <w:jc w:val="center"/>
              <w:textAlignment w:val="center"/>
              <w:rPr>
                <w:rFonts w:asciiTheme="minorHAnsi" w:hAnsiTheme="minorHAnsi" w:cs="Arial"/>
                <w:b/>
                <w:bCs/>
                <w:kern w:val="24"/>
                <w:lang w:eastAsia="nb-NO"/>
              </w:rPr>
            </w:pPr>
            <w:r w:rsidRPr="000F214A">
              <w:rPr>
                <w:rFonts w:asciiTheme="minorHAnsi" w:hAnsiTheme="minorHAnsi" w:cs="Arial"/>
                <w:b/>
                <w:bCs/>
                <w:kern w:val="24"/>
                <w:lang w:eastAsia="nb-NO"/>
              </w:rPr>
              <w:t>Sample size  (children per cluster)</w:t>
            </w:r>
          </w:p>
        </w:tc>
        <w:tc>
          <w:tcPr>
            <w:tcW w:w="900" w:type="dxa"/>
          </w:tcPr>
          <w:p w14:paraId="0FA0CE13" w14:textId="77777777" w:rsidR="000C7888" w:rsidRPr="000F214A" w:rsidRDefault="000C7888" w:rsidP="00CE0168">
            <w:pPr>
              <w:spacing w:line="240" w:lineRule="auto"/>
              <w:contextualSpacing/>
              <w:textAlignment w:val="center"/>
              <w:rPr>
                <w:rFonts w:asciiTheme="minorHAnsi" w:hAnsiTheme="minorHAnsi" w:cs="Arial"/>
                <w:b/>
                <w:bCs/>
                <w:kern w:val="24"/>
                <w:lang w:eastAsia="nb-NO"/>
              </w:rPr>
            </w:pPr>
            <w:r w:rsidRPr="000F214A">
              <w:rPr>
                <w:rFonts w:asciiTheme="minorHAnsi" w:hAnsiTheme="minorHAnsi" w:cs="Arial"/>
                <w:b/>
                <w:bCs/>
                <w:kern w:val="24"/>
                <w:lang w:eastAsia="nb-NO"/>
              </w:rPr>
              <w:t>Age</w:t>
            </w:r>
            <w:r>
              <w:rPr>
                <w:rFonts w:asciiTheme="minorHAnsi" w:hAnsiTheme="minorHAnsi" w:cs="Arial"/>
                <w:b/>
                <w:bCs/>
                <w:kern w:val="24"/>
                <w:lang w:eastAsia="nb-NO"/>
              </w:rPr>
              <w:t xml:space="preserve"> range</w:t>
            </w:r>
          </w:p>
          <w:p w14:paraId="270E70D7" w14:textId="77777777" w:rsidR="000C7888" w:rsidRPr="000F214A" w:rsidRDefault="000C7888" w:rsidP="00CE0168">
            <w:pPr>
              <w:spacing w:line="240" w:lineRule="auto"/>
              <w:contextualSpacing/>
              <w:textAlignment w:val="center"/>
              <w:rPr>
                <w:rFonts w:asciiTheme="minorHAnsi" w:hAnsiTheme="minorHAnsi" w:cs="Arial"/>
                <w:b/>
                <w:bCs/>
                <w:kern w:val="24"/>
                <w:lang w:eastAsia="nb-NO"/>
              </w:rPr>
            </w:pPr>
            <w:r w:rsidRPr="000F214A">
              <w:rPr>
                <w:rFonts w:asciiTheme="minorHAnsi" w:hAnsiTheme="minorHAnsi" w:cs="Arial"/>
                <w:b/>
                <w:bCs/>
                <w:kern w:val="24"/>
                <w:lang w:eastAsia="nb-NO"/>
              </w:rPr>
              <w:t>(years)</w:t>
            </w:r>
          </w:p>
          <w:p w14:paraId="700BBBF3" w14:textId="77777777" w:rsidR="000C7888" w:rsidRPr="000F214A" w:rsidRDefault="000C7888" w:rsidP="00CE0168">
            <w:pPr>
              <w:spacing w:line="240" w:lineRule="auto"/>
              <w:contextualSpacing/>
              <w:textAlignment w:val="center"/>
              <w:rPr>
                <w:rFonts w:asciiTheme="minorHAnsi" w:hAnsiTheme="minorHAnsi" w:cs="Arial"/>
                <w:b/>
                <w:bCs/>
                <w:kern w:val="24"/>
                <w:lang w:eastAsia="nb-NO"/>
              </w:rPr>
            </w:pPr>
          </w:p>
          <w:p w14:paraId="0D363CEF"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b/>
                <w:bCs/>
                <w:kern w:val="24"/>
                <w:lang w:eastAsia="nb-NO"/>
              </w:rPr>
              <w:t>Recruitment</w:t>
            </w:r>
          </w:p>
        </w:tc>
        <w:tc>
          <w:tcPr>
            <w:tcW w:w="1890" w:type="dxa"/>
          </w:tcPr>
          <w:p w14:paraId="74CC66A0"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b/>
                <w:bCs/>
                <w:kern w:val="24"/>
                <w:lang w:eastAsia="nb-NO"/>
              </w:rPr>
              <w:t>Interventions</w:t>
            </w:r>
          </w:p>
        </w:tc>
        <w:tc>
          <w:tcPr>
            <w:tcW w:w="1267" w:type="dxa"/>
          </w:tcPr>
          <w:p w14:paraId="608A051B"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b/>
                <w:bCs/>
                <w:kern w:val="24"/>
                <w:lang w:eastAsia="nb-NO"/>
              </w:rPr>
              <w:t>Frequency</w:t>
            </w:r>
            <w:r>
              <w:rPr>
                <w:rFonts w:asciiTheme="minorHAnsi" w:hAnsiTheme="minorHAnsi" w:cs="Arial"/>
                <w:b/>
                <w:bCs/>
                <w:kern w:val="24"/>
                <w:lang w:eastAsia="nb-NO"/>
              </w:rPr>
              <w:t xml:space="preserve"> of deworming, Study duration</w:t>
            </w:r>
          </w:p>
        </w:tc>
        <w:tc>
          <w:tcPr>
            <w:tcW w:w="1418" w:type="dxa"/>
          </w:tcPr>
          <w:p w14:paraId="29F2B5C0" w14:textId="537D4CB9" w:rsidR="000C7888" w:rsidRPr="000F214A" w:rsidRDefault="000C7888">
            <w:pPr>
              <w:spacing w:line="240" w:lineRule="auto"/>
              <w:contextualSpacing/>
              <w:textAlignment w:val="center"/>
              <w:rPr>
                <w:rFonts w:asciiTheme="minorHAnsi" w:hAnsiTheme="minorHAnsi" w:cs="Arial"/>
                <w:lang w:eastAsia="nb-NO"/>
              </w:rPr>
            </w:pPr>
            <w:r>
              <w:rPr>
                <w:rFonts w:asciiTheme="minorHAnsi" w:hAnsiTheme="minorHAnsi" w:cs="Arial"/>
                <w:b/>
                <w:bCs/>
                <w:kern w:val="24"/>
                <w:lang w:eastAsia="nb-NO"/>
              </w:rPr>
              <w:t>Compliance</w:t>
            </w:r>
            <w:r w:rsidR="007D493D">
              <w:rPr>
                <w:rFonts w:asciiTheme="minorHAnsi" w:hAnsiTheme="minorHAnsi" w:cs="Arial"/>
                <w:b/>
                <w:bCs/>
                <w:kern w:val="24"/>
                <w:lang w:eastAsia="nb-NO"/>
              </w:rPr>
              <w:t xml:space="preserve"> with STH deworming</w:t>
            </w:r>
          </w:p>
        </w:tc>
      </w:tr>
      <w:tr w:rsidR="000C7888" w:rsidRPr="000F214A" w14:paraId="2C33C148" w14:textId="77777777" w:rsidTr="00CE0168">
        <w:trPr>
          <w:cantSplit/>
        </w:trPr>
        <w:tc>
          <w:tcPr>
            <w:tcW w:w="988" w:type="dxa"/>
          </w:tcPr>
          <w:p w14:paraId="4ECB8C85"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Beasley 1999</w:t>
            </w:r>
          </w:p>
        </w:tc>
        <w:tc>
          <w:tcPr>
            <w:tcW w:w="920" w:type="dxa"/>
          </w:tcPr>
          <w:p w14:paraId="71DABA68"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Tanzania</w:t>
            </w:r>
          </w:p>
        </w:tc>
        <w:tc>
          <w:tcPr>
            <w:tcW w:w="810" w:type="dxa"/>
          </w:tcPr>
          <w:p w14:paraId="6F2E1DCA"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RCT</w:t>
            </w:r>
          </w:p>
          <w:p w14:paraId="5739D1E2"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60359C8C"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SAT</w:t>
            </w:r>
          </w:p>
        </w:tc>
        <w:tc>
          <w:tcPr>
            <w:tcW w:w="990" w:type="dxa"/>
          </w:tcPr>
          <w:p w14:paraId="03C391B6"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tc>
        <w:tc>
          <w:tcPr>
            <w:tcW w:w="990" w:type="dxa"/>
          </w:tcPr>
          <w:p w14:paraId="00B9A759"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357</w:t>
            </w:r>
          </w:p>
        </w:tc>
        <w:tc>
          <w:tcPr>
            <w:tcW w:w="900" w:type="dxa"/>
          </w:tcPr>
          <w:p w14:paraId="6D55A598"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7 to 12</w:t>
            </w:r>
          </w:p>
          <w:p w14:paraId="09BEB521"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74376A0F"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community</w:t>
            </w:r>
          </w:p>
        </w:tc>
        <w:tc>
          <w:tcPr>
            <w:tcW w:w="1890" w:type="dxa"/>
          </w:tcPr>
          <w:p w14:paraId="0CECAEB3"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1. Albendazole + Praziquantel </w:t>
            </w:r>
          </w:p>
          <w:p w14:paraId="6EF6B60F"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2. Placebo</w:t>
            </w:r>
          </w:p>
        </w:tc>
        <w:tc>
          <w:tcPr>
            <w:tcW w:w="1267" w:type="dxa"/>
          </w:tcPr>
          <w:p w14:paraId="09B33DA9" w14:textId="77777777" w:rsidR="000C7888" w:rsidRDefault="000C7888" w:rsidP="00CE0168">
            <w:pPr>
              <w:spacing w:line="240" w:lineRule="auto"/>
              <w:contextualSpacing/>
              <w:textAlignment w:val="center"/>
              <w:rPr>
                <w:rFonts w:asciiTheme="minorHAnsi" w:hAnsiTheme="minorHAnsi" w:cs="Arial"/>
                <w:kern w:val="24"/>
                <w:lang w:eastAsia="nb-NO"/>
              </w:rPr>
            </w:pPr>
            <w:r>
              <w:rPr>
                <w:rFonts w:asciiTheme="minorHAnsi" w:hAnsiTheme="minorHAnsi" w:cs="Arial"/>
                <w:kern w:val="24"/>
                <w:lang w:eastAsia="nb-NO"/>
              </w:rPr>
              <w:t>5 months,</w:t>
            </w:r>
          </w:p>
          <w:p w14:paraId="3C513890"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Pr>
                <w:rFonts w:asciiTheme="minorHAnsi" w:hAnsiTheme="minorHAnsi" w:cs="Arial"/>
                <w:kern w:val="24"/>
                <w:lang w:eastAsia="nb-NO"/>
              </w:rPr>
              <w:t>5 months</w:t>
            </w:r>
          </w:p>
        </w:tc>
        <w:tc>
          <w:tcPr>
            <w:tcW w:w="1418" w:type="dxa"/>
          </w:tcPr>
          <w:p w14:paraId="12F3C0AF"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Pr>
                <w:rFonts w:asciiTheme="minorHAnsi" w:hAnsiTheme="minorHAnsi" w:cs="Arial"/>
                <w:kern w:val="24"/>
                <w:lang w:eastAsia="nb-NO"/>
              </w:rPr>
              <w:t>Not reported</w:t>
            </w:r>
          </w:p>
        </w:tc>
      </w:tr>
      <w:tr w:rsidR="000C7888" w:rsidRPr="000F214A" w14:paraId="2CF98F48" w14:textId="77777777" w:rsidTr="00CE0168">
        <w:trPr>
          <w:cantSplit/>
        </w:trPr>
        <w:tc>
          <w:tcPr>
            <w:tcW w:w="988" w:type="dxa"/>
          </w:tcPr>
          <w:p w14:paraId="588ABA7A"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Beasley </w:t>
            </w:r>
            <w:proofErr w:type="spellStart"/>
            <w:r w:rsidRPr="000F214A">
              <w:rPr>
                <w:rFonts w:asciiTheme="minorHAnsi" w:hAnsiTheme="minorHAnsi" w:cs="Arial"/>
                <w:kern w:val="24"/>
                <w:lang w:eastAsia="nb-NO"/>
              </w:rPr>
              <w:t>Tanbase</w:t>
            </w:r>
            <w:proofErr w:type="spellEnd"/>
            <w:r w:rsidRPr="000F214A">
              <w:rPr>
                <w:rFonts w:asciiTheme="minorHAnsi" w:hAnsiTheme="minorHAnsi" w:cs="Arial"/>
                <w:kern w:val="24"/>
                <w:lang w:eastAsia="nb-NO"/>
              </w:rPr>
              <w:t xml:space="preserve"> 1999</w:t>
            </w:r>
          </w:p>
          <w:p w14:paraId="5D20B38F"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(thesis)</w:t>
            </w:r>
          </w:p>
        </w:tc>
        <w:tc>
          <w:tcPr>
            <w:tcW w:w="920" w:type="dxa"/>
          </w:tcPr>
          <w:p w14:paraId="4A955B9A" w14:textId="77777777" w:rsidR="000C7888" w:rsidRPr="000F214A" w:rsidRDefault="000C7888" w:rsidP="00CE0168">
            <w:pPr>
              <w:spacing w:line="240" w:lineRule="auto"/>
              <w:contextualSpacing/>
              <w:rPr>
                <w:rFonts w:asciiTheme="minorHAnsi" w:hAnsiTheme="minorHAnsi"/>
                <w:lang w:eastAsia="nb-NO"/>
              </w:rPr>
            </w:pPr>
            <w:r w:rsidRPr="000F214A">
              <w:rPr>
                <w:rFonts w:asciiTheme="minorHAnsi" w:hAnsiTheme="minorHAnsi"/>
                <w:lang w:eastAsia="nb-NO"/>
              </w:rPr>
              <w:t>Tanzania</w:t>
            </w:r>
          </w:p>
        </w:tc>
        <w:tc>
          <w:tcPr>
            <w:tcW w:w="810" w:type="dxa"/>
          </w:tcPr>
          <w:p w14:paraId="5EE7F6F0"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RCT</w:t>
            </w:r>
          </w:p>
          <w:p w14:paraId="03F946C8"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0D1D2839"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SAT</w:t>
            </w:r>
          </w:p>
        </w:tc>
        <w:tc>
          <w:tcPr>
            <w:tcW w:w="990" w:type="dxa"/>
          </w:tcPr>
          <w:p w14:paraId="329CC3B6" w14:textId="77777777" w:rsidR="000C7888" w:rsidRPr="000F214A" w:rsidRDefault="000C7888" w:rsidP="00CE0168">
            <w:pPr>
              <w:spacing w:line="240" w:lineRule="auto"/>
              <w:contextualSpacing/>
              <w:rPr>
                <w:rFonts w:asciiTheme="minorHAnsi" w:hAnsiTheme="minorHAnsi"/>
                <w:lang w:eastAsia="nb-NO"/>
              </w:rPr>
            </w:pPr>
          </w:p>
        </w:tc>
        <w:tc>
          <w:tcPr>
            <w:tcW w:w="990" w:type="dxa"/>
          </w:tcPr>
          <w:p w14:paraId="430CEF04" w14:textId="77777777" w:rsidR="000C7888" w:rsidRPr="000F214A" w:rsidRDefault="000C7888" w:rsidP="00CE0168">
            <w:pPr>
              <w:spacing w:line="240" w:lineRule="auto"/>
              <w:contextualSpacing/>
              <w:rPr>
                <w:rFonts w:asciiTheme="minorHAnsi" w:hAnsiTheme="minorHAnsi"/>
                <w:lang w:eastAsia="nb-NO"/>
              </w:rPr>
            </w:pPr>
            <w:r w:rsidRPr="000F214A">
              <w:rPr>
                <w:rFonts w:asciiTheme="minorHAnsi" w:hAnsiTheme="minorHAnsi" w:cs="Arial"/>
                <w:kern w:val="24"/>
                <w:lang w:eastAsia="nb-NO"/>
              </w:rPr>
              <w:t>217</w:t>
            </w:r>
          </w:p>
        </w:tc>
        <w:tc>
          <w:tcPr>
            <w:tcW w:w="900" w:type="dxa"/>
          </w:tcPr>
          <w:p w14:paraId="623A3462" w14:textId="77777777" w:rsidR="000C7888" w:rsidRPr="000F214A" w:rsidRDefault="000C7888" w:rsidP="00CE0168">
            <w:pPr>
              <w:spacing w:line="240" w:lineRule="auto"/>
              <w:contextualSpacing/>
              <w:rPr>
                <w:rFonts w:asciiTheme="minorHAnsi" w:hAnsiTheme="minorHAnsi"/>
                <w:lang w:eastAsia="nb-NO"/>
              </w:rPr>
            </w:pPr>
            <w:r w:rsidRPr="000F214A">
              <w:rPr>
                <w:rFonts w:asciiTheme="minorHAnsi" w:hAnsiTheme="minorHAnsi"/>
                <w:lang w:eastAsia="nb-NO"/>
              </w:rPr>
              <w:t>6 to 15</w:t>
            </w:r>
          </w:p>
          <w:p w14:paraId="6DF87BD3" w14:textId="77777777" w:rsidR="000C7888" w:rsidRPr="000F214A" w:rsidRDefault="000C7888" w:rsidP="00CE0168">
            <w:pPr>
              <w:spacing w:line="240" w:lineRule="auto"/>
              <w:contextualSpacing/>
              <w:rPr>
                <w:rFonts w:asciiTheme="minorHAnsi" w:hAnsiTheme="minorHAnsi"/>
                <w:lang w:eastAsia="nb-NO"/>
              </w:rPr>
            </w:pPr>
          </w:p>
          <w:p w14:paraId="70B340E4" w14:textId="77777777" w:rsidR="000C7888" w:rsidRPr="000F214A" w:rsidRDefault="000C7888" w:rsidP="00CE0168">
            <w:pPr>
              <w:spacing w:line="240" w:lineRule="auto"/>
              <w:contextualSpacing/>
              <w:rPr>
                <w:rFonts w:asciiTheme="minorHAnsi" w:hAnsiTheme="minorHAnsi"/>
                <w:lang w:eastAsia="nb-NO"/>
              </w:rPr>
            </w:pPr>
            <w:r w:rsidRPr="000F214A">
              <w:rPr>
                <w:rFonts w:asciiTheme="minorHAnsi" w:hAnsiTheme="minorHAnsi"/>
                <w:lang w:eastAsia="nb-NO"/>
              </w:rPr>
              <w:t>community</w:t>
            </w:r>
          </w:p>
        </w:tc>
        <w:tc>
          <w:tcPr>
            <w:tcW w:w="1890" w:type="dxa"/>
          </w:tcPr>
          <w:p w14:paraId="27CD529B" w14:textId="77777777" w:rsidR="000C7888" w:rsidRPr="000F214A" w:rsidRDefault="000C7888" w:rsidP="00CE0168">
            <w:pPr>
              <w:spacing w:line="240" w:lineRule="auto"/>
              <w:contextualSpacing/>
              <w:rPr>
                <w:rFonts w:asciiTheme="minorHAnsi" w:hAnsiTheme="minorHAnsi"/>
                <w:lang w:eastAsia="nb-NO"/>
              </w:rPr>
            </w:pPr>
            <w:r w:rsidRPr="000F214A">
              <w:rPr>
                <w:rFonts w:asciiTheme="minorHAnsi" w:hAnsiTheme="minorHAnsi" w:cs="Arial"/>
                <w:kern w:val="24"/>
                <w:lang w:eastAsia="nb-NO"/>
              </w:rPr>
              <w:t xml:space="preserve">1. Albendazole + Praziquantel </w:t>
            </w:r>
            <w:r w:rsidRPr="000F214A">
              <w:rPr>
                <w:rFonts w:asciiTheme="minorHAnsi" w:hAnsiTheme="minorHAnsi"/>
                <w:lang w:eastAsia="nb-NO"/>
              </w:rPr>
              <w:t>+ iron,</w:t>
            </w:r>
          </w:p>
          <w:p w14:paraId="0AE6CDD1" w14:textId="77777777" w:rsidR="000C7888" w:rsidRPr="000F214A" w:rsidRDefault="000C7888" w:rsidP="00CE0168">
            <w:pPr>
              <w:spacing w:line="240" w:lineRule="auto"/>
              <w:contextualSpacing/>
              <w:rPr>
                <w:rFonts w:asciiTheme="minorHAnsi" w:hAnsiTheme="minorHAnsi"/>
                <w:lang w:eastAsia="nb-NO"/>
              </w:rPr>
            </w:pPr>
            <w:r w:rsidRPr="000F214A">
              <w:rPr>
                <w:rFonts w:asciiTheme="minorHAnsi" w:hAnsiTheme="minorHAnsi"/>
                <w:lang w:eastAsia="nb-NO"/>
              </w:rPr>
              <w:t>2.  Placebo</w:t>
            </w:r>
          </w:p>
        </w:tc>
        <w:tc>
          <w:tcPr>
            <w:tcW w:w="1267" w:type="dxa"/>
          </w:tcPr>
          <w:p w14:paraId="537285AB" w14:textId="77777777" w:rsidR="000C7888" w:rsidRDefault="000C7888" w:rsidP="00CE0168">
            <w:pPr>
              <w:spacing w:line="240" w:lineRule="auto"/>
              <w:contextualSpacing/>
              <w:rPr>
                <w:rFonts w:asciiTheme="minorHAnsi" w:hAnsiTheme="minorHAnsi"/>
                <w:lang w:eastAsia="nb-NO"/>
              </w:rPr>
            </w:pPr>
            <w:r w:rsidRPr="000F214A">
              <w:rPr>
                <w:rFonts w:asciiTheme="minorHAnsi" w:hAnsiTheme="minorHAnsi"/>
                <w:lang w:eastAsia="nb-NO"/>
              </w:rPr>
              <w:t>4 months</w:t>
            </w:r>
            <w:r>
              <w:rPr>
                <w:rFonts w:asciiTheme="minorHAnsi" w:hAnsiTheme="minorHAnsi"/>
                <w:lang w:eastAsia="nb-NO"/>
              </w:rPr>
              <w:t xml:space="preserve">, </w:t>
            </w:r>
          </w:p>
          <w:p w14:paraId="6B7EDA8B" w14:textId="77777777" w:rsidR="000C7888" w:rsidRPr="000F214A" w:rsidRDefault="000C7888" w:rsidP="00CE0168">
            <w:pPr>
              <w:spacing w:line="240" w:lineRule="auto"/>
              <w:contextualSpacing/>
              <w:rPr>
                <w:rFonts w:asciiTheme="minorHAnsi" w:hAnsiTheme="minorHAnsi"/>
                <w:lang w:eastAsia="nb-NO"/>
              </w:rPr>
            </w:pPr>
            <w:r>
              <w:rPr>
                <w:rFonts w:asciiTheme="minorHAnsi" w:hAnsiTheme="minorHAnsi"/>
                <w:lang w:eastAsia="nb-NO"/>
              </w:rPr>
              <w:t>4 months</w:t>
            </w:r>
          </w:p>
        </w:tc>
        <w:tc>
          <w:tcPr>
            <w:tcW w:w="1418" w:type="dxa"/>
          </w:tcPr>
          <w:p w14:paraId="51149D8A" w14:textId="5871BACA" w:rsidR="000C7888" w:rsidRDefault="008A6971" w:rsidP="008A6971">
            <w:pPr>
              <w:spacing w:line="240" w:lineRule="auto"/>
              <w:contextualSpacing/>
              <w:rPr>
                <w:rFonts w:asciiTheme="minorHAnsi" w:hAnsiTheme="minorHAnsi"/>
                <w:lang w:eastAsia="nb-NO"/>
              </w:rPr>
            </w:pPr>
            <w:r>
              <w:rPr>
                <w:rFonts w:asciiTheme="minorHAnsi" w:hAnsiTheme="minorHAnsi"/>
                <w:lang w:eastAsia="nb-NO"/>
              </w:rPr>
              <w:t>100% (full course of 10 doses of iron given on a daily basis was received over 4 weeks due to absenteeism)</w:t>
            </w:r>
            <w:r w:rsidR="00FA449F">
              <w:rPr>
                <w:rFonts w:asciiTheme="minorHAnsi" w:hAnsiTheme="minorHAnsi"/>
                <w:lang w:eastAsia="nb-NO"/>
              </w:rPr>
              <w:t>.</w:t>
            </w:r>
          </w:p>
          <w:p w14:paraId="7C92F623" w14:textId="07D67B98" w:rsidR="00FA449F" w:rsidRPr="000F214A" w:rsidRDefault="00FA449F" w:rsidP="008A6971">
            <w:pPr>
              <w:spacing w:line="240" w:lineRule="auto"/>
              <w:contextualSpacing/>
              <w:rPr>
                <w:rFonts w:asciiTheme="minorHAnsi" w:hAnsiTheme="minorHAnsi"/>
                <w:lang w:eastAsia="nb-NO"/>
              </w:rPr>
            </w:pPr>
          </w:p>
        </w:tc>
      </w:tr>
      <w:tr w:rsidR="000C7888" w:rsidRPr="000F214A" w14:paraId="08C4C49F" w14:textId="77777777" w:rsidTr="00CE0168">
        <w:trPr>
          <w:cantSplit/>
        </w:trPr>
        <w:tc>
          <w:tcPr>
            <w:tcW w:w="988" w:type="dxa"/>
          </w:tcPr>
          <w:p w14:paraId="7CFA8CA7" w14:textId="1EECA162"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Ebenezer 2013</w:t>
            </w:r>
          </w:p>
        </w:tc>
        <w:tc>
          <w:tcPr>
            <w:tcW w:w="920" w:type="dxa"/>
          </w:tcPr>
          <w:p w14:paraId="32F2D828"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Sri Lanka</w:t>
            </w:r>
          </w:p>
        </w:tc>
        <w:tc>
          <w:tcPr>
            <w:tcW w:w="810" w:type="dxa"/>
          </w:tcPr>
          <w:p w14:paraId="295B492E"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roofErr w:type="spellStart"/>
            <w:r w:rsidRPr="000F214A">
              <w:rPr>
                <w:rFonts w:asciiTheme="minorHAnsi" w:hAnsiTheme="minorHAnsi" w:cs="Arial"/>
                <w:kern w:val="24"/>
                <w:lang w:eastAsia="nb-NO"/>
              </w:rPr>
              <w:t>cRCT</w:t>
            </w:r>
            <w:proofErr w:type="spellEnd"/>
          </w:p>
          <w:p w14:paraId="2E132A9A"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305614F6"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MDA</w:t>
            </w:r>
          </w:p>
        </w:tc>
        <w:tc>
          <w:tcPr>
            <w:tcW w:w="990" w:type="dxa"/>
          </w:tcPr>
          <w:p w14:paraId="716EF1FD"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Schools </w:t>
            </w:r>
            <w:r w:rsidRPr="000F214A">
              <w:rPr>
                <w:rFonts w:asciiTheme="minorHAnsi" w:hAnsiTheme="minorHAnsi" w:cs="Arial"/>
                <w:kern w:val="24"/>
                <w:lang w:eastAsia="nb-NO"/>
              </w:rPr>
              <w:br/>
              <w:t>(100)</w:t>
            </w:r>
          </w:p>
        </w:tc>
        <w:tc>
          <w:tcPr>
            <w:tcW w:w="990" w:type="dxa"/>
          </w:tcPr>
          <w:p w14:paraId="484661D5"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1570 </w:t>
            </w:r>
            <w:r w:rsidRPr="000F214A">
              <w:rPr>
                <w:rFonts w:asciiTheme="minorHAnsi" w:hAnsiTheme="minorHAnsi" w:cs="Arial"/>
                <w:kern w:val="24"/>
                <w:lang w:eastAsia="nb-NO"/>
              </w:rPr>
              <w:br/>
              <w:t>(20)</w:t>
            </w:r>
          </w:p>
        </w:tc>
        <w:tc>
          <w:tcPr>
            <w:tcW w:w="900" w:type="dxa"/>
          </w:tcPr>
          <w:p w14:paraId="4F240A03"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Pr>
                <w:rFonts w:asciiTheme="minorHAnsi" w:hAnsiTheme="minorHAnsi" w:cs="Arial"/>
                <w:kern w:val="24"/>
                <w:lang w:eastAsia="nb-NO"/>
              </w:rPr>
              <w:t>8 to 15</w:t>
            </w:r>
          </w:p>
          <w:p w14:paraId="34A0E291"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1B20A779"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schools</w:t>
            </w:r>
          </w:p>
        </w:tc>
        <w:tc>
          <w:tcPr>
            <w:tcW w:w="1890" w:type="dxa"/>
          </w:tcPr>
          <w:p w14:paraId="4EC59BC8"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1.  Mebendazole + iron tablet</w:t>
            </w:r>
          </w:p>
          <w:p w14:paraId="0DF624CC"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2. Placebo</w:t>
            </w:r>
          </w:p>
        </w:tc>
        <w:tc>
          <w:tcPr>
            <w:tcW w:w="1267" w:type="dxa"/>
          </w:tcPr>
          <w:p w14:paraId="36EE511E" w14:textId="77777777" w:rsidR="000C7888"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6 months</w:t>
            </w:r>
            <w:r>
              <w:rPr>
                <w:rFonts w:asciiTheme="minorHAnsi" w:hAnsiTheme="minorHAnsi" w:cs="Arial"/>
                <w:kern w:val="24"/>
                <w:lang w:eastAsia="nb-NO"/>
              </w:rPr>
              <w:t>,</w:t>
            </w:r>
          </w:p>
          <w:p w14:paraId="6FAACFC6"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6 months</w:t>
            </w:r>
          </w:p>
        </w:tc>
        <w:tc>
          <w:tcPr>
            <w:tcW w:w="1418" w:type="dxa"/>
          </w:tcPr>
          <w:p w14:paraId="06F1E402" w14:textId="23EABDAA" w:rsidR="000C7888" w:rsidRPr="000F214A" w:rsidRDefault="00EA22D1" w:rsidP="00CE0168">
            <w:pPr>
              <w:spacing w:line="240" w:lineRule="auto"/>
              <w:contextualSpacing/>
              <w:textAlignment w:val="center"/>
              <w:rPr>
                <w:rFonts w:asciiTheme="minorHAnsi" w:hAnsiTheme="minorHAnsi" w:cs="Arial"/>
                <w:lang w:eastAsia="nb-NO"/>
              </w:rPr>
            </w:pPr>
            <w:r>
              <w:rPr>
                <w:rFonts w:asciiTheme="minorHAnsi" w:hAnsiTheme="minorHAnsi" w:cs="Arial"/>
                <w:kern w:val="24"/>
                <w:lang w:eastAsia="nb-NO"/>
              </w:rPr>
              <w:t>94</w:t>
            </w:r>
            <w:r w:rsidR="000C7888">
              <w:rPr>
                <w:rFonts w:asciiTheme="minorHAnsi" w:hAnsiTheme="minorHAnsi" w:cs="Arial"/>
                <w:kern w:val="24"/>
                <w:lang w:eastAsia="nb-NO"/>
              </w:rPr>
              <w:t>-98%</w:t>
            </w:r>
            <w:r w:rsidR="007D493D">
              <w:rPr>
                <w:rFonts w:asciiTheme="minorHAnsi" w:hAnsiTheme="minorHAnsi" w:cs="Arial"/>
                <w:kern w:val="24"/>
                <w:lang w:eastAsia="nb-NO"/>
              </w:rPr>
              <w:t xml:space="preserve"> with deworming, 80% with iron tablets</w:t>
            </w:r>
          </w:p>
        </w:tc>
      </w:tr>
      <w:tr w:rsidR="000C7888" w:rsidRPr="000F214A" w14:paraId="03E0AB58" w14:textId="77777777" w:rsidTr="00CE0168">
        <w:trPr>
          <w:cantSplit/>
        </w:trPr>
        <w:tc>
          <w:tcPr>
            <w:tcW w:w="988" w:type="dxa"/>
          </w:tcPr>
          <w:p w14:paraId="7FB7BB75"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Friis 2003</w:t>
            </w:r>
          </w:p>
        </w:tc>
        <w:tc>
          <w:tcPr>
            <w:tcW w:w="920" w:type="dxa"/>
          </w:tcPr>
          <w:p w14:paraId="469F8472"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Kenya</w:t>
            </w:r>
          </w:p>
        </w:tc>
        <w:tc>
          <w:tcPr>
            <w:tcW w:w="810" w:type="dxa"/>
          </w:tcPr>
          <w:p w14:paraId="70A8D683"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RCT</w:t>
            </w:r>
          </w:p>
          <w:p w14:paraId="183A5C46"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11F2A680"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MDA</w:t>
            </w:r>
          </w:p>
        </w:tc>
        <w:tc>
          <w:tcPr>
            <w:tcW w:w="990" w:type="dxa"/>
          </w:tcPr>
          <w:p w14:paraId="24EA3167"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tc>
        <w:tc>
          <w:tcPr>
            <w:tcW w:w="990" w:type="dxa"/>
          </w:tcPr>
          <w:p w14:paraId="4775F909"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915</w:t>
            </w:r>
          </w:p>
        </w:tc>
        <w:tc>
          <w:tcPr>
            <w:tcW w:w="900" w:type="dxa"/>
          </w:tcPr>
          <w:p w14:paraId="13DFA617"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8 to 18</w:t>
            </w:r>
          </w:p>
          <w:p w14:paraId="05F36F57"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67030BCF"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schools</w:t>
            </w:r>
          </w:p>
        </w:tc>
        <w:tc>
          <w:tcPr>
            <w:tcW w:w="1890" w:type="dxa"/>
          </w:tcPr>
          <w:p w14:paraId="7AE8EEAB" w14:textId="77777777" w:rsidR="000C7888" w:rsidRPr="000F214A" w:rsidRDefault="000C7888" w:rsidP="00CE0168">
            <w:pPr>
              <w:spacing w:line="240" w:lineRule="auto"/>
              <w:contextualSpacing/>
              <w:textAlignment w:val="center"/>
              <w:rPr>
                <w:rFonts w:asciiTheme="minorHAnsi" w:hAnsiTheme="minorHAnsi" w:cs="Arial"/>
                <w:kern w:val="24"/>
                <w:lang w:val="fr-CA" w:eastAsia="nb-NO"/>
              </w:rPr>
            </w:pPr>
            <w:r w:rsidRPr="000F214A">
              <w:rPr>
                <w:rFonts w:asciiTheme="minorHAnsi" w:hAnsiTheme="minorHAnsi" w:cs="Arial"/>
                <w:kern w:val="24"/>
                <w:lang w:val="fr-CA" w:eastAsia="nb-NO"/>
              </w:rPr>
              <w:t xml:space="preserve">1. </w:t>
            </w:r>
            <w:proofErr w:type="spellStart"/>
            <w:r w:rsidRPr="000F214A">
              <w:rPr>
                <w:rFonts w:asciiTheme="minorHAnsi" w:hAnsiTheme="minorHAnsi" w:cs="Arial"/>
                <w:kern w:val="24"/>
                <w:lang w:val="fr-CA" w:eastAsia="nb-NO"/>
              </w:rPr>
              <w:t>Albendazole</w:t>
            </w:r>
            <w:proofErr w:type="spellEnd"/>
            <w:r w:rsidRPr="000F214A">
              <w:rPr>
                <w:rFonts w:asciiTheme="minorHAnsi" w:hAnsiTheme="minorHAnsi" w:cs="Arial"/>
                <w:kern w:val="24"/>
                <w:lang w:val="fr-CA" w:eastAsia="nb-NO"/>
              </w:rPr>
              <w:t xml:space="preserve"> + </w:t>
            </w:r>
            <w:proofErr w:type="spellStart"/>
            <w:r w:rsidRPr="000F214A">
              <w:rPr>
                <w:rFonts w:asciiTheme="minorHAnsi" w:hAnsiTheme="minorHAnsi" w:cs="Arial"/>
                <w:kern w:val="24"/>
                <w:lang w:val="fr-CA" w:eastAsia="nb-NO"/>
              </w:rPr>
              <w:t>praziquantel</w:t>
            </w:r>
            <w:proofErr w:type="spellEnd"/>
            <w:r w:rsidRPr="000F214A">
              <w:rPr>
                <w:rFonts w:asciiTheme="minorHAnsi" w:hAnsiTheme="minorHAnsi" w:cs="Arial"/>
                <w:kern w:val="24"/>
                <w:lang w:val="fr-CA" w:eastAsia="nb-NO"/>
              </w:rPr>
              <w:t xml:space="preserve"> </w:t>
            </w:r>
          </w:p>
          <w:p w14:paraId="55191A98" w14:textId="77777777" w:rsidR="000C7888" w:rsidRPr="000F214A" w:rsidRDefault="000C7888" w:rsidP="00CE0168">
            <w:pPr>
              <w:spacing w:line="240" w:lineRule="auto"/>
              <w:contextualSpacing/>
              <w:textAlignment w:val="center"/>
              <w:rPr>
                <w:rFonts w:asciiTheme="minorHAnsi" w:hAnsiTheme="minorHAnsi" w:cs="Arial"/>
                <w:kern w:val="24"/>
                <w:lang w:val="fr-CA" w:eastAsia="nb-NO"/>
              </w:rPr>
            </w:pPr>
            <w:r w:rsidRPr="000F214A">
              <w:rPr>
                <w:rFonts w:asciiTheme="minorHAnsi" w:hAnsiTheme="minorHAnsi" w:cs="Arial"/>
                <w:kern w:val="24"/>
                <w:lang w:val="fr-CA" w:eastAsia="nb-NO"/>
              </w:rPr>
              <w:t xml:space="preserve">2.  </w:t>
            </w:r>
            <w:proofErr w:type="spellStart"/>
            <w:r w:rsidRPr="000F214A">
              <w:rPr>
                <w:rFonts w:asciiTheme="minorHAnsi" w:hAnsiTheme="minorHAnsi" w:cs="Arial"/>
                <w:kern w:val="24"/>
                <w:lang w:val="fr-CA" w:eastAsia="nb-NO"/>
              </w:rPr>
              <w:t>Albendazole</w:t>
            </w:r>
            <w:proofErr w:type="spellEnd"/>
            <w:r w:rsidRPr="000F214A">
              <w:rPr>
                <w:rFonts w:asciiTheme="minorHAnsi" w:hAnsiTheme="minorHAnsi" w:cs="Arial"/>
                <w:kern w:val="24"/>
                <w:lang w:val="fr-CA" w:eastAsia="nb-NO"/>
              </w:rPr>
              <w:t xml:space="preserve"> +  </w:t>
            </w:r>
            <w:proofErr w:type="spellStart"/>
            <w:r w:rsidRPr="000F214A">
              <w:rPr>
                <w:rFonts w:asciiTheme="minorHAnsi" w:hAnsiTheme="minorHAnsi" w:cs="Arial"/>
                <w:kern w:val="24"/>
                <w:lang w:val="fr-CA" w:eastAsia="nb-NO"/>
              </w:rPr>
              <w:t>praziquantel</w:t>
            </w:r>
            <w:proofErr w:type="spellEnd"/>
            <w:r w:rsidRPr="000F214A">
              <w:rPr>
                <w:rFonts w:asciiTheme="minorHAnsi" w:hAnsiTheme="minorHAnsi" w:cs="Arial"/>
                <w:kern w:val="24"/>
                <w:lang w:val="fr-CA" w:eastAsia="nb-NO"/>
              </w:rPr>
              <w:t xml:space="preserve"> + </w:t>
            </w:r>
            <w:proofErr w:type="spellStart"/>
            <w:r w:rsidRPr="000F214A">
              <w:rPr>
                <w:rFonts w:asciiTheme="minorHAnsi" w:hAnsiTheme="minorHAnsi" w:cs="Arial"/>
                <w:kern w:val="24"/>
                <w:lang w:val="fr-CA" w:eastAsia="nb-NO"/>
              </w:rPr>
              <w:t>micronutrient</w:t>
            </w:r>
            <w:proofErr w:type="spellEnd"/>
            <w:r w:rsidRPr="000F214A">
              <w:rPr>
                <w:rFonts w:asciiTheme="minorHAnsi" w:hAnsiTheme="minorHAnsi" w:cs="Arial"/>
                <w:kern w:val="24"/>
                <w:lang w:val="fr-CA" w:eastAsia="nb-NO"/>
              </w:rPr>
              <w:t xml:space="preserve"> </w:t>
            </w:r>
            <w:proofErr w:type="spellStart"/>
            <w:r w:rsidRPr="000F214A">
              <w:rPr>
                <w:rFonts w:asciiTheme="minorHAnsi" w:hAnsiTheme="minorHAnsi" w:cs="Arial"/>
                <w:kern w:val="24"/>
                <w:lang w:val="fr-CA" w:eastAsia="nb-NO"/>
              </w:rPr>
              <w:t>tablet</w:t>
            </w:r>
            <w:proofErr w:type="spellEnd"/>
          </w:p>
          <w:p w14:paraId="3F1E1874" w14:textId="77777777" w:rsidR="000C7888" w:rsidRPr="000F214A" w:rsidRDefault="000C7888" w:rsidP="00CE0168">
            <w:pPr>
              <w:spacing w:line="240" w:lineRule="auto"/>
              <w:contextualSpacing/>
              <w:textAlignment w:val="center"/>
              <w:rPr>
                <w:rFonts w:asciiTheme="minorHAnsi" w:hAnsiTheme="minorHAnsi" w:cs="Arial"/>
                <w:kern w:val="24"/>
                <w:lang w:val="fr-CA" w:eastAsia="nb-NO"/>
              </w:rPr>
            </w:pPr>
            <w:r w:rsidRPr="000F214A">
              <w:rPr>
                <w:rFonts w:asciiTheme="minorHAnsi" w:hAnsiTheme="minorHAnsi" w:cs="Arial"/>
                <w:kern w:val="24"/>
                <w:lang w:val="fr-CA" w:eastAsia="nb-NO"/>
              </w:rPr>
              <w:t xml:space="preserve">3. </w:t>
            </w:r>
            <w:proofErr w:type="spellStart"/>
            <w:r w:rsidRPr="000F214A">
              <w:rPr>
                <w:rFonts w:asciiTheme="minorHAnsi" w:hAnsiTheme="minorHAnsi" w:cs="Arial"/>
                <w:kern w:val="24"/>
                <w:lang w:val="fr-CA" w:eastAsia="nb-NO"/>
              </w:rPr>
              <w:t>micronutrient</w:t>
            </w:r>
            <w:proofErr w:type="spellEnd"/>
            <w:r w:rsidRPr="000F214A">
              <w:rPr>
                <w:rFonts w:asciiTheme="minorHAnsi" w:hAnsiTheme="minorHAnsi" w:cs="Arial"/>
                <w:kern w:val="24"/>
                <w:lang w:val="fr-CA" w:eastAsia="nb-NO"/>
              </w:rPr>
              <w:t xml:space="preserve"> </w:t>
            </w:r>
            <w:proofErr w:type="spellStart"/>
            <w:r w:rsidRPr="000F214A">
              <w:rPr>
                <w:rFonts w:asciiTheme="minorHAnsi" w:hAnsiTheme="minorHAnsi" w:cs="Arial"/>
                <w:kern w:val="24"/>
                <w:lang w:val="fr-CA" w:eastAsia="nb-NO"/>
              </w:rPr>
              <w:t>tablet</w:t>
            </w:r>
            <w:proofErr w:type="spellEnd"/>
            <w:r w:rsidRPr="000F214A">
              <w:rPr>
                <w:rFonts w:asciiTheme="minorHAnsi" w:hAnsiTheme="minorHAnsi" w:cs="Arial"/>
                <w:kern w:val="24"/>
                <w:lang w:val="fr-CA" w:eastAsia="nb-NO"/>
              </w:rPr>
              <w:t xml:space="preserve"> </w:t>
            </w:r>
          </w:p>
          <w:p w14:paraId="009CEED0" w14:textId="77777777" w:rsidR="000C7888" w:rsidRPr="000F214A" w:rsidRDefault="000C7888" w:rsidP="00CE0168">
            <w:pPr>
              <w:spacing w:line="240" w:lineRule="auto"/>
              <w:contextualSpacing/>
              <w:textAlignment w:val="center"/>
              <w:rPr>
                <w:rFonts w:asciiTheme="minorHAnsi" w:hAnsiTheme="minorHAnsi" w:cs="Arial"/>
                <w:lang w:val="fr-CA" w:eastAsia="nb-NO"/>
              </w:rPr>
            </w:pPr>
            <w:r w:rsidRPr="000F214A">
              <w:rPr>
                <w:rFonts w:asciiTheme="minorHAnsi" w:hAnsiTheme="minorHAnsi" w:cs="Arial"/>
                <w:kern w:val="24"/>
                <w:lang w:val="fr-CA" w:eastAsia="nb-NO"/>
              </w:rPr>
              <w:t>4.  Placebo</w:t>
            </w:r>
          </w:p>
        </w:tc>
        <w:tc>
          <w:tcPr>
            <w:tcW w:w="1267" w:type="dxa"/>
          </w:tcPr>
          <w:p w14:paraId="1F825EC8" w14:textId="77777777" w:rsidR="000C7888"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8 months</w:t>
            </w:r>
            <w:r>
              <w:rPr>
                <w:rFonts w:asciiTheme="minorHAnsi" w:hAnsiTheme="minorHAnsi" w:cs="Arial"/>
                <w:kern w:val="24"/>
                <w:lang w:eastAsia="nb-NO"/>
              </w:rPr>
              <w:t>,</w:t>
            </w:r>
          </w:p>
          <w:p w14:paraId="677AE17E"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8 months</w:t>
            </w:r>
          </w:p>
        </w:tc>
        <w:tc>
          <w:tcPr>
            <w:tcW w:w="1418" w:type="dxa"/>
          </w:tcPr>
          <w:p w14:paraId="70298503" w14:textId="77777777" w:rsidR="000C7888" w:rsidRPr="000F214A" w:rsidRDefault="000C7888" w:rsidP="00CE0168">
            <w:pPr>
              <w:spacing w:line="240" w:lineRule="auto"/>
              <w:contextualSpacing/>
              <w:textAlignment w:val="center"/>
              <w:rPr>
                <w:rFonts w:asciiTheme="minorHAnsi" w:hAnsiTheme="minorHAnsi" w:cs="Arial"/>
                <w:lang w:eastAsia="nb-NO"/>
              </w:rPr>
            </w:pPr>
            <w:r>
              <w:rPr>
                <w:rFonts w:asciiTheme="minorHAnsi" w:hAnsiTheme="minorHAnsi" w:cs="Arial"/>
                <w:lang w:eastAsia="nb-NO"/>
              </w:rPr>
              <w:t>Not reported</w:t>
            </w:r>
          </w:p>
        </w:tc>
      </w:tr>
      <w:tr w:rsidR="000C7888" w:rsidRPr="000F214A" w14:paraId="4B1966A6" w14:textId="77777777" w:rsidTr="00CE0168">
        <w:trPr>
          <w:cantSplit/>
        </w:trPr>
        <w:tc>
          <w:tcPr>
            <w:tcW w:w="988" w:type="dxa"/>
          </w:tcPr>
          <w:p w14:paraId="5D1A0DFB"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Huong 2007</w:t>
            </w:r>
          </w:p>
        </w:tc>
        <w:tc>
          <w:tcPr>
            <w:tcW w:w="920" w:type="dxa"/>
          </w:tcPr>
          <w:p w14:paraId="4B974D2B"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Vietnam</w:t>
            </w:r>
          </w:p>
        </w:tc>
        <w:tc>
          <w:tcPr>
            <w:tcW w:w="810" w:type="dxa"/>
          </w:tcPr>
          <w:p w14:paraId="0678558C"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RCT</w:t>
            </w:r>
          </w:p>
          <w:p w14:paraId="5176970D"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4D8DBA98"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MDA</w:t>
            </w:r>
          </w:p>
        </w:tc>
        <w:tc>
          <w:tcPr>
            <w:tcW w:w="990" w:type="dxa"/>
          </w:tcPr>
          <w:p w14:paraId="513C3023"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tc>
        <w:tc>
          <w:tcPr>
            <w:tcW w:w="990" w:type="dxa"/>
          </w:tcPr>
          <w:p w14:paraId="0D0F7D2B"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426</w:t>
            </w:r>
          </w:p>
        </w:tc>
        <w:tc>
          <w:tcPr>
            <w:tcW w:w="900" w:type="dxa"/>
          </w:tcPr>
          <w:p w14:paraId="264194EB"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Pr>
                <w:rFonts w:asciiTheme="minorHAnsi" w:hAnsiTheme="minorHAnsi" w:cs="Arial"/>
                <w:kern w:val="24"/>
                <w:lang w:eastAsia="nb-NO"/>
              </w:rPr>
              <w:t>6 to 9</w:t>
            </w:r>
          </w:p>
          <w:p w14:paraId="3CFABAFC"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79E4378D"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schools</w:t>
            </w:r>
          </w:p>
        </w:tc>
        <w:tc>
          <w:tcPr>
            <w:tcW w:w="1890" w:type="dxa"/>
          </w:tcPr>
          <w:p w14:paraId="43340C8A"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1. Mebendazole  + unfortified noodles </w:t>
            </w:r>
          </w:p>
          <w:p w14:paraId="3ED1EEC3"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2. Mebendazole + iron fortified noodles</w:t>
            </w:r>
          </w:p>
          <w:p w14:paraId="16C18682"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3. Mebendazole + iron tablet 4.  iron-fortified noodles</w:t>
            </w:r>
          </w:p>
          <w:p w14:paraId="1951F0A3"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5. Placebo + unfortified noodles</w:t>
            </w:r>
          </w:p>
          <w:p w14:paraId="778954A9" w14:textId="77777777" w:rsidR="000C7888" w:rsidRPr="000F214A" w:rsidRDefault="000C7888" w:rsidP="00CE0168">
            <w:pPr>
              <w:spacing w:line="240" w:lineRule="auto"/>
              <w:contextualSpacing/>
              <w:textAlignment w:val="center"/>
              <w:rPr>
                <w:rFonts w:asciiTheme="minorHAnsi" w:hAnsiTheme="minorHAnsi" w:cs="Arial"/>
                <w:lang w:eastAsia="nb-NO"/>
              </w:rPr>
            </w:pPr>
          </w:p>
        </w:tc>
        <w:tc>
          <w:tcPr>
            <w:tcW w:w="1267" w:type="dxa"/>
          </w:tcPr>
          <w:p w14:paraId="6A81C11E" w14:textId="77777777" w:rsidR="000C7888"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3 months</w:t>
            </w:r>
            <w:r>
              <w:rPr>
                <w:rFonts w:asciiTheme="minorHAnsi" w:hAnsiTheme="minorHAnsi" w:cs="Arial"/>
                <w:kern w:val="24"/>
                <w:lang w:eastAsia="nb-NO"/>
              </w:rPr>
              <w:t>,</w:t>
            </w:r>
          </w:p>
          <w:p w14:paraId="0EDA8121"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6 months</w:t>
            </w:r>
          </w:p>
        </w:tc>
        <w:tc>
          <w:tcPr>
            <w:tcW w:w="1418" w:type="dxa"/>
          </w:tcPr>
          <w:p w14:paraId="6F9891AC" w14:textId="2B98527F" w:rsidR="000C7888" w:rsidRPr="000F214A" w:rsidRDefault="000C7888" w:rsidP="00CE0168">
            <w:pPr>
              <w:spacing w:line="240" w:lineRule="auto"/>
              <w:contextualSpacing/>
              <w:textAlignment w:val="center"/>
              <w:rPr>
                <w:rFonts w:asciiTheme="minorHAnsi" w:hAnsiTheme="minorHAnsi" w:cs="Arial"/>
                <w:lang w:eastAsia="nb-NO"/>
              </w:rPr>
            </w:pPr>
            <w:r>
              <w:rPr>
                <w:rFonts w:asciiTheme="minorHAnsi" w:hAnsiTheme="minorHAnsi" w:cs="Arial"/>
                <w:lang w:eastAsia="nb-NO"/>
              </w:rPr>
              <w:t>93-99%</w:t>
            </w:r>
            <w:r w:rsidR="007D493D">
              <w:rPr>
                <w:rFonts w:asciiTheme="minorHAnsi" w:hAnsiTheme="minorHAnsi" w:cs="Arial"/>
                <w:lang w:eastAsia="nb-NO"/>
              </w:rPr>
              <w:t xml:space="preserve"> consumed noodles and iron tablets</w:t>
            </w:r>
          </w:p>
        </w:tc>
      </w:tr>
      <w:tr w:rsidR="000C7888" w:rsidRPr="000F214A" w14:paraId="7015D7D2" w14:textId="77777777" w:rsidTr="00CE0168">
        <w:trPr>
          <w:cantSplit/>
        </w:trPr>
        <w:tc>
          <w:tcPr>
            <w:tcW w:w="988" w:type="dxa"/>
          </w:tcPr>
          <w:p w14:paraId="2883CF30"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Liu 2017</w:t>
            </w:r>
          </w:p>
        </w:tc>
        <w:tc>
          <w:tcPr>
            <w:tcW w:w="920" w:type="dxa"/>
          </w:tcPr>
          <w:p w14:paraId="63B038F4"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China</w:t>
            </w:r>
          </w:p>
        </w:tc>
        <w:tc>
          <w:tcPr>
            <w:tcW w:w="810" w:type="dxa"/>
          </w:tcPr>
          <w:p w14:paraId="7A85E4A5"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roofErr w:type="spellStart"/>
            <w:r w:rsidRPr="000F214A">
              <w:rPr>
                <w:rFonts w:asciiTheme="minorHAnsi" w:hAnsiTheme="minorHAnsi" w:cs="Arial"/>
                <w:kern w:val="24"/>
                <w:lang w:eastAsia="nb-NO"/>
              </w:rPr>
              <w:t>cRCT</w:t>
            </w:r>
            <w:proofErr w:type="spellEnd"/>
          </w:p>
          <w:p w14:paraId="7DA17F61"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37A0AC97"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MDA</w:t>
            </w:r>
          </w:p>
        </w:tc>
        <w:tc>
          <w:tcPr>
            <w:tcW w:w="990" w:type="dxa"/>
          </w:tcPr>
          <w:p w14:paraId="2A09FC8A"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Townships (112)</w:t>
            </w:r>
          </w:p>
        </w:tc>
        <w:tc>
          <w:tcPr>
            <w:tcW w:w="990" w:type="dxa"/>
          </w:tcPr>
          <w:p w14:paraId="5C2A123F"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2179 </w:t>
            </w:r>
          </w:p>
          <w:p w14:paraId="550AEC1A"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(20)</w:t>
            </w:r>
          </w:p>
        </w:tc>
        <w:tc>
          <w:tcPr>
            <w:tcW w:w="900" w:type="dxa"/>
          </w:tcPr>
          <w:p w14:paraId="1F108CE5"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Pr>
                <w:rFonts w:asciiTheme="minorHAnsi" w:hAnsiTheme="minorHAnsi" w:cs="Arial"/>
                <w:kern w:val="24"/>
                <w:lang w:eastAsia="nb-NO"/>
              </w:rPr>
              <w:t>9 to 12</w:t>
            </w:r>
          </w:p>
          <w:p w14:paraId="58F9F2CC"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07E47280" w14:textId="77777777" w:rsidR="000C7888" w:rsidRPr="000F214A" w:rsidRDefault="000C7888" w:rsidP="00CE0168">
            <w:pPr>
              <w:spacing w:line="240" w:lineRule="auto"/>
              <w:contextualSpacing/>
              <w:textAlignment w:val="center"/>
              <w:rPr>
                <w:rFonts w:asciiTheme="minorHAnsi" w:hAnsiTheme="minorHAnsi" w:cs="Arial"/>
                <w:lang w:eastAsia="nb-NO"/>
              </w:rPr>
            </w:pPr>
            <w:r>
              <w:rPr>
                <w:rFonts w:asciiTheme="minorHAnsi" w:hAnsiTheme="minorHAnsi" w:cs="Arial"/>
                <w:kern w:val="24"/>
                <w:lang w:eastAsia="nb-NO"/>
              </w:rPr>
              <w:t>Town-ships</w:t>
            </w:r>
          </w:p>
        </w:tc>
        <w:tc>
          <w:tcPr>
            <w:tcW w:w="1890" w:type="dxa"/>
          </w:tcPr>
          <w:p w14:paraId="62094BAD"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1. Albendazole  </w:t>
            </w:r>
          </w:p>
          <w:p w14:paraId="19A90803"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2. Control (no deworming)</w:t>
            </w:r>
          </w:p>
        </w:tc>
        <w:tc>
          <w:tcPr>
            <w:tcW w:w="1267" w:type="dxa"/>
          </w:tcPr>
          <w:p w14:paraId="04A51E9B" w14:textId="77777777" w:rsidR="000C7888"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6 months</w:t>
            </w:r>
            <w:r>
              <w:rPr>
                <w:rFonts w:asciiTheme="minorHAnsi" w:hAnsiTheme="minorHAnsi" w:cs="Arial"/>
                <w:kern w:val="24"/>
                <w:lang w:eastAsia="nb-NO"/>
              </w:rPr>
              <w:t>,</w:t>
            </w:r>
          </w:p>
          <w:p w14:paraId="4D93C6AC"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12 months</w:t>
            </w:r>
          </w:p>
        </w:tc>
        <w:tc>
          <w:tcPr>
            <w:tcW w:w="1418" w:type="dxa"/>
          </w:tcPr>
          <w:p w14:paraId="39398E53" w14:textId="77777777" w:rsidR="000C7888" w:rsidRPr="000F214A" w:rsidRDefault="000C7888" w:rsidP="00CE0168">
            <w:pPr>
              <w:spacing w:line="240" w:lineRule="auto"/>
              <w:contextualSpacing/>
              <w:textAlignment w:val="center"/>
              <w:rPr>
                <w:rFonts w:asciiTheme="minorHAnsi" w:hAnsiTheme="minorHAnsi" w:cs="Arial"/>
                <w:lang w:eastAsia="nb-NO"/>
              </w:rPr>
            </w:pPr>
            <w:r>
              <w:rPr>
                <w:rFonts w:asciiTheme="minorHAnsi" w:hAnsiTheme="minorHAnsi" w:cs="Arial"/>
                <w:lang w:eastAsia="nb-NO"/>
              </w:rPr>
              <w:t>52% fully compliant, 76% took at least one out of two albendazole pills in both rounds</w:t>
            </w:r>
          </w:p>
        </w:tc>
      </w:tr>
      <w:tr w:rsidR="000C7888" w:rsidRPr="000F214A" w14:paraId="30DFE1B3" w14:textId="77777777" w:rsidTr="00CE0168">
        <w:trPr>
          <w:cantSplit/>
        </w:trPr>
        <w:tc>
          <w:tcPr>
            <w:tcW w:w="988" w:type="dxa"/>
          </w:tcPr>
          <w:p w14:paraId="1105930C"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roofErr w:type="spellStart"/>
            <w:r w:rsidRPr="000F214A">
              <w:rPr>
                <w:rFonts w:asciiTheme="minorHAnsi" w:hAnsiTheme="minorHAnsi" w:cs="Arial"/>
                <w:lang w:eastAsia="nb-NO"/>
              </w:rPr>
              <w:lastRenderedPageBreak/>
              <w:t>Ndibazza</w:t>
            </w:r>
            <w:proofErr w:type="spellEnd"/>
            <w:r w:rsidRPr="000F214A">
              <w:rPr>
                <w:rFonts w:asciiTheme="minorHAnsi" w:hAnsiTheme="minorHAnsi" w:cs="Arial"/>
                <w:lang w:eastAsia="nb-NO"/>
              </w:rPr>
              <w:t xml:space="preserve"> 2013</w:t>
            </w:r>
          </w:p>
        </w:tc>
        <w:tc>
          <w:tcPr>
            <w:tcW w:w="920" w:type="dxa"/>
          </w:tcPr>
          <w:p w14:paraId="1DE6DB4C"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Uganda</w:t>
            </w:r>
          </w:p>
        </w:tc>
        <w:tc>
          <w:tcPr>
            <w:tcW w:w="810" w:type="dxa"/>
          </w:tcPr>
          <w:p w14:paraId="3C77C555"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RCT</w:t>
            </w:r>
          </w:p>
          <w:p w14:paraId="59DA15BC"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1E80AE8E"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MDA</w:t>
            </w:r>
          </w:p>
        </w:tc>
        <w:tc>
          <w:tcPr>
            <w:tcW w:w="990" w:type="dxa"/>
          </w:tcPr>
          <w:p w14:paraId="49B54E95"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tc>
        <w:tc>
          <w:tcPr>
            <w:tcW w:w="990" w:type="dxa"/>
          </w:tcPr>
          <w:p w14:paraId="4B949188"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2016</w:t>
            </w:r>
          </w:p>
        </w:tc>
        <w:tc>
          <w:tcPr>
            <w:tcW w:w="900" w:type="dxa"/>
          </w:tcPr>
          <w:p w14:paraId="1D9FDB5C"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Pr>
                <w:rFonts w:asciiTheme="minorHAnsi" w:hAnsiTheme="minorHAnsi" w:cs="Arial"/>
                <w:kern w:val="24"/>
                <w:lang w:eastAsia="nb-NO"/>
              </w:rPr>
              <w:t>1 to 2</w:t>
            </w:r>
          </w:p>
          <w:p w14:paraId="18AF20CE"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118A4426"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Pr>
                <w:rFonts w:asciiTheme="minorHAnsi" w:hAnsiTheme="minorHAnsi" w:cs="Arial"/>
                <w:kern w:val="24"/>
                <w:lang w:eastAsia="nb-NO"/>
              </w:rPr>
              <w:t>community</w:t>
            </w:r>
          </w:p>
        </w:tc>
        <w:tc>
          <w:tcPr>
            <w:tcW w:w="1890" w:type="dxa"/>
          </w:tcPr>
          <w:p w14:paraId="006519F6"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1. Albendazole</w:t>
            </w:r>
          </w:p>
          <w:p w14:paraId="41A18FAA"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2. Placebo</w:t>
            </w:r>
          </w:p>
        </w:tc>
        <w:tc>
          <w:tcPr>
            <w:tcW w:w="1267" w:type="dxa"/>
          </w:tcPr>
          <w:p w14:paraId="6E11476C" w14:textId="77777777" w:rsidR="000C7888"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3 months</w:t>
            </w:r>
            <w:r>
              <w:rPr>
                <w:rFonts w:asciiTheme="minorHAnsi" w:hAnsiTheme="minorHAnsi" w:cs="Arial"/>
                <w:kern w:val="24"/>
                <w:lang w:eastAsia="nb-NO"/>
              </w:rPr>
              <w:t>,</w:t>
            </w:r>
          </w:p>
          <w:p w14:paraId="27EDDA38"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45 months</w:t>
            </w:r>
          </w:p>
        </w:tc>
        <w:tc>
          <w:tcPr>
            <w:tcW w:w="1418" w:type="dxa"/>
          </w:tcPr>
          <w:p w14:paraId="6AD9640B"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Pr>
                <w:rFonts w:asciiTheme="minorHAnsi" w:hAnsiTheme="minorHAnsi" w:cs="Arial"/>
                <w:kern w:val="24"/>
                <w:lang w:eastAsia="nb-NO"/>
              </w:rPr>
              <w:t>19-22% received all 16 doses (over 5 years)</w:t>
            </w:r>
          </w:p>
        </w:tc>
      </w:tr>
      <w:tr w:rsidR="000C7888" w:rsidRPr="000F214A" w14:paraId="745EC78C" w14:textId="77777777" w:rsidTr="00CE0168">
        <w:trPr>
          <w:cantSplit/>
        </w:trPr>
        <w:tc>
          <w:tcPr>
            <w:tcW w:w="988" w:type="dxa"/>
          </w:tcPr>
          <w:p w14:paraId="17E2527E"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Nga 2009</w:t>
            </w:r>
          </w:p>
        </w:tc>
        <w:tc>
          <w:tcPr>
            <w:tcW w:w="920" w:type="dxa"/>
          </w:tcPr>
          <w:p w14:paraId="608363AB"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Vietnam</w:t>
            </w:r>
          </w:p>
        </w:tc>
        <w:tc>
          <w:tcPr>
            <w:tcW w:w="810" w:type="dxa"/>
          </w:tcPr>
          <w:p w14:paraId="2B93844B"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RCT</w:t>
            </w:r>
          </w:p>
          <w:p w14:paraId="5546FDAC"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1F7E93D1"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MDA</w:t>
            </w:r>
          </w:p>
        </w:tc>
        <w:tc>
          <w:tcPr>
            <w:tcW w:w="990" w:type="dxa"/>
          </w:tcPr>
          <w:p w14:paraId="55F974B8"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tc>
        <w:tc>
          <w:tcPr>
            <w:tcW w:w="990" w:type="dxa"/>
          </w:tcPr>
          <w:p w14:paraId="5DFF8EBC"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510</w:t>
            </w:r>
          </w:p>
        </w:tc>
        <w:tc>
          <w:tcPr>
            <w:tcW w:w="900" w:type="dxa"/>
          </w:tcPr>
          <w:p w14:paraId="30139E9C"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6 to 8</w:t>
            </w:r>
          </w:p>
          <w:p w14:paraId="7BB8981E"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73B0A1BE" w14:textId="77777777" w:rsidR="000C7888" w:rsidRPr="000F214A" w:rsidRDefault="000C7888" w:rsidP="00CE0168">
            <w:pPr>
              <w:spacing w:line="240" w:lineRule="auto"/>
              <w:contextualSpacing/>
              <w:textAlignment w:val="center"/>
              <w:rPr>
                <w:rFonts w:asciiTheme="minorHAnsi" w:hAnsiTheme="minorHAnsi" w:cs="Arial"/>
                <w:lang w:eastAsia="nb-NO"/>
              </w:rPr>
            </w:pPr>
            <w:r>
              <w:rPr>
                <w:rFonts w:asciiTheme="minorHAnsi" w:hAnsiTheme="minorHAnsi" w:cs="Arial"/>
                <w:kern w:val="24"/>
                <w:lang w:eastAsia="nb-NO"/>
              </w:rPr>
              <w:t>schools</w:t>
            </w:r>
          </w:p>
        </w:tc>
        <w:tc>
          <w:tcPr>
            <w:tcW w:w="1890" w:type="dxa"/>
          </w:tcPr>
          <w:p w14:paraId="5A39F6F9"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1. Albendazole + unfortified biscuit </w:t>
            </w:r>
          </w:p>
          <w:p w14:paraId="7CC49F85"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2.  Albendazole + micronutrient fortified biscuit </w:t>
            </w:r>
          </w:p>
          <w:p w14:paraId="1E28B531"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3. micronutrient fortified biscuit</w:t>
            </w:r>
          </w:p>
          <w:p w14:paraId="1ABBE6A7"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4. Placebo + unfortified biscuit</w:t>
            </w:r>
          </w:p>
        </w:tc>
        <w:tc>
          <w:tcPr>
            <w:tcW w:w="1267" w:type="dxa"/>
          </w:tcPr>
          <w:p w14:paraId="358C63F1" w14:textId="77777777" w:rsidR="000C7888"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4 months</w:t>
            </w:r>
            <w:r>
              <w:rPr>
                <w:rFonts w:asciiTheme="minorHAnsi" w:hAnsiTheme="minorHAnsi" w:cs="Arial"/>
                <w:kern w:val="24"/>
                <w:lang w:eastAsia="nb-NO"/>
              </w:rPr>
              <w:t>,</w:t>
            </w:r>
          </w:p>
          <w:p w14:paraId="65E2F522" w14:textId="77777777" w:rsidR="000C7888" w:rsidRPr="000F214A" w:rsidRDefault="000C7888" w:rsidP="00CE0168">
            <w:pPr>
              <w:spacing w:line="240" w:lineRule="auto"/>
              <w:contextualSpacing/>
              <w:textAlignment w:val="center"/>
              <w:rPr>
                <w:rFonts w:asciiTheme="minorHAnsi" w:hAnsiTheme="minorHAnsi" w:cs="Arial"/>
                <w:lang w:eastAsia="nb-NO"/>
              </w:rPr>
            </w:pPr>
            <w:r>
              <w:rPr>
                <w:rFonts w:asciiTheme="minorHAnsi" w:hAnsiTheme="minorHAnsi" w:cs="Arial"/>
                <w:kern w:val="24"/>
                <w:lang w:eastAsia="nb-NO"/>
              </w:rPr>
              <w:t>4 months</w:t>
            </w:r>
          </w:p>
        </w:tc>
        <w:tc>
          <w:tcPr>
            <w:tcW w:w="1418" w:type="dxa"/>
          </w:tcPr>
          <w:p w14:paraId="4EE2F85C" w14:textId="77777777" w:rsidR="000C7888" w:rsidRPr="000F214A" w:rsidRDefault="000C7888" w:rsidP="00CE0168">
            <w:pPr>
              <w:spacing w:line="240" w:lineRule="auto"/>
              <w:contextualSpacing/>
              <w:textAlignment w:val="center"/>
              <w:rPr>
                <w:rFonts w:asciiTheme="minorHAnsi" w:hAnsiTheme="minorHAnsi" w:cs="Arial"/>
                <w:lang w:eastAsia="nb-NO"/>
              </w:rPr>
            </w:pPr>
            <w:r>
              <w:rPr>
                <w:rFonts w:asciiTheme="minorHAnsi" w:hAnsiTheme="minorHAnsi" w:cs="Arial"/>
                <w:kern w:val="24"/>
                <w:lang w:eastAsia="nb-NO"/>
              </w:rPr>
              <w:t>94% compliant with consuming biscuits</w:t>
            </w:r>
          </w:p>
        </w:tc>
      </w:tr>
      <w:tr w:rsidR="000C7888" w:rsidRPr="000F214A" w14:paraId="09BF9F93" w14:textId="77777777" w:rsidTr="00CE0168">
        <w:trPr>
          <w:cantSplit/>
        </w:trPr>
        <w:tc>
          <w:tcPr>
            <w:tcW w:w="988" w:type="dxa"/>
          </w:tcPr>
          <w:p w14:paraId="731A35CD"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Olds 1999</w:t>
            </w:r>
          </w:p>
        </w:tc>
        <w:tc>
          <w:tcPr>
            <w:tcW w:w="920" w:type="dxa"/>
          </w:tcPr>
          <w:p w14:paraId="4F8EE18C"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Kenya</w:t>
            </w:r>
          </w:p>
          <w:p w14:paraId="376F9D3D"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(note: data from Kenya site, not from China or </w:t>
            </w:r>
            <w:r w:rsidR="00CE0168" w:rsidRPr="000F214A">
              <w:rPr>
                <w:rFonts w:asciiTheme="minorHAnsi" w:hAnsiTheme="minorHAnsi" w:cs="Arial"/>
                <w:kern w:val="24"/>
                <w:lang w:eastAsia="nb-NO"/>
              </w:rPr>
              <w:t>Philippines</w:t>
            </w:r>
            <w:r w:rsidRPr="000F214A">
              <w:rPr>
                <w:rFonts w:asciiTheme="minorHAnsi" w:hAnsiTheme="minorHAnsi" w:cs="Arial"/>
                <w:kern w:val="24"/>
                <w:lang w:eastAsia="nb-NO"/>
              </w:rPr>
              <w:t xml:space="preserve"> sites)</w:t>
            </w:r>
          </w:p>
        </w:tc>
        <w:tc>
          <w:tcPr>
            <w:tcW w:w="810" w:type="dxa"/>
          </w:tcPr>
          <w:p w14:paraId="4FEFFDC8"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RCT</w:t>
            </w:r>
          </w:p>
          <w:p w14:paraId="44E7CC94"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0BA02B53"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MDA</w:t>
            </w:r>
          </w:p>
        </w:tc>
        <w:tc>
          <w:tcPr>
            <w:tcW w:w="990" w:type="dxa"/>
          </w:tcPr>
          <w:p w14:paraId="1AAAD5AA"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tc>
        <w:tc>
          <w:tcPr>
            <w:tcW w:w="990" w:type="dxa"/>
          </w:tcPr>
          <w:p w14:paraId="26D38B50"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371</w:t>
            </w:r>
          </w:p>
        </w:tc>
        <w:tc>
          <w:tcPr>
            <w:tcW w:w="900" w:type="dxa"/>
          </w:tcPr>
          <w:p w14:paraId="1C944A84"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Pr>
                <w:rFonts w:asciiTheme="minorHAnsi" w:hAnsiTheme="minorHAnsi" w:cs="Arial"/>
                <w:kern w:val="24"/>
                <w:lang w:eastAsia="nb-NO"/>
              </w:rPr>
              <w:t>6 to 17</w:t>
            </w:r>
          </w:p>
          <w:p w14:paraId="7FFB643E"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6A41AADD"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villages</w:t>
            </w:r>
          </w:p>
        </w:tc>
        <w:tc>
          <w:tcPr>
            <w:tcW w:w="1890" w:type="dxa"/>
          </w:tcPr>
          <w:p w14:paraId="7444C25D" w14:textId="77777777" w:rsidR="000C7888" w:rsidRPr="000F214A" w:rsidRDefault="000C7888" w:rsidP="00CE0168">
            <w:pPr>
              <w:spacing w:line="240" w:lineRule="auto"/>
              <w:contextualSpacing/>
              <w:textAlignment w:val="center"/>
              <w:rPr>
                <w:rFonts w:asciiTheme="minorHAnsi" w:hAnsiTheme="minorHAnsi" w:cs="Arial"/>
                <w:kern w:val="24"/>
                <w:lang w:val="fr-CA" w:eastAsia="nb-NO"/>
              </w:rPr>
            </w:pPr>
            <w:r w:rsidRPr="000F214A">
              <w:rPr>
                <w:rFonts w:asciiTheme="minorHAnsi" w:hAnsiTheme="minorHAnsi" w:cs="Arial"/>
                <w:kern w:val="24"/>
                <w:lang w:val="fr-CA" w:eastAsia="nb-NO"/>
              </w:rPr>
              <w:t xml:space="preserve">1. </w:t>
            </w:r>
            <w:proofErr w:type="spellStart"/>
            <w:r w:rsidRPr="000F214A">
              <w:rPr>
                <w:rFonts w:asciiTheme="minorHAnsi" w:hAnsiTheme="minorHAnsi" w:cs="Arial"/>
                <w:kern w:val="24"/>
                <w:lang w:val="fr-CA" w:eastAsia="nb-NO"/>
              </w:rPr>
              <w:t>Albendazole</w:t>
            </w:r>
            <w:proofErr w:type="spellEnd"/>
          </w:p>
          <w:p w14:paraId="0CE16113" w14:textId="77777777" w:rsidR="000C7888" w:rsidRPr="000F214A" w:rsidRDefault="000C7888" w:rsidP="00CE0168">
            <w:pPr>
              <w:spacing w:line="240" w:lineRule="auto"/>
              <w:contextualSpacing/>
              <w:textAlignment w:val="center"/>
              <w:rPr>
                <w:rFonts w:asciiTheme="minorHAnsi" w:hAnsiTheme="minorHAnsi" w:cs="Arial"/>
                <w:kern w:val="24"/>
                <w:lang w:val="fr-CA" w:eastAsia="nb-NO"/>
              </w:rPr>
            </w:pPr>
            <w:r w:rsidRPr="000F214A">
              <w:rPr>
                <w:rFonts w:asciiTheme="minorHAnsi" w:hAnsiTheme="minorHAnsi" w:cs="Arial"/>
                <w:kern w:val="24"/>
                <w:lang w:val="fr-CA" w:eastAsia="nb-NO"/>
              </w:rPr>
              <w:t xml:space="preserve">2.  </w:t>
            </w:r>
            <w:proofErr w:type="spellStart"/>
            <w:r w:rsidRPr="000F214A">
              <w:rPr>
                <w:rFonts w:asciiTheme="minorHAnsi" w:hAnsiTheme="minorHAnsi" w:cs="Arial"/>
                <w:kern w:val="24"/>
                <w:lang w:val="fr-CA" w:eastAsia="nb-NO"/>
              </w:rPr>
              <w:t>Praziquantel</w:t>
            </w:r>
            <w:proofErr w:type="spellEnd"/>
            <w:r w:rsidRPr="000F214A">
              <w:rPr>
                <w:rFonts w:asciiTheme="minorHAnsi" w:hAnsiTheme="minorHAnsi" w:cs="Arial"/>
                <w:kern w:val="24"/>
                <w:lang w:val="fr-CA" w:eastAsia="nb-NO"/>
              </w:rPr>
              <w:t xml:space="preserve"> </w:t>
            </w:r>
          </w:p>
          <w:p w14:paraId="3D55CFF9" w14:textId="77777777" w:rsidR="000C7888" w:rsidRPr="000F214A" w:rsidRDefault="000C7888" w:rsidP="00CE0168">
            <w:pPr>
              <w:spacing w:line="240" w:lineRule="auto"/>
              <w:contextualSpacing/>
              <w:textAlignment w:val="center"/>
              <w:rPr>
                <w:rFonts w:asciiTheme="minorHAnsi" w:hAnsiTheme="minorHAnsi" w:cs="Arial"/>
                <w:kern w:val="24"/>
                <w:lang w:val="fr-CA" w:eastAsia="nb-NO"/>
              </w:rPr>
            </w:pPr>
            <w:r w:rsidRPr="000F214A">
              <w:rPr>
                <w:rFonts w:asciiTheme="minorHAnsi" w:hAnsiTheme="minorHAnsi" w:cs="Arial"/>
                <w:kern w:val="24"/>
                <w:lang w:val="fr-CA" w:eastAsia="nb-NO"/>
              </w:rPr>
              <w:t xml:space="preserve">3.  </w:t>
            </w:r>
            <w:proofErr w:type="spellStart"/>
            <w:r w:rsidRPr="000F214A">
              <w:rPr>
                <w:rFonts w:asciiTheme="minorHAnsi" w:hAnsiTheme="minorHAnsi" w:cs="Arial"/>
                <w:kern w:val="24"/>
                <w:lang w:val="fr-CA" w:eastAsia="nb-NO"/>
              </w:rPr>
              <w:t>Albendazole</w:t>
            </w:r>
            <w:proofErr w:type="spellEnd"/>
            <w:r w:rsidRPr="000F214A">
              <w:rPr>
                <w:rFonts w:asciiTheme="minorHAnsi" w:hAnsiTheme="minorHAnsi" w:cs="Arial"/>
                <w:kern w:val="24"/>
                <w:lang w:val="fr-CA" w:eastAsia="nb-NO"/>
              </w:rPr>
              <w:t xml:space="preserve"> + </w:t>
            </w:r>
            <w:proofErr w:type="spellStart"/>
            <w:r w:rsidRPr="000F214A">
              <w:rPr>
                <w:rFonts w:asciiTheme="minorHAnsi" w:hAnsiTheme="minorHAnsi" w:cs="Arial"/>
                <w:kern w:val="24"/>
                <w:lang w:val="fr-CA" w:eastAsia="nb-NO"/>
              </w:rPr>
              <w:t>Praziquantel</w:t>
            </w:r>
            <w:proofErr w:type="spellEnd"/>
          </w:p>
          <w:p w14:paraId="20185488" w14:textId="77777777" w:rsidR="000C7888" w:rsidRPr="000F214A" w:rsidRDefault="000C7888" w:rsidP="00CE0168">
            <w:pPr>
              <w:spacing w:line="240" w:lineRule="auto"/>
              <w:contextualSpacing/>
              <w:textAlignment w:val="center"/>
              <w:rPr>
                <w:rFonts w:asciiTheme="minorHAnsi" w:hAnsiTheme="minorHAnsi" w:cs="Arial"/>
                <w:lang w:val="fr-CA" w:eastAsia="nb-NO"/>
              </w:rPr>
            </w:pPr>
            <w:r w:rsidRPr="000F214A">
              <w:rPr>
                <w:rFonts w:asciiTheme="minorHAnsi" w:hAnsiTheme="minorHAnsi" w:cs="Arial"/>
                <w:kern w:val="24"/>
                <w:lang w:val="fr-CA" w:eastAsia="nb-NO"/>
              </w:rPr>
              <w:t>4. Placebo</w:t>
            </w:r>
          </w:p>
        </w:tc>
        <w:tc>
          <w:tcPr>
            <w:tcW w:w="1267" w:type="dxa"/>
          </w:tcPr>
          <w:p w14:paraId="606FAD69" w14:textId="77777777" w:rsidR="000C7888"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6 months</w:t>
            </w:r>
            <w:r>
              <w:rPr>
                <w:rFonts w:asciiTheme="minorHAnsi" w:hAnsiTheme="minorHAnsi" w:cs="Arial"/>
                <w:kern w:val="24"/>
                <w:lang w:eastAsia="nb-NO"/>
              </w:rPr>
              <w:t>,</w:t>
            </w:r>
          </w:p>
          <w:p w14:paraId="375C8457" w14:textId="77777777" w:rsidR="000C7888" w:rsidRPr="000F214A" w:rsidRDefault="000C7888" w:rsidP="00CE0168">
            <w:pPr>
              <w:spacing w:line="240" w:lineRule="auto"/>
              <w:contextualSpacing/>
              <w:textAlignment w:val="center"/>
              <w:rPr>
                <w:rFonts w:asciiTheme="minorHAnsi" w:hAnsiTheme="minorHAnsi" w:cs="Arial"/>
                <w:lang w:eastAsia="nb-NO"/>
              </w:rPr>
            </w:pPr>
            <w:r>
              <w:rPr>
                <w:rFonts w:asciiTheme="minorHAnsi" w:hAnsiTheme="minorHAnsi" w:cs="Arial"/>
                <w:kern w:val="24"/>
                <w:lang w:eastAsia="nb-NO"/>
              </w:rPr>
              <w:t>12 months</w:t>
            </w:r>
          </w:p>
        </w:tc>
        <w:tc>
          <w:tcPr>
            <w:tcW w:w="1418" w:type="dxa"/>
          </w:tcPr>
          <w:p w14:paraId="734DC65C" w14:textId="77777777" w:rsidR="000C7888" w:rsidRPr="000F214A" w:rsidRDefault="000C7888" w:rsidP="00CE0168">
            <w:pPr>
              <w:spacing w:line="240" w:lineRule="auto"/>
              <w:contextualSpacing/>
              <w:textAlignment w:val="center"/>
              <w:rPr>
                <w:rFonts w:asciiTheme="minorHAnsi" w:hAnsiTheme="minorHAnsi" w:cs="Arial"/>
                <w:lang w:eastAsia="nb-NO"/>
              </w:rPr>
            </w:pPr>
            <w:r>
              <w:rPr>
                <w:rFonts w:asciiTheme="minorHAnsi" w:hAnsiTheme="minorHAnsi" w:cs="Arial"/>
                <w:kern w:val="24"/>
                <w:lang w:eastAsia="nb-NO"/>
              </w:rPr>
              <w:t>Not reported</w:t>
            </w:r>
          </w:p>
        </w:tc>
      </w:tr>
      <w:tr w:rsidR="000C7888" w:rsidRPr="000F214A" w14:paraId="7211D656" w14:textId="77777777" w:rsidTr="00CE0168">
        <w:trPr>
          <w:cantSplit/>
        </w:trPr>
        <w:tc>
          <w:tcPr>
            <w:tcW w:w="988" w:type="dxa"/>
          </w:tcPr>
          <w:p w14:paraId="17599050"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Rohner 2010</w:t>
            </w:r>
          </w:p>
        </w:tc>
        <w:tc>
          <w:tcPr>
            <w:tcW w:w="920" w:type="dxa"/>
          </w:tcPr>
          <w:p w14:paraId="62021298"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Côte d’Ivoire</w:t>
            </w:r>
          </w:p>
        </w:tc>
        <w:tc>
          <w:tcPr>
            <w:tcW w:w="810" w:type="dxa"/>
          </w:tcPr>
          <w:p w14:paraId="049040A4"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RCT</w:t>
            </w:r>
          </w:p>
          <w:p w14:paraId="2D0C8AE0"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55388F29"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MDA</w:t>
            </w:r>
          </w:p>
        </w:tc>
        <w:tc>
          <w:tcPr>
            <w:tcW w:w="990" w:type="dxa"/>
          </w:tcPr>
          <w:p w14:paraId="75D90549"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tc>
        <w:tc>
          <w:tcPr>
            <w:tcW w:w="990" w:type="dxa"/>
          </w:tcPr>
          <w:p w14:paraId="21ACC938"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311</w:t>
            </w:r>
          </w:p>
        </w:tc>
        <w:tc>
          <w:tcPr>
            <w:tcW w:w="900" w:type="dxa"/>
          </w:tcPr>
          <w:p w14:paraId="7CB01B05"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6 to 14</w:t>
            </w:r>
          </w:p>
          <w:p w14:paraId="0B097911"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05764A62"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schools</w:t>
            </w:r>
          </w:p>
        </w:tc>
        <w:tc>
          <w:tcPr>
            <w:tcW w:w="1890" w:type="dxa"/>
          </w:tcPr>
          <w:p w14:paraId="261056D6"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1. Iron fortified biscuits </w:t>
            </w:r>
          </w:p>
          <w:p w14:paraId="5BE02349"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2. Albendazole + Praziquantel </w:t>
            </w:r>
          </w:p>
          <w:p w14:paraId="40B695AA"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3. IPT </w:t>
            </w:r>
          </w:p>
          <w:p w14:paraId="3798750C"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4.   Albendazole + Praziquantel + Iron fortified biscuits</w:t>
            </w:r>
          </w:p>
          <w:p w14:paraId="6ECF227A"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5.  Albendazole + Praziquantel + IPT </w:t>
            </w:r>
          </w:p>
          <w:p w14:paraId="1B6A8959"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6.  IPT + Iron fortified biscuits</w:t>
            </w:r>
          </w:p>
          <w:p w14:paraId="6123EBE1"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7.  Albendazole + Praziquantel + IF + IPT</w:t>
            </w:r>
          </w:p>
          <w:p w14:paraId="3A1CFAB1"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8. Placebo + unfortified biscuits</w:t>
            </w:r>
          </w:p>
        </w:tc>
        <w:tc>
          <w:tcPr>
            <w:tcW w:w="1267" w:type="dxa"/>
          </w:tcPr>
          <w:p w14:paraId="04CA3DFB" w14:textId="77777777" w:rsidR="000C7888"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3 months</w:t>
            </w:r>
            <w:r>
              <w:rPr>
                <w:rFonts w:asciiTheme="minorHAnsi" w:hAnsiTheme="minorHAnsi" w:cs="Arial"/>
                <w:kern w:val="24"/>
                <w:lang w:eastAsia="nb-NO"/>
              </w:rPr>
              <w:t>,</w:t>
            </w:r>
          </w:p>
          <w:p w14:paraId="5DB88C51" w14:textId="77777777" w:rsidR="000C7888" w:rsidRPr="000F214A" w:rsidRDefault="000C7888" w:rsidP="00CE0168">
            <w:pPr>
              <w:spacing w:line="240" w:lineRule="auto"/>
              <w:contextualSpacing/>
              <w:textAlignment w:val="center"/>
              <w:rPr>
                <w:rFonts w:asciiTheme="minorHAnsi" w:hAnsiTheme="minorHAnsi" w:cs="Arial"/>
                <w:lang w:eastAsia="nb-NO"/>
              </w:rPr>
            </w:pPr>
            <w:r>
              <w:rPr>
                <w:rFonts w:asciiTheme="minorHAnsi" w:hAnsiTheme="minorHAnsi" w:cs="Arial"/>
                <w:kern w:val="24"/>
                <w:lang w:eastAsia="nb-NO"/>
              </w:rPr>
              <w:t>6 months</w:t>
            </w:r>
          </w:p>
        </w:tc>
        <w:tc>
          <w:tcPr>
            <w:tcW w:w="1418" w:type="dxa"/>
          </w:tcPr>
          <w:p w14:paraId="0BEBD9DE" w14:textId="77777777" w:rsidR="000C7888" w:rsidRPr="000F214A" w:rsidRDefault="000C7888" w:rsidP="00CE0168">
            <w:pPr>
              <w:spacing w:line="240" w:lineRule="auto"/>
              <w:contextualSpacing/>
              <w:textAlignment w:val="center"/>
              <w:rPr>
                <w:rFonts w:asciiTheme="minorHAnsi" w:hAnsiTheme="minorHAnsi" w:cs="Arial"/>
                <w:lang w:eastAsia="nb-NO"/>
              </w:rPr>
            </w:pPr>
            <w:r>
              <w:rPr>
                <w:rFonts w:asciiTheme="minorHAnsi" w:hAnsiTheme="minorHAnsi" w:cs="Arial"/>
                <w:kern w:val="24"/>
                <w:lang w:eastAsia="nb-NO"/>
              </w:rPr>
              <w:t xml:space="preserve">94% for </w:t>
            </w:r>
            <w:proofErr w:type="spellStart"/>
            <w:r>
              <w:rPr>
                <w:rFonts w:asciiTheme="minorHAnsi" w:hAnsiTheme="minorHAnsi" w:cs="Arial"/>
                <w:kern w:val="24"/>
                <w:lang w:eastAsia="nb-NO"/>
              </w:rPr>
              <w:t>anthelminthics</w:t>
            </w:r>
            <w:proofErr w:type="spellEnd"/>
          </w:p>
        </w:tc>
      </w:tr>
      <w:tr w:rsidR="000C7888" w:rsidRPr="000F214A" w14:paraId="2A2AF239" w14:textId="77777777" w:rsidTr="00CE0168">
        <w:trPr>
          <w:cantSplit/>
        </w:trPr>
        <w:tc>
          <w:tcPr>
            <w:tcW w:w="988" w:type="dxa"/>
          </w:tcPr>
          <w:p w14:paraId="3158A664"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lastRenderedPageBreak/>
              <w:t>Solon 2003</w:t>
            </w:r>
          </w:p>
        </w:tc>
        <w:tc>
          <w:tcPr>
            <w:tcW w:w="920" w:type="dxa"/>
          </w:tcPr>
          <w:p w14:paraId="30F41BA0"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Philippines</w:t>
            </w:r>
          </w:p>
        </w:tc>
        <w:tc>
          <w:tcPr>
            <w:tcW w:w="810" w:type="dxa"/>
          </w:tcPr>
          <w:p w14:paraId="1FD4A60A"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RCT</w:t>
            </w:r>
          </w:p>
          <w:p w14:paraId="3BF28A1A"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62A8D153"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MDA</w:t>
            </w:r>
          </w:p>
        </w:tc>
        <w:tc>
          <w:tcPr>
            <w:tcW w:w="990" w:type="dxa"/>
          </w:tcPr>
          <w:p w14:paraId="01733ABE"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tc>
        <w:tc>
          <w:tcPr>
            <w:tcW w:w="990" w:type="dxa"/>
          </w:tcPr>
          <w:p w14:paraId="3CA1397B"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831</w:t>
            </w:r>
          </w:p>
        </w:tc>
        <w:tc>
          <w:tcPr>
            <w:tcW w:w="900" w:type="dxa"/>
          </w:tcPr>
          <w:p w14:paraId="1026EED7"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Pr>
                <w:rFonts w:asciiTheme="minorHAnsi" w:hAnsiTheme="minorHAnsi" w:cs="Arial"/>
                <w:kern w:val="24"/>
                <w:lang w:eastAsia="nb-NO"/>
              </w:rPr>
              <w:t>6 to 17</w:t>
            </w:r>
          </w:p>
          <w:p w14:paraId="40A5742A"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266642BB"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schools</w:t>
            </w:r>
          </w:p>
        </w:tc>
        <w:tc>
          <w:tcPr>
            <w:tcW w:w="1890" w:type="dxa"/>
          </w:tcPr>
          <w:p w14:paraId="3C1AC0BF"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1. Albendazole + unfortified beverage </w:t>
            </w:r>
          </w:p>
          <w:p w14:paraId="69613DCB"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2. Albendazole + micronutrient fortified beverage </w:t>
            </w:r>
          </w:p>
          <w:p w14:paraId="528C8FDA"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3. micronutrient fortified beverage</w:t>
            </w:r>
          </w:p>
          <w:p w14:paraId="757788BE" w14:textId="77777777" w:rsidR="000C7888" w:rsidRPr="000F214A" w:rsidRDefault="000C7888" w:rsidP="00CE0168">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4. Placebo + unfortified beverage</w:t>
            </w:r>
          </w:p>
        </w:tc>
        <w:tc>
          <w:tcPr>
            <w:tcW w:w="1267" w:type="dxa"/>
          </w:tcPr>
          <w:p w14:paraId="05C5C61B" w14:textId="77777777" w:rsidR="000C7888"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4 months</w:t>
            </w:r>
            <w:r>
              <w:rPr>
                <w:rFonts w:asciiTheme="minorHAnsi" w:hAnsiTheme="minorHAnsi" w:cs="Arial"/>
                <w:kern w:val="24"/>
                <w:lang w:eastAsia="nb-NO"/>
              </w:rPr>
              <w:t xml:space="preserve">, </w:t>
            </w:r>
          </w:p>
          <w:p w14:paraId="0F4DAEA3" w14:textId="77777777" w:rsidR="000C7888" w:rsidRPr="000F214A" w:rsidRDefault="000C7888" w:rsidP="00CE0168">
            <w:pPr>
              <w:spacing w:line="240" w:lineRule="auto"/>
              <w:contextualSpacing/>
              <w:textAlignment w:val="center"/>
              <w:rPr>
                <w:rFonts w:asciiTheme="minorHAnsi" w:hAnsiTheme="minorHAnsi" w:cs="Arial"/>
                <w:lang w:eastAsia="nb-NO"/>
              </w:rPr>
            </w:pPr>
            <w:r>
              <w:rPr>
                <w:rFonts w:asciiTheme="minorHAnsi" w:hAnsiTheme="minorHAnsi" w:cs="Arial"/>
                <w:kern w:val="24"/>
                <w:lang w:eastAsia="nb-NO"/>
              </w:rPr>
              <w:t>4 months</w:t>
            </w:r>
          </w:p>
        </w:tc>
        <w:tc>
          <w:tcPr>
            <w:tcW w:w="1418" w:type="dxa"/>
          </w:tcPr>
          <w:p w14:paraId="323158DD" w14:textId="77777777" w:rsidR="000C7888" w:rsidRPr="000F214A" w:rsidRDefault="000C7888" w:rsidP="00CE0168">
            <w:pPr>
              <w:spacing w:line="240" w:lineRule="auto"/>
              <w:contextualSpacing/>
              <w:textAlignment w:val="center"/>
              <w:rPr>
                <w:rFonts w:asciiTheme="minorHAnsi" w:hAnsiTheme="minorHAnsi" w:cs="Arial"/>
                <w:lang w:eastAsia="nb-NO"/>
              </w:rPr>
            </w:pPr>
            <w:r>
              <w:rPr>
                <w:rFonts w:asciiTheme="minorHAnsi" w:hAnsiTheme="minorHAnsi" w:cs="Arial"/>
                <w:kern w:val="24"/>
                <w:lang w:eastAsia="nb-NO"/>
              </w:rPr>
              <w:t>Not reported</w:t>
            </w:r>
          </w:p>
        </w:tc>
      </w:tr>
      <w:tr w:rsidR="000C7888" w:rsidRPr="000F214A" w14:paraId="22C61DDE" w14:textId="77777777" w:rsidTr="00CE0168">
        <w:trPr>
          <w:cantSplit/>
        </w:trPr>
        <w:tc>
          <w:tcPr>
            <w:tcW w:w="988" w:type="dxa"/>
          </w:tcPr>
          <w:p w14:paraId="4C9B49AD"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Stoltzfus 1997</w:t>
            </w:r>
          </w:p>
        </w:tc>
        <w:tc>
          <w:tcPr>
            <w:tcW w:w="920" w:type="dxa"/>
          </w:tcPr>
          <w:p w14:paraId="7C664AEF"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Tanzania</w:t>
            </w:r>
          </w:p>
        </w:tc>
        <w:tc>
          <w:tcPr>
            <w:tcW w:w="810" w:type="dxa"/>
          </w:tcPr>
          <w:p w14:paraId="7B55B1E6"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roofErr w:type="spellStart"/>
            <w:r w:rsidRPr="000F214A">
              <w:rPr>
                <w:rFonts w:asciiTheme="minorHAnsi" w:hAnsiTheme="minorHAnsi" w:cs="Arial"/>
                <w:kern w:val="24"/>
                <w:lang w:eastAsia="nb-NO"/>
              </w:rPr>
              <w:t>cRCT</w:t>
            </w:r>
            <w:proofErr w:type="spellEnd"/>
          </w:p>
          <w:p w14:paraId="2196C728"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30631416"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MDA</w:t>
            </w:r>
          </w:p>
        </w:tc>
        <w:tc>
          <w:tcPr>
            <w:tcW w:w="990" w:type="dxa"/>
          </w:tcPr>
          <w:p w14:paraId="64065F90"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Schools </w:t>
            </w:r>
            <w:r w:rsidRPr="000F214A">
              <w:rPr>
                <w:rFonts w:asciiTheme="minorHAnsi" w:hAnsiTheme="minorHAnsi" w:cs="Arial"/>
                <w:kern w:val="24"/>
                <w:lang w:eastAsia="nb-NO"/>
              </w:rPr>
              <w:br/>
              <w:t>(12)</w:t>
            </w:r>
          </w:p>
        </w:tc>
        <w:tc>
          <w:tcPr>
            <w:tcW w:w="990" w:type="dxa"/>
          </w:tcPr>
          <w:p w14:paraId="638D13C4"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4034 </w:t>
            </w:r>
          </w:p>
        </w:tc>
        <w:tc>
          <w:tcPr>
            <w:tcW w:w="900" w:type="dxa"/>
          </w:tcPr>
          <w:p w14:paraId="363C3B18"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Pr>
                <w:rFonts w:asciiTheme="minorHAnsi" w:hAnsiTheme="minorHAnsi" w:cs="Arial"/>
                <w:kern w:val="24"/>
                <w:lang w:eastAsia="nb-NO"/>
              </w:rPr>
              <w:t>5 to 19</w:t>
            </w:r>
          </w:p>
          <w:p w14:paraId="3FB3C8FB"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6F32270A"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schools</w:t>
            </w:r>
          </w:p>
        </w:tc>
        <w:tc>
          <w:tcPr>
            <w:tcW w:w="1890" w:type="dxa"/>
          </w:tcPr>
          <w:p w14:paraId="72108D03"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1.  Mebendazole (2/year) </w:t>
            </w:r>
          </w:p>
          <w:p w14:paraId="7FFE98F5"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2.  Mebendazole  (3/year)</w:t>
            </w:r>
          </w:p>
          <w:p w14:paraId="653EEC5B"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3. Placebo</w:t>
            </w:r>
          </w:p>
        </w:tc>
        <w:tc>
          <w:tcPr>
            <w:tcW w:w="1267" w:type="dxa"/>
          </w:tcPr>
          <w:p w14:paraId="39FE5AEA"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6 months</w:t>
            </w:r>
            <w:r>
              <w:rPr>
                <w:rFonts w:asciiTheme="minorHAnsi" w:hAnsiTheme="minorHAnsi" w:cs="Arial"/>
                <w:kern w:val="24"/>
                <w:lang w:eastAsia="nb-NO"/>
              </w:rPr>
              <w:t xml:space="preserve"> (1)</w:t>
            </w:r>
          </w:p>
          <w:p w14:paraId="6DF2A683" w14:textId="77777777" w:rsidR="000C7888"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4 months</w:t>
            </w:r>
            <w:r>
              <w:rPr>
                <w:rFonts w:asciiTheme="minorHAnsi" w:hAnsiTheme="minorHAnsi" w:cs="Arial"/>
                <w:kern w:val="24"/>
                <w:lang w:eastAsia="nb-NO"/>
              </w:rPr>
              <w:t xml:space="preserve"> (2),</w:t>
            </w:r>
          </w:p>
          <w:p w14:paraId="10EAD1D3"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Pr>
                <w:rFonts w:asciiTheme="minorHAnsi" w:hAnsiTheme="minorHAnsi" w:cs="Arial"/>
                <w:kern w:val="24"/>
                <w:lang w:eastAsia="nb-NO"/>
              </w:rPr>
              <w:t>12 months</w:t>
            </w:r>
          </w:p>
        </w:tc>
        <w:tc>
          <w:tcPr>
            <w:tcW w:w="1418" w:type="dxa"/>
          </w:tcPr>
          <w:p w14:paraId="1B80443A" w14:textId="3CDFB11C" w:rsidR="000C7888" w:rsidRPr="000F214A" w:rsidRDefault="007D493D" w:rsidP="00CE0168">
            <w:pPr>
              <w:spacing w:line="240" w:lineRule="auto"/>
              <w:contextualSpacing/>
              <w:textAlignment w:val="center"/>
              <w:rPr>
                <w:rFonts w:asciiTheme="minorHAnsi" w:hAnsiTheme="minorHAnsi" w:cs="Arial"/>
                <w:kern w:val="24"/>
                <w:lang w:eastAsia="nb-NO"/>
              </w:rPr>
            </w:pPr>
            <w:r>
              <w:rPr>
                <w:rFonts w:asciiTheme="minorHAnsi" w:hAnsiTheme="minorHAnsi" w:cs="Arial"/>
                <w:kern w:val="24"/>
                <w:lang w:eastAsia="nb-NO"/>
              </w:rPr>
              <w:t>Not reported</w:t>
            </w:r>
          </w:p>
        </w:tc>
      </w:tr>
      <w:tr w:rsidR="000C7888" w:rsidRPr="000F214A" w14:paraId="781FB267" w14:textId="77777777" w:rsidTr="00CE0168">
        <w:trPr>
          <w:cantSplit/>
        </w:trPr>
        <w:tc>
          <w:tcPr>
            <w:tcW w:w="988" w:type="dxa"/>
          </w:tcPr>
          <w:p w14:paraId="25749B5A"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Stoltzfus 2004</w:t>
            </w:r>
          </w:p>
        </w:tc>
        <w:tc>
          <w:tcPr>
            <w:tcW w:w="920" w:type="dxa"/>
          </w:tcPr>
          <w:p w14:paraId="05788D09"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Tanzania</w:t>
            </w:r>
          </w:p>
        </w:tc>
        <w:tc>
          <w:tcPr>
            <w:tcW w:w="810" w:type="dxa"/>
          </w:tcPr>
          <w:p w14:paraId="7CC754BA"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roofErr w:type="spellStart"/>
            <w:r w:rsidRPr="000F214A">
              <w:rPr>
                <w:rFonts w:asciiTheme="minorHAnsi" w:hAnsiTheme="minorHAnsi" w:cs="Arial"/>
                <w:kern w:val="24"/>
                <w:lang w:eastAsia="nb-NO"/>
              </w:rPr>
              <w:t>cRCT</w:t>
            </w:r>
            <w:proofErr w:type="spellEnd"/>
          </w:p>
          <w:p w14:paraId="060A6832"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584C0CF8"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MDA</w:t>
            </w:r>
          </w:p>
        </w:tc>
        <w:tc>
          <w:tcPr>
            <w:tcW w:w="990" w:type="dxa"/>
          </w:tcPr>
          <w:p w14:paraId="789A78E1"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House</w:t>
            </w:r>
            <w:r>
              <w:rPr>
                <w:rFonts w:asciiTheme="minorHAnsi" w:hAnsiTheme="minorHAnsi" w:cs="Arial"/>
                <w:kern w:val="24"/>
                <w:lang w:eastAsia="nb-NO"/>
              </w:rPr>
              <w:t>-</w:t>
            </w:r>
            <w:r w:rsidRPr="000F214A">
              <w:rPr>
                <w:rFonts w:asciiTheme="minorHAnsi" w:hAnsiTheme="minorHAnsi" w:cs="Arial"/>
                <w:kern w:val="24"/>
                <w:lang w:eastAsia="nb-NO"/>
              </w:rPr>
              <w:t>holds (451)</w:t>
            </w:r>
          </w:p>
        </w:tc>
        <w:tc>
          <w:tcPr>
            <w:tcW w:w="990" w:type="dxa"/>
          </w:tcPr>
          <w:p w14:paraId="591C5A6E"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463</w:t>
            </w:r>
          </w:p>
        </w:tc>
        <w:tc>
          <w:tcPr>
            <w:tcW w:w="900" w:type="dxa"/>
          </w:tcPr>
          <w:p w14:paraId="2FC61031"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Pr>
                <w:rFonts w:asciiTheme="minorHAnsi" w:hAnsiTheme="minorHAnsi" w:cs="Arial"/>
                <w:kern w:val="24"/>
                <w:lang w:eastAsia="nb-NO"/>
              </w:rPr>
              <w:t>0.5 to 6</w:t>
            </w:r>
          </w:p>
          <w:p w14:paraId="5C6806A9"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p>
          <w:p w14:paraId="1DD45996"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Pr>
                <w:rFonts w:asciiTheme="minorHAnsi" w:hAnsiTheme="minorHAnsi" w:cs="Arial"/>
                <w:kern w:val="24"/>
                <w:lang w:eastAsia="nb-NO"/>
              </w:rPr>
              <w:t>House-holds</w:t>
            </w:r>
          </w:p>
        </w:tc>
        <w:tc>
          <w:tcPr>
            <w:tcW w:w="1890" w:type="dxa"/>
          </w:tcPr>
          <w:p w14:paraId="767DA150"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1.   Mebendazole (high) </w:t>
            </w:r>
          </w:p>
          <w:p w14:paraId="4CA26163"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2.  Mebendazole (high) + iron supplement </w:t>
            </w:r>
          </w:p>
          <w:p w14:paraId="0C7EFF64"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3. iron supplement </w:t>
            </w:r>
          </w:p>
          <w:p w14:paraId="7F184C6E"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4. Placebo</w:t>
            </w:r>
          </w:p>
        </w:tc>
        <w:tc>
          <w:tcPr>
            <w:tcW w:w="1267" w:type="dxa"/>
          </w:tcPr>
          <w:p w14:paraId="62392580" w14:textId="77777777" w:rsidR="000C7888" w:rsidRDefault="000C7888" w:rsidP="00CE0168">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3 months</w:t>
            </w:r>
            <w:r>
              <w:rPr>
                <w:rFonts w:asciiTheme="minorHAnsi" w:hAnsiTheme="minorHAnsi" w:cs="Arial"/>
                <w:kern w:val="24"/>
                <w:lang w:eastAsia="nb-NO"/>
              </w:rPr>
              <w:t>,</w:t>
            </w:r>
          </w:p>
          <w:p w14:paraId="45607DFC" w14:textId="77777777" w:rsidR="000C7888" w:rsidRPr="000F214A" w:rsidRDefault="000C7888" w:rsidP="00CE0168">
            <w:pPr>
              <w:spacing w:line="240" w:lineRule="auto"/>
              <w:contextualSpacing/>
              <w:textAlignment w:val="center"/>
              <w:rPr>
                <w:rFonts w:asciiTheme="minorHAnsi" w:hAnsiTheme="minorHAnsi" w:cs="Arial"/>
                <w:kern w:val="24"/>
                <w:lang w:eastAsia="nb-NO"/>
              </w:rPr>
            </w:pPr>
            <w:r>
              <w:rPr>
                <w:rFonts w:asciiTheme="minorHAnsi" w:hAnsiTheme="minorHAnsi" w:cs="Arial"/>
                <w:kern w:val="24"/>
                <w:lang w:eastAsia="nb-NO"/>
              </w:rPr>
              <w:t>12 months</w:t>
            </w:r>
          </w:p>
        </w:tc>
        <w:tc>
          <w:tcPr>
            <w:tcW w:w="1418" w:type="dxa"/>
          </w:tcPr>
          <w:p w14:paraId="21CE0843" w14:textId="420D01E6" w:rsidR="000C7888" w:rsidRPr="000F214A" w:rsidRDefault="007D493D" w:rsidP="00CE0168">
            <w:pPr>
              <w:spacing w:line="240" w:lineRule="auto"/>
              <w:contextualSpacing/>
              <w:textAlignment w:val="center"/>
              <w:rPr>
                <w:rFonts w:asciiTheme="minorHAnsi" w:hAnsiTheme="minorHAnsi" w:cs="Arial"/>
                <w:kern w:val="24"/>
                <w:lang w:eastAsia="nb-NO"/>
              </w:rPr>
            </w:pPr>
            <w:r>
              <w:rPr>
                <w:rFonts w:asciiTheme="minorHAnsi" w:hAnsiTheme="minorHAnsi" w:cs="Arial"/>
                <w:kern w:val="24"/>
                <w:lang w:eastAsia="nb-NO"/>
              </w:rPr>
              <w:t>Not reported</w:t>
            </w:r>
          </w:p>
        </w:tc>
      </w:tr>
      <w:tr w:rsidR="004F533A" w:rsidRPr="000F214A" w14:paraId="7CD055DF" w14:textId="77777777" w:rsidTr="000E5F1C">
        <w:trPr>
          <w:cantSplit/>
        </w:trPr>
        <w:tc>
          <w:tcPr>
            <w:tcW w:w="988" w:type="dxa"/>
          </w:tcPr>
          <w:p w14:paraId="730BFEDE" w14:textId="77777777" w:rsidR="004F533A" w:rsidRPr="000F214A" w:rsidRDefault="004F533A" w:rsidP="001A584B">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Yap 2014</w:t>
            </w:r>
          </w:p>
        </w:tc>
        <w:tc>
          <w:tcPr>
            <w:tcW w:w="920" w:type="dxa"/>
          </w:tcPr>
          <w:p w14:paraId="2E3D889B" w14:textId="77777777" w:rsidR="004F533A" w:rsidRPr="000F214A" w:rsidRDefault="004F533A" w:rsidP="001A584B">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China</w:t>
            </w:r>
          </w:p>
        </w:tc>
        <w:tc>
          <w:tcPr>
            <w:tcW w:w="810" w:type="dxa"/>
          </w:tcPr>
          <w:p w14:paraId="09AE62D3" w14:textId="77777777" w:rsidR="004F533A" w:rsidRPr="000F214A" w:rsidRDefault="004F533A" w:rsidP="001A584B">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RCT</w:t>
            </w:r>
          </w:p>
          <w:p w14:paraId="0211FB31" w14:textId="77777777" w:rsidR="004F533A" w:rsidRPr="000F214A" w:rsidRDefault="004F533A" w:rsidP="001A584B">
            <w:pPr>
              <w:spacing w:line="240" w:lineRule="auto"/>
              <w:contextualSpacing/>
              <w:textAlignment w:val="center"/>
              <w:rPr>
                <w:rFonts w:asciiTheme="minorHAnsi" w:hAnsiTheme="minorHAnsi" w:cs="Arial"/>
                <w:kern w:val="24"/>
                <w:lang w:eastAsia="nb-NO"/>
              </w:rPr>
            </w:pPr>
          </w:p>
          <w:p w14:paraId="06DE45AB" w14:textId="77777777" w:rsidR="004F533A" w:rsidRPr="000F214A" w:rsidRDefault="004F533A" w:rsidP="001A584B">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SAT</w:t>
            </w:r>
          </w:p>
        </w:tc>
        <w:tc>
          <w:tcPr>
            <w:tcW w:w="990" w:type="dxa"/>
          </w:tcPr>
          <w:p w14:paraId="182373D0" w14:textId="77777777" w:rsidR="004F533A" w:rsidRPr="000F214A" w:rsidRDefault="004F533A" w:rsidP="001A584B">
            <w:pPr>
              <w:spacing w:line="240" w:lineRule="auto"/>
              <w:contextualSpacing/>
              <w:textAlignment w:val="center"/>
              <w:rPr>
                <w:rFonts w:asciiTheme="minorHAnsi" w:hAnsiTheme="minorHAnsi" w:cs="Arial"/>
                <w:kern w:val="24"/>
                <w:lang w:eastAsia="nb-NO"/>
              </w:rPr>
            </w:pPr>
          </w:p>
        </w:tc>
        <w:tc>
          <w:tcPr>
            <w:tcW w:w="990" w:type="dxa"/>
          </w:tcPr>
          <w:p w14:paraId="231EAFFF" w14:textId="77777777" w:rsidR="004F533A" w:rsidRPr="000F214A" w:rsidRDefault="004F533A" w:rsidP="001A584B">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194</w:t>
            </w:r>
          </w:p>
        </w:tc>
        <w:tc>
          <w:tcPr>
            <w:tcW w:w="900" w:type="dxa"/>
          </w:tcPr>
          <w:p w14:paraId="6B529221" w14:textId="77777777" w:rsidR="004F533A" w:rsidRPr="000F214A" w:rsidRDefault="004F533A" w:rsidP="001A584B">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9 to 12</w:t>
            </w:r>
          </w:p>
          <w:p w14:paraId="59BCDEEE" w14:textId="77777777" w:rsidR="006C61F6" w:rsidRPr="000F214A" w:rsidRDefault="006C61F6" w:rsidP="001A584B">
            <w:pPr>
              <w:spacing w:line="240" w:lineRule="auto"/>
              <w:contextualSpacing/>
              <w:textAlignment w:val="center"/>
              <w:rPr>
                <w:rFonts w:asciiTheme="minorHAnsi" w:hAnsiTheme="minorHAnsi" w:cs="Arial"/>
                <w:kern w:val="24"/>
                <w:lang w:eastAsia="nb-NO"/>
              </w:rPr>
            </w:pPr>
          </w:p>
          <w:p w14:paraId="3DC137F0" w14:textId="77777777" w:rsidR="006C61F6" w:rsidRPr="000F214A" w:rsidRDefault="006C61F6" w:rsidP="001A584B">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schools</w:t>
            </w:r>
          </w:p>
        </w:tc>
        <w:tc>
          <w:tcPr>
            <w:tcW w:w="1890" w:type="dxa"/>
          </w:tcPr>
          <w:p w14:paraId="388BC61C" w14:textId="77777777" w:rsidR="004F533A" w:rsidRPr="000F214A" w:rsidRDefault="004F533A" w:rsidP="001A584B">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1. Albendazole  </w:t>
            </w:r>
          </w:p>
          <w:p w14:paraId="653BE46E" w14:textId="77777777" w:rsidR="004F533A" w:rsidRPr="000F214A" w:rsidRDefault="004F533A" w:rsidP="001A584B">
            <w:pPr>
              <w:spacing w:line="240" w:lineRule="auto"/>
              <w:contextualSpacing/>
              <w:textAlignment w:val="center"/>
              <w:rPr>
                <w:rFonts w:asciiTheme="minorHAnsi" w:hAnsiTheme="minorHAnsi" w:cs="Arial"/>
                <w:lang w:eastAsia="nb-NO"/>
              </w:rPr>
            </w:pPr>
            <w:r w:rsidRPr="000F214A">
              <w:rPr>
                <w:rFonts w:asciiTheme="minorHAnsi" w:hAnsiTheme="minorHAnsi" w:cs="Arial"/>
                <w:kern w:val="24"/>
                <w:lang w:eastAsia="nb-NO"/>
              </w:rPr>
              <w:t>2.  Placebo</w:t>
            </w:r>
          </w:p>
        </w:tc>
        <w:tc>
          <w:tcPr>
            <w:tcW w:w="1267" w:type="dxa"/>
          </w:tcPr>
          <w:p w14:paraId="45B73C02" w14:textId="77777777" w:rsidR="004F533A" w:rsidRDefault="004F533A" w:rsidP="001A584B">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6 months</w:t>
            </w:r>
            <w:r w:rsidR="00331245">
              <w:rPr>
                <w:rFonts w:asciiTheme="minorHAnsi" w:hAnsiTheme="minorHAnsi" w:cs="Arial"/>
                <w:kern w:val="24"/>
                <w:lang w:eastAsia="nb-NO"/>
              </w:rPr>
              <w:t>,</w:t>
            </w:r>
          </w:p>
          <w:p w14:paraId="2185EFB8" w14:textId="77777777" w:rsidR="00331245" w:rsidRPr="000F214A" w:rsidRDefault="00331245" w:rsidP="001A584B">
            <w:pPr>
              <w:spacing w:line="240" w:lineRule="auto"/>
              <w:contextualSpacing/>
              <w:textAlignment w:val="center"/>
              <w:rPr>
                <w:rFonts w:asciiTheme="minorHAnsi" w:hAnsiTheme="minorHAnsi" w:cs="Arial"/>
                <w:lang w:eastAsia="nb-NO"/>
              </w:rPr>
            </w:pPr>
            <w:r>
              <w:rPr>
                <w:rFonts w:asciiTheme="minorHAnsi" w:hAnsiTheme="minorHAnsi" w:cs="Arial"/>
                <w:kern w:val="24"/>
                <w:lang w:eastAsia="nb-NO"/>
              </w:rPr>
              <w:t>6 months</w:t>
            </w:r>
          </w:p>
        </w:tc>
        <w:tc>
          <w:tcPr>
            <w:tcW w:w="1418" w:type="dxa"/>
          </w:tcPr>
          <w:p w14:paraId="2A4A3B43" w14:textId="77777777" w:rsidR="004F533A" w:rsidRPr="000F214A" w:rsidRDefault="000E5F1C" w:rsidP="000E5F1C">
            <w:pPr>
              <w:spacing w:line="240" w:lineRule="auto"/>
              <w:contextualSpacing/>
              <w:textAlignment w:val="center"/>
              <w:rPr>
                <w:rFonts w:asciiTheme="minorHAnsi" w:hAnsiTheme="minorHAnsi" w:cs="Arial"/>
                <w:lang w:eastAsia="nb-NO"/>
              </w:rPr>
            </w:pPr>
            <w:r>
              <w:rPr>
                <w:rFonts w:asciiTheme="minorHAnsi" w:hAnsiTheme="minorHAnsi" w:cs="Arial"/>
                <w:kern w:val="24"/>
                <w:lang w:eastAsia="nb-NO"/>
              </w:rPr>
              <w:t>92%, field investigators directly observed consumption</w:t>
            </w:r>
          </w:p>
        </w:tc>
      </w:tr>
      <w:tr w:rsidR="004F533A" w:rsidRPr="000F214A" w14:paraId="0FB4A114" w14:textId="77777777" w:rsidTr="000E5F1C">
        <w:trPr>
          <w:cantSplit/>
        </w:trPr>
        <w:tc>
          <w:tcPr>
            <w:tcW w:w="988" w:type="dxa"/>
          </w:tcPr>
          <w:p w14:paraId="5F7B58BA"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lang w:eastAsia="nb-NO"/>
              </w:rPr>
              <w:t>Kirwan 2009</w:t>
            </w:r>
          </w:p>
        </w:tc>
        <w:tc>
          <w:tcPr>
            <w:tcW w:w="920" w:type="dxa"/>
          </w:tcPr>
          <w:p w14:paraId="1A07B60F"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Nigeria</w:t>
            </w:r>
          </w:p>
        </w:tc>
        <w:tc>
          <w:tcPr>
            <w:tcW w:w="810" w:type="dxa"/>
          </w:tcPr>
          <w:p w14:paraId="34E012CD"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RCT</w:t>
            </w:r>
          </w:p>
          <w:p w14:paraId="133E028A"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p>
          <w:p w14:paraId="4CF42739"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MDA</w:t>
            </w:r>
          </w:p>
        </w:tc>
        <w:tc>
          <w:tcPr>
            <w:tcW w:w="990" w:type="dxa"/>
          </w:tcPr>
          <w:p w14:paraId="4D918D4C"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p>
        </w:tc>
        <w:tc>
          <w:tcPr>
            <w:tcW w:w="990" w:type="dxa"/>
          </w:tcPr>
          <w:p w14:paraId="63E68369"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1367</w:t>
            </w:r>
          </w:p>
        </w:tc>
        <w:tc>
          <w:tcPr>
            <w:tcW w:w="900" w:type="dxa"/>
          </w:tcPr>
          <w:p w14:paraId="1D4C3514" w14:textId="77777777" w:rsidR="004F533A" w:rsidRPr="00EF0ED2" w:rsidRDefault="004F533A" w:rsidP="001A584B">
            <w:pPr>
              <w:spacing w:line="240" w:lineRule="auto"/>
              <w:contextualSpacing/>
              <w:textAlignment w:val="center"/>
              <w:rPr>
                <w:rFonts w:asciiTheme="minorHAnsi" w:hAnsiTheme="minorHAnsi" w:cs="Arial"/>
                <w:color w:val="000000"/>
                <w:kern w:val="24"/>
                <w:lang w:val="en-US" w:eastAsia="nb-NO"/>
              </w:rPr>
            </w:pPr>
            <w:r w:rsidRPr="000F214A">
              <w:rPr>
                <w:rFonts w:asciiTheme="minorHAnsi" w:hAnsiTheme="minorHAnsi" w:cs="Arial"/>
                <w:color w:val="000000"/>
                <w:kern w:val="24"/>
                <w:lang w:eastAsia="nb-NO"/>
              </w:rPr>
              <w:t xml:space="preserve">1 </w:t>
            </w:r>
            <w:r w:rsidRPr="00EF0ED2">
              <w:rPr>
                <w:rFonts w:asciiTheme="minorHAnsi" w:hAnsiTheme="minorHAnsi" w:cs="Arial"/>
                <w:color w:val="000000"/>
                <w:kern w:val="24"/>
                <w:lang w:val="en-US" w:eastAsia="nb-NO"/>
              </w:rPr>
              <w:t>to 4</w:t>
            </w:r>
          </w:p>
          <w:p w14:paraId="0F9D0341" w14:textId="77777777" w:rsidR="006C61F6" w:rsidRPr="00EF0ED2" w:rsidRDefault="006C61F6" w:rsidP="001A584B">
            <w:pPr>
              <w:spacing w:line="240" w:lineRule="auto"/>
              <w:contextualSpacing/>
              <w:textAlignment w:val="center"/>
              <w:rPr>
                <w:rFonts w:asciiTheme="minorHAnsi" w:hAnsiTheme="minorHAnsi" w:cs="Arial"/>
                <w:color w:val="000000"/>
                <w:kern w:val="24"/>
                <w:lang w:val="en-US" w:eastAsia="nb-NO"/>
              </w:rPr>
            </w:pPr>
          </w:p>
          <w:p w14:paraId="159296EE" w14:textId="77777777" w:rsidR="006C61F6" w:rsidRPr="00EF0ED2" w:rsidRDefault="006C61F6" w:rsidP="001A584B">
            <w:pPr>
              <w:spacing w:line="240" w:lineRule="auto"/>
              <w:contextualSpacing/>
              <w:textAlignment w:val="center"/>
              <w:rPr>
                <w:rFonts w:asciiTheme="minorHAnsi" w:hAnsiTheme="minorHAnsi" w:cs="Arial"/>
                <w:color w:val="000000"/>
                <w:kern w:val="24"/>
                <w:lang w:val="en-US" w:eastAsia="nb-NO"/>
              </w:rPr>
            </w:pPr>
            <w:r w:rsidRPr="00EF0ED2">
              <w:rPr>
                <w:rFonts w:asciiTheme="minorHAnsi" w:hAnsiTheme="minorHAnsi" w:cs="Arial"/>
                <w:color w:val="000000"/>
                <w:kern w:val="24"/>
                <w:lang w:val="en-US" w:eastAsia="nb-NO"/>
              </w:rPr>
              <w:t>Pre</w:t>
            </w:r>
            <w:r w:rsidR="00EF0ED2" w:rsidRPr="00EF0ED2">
              <w:rPr>
                <w:rFonts w:asciiTheme="minorHAnsi" w:hAnsiTheme="minorHAnsi" w:cs="Arial"/>
                <w:color w:val="000000"/>
                <w:kern w:val="24"/>
                <w:lang w:val="en-US" w:eastAsia="nb-NO"/>
              </w:rPr>
              <w:t>-</w:t>
            </w:r>
            <w:r w:rsidRPr="00EF0ED2">
              <w:rPr>
                <w:rFonts w:asciiTheme="minorHAnsi" w:hAnsiTheme="minorHAnsi" w:cs="Arial"/>
                <w:color w:val="000000"/>
                <w:kern w:val="24"/>
                <w:lang w:val="en-US" w:eastAsia="nb-NO"/>
              </w:rPr>
              <w:t>school in villages</w:t>
            </w:r>
          </w:p>
        </w:tc>
        <w:tc>
          <w:tcPr>
            <w:tcW w:w="1890" w:type="dxa"/>
          </w:tcPr>
          <w:p w14:paraId="33B4D26C" w14:textId="77777777" w:rsidR="004F533A" w:rsidRPr="000F214A" w:rsidRDefault="004F533A" w:rsidP="001A584B">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1. Albendazole  </w:t>
            </w:r>
          </w:p>
          <w:p w14:paraId="3AF94849" w14:textId="77777777" w:rsidR="004F533A" w:rsidRPr="000F214A" w:rsidRDefault="004F533A" w:rsidP="001A584B">
            <w:pPr>
              <w:spacing w:line="240" w:lineRule="auto"/>
              <w:contextualSpacing/>
              <w:textAlignment w:val="center"/>
              <w:rPr>
                <w:rFonts w:asciiTheme="minorHAnsi" w:hAnsiTheme="minorHAnsi" w:cs="Arial"/>
                <w:color w:val="000000"/>
                <w:kern w:val="24"/>
                <w:lang w:val="fr-CA" w:eastAsia="nb-NO"/>
              </w:rPr>
            </w:pPr>
            <w:r w:rsidRPr="000F214A">
              <w:rPr>
                <w:rFonts w:asciiTheme="minorHAnsi" w:hAnsiTheme="minorHAnsi" w:cs="Arial"/>
                <w:kern w:val="24"/>
                <w:lang w:eastAsia="nb-NO"/>
              </w:rPr>
              <w:t>2.  Placebo</w:t>
            </w:r>
          </w:p>
        </w:tc>
        <w:tc>
          <w:tcPr>
            <w:tcW w:w="1267" w:type="dxa"/>
          </w:tcPr>
          <w:p w14:paraId="0856E433" w14:textId="77777777" w:rsidR="004F533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val="fr-CA" w:eastAsia="nb-NO"/>
              </w:rPr>
              <w:t xml:space="preserve">4 </w:t>
            </w:r>
            <w:r w:rsidRPr="000F214A">
              <w:rPr>
                <w:rFonts w:asciiTheme="minorHAnsi" w:hAnsiTheme="minorHAnsi" w:cs="Arial"/>
                <w:color w:val="000000"/>
                <w:kern w:val="24"/>
                <w:lang w:eastAsia="nb-NO"/>
              </w:rPr>
              <w:t>months</w:t>
            </w:r>
            <w:r w:rsidR="00331245">
              <w:rPr>
                <w:rFonts w:asciiTheme="minorHAnsi" w:hAnsiTheme="minorHAnsi" w:cs="Arial"/>
                <w:color w:val="000000"/>
                <w:kern w:val="24"/>
                <w:lang w:eastAsia="nb-NO"/>
              </w:rPr>
              <w:t>,</w:t>
            </w:r>
          </w:p>
          <w:p w14:paraId="087D3D8A" w14:textId="77777777" w:rsidR="00331245" w:rsidRPr="000F214A" w:rsidRDefault="00331245" w:rsidP="001A584B">
            <w:pPr>
              <w:spacing w:line="240" w:lineRule="auto"/>
              <w:contextualSpacing/>
              <w:textAlignment w:val="center"/>
              <w:rPr>
                <w:rFonts w:asciiTheme="minorHAnsi" w:hAnsiTheme="minorHAnsi" w:cs="Arial"/>
                <w:color w:val="000000"/>
                <w:kern w:val="24"/>
                <w:lang w:val="fr-CA" w:eastAsia="nb-NO"/>
              </w:rPr>
            </w:pPr>
            <w:r>
              <w:rPr>
                <w:rFonts w:asciiTheme="minorHAnsi" w:hAnsiTheme="minorHAnsi" w:cs="Arial"/>
                <w:color w:val="000000"/>
                <w:kern w:val="24"/>
                <w:lang w:eastAsia="nb-NO"/>
              </w:rPr>
              <w:t>14 months</w:t>
            </w:r>
          </w:p>
        </w:tc>
        <w:tc>
          <w:tcPr>
            <w:tcW w:w="1418" w:type="dxa"/>
          </w:tcPr>
          <w:p w14:paraId="47AE95C6" w14:textId="77777777" w:rsidR="004F533A" w:rsidRPr="000E5F1C" w:rsidRDefault="000E5F1C" w:rsidP="001A584B">
            <w:pPr>
              <w:spacing w:line="240" w:lineRule="auto"/>
              <w:contextualSpacing/>
              <w:textAlignment w:val="center"/>
              <w:rPr>
                <w:rFonts w:asciiTheme="minorHAnsi" w:hAnsiTheme="minorHAnsi" w:cs="Arial"/>
                <w:color w:val="000000"/>
                <w:kern w:val="24"/>
                <w:lang w:val="en-CA" w:eastAsia="nb-NO"/>
              </w:rPr>
            </w:pPr>
            <w:r w:rsidRPr="000E5F1C">
              <w:rPr>
                <w:rFonts w:asciiTheme="minorHAnsi" w:hAnsiTheme="minorHAnsi" w:cs="Arial"/>
                <w:color w:val="000000"/>
                <w:kern w:val="24"/>
                <w:lang w:val="en-CA" w:eastAsia="nb-NO"/>
              </w:rPr>
              <w:t xml:space="preserve">Not reported. </w:t>
            </w:r>
            <w:r>
              <w:rPr>
                <w:rFonts w:asciiTheme="minorHAnsi" w:hAnsiTheme="minorHAnsi" w:cs="Arial"/>
                <w:color w:val="000000"/>
                <w:kern w:val="24"/>
                <w:lang w:val="en-CA" w:eastAsia="nb-NO"/>
              </w:rPr>
              <w:t xml:space="preserve"> Consumption was directly observed</w:t>
            </w:r>
          </w:p>
        </w:tc>
      </w:tr>
      <w:tr w:rsidR="004F533A" w:rsidRPr="000F214A" w14:paraId="7AF1E627" w14:textId="77777777" w:rsidTr="000E5F1C">
        <w:trPr>
          <w:cantSplit/>
        </w:trPr>
        <w:tc>
          <w:tcPr>
            <w:tcW w:w="988" w:type="dxa"/>
          </w:tcPr>
          <w:p w14:paraId="1F942F12"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Hall 2006</w:t>
            </w:r>
          </w:p>
        </w:tc>
        <w:tc>
          <w:tcPr>
            <w:tcW w:w="920" w:type="dxa"/>
          </w:tcPr>
          <w:p w14:paraId="12DE7EDD" w14:textId="77777777" w:rsidR="004F533A" w:rsidRPr="000E5F1C" w:rsidRDefault="004F533A" w:rsidP="001A584B">
            <w:pPr>
              <w:spacing w:line="240" w:lineRule="auto"/>
              <w:contextualSpacing/>
              <w:textAlignment w:val="center"/>
              <w:rPr>
                <w:rFonts w:asciiTheme="minorHAnsi" w:hAnsiTheme="minorHAnsi" w:cs="Arial"/>
                <w:color w:val="000000"/>
                <w:kern w:val="24"/>
                <w:lang w:val="en-CA" w:eastAsia="nb-NO"/>
              </w:rPr>
            </w:pPr>
            <w:r w:rsidRPr="000E5F1C">
              <w:rPr>
                <w:rFonts w:asciiTheme="minorHAnsi" w:hAnsiTheme="minorHAnsi" w:cs="Arial"/>
                <w:color w:val="000000"/>
                <w:kern w:val="24"/>
                <w:lang w:val="en-CA" w:eastAsia="nb-NO"/>
              </w:rPr>
              <w:t>Vietnam</w:t>
            </w:r>
          </w:p>
        </w:tc>
        <w:tc>
          <w:tcPr>
            <w:tcW w:w="810" w:type="dxa"/>
          </w:tcPr>
          <w:p w14:paraId="7CB59609"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proofErr w:type="spellStart"/>
            <w:r w:rsidRPr="000F214A">
              <w:rPr>
                <w:rFonts w:asciiTheme="minorHAnsi" w:hAnsiTheme="minorHAnsi" w:cs="Arial"/>
                <w:color w:val="000000"/>
                <w:kern w:val="24"/>
                <w:lang w:eastAsia="nb-NO"/>
              </w:rPr>
              <w:t>cRCT</w:t>
            </w:r>
            <w:proofErr w:type="spellEnd"/>
          </w:p>
          <w:p w14:paraId="5D49C87C"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p>
          <w:p w14:paraId="729D2891"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MDA</w:t>
            </w:r>
          </w:p>
        </w:tc>
        <w:tc>
          <w:tcPr>
            <w:tcW w:w="990" w:type="dxa"/>
          </w:tcPr>
          <w:p w14:paraId="122A359E" w14:textId="77777777" w:rsidR="004F533A" w:rsidRPr="000E5F1C" w:rsidRDefault="004F533A" w:rsidP="001A584B">
            <w:pPr>
              <w:spacing w:line="240" w:lineRule="auto"/>
              <w:contextualSpacing/>
              <w:textAlignment w:val="center"/>
              <w:rPr>
                <w:rFonts w:asciiTheme="minorHAnsi" w:hAnsiTheme="minorHAnsi" w:cs="Arial"/>
                <w:color w:val="000000"/>
                <w:kern w:val="24"/>
                <w:lang w:val="en-CA" w:eastAsia="nb-NO"/>
              </w:rPr>
            </w:pPr>
            <w:r w:rsidRPr="000F214A">
              <w:rPr>
                <w:rFonts w:asciiTheme="minorHAnsi" w:hAnsiTheme="minorHAnsi" w:cs="Arial"/>
                <w:color w:val="000000"/>
                <w:kern w:val="24"/>
                <w:lang w:eastAsia="nb-NO"/>
              </w:rPr>
              <w:t>Schools</w:t>
            </w:r>
            <w:r w:rsidRPr="000E5F1C">
              <w:rPr>
                <w:rFonts w:asciiTheme="minorHAnsi" w:hAnsiTheme="minorHAnsi" w:cs="Arial"/>
                <w:color w:val="000000"/>
                <w:kern w:val="24"/>
                <w:lang w:val="en-CA" w:eastAsia="nb-NO"/>
              </w:rPr>
              <w:t xml:space="preserve"> </w:t>
            </w:r>
          </w:p>
          <w:p w14:paraId="7857BA4C" w14:textId="77777777" w:rsidR="004F533A" w:rsidRPr="000E5F1C" w:rsidRDefault="004F533A" w:rsidP="001A584B">
            <w:pPr>
              <w:spacing w:line="240" w:lineRule="auto"/>
              <w:contextualSpacing/>
              <w:textAlignment w:val="center"/>
              <w:rPr>
                <w:rFonts w:asciiTheme="minorHAnsi" w:hAnsiTheme="minorHAnsi" w:cs="Arial"/>
                <w:color w:val="000000"/>
                <w:kern w:val="24"/>
                <w:lang w:val="en-CA" w:eastAsia="nb-NO"/>
              </w:rPr>
            </w:pPr>
            <w:r w:rsidRPr="000E5F1C">
              <w:rPr>
                <w:rFonts w:asciiTheme="minorHAnsi" w:hAnsiTheme="minorHAnsi" w:cs="Arial"/>
                <w:color w:val="000000"/>
                <w:kern w:val="24"/>
                <w:lang w:val="en-CA" w:eastAsia="nb-NO"/>
              </w:rPr>
              <w:t>(80)</w:t>
            </w:r>
          </w:p>
        </w:tc>
        <w:tc>
          <w:tcPr>
            <w:tcW w:w="990" w:type="dxa"/>
          </w:tcPr>
          <w:p w14:paraId="5892F5E3" w14:textId="77777777" w:rsidR="004F533A" w:rsidRPr="000E5F1C" w:rsidRDefault="004F533A" w:rsidP="001A584B">
            <w:pPr>
              <w:spacing w:line="240" w:lineRule="auto"/>
              <w:contextualSpacing/>
              <w:textAlignment w:val="center"/>
              <w:rPr>
                <w:rFonts w:asciiTheme="minorHAnsi" w:hAnsiTheme="minorHAnsi" w:cs="Arial"/>
                <w:color w:val="000000"/>
                <w:kern w:val="24"/>
                <w:lang w:val="en-CA" w:eastAsia="nb-NO"/>
              </w:rPr>
            </w:pPr>
            <w:r w:rsidRPr="000E5F1C">
              <w:rPr>
                <w:rFonts w:asciiTheme="minorHAnsi" w:hAnsiTheme="minorHAnsi" w:cs="Arial"/>
                <w:color w:val="000000"/>
                <w:kern w:val="24"/>
                <w:lang w:val="en-CA" w:eastAsia="nb-NO"/>
              </w:rPr>
              <w:t>2916</w:t>
            </w:r>
          </w:p>
        </w:tc>
        <w:tc>
          <w:tcPr>
            <w:tcW w:w="900" w:type="dxa"/>
          </w:tcPr>
          <w:p w14:paraId="18EFDE1C" w14:textId="77777777" w:rsidR="004F533A" w:rsidRPr="000E5F1C" w:rsidRDefault="002D2EDA" w:rsidP="001A584B">
            <w:pPr>
              <w:spacing w:line="240" w:lineRule="auto"/>
              <w:contextualSpacing/>
              <w:textAlignment w:val="center"/>
              <w:rPr>
                <w:rFonts w:asciiTheme="minorHAnsi" w:hAnsiTheme="minorHAnsi" w:cs="Arial"/>
                <w:color w:val="000000"/>
                <w:kern w:val="24"/>
                <w:lang w:val="en-CA" w:eastAsia="nb-NO"/>
              </w:rPr>
            </w:pPr>
            <w:r w:rsidRPr="000E5F1C">
              <w:rPr>
                <w:rFonts w:asciiTheme="minorHAnsi" w:hAnsiTheme="minorHAnsi" w:cs="Arial"/>
                <w:color w:val="000000"/>
                <w:kern w:val="24"/>
                <w:lang w:val="en-CA" w:eastAsia="nb-NO"/>
              </w:rPr>
              <w:t>8 to 9</w:t>
            </w:r>
          </w:p>
          <w:p w14:paraId="45288714" w14:textId="77777777" w:rsidR="006C61F6" w:rsidRPr="000E5F1C" w:rsidRDefault="006C61F6" w:rsidP="001A584B">
            <w:pPr>
              <w:spacing w:line="240" w:lineRule="auto"/>
              <w:contextualSpacing/>
              <w:textAlignment w:val="center"/>
              <w:rPr>
                <w:rFonts w:asciiTheme="minorHAnsi" w:hAnsiTheme="minorHAnsi" w:cs="Arial"/>
                <w:color w:val="000000"/>
                <w:kern w:val="24"/>
                <w:lang w:val="en-CA" w:eastAsia="nb-NO"/>
              </w:rPr>
            </w:pPr>
          </w:p>
          <w:p w14:paraId="3ED2D8DE" w14:textId="77777777" w:rsidR="006C61F6" w:rsidRPr="000E5F1C" w:rsidRDefault="006C61F6" w:rsidP="001A584B">
            <w:pPr>
              <w:spacing w:line="240" w:lineRule="auto"/>
              <w:contextualSpacing/>
              <w:textAlignment w:val="center"/>
              <w:rPr>
                <w:rFonts w:asciiTheme="minorHAnsi" w:hAnsiTheme="minorHAnsi" w:cs="Arial"/>
                <w:color w:val="000000"/>
                <w:kern w:val="24"/>
                <w:lang w:val="en-CA" w:eastAsia="nb-NO"/>
              </w:rPr>
            </w:pPr>
            <w:r w:rsidRPr="000E5F1C">
              <w:rPr>
                <w:rFonts w:asciiTheme="minorHAnsi" w:hAnsiTheme="minorHAnsi" w:cs="Arial"/>
                <w:color w:val="000000"/>
                <w:kern w:val="24"/>
                <w:lang w:val="en-CA" w:eastAsia="nb-NO"/>
              </w:rPr>
              <w:t>schools</w:t>
            </w:r>
          </w:p>
        </w:tc>
        <w:tc>
          <w:tcPr>
            <w:tcW w:w="1890" w:type="dxa"/>
          </w:tcPr>
          <w:p w14:paraId="39D684E1"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kern w:val="24"/>
                <w:lang w:eastAsia="nb-NO"/>
              </w:rPr>
              <w:t>1. Albendazole</w:t>
            </w:r>
            <w:r w:rsidRPr="000F214A">
              <w:rPr>
                <w:rFonts w:asciiTheme="minorHAnsi" w:hAnsiTheme="minorHAnsi" w:cs="Arial"/>
                <w:color w:val="000000"/>
                <w:kern w:val="24"/>
                <w:lang w:eastAsia="nb-NO"/>
              </w:rPr>
              <w:t xml:space="preserve"> + vitamin A </w:t>
            </w:r>
          </w:p>
          <w:p w14:paraId="75B48978"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2.  Placebo + vitamin A</w:t>
            </w:r>
          </w:p>
        </w:tc>
        <w:tc>
          <w:tcPr>
            <w:tcW w:w="1267" w:type="dxa"/>
          </w:tcPr>
          <w:p w14:paraId="2A0AC9B7" w14:textId="77777777" w:rsidR="004F533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6 months</w:t>
            </w:r>
            <w:r w:rsidR="00331245">
              <w:rPr>
                <w:rFonts w:asciiTheme="minorHAnsi" w:hAnsiTheme="minorHAnsi" w:cs="Arial"/>
                <w:color w:val="000000"/>
                <w:kern w:val="24"/>
                <w:lang w:eastAsia="nb-NO"/>
              </w:rPr>
              <w:t>,</w:t>
            </w:r>
          </w:p>
          <w:p w14:paraId="7AE93463" w14:textId="77777777" w:rsidR="00331245" w:rsidRDefault="00331245" w:rsidP="001A584B">
            <w:pPr>
              <w:spacing w:line="240" w:lineRule="auto"/>
              <w:contextualSpacing/>
              <w:textAlignment w:val="center"/>
              <w:rPr>
                <w:rFonts w:asciiTheme="minorHAnsi" w:hAnsiTheme="minorHAnsi" w:cs="Arial"/>
                <w:color w:val="000000"/>
                <w:kern w:val="24"/>
                <w:lang w:eastAsia="nb-NO"/>
              </w:rPr>
            </w:pPr>
            <w:r>
              <w:rPr>
                <w:rFonts w:asciiTheme="minorHAnsi" w:hAnsiTheme="minorHAnsi" w:cs="Arial"/>
                <w:color w:val="000000"/>
                <w:kern w:val="24"/>
                <w:lang w:eastAsia="nb-NO"/>
              </w:rPr>
              <w:t>12 months</w:t>
            </w:r>
          </w:p>
          <w:p w14:paraId="5F8BC208" w14:textId="77777777" w:rsidR="00331245" w:rsidRPr="000F214A" w:rsidRDefault="00331245" w:rsidP="001A584B">
            <w:pPr>
              <w:spacing w:line="240" w:lineRule="auto"/>
              <w:contextualSpacing/>
              <w:textAlignment w:val="center"/>
              <w:rPr>
                <w:rFonts w:asciiTheme="minorHAnsi" w:hAnsiTheme="minorHAnsi" w:cs="Arial"/>
                <w:color w:val="000000"/>
                <w:kern w:val="24"/>
                <w:lang w:eastAsia="nb-NO"/>
              </w:rPr>
            </w:pPr>
          </w:p>
        </w:tc>
        <w:tc>
          <w:tcPr>
            <w:tcW w:w="1418" w:type="dxa"/>
          </w:tcPr>
          <w:p w14:paraId="0F9FA7B8" w14:textId="77777777" w:rsidR="004F533A" w:rsidRPr="000F214A" w:rsidRDefault="00E954F3" w:rsidP="001A584B">
            <w:pPr>
              <w:spacing w:line="240" w:lineRule="auto"/>
              <w:contextualSpacing/>
              <w:textAlignment w:val="center"/>
              <w:rPr>
                <w:rFonts w:asciiTheme="minorHAnsi" w:hAnsiTheme="minorHAnsi" w:cs="Arial"/>
                <w:color w:val="000000"/>
                <w:kern w:val="24"/>
                <w:lang w:eastAsia="nb-NO"/>
              </w:rPr>
            </w:pPr>
            <w:r>
              <w:rPr>
                <w:rFonts w:asciiTheme="minorHAnsi" w:hAnsiTheme="minorHAnsi" w:cs="Arial"/>
                <w:color w:val="000000"/>
                <w:kern w:val="24"/>
                <w:lang w:eastAsia="nb-NO"/>
              </w:rPr>
              <w:t>Not reported</w:t>
            </w:r>
          </w:p>
        </w:tc>
      </w:tr>
      <w:tr w:rsidR="004F533A" w:rsidRPr="000F214A" w14:paraId="1AD9E696" w14:textId="77777777" w:rsidTr="000E5F1C">
        <w:trPr>
          <w:cantSplit/>
        </w:trPr>
        <w:tc>
          <w:tcPr>
            <w:tcW w:w="988" w:type="dxa"/>
          </w:tcPr>
          <w:p w14:paraId="2D175BBB"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Miguel 2004</w:t>
            </w:r>
          </w:p>
        </w:tc>
        <w:tc>
          <w:tcPr>
            <w:tcW w:w="920" w:type="dxa"/>
          </w:tcPr>
          <w:p w14:paraId="7426EE9F"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Kenya</w:t>
            </w:r>
          </w:p>
        </w:tc>
        <w:tc>
          <w:tcPr>
            <w:tcW w:w="810" w:type="dxa"/>
          </w:tcPr>
          <w:p w14:paraId="149D33DD"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proofErr w:type="spellStart"/>
            <w:r w:rsidRPr="000F214A">
              <w:rPr>
                <w:rFonts w:asciiTheme="minorHAnsi" w:hAnsiTheme="minorHAnsi" w:cs="Arial"/>
                <w:color w:val="000000"/>
                <w:kern w:val="24"/>
                <w:lang w:eastAsia="nb-NO"/>
              </w:rPr>
              <w:t>cRCT</w:t>
            </w:r>
            <w:proofErr w:type="spellEnd"/>
          </w:p>
          <w:p w14:paraId="6DDB608D"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p>
          <w:p w14:paraId="1413F511"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MDA</w:t>
            </w:r>
          </w:p>
        </w:tc>
        <w:tc>
          <w:tcPr>
            <w:tcW w:w="990" w:type="dxa"/>
          </w:tcPr>
          <w:p w14:paraId="5CAD399B"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Schools</w:t>
            </w:r>
          </w:p>
          <w:p w14:paraId="7C87E47E"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(75)</w:t>
            </w:r>
          </w:p>
        </w:tc>
        <w:tc>
          <w:tcPr>
            <w:tcW w:w="990" w:type="dxa"/>
          </w:tcPr>
          <w:p w14:paraId="0455B947"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15881</w:t>
            </w:r>
          </w:p>
        </w:tc>
        <w:tc>
          <w:tcPr>
            <w:tcW w:w="900" w:type="dxa"/>
          </w:tcPr>
          <w:p w14:paraId="67B183E0"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6</w:t>
            </w:r>
            <w:r w:rsidR="00BC27AB" w:rsidRPr="000F214A">
              <w:rPr>
                <w:rFonts w:asciiTheme="minorHAnsi" w:hAnsiTheme="minorHAnsi" w:cs="Arial"/>
                <w:color w:val="000000"/>
                <w:kern w:val="24"/>
                <w:lang w:eastAsia="nb-NO"/>
              </w:rPr>
              <w:t xml:space="preserve"> to </w:t>
            </w:r>
            <w:r w:rsidRPr="000F214A">
              <w:rPr>
                <w:rFonts w:asciiTheme="minorHAnsi" w:hAnsiTheme="minorHAnsi" w:cs="Arial"/>
                <w:color w:val="000000"/>
                <w:kern w:val="24"/>
                <w:lang w:eastAsia="nb-NO"/>
              </w:rPr>
              <w:t>18</w:t>
            </w:r>
          </w:p>
          <w:p w14:paraId="201D133A" w14:textId="77777777" w:rsidR="006C61F6" w:rsidRPr="000F214A" w:rsidRDefault="006C61F6" w:rsidP="001A584B">
            <w:pPr>
              <w:spacing w:line="240" w:lineRule="auto"/>
              <w:contextualSpacing/>
              <w:textAlignment w:val="center"/>
              <w:rPr>
                <w:rFonts w:asciiTheme="minorHAnsi" w:hAnsiTheme="minorHAnsi" w:cs="Arial"/>
                <w:color w:val="000000"/>
                <w:kern w:val="24"/>
                <w:lang w:eastAsia="nb-NO"/>
              </w:rPr>
            </w:pPr>
          </w:p>
          <w:p w14:paraId="16774C4C" w14:textId="77777777" w:rsidR="006C61F6" w:rsidRPr="000F214A" w:rsidRDefault="006C61F6"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schools</w:t>
            </w:r>
          </w:p>
        </w:tc>
        <w:tc>
          <w:tcPr>
            <w:tcW w:w="1890" w:type="dxa"/>
          </w:tcPr>
          <w:p w14:paraId="79B6CA3C"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kern w:val="24"/>
                <w:lang w:eastAsia="nb-NO"/>
              </w:rPr>
              <w:t>1.Albendazole</w:t>
            </w:r>
            <w:r w:rsidRPr="000F214A">
              <w:rPr>
                <w:rFonts w:asciiTheme="minorHAnsi" w:hAnsiTheme="minorHAnsi" w:cs="Arial"/>
                <w:color w:val="000000"/>
                <w:kern w:val="24"/>
                <w:lang w:eastAsia="nb-NO"/>
              </w:rPr>
              <w:t xml:space="preserve">  </w:t>
            </w:r>
          </w:p>
          <w:p w14:paraId="74795CB3"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 xml:space="preserve">2. </w:t>
            </w:r>
            <w:r w:rsidRPr="000F214A">
              <w:rPr>
                <w:rFonts w:asciiTheme="minorHAnsi" w:hAnsiTheme="minorHAnsi" w:cs="Arial"/>
                <w:kern w:val="24"/>
                <w:lang w:eastAsia="nb-NO"/>
              </w:rPr>
              <w:t xml:space="preserve"> Albendazole</w:t>
            </w:r>
            <w:r w:rsidRPr="000F214A">
              <w:rPr>
                <w:rFonts w:asciiTheme="minorHAnsi" w:hAnsiTheme="minorHAnsi" w:cs="Arial"/>
                <w:color w:val="000000"/>
                <w:kern w:val="24"/>
                <w:lang w:eastAsia="nb-NO"/>
              </w:rPr>
              <w:t xml:space="preserve"> + </w:t>
            </w:r>
            <w:r w:rsidRPr="000F214A">
              <w:rPr>
                <w:rFonts w:asciiTheme="minorHAnsi" w:hAnsiTheme="minorHAnsi" w:cs="Arial"/>
                <w:kern w:val="24"/>
                <w:lang w:eastAsia="nb-NO"/>
              </w:rPr>
              <w:t xml:space="preserve"> Praziquantel</w:t>
            </w:r>
            <w:r w:rsidRPr="000F214A">
              <w:rPr>
                <w:rFonts w:asciiTheme="minorHAnsi" w:hAnsiTheme="minorHAnsi" w:cs="Arial"/>
                <w:color w:val="000000"/>
                <w:kern w:val="24"/>
                <w:lang w:eastAsia="nb-NO"/>
              </w:rPr>
              <w:t xml:space="preserve"> </w:t>
            </w:r>
          </w:p>
          <w:p w14:paraId="6EE6376F"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3. Control</w:t>
            </w:r>
          </w:p>
        </w:tc>
        <w:tc>
          <w:tcPr>
            <w:tcW w:w="1267" w:type="dxa"/>
          </w:tcPr>
          <w:p w14:paraId="10E999A2" w14:textId="77777777" w:rsidR="004F533A" w:rsidRDefault="00474FA2"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6</w:t>
            </w:r>
            <w:r w:rsidR="004F533A" w:rsidRPr="000F214A">
              <w:rPr>
                <w:rFonts w:asciiTheme="minorHAnsi" w:hAnsiTheme="minorHAnsi" w:cs="Arial"/>
                <w:color w:val="000000"/>
                <w:kern w:val="24"/>
                <w:lang w:eastAsia="nb-NO"/>
              </w:rPr>
              <w:t xml:space="preserve"> months</w:t>
            </w:r>
            <w:r w:rsidR="00331245">
              <w:rPr>
                <w:rFonts w:asciiTheme="minorHAnsi" w:hAnsiTheme="minorHAnsi" w:cs="Arial"/>
                <w:color w:val="000000"/>
                <w:kern w:val="24"/>
                <w:lang w:eastAsia="nb-NO"/>
              </w:rPr>
              <w:t>,</w:t>
            </w:r>
          </w:p>
          <w:p w14:paraId="6CB79C83" w14:textId="77777777" w:rsidR="00331245" w:rsidRPr="000F214A" w:rsidRDefault="00331245" w:rsidP="001A584B">
            <w:pPr>
              <w:spacing w:line="240" w:lineRule="auto"/>
              <w:contextualSpacing/>
              <w:textAlignment w:val="center"/>
              <w:rPr>
                <w:rFonts w:asciiTheme="minorHAnsi" w:hAnsiTheme="minorHAnsi" w:cs="Arial"/>
                <w:color w:val="000000"/>
                <w:kern w:val="24"/>
                <w:lang w:eastAsia="nb-NO"/>
              </w:rPr>
            </w:pPr>
            <w:r>
              <w:rPr>
                <w:rFonts w:asciiTheme="minorHAnsi" w:hAnsiTheme="minorHAnsi" w:cs="Arial"/>
                <w:color w:val="000000"/>
                <w:kern w:val="24"/>
                <w:lang w:eastAsia="nb-NO"/>
              </w:rPr>
              <w:t>3 years</w:t>
            </w:r>
          </w:p>
        </w:tc>
        <w:tc>
          <w:tcPr>
            <w:tcW w:w="1418" w:type="dxa"/>
          </w:tcPr>
          <w:p w14:paraId="5AFC446D" w14:textId="77777777" w:rsidR="004F533A" w:rsidRPr="000F214A" w:rsidRDefault="00331245" w:rsidP="001A584B">
            <w:pPr>
              <w:spacing w:line="240" w:lineRule="auto"/>
              <w:contextualSpacing/>
              <w:textAlignment w:val="center"/>
              <w:rPr>
                <w:rFonts w:asciiTheme="minorHAnsi" w:hAnsiTheme="minorHAnsi" w:cs="Arial"/>
                <w:color w:val="000000"/>
                <w:kern w:val="24"/>
                <w:lang w:eastAsia="nb-NO"/>
              </w:rPr>
            </w:pPr>
            <w:r>
              <w:rPr>
                <w:rFonts w:asciiTheme="minorHAnsi" w:hAnsiTheme="minorHAnsi" w:cs="Arial"/>
                <w:color w:val="000000"/>
                <w:kern w:val="24"/>
                <w:lang w:eastAsia="nb-NO"/>
              </w:rPr>
              <w:t>96%</w:t>
            </w:r>
          </w:p>
        </w:tc>
      </w:tr>
      <w:tr w:rsidR="004F533A" w:rsidRPr="000F214A" w14:paraId="4F2DF2F1" w14:textId="77777777" w:rsidTr="000E5F1C">
        <w:trPr>
          <w:cantSplit/>
        </w:trPr>
        <w:tc>
          <w:tcPr>
            <w:tcW w:w="988" w:type="dxa"/>
          </w:tcPr>
          <w:p w14:paraId="346FCBEE"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Rousham 1994</w:t>
            </w:r>
          </w:p>
        </w:tc>
        <w:tc>
          <w:tcPr>
            <w:tcW w:w="920" w:type="dxa"/>
          </w:tcPr>
          <w:p w14:paraId="3FEF2F38"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Bangladesh</w:t>
            </w:r>
          </w:p>
        </w:tc>
        <w:tc>
          <w:tcPr>
            <w:tcW w:w="810" w:type="dxa"/>
          </w:tcPr>
          <w:p w14:paraId="55F3554E"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proofErr w:type="spellStart"/>
            <w:r w:rsidRPr="000F214A">
              <w:rPr>
                <w:rFonts w:asciiTheme="minorHAnsi" w:hAnsiTheme="minorHAnsi" w:cs="Arial"/>
                <w:color w:val="000000"/>
                <w:kern w:val="24"/>
                <w:lang w:eastAsia="nb-NO"/>
              </w:rPr>
              <w:t>cRCT</w:t>
            </w:r>
            <w:proofErr w:type="spellEnd"/>
          </w:p>
          <w:p w14:paraId="731C62A1"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p>
          <w:p w14:paraId="2300BDC4"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MDA</w:t>
            </w:r>
          </w:p>
        </w:tc>
        <w:tc>
          <w:tcPr>
            <w:tcW w:w="990" w:type="dxa"/>
          </w:tcPr>
          <w:p w14:paraId="6E7CC4AB"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 xml:space="preserve">Villages </w:t>
            </w:r>
          </w:p>
          <w:p w14:paraId="4391C45D"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(7)</w:t>
            </w:r>
          </w:p>
        </w:tc>
        <w:tc>
          <w:tcPr>
            <w:tcW w:w="990" w:type="dxa"/>
          </w:tcPr>
          <w:p w14:paraId="4A27015F"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124</w:t>
            </w:r>
          </w:p>
        </w:tc>
        <w:tc>
          <w:tcPr>
            <w:tcW w:w="900" w:type="dxa"/>
          </w:tcPr>
          <w:p w14:paraId="556C6E54" w14:textId="77777777" w:rsidR="004F533A" w:rsidRPr="000F214A" w:rsidRDefault="004F533A" w:rsidP="001A584B">
            <w:pPr>
              <w:spacing w:line="240" w:lineRule="auto"/>
              <w:contextualSpacing/>
              <w:rPr>
                <w:rFonts w:asciiTheme="minorHAnsi" w:hAnsiTheme="minorHAnsi"/>
                <w:lang w:eastAsia="nb-NO"/>
              </w:rPr>
            </w:pPr>
            <w:r w:rsidRPr="000F214A">
              <w:rPr>
                <w:rFonts w:asciiTheme="minorHAnsi" w:hAnsiTheme="minorHAnsi"/>
                <w:lang w:eastAsia="nb-NO"/>
              </w:rPr>
              <w:t xml:space="preserve">2 to 6 </w:t>
            </w:r>
          </w:p>
          <w:p w14:paraId="3BD17E08" w14:textId="77777777" w:rsidR="006C61F6" w:rsidRPr="000F214A" w:rsidRDefault="006C61F6" w:rsidP="001A584B">
            <w:pPr>
              <w:spacing w:line="240" w:lineRule="auto"/>
              <w:contextualSpacing/>
              <w:rPr>
                <w:rFonts w:asciiTheme="minorHAnsi" w:hAnsiTheme="minorHAnsi"/>
                <w:lang w:eastAsia="nb-NO"/>
              </w:rPr>
            </w:pPr>
          </w:p>
          <w:p w14:paraId="6EDCD9DC" w14:textId="77777777" w:rsidR="006C61F6" w:rsidRPr="000F214A" w:rsidRDefault="006C61F6" w:rsidP="001A584B">
            <w:pPr>
              <w:spacing w:line="240" w:lineRule="auto"/>
              <w:contextualSpacing/>
              <w:rPr>
                <w:rFonts w:asciiTheme="minorHAnsi" w:hAnsiTheme="minorHAnsi"/>
                <w:lang w:eastAsia="nb-NO"/>
              </w:rPr>
            </w:pPr>
            <w:r w:rsidRPr="000F214A">
              <w:rPr>
                <w:rFonts w:asciiTheme="minorHAnsi" w:hAnsiTheme="minorHAnsi"/>
                <w:lang w:eastAsia="nb-NO"/>
              </w:rPr>
              <w:t>villages</w:t>
            </w:r>
          </w:p>
        </w:tc>
        <w:tc>
          <w:tcPr>
            <w:tcW w:w="1890" w:type="dxa"/>
          </w:tcPr>
          <w:p w14:paraId="299ECEC6"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kern w:val="24"/>
                <w:lang w:eastAsia="nb-NO"/>
              </w:rPr>
              <w:t>1. Mebendazole</w:t>
            </w:r>
            <w:r w:rsidRPr="000F214A">
              <w:rPr>
                <w:rFonts w:asciiTheme="minorHAnsi" w:hAnsiTheme="minorHAnsi" w:cs="Arial"/>
                <w:color w:val="000000"/>
                <w:kern w:val="24"/>
                <w:lang w:eastAsia="nb-NO"/>
              </w:rPr>
              <w:t xml:space="preserve">  </w:t>
            </w:r>
          </w:p>
          <w:p w14:paraId="4C6F5387"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2. Placebo</w:t>
            </w:r>
          </w:p>
        </w:tc>
        <w:tc>
          <w:tcPr>
            <w:tcW w:w="1267" w:type="dxa"/>
          </w:tcPr>
          <w:p w14:paraId="65E43476" w14:textId="77777777" w:rsidR="004F533A" w:rsidRDefault="004F533A" w:rsidP="001A584B">
            <w:pPr>
              <w:spacing w:line="240" w:lineRule="auto"/>
              <w:contextualSpacing/>
              <w:rPr>
                <w:rFonts w:asciiTheme="minorHAnsi" w:hAnsiTheme="minorHAnsi"/>
                <w:lang w:eastAsia="nb-NO"/>
              </w:rPr>
            </w:pPr>
            <w:r w:rsidRPr="000F214A">
              <w:rPr>
                <w:rFonts w:asciiTheme="minorHAnsi" w:hAnsiTheme="minorHAnsi"/>
                <w:lang w:eastAsia="nb-NO"/>
              </w:rPr>
              <w:t>2 months</w:t>
            </w:r>
            <w:r w:rsidR="00331245">
              <w:rPr>
                <w:rFonts w:asciiTheme="minorHAnsi" w:hAnsiTheme="minorHAnsi"/>
                <w:lang w:eastAsia="nb-NO"/>
              </w:rPr>
              <w:t>,</w:t>
            </w:r>
          </w:p>
          <w:p w14:paraId="7EBD8B93" w14:textId="77777777" w:rsidR="00331245" w:rsidRPr="000F214A" w:rsidRDefault="00331245" w:rsidP="001A584B">
            <w:pPr>
              <w:spacing w:line="240" w:lineRule="auto"/>
              <w:contextualSpacing/>
              <w:rPr>
                <w:rFonts w:asciiTheme="minorHAnsi" w:hAnsiTheme="minorHAnsi"/>
                <w:lang w:eastAsia="nb-NO"/>
              </w:rPr>
            </w:pPr>
            <w:r>
              <w:rPr>
                <w:rFonts w:asciiTheme="minorHAnsi" w:hAnsiTheme="minorHAnsi"/>
                <w:lang w:eastAsia="nb-NO"/>
              </w:rPr>
              <w:t>12 months</w:t>
            </w:r>
          </w:p>
        </w:tc>
        <w:tc>
          <w:tcPr>
            <w:tcW w:w="1418" w:type="dxa"/>
          </w:tcPr>
          <w:p w14:paraId="48A07825" w14:textId="2B539CCE" w:rsidR="004F533A" w:rsidRPr="000F214A" w:rsidRDefault="007D493D" w:rsidP="001A584B">
            <w:pPr>
              <w:spacing w:line="240" w:lineRule="auto"/>
              <w:contextualSpacing/>
              <w:rPr>
                <w:rFonts w:asciiTheme="minorHAnsi" w:hAnsiTheme="minorHAnsi"/>
                <w:lang w:eastAsia="nb-NO"/>
              </w:rPr>
            </w:pPr>
            <w:r>
              <w:rPr>
                <w:rFonts w:asciiTheme="minorHAnsi" w:hAnsiTheme="minorHAnsi"/>
                <w:lang w:eastAsia="nb-NO"/>
              </w:rPr>
              <w:t>Not reported</w:t>
            </w:r>
          </w:p>
        </w:tc>
      </w:tr>
      <w:tr w:rsidR="004F533A" w:rsidRPr="000F214A" w14:paraId="0E1EE486" w14:textId="77777777" w:rsidTr="000E5F1C">
        <w:trPr>
          <w:cantSplit/>
        </w:trPr>
        <w:tc>
          <w:tcPr>
            <w:tcW w:w="988" w:type="dxa"/>
          </w:tcPr>
          <w:p w14:paraId="30CDD6AD"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proofErr w:type="spellStart"/>
            <w:r w:rsidRPr="000F214A">
              <w:rPr>
                <w:rFonts w:asciiTheme="minorHAnsi" w:hAnsiTheme="minorHAnsi" w:cs="Arial"/>
                <w:color w:val="000000"/>
                <w:kern w:val="24"/>
                <w:lang w:eastAsia="nb-NO"/>
              </w:rPr>
              <w:t>Wiria</w:t>
            </w:r>
            <w:proofErr w:type="spellEnd"/>
            <w:r w:rsidRPr="000F214A">
              <w:rPr>
                <w:rFonts w:asciiTheme="minorHAnsi" w:hAnsiTheme="minorHAnsi" w:cs="Arial"/>
                <w:color w:val="000000"/>
                <w:kern w:val="24"/>
                <w:lang w:eastAsia="nb-NO"/>
              </w:rPr>
              <w:t xml:space="preserve"> 2013</w:t>
            </w:r>
          </w:p>
        </w:tc>
        <w:tc>
          <w:tcPr>
            <w:tcW w:w="920" w:type="dxa"/>
          </w:tcPr>
          <w:p w14:paraId="63B17D7E"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Indonesia</w:t>
            </w:r>
          </w:p>
        </w:tc>
        <w:tc>
          <w:tcPr>
            <w:tcW w:w="810" w:type="dxa"/>
          </w:tcPr>
          <w:p w14:paraId="2B283207"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proofErr w:type="spellStart"/>
            <w:r w:rsidRPr="000F214A">
              <w:rPr>
                <w:rFonts w:asciiTheme="minorHAnsi" w:hAnsiTheme="minorHAnsi" w:cs="Arial"/>
                <w:color w:val="000000"/>
                <w:kern w:val="24"/>
                <w:lang w:eastAsia="nb-NO"/>
              </w:rPr>
              <w:t>cRCT</w:t>
            </w:r>
            <w:proofErr w:type="spellEnd"/>
          </w:p>
          <w:p w14:paraId="4013F58F"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p>
          <w:p w14:paraId="58C03F92"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MDA</w:t>
            </w:r>
          </w:p>
        </w:tc>
        <w:tc>
          <w:tcPr>
            <w:tcW w:w="990" w:type="dxa"/>
          </w:tcPr>
          <w:p w14:paraId="6253AEF6"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House</w:t>
            </w:r>
            <w:r w:rsidR="00EF0ED2">
              <w:rPr>
                <w:rFonts w:asciiTheme="minorHAnsi" w:hAnsiTheme="minorHAnsi" w:cs="Arial"/>
                <w:color w:val="000000"/>
                <w:kern w:val="24"/>
                <w:lang w:eastAsia="nb-NO"/>
              </w:rPr>
              <w:t>-</w:t>
            </w:r>
            <w:r w:rsidRPr="000F214A">
              <w:rPr>
                <w:rFonts w:asciiTheme="minorHAnsi" w:hAnsiTheme="minorHAnsi" w:cs="Arial"/>
                <w:color w:val="000000"/>
                <w:kern w:val="24"/>
                <w:lang w:eastAsia="nb-NO"/>
              </w:rPr>
              <w:t>holds (954)</w:t>
            </w:r>
          </w:p>
        </w:tc>
        <w:tc>
          <w:tcPr>
            <w:tcW w:w="990" w:type="dxa"/>
          </w:tcPr>
          <w:p w14:paraId="3F6BF4ED"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color w:val="000000"/>
                <w:kern w:val="24"/>
                <w:lang w:eastAsia="nb-NO"/>
              </w:rPr>
              <w:t>1854</w:t>
            </w:r>
          </w:p>
        </w:tc>
        <w:tc>
          <w:tcPr>
            <w:tcW w:w="900" w:type="dxa"/>
          </w:tcPr>
          <w:p w14:paraId="2B9FEE9B" w14:textId="77777777" w:rsidR="004F533A" w:rsidRPr="000F214A" w:rsidRDefault="004F533A" w:rsidP="001A584B">
            <w:pPr>
              <w:spacing w:line="240" w:lineRule="auto"/>
              <w:contextualSpacing/>
              <w:rPr>
                <w:rFonts w:asciiTheme="minorHAnsi" w:hAnsiTheme="minorHAnsi"/>
                <w:lang w:eastAsia="nb-NO"/>
              </w:rPr>
            </w:pPr>
            <w:r w:rsidRPr="000F214A">
              <w:rPr>
                <w:rFonts w:asciiTheme="minorHAnsi" w:hAnsiTheme="minorHAnsi"/>
                <w:lang w:eastAsia="nb-NO"/>
              </w:rPr>
              <w:t>2 to 16</w:t>
            </w:r>
          </w:p>
          <w:p w14:paraId="3191873A" w14:textId="77777777" w:rsidR="006C61F6" w:rsidRPr="000F214A" w:rsidRDefault="006C61F6" w:rsidP="001A584B">
            <w:pPr>
              <w:spacing w:line="240" w:lineRule="auto"/>
              <w:contextualSpacing/>
              <w:rPr>
                <w:rFonts w:asciiTheme="minorHAnsi" w:hAnsiTheme="minorHAnsi"/>
                <w:lang w:eastAsia="nb-NO"/>
              </w:rPr>
            </w:pPr>
          </w:p>
          <w:p w14:paraId="36FD8A85" w14:textId="77777777" w:rsidR="006C61F6" w:rsidRPr="000F214A" w:rsidRDefault="006C61F6" w:rsidP="001A584B">
            <w:pPr>
              <w:spacing w:line="240" w:lineRule="auto"/>
              <w:contextualSpacing/>
              <w:rPr>
                <w:rFonts w:asciiTheme="minorHAnsi" w:hAnsiTheme="minorHAnsi"/>
                <w:lang w:eastAsia="nb-NO"/>
              </w:rPr>
            </w:pPr>
            <w:r w:rsidRPr="000F214A">
              <w:rPr>
                <w:rFonts w:asciiTheme="minorHAnsi" w:hAnsiTheme="minorHAnsi"/>
                <w:lang w:eastAsia="nb-NO"/>
              </w:rPr>
              <w:t>villages</w:t>
            </w:r>
          </w:p>
        </w:tc>
        <w:tc>
          <w:tcPr>
            <w:tcW w:w="1890" w:type="dxa"/>
          </w:tcPr>
          <w:p w14:paraId="37B7F0FA" w14:textId="77777777" w:rsidR="004F533A" w:rsidRPr="000F214A" w:rsidRDefault="004F533A" w:rsidP="001A584B">
            <w:pPr>
              <w:spacing w:line="240" w:lineRule="auto"/>
              <w:contextualSpacing/>
              <w:textAlignment w:val="center"/>
              <w:rPr>
                <w:rFonts w:asciiTheme="minorHAnsi" w:hAnsiTheme="minorHAnsi" w:cs="Arial"/>
                <w:kern w:val="24"/>
                <w:lang w:eastAsia="nb-NO"/>
              </w:rPr>
            </w:pPr>
            <w:r w:rsidRPr="000F214A">
              <w:rPr>
                <w:rFonts w:asciiTheme="minorHAnsi" w:hAnsiTheme="minorHAnsi" w:cs="Arial"/>
                <w:kern w:val="24"/>
                <w:lang w:eastAsia="nb-NO"/>
              </w:rPr>
              <w:t xml:space="preserve">1. Albendazole  </w:t>
            </w:r>
          </w:p>
          <w:p w14:paraId="26A46670" w14:textId="77777777" w:rsidR="004F533A" w:rsidRPr="000F214A" w:rsidRDefault="004F533A" w:rsidP="001A584B">
            <w:pPr>
              <w:spacing w:line="240" w:lineRule="auto"/>
              <w:contextualSpacing/>
              <w:textAlignment w:val="center"/>
              <w:rPr>
                <w:rFonts w:asciiTheme="minorHAnsi" w:hAnsiTheme="minorHAnsi" w:cs="Arial"/>
                <w:color w:val="000000"/>
                <w:kern w:val="24"/>
                <w:lang w:eastAsia="nb-NO"/>
              </w:rPr>
            </w:pPr>
            <w:r w:rsidRPr="000F214A">
              <w:rPr>
                <w:rFonts w:asciiTheme="minorHAnsi" w:hAnsiTheme="minorHAnsi" w:cs="Arial"/>
                <w:kern w:val="24"/>
                <w:lang w:eastAsia="nb-NO"/>
              </w:rPr>
              <w:t>2.  Placebo</w:t>
            </w:r>
          </w:p>
        </w:tc>
        <w:tc>
          <w:tcPr>
            <w:tcW w:w="1267" w:type="dxa"/>
          </w:tcPr>
          <w:p w14:paraId="0BFA9255" w14:textId="77777777" w:rsidR="004F533A" w:rsidRDefault="004F533A" w:rsidP="001A584B">
            <w:pPr>
              <w:spacing w:line="240" w:lineRule="auto"/>
              <w:contextualSpacing/>
              <w:rPr>
                <w:rFonts w:asciiTheme="minorHAnsi" w:hAnsiTheme="minorHAnsi"/>
                <w:lang w:eastAsia="nb-NO"/>
              </w:rPr>
            </w:pPr>
            <w:r w:rsidRPr="000F214A">
              <w:rPr>
                <w:rFonts w:asciiTheme="minorHAnsi" w:hAnsiTheme="minorHAnsi"/>
                <w:lang w:eastAsia="nb-NO"/>
              </w:rPr>
              <w:t>3 months</w:t>
            </w:r>
            <w:r w:rsidR="00331245">
              <w:rPr>
                <w:rFonts w:asciiTheme="minorHAnsi" w:hAnsiTheme="minorHAnsi"/>
                <w:lang w:eastAsia="nb-NO"/>
              </w:rPr>
              <w:t>,</w:t>
            </w:r>
          </w:p>
          <w:p w14:paraId="26CC90D6" w14:textId="77777777" w:rsidR="00331245" w:rsidRPr="000F214A" w:rsidRDefault="00331245" w:rsidP="001A584B">
            <w:pPr>
              <w:spacing w:line="240" w:lineRule="auto"/>
              <w:contextualSpacing/>
              <w:rPr>
                <w:rFonts w:asciiTheme="minorHAnsi" w:hAnsiTheme="minorHAnsi"/>
                <w:lang w:eastAsia="nb-NO"/>
              </w:rPr>
            </w:pPr>
            <w:r>
              <w:rPr>
                <w:rFonts w:asciiTheme="minorHAnsi" w:hAnsiTheme="minorHAnsi"/>
                <w:lang w:eastAsia="nb-NO"/>
              </w:rPr>
              <w:t>21 months</w:t>
            </w:r>
          </w:p>
        </w:tc>
        <w:tc>
          <w:tcPr>
            <w:tcW w:w="1418" w:type="dxa"/>
          </w:tcPr>
          <w:p w14:paraId="10DD1FF0" w14:textId="5F0236F0" w:rsidR="004F533A" w:rsidRPr="000F214A" w:rsidRDefault="00331245" w:rsidP="001A584B">
            <w:pPr>
              <w:spacing w:line="240" w:lineRule="auto"/>
              <w:contextualSpacing/>
              <w:rPr>
                <w:rFonts w:asciiTheme="minorHAnsi" w:hAnsiTheme="minorHAnsi"/>
                <w:lang w:eastAsia="nb-NO"/>
              </w:rPr>
            </w:pPr>
            <w:r>
              <w:rPr>
                <w:rFonts w:asciiTheme="minorHAnsi" w:hAnsiTheme="minorHAnsi"/>
                <w:lang w:eastAsia="nb-NO"/>
              </w:rPr>
              <w:t>78%</w:t>
            </w:r>
            <w:r w:rsidR="007D493D">
              <w:rPr>
                <w:rFonts w:asciiTheme="minorHAnsi" w:hAnsiTheme="minorHAnsi"/>
                <w:lang w:eastAsia="nb-NO"/>
              </w:rPr>
              <w:t xml:space="preserve"> with </w:t>
            </w:r>
            <w:proofErr w:type="spellStart"/>
            <w:r w:rsidR="007D493D">
              <w:rPr>
                <w:rFonts w:asciiTheme="minorHAnsi" w:hAnsiTheme="minorHAnsi"/>
                <w:lang w:eastAsia="nb-NO"/>
              </w:rPr>
              <w:t>antheminthic</w:t>
            </w:r>
            <w:proofErr w:type="spellEnd"/>
          </w:p>
        </w:tc>
      </w:tr>
    </w:tbl>
    <w:p w14:paraId="5231B435" w14:textId="77777777" w:rsidR="003A60CD" w:rsidRDefault="0039466D" w:rsidP="003A60CD">
      <w:r>
        <w:lastRenderedPageBreak/>
        <w:t>Note</w:t>
      </w:r>
      <w:r w:rsidR="003018E1">
        <w:t>s</w:t>
      </w:r>
      <w:r>
        <w:t xml:space="preserve">: </w:t>
      </w:r>
      <w:r w:rsidR="00BC27AB">
        <w:t xml:space="preserve">MDA: Mass drug administration, SAT: Screen and Treat, </w:t>
      </w:r>
      <w:proofErr w:type="spellStart"/>
      <w:r w:rsidR="00BC27AB">
        <w:t>cRCT</w:t>
      </w:r>
      <w:proofErr w:type="spellEnd"/>
      <w:r w:rsidR="00BC27AB">
        <w:t>: cluster randomized trial, RCT: randomized controlled trial</w:t>
      </w:r>
    </w:p>
    <w:p w14:paraId="57DB32B0" w14:textId="5850B089" w:rsidR="000C7888" w:rsidRDefault="000C7888" w:rsidP="000C7888">
      <w:r>
        <w:t>References of included studies in S</w:t>
      </w:r>
      <w:r w:rsidR="002C6E91">
        <w:t>3 Appendix</w:t>
      </w:r>
      <w:r>
        <w:t xml:space="preserve"> Additional References in Supporting Information</w:t>
      </w:r>
    </w:p>
    <w:p w14:paraId="0F347730" w14:textId="77777777" w:rsidR="000C7888" w:rsidRDefault="000C7888" w:rsidP="000C7888">
      <w:r>
        <w:t xml:space="preserve"> </w:t>
      </w:r>
    </w:p>
    <w:p w14:paraId="6ACD1978" w14:textId="77777777" w:rsidR="000C7888" w:rsidRPr="00BC2403" w:rsidRDefault="000C7888" w:rsidP="000C7888">
      <w:pPr>
        <w:spacing w:line="480" w:lineRule="auto"/>
        <w:rPr>
          <w:b/>
        </w:rPr>
      </w:pPr>
      <w:r w:rsidRPr="00BC2403">
        <w:rPr>
          <w:b/>
        </w:rPr>
        <w:t>Fig 2: Countries where included studies were conducted</w:t>
      </w:r>
    </w:p>
    <w:p w14:paraId="5956F0CD" w14:textId="77777777" w:rsidR="000C7888" w:rsidRDefault="000C7888" w:rsidP="000C7888">
      <w:pPr>
        <w:rPr>
          <w:color w:val="000000" w:themeColor="text1"/>
        </w:rPr>
      </w:pPr>
    </w:p>
    <w:p w14:paraId="4C7CF8C9" w14:textId="0BB03BE6" w:rsidR="006A108B" w:rsidRPr="00B70704" w:rsidRDefault="006A108B" w:rsidP="007309C5">
      <w:pPr>
        <w:spacing w:line="480" w:lineRule="auto"/>
        <w:rPr>
          <w:lang w:val="en-US"/>
        </w:rPr>
      </w:pPr>
      <w:r w:rsidRPr="00B70704">
        <w:rPr>
          <w:lang w:val="en-US"/>
        </w:rPr>
        <w:t xml:space="preserve">For nutritional status, 16% of the children were below -2 </w:t>
      </w:r>
      <w:r w:rsidR="00CF3E38" w:rsidRPr="00B70704">
        <w:rPr>
          <w:lang w:val="en-US"/>
        </w:rPr>
        <w:t>z-scores</w:t>
      </w:r>
      <w:r w:rsidR="00394257">
        <w:rPr>
          <w:lang w:val="en-US"/>
        </w:rPr>
        <w:t xml:space="preserve"> for BMI-for-</w:t>
      </w:r>
      <w:r w:rsidRPr="00B70704">
        <w:rPr>
          <w:lang w:val="en-US"/>
        </w:rPr>
        <w:t>age, 33% were stunted and 50% were</w:t>
      </w:r>
      <w:r w:rsidRPr="00037832">
        <w:rPr>
          <w:lang w:val="en-GB"/>
        </w:rPr>
        <w:t xml:space="preserve"> an</w:t>
      </w:r>
      <w:r w:rsidR="00767EE6" w:rsidRPr="00037832">
        <w:rPr>
          <w:lang w:val="en-GB"/>
        </w:rPr>
        <w:t>a</w:t>
      </w:r>
      <w:r w:rsidRPr="00037832">
        <w:rPr>
          <w:lang w:val="en-GB"/>
        </w:rPr>
        <w:t>emic</w:t>
      </w:r>
      <w:r w:rsidRPr="00B70704">
        <w:rPr>
          <w:lang w:val="en-US"/>
        </w:rPr>
        <w:t xml:space="preserve"> </w:t>
      </w:r>
      <w:r w:rsidR="000C7888" w:rsidRPr="00B70704">
        <w:rPr>
          <w:lang w:val="en-US"/>
        </w:rPr>
        <w:t>(</w:t>
      </w:r>
      <w:r w:rsidR="000C7888">
        <w:rPr>
          <w:lang w:val="en-US"/>
        </w:rPr>
        <w:t>Table 2</w:t>
      </w:r>
      <w:r w:rsidR="000C7888" w:rsidRPr="00B70704">
        <w:rPr>
          <w:lang w:val="en-US"/>
        </w:rPr>
        <w:t>).</w:t>
      </w:r>
      <w:r w:rsidRPr="00B70704">
        <w:rPr>
          <w:lang w:val="en-US"/>
        </w:rPr>
        <w:t xml:space="preserve">  The prevalence of infection was 45% </w:t>
      </w:r>
      <w:r w:rsidR="008D3AA8" w:rsidRPr="00B70704">
        <w:rPr>
          <w:lang w:val="en-US"/>
        </w:rPr>
        <w:t>for</w:t>
      </w:r>
      <w:r w:rsidRPr="00B70704">
        <w:rPr>
          <w:lang w:val="en-US"/>
        </w:rPr>
        <w:t xml:space="preserve"> </w:t>
      </w:r>
      <w:r w:rsidR="00DF5CB2">
        <w:rPr>
          <w:i/>
          <w:lang w:val="en-US"/>
        </w:rPr>
        <w:t>A. lumbricoides</w:t>
      </w:r>
      <w:r w:rsidRPr="00B70704">
        <w:rPr>
          <w:lang w:val="en-US"/>
        </w:rPr>
        <w:t xml:space="preserve"> (31% light</w:t>
      </w:r>
      <w:r w:rsidR="004C64E3" w:rsidRPr="00B70704">
        <w:rPr>
          <w:lang w:val="en-US"/>
        </w:rPr>
        <w:t xml:space="preserve">, </w:t>
      </w:r>
      <w:r w:rsidRPr="00B70704">
        <w:rPr>
          <w:lang w:val="en-US"/>
        </w:rPr>
        <w:t xml:space="preserve">13% moderate </w:t>
      </w:r>
      <w:r w:rsidR="00641412" w:rsidRPr="00B70704">
        <w:rPr>
          <w:lang w:val="en-US"/>
        </w:rPr>
        <w:t>and 1</w:t>
      </w:r>
      <w:r w:rsidR="004C64E3" w:rsidRPr="00B70704">
        <w:rPr>
          <w:lang w:val="en-US"/>
        </w:rPr>
        <w:t xml:space="preserve">% heavy </w:t>
      </w:r>
      <w:r w:rsidRPr="00B70704">
        <w:rPr>
          <w:lang w:val="en-US"/>
        </w:rPr>
        <w:t xml:space="preserve">infection intensity), 52% </w:t>
      </w:r>
      <w:r w:rsidR="008D3AA8" w:rsidRPr="00B70704">
        <w:rPr>
          <w:lang w:val="en-US"/>
        </w:rPr>
        <w:t>for</w:t>
      </w:r>
      <w:r w:rsidRPr="00B70704">
        <w:rPr>
          <w:lang w:val="en-US"/>
        </w:rPr>
        <w:t xml:space="preserve"> </w:t>
      </w:r>
      <w:r w:rsidR="00DF5CB2">
        <w:rPr>
          <w:i/>
          <w:lang w:val="en-US"/>
        </w:rPr>
        <w:t xml:space="preserve">T. </w:t>
      </w:r>
      <w:proofErr w:type="spellStart"/>
      <w:r w:rsidR="00EB3807">
        <w:rPr>
          <w:i/>
          <w:lang w:val="en-US"/>
        </w:rPr>
        <w:t>trich</w:t>
      </w:r>
      <w:r w:rsidR="00DA7184">
        <w:rPr>
          <w:i/>
          <w:lang w:val="en-US"/>
        </w:rPr>
        <w:t>i</w:t>
      </w:r>
      <w:r w:rsidR="00EB3807">
        <w:rPr>
          <w:i/>
          <w:lang w:val="en-US"/>
        </w:rPr>
        <w:t>ura</w:t>
      </w:r>
      <w:proofErr w:type="spellEnd"/>
      <w:r w:rsidR="004C64E3" w:rsidRPr="00B70704">
        <w:rPr>
          <w:lang w:val="en-US"/>
        </w:rPr>
        <w:t xml:space="preserve"> (38% light,</w:t>
      </w:r>
      <w:r w:rsidRPr="00B70704">
        <w:rPr>
          <w:lang w:val="en-US"/>
        </w:rPr>
        <w:t xml:space="preserve"> 14% moderate and 0% heavy) and 45% </w:t>
      </w:r>
      <w:r w:rsidR="008D3AA8" w:rsidRPr="00B70704">
        <w:rPr>
          <w:lang w:val="en-US"/>
        </w:rPr>
        <w:t>for</w:t>
      </w:r>
      <w:r w:rsidRPr="00B70704">
        <w:rPr>
          <w:lang w:val="en-US"/>
        </w:rPr>
        <w:t xml:space="preserve"> hookworm (</w:t>
      </w:r>
      <w:r w:rsidR="004C64E3" w:rsidRPr="00B70704">
        <w:rPr>
          <w:lang w:val="en-US"/>
        </w:rPr>
        <w:t>38% light,</w:t>
      </w:r>
      <w:r w:rsidRPr="00B70704">
        <w:rPr>
          <w:lang w:val="en-US"/>
        </w:rPr>
        <w:t xml:space="preserve"> 5% moderate and 2% heavy </w:t>
      </w:r>
      <w:r w:rsidR="004C64E3" w:rsidRPr="00B70704">
        <w:rPr>
          <w:lang w:val="en-US"/>
        </w:rPr>
        <w:t>infection intensity</w:t>
      </w:r>
      <w:r w:rsidRPr="00B70704">
        <w:rPr>
          <w:lang w:val="en-US"/>
        </w:rPr>
        <w:t xml:space="preserve">). </w:t>
      </w:r>
      <w:r w:rsidR="003D731F" w:rsidRPr="00B70704">
        <w:rPr>
          <w:lang w:val="en-US"/>
        </w:rPr>
        <w:t xml:space="preserve"> </w:t>
      </w:r>
      <w:r w:rsidR="000C7888">
        <w:rPr>
          <w:lang w:val="en-US"/>
        </w:rPr>
        <w:t xml:space="preserve">For the studies which we received, five studies had greater than 50% missing data (S2 Table). </w:t>
      </w:r>
    </w:p>
    <w:p w14:paraId="2963DEAF" w14:textId="78777633" w:rsidR="003A60CD" w:rsidRPr="00037832" w:rsidRDefault="004E62CB" w:rsidP="003A60CD">
      <w:pPr>
        <w:pStyle w:val="Caption"/>
        <w:keepNext/>
        <w:rPr>
          <w:b/>
          <w:i w:val="0"/>
          <w:color w:val="auto"/>
          <w:sz w:val="22"/>
        </w:rPr>
      </w:pPr>
      <w:r w:rsidRPr="00BC2403">
        <w:rPr>
          <w:b/>
          <w:i w:val="0"/>
          <w:color w:val="auto"/>
          <w:sz w:val="22"/>
          <w:szCs w:val="22"/>
        </w:rPr>
        <w:t xml:space="preserve">Table 2: Characteristics of children </w:t>
      </w:r>
      <w:r w:rsidR="003A60CD" w:rsidRPr="00037832">
        <w:rPr>
          <w:b/>
          <w:i w:val="0"/>
          <w:color w:val="auto"/>
          <w:sz w:val="22"/>
        </w:rPr>
        <w:t>in the 14 studies used for the base case analyses</w:t>
      </w:r>
    </w:p>
    <w:tbl>
      <w:tblPr>
        <w:tblStyle w:val="TableGrid2"/>
        <w:tblW w:w="0" w:type="auto"/>
        <w:tblLook w:val="04A0" w:firstRow="1" w:lastRow="0" w:firstColumn="1" w:lastColumn="0" w:noHBand="0" w:noVBand="1"/>
      </w:tblPr>
      <w:tblGrid>
        <w:gridCol w:w="2441"/>
        <w:gridCol w:w="1308"/>
        <w:gridCol w:w="1264"/>
      </w:tblGrid>
      <w:tr w:rsidR="00080A46" w:rsidRPr="00D5785C" w14:paraId="3A65055A" w14:textId="77777777" w:rsidTr="00037832">
        <w:trPr>
          <w:trHeight w:val="300"/>
        </w:trPr>
        <w:tc>
          <w:tcPr>
            <w:tcW w:w="0" w:type="auto"/>
          </w:tcPr>
          <w:p w14:paraId="7762B8D0" w14:textId="77777777" w:rsidR="003A60CD" w:rsidRPr="00037832" w:rsidRDefault="003A60CD" w:rsidP="00D666F3">
            <w:pPr>
              <w:rPr>
                <w:b/>
              </w:rPr>
            </w:pPr>
            <w:r w:rsidRPr="00037832">
              <w:rPr>
                <w:b/>
              </w:rPr>
              <w:t>Variable</w:t>
            </w:r>
          </w:p>
        </w:tc>
        <w:tc>
          <w:tcPr>
            <w:tcW w:w="0" w:type="auto"/>
            <w:noWrap/>
            <w:hideMark/>
          </w:tcPr>
          <w:p w14:paraId="21590138" w14:textId="77777777" w:rsidR="003A60CD" w:rsidRPr="00037832" w:rsidRDefault="003A60CD" w:rsidP="00D666F3">
            <w:pPr>
              <w:rPr>
                <w:b/>
              </w:rPr>
            </w:pPr>
            <w:r w:rsidRPr="00037832">
              <w:rPr>
                <w:b/>
              </w:rPr>
              <w:t>Distribution</w:t>
            </w:r>
          </w:p>
        </w:tc>
        <w:tc>
          <w:tcPr>
            <w:tcW w:w="0" w:type="auto"/>
            <w:noWrap/>
            <w:hideMark/>
          </w:tcPr>
          <w:p w14:paraId="6E908C58" w14:textId="77777777" w:rsidR="003A60CD" w:rsidRPr="00037832" w:rsidRDefault="003A60CD" w:rsidP="00D666F3">
            <w:pPr>
              <w:rPr>
                <w:b/>
              </w:rPr>
            </w:pPr>
            <w:r w:rsidRPr="00037832">
              <w:rPr>
                <w:b/>
              </w:rPr>
              <w:t xml:space="preserve">sample size </w:t>
            </w:r>
          </w:p>
        </w:tc>
      </w:tr>
      <w:tr w:rsidR="000C7888" w:rsidRPr="00D5785C" w14:paraId="550C640A" w14:textId="77777777" w:rsidTr="00CE0168">
        <w:trPr>
          <w:trHeight w:val="367"/>
        </w:trPr>
        <w:tc>
          <w:tcPr>
            <w:tcW w:w="0" w:type="auto"/>
          </w:tcPr>
          <w:p w14:paraId="508B316D" w14:textId="77777777" w:rsidR="000C7888" w:rsidRPr="004910F9" w:rsidRDefault="000C7888" w:rsidP="00CE0168">
            <w:r>
              <w:rPr>
                <w:lang w:eastAsia="en-CA"/>
              </w:rPr>
              <w:t>BMI-for-a</w:t>
            </w:r>
            <w:r w:rsidRPr="004910F9">
              <w:rPr>
                <w:lang w:eastAsia="en-CA"/>
              </w:rPr>
              <w:t>ge</w:t>
            </w:r>
          </w:p>
        </w:tc>
        <w:tc>
          <w:tcPr>
            <w:tcW w:w="0" w:type="auto"/>
            <w:noWrap/>
            <w:hideMark/>
          </w:tcPr>
          <w:p w14:paraId="06F3F360" w14:textId="77777777" w:rsidR="000C7888" w:rsidRPr="004910F9" w:rsidRDefault="000C7888" w:rsidP="00CE0168">
            <w:pPr>
              <w:rPr>
                <w:lang w:eastAsia="en-CA"/>
              </w:rPr>
            </w:pPr>
            <w:r w:rsidRPr="004910F9">
              <w:rPr>
                <w:rFonts w:cstheme="minorHAnsi"/>
                <w:lang w:eastAsia="en-CA"/>
              </w:rPr>
              <w:t>≤</w:t>
            </w:r>
            <w:r w:rsidRPr="004910F9">
              <w:rPr>
                <w:lang w:eastAsia="en-CA"/>
              </w:rPr>
              <w:t xml:space="preserve"> - 2</w:t>
            </w:r>
          </w:p>
        </w:tc>
        <w:tc>
          <w:tcPr>
            <w:tcW w:w="0" w:type="auto"/>
            <w:noWrap/>
            <w:hideMark/>
          </w:tcPr>
          <w:p w14:paraId="57CC5602" w14:textId="77777777" w:rsidR="000C7888" w:rsidRPr="004910F9" w:rsidRDefault="000C7888" w:rsidP="00CE0168">
            <w:pPr>
              <w:rPr>
                <w:lang w:eastAsia="en-CA"/>
              </w:rPr>
            </w:pPr>
            <w:r>
              <w:rPr>
                <w:lang w:eastAsia="en-CA"/>
              </w:rPr>
              <w:t>2259</w:t>
            </w:r>
          </w:p>
        </w:tc>
      </w:tr>
      <w:tr w:rsidR="000C7888" w:rsidRPr="00D5785C" w14:paraId="5022DC7E" w14:textId="77777777" w:rsidTr="00CE0168">
        <w:trPr>
          <w:trHeight w:val="367"/>
        </w:trPr>
        <w:tc>
          <w:tcPr>
            <w:tcW w:w="0" w:type="auto"/>
          </w:tcPr>
          <w:p w14:paraId="5766C140" w14:textId="77777777" w:rsidR="000C7888" w:rsidRPr="004910F9" w:rsidRDefault="000C7888" w:rsidP="00CE0168">
            <w:pPr>
              <w:rPr>
                <w:lang w:eastAsia="en-CA"/>
              </w:rPr>
            </w:pPr>
            <w:r w:rsidRPr="004910F9">
              <w:rPr>
                <w:lang w:eastAsia="en-CA"/>
              </w:rPr>
              <w:t>(z-score)</w:t>
            </w:r>
          </w:p>
        </w:tc>
        <w:tc>
          <w:tcPr>
            <w:tcW w:w="0" w:type="auto"/>
            <w:noWrap/>
            <w:hideMark/>
          </w:tcPr>
          <w:p w14:paraId="1C10AA7D" w14:textId="77777777" w:rsidR="000C7888" w:rsidRPr="004910F9" w:rsidRDefault="000C7888" w:rsidP="00CE0168">
            <w:pPr>
              <w:rPr>
                <w:lang w:eastAsia="en-CA"/>
              </w:rPr>
            </w:pPr>
            <w:r w:rsidRPr="004910F9">
              <w:rPr>
                <w:lang w:eastAsia="en-CA"/>
              </w:rPr>
              <w:t>&gt; -2</w:t>
            </w:r>
          </w:p>
        </w:tc>
        <w:tc>
          <w:tcPr>
            <w:tcW w:w="0" w:type="auto"/>
            <w:noWrap/>
            <w:hideMark/>
          </w:tcPr>
          <w:p w14:paraId="46694903" w14:textId="77777777" w:rsidR="000C7888" w:rsidRPr="004910F9" w:rsidRDefault="000C7888" w:rsidP="00CE0168">
            <w:pPr>
              <w:rPr>
                <w:lang w:eastAsia="en-CA"/>
              </w:rPr>
            </w:pPr>
            <w:r>
              <w:rPr>
                <w:lang w:eastAsia="en-CA"/>
              </w:rPr>
              <w:t>11696</w:t>
            </w:r>
          </w:p>
        </w:tc>
      </w:tr>
      <w:tr w:rsidR="000C7888" w:rsidRPr="00D5785C" w14:paraId="3A8F131B" w14:textId="77777777" w:rsidTr="00CE0168">
        <w:trPr>
          <w:trHeight w:val="367"/>
        </w:trPr>
        <w:tc>
          <w:tcPr>
            <w:tcW w:w="0" w:type="auto"/>
          </w:tcPr>
          <w:p w14:paraId="6471B6E5" w14:textId="77777777" w:rsidR="000C7888" w:rsidRPr="004910F9" w:rsidRDefault="000C7888" w:rsidP="00CE0168">
            <w:pPr>
              <w:rPr>
                <w:lang w:eastAsia="en-CA"/>
              </w:rPr>
            </w:pPr>
            <w:r>
              <w:rPr>
                <w:lang w:eastAsia="en-CA"/>
              </w:rPr>
              <w:t>Height-for-a</w:t>
            </w:r>
            <w:r w:rsidRPr="004910F9">
              <w:rPr>
                <w:lang w:eastAsia="en-CA"/>
              </w:rPr>
              <w:t>ge</w:t>
            </w:r>
          </w:p>
        </w:tc>
        <w:tc>
          <w:tcPr>
            <w:tcW w:w="0" w:type="auto"/>
            <w:noWrap/>
            <w:hideMark/>
          </w:tcPr>
          <w:p w14:paraId="79826952" w14:textId="77777777" w:rsidR="000C7888" w:rsidRPr="004910F9" w:rsidRDefault="000C7888" w:rsidP="00CE0168">
            <w:pPr>
              <w:rPr>
                <w:lang w:eastAsia="en-CA"/>
              </w:rPr>
            </w:pPr>
            <w:r w:rsidRPr="004910F9">
              <w:rPr>
                <w:rFonts w:cstheme="minorHAnsi"/>
                <w:lang w:eastAsia="en-CA"/>
              </w:rPr>
              <w:t>≤</w:t>
            </w:r>
            <w:r w:rsidRPr="004910F9">
              <w:rPr>
                <w:lang w:eastAsia="en-CA"/>
              </w:rPr>
              <w:t xml:space="preserve"> -2</w:t>
            </w:r>
          </w:p>
        </w:tc>
        <w:tc>
          <w:tcPr>
            <w:tcW w:w="0" w:type="auto"/>
            <w:noWrap/>
            <w:hideMark/>
          </w:tcPr>
          <w:p w14:paraId="1B0F71D7" w14:textId="77777777" w:rsidR="000C7888" w:rsidRPr="004910F9" w:rsidRDefault="000C7888" w:rsidP="00CE0168">
            <w:pPr>
              <w:rPr>
                <w:lang w:eastAsia="en-CA"/>
              </w:rPr>
            </w:pPr>
            <w:r>
              <w:rPr>
                <w:lang w:eastAsia="en-CA"/>
              </w:rPr>
              <w:t>4609</w:t>
            </w:r>
          </w:p>
        </w:tc>
      </w:tr>
      <w:tr w:rsidR="000C7888" w:rsidRPr="00D5785C" w14:paraId="749B03F7" w14:textId="77777777" w:rsidTr="00CE0168">
        <w:trPr>
          <w:trHeight w:val="367"/>
        </w:trPr>
        <w:tc>
          <w:tcPr>
            <w:tcW w:w="0" w:type="auto"/>
          </w:tcPr>
          <w:p w14:paraId="1DDCD006" w14:textId="77777777" w:rsidR="000C7888" w:rsidRPr="004910F9" w:rsidRDefault="000C7888" w:rsidP="00CE0168">
            <w:pPr>
              <w:rPr>
                <w:lang w:eastAsia="en-CA"/>
              </w:rPr>
            </w:pPr>
            <w:r w:rsidRPr="004910F9">
              <w:rPr>
                <w:lang w:eastAsia="en-CA"/>
              </w:rPr>
              <w:t>(z-score)</w:t>
            </w:r>
          </w:p>
        </w:tc>
        <w:tc>
          <w:tcPr>
            <w:tcW w:w="0" w:type="auto"/>
            <w:noWrap/>
            <w:hideMark/>
          </w:tcPr>
          <w:p w14:paraId="3B252828" w14:textId="77777777" w:rsidR="000C7888" w:rsidRPr="004910F9" w:rsidRDefault="000C7888" w:rsidP="00CE0168">
            <w:pPr>
              <w:rPr>
                <w:lang w:eastAsia="en-CA"/>
              </w:rPr>
            </w:pPr>
            <w:r w:rsidRPr="004910F9">
              <w:rPr>
                <w:lang w:eastAsia="en-CA"/>
              </w:rPr>
              <w:t>&gt; -2</w:t>
            </w:r>
          </w:p>
        </w:tc>
        <w:tc>
          <w:tcPr>
            <w:tcW w:w="0" w:type="auto"/>
            <w:noWrap/>
            <w:hideMark/>
          </w:tcPr>
          <w:p w14:paraId="1B82664B" w14:textId="77777777" w:rsidR="000C7888" w:rsidRPr="004910F9" w:rsidRDefault="000C7888" w:rsidP="00CE0168">
            <w:pPr>
              <w:rPr>
                <w:lang w:eastAsia="en-CA"/>
              </w:rPr>
            </w:pPr>
            <w:r>
              <w:rPr>
                <w:lang w:eastAsia="en-CA"/>
              </w:rPr>
              <w:t>9346</w:t>
            </w:r>
          </w:p>
        </w:tc>
      </w:tr>
      <w:tr w:rsidR="000C7888" w:rsidRPr="00D5785C" w14:paraId="0AF87670" w14:textId="77777777" w:rsidTr="00CE0168">
        <w:trPr>
          <w:trHeight w:val="367"/>
        </w:trPr>
        <w:tc>
          <w:tcPr>
            <w:tcW w:w="0" w:type="auto"/>
          </w:tcPr>
          <w:p w14:paraId="79F407D3" w14:textId="77777777" w:rsidR="000C7888" w:rsidRPr="004910F9" w:rsidRDefault="000C7888" w:rsidP="00CE0168">
            <w:pPr>
              <w:rPr>
                <w:lang w:eastAsia="en-CA"/>
              </w:rPr>
            </w:pPr>
            <w:r w:rsidRPr="004910F9">
              <w:rPr>
                <w:lang w:eastAsia="en-CA"/>
              </w:rPr>
              <w:t>Hookworm</w:t>
            </w:r>
          </w:p>
        </w:tc>
        <w:tc>
          <w:tcPr>
            <w:tcW w:w="0" w:type="auto"/>
            <w:noWrap/>
            <w:hideMark/>
          </w:tcPr>
          <w:p w14:paraId="21DD157A" w14:textId="77777777" w:rsidR="000C7888" w:rsidRPr="004910F9" w:rsidRDefault="000C7888" w:rsidP="00CE0168">
            <w:pPr>
              <w:rPr>
                <w:lang w:eastAsia="en-CA"/>
              </w:rPr>
            </w:pPr>
            <w:r w:rsidRPr="004910F9">
              <w:rPr>
                <w:lang w:eastAsia="en-CA"/>
              </w:rPr>
              <w:t>0 (none)</w:t>
            </w:r>
          </w:p>
        </w:tc>
        <w:tc>
          <w:tcPr>
            <w:tcW w:w="0" w:type="auto"/>
            <w:noWrap/>
            <w:hideMark/>
          </w:tcPr>
          <w:p w14:paraId="398DAB7C" w14:textId="77777777" w:rsidR="000C7888" w:rsidRPr="004910F9" w:rsidRDefault="000C7888" w:rsidP="00CE0168">
            <w:pPr>
              <w:rPr>
                <w:lang w:eastAsia="en-CA"/>
              </w:rPr>
            </w:pPr>
            <w:r>
              <w:rPr>
                <w:lang w:eastAsia="en-CA"/>
              </w:rPr>
              <w:t>7700</w:t>
            </w:r>
          </w:p>
        </w:tc>
      </w:tr>
      <w:tr w:rsidR="000C7888" w:rsidRPr="00D5785C" w14:paraId="718F2799" w14:textId="77777777" w:rsidTr="00CE0168">
        <w:trPr>
          <w:trHeight w:val="367"/>
        </w:trPr>
        <w:tc>
          <w:tcPr>
            <w:tcW w:w="0" w:type="auto"/>
          </w:tcPr>
          <w:p w14:paraId="78E4579D" w14:textId="77777777" w:rsidR="000C7888" w:rsidRPr="004910F9" w:rsidRDefault="000C7888" w:rsidP="00CE0168">
            <w:pPr>
              <w:rPr>
                <w:lang w:eastAsia="en-CA"/>
              </w:rPr>
            </w:pPr>
            <w:r w:rsidRPr="004910F9">
              <w:rPr>
                <w:lang w:eastAsia="en-CA"/>
              </w:rPr>
              <w:t>(</w:t>
            </w:r>
            <w:proofErr w:type="spellStart"/>
            <w:r w:rsidRPr="004910F9">
              <w:rPr>
                <w:lang w:eastAsia="en-CA"/>
              </w:rPr>
              <w:t>epg</w:t>
            </w:r>
            <w:proofErr w:type="spellEnd"/>
            <w:r w:rsidRPr="004910F9">
              <w:rPr>
                <w:lang w:eastAsia="en-CA"/>
              </w:rPr>
              <w:t>)</w:t>
            </w:r>
          </w:p>
        </w:tc>
        <w:tc>
          <w:tcPr>
            <w:tcW w:w="0" w:type="auto"/>
            <w:noWrap/>
            <w:hideMark/>
          </w:tcPr>
          <w:p w14:paraId="6B021353" w14:textId="77777777" w:rsidR="000C7888" w:rsidRPr="004910F9" w:rsidRDefault="000C7888" w:rsidP="00CE0168">
            <w:pPr>
              <w:rPr>
                <w:lang w:eastAsia="en-CA"/>
              </w:rPr>
            </w:pPr>
            <w:r w:rsidRPr="004910F9">
              <w:rPr>
                <w:lang w:eastAsia="en-CA"/>
              </w:rPr>
              <w:t>1-384</w:t>
            </w:r>
          </w:p>
        </w:tc>
        <w:tc>
          <w:tcPr>
            <w:tcW w:w="0" w:type="auto"/>
            <w:noWrap/>
            <w:hideMark/>
          </w:tcPr>
          <w:p w14:paraId="49AC4991" w14:textId="77777777" w:rsidR="000C7888" w:rsidRPr="004910F9" w:rsidRDefault="000C7888" w:rsidP="00CE0168">
            <w:pPr>
              <w:rPr>
                <w:lang w:eastAsia="en-CA"/>
              </w:rPr>
            </w:pPr>
            <w:r>
              <w:rPr>
                <w:lang w:eastAsia="en-CA"/>
              </w:rPr>
              <w:t>3169</w:t>
            </w:r>
          </w:p>
        </w:tc>
      </w:tr>
      <w:tr w:rsidR="000C7888" w:rsidRPr="00D5785C" w14:paraId="1A0A68D6" w14:textId="77777777" w:rsidTr="00CE0168">
        <w:trPr>
          <w:trHeight w:val="367"/>
        </w:trPr>
        <w:tc>
          <w:tcPr>
            <w:tcW w:w="0" w:type="auto"/>
          </w:tcPr>
          <w:p w14:paraId="1BEF1650" w14:textId="77777777" w:rsidR="000C7888" w:rsidRPr="004910F9" w:rsidRDefault="000C7888" w:rsidP="00CE0168">
            <w:pPr>
              <w:rPr>
                <w:lang w:eastAsia="en-CA"/>
              </w:rPr>
            </w:pPr>
          </w:p>
        </w:tc>
        <w:tc>
          <w:tcPr>
            <w:tcW w:w="0" w:type="auto"/>
            <w:noWrap/>
            <w:hideMark/>
          </w:tcPr>
          <w:p w14:paraId="3E37CCF6" w14:textId="77777777" w:rsidR="000C7888" w:rsidRPr="004910F9" w:rsidRDefault="000C7888" w:rsidP="00CE0168">
            <w:pPr>
              <w:rPr>
                <w:lang w:eastAsia="en-CA"/>
              </w:rPr>
            </w:pPr>
            <w:r w:rsidRPr="004910F9">
              <w:rPr>
                <w:lang w:eastAsia="en-CA"/>
              </w:rPr>
              <w:t>&gt;384</w:t>
            </w:r>
          </w:p>
        </w:tc>
        <w:tc>
          <w:tcPr>
            <w:tcW w:w="0" w:type="auto"/>
            <w:noWrap/>
            <w:hideMark/>
          </w:tcPr>
          <w:p w14:paraId="7DBEC14B" w14:textId="77777777" w:rsidR="000C7888" w:rsidRPr="004910F9" w:rsidRDefault="000C7888" w:rsidP="00CE0168">
            <w:pPr>
              <w:rPr>
                <w:lang w:eastAsia="en-CA"/>
              </w:rPr>
            </w:pPr>
            <w:r>
              <w:rPr>
                <w:lang w:eastAsia="en-CA"/>
              </w:rPr>
              <w:t>3086</w:t>
            </w:r>
          </w:p>
        </w:tc>
      </w:tr>
      <w:tr w:rsidR="000C7888" w:rsidRPr="00D5785C" w14:paraId="58FA42A2" w14:textId="77777777" w:rsidTr="00CE0168">
        <w:trPr>
          <w:trHeight w:val="367"/>
        </w:trPr>
        <w:tc>
          <w:tcPr>
            <w:tcW w:w="0" w:type="auto"/>
          </w:tcPr>
          <w:p w14:paraId="1C64A6B2" w14:textId="77777777" w:rsidR="000C7888" w:rsidRPr="004910F9" w:rsidRDefault="000C7888" w:rsidP="00CE0168">
            <w:pPr>
              <w:rPr>
                <w:i/>
              </w:rPr>
            </w:pPr>
            <w:r>
              <w:rPr>
                <w:i/>
              </w:rPr>
              <w:t xml:space="preserve">T. </w:t>
            </w:r>
            <w:proofErr w:type="spellStart"/>
            <w:r w:rsidR="00CE0168">
              <w:rPr>
                <w:i/>
              </w:rPr>
              <w:t>trichiura</w:t>
            </w:r>
            <w:proofErr w:type="spellEnd"/>
          </w:p>
        </w:tc>
        <w:tc>
          <w:tcPr>
            <w:tcW w:w="0" w:type="auto"/>
            <w:noWrap/>
            <w:hideMark/>
          </w:tcPr>
          <w:p w14:paraId="5C5BC30B" w14:textId="77777777" w:rsidR="000C7888" w:rsidRPr="004910F9" w:rsidRDefault="000C7888" w:rsidP="00CE0168">
            <w:pPr>
              <w:rPr>
                <w:lang w:eastAsia="en-CA"/>
              </w:rPr>
            </w:pPr>
            <w:r w:rsidRPr="004910F9">
              <w:rPr>
                <w:lang w:eastAsia="en-CA"/>
              </w:rPr>
              <w:t>0 (none</w:t>
            </w:r>
          </w:p>
        </w:tc>
        <w:tc>
          <w:tcPr>
            <w:tcW w:w="0" w:type="auto"/>
            <w:noWrap/>
            <w:hideMark/>
          </w:tcPr>
          <w:p w14:paraId="475668AB" w14:textId="77777777" w:rsidR="000C7888" w:rsidRPr="004910F9" w:rsidRDefault="000C7888" w:rsidP="00CE0168">
            <w:pPr>
              <w:rPr>
                <w:lang w:eastAsia="en-CA"/>
              </w:rPr>
            </w:pPr>
            <w:r>
              <w:rPr>
                <w:lang w:eastAsia="en-CA"/>
              </w:rPr>
              <w:t>6729</w:t>
            </w:r>
          </w:p>
        </w:tc>
      </w:tr>
      <w:tr w:rsidR="000C7888" w:rsidRPr="00D5785C" w14:paraId="7A95B4DA" w14:textId="77777777" w:rsidTr="00CE0168">
        <w:trPr>
          <w:trHeight w:val="367"/>
        </w:trPr>
        <w:tc>
          <w:tcPr>
            <w:tcW w:w="0" w:type="auto"/>
          </w:tcPr>
          <w:p w14:paraId="13DB2AE1" w14:textId="77777777" w:rsidR="000C7888" w:rsidRPr="004910F9" w:rsidRDefault="000C7888" w:rsidP="00CE0168">
            <w:pPr>
              <w:rPr>
                <w:lang w:eastAsia="en-CA"/>
              </w:rPr>
            </w:pPr>
            <w:r w:rsidRPr="004910F9">
              <w:rPr>
                <w:lang w:eastAsia="en-CA"/>
              </w:rPr>
              <w:t>(</w:t>
            </w:r>
            <w:proofErr w:type="spellStart"/>
            <w:r w:rsidRPr="004910F9">
              <w:rPr>
                <w:lang w:eastAsia="en-CA"/>
              </w:rPr>
              <w:t>epg</w:t>
            </w:r>
            <w:proofErr w:type="spellEnd"/>
            <w:r w:rsidRPr="004910F9">
              <w:rPr>
                <w:lang w:eastAsia="en-CA"/>
              </w:rPr>
              <w:t>)</w:t>
            </w:r>
          </w:p>
        </w:tc>
        <w:tc>
          <w:tcPr>
            <w:tcW w:w="0" w:type="auto"/>
            <w:noWrap/>
            <w:hideMark/>
          </w:tcPr>
          <w:p w14:paraId="5A08AE09" w14:textId="77777777" w:rsidR="000C7888" w:rsidRPr="004910F9" w:rsidRDefault="000C7888" w:rsidP="00CE0168">
            <w:pPr>
              <w:rPr>
                <w:lang w:eastAsia="en-CA"/>
              </w:rPr>
            </w:pPr>
            <w:r w:rsidRPr="004910F9">
              <w:rPr>
                <w:lang w:eastAsia="en-CA"/>
              </w:rPr>
              <w:t>1-288</w:t>
            </w:r>
          </w:p>
        </w:tc>
        <w:tc>
          <w:tcPr>
            <w:tcW w:w="0" w:type="auto"/>
            <w:noWrap/>
            <w:hideMark/>
          </w:tcPr>
          <w:p w14:paraId="1A09873B" w14:textId="77777777" w:rsidR="000C7888" w:rsidRPr="004910F9" w:rsidRDefault="000C7888" w:rsidP="00CE0168">
            <w:pPr>
              <w:rPr>
                <w:lang w:eastAsia="en-CA"/>
              </w:rPr>
            </w:pPr>
            <w:r>
              <w:rPr>
                <w:lang w:eastAsia="en-CA"/>
              </w:rPr>
              <w:t>3656</w:t>
            </w:r>
          </w:p>
        </w:tc>
      </w:tr>
      <w:tr w:rsidR="000C7888" w:rsidRPr="00D5785C" w14:paraId="0D264E36" w14:textId="77777777" w:rsidTr="00CE0168">
        <w:trPr>
          <w:trHeight w:val="367"/>
        </w:trPr>
        <w:tc>
          <w:tcPr>
            <w:tcW w:w="0" w:type="auto"/>
          </w:tcPr>
          <w:p w14:paraId="5C4807E7" w14:textId="77777777" w:rsidR="000C7888" w:rsidRPr="004910F9" w:rsidRDefault="000C7888" w:rsidP="00CE0168">
            <w:pPr>
              <w:rPr>
                <w:lang w:eastAsia="en-CA"/>
              </w:rPr>
            </w:pPr>
          </w:p>
        </w:tc>
        <w:tc>
          <w:tcPr>
            <w:tcW w:w="0" w:type="auto"/>
            <w:noWrap/>
            <w:hideMark/>
          </w:tcPr>
          <w:p w14:paraId="52641ABC" w14:textId="77777777" w:rsidR="000C7888" w:rsidRPr="004910F9" w:rsidRDefault="000C7888" w:rsidP="00CE0168">
            <w:pPr>
              <w:rPr>
                <w:lang w:eastAsia="en-CA"/>
              </w:rPr>
            </w:pPr>
            <w:r w:rsidRPr="004910F9">
              <w:rPr>
                <w:lang w:eastAsia="en-CA"/>
              </w:rPr>
              <w:t>&gt;288</w:t>
            </w:r>
          </w:p>
        </w:tc>
        <w:tc>
          <w:tcPr>
            <w:tcW w:w="0" w:type="auto"/>
            <w:noWrap/>
            <w:hideMark/>
          </w:tcPr>
          <w:p w14:paraId="656274C3" w14:textId="77777777" w:rsidR="000C7888" w:rsidRPr="004910F9" w:rsidRDefault="000C7888" w:rsidP="00CE0168">
            <w:pPr>
              <w:rPr>
                <w:lang w:eastAsia="en-CA"/>
              </w:rPr>
            </w:pPr>
            <w:r>
              <w:rPr>
                <w:lang w:eastAsia="en-CA"/>
              </w:rPr>
              <w:t>3570</w:t>
            </w:r>
          </w:p>
        </w:tc>
      </w:tr>
      <w:tr w:rsidR="000C7888" w:rsidRPr="00D5785C" w14:paraId="5A8F1E9E" w14:textId="77777777" w:rsidTr="00CE0168">
        <w:trPr>
          <w:trHeight w:val="367"/>
        </w:trPr>
        <w:tc>
          <w:tcPr>
            <w:tcW w:w="0" w:type="auto"/>
          </w:tcPr>
          <w:p w14:paraId="11931A47" w14:textId="77777777" w:rsidR="000C7888" w:rsidRPr="004910F9" w:rsidRDefault="000C7888" w:rsidP="00CE0168">
            <w:pPr>
              <w:rPr>
                <w:i/>
              </w:rPr>
            </w:pPr>
            <w:r>
              <w:rPr>
                <w:i/>
              </w:rPr>
              <w:t>A. lumbricoides</w:t>
            </w:r>
          </w:p>
        </w:tc>
        <w:tc>
          <w:tcPr>
            <w:tcW w:w="0" w:type="auto"/>
            <w:noWrap/>
            <w:hideMark/>
          </w:tcPr>
          <w:p w14:paraId="5363D329" w14:textId="77777777" w:rsidR="000C7888" w:rsidRPr="004910F9" w:rsidRDefault="000C7888" w:rsidP="00CE0168">
            <w:pPr>
              <w:rPr>
                <w:lang w:eastAsia="en-CA"/>
              </w:rPr>
            </w:pPr>
            <w:r w:rsidRPr="004910F9">
              <w:rPr>
                <w:lang w:eastAsia="en-CA"/>
              </w:rPr>
              <w:t>0 (none)</w:t>
            </w:r>
          </w:p>
        </w:tc>
        <w:tc>
          <w:tcPr>
            <w:tcW w:w="0" w:type="auto"/>
            <w:noWrap/>
            <w:hideMark/>
          </w:tcPr>
          <w:p w14:paraId="37A89CAB" w14:textId="77777777" w:rsidR="000C7888" w:rsidRPr="004910F9" w:rsidRDefault="000C7888" w:rsidP="00CE0168">
            <w:pPr>
              <w:rPr>
                <w:lang w:eastAsia="en-CA"/>
              </w:rPr>
            </w:pPr>
            <w:r>
              <w:rPr>
                <w:lang w:eastAsia="en-CA"/>
              </w:rPr>
              <w:t>7738</w:t>
            </w:r>
          </w:p>
        </w:tc>
      </w:tr>
      <w:tr w:rsidR="000C7888" w:rsidRPr="00D5785C" w14:paraId="67A5D45F" w14:textId="77777777" w:rsidTr="00CE0168">
        <w:trPr>
          <w:trHeight w:val="367"/>
        </w:trPr>
        <w:tc>
          <w:tcPr>
            <w:tcW w:w="0" w:type="auto"/>
          </w:tcPr>
          <w:p w14:paraId="3F966CB7" w14:textId="77777777" w:rsidR="000C7888" w:rsidRPr="004910F9" w:rsidRDefault="000C7888" w:rsidP="00CE0168">
            <w:pPr>
              <w:rPr>
                <w:lang w:eastAsia="en-CA"/>
              </w:rPr>
            </w:pPr>
            <w:r w:rsidRPr="004910F9">
              <w:rPr>
                <w:lang w:eastAsia="en-CA"/>
              </w:rPr>
              <w:t>(</w:t>
            </w:r>
            <w:proofErr w:type="spellStart"/>
            <w:r w:rsidRPr="004910F9">
              <w:rPr>
                <w:lang w:eastAsia="en-CA"/>
              </w:rPr>
              <w:t>epg</w:t>
            </w:r>
            <w:proofErr w:type="spellEnd"/>
            <w:r w:rsidRPr="004910F9">
              <w:rPr>
                <w:lang w:eastAsia="en-CA"/>
              </w:rPr>
              <w:t>)</w:t>
            </w:r>
          </w:p>
        </w:tc>
        <w:tc>
          <w:tcPr>
            <w:tcW w:w="0" w:type="auto"/>
            <w:noWrap/>
            <w:hideMark/>
          </w:tcPr>
          <w:p w14:paraId="08D56FBE" w14:textId="77777777" w:rsidR="000C7888" w:rsidRPr="004910F9" w:rsidRDefault="000C7888" w:rsidP="00CE0168">
            <w:pPr>
              <w:rPr>
                <w:lang w:eastAsia="en-CA"/>
              </w:rPr>
            </w:pPr>
            <w:r w:rsidRPr="004910F9">
              <w:rPr>
                <w:lang w:eastAsia="en-CA"/>
              </w:rPr>
              <w:t>1-1776</w:t>
            </w:r>
          </w:p>
        </w:tc>
        <w:tc>
          <w:tcPr>
            <w:tcW w:w="0" w:type="auto"/>
            <w:noWrap/>
            <w:hideMark/>
          </w:tcPr>
          <w:p w14:paraId="7F2C7588" w14:textId="77777777" w:rsidR="000C7888" w:rsidRPr="004910F9" w:rsidRDefault="000C7888" w:rsidP="00CE0168">
            <w:pPr>
              <w:rPr>
                <w:lang w:eastAsia="en-CA"/>
              </w:rPr>
            </w:pPr>
            <w:r>
              <w:rPr>
                <w:lang w:eastAsia="en-CA"/>
              </w:rPr>
              <w:t>3116</w:t>
            </w:r>
          </w:p>
        </w:tc>
      </w:tr>
      <w:tr w:rsidR="000C7888" w:rsidRPr="00D5785C" w14:paraId="565B8C3A" w14:textId="77777777" w:rsidTr="00CE0168">
        <w:trPr>
          <w:trHeight w:val="367"/>
        </w:trPr>
        <w:tc>
          <w:tcPr>
            <w:tcW w:w="0" w:type="auto"/>
          </w:tcPr>
          <w:p w14:paraId="5FD124FD" w14:textId="77777777" w:rsidR="000C7888" w:rsidRPr="004910F9" w:rsidRDefault="000C7888" w:rsidP="00CE0168">
            <w:pPr>
              <w:rPr>
                <w:lang w:eastAsia="en-CA"/>
              </w:rPr>
            </w:pPr>
          </w:p>
        </w:tc>
        <w:tc>
          <w:tcPr>
            <w:tcW w:w="0" w:type="auto"/>
            <w:noWrap/>
            <w:hideMark/>
          </w:tcPr>
          <w:p w14:paraId="7584EE00" w14:textId="77777777" w:rsidR="000C7888" w:rsidRPr="004910F9" w:rsidRDefault="000C7888" w:rsidP="00CE0168">
            <w:pPr>
              <w:rPr>
                <w:lang w:eastAsia="en-CA"/>
              </w:rPr>
            </w:pPr>
            <w:r w:rsidRPr="004910F9">
              <w:rPr>
                <w:lang w:eastAsia="en-CA"/>
              </w:rPr>
              <w:t>&gt;1776</w:t>
            </w:r>
          </w:p>
        </w:tc>
        <w:tc>
          <w:tcPr>
            <w:tcW w:w="0" w:type="auto"/>
            <w:noWrap/>
            <w:hideMark/>
          </w:tcPr>
          <w:p w14:paraId="07AB6C04" w14:textId="77777777" w:rsidR="000C7888" w:rsidRPr="004910F9" w:rsidRDefault="000C7888" w:rsidP="00CE0168">
            <w:pPr>
              <w:rPr>
                <w:lang w:eastAsia="en-CA"/>
              </w:rPr>
            </w:pPr>
            <w:r>
              <w:rPr>
                <w:lang w:eastAsia="en-CA"/>
              </w:rPr>
              <w:t>3101</w:t>
            </w:r>
          </w:p>
        </w:tc>
      </w:tr>
      <w:tr w:rsidR="000C7888" w:rsidRPr="00D5785C" w14:paraId="7D8BDF3C" w14:textId="77777777" w:rsidTr="00CE0168">
        <w:trPr>
          <w:trHeight w:val="367"/>
        </w:trPr>
        <w:tc>
          <w:tcPr>
            <w:tcW w:w="0" w:type="auto"/>
          </w:tcPr>
          <w:p w14:paraId="111F5E72" w14:textId="77777777" w:rsidR="000C7888" w:rsidRPr="004910F9" w:rsidRDefault="000C7888" w:rsidP="00CE0168">
            <w:pPr>
              <w:rPr>
                <w:lang w:eastAsia="en-CA"/>
              </w:rPr>
            </w:pPr>
            <w:r w:rsidRPr="004910F9">
              <w:rPr>
                <w:lang w:eastAsia="en-CA"/>
              </w:rPr>
              <w:t>Anyworm</w:t>
            </w:r>
            <w:r>
              <w:rPr>
                <w:lang w:eastAsia="en-CA"/>
              </w:rPr>
              <w:t>**</w:t>
            </w:r>
          </w:p>
        </w:tc>
        <w:tc>
          <w:tcPr>
            <w:tcW w:w="0" w:type="auto"/>
            <w:noWrap/>
            <w:hideMark/>
          </w:tcPr>
          <w:p w14:paraId="7B76F8ED" w14:textId="77777777" w:rsidR="000C7888" w:rsidRPr="004910F9" w:rsidRDefault="000C7888" w:rsidP="00CE0168">
            <w:pPr>
              <w:rPr>
                <w:lang w:eastAsia="en-CA"/>
              </w:rPr>
            </w:pPr>
            <w:r w:rsidRPr="004910F9">
              <w:rPr>
                <w:lang w:eastAsia="en-CA"/>
              </w:rPr>
              <w:t>0</w:t>
            </w:r>
          </w:p>
        </w:tc>
        <w:tc>
          <w:tcPr>
            <w:tcW w:w="0" w:type="auto"/>
            <w:noWrap/>
            <w:hideMark/>
          </w:tcPr>
          <w:p w14:paraId="1E38A12C" w14:textId="77777777" w:rsidR="000C7888" w:rsidRPr="004910F9" w:rsidRDefault="000C7888" w:rsidP="00CE0168">
            <w:pPr>
              <w:rPr>
                <w:lang w:eastAsia="en-CA"/>
              </w:rPr>
            </w:pPr>
            <w:r>
              <w:rPr>
                <w:lang w:eastAsia="en-CA"/>
              </w:rPr>
              <w:t>4721</w:t>
            </w:r>
          </w:p>
        </w:tc>
      </w:tr>
      <w:tr w:rsidR="000C7888" w:rsidRPr="00D5785C" w14:paraId="15DD1128" w14:textId="77777777" w:rsidTr="00CE0168">
        <w:trPr>
          <w:trHeight w:val="367"/>
        </w:trPr>
        <w:tc>
          <w:tcPr>
            <w:tcW w:w="0" w:type="auto"/>
          </w:tcPr>
          <w:p w14:paraId="7A000139" w14:textId="77777777" w:rsidR="000C7888" w:rsidRPr="004910F9" w:rsidRDefault="000C7888" w:rsidP="00CE0168">
            <w:pPr>
              <w:rPr>
                <w:lang w:eastAsia="en-CA"/>
              </w:rPr>
            </w:pPr>
          </w:p>
        </w:tc>
        <w:tc>
          <w:tcPr>
            <w:tcW w:w="0" w:type="auto"/>
            <w:noWrap/>
            <w:hideMark/>
          </w:tcPr>
          <w:p w14:paraId="6D3BCE48" w14:textId="77777777" w:rsidR="000C7888" w:rsidRPr="004910F9" w:rsidRDefault="000C7888" w:rsidP="00CE0168">
            <w:pPr>
              <w:rPr>
                <w:lang w:eastAsia="en-CA"/>
              </w:rPr>
            </w:pPr>
            <w:r w:rsidRPr="004910F9">
              <w:rPr>
                <w:lang w:eastAsia="en-CA"/>
              </w:rPr>
              <w:t>1</w:t>
            </w:r>
          </w:p>
        </w:tc>
        <w:tc>
          <w:tcPr>
            <w:tcW w:w="0" w:type="auto"/>
            <w:noWrap/>
            <w:hideMark/>
          </w:tcPr>
          <w:p w14:paraId="2A65939F" w14:textId="77777777" w:rsidR="000C7888" w:rsidRPr="004910F9" w:rsidRDefault="000C7888" w:rsidP="00CE0168">
            <w:pPr>
              <w:rPr>
                <w:lang w:eastAsia="en-CA"/>
              </w:rPr>
            </w:pPr>
            <w:r>
              <w:rPr>
                <w:lang w:eastAsia="en-CA"/>
              </w:rPr>
              <w:t>6047</w:t>
            </w:r>
          </w:p>
        </w:tc>
      </w:tr>
      <w:tr w:rsidR="000C7888" w:rsidRPr="00D5785C" w14:paraId="0C756374" w14:textId="77777777" w:rsidTr="00CE0168">
        <w:trPr>
          <w:trHeight w:val="367"/>
        </w:trPr>
        <w:tc>
          <w:tcPr>
            <w:tcW w:w="0" w:type="auto"/>
          </w:tcPr>
          <w:p w14:paraId="5CE7EF91" w14:textId="77777777" w:rsidR="000C7888" w:rsidRPr="004910F9" w:rsidRDefault="000C7888" w:rsidP="00CE0168">
            <w:pPr>
              <w:rPr>
                <w:lang w:eastAsia="en-CA"/>
              </w:rPr>
            </w:pPr>
          </w:p>
        </w:tc>
        <w:tc>
          <w:tcPr>
            <w:tcW w:w="0" w:type="auto"/>
            <w:noWrap/>
            <w:hideMark/>
          </w:tcPr>
          <w:p w14:paraId="48DE64D1" w14:textId="77777777" w:rsidR="000C7888" w:rsidRPr="004910F9" w:rsidRDefault="000C7888" w:rsidP="00CE0168">
            <w:pPr>
              <w:rPr>
                <w:lang w:eastAsia="en-CA"/>
              </w:rPr>
            </w:pPr>
            <w:r w:rsidRPr="004910F9">
              <w:rPr>
                <w:lang w:eastAsia="en-CA"/>
              </w:rPr>
              <w:t>2</w:t>
            </w:r>
          </w:p>
        </w:tc>
        <w:tc>
          <w:tcPr>
            <w:tcW w:w="0" w:type="auto"/>
            <w:noWrap/>
            <w:hideMark/>
          </w:tcPr>
          <w:p w14:paraId="16CE8949" w14:textId="77777777" w:rsidR="000C7888" w:rsidRPr="004910F9" w:rsidRDefault="000C7888" w:rsidP="00CE0168">
            <w:pPr>
              <w:rPr>
                <w:lang w:eastAsia="en-CA"/>
              </w:rPr>
            </w:pPr>
            <w:r>
              <w:rPr>
                <w:lang w:eastAsia="en-CA"/>
              </w:rPr>
              <w:t>3187</w:t>
            </w:r>
          </w:p>
        </w:tc>
      </w:tr>
      <w:tr w:rsidR="000C7888" w:rsidRPr="00D5785C" w14:paraId="264F5E94" w14:textId="77777777" w:rsidTr="00CE0168">
        <w:trPr>
          <w:trHeight w:val="367"/>
        </w:trPr>
        <w:tc>
          <w:tcPr>
            <w:tcW w:w="0" w:type="auto"/>
          </w:tcPr>
          <w:p w14:paraId="0E7519E2" w14:textId="77777777" w:rsidR="000C7888" w:rsidRPr="004910F9" w:rsidRDefault="000C7888" w:rsidP="00CE0168">
            <w:pPr>
              <w:rPr>
                <w:lang w:eastAsia="en-CA"/>
              </w:rPr>
            </w:pPr>
            <w:r w:rsidRPr="004910F9">
              <w:rPr>
                <w:lang w:eastAsia="en-CA"/>
              </w:rPr>
              <w:t>An</w:t>
            </w:r>
            <w:r>
              <w:rPr>
                <w:lang w:eastAsia="en-CA"/>
              </w:rPr>
              <w:t>a</w:t>
            </w:r>
            <w:r w:rsidRPr="004910F9">
              <w:rPr>
                <w:lang w:eastAsia="en-CA"/>
              </w:rPr>
              <w:t>emia*</w:t>
            </w:r>
            <w:r>
              <w:rPr>
                <w:lang w:eastAsia="en-CA"/>
              </w:rPr>
              <w:t>**</w:t>
            </w:r>
          </w:p>
        </w:tc>
        <w:tc>
          <w:tcPr>
            <w:tcW w:w="0" w:type="auto"/>
            <w:noWrap/>
            <w:hideMark/>
          </w:tcPr>
          <w:p w14:paraId="3D6EA42E" w14:textId="77777777" w:rsidR="000C7888" w:rsidRPr="004910F9" w:rsidRDefault="000C7888" w:rsidP="00CE0168">
            <w:pPr>
              <w:rPr>
                <w:lang w:eastAsia="en-CA"/>
              </w:rPr>
            </w:pPr>
            <w:r w:rsidRPr="004910F9">
              <w:rPr>
                <w:lang w:eastAsia="en-CA"/>
              </w:rPr>
              <w:t>No</w:t>
            </w:r>
          </w:p>
        </w:tc>
        <w:tc>
          <w:tcPr>
            <w:tcW w:w="0" w:type="auto"/>
            <w:noWrap/>
            <w:hideMark/>
          </w:tcPr>
          <w:p w14:paraId="589D5193" w14:textId="77777777" w:rsidR="000C7888" w:rsidRPr="004910F9" w:rsidRDefault="000C7888" w:rsidP="00CE0168">
            <w:pPr>
              <w:rPr>
                <w:lang w:eastAsia="en-CA"/>
              </w:rPr>
            </w:pPr>
            <w:r>
              <w:rPr>
                <w:lang w:eastAsia="en-CA"/>
              </w:rPr>
              <w:t>7300</w:t>
            </w:r>
          </w:p>
        </w:tc>
      </w:tr>
      <w:tr w:rsidR="000C7888" w:rsidRPr="00D5785C" w14:paraId="2B4587C2" w14:textId="77777777" w:rsidTr="00CE0168">
        <w:trPr>
          <w:trHeight w:val="367"/>
        </w:trPr>
        <w:tc>
          <w:tcPr>
            <w:tcW w:w="0" w:type="auto"/>
          </w:tcPr>
          <w:p w14:paraId="4DEC1600" w14:textId="77777777" w:rsidR="000C7888" w:rsidRPr="004910F9" w:rsidRDefault="000C7888" w:rsidP="00CE0168">
            <w:pPr>
              <w:rPr>
                <w:lang w:eastAsia="en-CA"/>
              </w:rPr>
            </w:pPr>
          </w:p>
        </w:tc>
        <w:tc>
          <w:tcPr>
            <w:tcW w:w="0" w:type="auto"/>
            <w:noWrap/>
            <w:hideMark/>
          </w:tcPr>
          <w:p w14:paraId="7514EDB7" w14:textId="77777777" w:rsidR="000C7888" w:rsidRPr="004910F9" w:rsidRDefault="000C7888" w:rsidP="00CE0168">
            <w:pPr>
              <w:rPr>
                <w:lang w:eastAsia="en-CA"/>
              </w:rPr>
            </w:pPr>
            <w:r w:rsidRPr="004910F9">
              <w:rPr>
                <w:lang w:eastAsia="en-CA"/>
              </w:rPr>
              <w:t>Yes</w:t>
            </w:r>
          </w:p>
        </w:tc>
        <w:tc>
          <w:tcPr>
            <w:tcW w:w="0" w:type="auto"/>
            <w:noWrap/>
            <w:hideMark/>
          </w:tcPr>
          <w:p w14:paraId="3EF07F04" w14:textId="77777777" w:rsidR="000C7888" w:rsidRPr="004910F9" w:rsidRDefault="000C7888" w:rsidP="00CE0168">
            <w:pPr>
              <w:rPr>
                <w:lang w:eastAsia="en-CA"/>
              </w:rPr>
            </w:pPr>
            <w:r>
              <w:rPr>
                <w:lang w:eastAsia="en-CA"/>
              </w:rPr>
              <w:t>6655</w:t>
            </w:r>
          </w:p>
        </w:tc>
      </w:tr>
      <w:tr w:rsidR="003A60CD" w:rsidRPr="00D5785C" w14:paraId="6498F957" w14:textId="77777777" w:rsidTr="00037832">
        <w:trPr>
          <w:trHeight w:val="367"/>
        </w:trPr>
        <w:tc>
          <w:tcPr>
            <w:tcW w:w="0" w:type="auto"/>
          </w:tcPr>
          <w:p w14:paraId="2575E602" w14:textId="77777777" w:rsidR="003A60CD" w:rsidRPr="00037832" w:rsidRDefault="003A60CD" w:rsidP="00D666F3">
            <w:r w:rsidRPr="00037832">
              <w:t>Age</w:t>
            </w:r>
            <w:r w:rsidR="006C61F6" w:rsidRPr="00037832">
              <w:t xml:space="preserve"> at time of treatment</w:t>
            </w:r>
          </w:p>
        </w:tc>
        <w:tc>
          <w:tcPr>
            <w:tcW w:w="0" w:type="auto"/>
            <w:noWrap/>
            <w:hideMark/>
          </w:tcPr>
          <w:p w14:paraId="3705ADF9" w14:textId="77777777" w:rsidR="003A60CD" w:rsidRPr="00037832" w:rsidRDefault="00BC27AB" w:rsidP="00D666F3">
            <w:r w:rsidRPr="00037832">
              <w:t>&lt;</w:t>
            </w:r>
            <w:r w:rsidR="003A60CD" w:rsidRPr="00037832">
              <w:t xml:space="preserve"> 5 years</w:t>
            </w:r>
          </w:p>
        </w:tc>
        <w:tc>
          <w:tcPr>
            <w:tcW w:w="0" w:type="auto"/>
            <w:noWrap/>
            <w:hideMark/>
          </w:tcPr>
          <w:p w14:paraId="6FEFFBBA" w14:textId="77777777" w:rsidR="003A60CD" w:rsidRPr="00037832" w:rsidRDefault="003A60CD" w:rsidP="00D666F3">
            <w:r w:rsidRPr="00037832">
              <w:t>2448</w:t>
            </w:r>
          </w:p>
        </w:tc>
      </w:tr>
      <w:tr w:rsidR="000C7888" w:rsidRPr="00D5785C" w14:paraId="3D96BD05" w14:textId="77777777" w:rsidTr="00CE0168">
        <w:trPr>
          <w:trHeight w:val="367"/>
        </w:trPr>
        <w:tc>
          <w:tcPr>
            <w:tcW w:w="0" w:type="auto"/>
          </w:tcPr>
          <w:p w14:paraId="5BA278AA" w14:textId="77777777" w:rsidR="000C7888" w:rsidRPr="004910F9" w:rsidRDefault="000C7888" w:rsidP="00CE0168">
            <w:pPr>
              <w:rPr>
                <w:lang w:eastAsia="en-CA"/>
              </w:rPr>
            </w:pPr>
          </w:p>
        </w:tc>
        <w:tc>
          <w:tcPr>
            <w:tcW w:w="0" w:type="auto"/>
            <w:noWrap/>
            <w:hideMark/>
          </w:tcPr>
          <w:p w14:paraId="02FBE77B" w14:textId="77777777" w:rsidR="000C7888" w:rsidRPr="004910F9" w:rsidRDefault="000C7888" w:rsidP="00CE0168">
            <w:pPr>
              <w:rPr>
                <w:lang w:eastAsia="en-CA"/>
              </w:rPr>
            </w:pPr>
            <w:r w:rsidRPr="004910F9">
              <w:rPr>
                <w:lang w:eastAsia="en-CA"/>
              </w:rPr>
              <w:t>≥5 years</w:t>
            </w:r>
          </w:p>
        </w:tc>
        <w:tc>
          <w:tcPr>
            <w:tcW w:w="0" w:type="auto"/>
            <w:noWrap/>
            <w:hideMark/>
          </w:tcPr>
          <w:p w14:paraId="14EC055F" w14:textId="77777777" w:rsidR="000C7888" w:rsidRPr="004910F9" w:rsidRDefault="000C7888" w:rsidP="00CE0168">
            <w:pPr>
              <w:rPr>
                <w:lang w:eastAsia="en-CA"/>
              </w:rPr>
            </w:pPr>
            <w:r w:rsidRPr="004910F9">
              <w:rPr>
                <w:lang w:eastAsia="en-CA"/>
              </w:rPr>
              <w:t>11</w:t>
            </w:r>
            <w:r>
              <w:rPr>
                <w:lang w:eastAsia="en-CA"/>
              </w:rPr>
              <w:t>507</w:t>
            </w:r>
          </w:p>
        </w:tc>
      </w:tr>
      <w:tr w:rsidR="000C7888" w:rsidRPr="00D5785C" w14:paraId="7B653FF0" w14:textId="77777777" w:rsidTr="00CE0168">
        <w:trPr>
          <w:trHeight w:val="367"/>
        </w:trPr>
        <w:tc>
          <w:tcPr>
            <w:tcW w:w="0" w:type="auto"/>
          </w:tcPr>
          <w:p w14:paraId="5ADE3970" w14:textId="77777777" w:rsidR="000C7888" w:rsidRPr="004910F9" w:rsidRDefault="000C7888" w:rsidP="00CE0168">
            <w:pPr>
              <w:rPr>
                <w:lang w:eastAsia="en-CA"/>
              </w:rPr>
            </w:pPr>
            <w:r w:rsidRPr="004910F9">
              <w:rPr>
                <w:lang w:eastAsia="en-CA"/>
              </w:rPr>
              <w:t>Sex</w:t>
            </w:r>
          </w:p>
        </w:tc>
        <w:tc>
          <w:tcPr>
            <w:tcW w:w="0" w:type="auto"/>
            <w:noWrap/>
            <w:hideMark/>
          </w:tcPr>
          <w:p w14:paraId="1A4E689D" w14:textId="77777777" w:rsidR="000C7888" w:rsidRPr="004910F9" w:rsidRDefault="000C7888" w:rsidP="00CE0168">
            <w:pPr>
              <w:rPr>
                <w:lang w:eastAsia="en-CA"/>
              </w:rPr>
            </w:pPr>
            <w:r w:rsidRPr="004910F9">
              <w:rPr>
                <w:lang w:eastAsia="en-CA"/>
              </w:rPr>
              <w:t>Male</w:t>
            </w:r>
          </w:p>
        </w:tc>
        <w:tc>
          <w:tcPr>
            <w:tcW w:w="0" w:type="auto"/>
            <w:noWrap/>
            <w:hideMark/>
          </w:tcPr>
          <w:p w14:paraId="4D100A3A" w14:textId="77777777" w:rsidR="000C7888" w:rsidRPr="004910F9" w:rsidRDefault="000C7888" w:rsidP="00CE0168">
            <w:pPr>
              <w:rPr>
                <w:lang w:eastAsia="en-CA"/>
              </w:rPr>
            </w:pPr>
            <w:r>
              <w:rPr>
                <w:lang w:eastAsia="en-CA"/>
              </w:rPr>
              <w:t>7298</w:t>
            </w:r>
          </w:p>
        </w:tc>
      </w:tr>
      <w:tr w:rsidR="000C7888" w:rsidRPr="00D5785C" w14:paraId="10384785" w14:textId="77777777" w:rsidTr="00CE0168">
        <w:trPr>
          <w:trHeight w:val="368"/>
        </w:trPr>
        <w:tc>
          <w:tcPr>
            <w:tcW w:w="0" w:type="auto"/>
          </w:tcPr>
          <w:p w14:paraId="7652D777" w14:textId="77777777" w:rsidR="000C7888" w:rsidRPr="004910F9" w:rsidRDefault="000C7888" w:rsidP="00CE0168">
            <w:pPr>
              <w:rPr>
                <w:lang w:eastAsia="en-CA"/>
              </w:rPr>
            </w:pPr>
          </w:p>
        </w:tc>
        <w:tc>
          <w:tcPr>
            <w:tcW w:w="0" w:type="auto"/>
            <w:noWrap/>
            <w:hideMark/>
          </w:tcPr>
          <w:p w14:paraId="6320E50B" w14:textId="77777777" w:rsidR="000C7888" w:rsidRPr="004910F9" w:rsidRDefault="000C7888" w:rsidP="00CE0168">
            <w:pPr>
              <w:rPr>
                <w:lang w:eastAsia="en-CA"/>
              </w:rPr>
            </w:pPr>
            <w:r w:rsidRPr="004910F9">
              <w:rPr>
                <w:lang w:eastAsia="en-CA"/>
              </w:rPr>
              <w:t xml:space="preserve">Female </w:t>
            </w:r>
          </w:p>
        </w:tc>
        <w:tc>
          <w:tcPr>
            <w:tcW w:w="0" w:type="auto"/>
            <w:noWrap/>
            <w:hideMark/>
          </w:tcPr>
          <w:p w14:paraId="7FFFB7BA" w14:textId="77777777" w:rsidR="000C7888" w:rsidRPr="004910F9" w:rsidRDefault="000C7888" w:rsidP="00CE0168">
            <w:pPr>
              <w:rPr>
                <w:lang w:eastAsia="en-CA"/>
              </w:rPr>
            </w:pPr>
            <w:r>
              <w:rPr>
                <w:lang w:eastAsia="en-CA"/>
              </w:rPr>
              <w:t>6657</w:t>
            </w:r>
          </w:p>
        </w:tc>
      </w:tr>
    </w:tbl>
    <w:p w14:paraId="5A1C70D6" w14:textId="77777777" w:rsidR="000C7888" w:rsidRDefault="000C7888" w:rsidP="000C7888">
      <w:r>
        <w:t>*</w:t>
      </w:r>
      <w:proofErr w:type="spellStart"/>
      <w:r>
        <w:t>epg</w:t>
      </w:r>
      <w:proofErr w:type="spellEnd"/>
      <w:r>
        <w:t xml:space="preserve">: eggs per gram of stool, </w:t>
      </w:r>
    </w:p>
    <w:p w14:paraId="1021B270" w14:textId="77777777" w:rsidR="000C7888" w:rsidRDefault="000C7888" w:rsidP="000C7888">
      <w:r>
        <w:t>**“Anyworm” is a variable indicating children with no detected STH infection of any type of STH, light intensity using WHO</w:t>
      </w:r>
      <w:r w:rsidRPr="00CE0168">
        <w:rPr>
          <w:lang w:val="en-GB"/>
        </w:rPr>
        <w:t xml:space="preserve"> </w:t>
      </w:r>
      <w:r w:rsidR="00CE0168" w:rsidRPr="00CE0168">
        <w:rPr>
          <w:lang w:val="en-GB"/>
        </w:rPr>
        <w:t>cut-offs</w:t>
      </w:r>
      <w:r>
        <w:t xml:space="preserve"> for each type of STH, or moderate or heavy infection intensity for any type of STH, </w:t>
      </w:r>
    </w:p>
    <w:p w14:paraId="77C72D5A" w14:textId="52049858" w:rsidR="000C7888" w:rsidRDefault="000C7888" w:rsidP="000C7888">
      <w:r>
        <w:t xml:space="preserve">***Anaemia </w:t>
      </w:r>
      <w:r w:rsidR="00CE0168">
        <w:t>cut points</w:t>
      </w:r>
      <w:r>
        <w:t xml:space="preserve"> defined on the basis of age and sex using WHO guidelines</w:t>
      </w:r>
      <w:r w:rsidR="00F0062F">
        <w:fldChar w:fldCharType="begin"/>
      </w:r>
      <w:r w:rsidR="00F0062F">
        <w:instrText xml:space="preserve"> ADDIN EN.CITE &lt;EndNote&gt;&lt;Cite&gt;&lt;Author&gt;World Health Organization&lt;/Author&gt;&lt;Year&gt;2011&lt;/Year&gt;&lt;RecNum&gt;16&lt;/RecNum&gt;&lt;DisplayText&gt;(16)&lt;/DisplayText&gt;&lt;record&gt;&lt;rec-number&gt;16&lt;/rec-number&gt;&lt;foreign-keys&gt;&lt;key app="EN" db-id="esezwrfeppt5a0ee92qx55shpt2wawp2txd5" timestamp="1561122246"&gt;16&lt;/key&gt;&lt;/foreign-keys&gt;&lt;ref-type name="Electronic Source"&gt;12&lt;/ref-type&gt;&lt;contributors&gt;&lt;authors&gt;&lt;author&gt;World Health Organization,&lt;/author&gt;&lt;/authors&gt;&lt;/contributors&gt;&lt;titles&gt;&lt;title&gt;Haemoglobin concentrations for the diagnosis of anaemia and assessment of severity&lt;/title&gt;&lt;/titles&gt;&lt;dates&gt;&lt;year&gt;2011&lt;/year&gt;&lt;/dates&gt;&lt;urls&gt;&lt;related-urls&gt;&lt;url&gt;http://www.who.int/vmnis/indicators/haemoglobin/en/&lt;/url&gt;&lt;/related-urls&gt;&lt;/urls&gt;&lt;custom2&gt;September 12, 2018&lt;/custom2&gt;&lt;/record&gt;&lt;/Cite&gt;&lt;/EndNote&gt;</w:instrText>
      </w:r>
      <w:r w:rsidR="00F0062F">
        <w:fldChar w:fldCharType="separate"/>
      </w:r>
      <w:r w:rsidR="00F0062F">
        <w:rPr>
          <w:noProof/>
        </w:rPr>
        <w:t>(</w:t>
      </w:r>
      <w:hyperlink w:anchor="_ENREF_16" w:tooltip="World Health Organization, 2011 #16" w:history="1">
        <w:r w:rsidR="00BD5A89">
          <w:rPr>
            <w:noProof/>
          </w:rPr>
          <w:t>16</w:t>
        </w:r>
      </w:hyperlink>
      <w:r w:rsidR="00F0062F">
        <w:rPr>
          <w:noProof/>
        </w:rPr>
        <w:t>)</w:t>
      </w:r>
      <w:r w:rsidR="00F0062F">
        <w:fldChar w:fldCharType="end"/>
      </w:r>
      <w:r>
        <w:t xml:space="preserve"> </w:t>
      </w:r>
    </w:p>
    <w:p w14:paraId="2F23DE84" w14:textId="77777777" w:rsidR="000C7888" w:rsidRPr="00E7095C" w:rsidRDefault="000C7888" w:rsidP="000C7888">
      <w:pPr>
        <w:pStyle w:val="Caption"/>
        <w:rPr>
          <w:sz w:val="22"/>
          <w:szCs w:val="22"/>
        </w:rPr>
      </w:pPr>
      <w:r>
        <w:br w:type="page"/>
      </w:r>
    </w:p>
    <w:p w14:paraId="0E1C3B5C" w14:textId="77777777" w:rsidR="000C7888" w:rsidRDefault="000C7888" w:rsidP="000C7888">
      <w:pPr>
        <w:spacing w:before="120" w:after="120" w:line="240" w:lineRule="auto"/>
        <w:rPr>
          <w:i/>
        </w:rPr>
        <w:sectPr w:rsidR="000C7888" w:rsidSect="00037832">
          <w:footerReference w:type="default" r:id="rId10"/>
          <w:pgSz w:w="12240" w:h="15840"/>
          <w:pgMar w:top="1440" w:right="1440" w:bottom="1440" w:left="1440" w:header="708" w:footer="708" w:gutter="0"/>
          <w:lnNumType w:countBy="1" w:restart="continuous"/>
          <w:cols w:space="708"/>
          <w:docGrid w:linePitch="360"/>
        </w:sectPr>
      </w:pPr>
    </w:p>
    <w:p w14:paraId="6C1DDDE2" w14:textId="77777777" w:rsidR="000C7888" w:rsidRPr="00BC2403" w:rsidRDefault="000C7888" w:rsidP="000C7888">
      <w:pPr>
        <w:pStyle w:val="Heading2"/>
        <w:rPr>
          <w:rFonts w:asciiTheme="minorHAnsi" w:hAnsiTheme="minorHAnsi"/>
          <w:i w:val="0"/>
        </w:rPr>
      </w:pPr>
      <w:r w:rsidRPr="00BC2403">
        <w:rPr>
          <w:rFonts w:asciiTheme="minorHAnsi" w:hAnsiTheme="minorHAnsi"/>
          <w:i w:val="0"/>
          <w:lang w:val="en-US"/>
        </w:rPr>
        <w:lastRenderedPageBreak/>
        <w:t>Risk of bias</w:t>
      </w:r>
    </w:p>
    <w:p w14:paraId="31B711C7" w14:textId="415CB574" w:rsidR="00D077E6" w:rsidRPr="00B70704" w:rsidRDefault="00D077E6" w:rsidP="007309C5">
      <w:pPr>
        <w:spacing w:line="480" w:lineRule="auto"/>
      </w:pPr>
      <w:r w:rsidRPr="00B70704">
        <w:t xml:space="preserve">Overall risk of bias was low.  </w:t>
      </w:r>
      <w:r w:rsidR="008D3AA8" w:rsidRPr="00B70704">
        <w:t>The risk of a</w:t>
      </w:r>
      <w:r w:rsidRPr="00B70704">
        <w:t xml:space="preserve">ttrition bias was high in </w:t>
      </w:r>
      <w:r w:rsidR="006A108B" w:rsidRPr="00B70704">
        <w:t>7 of 19</w:t>
      </w:r>
      <w:r w:rsidRPr="00B70704">
        <w:t xml:space="preserve"> studies</w:t>
      </w:r>
      <w:r w:rsidR="009F4821" w:rsidRPr="00B70704">
        <w:t xml:space="preserve"> (</w:t>
      </w:r>
      <w:r w:rsidR="000C7888" w:rsidRPr="00B70704">
        <w:t xml:space="preserve">Fig </w:t>
      </w:r>
      <w:r w:rsidR="000C7888">
        <w:t>3</w:t>
      </w:r>
      <w:r w:rsidR="009F4821" w:rsidRPr="00B70704">
        <w:t>)</w:t>
      </w:r>
      <w:r w:rsidR="003A60CD" w:rsidRPr="00B70704">
        <w:t xml:space="preserve">.  </w:t>
      </w:r>
      <w:r w:rsidRPr="00B70704">
        <w:t>A funnel plot for STH deworming vs</w:t>
      </w:r>
      <w:r w:rsidR="00AC3EE3" w:rsidRPr="00B70704">
        <w:t>.</w:t>
      </w:r>
      <w:r w:rsidRPr="00B70704">
        <w:t xml:space="preserve"> placebo did not show evidence of publication bias.  </w:t>
      </w:r>
      <w:r w:rsidR="004C64E3" w:rsidRPr="00B70704">
        <w:t>W</w:t>
      </w:r>
      <w:r w:rsidR="008702B4" w:rsidRPr="00B70704">
        <w:t xml:space="preserve">e obtained unpublished data on nutritional outcomes from </w:t>
      </w:r>
      <w:r w:rsidR="00A3338A">
        <w:t>8</w:t>
      </w:r>
      <w:r w:rsidR="00A3338A" w:rsidRPr="00B70704">
        <w:t xml:space="preserve"> </w:t>
      </w:r>
      <w:r w:rsidR="008702B4" w:rsidRPr="00B70704">
        <w:t>studies</w:t>
      </w:r>
      <w:r w:rsidR="004C64E3" w:rsidRPr="00B70704">
        <w:t xml:space="preserve"> suggesting selective outcome reporting is an issue</w:t>
      </w:r>
      <w:r w:rsidR="00EB3807">
        <w:t xml:space="preserve"> in this area</w:t>
      </w:r>
      <w:r w:rsidR="008702B4" w:rsidRPr="00B70704">
        <w:t>.</w:t>
      </w:r>
      <w:r w:rsidR="000C7888">
        <w:t xml:space="preserve"> </w:t>
      </w:r>
      <w:r w:rsidR="000C7888">
        <w:br/>
      </w:r>
    </w:p>
    <w:p w14:paraId="3123738F" w14:textId="694DAFD1" w:rsidR="000C7888" w:rsidRPr="00BC2403" w:rsidRDefault="000C7888" w:rsidP="000C7888">
      <w:pPr>
        <w:spacing w:line="480" w:lineRule="auto"/>
        <w:rPr>
          <w:b/>
        </w:rPr>
      </w:pPr>
      <w:r w:rsidRPr="00BC2403">
        <w:rPr>
          <w:b/>
        </w:rPr>
        <w:t>Fig 3: Risk</w:t>
      </w:r>
      <w:r w:rsidR="002B25E1" w:rsidRPr="00037832">
        <w:rPr>
          <w:b/>
        </w:rPr>
        <w:t xml:space="preserve"> of </w:t>
      </w:r>
      <w:r w:rsidRPr="00BC2403">
        <w:rPr>
          <w:b/>
        </w:rPr>
        <w:t>bias graph</w:t>
      </w:r>
      <w:r>
        <w:rPr>
          <w:b/>
        </w:rPr>
        <w:t xml:space="preserve"> </w:t>
      </w:r>
      <w:r>
        <w:rPr>
          <w:b/>
        </w:rPr>
        <w:br/>
      </w:r>
    </w:p>
    <w:p w14:paraId="38151409" w14:textId="77777777" w:rsidR="000C7888" w:rsidRPr="00BC2403" w:rsidRDefault="000C7888" w:rsidP="000C7888">
      <w:pPr>
        <w:pStyle w:val="Heading2"/>
        <w:rPr>
          <w:rFonts w:asciiTheme="minorHAnsi" w:hAnsiTheme="minorHAnsi"/>
          <w:i w:val="0"/>
        </w:rPr>
      </w:pPr>
      <w:r w:rsidRPr="00BC2403">
        <w:rPr>
          <w:rFonts w:asciiTheme="minorHAnsi" w:hAnsiTheme="minorHAnsi"/>
          <w:i w:val="0"/>
        </w:rPr>
        <w:t>Evidence network</w:t>
      </w:r>
    </w:p>
    <w:p w14:paraId="7EA4AE31" w14:textId="11FFFCCB" w:rsidR="00912CCC" w:rsidRPr="00B70704" w:rsidRDefault="0058392D" w:rsidP="007309C5">
      <w:pPr>
        <w:spacing w:line="480" w:lineRule="auto"/>
      </w:pPr>
      <w:r>
        <w:t>W</w:t>
      </w:r>
      <w:r w:rsidR="0027388F">
        <w:t xml:space="preserve">e decided on the evidence network </w:t>
      </w:r>
      <w:r>
        <w:t xml:space="preserve">of six nodes as the base case </w:t>
      </w:r>
      <w:r w:rsidR="0027388F">
        <w:t>with our advisory board</w:t>
      </w:r>
      <w:r>
        <w:t xml:space="preserve"> </w:t>
      </w:r>
      <w:r w:rsidR="0027388F">
        <w:t xml:space="preserve">based on clinical </w:t>
      </w:r>
      <w:r>
        <w:t xml:space="preserve">and methodological </w:t>
      </w:r>
      <w:r w:rsidR="0027388F">
        <w:t>reasons</w:t>
      </w:r>
      <w:r w:rsidR="007911AB">
        <w:t xml:space="preserve"> </w:t>
      </w:r>
      <w:r w:rsidR="00F0062F">
        <w:fldChar w:fldCharType="begin"/>
      </w:r>
      <w:r w:rsidR="00F0062F">
        <w:instrText xml:space="preserve"> ADDIN EN.CITE &lt;EndNote&gt;&lt;Cite&gt;&lt;Author&gt;Rouse&lt;/Author&gt;&lt;Year&gt;2017&lt;/Year&gt;&lt;RecNum&gt;20&lt;/RecNum&gt;&lt;DisplayText&gt;(20)&lt;/DisplayText&gt;&lt;record&gt;&lt;rec-number&gt;20&lt;/rec-number&gt;&lt;foreign-keys&gt;&lt;key app="EN" db-id="esezwrfeppt5a0ee92qx55shpt2wawp2txd5" timestamp="1561122247"&gt;20&lt;/key&gt;&lt;/foreign-keys&gt;&lt;ref-type name="Journal Article"&gt;17&lt;/ref-type&gt;&lt;contributors&gt;&lt;authors&gt;&lt;author&gt;Rouse, Benjamin&lt;/author&gt;&lt;author&gt;Chaimani, Anna&lt;/author&gt;&lt;author&gt;Li, Tianjing %J Internal&lt;/author&gt;&lt;author&gt;emergency medicine&lt;/author&gt;&lt;/authors&gt;&lt;/contributors&gt;&lt;titles&gt;&lt;title&gt;Network meta-analysis: an introduction for clinicians&lt;/title&gt;&lt;/titles&gt;&lt;pages&gt;103-111&lt;/pages&gt;&lt;volume&gt;12&lt;/volume&gt;&lt;number&gt;1&lt;/number&gt;&lt;dates&gt;&lt;year&gt;2017&lt;/year&gt;&lt;/dates&gt;&lt;isbn&gt;1828-0447&lt;/isbn&gt;&lt;urls&gt;&lt;/urls&gt;&lt;/record&gt;&lt;/Cite&gt;&lt;/EndNote&gt;</w:instrText>
      </w:r>
      <w:r w:rsidR="00F0062F">
        <w:fldChar w:fldCharType="separate"/>
      </w:r>
      <w:r w:rsidR="00F0062F">
        <w:rPr>
          <w:noProof/>
        </w:rPr>
        <w:t>(</w:t>
      </w:r>
      <w:hyperlink w:anchor="_ENREF_20" w:tooltip="Rouse, 2017 #20" w:history="1">
        <w:r w:rsidR="00BD5A89">
          <w:rPr>
            <w:noProof/>
          </w:rPr>
          <w:t>20</w:t>
        </w:r>
      </w:hyperlink>
      <w:r w:rsidR="00F0062F">
        <w:rPr>
          <w:noProof/>
        </w:rPr>
        <w:t>)</w:t>
      </w:r>
      <w:r w:rsidR="00F0062F">
        <w:fldChar w:fldCharType="end"/>
      </w:r>
      <w:r w:rsidR="0027388F">
        <w:t xml:space="preserve">. </w:t>
      </w:r>
      <w:r w:rsidR="00DB712C">
        <w:t>This is described as a deviation from our protocol (S1</w:t>
      </w:r>
      <w:r w:rsidR="0080066D">
        <w:t xml:space="preserve"> Appendix</w:t>
      </w:r>
      <w:r w:rsidR="00DB712C">
        <w:t xml:space="preserve">) since the method for developing the evidence network was not described in our </w:t>
      </w:r>
      <w:r w:rsidR="00DB712C" w:rsidRPr="00DB712C">
        <w:rPr>
          <w:i/>
        </w:rPr>
        <w:t>a priori</w:t>
      </w:r>
      <w:r w:rsidR="00DB712C">
        <w:t xml:space="preserve"> protocol</w:t>
      </w:r>
      <w:r w:rsidR="00F0062F">
        <w:fldChar w:fldCharType="begin"/>
      </w:r>
      <w:r w:rsidR="00F0062F">
        <w:instrText xml:space="preserve"> ADDIN EN.CITE &lt;EndNote&gt;&lt;Cite&gt;&lt;Author&gt;Welch&lt;/Author&gt;&lt;Year&gt;2018&lt;/Year&gt;&lt;RecNum&gt;12&lt;/RecNum&gt;&lt;DisplayText&gt;(12)&lt;/DisplayText&gt;&lt;record&gt;&lt;rec-number&gt;12&lt;/rec-number&gt;&lt;foreign-keys&gt;&lt;key app="EN" db-id="esezwrfeppt5a0ee92qx55shpt2wawp2txd5" timestamp="1561122246"&gt;12&lt;/key&gt;&lt;/foreign-keys&gt;&lt;ref-type name="Journal Article"&gt;17&lt;/ref-type&gt;&lt;contributors&gt;&lt;authors&gt;&lt;author&gt;Welch, Vivian.&lt;/author&gt;&lt;author&gt;Ghogomu, Elizabeth.&lt;/author&gt;&lt;author&gt;Hossain, Alomgir.&lt;/author&gt;&lt;author&gt;Arora, Paul.&lt;/author&gt;&lt;author&gt;Cousens, Simon.&lt;/author&gt;&lt;author&gt;Gaffey, Michelle.&lt;/author&gt;&lt;author&gt;Riddle, Alison.&lt;/author&gt;&lt;author&gt;Salam, Rehana.&lt;/author&gt;&lt;author&gt;Tugwell, Peter.&lt;/author&gt;&lt;author&gt;Bhutta, Zulfiqar.&lt;/author&gt;&lt;author&gt;Wells, George.&lt;/author&gt;&lt;/authors&gt;&lt;/contributors&gt;&lt;titles&gt;&lt;title&gt;Mass deworming for improving health and cognition of children in endemic helminth areas: a systematic review and individual participant data network meta-analysis&lt;/title&gt;&lt;secondary-title&gt;Campbell Systematic Reviews &lt;/secondary-title&gt;&lt;/titles&gt;&lt;periodical&gt;&lt;full-title&gt;Campbell Systematic Reviews&lt;/full-title&gt;&lt;/periodical&gt;&lt;volume&gt;2018:4&lt;/volume&gt;&lt;dates&gt;&lt;year&gt;2018&lt;/year&gt;&lt;/dates&gt;&lt;urls&gt;&lt;/urls&gt;&lt;/record&gt;&lt;/Cite&gt;&lt;/EndNote&gt;</w:instrText>
      </w:r>
      <w:r w:rsidR="00F0062F">
        <w:fldChar w:fldCharType="separate"/>
      </w:r>
      <w:r w:rsidR="00F0062F">
        <w:rPr>
          <w:noProof/>
        </w:rPr>
        <w:t>(</w:t>
      </w:r>
      <w:hyperlink w:anchor="_ENREF_12" w:tooltip="Welch, 2018 #12" w:history="1">
        <w:r w:rsidR="00BD5A89">
          <w:rPr>
            <w:noProof/>
          </w:rPr>
          <w:t>12</w:t>
        </w:r>
      </w:hyperlink>
      <w:r w:rsidR="00F0062F">
        <w:rPr>
          <w:noProof/>
        </w:rPr>
        <w:t>)</w:t>
      </w:r>
      <w:r w:rsidR="00F0062F">
        <w:fldChar w:fldCharType="end"/>
      </w:r>
      <w:r w:rsidR="00DB712C">
        <w:t xml:space="preserve">.  </w:t>
      </w:r>
      <w:r w:rsidR="0027388F">
        <w:t xml:space="preserve"> </w:t>
      </w:r>
      <w:r>
        <w:t>We tested whether our findings were robust to using t</w:t>
      </w:r>
      <w:r w:rsidR="000C7888" w:rsidRPr="00B70704">
        <w:t>h</w:t>
      </w:r>
      <w:r w:rsidR="000C7888">
        <w:t>e full</w:t>
      </w:r>
      <w:r w:rsidR="000F3070" w:rsidRPr="00B70704">
        <w:t xml:space="preserve"> evidence network </w:t>
      </w:r>
      <w:r>
        <w:t xml:space="preserve">which </w:t>
      </w:r>
      <w:r w:rsidR="000F3070" w:rsidRPr="00B70704">
        <w:t>consisted of 18 nodes for 19 RCTs</w:t>
      </w:r>
      <w:r w:rsidR="003922B1" w:rsidRPr="00B70704">
        <w:t xml:space="preserve"> </w:t>
      </w:r>
      <w:r w:rsidR="005025C1" w:rsidRPr="00B70704">
        <w:t>(</w:t>
      </w:r>
      <w:r w:rsidR="000C7888">
        <w:t xml:space="preserve">S1 Fig).  The network </w:t>
      </w:r>
      <w:r>
        <w:t>of six nodes grouped</w:t>
      </w:r>
      <w:r w:rsidR="000C7888">
        <w:t xml:space="preserve"> all deworming for STH (of any frequency) together, all micronutrients together and all deworming for schistosomiasis together. The six nodes</w:t>
      </w:r>
      <w:r w:rsidR="002A397A" w:rsidRPr="00B70704">
        <w:t xml:space="preserve"> were: 1) placebo, 2) STH deworming alone, 3</w:t>
      </w:r>
      <w:r w:rsidR="00912CCC" w:rsidRPr="00B70704">
        <w:t>) Deworming for schistosomiasis with or without STH deworming,</w:t>
      </w:r>
      <w:r w:rsidR="002A397A" w:rsidRPr="00B70704">
        <w:t xml:space="preserve"> 4</w:t>
      </w:r>
      <w:r w:rsidR="00912CCC" w:rsidRPr="00B70704">
        <w:t>) Deworming for schistosomiasis with any type of iron or micronutrient, 5) STH deworming with any type of micronutrient or iron, and 6) iron or micronutrient alone</w:t>
      </w:r>
      <w:r w:rsidR="002A397A" w:rsidRPr="00B70704">
        <w:t xml:space="preserve"> (</w:t>
      </w:r>
      <w:r w:rsidR="000C7888">
        <w:t>Fig 4</w:t>
      </w:r>
      <w:r w:rsidR="000C7888" w:rsidRPr="00B70704">
        <w:t xml:space="preserve">). </w:t>
      </w:r>
      <w:r w:rsidR="000C7888">
        <w:t xml:space="preserve">We analyzed and compared results for both the </w:t>
      </w:r>
      <w:r>
        <w:t>six-node</w:t>
      </w:r>
      <w:r w:rsidR="000C7888">
        <w:t xml:space="preserve"> and full evidence network.</w:t>
      </w:r>
    </w:p>
    <w:p w14:paraId="60B38B71" w14:textId="77777777" w:rsidR="000C7888" w:rsidRDefault="000C7888" w:rsidP="000C7888">
      <w:pPr>
        <w:spacing w:line="480" w:lineRule="auto"/>
      </w:pPr>
    </w:p>
    <w:p w14:paraId="62F94989" w14:textId="7AE5C181" w:rsidR="000C7888" w:rsidRDefault="000C7888" w:rsidP="000C7888">
      <w:pPr>
        <w:spacing w:line="480" w:lineRule="auto"/>
        <w:rPr>
          <w:b/>
        </w:rPr>
      </w:pPr>
      <w:r w:rsidRPr="00BC2403">
        <w:rPr>
          <w:b/>
        </w:rPr>
        <w:t xml:space="preserve">Fig 4: Evidence network, </w:t>
      </w:r>
      <w:r w:rsidR="0058392D">
        <w:rPr>
          <w:b/>
        </w:rPr>
        <w:t>six-node</w:t>
      </w:r>
    </w:p>
    <w:p w14:paraId="108704A8" w14:textId="77777777" w:rsidR="000C7888" w:rsidRPr="00BC2403" w:rsidRDefault="000C7888" w:rsidP="000C7888">
      <w:pPr>
        <w:spacing w:line="480" w:lineRule="auto"/>
        <w:rPr>
          <w:b/>
        </w:rPr>
      </w:pPr>
    </w:p>
    <w:p w14:paraId="26CA6C7C" w14:textId="77777777" w:rsidR="000C7888" w:rsidRPr="00BC2403" w:rsidRDefault="000C7888" w:rsidP="000C7888">
      <w:pPr>
        <w:pStyle w:val="Heading2"/>
        <w:rPr>
          <w:rFonts w:asciiTheme="minorHAnsi" w:hAnsiTheme="minorHAnsi"/>
          <w:i w:val="0"/>
        </w:rPr>
      </w:pPr>
      <w:r w:rsidRPr="00BC2403">
        <w:rPr>
          <w:rFonts w:asciiTheme="minorHAnsi" w:hAnsiTheme="minorHAnsi"/>
          <w:i w:val="0"/>
        </w:rPr>
        <w:t>Main analysis</w:t>
      </w:r>
    </w:p>
    <w:p w14:paraId="4CC4E837" w14:textId="1D88BE88" w:rsidR="00214C58" w:rsidRPr="00B70704" w:rsidRDefault="000C7888" w:rsidP="007309C5">
      <w:pPr>
        <w:spacing w:line="480" w:lineRule="auto"/>
      </w:pPr>
      <w:r>
        <w:t>In our IPD NMA evidence network</w:t>
      </w:r>
      <w:r w:rsidR="00214C58" w:rsidRPr="00B70704">
        <w:t xml:space="preserve">, the </w:t>
      </w:r>
      <w:r>
        <w:t>results</w:t>
      </w:r>
      <w:r w:rsidR="00214C58" w:rsidRPr="00B70704">
        <w:t xml:space="preserve"> for </w:t>
      </w:r>
      <w:r w:rsidRPr="00B70704">
        <w:t>weight</w:t>
      </w:r>
      <w:r>
        <w:t xml:space="preserve"> of</w:t>
      </w:r>
      <w:r w:rsidRPr="00B70704">
        <w:t xml:space="preserve"> </w:t>
      </w:r>
      <w:r w:rsidR="00214C58" w:rsidRPr="00B70704">
        <w:t xml:space="preserve">STH deworming </w:t>
      </w:r>
      <w:r w:rsidR="008D3AA8" w:rsidRPr="00B70704">
        <w:t xml:space="preserve">alone </w:t>
      </w:r>
      <w:r w:rsidR="00F62802" w:rsidRPr="00B70704">
        <w:t xml:space="preserve">vs. </w:t>
      </w:r>
      <w:r w:rsidR="00214C58" w:rsidRPr="00B70704">
        <w:t>placebo was 0.01 kg (95%CI: -0.08, 0.11)</w:t>
      </w:r>
      <w:r w:rsidR="008702B4" w:rsidRPr="00B70704">
        <w:t xml:space="preserve"> (for other comparisons, </w:t>
      </w:r>
      <w:r w:rsidRPr="00B70704">
        <w:t xml:space="preserve">Fig </w:t>
      </w:r>
      <w:r>
        <w:t>5</w:t>
      </w:r>
      <w:r w:rsidR="008702B4" w:rsidRPr="00B70704">
        <w:t>)</w:t>
      </w:r>
      <w:r w:rsidR="00214C58" w:rsidRPr="00B70704">
        <w:t xml:space="preserve">. The effect on height for STH deworming </w:t>
      </w:r>
      <w:r w:rsidR="008D3AA8" w:rsidRPr="00B70704">
        <w:t xml:space="preserve">alone </w:t>
      </w:r>
      <w:r w:rsidR="00F62802" w:rsidRPr="00B70704">
        <w:t xml:space="preserve">vs. </w:t>
      </w:r>
      <w:r w:rsidR="00214C58" w:rsidRPr="00B70704">
        <w:lastRenderedPageBreak/>
        <w:t>placebo was</w:t>
      </w:r>
      <w:r w:rsidR="00F959C8" w:rsidRPr="00B70704">
        <w:t xml:space="preserve"> 0.09 cm (95%CI: -0.08 to 0.27) (see </w:t>
      </w:r>
      <w:r w:rsidRPr="00B70704">
        <w:t xml:space="preserve">Fig </w:t>
      </w:r>
      <w:r>
        <w:t>5</w:t>
      </w:r>
      <w:r w:rsidR="00F959C8" w:rsidRPr="00B70704">
        <w:t>).</w:t>
      </w:r>
      <w:r w:rsidR="00214C58" w:rsidRPr="00B70704">
        <w:t xml:space="preserve">  For h</w:t>
      </w:r>
      <w:r w:rsidR="00F959C8" w:rsidRPr="00B70704">
        <w:t>a</w:t>
      </w:r>
      <w:r w:rsidR="00214C58" w:rsidRPr="00B70704">
        <w:t xml:space="preserve">emoglobin, the effect of STH deworming alone </w:t>
      </w:r>
      <w:r w:rsidR="00F62802" w:rsidRPr="00B70704">
        <w:t xml:space="preserve">vs. </w:t>
      </w:r>
      <w:r w:rsidR="00214C58" w:rsidRPr="00B70704">
        <w:t xml:space="preserve">placebo was 0.32 g/L (95%CI: -0.63, 1.26).  </w:t>
      </w:r>
      <w:r w:rsidR="004C64E3" w:rsidRPr="00B70704">
        <w:t>When deworming for STH was combined with deworming for schistosomiasis or iron/micronutrients, there were increases in haemoglobin vs. placebo.</w:t>
      </w:r>
      <w:r w:rsidR="007A5ECF" w:rsidRPr="00B70704">
        <w:t xml:space="preserve">  For STH and micronutrients vs. micronutrients alone, the effect was </w:t>
      </w:r>
      <w:r w:rsidR="007A5ECF" w:rsidRPr="00B70704">
        <w:rPr>
          <w:rFonts w:cs="Arial"/>
        </w:rPr>
        <w:t>0.70 g/L (95%CI: -0.72, 2.11</w:t>
      </w:r>
      <w:r w:rsidR="004F3F60" w:rsidRPr="00B70704">
        <w:rPr>
          <w:rFonts w:cs="Arial"/>
        </w:rPr>
        <w:t>;</w:t>
      </w:r>
      <w:r w:rsidR="00CD5A91" w:rsidRPr="00CD5A91">
        <w:t xml:space="preserve"> </w:t>
      </w:r>
      <w:r w:rsidRPr="00B70704">
        <w:t xml:space="preserve">Fig </w:t>
      </w:r>
      <w:r>
        <w:t>5</w:t>
      </w:r>
      <w:r w:rsidR="003A60CD" w:rsidRPr="00B70704">
        <w:t>)</w:t>
      </w:r>
      <w:r w:rsidR="00214C58" w:rsidRPr="00B70704">
        <w:t xml:space="preserve">.  For cognition, </w:t>
      </w:r>
      <w:r w:rsidR="00F959C8" w:rsidRPr="00B70704">
        <w:t>s</w:t>
      </w:r>
      <w:r w:rsidR="00214C58" w:rsidRPr="00B70704">
        <w:t xml:space="preserve">tudies were </w:t>
      </w:r>
      <w:r w:rsidR="000B2324" w:rsidRPr="00B70704">
        <w:t>not</w:t>
      </w:r>
      <w:r w:rsidR="00214C58" w:rsidRPr="00B70704">
        <w:t xml:space="preserve"> pooled since the advisory board felt that </w:t>
      </w:r>
      <w:r w:rsidR="009B4CE8" w:rsidRPr="00B70704">
        <w:t>measures</w:t>
      </w:r>
      <w:r w:rsidR="00214C58" w:rsidRPr="00B70704">
        <w:t xml:space="preserve"> were too different in linguistic translation and implementation</w:t>
      </w:r>
      <w:r w:rsidR="00641412" w:rsidRPr="00B70704">
        <w:t xml:space="preserve"> (</w:t>
      </w:r>
      <w:r>
        <w:t>S3 Table</w:t>
      </w:r>
      <w:r w:rsidR="00641412" w:rsidRPr="004910F9">
        <w:t xml:space="preserve"> for measures</w:t>
      </w:r>
      <w:r w:rsidR="00641412" w:rsidRPr="00B70704">
        <w:t>)</w:t>
      </w:r>
      <w:r w:rsidR="00214C58" w:rsidRPr="00B70704">
        <w:t xml:space="preserve">.  </w:t>
      </w:r>
      <w:r w:rsidR="00847DF0" w:rsidRPr="00B70704">
        <w:t xml:space="preserve">For STH deworming </w:t>
      </w:r>
      <w:r w:rsidR="0035742D" w:rsidRPr="00B70704">
        <w:t xml:space="preserve">alone </w:t>
      </w:r>
      <w:r w:rsidR="00F62802" w:rsidRPr="00B70704">
        <w:t xml:space="preserve">vs. </w:t>
      </w:r>
      <w:r w:rsidR="00847DF0" w:rsidRPr="00B70704">
        <w:t>placebo, there were no clinically meaningful effects ob</w:t>
      </w:r>
      <w:r w:rsidR="009B4CE8" w:rsidRPr="00B70704">
        <w:t xml:space="preserve">served for short-term attention, </w:t>
      </w:r>
      <w:r w:rsidR="00847DF0" w:rsidRPr="00B70704">
        <w:t xml:space="preserve">school achievement or </w:t>
      </w:r>
      <w:r w:rsidR="00153242" w:rsidRPr="00B70704">
        <w:t xml:space="preserve">motor </w:t>
      </w:r>
      <w:r w:rsidR="00847DF0" w:rsidRPr="00B70704">
        <w:t xml:space="preserve">development. One study </w:t>
      </w:r>
      <w:r w:rsidR="007A5ECF" w:rsidRPr="00B70704">
        <w:t>found</w:t>
      </w:r>
      <w:r w:rsidR="00847DF0" w:rsidRPr="00B70704">
        <w:t xml:space="preserve"> </w:t>
      </w:r>
      <w:r w:rsidR="00783369" w:rsidRPr="00B70704">
        <w:t>improved</w:t>
      </w:r>
      <w:r w:rsidR="00847DF0" w:rsidRPr="00B70704">
        <w:t xml:space="preserve"> short-term attention for micronutrient fortification </w:t>
      </w:r>
      <w:r w:rsidR="007A5ECF" w:rsidRPr="00B70704">
        <w:t>and</w:t>
      </w:r>
      <w:r w:rsidR="00847DF0" w:rsidRPr="00B70704">
        <w:t xml:space="preserve"> </w:t>
      </w:r>
      <w:r w:rsidR="007A5ECF" w:rsidRPr="00B70704">
        <w:t xml:space="preserve">STH </w:t>
      </w:r>
      <w:r w:rsidR="00847DF0" w:rsidRPr="00B70704">
        <w:t>deworming compared to placebo</w:t>
      </w:r>
      <w:r w:rsidR="00F0062F">
        <w:fldChar w:fldCharType="begin"/>
      </w:r>
      <w:r w:rsidR="00F0062F">
        <w:instrText xml:space="preserve"> ADDIN EN.CITE &lt;EndNote&gt;&lt;Cite&gt;&lt;Author&gt;Nga&lt;/Author&gt;&lt;Year&gt;2011&lt;/Year&gt;&lt;RecNum&gt;21&lt;/RecNum&gt;&lt;DisplayText&gt;(21)&lt;/DisplayText&gt;&lt;record&gt;&lt;rec-number&gt;21&lt;/rec-number&gt;&lt;foreign-keys&gt;&lt;key app="EN" db-id="esezwrfeppt5a0ee92qx55shpt2wawp2txd5" timestamp="1561122247"&gt;21&lt;/key&gt;&lt;/foreign-keys&gt;&lt;ref-type name="Journal Article"&gt;17&lt;/ref-type&gt;&lt;contributors&gt;&lt;authors&gt;&lt;author&gt;Nga, Tran T.&lt;/author&gt;&lt;author&gt;Winichagoon, Pattanee&lt;/author&gt;&lt;author&gt;Dijkhuizen, Marjoleine A.&lt;/author&gt;&lt;author&gt;Khan, Nguyen C.&lt;/author&gt;&lt;author&gt;Wasantwisut, Emorn&lt;/author&gt;&lt;author&gt;Wieringa, Frank T.&lt;/author&gt;&lt;/authors&gt;&lt;/contributors&gt;&lt;titles&gt;&lt;title&gt;Decreased parasite load and improved cognitive outcomes caused by deworming and consumption of multi-micronutrient fortified biscuits in rural Vietnamese schoolchildren&lt;/title&gt;&lt;secondary-title&gt;The American journal of tropical medicine and hygiene&lt;/secondary-title&gt;&lt;short-title&gt;Decreased parasite load and improved cognitive outcomes caused by deworming and consumption of multi-micronutrient fortified biscuits in rural Vietnamese schoolchildren&lt;/short-title&gt;&lt;/titles&gt;&lt;periodical&gt;&lt;full-title&gt;The American journal of tropical medicine and hygiene&lt;/full-title&gt;&lt;/periodical&gt;&lt;pages&gt;333-340&lt;/pages&gt;&lt;volume&gt;85&lt;/volume&gt;&lt;number&gt;2&lt;/number&gt;&lt;dates&gt;&lt;year&gt;2011&lt;/year&gt;&lt;/dates&gt;&lt;isbn&gt;0002-9637&lt;/isbn&gt;&lt;urls&gt;&lt;/urls&gt;&lt;/record&gt;&lt;/Cite&gt;&lt;/EndNote&gt;</w:instrText>
      </w:r>
      <w:r w:rsidR="00F0062F">
        <w:fldChar w:fldCharType="separate"/>
      </w:r>
      <w:r w:rsidR="00F0062F">
        <w:rPr>
          <w:noProof/>
        </w:rPr>
        <w:t>(</w:t>
      </w:r>
      <w:hyperlink w:anchor="_ENREF_21" w:tooltip="Nga, 2011 #21" w:history="1">
        <w:r w:rsidR="00BD5A89">
          <w:rPr>
            <w:noProof/>
          </w:rPr>
          <w:t>21</w:t>
        </w:r>
      </w:hyperlink>
      <w:r w:rsidR="00F0062F">
        <w:rPr>
          <w:noProof/>
        </w:rPr>
        <w:t>)</w:t>
      </w:r>
      <w:r w:rsidR="00F0062F">
        <w:fldChar w:fldCharType="end"/>
      </w:r>
      <w:r w:rsidRPr="00B70704">
        <w:t>. These cognition analyses were limited by few participants.</w:t>
      </w:r>
      <w:r>
        <w:t xml:space="preserve"> </w:t>
      </w:r>
    </w:p>
    <w:p w14:paraId="08EC604A" w14:textId="77777777" w:rsidR="000C7888" w:rsidRDefault="000C7888" w:rsidP="000C7888">
      <w:pPr>
        <w:spacing w:line="480" w:lineRule="auto"/>
      </w:pPr>
    </w:p>
    <w:p w14:paraId="6F369C1F" w14:textId="77777777" w:rsidR="000C7888" w:rsidRDefault="000C7888" w:rsidP="000C7888">
      <w:pPr>
        <w:spacing w:line="480" w:lineRule="auto"/>
        <w:rPr>
          <w:b/>
        </w:rPr>
      </w:pPr>
      <w:r w:rsidRPr="00BC2403">
        <w:rPr>
          <w:b/>
        </w:rPr>
        <w:t>Fig 5: Main effects on weight (in kg), height (in cm) and haemoglobin (in g/L)</w:t>
      </w:r>
    </w:p>
    <w:p w14:paraId="1D1035AB" w14:textId="77777777" w:rsidR="000C7888" w:rsidRPr="00BC2403" w:rsidRDefault="000C7888" w:rsidP="000C7888">
      <w:pPr>
        <w:spacing w:line="480" w:lineRule="auto"/>
        <w:rPr>
          <w:b/>
        </w:rPr>
      </w:pPr>
    </w:p>
    <w:p w14:paraId="390D65BD" w14:textId="4920FB7E" w:rsidR="00847DF0" w:rsidRDefault="003922B1" w:rsidP="007309C5">
      <w:pPr>
        <w:spacing w:line="480" w:lineRule="auto"/>
      </w:pPr>
      <w:r w:rsidRPr="00B70704">
        <w:t>T</w:t>
      </w:r>
      <w:r w:rsidR="00847DF0" w:rsidRPr="00B70704">
        <w:t xml:space="preserve">he transitivity and consistency assumptions were </w:t>
      </w:r>
      <w:r w:rsidRPr="00B70704">
        <w:t xml:space="preserve">considered </w:t>
      </w:r>
      <w:r w:rsidR="00847DF0" w:rsidRPr="00B70704">
        <w:t xml:space="preserve">plausible based on </w:t>
      </w:r>
      <w:r w:rsidR="00641412" w:rsidRPr="00B70704">
        <w:t>assessing</w:t>
      </w:r>
      <w:r w:rsidR="00847DF0" w:rsidRPr="00B70704">
        <w:t xml:space="preserve"> heterogeneity, consistency of direct and indirect estimates, and distribution of covariates across each </w:t>
      </w:r>
      <w:r w:rsidR="00847DF0" w:rsidRPr="00896AA8">
        <w:t>comparison</w:t>
      </w:r>
      <w:r w:rsidR="00A11115" w:rsidRPr="00896AA8">
        <w:t xml:space="preserve"> (</w:t>
      </w:r>
      <w:r w:rsidR="000C7888">
        <w:t>S4 Table</w:t>
      </w:r>
      <w:r w:rsidR="00A11115" w:rsidRPr="00896AA8">
        <w:t>)</w:t>
      </w:r>
      <w:r w:rsidR="00847DF0" w:rsidRPr="00896AA8">
        <w:t xml:space="preserve">. </w:t>
      </w:r>
      <w:r w:rsidR="00316712" w:rsidRPr="00B70704">
        <w:t>GRADE quality was assessed as moderate for all outcomes</w:t>
      </w:r>
      <w:r w:rsidR="00F959C8" w:rsidRPr="00B70704">
        <w:t xml:space="preserve"> for STH vs placebo</w:t>
      </w:r>
      <w:r w:rsidR="00316712" w:rsidRPr="00B70704">
        <w:t>, downgraded because we obtained only 46% of eligible studies</w:t>
      </w:r>
      <w:r w:rsidR="007A5ECF" w:rsidRPr="00B70704">
        <w:t xml:space="preserve"> (79% of randomized children)</w:t>
      </w:r>
      <w:r w:rsidR="00316712" w:rsidRPr="00B70704">
        <w:t>.</w:t>
      </w:r>
    </w:p>
    <w:p w14:paraId="08C2254C" w14:textId="227611C0" w:rsidR="00B720D7" w:rsidRPr="00037832" w:rsidRDefault="00B720D7" w:rsidP="007309C5">
      <w:pPr>
        <w:spacing w:line="480" w:lineRule="auto"/>
        <w:rPr>
          <w:rFonts w:ascii="Calibri" w:hAnsi="Calibri"/>
          <w:shd w:val="clear" w:color="auto" w:fill="FFFFFF"/>
        </w:rPr>
      </w:pPr>
      <w:r w:rsidRPr="00E9375A">
        <w:rPr>
          <w:rFonts w:ascii="Calibri" w:hAnsi="Calibri"/>
          <w:shd w:val="clear" w:color="auto" w:fill="FFFFFF"/>
        </w:rPr>
        <w:t xml:space="preserve">Analysis of effects on infection prevalence showed variable effectiveness of the different combinations of STH deworming and schistosomiasis deworming on </w:t>
      </w:r>
      <w:r w:rsidRPr="00B01DE4">
        <w:rPr>
          <w:rFonts w:ascii="Calibri" w:hAnsi="Calibri"/>
          <w:i/>
          <w:shd w:val="clear" w:color="auto" w:fill="FFFFFF"/>
        </w:rPr>
        <w:t xml:space="preserve">A. </w:t>
      </w:r>
      <w:r w:rsidR="00B35C1B">
        <w:rPr>
          <w:rFonts w:ascii="Calibri" w:hAnsi="Calibri"/>
          <w:i/>
          <w:shd w:val="clear" w:color="auto" w:fill="FFFFFF"/>
        </w:rPr>
        <w:t>l</w:t>
      </w:r>
      <w:r w:rsidR="000C7888" w:rsidRPr="00B01DE4">
        <w:rPr>
          <w:rFonts w:ascii="Calibri" w:hAnsi="Calibri"/>
          <w:i/>
          <w:shd w:val="clear" w:color="auto" w:fill="FFFFFF"/>
        </w:rPr>
        <w:t>umbricoides</w:t>
      </w:r>
      <w:r w:rsidRPr="00E9375A">
        <w:rPr>
          <w:rFonts w:ascii="Calibri" w:hAnsi="Calibri"/>
          <w:shd w:val="clear" w:color="auto" w:fill="FFFFFF"/>
        </w:rPr>
        <w:t xml:space="preserve">, </w:t>
      </w:r>
      <w:r w:rsidRPr="00B01DE4">
        <w:rPr>
          <w:rFonts w:ascii="Calibri" w:hAnsi="Calibri"/>
          <w:i/>
          <w:shd w:val="clear" w:color="auto" w:fill="FFFFFF"/>
        </w:rPr>
        <w:t xml:space="preserve">T. </w:t>
      </w:r>
      <w:proofErr w:type="spellStart"/>
      <w:r w:rsidR="00B35C1B">
        <w:rPr>
          <w:rFonts w:ascii="Calibri" w:hAnsi="Calibri"/>
          <w:i/>
          <w:shd w:val="clear" w:color="auto" w:fill="FFFFFF"/>
        </w:rPr>
        <w:t>t</w:t>
      </w:r>
      <w:r w:rsidR="000C7888" w:rsidRPr="00B01DE4">
        <w:rPr>
          <w:rFonts w:ascii="Calibri" w:hAnsi="Calibri"/>
          <w:i/>
          <w:shd w:val="clear" w:color="auto" w:fill="FFFFFF"/>
        </w:rPr>
        <w:t>rich</w:t>
      </w:r>
      <w:r w:rsidR="000C7888">
        <w:rPr>
          <w:rFonts w:ascii="Calibri" w:hAnsi="Calibri"/>
          <w:i/>
          <w:shd w:val="clear" w:color="auto" w:fill="FFFFFF"/>
        </w:rPr>
        <w:t>i</w:t>
      </w:r>
      <w:r w:rsidR="000C7888" w:rsidRPr="00B01DE4">
        <w:rPr>
          <w:rFonts w:ascii="Calibri" w:hAnsi="Calibri"/>
          <w:i/>
          <w:shd w:val="clear" w:color="auto" w:fill="FFFFFF"/>
        </w:rPr>
        <w:t>ura</w:t>
      </w:r>
      <w:proofErr w:type="spellEnd"/>
      <w:r>
        <w:rPr>
          <w:rFonts w:ascii="Calibri" w:hAnsi="Calibri"/>
          <w:shd w:val="clear" w:color="auto" w:fill="FFFFFF"/>
        </w:rPr>
        <w:t xml:space="preserve"> and h</w:t>
      </w:r>
      <w:r w:rsidRPr="00E9375A">
        <w:rPr>
          <w:rFonts w:ascii="Calibri" w:hAnsi="Calibri"/>
          <w:shd w:val="clear" w:color="auto" w:fill="FFFFFF"/>
        </w:rPr>
        <w:t>ookworm (</w:t>
      </w:r>
      <w:r w:rsidR="000C7888">
        <w:rPr>
          <w:rFonts w:ascii="Calibri" w:hAnsi="Calibri"/>
          <w:shd w:val="clear" w:color="auto" w:fill="FFFFFF"/>
        </w:rPr>
        <w:t>S2-S4 Figs</w:t>
      </w:r>
      <w:r w:rsidRPr="00E9375A">
        <w:rPr>
          <w:rFonts w:ascii="Calibri" w:hAnsi="Calibri"/>
          <w:shd w:val="clear" w:color="auto" w:fill="FFFFFF"/>
        </w:rPr>
        <w:t xml:space="preserve">).  </w:t>
      </w:r>
    </w:p>
    <w:p w14:paraId="6AFCADC0" w14:textId="77777777" w:rsidR="000C7888" w:rsidRPr="00BC2403" w:rsidRDefault="000C7888" w:rsidP="000C7888">
      <w:pPr>
        <w:pStyle w:val="Heading2"/>
        <w:rPr>
          <w:rFonts w:asciiTheme="minorHAnsi" w:hAnsiTheme="minorHAnsi"/>
          <w:i w:val="0"/>
        </w:rPr>
      </w:pPr>
      <w:r w:rsidRPr="00BC2403">
        <w:rPr>
          <w:rFonts w:asciiTheme="minorHAnsi" w:hAnsiTheme="minorHAnsi"/>
          <w:i w:val="0"/>
          <w:shd w:val="clear" w:color="auto" w:fill="FFFFFF"/>
        </w:rPr>
        <w:t>Subgroup analyses and effect modification</w:t>
      </w:r>
    </w:p>
    <w:p w14:paraId="207B801F" w14:textId="5304FA81" w:rsidR="004F24A9" w:rsidRPr="00037832" w:rsidRDefault="004F24A9" w:rsidP="007309C5">
      <w:pPr>
        <w:spacing w:line="480" w:lineRule="auto"/>
        <w:rPr>
          <w:color w:val="8496B0" w:themeColor="text2" w:themeTint="99"/>
        </w:rPr>
      </w:pPr>
      <w:r w:rsidRPr="00B70704">
        <w:t>We planned to use WHO</w:t>
      </w:r>
      <w:r w:rsidR="005025C1" w:rsidRPr="00B70704">
        <w:t xml:space="preserve"> </w:t>
      </w:r>
      <w:r w:rsidRPr="00B70704">
        <w:t>cut</w:t>
      </w:r>
      <w:r w:rsidR="00CB1A50" w:rsidRPr="00B70704">
        <w:t>-</w:t>
      </w:r>
      <w:r w:rsidRPr="00B70704">
        <w:t>offs for intensity of infection but there were too few children with moderate and high intensity STH infection</w:t>
      </w:r>
      <w:r w:rsidR="001E28F6">
        <w:t xml:space="preserve"> (less than 13% for each STH</w:t>
      </w:r>
      <w:r w:rsidR="000C7888">
        <w:t xml:space="preserve">) for the network meta-analysis </w:t>
      </w:r>
      <w:r w:rsidR="000C7888">
        <w:lastRenderedPageBreak/>
        <w:t>model</w:t>
      </w:r>
      <w:r w:rsidR="000C7888" w:rsidRPr="00B70704">
        <w:t>.</w:t>
      </w:r>
      <w:r w:rsidRPr="00B70704">
        <w:t xml:space="preserve">  Thus, we </w:t>
      </w:r>
      <w:r w:rsidR="000C7888">
        <w:t xml:space="preserve">decided </w:t>
      </w:r>
      <w:r w:rsidRPr="00B70704">
        <w:t xml:space="preserve">with </w:t>
      </w:r>
      <w:r w:rsidR="000C7888">
        <w:t xml:space="preserve">the Advisory Board and Trialists Collaborative </w:t>
      </w:r>
      <w:r w:rsidR="000C7888" w:rsidRPr="00E06FB7">
        <w:rPr>
          <w:i/>
        </w:rPr>
        <w:t>post-hoc</w:t>
      </w:r>
      <w:r w:rsidRPr="00B70704">
        <w:t xml:space="preserve"> to </w:t>
      </w:r>
      <w:r w:rsidR="000C7888">
        <w:t>use two methods to assess the role</w:t>
      </w:r>
      <w:r w:rsidRPr="00B70704">
        <w:t xml:space="preserve"> of infection intensity: </w:t>
      </w:r>
      <w:r w:rsidR="000C7888">
        <w:t xml:space="preserve">1) subgroup analysis for direct evidence; and 2) NMA using lower </w:t>
      </w:r>
      <w:r w:rsidR="00CE0168">
        <w:t>cut-offs</w:t>
      </w:r>
      <w:r w:rsidR="000C7888">
        <w:t xml:space="preserve"> based on </w:t>
      </w:r>
      <w:r w:rsidRPr="00B70704">
        <w:t xml:space="preserve">median infection intensity </w:t>
      </w:r>
      <w:r w:rsidR="000C7888">
        <w:t xml:space="preserve">to allow assessment of the gradient of effect.  </w:t>
      </w:r>
      <w:r w:rsidR="000C7888" w:rsidRPr="00E06FB7">
        <w:t>For the analysis of subgroup effects</w:t>
      </w:r>
      <w:r w:rsidR="000C7888">
        <w:t xml:space="preserve"> using direct evidence from trials</w:t>
      </w:r>
      <w:r w:rsidR="000C7888" w:rsidRPr="00E06FB7">
        <w:t xml:space="preserve">, for STH deworming compared to placebo, the effect for children with moderate or heavy intensity </w:t>
      </w:r>
      <w:r w:rsidR="00B35C1B">
        <w:rPr>
          <w:i/>
        </w:rPr>
        <w:t>A. l</w:t>
      </w:r>
      <w:r w:rsidR="000C7888" w:rsidRPr="00E06FB7">
        <w:rPr>
          <w:i/>
        </w:rPr>
        <w:t xml:space="preserve">umbricoides </w:t>
      </w:r>
      <w:r w:rsidR="000C7888" w:rsidRPr="00E06FB7">
        <w:t xml:space="preserve">infections (WHO </w:t>
      </w:r>
      <w:r w:rsidR="00CE0168" w:rsidRPr="00E06FB7">
        <w:t>cut-offs</w:t>
      </w:r>
      <w:r w:rsidR="000C7888" w:rsidRPr="00E06FB7">
        <w:t xml:space="preserve">) was 0.12 kg (95%CI: -0.05, 0.28); for moderate or heavy intensity </w:t>
      </w:r>
      <w:r w:rsidR="000C7888" w:rsidRPr="00E06FB7">
        <w:rPr>
          <w:i/>
        </w:rPr>
        <w:t xml:space="preserve">T. </w:t>
      </w:r>
      <w:proofErr w:type="spellStart"/>
      <w:r w:rsidR="00B35C1B">
        <w:rPr>
          <w:i/>
        </w:rPr>
        <w:t>t</w:t>
      </w:r>
      <w:r w:rsidR="00CE0168">
        <w:rPr>
          <w:i/>
        </w:rPr>
        <w:t>richiura</w:t>
      </w:r>
      <w:proofErr w:type="spellEnd"/>
      <w:r w:rsidR="000C7888" w:rsidRPr="00E06FB7">
        <w:t xml:space="preserve"> infections, the effect was 0.11 kg (-0.14, 0.35) and for moderate or heavy intensity hookworm infections, the effect on weight was -0.53 </w:t>
      </w:r>
      <w:r w:rsidR="000C7888">
        <w:t xml:space="preserve">kg </w:t>
      </w:r>
      <w:r w:rsidR="000C7888" w:rsidRPr="00E06FB7">
        <w:t xml:space="preserve">(95%CI: -2.09, 1.03).   No subgroup tests for interaction were statistically significant (see </w:t>
      </w:r>
      <w:r w:rsidR="000C7888">
        <w:t>S</w:t>
      </w:r>
      <w:r w:rsidR="000C7888" w:rsidRPr="00E06FB7">
        <w:t>5-</w:t>
      </w:r>
      <w:r w:rsidR="000C7888">
        <w:t>S</w:t>
      </w:r>
      <w:r w:rsidR="000C7888" w:rsidRPr="00E06FB7">
        <w:t>1</w:t>
      </w:r>
      <w:r w:rsidR="000C7888">
        <w:t>3 Figs</w:t>
      </w:r>
      <w:r w:rsidR="000C7888" w:rsidRPr="00E06FB7">
        <w:t xml:space="preserve"> for weight, height and hemoglobin across </w:t>
      </w:r>
      <w:r w:rsidRPr="00B70704">
        <w:t xml:space="preserve">each </w:t>
      </w:r>
      <w:r w:rsidR="000C7888" w:rsidRPr="00E06FB7">
        <w:t xml:space="preserve">type of STH).  </w:t>
      </w:r>
      <w:r w:rsidR="000C7888">
        <w:t xml:space="preserve">However, there were larger effects on weight gain for children with moderate or heavy intensity infections of </w:t>
      </w:r>
      <w:r w:rsidR="000C7888" w:rsidRPr="0069489B">
        <w:rPr>
          <w:i/>
        </w:rPr>
        <w:t>A</w:t>
      </w:r>
      <w:r w:rsidR="00B35C1B">
        <w:rPr>
          <w:i/>
        </w:rPr>
        <w:t>.</w:t>
      </w:r>
      <w:r w:rsidR="000C7888" w:rsidRPr="0069489B">
        <w:rPr>
          <w:i/>
        </w:rPr>
        <w:t xml:space="preserve"> </w:t>
      </w:r>
      <w:r w:rsidR="00B35C1B">
        <w:rPr>
          <w:i/>
        </w:rPr>
        <w:t>l</w:t>
      </w:r>
      <w:r w:rsidR="000C7888" w:rsidRPr="0069489B">
        <w:rPr>
          <w:i/>
        </w:rPr>
        <w:t>umbricoides</w:t>
      </w:r>
      <w:r w:rsidR="000C7888">
        <w:t xml:space="preserve"> and </w:t>
      </w:r>
      <w:r w:rsidR="000C7888" w:rsidRPr="0069489B">
        <w:rPr>
          <w:i/>
        </w:rPr>
        <w:t>T</w:t>
      </w:r>
      <w:r w:rsidR="00B35C1B">
        <w:rPr>
          <w:i/>
        </w:rPr>
        <w:t>.</w:t>
      </w:r>
      <w:r w:rsidR="000C7888" w:rsidRPr="0069489B">
        <w:rPr>
          <w:i/>
        </w:rPr>
        <w:t xml:space="preserve"> </w:t>
      </w:r>
      <w:proofErr w:type="spellStart"/>
      <w:r w:rsidR="00B35C1B">
        <w:rPr>
          <w:i/>
        </w:rPr>
        <w:t>t</w:t>
      </w:r>
      <w:r w:rsidR="00CE0168">
        <w:rPr>
          <w:i/>
        </w:rPr>
        <w:t>richiura</w:t>
      </w:r>
      <w:proofErr w:type="spellEnd"/>
      <w:r w:rsidR="000C7888">
        <w:t xml:space="preserve"> than children with light or no detected infection.</w:t>
      </w:r>
    </w:p>
    <w:p w14:paraId="3CEEEAB9" w14:textId="1DFE8CE0" w:rsidR="00847DF0" w:rsidRDefault="000C7888" w:rsidP="007309C5">
      <w:pPr>
        <w:spacing w:line="480" w:lineRule="auto"/>
      </w:pPr>
      <w:r w:rsidRPr="00DC2C62">
        <w:t>For the second approach</w:t>
      </w:r>
      <w:r>
        <w:t>, analysis using the IPD NMA evidence network,</w:t>
      </w:r>
      <w:r w:rsidRPr="00DC2C62">
        <w:t xml:space="preserve"> tests</w:t>
      </w:r>
      <w:r w:rsidR="00847DF0" w:rsidRPr="00B70704">
        <w:t xml:space="preserve"> for interaction were not statistically significant for any subgroup effects</w:t>
      </w:r>
      <w:r w:rsidR="009E70E7" w:rsidRPr="00B70704">
        <w:t xml:space="preserve"> for any comparisons</w:t>
      </w:r>
      <w:r w:rsidR="00847DF0" w:rsidRPr="00B70704">
        <w:t xml:space="preserve"> </w:t>
      </w:r>
      <w:r w:rsidR="009E70E7" w:rsidRPr="00B70704">
        <w:t>across: age, sex</w:t>
      </w:r>
      <w:r w:rsidR="00394257">
        <w:t>, BMI-for-age, height-for-</w:t>
      </w:r>
      <w:r w:rsidR="00847DF0" w:rsidRPr="00B70704">
        <w:t>age, an</w:t>
      </w:r>
      <w:r w:rsidR="00B516B6">
        <w:t>a</w:t>
      </w:r>
      <w:r w:rsidR="00847DF0" w:rsidRPr="00B70704">
        <w:t>emia</w:t>
      </w:r>
      <w:r w:rsidR="00783369" w:rsidRPr="00B70704">
        <w:t xml:space="preserve"> and intensity </w:t>
      </w:r>
      <w:r w:rsidR="00641412" w:rsidRPr="00B70704">
        <w:t>of</w:t>
      </w:r>
      <w:r w:rsidR="00783369" w:rsidRPr="00B70704">
        <w:t xml:space="preserve"> any type of STH infection</w:t>
      </w:r>
      <w:r>
        <w:t xml:space="preserve"> (using </w:t>
      </w:r>
      <w:r w:rsidR="00CE0168">
        <w:t>cut-offs</w:t>
      </w:r>
      <w:r>
        <w:t xml:space="preserve"> for intensity of infection for each STH based on the median distribution)</w:t>
      </w:r>
      <w:r w:rsidRPr="00B70704">
        <w:t>.</w:t>
      </w:r>
      <w:r w:rsidR="009E70E7" w:rsidRPr="00B70704">
        <w:t xml:space="preserve">  The</w:t>
      </w:r>
      <w:r w:rsidR="005025C1" w:rsidRPr="00B70704">
        <w:t xml:space="preserve">re was imprecision </w:t>
      </w:r>
      <w:r w:rsidR="009E70E7" w:rsidRPr="00B70704">
        <w:t>for these effect modification analyses</w:t>
      </w:r>
      <w:r w:rsidR="00BC37DE">
        <w:t xml:space="preserve"> across STH intensity</w:t>
      </w:r>
      <w:r w:rsidR="005025C1" w:rsidRPr="00B70704">
        <w:t xml:space="preserve">. The </w:t>
      </w:r>
      <w:r w:rsidR="009E70E7" w:rsidRPr="00B70704">
        <w:t xml:space="preserve">95% confidence intervals included potentially important effects of up to 460 grams for weight and 7 g/L for haemoglobin </w:t>
      </w:r>
      <w:r w:rsidR="00641412" w:rsidRPr="00B70704">
        <w:t>for</w:t>
      </w:r>
      <w:r w:rsidR="009E70E7" w:rsidRPr="00B70704">
        <w:t xml:space="preserve"> higher intensity </w:t>
      </w:r>
      <w:r w:rsidR="009E70E7" w:rsidRPr="00896AA8">
        <w:t>infections</w:t>
      </w:r>
      <w:r w:rsidR="00CE6CEA" w:rsidRPr="00896AA8">
        <w:t xml:space="preserve"> </w:t>
      </w:r>
      <w:r>
        <w:t xml:space="preserve">of </w:t>
      </w:r>
      <w:r w:rsidR="00B35C1B">
        <w:rPr>
          <w:i/>
        </w:rPr>
        <w:t>A. l</w:t>
      </w:r>
      <w:r w:rsidRPr="0069489B">
        <w:rPr>
          <w:i/>
        </w:rPr>
        <w:t>umbricoides</w:t>
      </w:r>
      <w:r>
        <w:t xml:space="preserve">, </w:t>
      </w:r>
      <w:r w:rsidRPr="0069489B">
        <w:rPr>
          <w:i/>
        </w:rPr>
        <w:t>T</w:t>
      </w:r>
      <w:r w:rsidR="00B35C1B">
        <w:rPr>
          <w:i/>
        </w:rPr>
        <w:t>.</w:t>
      </w:r>
      <w:r w:rsidRPr="0069489B">
        <w:rPr>
          <w:i/>
        </w:rPr>
        <w:t xml:space="preserve"> </w:t>
      </w:r>
      <w:proofErr w:type="spellStart"/>
      <w:r w:rsidR="00B35C1B">
        <w:rPr>
          <w:i/>
        </w:rPr>
        <w:t>t</w:t>
      </w:r>
      <w:r w:rsidR="00CE0168">
        <w:rPr>
          <w:i/>
        </w:rPr>
        <w:t>richiura</w:t>
      </w:r>
      <w:proofErr w:type="spellEnd"/>
      <w:r>
        <w:t xml:space="preserve"> or hookworm </w:t>
      </w:r>
      <w:r w:rsidR="00CE6CEA" w:rsidRPr="00896AA8">
        <w:t>(defined according to the median of the distribution)</w:t>
      </w:r>
      <w:r w:rsidR="001E28F6" w:rsidRPr="00896AA8">
        <w:t xml:space="preserve"> </w:t>
      </w:r>
      <w:r w:rsidR="004F24A9" w:rsidRPr="00896AA8">
        <w:t xml:space="preserve">for </w:t>
      </w:r>
      <w:r w:rsidR="004F24A9" w:rsidRPr="00B70704">
        <w:t xml:space="preserve">STH deworming </w:t>
      </w:r>
      <w:r w:rsidR="00F62802" w:rsidRPr="00B70704">
        <w:t xml:space="preserve">vs. </w:t>
      </w:r>
      <w:r w:rsidR="004F24A9" w:rsidRPr="00B70704">
        <w:t xml:space="preserve">placebo </w:t>
      </w:r>
      <w:r w:rsidR="009E70E7" w:rsidRPr="00B70704">
        <w:t>(</w:t>
      </w:r>
      <w:r w:rsidR="009D2F8C" w:rsidRPr="009D2F8C">
        <w:t>Table 3</w:t>
      </w:r>
      <w:r w:rsidR="009E70E7" w:rsidRPr="00B70704">
        <w:t>).</w:t>
      </w:r>
    </w:p>
    <w:p w14:paraId="7F4DD710" w14:textId="6E8C72A8" w:rsidR="000C7888" w:rsidRPr="00BC2403" w:rsidRDefault="000C7888" w:rsidP="000C7888">
      <w:pPr>
        <w:pStyle w:val="Caption"/>
        <w:keepNext/>
        <w:rPr>
          <w:b/>
          <w:i w:val="0"/>
          <w:color w:val="000000" w:themeColor="text1"/>
          <w:sz w:val="22"/>
          <w:szCs w:val="22"/>
        </w:rPr>
      </w:pPr>
      <w:r w:rsidRPr="00BC2403">
        <w:rPr>
          <w:b/>
          <w:i w:val="0"/>
          <w:color w:val="auto"/>
          <w:sz w:val="22"/>
          <w:szCs w:val="22"/>
        </w:rPr>
        <w:t xml:space="preserve">Table 3: Effect modifier analysis across STH infection intensity </w:t>
      </w:r>
      <w:r w:rsidRPr="00BC2403">
        <w:rPr>
          <w:b/>
          <w:i w:val="0"/>
          <w:color w:val="000000" w:themeColor="text1"/>
          <w:sz w:val="22"/>
          <w:szCs w:val="22"/>
        </w:rPr>
        <w:t>for STH deworming vs. placebo</w:t>
      </w:r>
    </w:p>
    <w:tbl>
      <w:tblPr>
        <w:tblStyle w:val="TableGrid"/>
        <w:tblW w:w="9351" w:type="dxa"/>
        <w:tblLook w:val="04A0" w:firstRow="1" w:lastRow="0" w:firstColumn="1" w:lastColumn="0" w:noHBand="0" w:noVBand="1"/>
      </w:tblPr>
      <w:tblGrid>
        <w:gridCol w:w="1609"/>
        <w:gridCol w:w="2355"/>
        <w:gridCol w:w="1701"/>
        <w:gridCol w:w="1701"/>
        <w:gridCol w:w="1985"/>
      </w:tblGrid>
      <w:tr w:rsidR="000C7888" w:rsidRPr="00BC27AB" w14:paraId="65D61345" w14:textId="77777777" w:rsidTr="00CE0168">
        <w:tc>
          <w:tcPr>
            <w:tcW w:w="1609" w:type="dxa"/>
            <w:tcBorders>
              <w:top w:val="single" w:sz="4" w:space="0" w:color="auto"/>
              <w:left w:val="single" w:sz="4" w:space="0" w:color="auto"/>
              <w:bottom w:val="single" w:sz="4" w:space="0" w:color="auto"/>
              <w:right w:val="single" w:sz="4" w:space="0" w:color="auto"/>
            </w:tcBorders>
          </w:tcPr>
          <w:p w14:paraId="684073C0" w14:textId="77777777" w:rsidR="000C7888" w:rsidRPr="004910F9" w:rsidRDefault="000C7888" w:rsidP="00CE0168">
            <w:pPr>
              <w:spacing w:line="240" w:lineRule="auto"/>
              <w:rPr>
                <w:rFonts w:asciiTheme="minorHAnsi" w:hAnsiTheme="minorHAnsi"/>
                <w:sz w:val="22"/>
                <w:szCs w:val="22"/>
              </w:rPr>
            </w:pPr>
          </w:p>
        </w:tc>
        <w:tc>
          <w:tcPr>
            <w:tcW w:w="2355" w:type="dxa"/>
            <w:tcBorders>
              <w:top w:val="single" w:sz="4" w:space="0" w:color="auto"/>
              <w:left w:val="single" w:sz="4" w:space="0" w:color="auto"/>
              <w:bottom w:val="single" w:sz="4" w:space="0" w:color="auto"/>
              <w:right w:val="single" w:sz="4" w:space="0" w:color="auto"/>
            </w:tcBorders>
            <w:hideMark/>
          </w:tcPr>
          <w:p w14:paraId="0BA57F05" w14:textId="77777777" w:rsidR="000C7888" w:rsidRPr="0069489B" w:rsidRDefault="000C7888" w:rsidP="00CE0168">
            <w:pPr>
              <w:spacing w:line="240" w:lineRule="auto"/>
              <w:rPr>
                <w:rFonts w:asciiTheme="minorHAnsi" w:hAnsiTheme="minorHAnsi"/>
                <w:b/>
                <w:sz w:val="22"/>
                <w:szCs w:val="22"/>
              </w:rPr>
            </w:pPr>
            <w:r w:rsidRPr="0069489B">
              <w:rPr>
                <w:b/>
              </w:rPr>
              <w:t>Level</w:t>
            </w:r>
          </w:p>
        </w:tc>
        <w:tc>
          <w:tcPr>
            <w:tcW w:w="1701" w:type="dxa"/>
            <w:tcBorders>
              <w:top w:val="single" w:sz="4" w:space="0" w:color="auto"/>
              <w:left w:val="single" w:sz="4" w:space="0" w:color="auto"/>
              <w:bottom w:val="single" w:sz="4" w:space="0" w:color="auto"/>
              <w:right w:val="single" w:sz="4" w:space="0" w:color="auto"/>
            </w:tcBorders>
            <w:hideMark/>
          </w:tcPr>
          <w:p w14:paraId="6706965D" w14:textId="77777777" w:rsidR="000C7888" w:rsidRPr="0069489B" w:rsidRDefault="000C7888" w:rsidP="00CE0168">
            <w:pPr>
              <w:spacing w:line="240" w:lineRule="auto"/>
              <w:rPr>
                <w:rFonts w:asciiTheme="minorHAnsi" w:hAnsiTheme="minorHAnsi"/>
                <w:b/>
                <w:sz w:val="22"/>
                <w:szCs w:val="22"/>
              </w:rPr>
            </w:pPr>
            <w:r w:rsidRPr="0069489B">
              <w:rPr>
                <w:b/>
              </w:rPr>
              <w:t>Weight (kg)</w:t>
            </w:r>
          </w:p>
        </w:tc>
        <w:tc>
          <w:tcPr>
            <w:tcW w:w="1701" w:type="dxa"/>
            <w:tcBorders>
              <w:top w:val="single" w:sz="4" w:space="0" w:color="auto"/>
              <w:left w:val="single" w:sz="4" w:space="0" w:color="auto"/>
              <w:bottom w:val="single" w:sz="4" w:space="0" w:color="auto"/>
              <w:right w:val="single" w:sz="4" w:space="0" w:color="auto"/>
            </w:tcBorders>
            <w:hideMark/>
          </w:tcPr>
          <w:p w14:paraId="02C36CCB" w14:textId="77777777" w:rsidR="000C7888" w:rsidRPr="0069489B" w:rsidRDefault="000C7888" w:rsidP="00CE0168">
            <w:pPr>
              <w:spacing w:line="240" w:lineRule="auto"/>
              <w:rPr>
                <w:rFonts w:asciiTheme="minorHAnsi" w:hAnsiTheme="minorHAnsi"/>
                <w:b/>
                <w:sz w:val="22"/>
                <w:szCs w:val="22"/>
              </w:rPr>
            </w:pPr>
            <w:r w:rsidRPr="0069489B">
              <w:rPr>
                <w:b/>
              </w:rPr>
              <w:t>Height (cm)</w:t>
            </w:r>
          </w:p>
        </w:tc>
        <w:tc>
          <w:tcPr>
            <w:tcW w:w="1985" w:type="dxa"/>
            <w:tcBorders>
              <w:top w:val="single" w:sz="4" w:space="0" w:color="auto"/>
              <w:left w:val="single" w:sz="4" w:space="0" w:color="auto"/>
              <w:bottom w:val="single" w:sz="4" w:space="0" w:color="auto"/>
              <w:right w:val="single" w:sz="4" w:space="0" w:color="auto"/>
            </w:tcBorders>
            <w:hideMark/>
          </w:tcPr>
          <w:p w14:paraId="1E3156A7" w14:textId="77777777" w:rsidR="000C7888" w:rsidRPr="0069489B" w:rsidRDefault="000C7888" w:rsidP="00CE0168">
            <w:pPr>
              <w:spacing w:line="240" w:lineRule="auto"/>
              <w:rPr>
                <w:rFonts w:asciiTheme="minorHAnsi" w:hAnsiTheme="minorHAnsi"/>
                <w:b/>
                <w:sz w:val="22"/>
                <w:szCs w:val="22"/>
              </w:rPr>
            </w:pPr>
            <w:r w:rsidRPr="0069489B">
              <w:rPr>
                <w:b/>
              </w:rPr>
              <w:t>Haemoglobin (g/L)</w:t>
            </w:r>
          </w:p>
        </w:tc>
      </w:tr>
      <w:tr w:rsidR="000C7888" w:rsidRPr="00BC27AB" w14:paraId="3C89480D" w14:textId="77777777" w:rsidTr="00CE0168">
        <w:tc>
          <w:tcPr>
            <w:tcW w:w="1609" w:type="dxa"/>
            <w:tcBorders>
              <w:top w:val="single" w:sz="4" w:space="0" w:color="auto"/>
              <w:left w:val="single" w:sz="4" w:space="0" w:color="auto"/>
              <w:bottom w:val="single" w:sz="4" w:space="0" w:color="auto"/>
              <w:right w:val="single" w:sz="4" w:space="0" w:color="auto"/>
            </w:tcBorders>
          </w:tcPr>
          <w:p w14:paraId="60AE1D4C" w14:textId="77777777" w:rsidR="000C7888" w:rsidRPr="004910F9" w:rsidRDefault="000C7888" w:rsidP="00CE0168">
            <w:pPr>
              <w:spacing w:line="240" w:lineRule="auto"/>
              <w:rPr>
                <w:rFonts w:asciiTheme="minorHAnsi" w:hAnsiTheme="minorHAnsi"/>
                <w:sz w:val="22"/>
                <w:szCs w:val="22"/>
              </w:rPr>
            </w:pPr>
            <w:r>
              <w:rPr>
                <w:rFonts w:asciiTheme="minorHAnsi" w:hAnsiTheme="minorHAnsi"/>
                <w:i/>
                <w:sz w:val="22"/>
                <w:szCs w:val="22"/>
              </w:rPr>
              <w:t>A. lumbricoides</w:t>
            </w:r>
            <w:r w:rsidRPr="004910F9">
              <w:rPr>
                <w:rFonts w:asciiTheme="minorHAnsi" w:hAnsiTheme="minorHAnsi"/>
                <w:i/>
                <w:sz w:val="22"/>
                <w:szCs w:val="22"/>
              </w:rPr>
              <w:t xml:space="preserve"> </w:t>
            </w:r>
          </w:p>
        </w:tc>
        <w:tc>
          <w:tcPr>
            <w:tcW w:w="2355" w:type="dxa"/>
            <w:tcBorders>
              <w:top w:val="single" w:sz="4" w:space="0" w:color="auto"/>
              <w:left w:val="single" w:sz="4" w:space="0" w:color="auto"/>
              <w:bottom w:val="single" w:sz="4" w:space="0" w:color="auto"/>
              <w:right w:val="single" w:sz="4" w:space="0" w:color="auto"/>
            </w:tcBorders>
            <w:hideMark/>
          </w:tcPr>
          <w:p w14:paraId="12A6E7A5"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No detected infection</w:t>
            </w:r>
          </w:p>
        </w:tc>
        <w:tc>
          <w:tcPr>
            <w:tcW w:w="1701" w:type="dxa"/>
            <w:tcBorders>
              <w:top w:val="single" w:sz="4" w:space="0" w:color="auto"/>
              <w:left w:val="single" w:sz="4" w:space="0" w:color="auto"/>
              <w:bottom w:val="single" w:sz="4" w:space="0" w:color="auto"/>
              <w:right w:val="single" w:sz="4" w:space="0" w:color="auto"/>
            </w:tcBorders>
            <w:hideMark/>
          </w:tcPr>
          <w:p w14:paraId="28116229" w14:textId="77777777" w:rsidR="000C7888" w:rsidRPr="004910F9" w:rsidRDefault="000C7888" w:rsidP="00CE0168">
            <w:pPr>
              <w:spacing w:line="240" w:lineRule="auto"/>
              <w:rPr>
                <w:rFonts w:asciiTheme="minorHAnsi" w:hAnsiTheme="minorHAnsi"/>
                <w:sz w:val="22"/>
                <w:szCs w:val="22"/>
              </w:rPr>
            </w:pPr>
            <w:r w:rsidRPr="004910F9">
              <w:rPr>
                <w:rFonts w:asciiTheme="minorHAnsi" w:hAnsiTheme="minorHAnsi"/>
                <w:sz w:val="22"/>
                <w:szCs w:val="22"/>
              </w:rPr>
              <w:t>0.00(-0.11,0.12)</w:t>
            </w:r>
          </w:p>
        </w:tc>
        <w:tc>
          <w:tcPr>
            <w:tcW w:w="1701" w:type="dxa"/>
            <w:tcBorders>
              <w:top w:val="single" w:sz="4" w:space="0" w:color="auto"/>
              <w:left w:val="single" w:sz="4" w:space="0" w:color="auto"/>
              <w:bottom w:val="single" w:sz="4" w:space="0" w:color="auto"/>
              <w:right w:val="single" w:sz="4" w:space="0" w:color="auto"/>
            </w:tcBorders>
            <w:hideMark/>
          </w:tcPr>
          <w:p w14:paraId="3DEF81BB" w14:textId="77777777" w:rsidR="000C7888" w:rsidRPr="004910F9" w:rsidRDefault="000C7888" w:rsidP="00CE0168">
            <w:pPr>
              <w:spacing w:line="240" w:lineRule="auto"/>
              <w:rPr>
                <w:rFonts w:asciiTheme="minorHAnsi" w:hAnsiTheme="minorHAnsi"/>
                <w:sz w:val="22"/>
                <w:szCs w:val="22"/>
              </w:rPr>
            </w:pPr>
            <w:r w:rsidRPr="004910F9">
              <w:rPr>
                <w:rFonts w:asciiTheme="minorHAnsi" w:hAnsiTheme="minorHAnsi"/>
                <w:sz w:val="22"/>
                <w:szCs w:val="22"/>
              </w:rPr>
              <w:t>0.07(-0.14,0.27)</w:t>
            </w:r>
          </w:p>
        </w:tc>
        <w:tc>
          <w:tcPr>
            <w:tcW w:w="1985" w:type="dxa"/>
            <w:tcBorders>
              <w:top w:val="single" w:sz="4" w:space="0" w:color="auto"/>
              <w:left w:val="single" w:sz="4" w:space="0" w:color="auto"/>
              <w:bottom w:val="single" w:sz="4" w:space="0" w:color="auto"/>
              <w:right w:val="single" w:sz="4" w:space="0" w:color="auto"/>
            </w:tcBorders>
            <w:hideMark/>
          </w:tcPr>
          <w:p w14:paraId="2850BDAC" w14:textId="77777777" w:rsidR="000C7888" w:rsidRPr="004910F9" w:rsidRDefault="000C7888" w:rsidP="00CE0168">
            <w:pPr>
              <w:spacing w:line="240" w:lineRule="auto"/>
              <w:rPr>
                <w:rFonts w:asciiTheme="minorHAnsi" w:hAnsiTheme="minorHAnsi"/>
                <w:sz w:val="22"/>
                <w:szCs w:val="22"/>
              </w:rPr>
            </w:pPr>
            <w:r w:rsidRPr="004910F9">
              <w:rPr>
                <w:rFonts w:asciiTheme="minorHAnsi" w:hAnsiTheme="minorHAnsi"/>
                <w:sz w:val="22"/>
                <w:szCs w:val="22"/>
              </w:rPr>
              <w:t>0.48(-0.69,1.66)</w:t>
            </w:r>
          </w:p>
        </w:tc>
      </w:tr>
      <w:tr w:rsidR="000C7888" w:rsidRPr="00BC27AB" w14:paraId="308CDECD" w14:textId="77777777" w:rsidTr="00CE0168">
        <w:tc>
          <w:tcPr>
            <w:tcW w:w="1609" w:type="dxa"/>
            <w:tcBorders>
              <w:top w:val="single" w:sz="4" w:space="0" w:color="auto"/>
              <w:left w:val="single" w:sz="4" w:space="0" w:color="auto"/>
              <w:bottom w:val="single" w:sz="4" w:space="0" w:color="auto"/>
              <w:right w:val="single" w:sz="4" w:space="0" w:color="auto"/>
            </w:tcBorders>
          </w:tcPr>
          <w:p w14:paraId="799DE905" w14:textId="77777777" w:rsidR="000C7888" w:rsidRPr="004910F9" w:rsidRDefault="000C7888" w:rsidP="00CE0168">
            <w:pPr>
              <w:spacing w:line="240" w:lineRule="auto"/>
              <w:rPr>
                <w:rFonts w:asciiTheme="minorHAnsi" w:hAnsiTheme="minorHAnsi" w:cs="Arial"/>
                <w:sz w:val="22"/>
                <w:szCs w:val="22"/>
              </w:rPr>
            </w:pPr>
          </w:p>
        </w:tc>
        <w:tc>
          <w:tcPr>
            <w:tcW w:w="2355" w:type="dxa"/>
            <w:tcBorders>
              <w:top w:val="single" w:sz="4" w:space="0" w:color="auto"/>
              <w:left w:val="single" w:sz="4" w:space="0" w:color="auto"/>
              <w:bottom w:val="single" w:sz="4" w:space="0" w:color="auto"/>
              <w:right w:val="single" w:sz="4" w:space="0" w:color="auto"/>
            </w:tcBorders>
          </w:tcPr>
          <w:p w14:paraId="3A015DE7"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 xml:space="preserve">Lighter intensity (1-1776 </w:t>
            </w:r>
            <w:proofErr w:type="spellStart"/>
            <w:r w:rsidRPr="004910F9">
              <w:rPr>
                <w:rFonts w:asciiTheme="minorHAnsi" w:hAnsiTheme="minorHAnsi" w:cs="Arial"/>
                <w:sz w:val="22"/>
                <w:szCs w:val="22"/>
              </w:rPr>
              <w:t>epg</w:t>
            </w:r>
            <w:proofErr w:type="spellEnd"/>
            <w:r w:rsidRPr="004910F9">
              <w:rPr>
                <w:rFonts w:asciiTheme="minorHAnsi" w:hAnsiTheme="minorHAnsi" w:cs="Arial"/>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617C2EC6" w14:textId="77777777" w:rsidR="000C7888" w:rsidRPr="004910F9" w:rsidRDefault="000C7888" w:rsidP="00CE0168">
            <w:pPr>
              <w:spacing w:line="240" w:lineRule="auto"/>
              <w:rPr>
                <w:rFonts w:asciiTheme="minorHAnsi" w:hAnsiTheme="minorHAnsi"/>
                <w:sz w:val="22"/>
                <w:szCs w:val="22"/>
              </w:rPr>
            </w:pPr>
            <w:r w:rsidRPr="004910F9">
              <w:rPr>
                <w:rFonts w:asciiTheme="minorHAnsi" w:hAnsiTheme="minorHAnsi"/>
                <w:sz w:val="22"/>
                <w:szCs w:val="22"/>
              </w:rPr>
              <w:t>0.07(-0.13,0.27)</w:t>
            </w:r>
          </w:p>
        </w:tc>
        <w:tc>
          <w:tcPr>
            <w:tcW w:w="1701" w:type="dxa"/>
            <w:tcBorders>
              <w:top w:val="single" w:sz="4" w:space="0" w:color="auto"/>
              <w:left w:val="single" w:sz="4" w:space="0" w:color="auto"/>
              <w:bottom w:val="single" w:sz="4" w:space="0" w:color="auto"/>
              <w:right w:val="single" w:sz="4" w:space="0" w:color="auto"/>
            </w:tcBorders>
          </w:tcPr>
          <w:p w14:paraId="741B432F"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0.25(-0.14,0.63)</w:t>
            </w:r>
          </w:p>
        </w:tc>
        <w:tc>
          <w:tcPr>
            <w:tcW w:w="1985" w:type="dxa"/>
            <w:tcBorders>
              <w:top w:val="single" w:sz="4" w:space="0" w:color="auto"/>
              <w:left w:val="single" w:sz="4" w:space="0" w:color="auto"/>
              <w:bottom w:val="single" w:sz="4" w:space="0" w:color="auto"/>
              <w:right w:val="single" w:sz="4" w:space="0" w:color="auto"/>
            </w:tcBorders>
          </w:tcPr>
          <w:p w14:paraId="54ED596F"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-0.10(-1.75,1.55)</w:t>
            </w:r>
          </w:p>
        </w:tc>
      </w:tr>
      <w:tr w:rsidR="000C7888" w:rsidRPr="00BC27AB" w14:paraId="77184875" w14:textId="77777777" w:rsidTr="00CE0168">
        <w:tc>
          <w:tcPr>
            <w:tcW w:w="1609" w:type="dxa"/>
            <w:tcBorders>
              <w:top w:val="single" w:sz="4" w:space="0" w:color="auto"/>
              <w:left w:val="single" w:sz="4" w:space="0" w:color="auto"/>
              <w:bottom w:val="single" w:sz="4" w:space="0" w:color="auto"/>
              <w:right w:val="single" w:sz="4" w:space="0" w:color="auto"/>
            </w:tcBorders>
          </w:tcPr>
          <w:p w14:paraId="274C3265" w14:textId="77777777" w:rsidR="000C7888" w:rsidRPr="004910F9" w:rsidRDefault="000C7888" w:rsidP="00CE0168">
            <w:pPr>
              <w:spacing w:line="240" w:lineRule="auto"/>
              <w:rPr>
                <w:rFonts w:asciiTheme="minorHAnsi" w:hAnsiTheme="minorHAnsi" w:cs="Arial"/>
                <w:sz w:val="22"/>
                <w:szCs w:val="22"/>
              </w:rPr>
            </w:pPr>
          </w:p>
        </w:tc>
        <w:tc>
          <w:tcPr>
            <w:tcW w:w="2355" w:type="dxa"/>
            <w:tcBorders>
              <w:top w:val="single" w:sz="4" w:space="0" w:color="auto"/>
              <w:left w:val="single" w:sz="4" w:space="0" w:color="auto"/>
              <w:bottom w:val="single" w:sz="4" w:space="0" w:color="auto"/>
              <w:right w:val="single" w:sz="4" w:space="0" w:color="auto"/>
            </w:tcBorders>
          </w:tcPr>
          <w:p w14:paraId="313610F4"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 xml:space="preserve">Higher intensity (&gt;1776 </w:t>
            </w:r>
            <w:proofErr w:type="spellStart"/>
            <w:r w:rsidRPr="004910F9">
              <w:rPr>
                <w:rFonts w:asciiTheme="minorHAnsi" w:hAnsiTheme="minorHAnsi" w:cs="Arial"/>
                <w:sz w:val="22"/>
                <w:szCs w:val="22"/>
              </w:rPr>
              <w:t>epg</w:t>
            </w:r>
            <w:proofErr w:type="spellEnd"/>
            <w:r w:rsidRPr="004910F9">
              <w:rPr>
                <w:rFonts w:asciiTheme="minorHAnsi" w:hAnsiTheme="minorHAnsi" w:cs="Arial"/>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02352654" w14:textId="77777777" w:rsidR="000C7888" w:rsidRPr="004910F9" w:rsidRDefault="000C7888" w:rsidP="00CE0168">
            <w:pPr>
              <w:spacing w:line="240" w:lineRule="auto"/>
              <w:rPr>
                <w:rFonts w:asciiTheme="minorHAnsi" w:hAnsiTheme="minorHAnsi"/>
                <w:sz w:val="22"/>
                <w:szCs w:val="22"/>
              </w:rPr>
            </w:pPr>
            <w:r w:rsidRPr="004910F9">
              <w:rPr>
                <w:rFonts w:asciiTheme="minorHAnsi" w:hAnsiTheme="minorHAnsi"/>
                <w:sz w:val="22"/>
                <w:szCs w:val="22"/>
              </w:rPr>
              <w:t>0.08(-0.13,0.29)</w:t>
            </w:r>
          </w:p>
        </w:tc>
        <w:tc>
          <w:tcPr>
            <w:tcW w:w="1701" w:type="dxa"/>
            <w:tcBorders>
              <w:top w:val="single" w:sz="4" w:space="0" w:color="auto"/>
              <w:left w:val="single" w:sz="4" w:space="0" w:color="auto"/>
              <w:bottom w:val="single" w:sz="4" w:space="0" w:color="auto"/>
              <w:right w:val="single" w:sz="4" w:space="0" w:color="auto"/>
            </w:tcBorders>
          </w:tcPr>
          <w:p w14:paraId="4C0C1525"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0.04(-0.22,0.30)</w:t>
            </w:r>
          </w:p>
        </w:tc>
        <w:tc>
          <w:tcPr>
            <w:tcW w:w="1985" w:type="dxa"/>
            <w:tcBorders>
              <w:top w:val="single" w:sz="4" w:space="0" w:color="auto"/>
              <w:left w:val="single" w:sz="4" w:space="0" w:color="auto"/>
              <w:bottom w:val="single" w:sz="4" w:space="0" w:color="auto"/>
              <w:right w:val="single" w:sz="4" w:space="0" w:color="auto"/>
            </w:tcBorders>
          </w:tcPr>
          <w:p w14:paraId="069401DE"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0.03(-2.08,2.14)</w:t>
            </w:r>
          </w:p>
        </w:tc>
      </w:tr>
      <w:tr w:rsidR="000C7888" w:rsidRPr="00BC27AB" w14:paraId="1537A5D8" w14:textId="77777777" w:rsidTr="00CE0168">
        <w:tc>
          <w:tcPr>
            <w:tcW w:w="1609" w:type="dxa"/>
            <w:tcBorders>
              <w:top w:val="single" w:sz="4" w:space="0" w:color="auto"/>
              <w:left w:val="single" w:sz="4" w:space="0" w:color="auto"/>
              <w:bottom w:val="single" w:sz="4" w:space="0" w:color="auto"/>
              <w:right w:val="single" w:sz="4" w:space="0" w:color="auto"/>
            </w:tcBorders>
          </w:tcPr>
          <w:p w14:paraId="79A0B426"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Hookworm</w:t>
            </w:r>
          </w:p>
        </w:tc>
        <w:tc>
          <w:tcPr>
            <w:tcW w:w="2355" w:type="dxa"/>
            <w:tcBorders>
              <w:top w:val="single" w:sz="4" w:space="0" w:color="auto"/>
              <w:left w:val="single" w:sz="4" w:space="0" w:color="auto"/>
              <w:bottom w:val="single" w:sz="4" w:space="0" w:color="auto"/>
              <w:right w:val="single" w:sz="4" w:space="0" w:color="auto"/>
            </w:tcBorders>
          </w:tcPr>
          <w:p w14:paraId="252C1B8E"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No detected infection</w:t>
            </w:r>
          </w:p>
        </w:tc>
        <w:tc>
          <w:tcPr>
            <w:tcW w:w="1701" w:type="dxa"/>
            <w:tcBorders>
              <w:top w:val="single" w:sz="4" w:space="0" w:color="auto"/>
              <w:left w:val="single" w:sz="4" w:space="0" w:color="auto"/>
              <w:bottom w:val="single" w:sz="4" w:space="0" w:color="auto"/>
              <w:right w:val="single" w:sz="4" w:space="0" w:color="auto"/>
            </w:tcBorders>
          </w:tcPr>
          <w:p w14:paraId="2829D2E8"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0.02(-0.09,0.13)</w:t>
            </w:r>
          </w:p>
        </w:tc>
        <w:tc>
          <w:tcPr>
            <w:tcW w:w="1701" w:type="dxa"/>
            <w:tcBorders>
              <w:top w:val="single" w:sz="4" w:space="0" w:color="auto"/>
              <w:left w:val="single" w:sz="4" w:space="0" w:color="auto"/>
              <w:bottom w:val="single" w:sz="4" w:space="0" w:color="auto"/>
              <w:right w:val="single" w:sz="4" w:space="0" w:color="auto"/>
            </w:tcBorders>
          </w:tcPr>
          <w:p w14:paraId="678CCA39"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0.06(-0.13,0.26)</w:t>
            </w:r>
          </w:p>
        </w:tc>
        <w:tc>
          <w:tcPr>
            <w:tcW w:w="1985" w:type="dxa"/>
            <w:tcBorders>
              <w:top w:val="single" w:sz="4" w:space="0" w:color="auto"/>
              <w:left w:val="single" w:sz="4" w:space="0" w:color="auto"/>
              <w:bottom w:val="single" w:sz="4" w:space="0" w:color="auto"/>
              <w:right w:val="single" w:sz="4" w:space="0" w:color="auto"/>
            </w:tcBorders>
          </w:tcPr>
          <w:p w14:paraId="1F36D289"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0.07(-0.92,1.06)</w:t>
            </w:r>
          </w:p>
        </w:tc>
      </w:tr>
      <w:tr w:rsidR="000C7888" w:rsidRPr="00BC27AB" w14:paraId="6FF208E0" w14:textId="77777777" w:rsidTr="00CE0168">
        <w:tc>
          <w:tcPr>
            <w:tcW w:w="1609" w:type="dxa"/>
            <w:tcBorders>
              <w:top w:val="single" w:sz="4" w:space="0" w:color="auto"/>
              <w:left w:val="single" w:sz="4" w:space="0" w:color="auto"/>
              <w:bottom w:val="single" w:sz="4" w:space="0" w:color="auto"/>
              <w:right w:val="single" w:sz="4" w:space="0" w:color="auto"/>
            </w:tcBorders>
          </w:tcPr>
          <w:p w14:paraId="12E1FB4E" w14:textId="77777777" w:rsidR="000C7888" w:rsidRPr="004910F9" w:rsidRDefault="000C7888" w:rsidP="00CE0168">
            <w:pPr>
              <w:spacing w:line="240" w:lineRule="auto"/>
              <w:rPr>
                <w:rFonts w:asciiTheme="minorHAnsi" w:hAnsiTheme="minorHAnsi" w:cs="Arial"/>
                <w:sz w:val="22"/>
                <w:szCs w:val="22"/>
              </w:rPr>
            </w:pPr>
          </w:p>
        </w:tc>
        <w:tc>
          <w:tcPr>
            <w:tcW w:w="2355" w:type="dxa"/>
            <w:tcBorders>
              <w:top w:val="single" w:sz="4" w:space="0" w:color="auto"/>
              <w:left w:val="single" w:sz="4" w:space="0" w:color="auto"/>
              <w:bottom w:val="single" w:sz="4" w:space="0" w:color="auto"/>
              <w:right w:val="single" w:sz="4" w:space="0" w:color="auto"/>
            </w:tcBorders>
          </w:tcPr>
          <w:p w14:paraId="02729CC8"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 xml:space="preserve">Lighter intensity (1-384 </w:t>
            </w:r>
            <w:proofErr w:type="spellStart"/>
            <w:r w:rsidRPr="004910F9">
              <w:rPr>
                <w:rFonts w:asciiTheme="minorHAnsi" w:hAnsiTheme="minorHAnsi" w:cs="Arial"/>
                <w:sz w:val="22"/>
                <w:szCs w:val="22"/>
              </w:rPr>
              <w:t>epg</w:t>
            </w:r>
            <w:proofErr w:type="spellEnd"/>
            <w:r w:rsidRPr="004910F9">
              <w:rPr>
                <w:rFonts w:asciiTheme="minorHAnsi" w:hAnsiTheme="minorHAnsi" w:cs="Arial"/>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01F5560A"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0.05(-0.12,0.23)</w:t>
            </w:r>
          </w:p>
        </w:tc>
        <w:tc>
          <w:tcPr>
            <w:tcW w:w="1701" w:type="dxa"/>
            <w:tcBorders>
              <w:top w:val="single" w:sz="4" w:space="0" w:color="auto"/>
              <w:left w:val="single" w:sz="4" w:space="0" w:color="auto"/>
              <w:bottom w:val="single" w:sz="4" w:space="0" w:color="auto"/>
              <w:right w:val="single" w:sz="4" w:space="0" w:color="auto"/>
            </w:tcBorders>
          </w:tcPr>
          <w:p w14:paraId="3BF265A6"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0.20(-0.16,0.55)</w:t>
            </w:r>
          </w:p>
        </w:tc>
        <w:tc>
          <w:tcPr>
            <w:tcW w:w="1985" w:type="dxa"/>
            <w:tcBorders>
              <w:top w:val="single" w:sz="4" w:space="0" w:color="auto"/>
              <w:left w:val="single" w:sz="4" w:space="0" w:color="auto"/>
              <w:bottom w:val="single" w:sz="4" w:space="0" w:color="auto"/>
              <w:right w:val="single" w:sz="4" w:space="0" w:color="auto"/>
            </w:tcBorders>
          </w:tcPr>
          <w:p w14:paraId="5D325BA1"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-0.04(-1.84,1.77)</w:t>
            </w:r>
          </w:p>
        </w:tc>
      </w:tr>
      <w:tr w:rsidR="000C7888" w:rsidRPr="00BC27AB" w14:paraId="2831B086" w14:textId="77777777" w:rsidTr="00CE0168">
        <w:tc>
          <w:tcPr>
            <w:tcW w:w="1609" w:type="dxa"/>
            <w:tcBorders>
              <w:top w:val="single" w:sz="4" w:space="0" w:color="auto"/>
              <w:left w:val="single" w:sz="4" w:space="0" w:color="auto"/>
              <w:bottom w:val="single" w:sz="4" w:space="0" w:color="auto"/>
              <w:right w:val="single" w:sz="4" w:space="0" w:color="auto"/>
            </w:tcBorders>
          </w:tcPr>
          <w:p w14:paraId="334B6DF7" w14:textId="77777777" w:rsidR="000C7888" w:rsidRPr="004910F9" w:rsidRDefault="000C7888" w:rsidP="00CE0168">
            <w:pPr>
              <w:spacing w:line="240" w:lineRule="auto"/>
              <w:rPr>
                <w:rFonts w:asciiTheme="minorHAnsi" w:hAnsiTheme="minorHAnsi" w:cs="Arial"/>
                <w:sz w:val="22"/>
                <w:szCs w:val="22"/>
              </w:rPr>
            </w:pPr>
          </w:p>
        </w:tc>
        <w:tc>
          <w:tcPr>
            <w:tcW w:w="2355" w:type="dxa"/>
            <w:tcBorders>
              <w:top w:val="single" w:sz="4" w:space="0" w:color="auto"/>
              <w:left w:val="single" w:sz="4" w:space="0" w:color="auto"/>
              <w:bottom w:val="single" w:sz="4" w:space="0" w:color="auto"/>
              <w:right w:val="single" w:sz="4" w:space="0" w:color="auto"/>
            </w:tcBorders>
          </w:tcPr>
          <w:p w14:paraId="6FC6687B"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 xml:space="preserve">Higher intensity (&gt;384 </w:t>
            </w:r>
            <w:proofErr w:type="spellStart"/>
            <w:r w:rsidRPr="004910F9">
              <w:rPr>
                <w:rFonts w:asciiTheme="minorHAnsi" w:hAnsiTheme="minorHAnsi" w:cs="Arial"/>
                <w:sz w:val="22"/>
                <w:szCs w:val="22"/>
              </w:rPr>
              <w:t>epg</w:t>
            </w:r>
            <w:proofErr w:type="spellEnd"/>
            <w:r w:rsidRPr="004910F9">
              <w:rPr>
                <w:rFonts w:asciiTheme="minorHAnsi" w:hAnsiTheme="minorHAnsi" w:cs="Arial"/>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29A32907"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0.16(-0.13,0.46)</w:t>
            </w:r>
          </w:p>
        </w:tc>
        <w:tc>
          <w:tcPr>
            <w:tcW w:w="1701" w:type="dxa"/>
            <w:tcBorders>
              <w:top w:val="single" w:sz="4" w:space="0" w:color="auto"/>
              <w:left w:val="single" w:sz="4" w:space="0" w:color="auto"/>
              <w:bottom w:val="single" w:sz="4" w:space="0" w:color="auto"/>
              <w:right w:val="single" w:sz="4" w:space="0" w:color="auto"/>
            </w:tcBorders>
          </w:tcPr>
          <w:p w14:paraId="7369AC0F"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0.20(-0.13,0.52)</w:t>
            </w:r>
          </w:p>
        </w:tc>
        <w:tc>
          <w:tcPr>
            <w:tcW w:w="1985" w:type="dxa"/>
            <w:tcBorders>
              <w:top w:val="single" w:sz="4" w:space="0" w:color="auto"/>
              <w:left w:val="single" w:sz="4" w:space="0" w:color="auto"/>
              <w:bottom w:val="single" w:sz="4" w:space="0" w:color="auto"/>
              <w:right w:val="single" w:sz="4" w:space="0" w:color="auto"/>
            </w:tcBorders>
          </w:tcPr>
          <w:p w14:paraId="37FAB655"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3.58(0.13,7.02)</w:t>
            </w:r>
          </w:p>
        </w:tc>
      </w:tr>
      <w:tr w:rsidR="000C7888" w:rsidRPr="00BC27AB" w14:paraId="12912591" w14:textId="77777777" w:rsidTr="00CE0168">
        <w:tc>
          <w:tcPr>
            <w:tcW w:w="1609" w:type="dxa"/>
            <w:tcBorders>
              <w:top w:val="single" w:sz="4" w:space="0" w:color="auto"/>
              <w:left w:val="single" w:sz="4" w:space="0" w:color="auto"/>
              <w:bottom w:val="single" w:sz="4" w:space="0" w:color="auto"/>
              <w:right w:val="single" w:sz="4" w:space="0" w:color="auto"/>
            </w:tcBorders>
          </w:tcPr>
          <w:p w14:paraId="154DCFC3" w14:textId="77777777" w:rsidR="000C7888" w:rsidRPr="004910F9" w:rsidRDefault="000C7888" w:rsidP="00CE0168">
            <w:pPr>
              <w:spacing w:line="240" w:lineRule="auto"/>
              <w:rPr>
                <w:rFonts w:asciiTheme="minorHAnsi" w:hAnsiTheme="minorHAnsi"/>
                <w:i/>
                <w:sz w:val="22"/>
                <w:szCs w:val="22"/>
              </w:rPr>
            </w:pPr>
            <w:r>
              <w:rPr>
                <w:rFonts w:asciiTheme="minorHAnsi" w:hAnsiTheme="minorHAnsi"/>
                <w:i/>
                <w:sz w:val="22"/>
                <w:szCs w:val="22"/>
              </w:rPr>
              <w:t xml:space="preserve">T. </w:t>
            </w:r>
            <w:proofErr w:type="spellStart"/>
            <w:r w:rsidR="00CE0168">
              <w:rPr>
                <w:rFonts w:asciiTheme="minorHAnsi" w:hAnsiTheme="minorHAnsi"/>
                <w:i/>
                <w:sz w:val="22"/>
                <w:szCs w:val="22"/>
              </w:rPr>
              <w:t>trichiura</w:t>
            </w:r>
            <w:proofErr w:type="spellEnd"/>
          </w:p>
        </w:tc>
        <w:tc>
          <w:tcPr>
            <w:tcW w:w="2355" w:type="dxa"/>
            <w:tcBorders>
              <w:top w:val="single" w:sz="4" w:space="0" w:color="auto"/>
              <w:left w:val="single" w:sz="4" w:space="0" w:color="auto"/>
              <w:bottom w:val="single" w:sz="4" w:space="0" w:color="auto"/>
              <w:right w:val="single" w:sz="4" w:space="0" w:color="auto"/>
            </w:tcBorders>
          </w:tcPr>
          <w:p w14:paraId="65281F77"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No detected infection</w:t>
            </w:r>
          </w:p>
        </w:tc>
        <w:tc>
          <w:tcPr>
            <w:tcW w:w="1701" w:type="dxa"/>
            <w:tcBorders>
              <w:top w:val="single" w:sz="4" w:space="0" w:color="auto"/>
              <w:left w:val="single" w:sz="4" w:space="0" w:color="auto"/>
              <w:bottom w:val="single" w:sz="4" w:space="0" w:color="auto"/>
              <w:right w:val="single" w:sz="4" w:space="0" w:color="auto"/>
            </w:tcBorders>
          </w:tcPr>
          <w:p w14:paraId="4F4BF7D7"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-0.01(-0.12,0.10)</w:t>
            </w:r>
          </w:p>
        </w:tc>
        <w:tc>
          <w:tcPr>
            <w:tcW w:w="1701" w:type="dxa"/>
            <w:tcBorders>
              <w:top w:val="single" w:sz="4" w:space="0" w:color="auto"/>
              <w:left w:val="single" w:sz="4" w:space="0" w:color="auto"/>
              <w:bottom w:val="single" w:sz="4" w:space="0" w:color="auto"/>
              <w:right w:val="single" w:sz="4" w:space="0" w:color="auto"/>
            </w:tcBorders>
          </w:tcPr>
          <w:p w14:paraId="306FC441"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0.02(-0.18,0.22)</w:t>
            </w:r>
          </w:p>
        </w:tc>
        <w:tc>
          <w:tcPr>
            <w:tcW w:w="1985" w:type="dxa"/>
            <w:tcBorders>
              <w:top w:val="single" w:sz="4" w:space="0" w:color="auto"/>
              <w:left w:val="single" w:sz="4" w:space="0" w:color="auto"/>
              <w:bottom w:val="single" w:sz="4" w:space="0" w:color="auto"/>
              <w:right w:val="single" w:sz="4" w:space="0" w:color="auto"/>
            </w:tcBorders>
          </w:tcPr>
          <w:p w14:paraId="4AC8C096"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0.17(-1.01,1.35)</w:t>
            </w:r>
          </w:p>
        </w:tc>
      </w:tr>
      <w:tr w:rsidR="000C7888" w:rsidRPr="00BC27AB" w14:paraId="3D50B812" w14:textId="77777777" w:rsidTr="00CE0168">
        <w:tc>
          <w:tcPr>
            <w:tcW w:w="1609" w:type="dxa"/>
            <w:tcBorders>
              <w:top w:val="single" w:sz="4" w:space="0" w:color="auto"/>
              <w:left w:val="single" w:sz="4" w:space="0" w:color="auto"/>
              <w:bottom w:val="single" w:sz="4" w:space="0" w:color="auto"/>
              <w:right w:val="single" w:sz="4" w:space="0" w:color="auto"/>
            </w:tcBorders>
          </w:tcPr>
          <w:p w14:paraId="655AF4CE" w14:textId="77777777" w:rsidR="000C7888" w:rsidRPr="004910F9" w:rsidRDefault="000C7888" w:rsidP="00CE0168">
            <w:pPr>
              <w:spacing w:line="240" w:lineRule="auto"/>
              <w:rPr>
                <w:rFonts w:asciiTheme="minorHAnsi" w:hAnsiTheme="minorHAnsi" w:cs="Arial"/>
                <w:sz w:val="22"/>
                <w:szCs w:val="22"/>
              </w:rPr>
            </w:pPr>
          </w:p>
        </w:tc>
        <w:tc>
          <w:tcPr>
            <w:tcW w:w="2355" w:type="dxa"/>
            <w:tcBorders>
              <w:top w:val="single" w:sz="4" w:space="0" w:color="auto"/>
              <w:left w:val="single" w:sz="4" w:space="0" w:color="auto"/>
              <w:bottom w:val="single" w:sz="4" w:space="0" w:color="auto"/>
              <w:right w:val="single" w:sz="4" w:space="0" w:color="auto"/>
            </w:tcBorders>
          </w:tcPr>
          <w:p w14:paraId="6D6E6776"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 xml:space="preserve">Lighter intensity (1-288 </w:t>
            </w:r>
            <w:proofErr w:type="spellStart"/>
            <w:r w:rsidRPr="004910F9">
              <w:rPr>
                <w:rFonts w:asciiTheme="minorHAnsi" w:hAnsiTheme="minorHAnsi" w:cs="Arial"/>
                <w:sz w:val="22"/>
                <w:szCs w:val="22"/>
              </w:rPr>
              <w:t>epg</w:t>
            </w:r>
            <w:proofErr w:type="spellEnd"/>
            <w:r w:rsidRPr="004910F9">
              <w:rPr>
                <w:rFonts w:asciiTheme="minorHAnsi" w:hAnsiTheme="minorHAnsi" w:cs="Arial"/>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3F8417E6"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0.04(-0.11,0.20)</w:t>
            </w:r>
          </w:p>
        </w:tc>
        <w:tc>
          <w:tcPr>
            <w:tcW w:w="1701" w:type="dxa"/>
            <w:tcBorders>
              <w:top w:val="single" w:sz="4" w:space="0" w:color="auto"/>
              <w:left w:val="single" w:sz="4" w:space="0" w:color="auto"/>
              <w:bottom w:val="single" w:sz="4" w:space="0" w:color="auto"/>
              <w:right w:val="single" w:sz="4" w:space="0" w:color="auto"/>
            </w:tcBorders>
          </w:tcPr>
          <w:p w14:paraId="499599F6"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0.30(-0.04,0.64)</w:t>
            </w:r>
          </w:p>
        </w:tc>
        <w:tc>
          <w:tcPr>
            <w:tcW w:w="1985" w:type="dxa"/>
            <w:tcBorders>
              <w:top w:val="single" w:sz="4" w:space="0" w:color="auto"/>
              <w:left w:val="single" w:sz="4" w:space="0" w:color="auto"/>
              <w:bottom w:val="single" w:sz="4" w:space="0" w:color="auto"/>
              <w:right w:val="single" w:sz="4" w:space="0" w:color="auto"/>
            </w:tcBorders>
          </w:tcPr>
          <w:p w14:paraId="0B40502E"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0.24(-1.23,1.71)</w:t>
            </w:r>
          </w:p>
        </w:tc>
      </w:tr>
      <w:tr w:rsidR="000C7888" w:rsidRPr="00BC27AB" w14:paraId="3F7995AE" w14:textId="77777777" w:rsidTr="00CE0168">
        <w:tc>
          <w:tcPr>
            <w:tcW w:w="1609" w:type="dxa"/>
            <w:tcBorders>
              <w:top w:val="single" w:sz="4" w:space="0" w:color="auto"/>
              <w:left w:val="single" w:sz="4" w:space="0" w:color="auto"/>
              <w:bottom w:val="single" w:sz="4" w:space="0" w:color="auto"/>
              <w:right w:val="single" w:sz="4" w:space="0" w:color="auto"/>
            </w:tcBorders>
          </w:tcPr>
          <w:p w14:paraId="5CB26FB1" w14:textId="77777777" w:rsidR="000C7888" w:rsidRPr="004910F9" w:rsidRDefault="000C7888" w:rsidP="00CE0168">
            <w:pPr>
              <w:spacing w:line="240" w:lineRule="auto"/>
              <w:rPr>
                <w:rFonts w:asciiTheme="minorHAnsi" w:hAnsiTheme="minorHAnsi" w:cs="Arial"/>
                <w:sz w:val="22"/>
                <w:szCs w:val="22"/>
              </w:rPr>
            </w:pPr>
          </w:p>
        </w:tc>
        <w:tc>
          <w:tcPr>
            <w:tcW w:w="2355" w:type="dxa"/>
            <w:tcBorders>
              <w:top w:val="single" w:sz="4" w:space="0" w:color="auto"/>
              <w:left w:val="single" w:sz="4" w:space="0" w:color="auto"/>
              <w:bottom w:val="single" w:sz="4" w:space="0" w:color="auto"/>
              <w:right w:val="single" w:sz="4" w:space="0" w:color="auto"/>
            </w:tcBorders>
          </w:tcPr>
          <w:p w14:paraId="4473BB62"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 xml:space="preserve">Higher intensity (&gt;288 </w:t>
            </w:r>
            <w:proofErr w:type="spellStart"/>
            <w:r w:rsidRPr="004910F9">
              <w:rPr>
                <w:rFonts w:asciiTheme="minorHAnsi" w:hAnsiTheme="minorHAnsi" w:cs="Arial"/>
                <w:sz w:val="22"/>
                <w:szCs w:val="22"/>
              </w:rPr>
              <w:t>epg</w:t>
            </w:r>
            <w:proofErr w:type="spellEnd"/>
            <w:r w:rsidRPr="004910F9">
              <w:rPr>
                <w:rFonts w:asciiTheme="minorHAnsi" w:hAnsiTheme="minorHAnsi" w:cs="Arial"/>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26E86F87"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0.17(-0.06,0.41)</w:t>
            </w:r>
          </w:p>
        </w:tc>
        <w:tc>
          <w:tcPr>
            <w:tcW w:w="1701" w:type="dxa"/>
            <w:tcBorders>
              <w:top w:val="single" w:sz="4" w:space="0" w:color="auto"/>
              <w:left w:val="single" w:sz="4" w:space="0" w:color="auto"/>
              <w:bottom w:val="single" w:sz="4" w:space="0" w:color="auto"/>
              <w:right w:val="single" w:sz="4" w:space="0" w:color="auto"/>
            </w:tcBorders>
          </w:tcPr>
          <w:p w14:paraId="3E0B481D"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0.07(-0.20,0.34)</w:t>
            </w:r>
          </w:p>
        </w:tc>
        <w:tc>
          <w:tcPr>
            <w:tcW w:w="1985" w:type="dxa"/>
            <w:tcBorders>
              <w:top w:val="single" w:sz="4" w:space="0" w:color="auto"/>
              <w:left w:val="single" w:sz="4" w:space="0" w:color="auto"/>
              <w:bottom w:val="single" w:sz="4" w:space="0" w:color="auto"/>
              <w:right w:val="single" w:sz="4" w:space="0" w:color="auto"/>
            </w:tcBorders>
          </w:tcPr>
          <w:p w14:paraId="51DA519B" w14:textId="77777777" w:rsidR="000C7888" w:rsidRPr="004910F9" w:rsidRDefault="000C7888" w:rsidP="00CE0168">
            <w:pPr>
              <w:spacing w:line="240" w:lineRule="auto"/>
              <w:rPr>
                <w:rFonts w:asciiTheme="minorHAnsi" w:hAnsiTheme="minorHAnsi" w:cs="Arial"/>
                <w:sz w:val="22"/>
                <w:szCs w:val="22"/>
              </w:rPr>
            </w:pPr>
            <w:r w:rsidRPr="004910F9">
              <w:rPr>
                <w:rFonts w:asciiTheme="minorHAnsi" w:hAnsiTheme="minorHAnsi" w:cs="Arial"/>
                <w:sz w:val="22"/>
                <w:szCs w:val="22"/>
              </w:rPr>
              <w:t>1.33(-1.14,3.81)</w:t>
            </w:r>
          </w:p>
        </w:tc>
      </w:tr>
    </w:tbl>
    <w:p w14:paraId="366FFD0B" w14:textId="77777777" w:rsidR="000C7888" w:rsidRDefault="000C7888" w:rsidP="000C7888">
      <w:r>
        <w:t xml:space="preserve">Note: </w:t>
      </w:r>
      <w:proofErr w:type="spellStart"/>
      <w:r>
        <w:t>epg</w:t>
      </w:r>
      <w:proofErr w:type="spellEnd"/>
      <w:r>
        <w:t>: eggs per gram</w:t>
      </w:r>
    </w:p>
    <w:p w14:paraId="014B57C1" w14:textId="77777777" w:rsidR="000C7888" w:rsidRDefault="000C7888" w:rsidP="000C7888"/>
    <w:p w14:paraId="427248E7" w14:textId="77777777" w:rsidR="000C7888" w:rsidRPr="00BC2403" w:rsidRDefault="000C7888" w:rsidP="000C7888">
      <w:pPr>
        <w:pStyle w:val="Heading2"/>
        <w:rPr>
          <w:rFonts w:asciiTheme="minorHAnsi" w:hAnsiTheme="minorHAnsi"/>
          <w:i w:val="0"/>
        </w:rPr>
      </w:pPr>
      <w:r w:rsidRPr="00BC2403">
        <w:rPr>
          <w:rFonts w:asciiTheme="minorHAnsi" w:hAnsiTheme="minorHAnsi"/>
          <w:i w:val="0"/>
        </w:rPr>
        <w:t>Sensitivity analyses</w:t>
      </w:r>
    </w:p>
    <w:p w14:paraId="377D4FF5" w14:textId="35638BD4" w:rsidR="003A60CD" w:rsidRPr="00B70704" w:rsidRDefault="003A60CD" w:rsidP="007309C5">
      <w:pPr>
        <w:spacing w:line="480" w:lineRule="auto"/>
      </w:pPr>
      <w:r w:rsidRPr="00B70704">
        <w:t xml:space="preserve">The </w:t>
      </w:r>
      <w:r w:rsidR="004F24A9" w:rsidRPr="00B70704">
        <w:t xml:space="preserve">main effects </w:t>
      </w:r>
      <w:r w:rsidR="0035742D" w:rsidRPr="00B70704">
        <w:t xml:space="preserve">for each outcome </w:t>
      </w:r>
      <w:r w:rsidRPr="00B70704">
        <w:t>were robust to</w:t>
      </w:r>
      <w:r w:rsidR="000C7888" w:rsidRPr="00B70704">
        <w:t xml:space="preserve"> </w:t>
      </w:r>
      <w:r w:rsidR="000C7888">
        <w:t>six</w:t>
      </w:r>
      <w:r w:rsidRPr="00B70704">
        <w:t xml:space="preserve"> sensitivity analyses: 1) unadjusted analysis, 2) complete case analysis with base case studies (n=14), 3) complete case analysis with 5 additional studies that had &gt;50% missing data, 4) studies at low risk of bias, 5) full evidence network with 18 nodes, and 6) restricting to studies with a larger effect on reducing </w:t>
      </w:r>
      <w:r w:rsidR="00A3704A" w:rsidRPr="00B70704">
        <w:t>STH</w:t>
      </w:r>
      <w:r w:rsidRPr="00B70704">
        <w:t xml:space="preserve"> infection prevalence. </w:t>
      </w:r>
    </w:p>
    <w:p w14:paraId="46F81503" w14:textId="77777777" w:rsidR="000C7888" w:rsidRPr="00BC2403" w:rsidRDefault="000C7888" w:rsidP="000C7888">
      <w:pPr>
        <w:pStyle w:val="Heading2"/>
        <w:rPr>
          <w:rFonts w:asciiTheme="minorHAnsi" w:hAnsiTheme="minorHAnsi"/>
          <w:i w:val="0"/>
        </w:rPr>
      </w:pPr>
      <w:r w:rsidRPr="00BC2403">
        <w:rPr>
          <w:rFonts w:asciiTheme="minorHAnsi" w:hAnsiTheme="minorHAnsi"/>
          <w:i w:val="0"/>
        </w:rPr>
        <w:t>Updating prior meta-analyses with new IPD</w:t>
      </w:r>
    </w:p>
    <w:p w14:paraId="6AACF0F3" w14:textId="20C90656" w:rsidR="000C7888" w:rsidRDefault="000C7888" w:rsidP="000C7888">
      <w:pPr>
        <w:spacing w:line="480" w:lineRule="auto"/>
      </w:pPr>
      <w:r>
        <w:t>We decided post-hoc to compare our results with prior meta-analyses and update prior meta-analyses with previously unpublished data on weight.  In comparison to the meta-analysis by Croke et al</w:t>
      </w:r>
      <w:r w:rsidRPr="00B70704">
        <w:t>, when we add data from</w:t>
      </w:r>
      <w:r>
        <w:t xml:space="preserve"> this</w:t>
      </w:r>
      <w:r w:rsidRPr="00B70704">
        <w:t xml:space="preserve"> IPD to the aggregate data from our previous Campbell review</w:t>
      </w:r>
      <w:r w:rsidR="00F0062F">
        <w:fldChar w:fldCharType="begin"/>
      </w:r>
      <w:r w:rsidR="00F0062F">
        <w:instrText xml:space="preserve"> ADDIN EN.CITE &lt;EndNote&gt;&lt;Cite&gt;&lt;Author&gt;Welch&lt;/Author&gt;&lt;Year&gt;2016&lt;/Year&gt;&lt;RecNum&gt;5&lt;/RecNum&gt;&lt;DisplayText&gt;(5)&lt;/DisplayText&gt;&lt;record&gt;&lt;rec-number&gt;5&lt;/rec-number&gt;&lt;foreign-keys&gt;&lt;key app="EN" db-id="esezwrfeppt5a0ee92qx55shpt2wawp2txd5" timestamp="1561122245"&gt;5&lt;/key&gt;&lt;/foreign-keys&gt;&lt;ref-type name="Journal Article"&gt;17&lt;/ref-type&gt;&lt;contributors&gt;&lt;authors&gt;&lt;author&gt;Welch, Vivian.&lt;/author&gt;&lt;author&gt;Ghogomu, Elizabeth.&lt;/author&gt;&lt;author&gt;Hossain, Alomgir.&lt;/author&gt;&lt;author&gt;Awasthi, Shally.&lt;/author&gt;&lt;author&gt;Bhutta, Zulfi. &lt;/author&gt;&lt;author&gt;Cumberbatch, Chisa.&lt;/author&gt;&lt;author&gt;Fletcher, Robert.&lt;/author&gt;&lt;author&gt;McGowan,  Jessie.&lt;/author&gt;&lt;author&gt;Krishnaratne, Shari.&lt;/author&gt;&lt;author&gt;Kristjansson, Elizabeth.&lt;/author&gt;&lt;author&gt;Sohani, Salim.&lt;/author&gt;&lt;author&gt;Suresh, Shalini.&lt;/author&gt;&lt;author&gt;Tugwell, Peter.&lt;/author&gt;&lt;author&gt;Wells, George.  &lt;/author&gt;&lt;author&gt;White, Howard.&lt;/author&gt;&lt;/authors&gt;&lt;/contributors&gt;&lt;titles&gt;&lt;title&gt;Deworming and Adjuvant Interventions for Improving the Developmental Health and Well-being of Children in Low- and Middle-income Countries: A Systematic Review and Network Meta-analysis&lt;/title&gt;&lt;secondary-title&gt;Campbell Systematic Reviews&lt;/secondary-title&gt;&lt;/titles&gt;&lt;periodical&gt;&lt;full-title&gt;Campbell Systematic Reviews&lt;/full-title&gt;&lt;/periodical&gt;&lt;volume&gt;2016:7&lt;/volume&gt;&lt;dates&gt;&lt;year&gt;2016&lt;/year&gt;&lt;/dates&gt;&lt;urls&gt;&lt;/urls&gt;&lt;electronic-resource-num&gt;10.4073/csr.2016.7&lt;/electronic-resource-num&gt;&lt;/record&gt;&lt;/Cite&gt;&lt;/EndNote&gt;</w:instrText>
      </w:r>
      <w:r w:rsidR="00F0062F">
        <w:fldChar w:fldCharType="separate"/>
      </w:r>
      <w:r w:rsidR="00F0062F">
        <w:rPr>
          <w:noProof/>
        </w:rPr>
        <w:t>(</w:t>
      </w:r>
      <w:hyperlink w:anchor="_ENREF_5" w:tooltip="Welch, 2016 #5" w:history="1">
        <w:r w:rsidR="00BD5A89">
          <w:rPr>
            <w:noProof/>
          </w:rPr>
          <w:t>5</w:t>
        </w:r>
      </w:hyperlink>
      <w:r w:rsidR="00F0062F">
        <w:rPr>
          <w:noProof/>
        </w:rPr>
        <w:t>)</w:t>
      </w:r>
      <w:r w:rsidR="00F0062F">
        <w:fldChar w:fldCharType="end"/>
      </w:r>
      <w:r w:rsidRPr="00B70704">
        <w:t xml:space="preserve">, our effect </w:t>
      </w:r>
      <w:r>
        <w:t xml:space="preserve">estimate </w:t>
      </w:r>
      <w:r w:rsidRPr="00B70704">
        <w:t xml:space="preserve">for weight is </w:t>
      </w:r>
      <w:r>
        <w:t>comparable</w:t>
      </w:r>
      <w:r w:rsidRPr="00B70704">
        <w:t xml:space="preserve"> for both fixed and random effects meta-analyses</w:t>
      </w:r>
      <w:r>
        <w:t>, though there are difference in the studies we included</w:t>
      </w:r>
      <w:r w:rsidRPr="00B70704">
        <w:t xml:space="preserve"> (</w:t>
      </w:r>
      <w:r>
        <w:t>S5 Table</w:t>
      </w:r>
      <w:r w:rsidRPr="00B70704">
        <w:t>).</w:t>
      </w:r>
      <w:r>
        <w:t xml:space="preserve">  When we add all studies from Croke et al to our prior meta-analysis with data from three previously unpublished studies on weight, the effect on weight is 0.10 kg (05%CI: 0.03 to 0.17).  </w:t>
      </w:r>
      <w:r w:rsidRPr="00B70704">
        <w:t>In comparison to two prior Cochrane</w:t>
      </w:r>
      <w:r w:rsidR="00F0062F">
        <w:fldChar w:fldCharType="begin"/>
      </w:r>
      <w:r w:rsidR="00F0062F">
        <w:instrText xml:space="preserve"> ADDIN EN.CITE &lt;EndNote&gt;&lt;Cite&gt;&lt;Author&gt;Taylor‐Robinson&lt;/Author&gt;&lt;Year&gt;2015&lt;/Year&gt;&lt;RecNum&gt;4&lt;/RecNum&gt;&lt;DisplayText&gt;(4)&lt;/DisplayText&gt;&lt;record&gt;&lt;rec-number&gt;4&lt;/rec-number&gt;&lt;foreign-keys&gt;&lt;key app="EN" db-id="esezwrfeppt5a0ee92qx55shpt2wawp2txd5" timestamp="1561122244"&gt;4&lt;/key&gt;&lt;/foreign-keys&gt;&lt;ref-type name="Journal Article"&gt;17&lt;/ref-type&gt;&lt;contributors&gt;&lt;authors&gt;&lt;author&gt;Taylor‐Robinson, David C&lt;/author&gt;&lt;author&gt;Maayan, Nicola&lt;/author&gt;&lt;author&gt;Soares‐Weiser, Karla&lt;/author&gt;&lt;author&gt;Donegan, Sarah&lt;/author&gt;&lt;author&gt;Garner, Paul&lt;/author&gt;&lt;/authors&gt;&lt;/contributors&gt;&lt;titles&gt;&lt;title&gt;Deworming drugs for soil‐transmitted intestinal worms in children: effects on nutritional indicators, haemoglobin, and school performance&lt;/title&gt;&lt;secondary-title&gt;Cochrane Database of Systematic Reviews&lt;/secondary-title&gt;&lt;/titles&gt;&lt;periodical&gt;&lt;full-title&gt;Cochrane Database of Systematic Reviews&lt;/full-title&gt;&lt;/periodical&gt;&lt;number&gt;7&lt;/number&gt;&lt;dates&gt;&lt;year&gt;2015&lt;/year&gt;&lt;/dates&gt;&lt;isbn&gt;1465-1858&lt;/isbn&gt;&lt;urls&gt;&lt;/urls&gt;&lt;/record&gt;&lt;/Cite&gt;&lt;/EndNote&gt;</w:instrText>
      </w:r>
      <w:r w:rsidR="00F0062F">
        <w:fldChar w:fldCharType="separate"/>
      </w:r>
      <w:r w:rsidR="00F0062F">
        <w:rPr>
          <w:noProof/>
        </w:rPr>
        <w:t>(</w:t>
      </w:r>
      <w:hyperlink w:anchor="_ENREF_4" w:tooltip="Taylor‐Robinson, 2015 #4" w:history="1">
        <w:r w:rsidR="00BD5A89">
          <w:rPr>
            <w:noProof/>
          </w:rPr>
          <w:t>4</w:t>
        </w:r>
      </w:hyperlink>
      <w:r w:rsidR="00F0062F">
        <w:rPr>
          <w:noProof/>
        </w:rPr>
        <w:t>)</w:t>
      </w:r>
      <w:r w:rsidR="00F0062F">
        <w:fldChar w:fldCharType="end"/>
      </w:r>
      <w:r w:rsidRPr="00B70704">
        <w:t xml:space="preserve"> and Campbell</w:t>
      </w:r>
      <w:r w:rsidR="00F0062F">
        <w:fldChar w:fldCharType="begin"/>
      </w:r>
      <w:r w:rsidR="00F0062F">
        <w:instrText xml:space="preserve"> ADDIN EN.CITE &lt;EndNote&gt;&lt;Cite&gt;&lt;Author&gt;Welch&lt;/Author&gt;&lt;Year&gt;2016&lt;/Year&gt;&lt;RecNum&gt;5&lt;/RecNum&gt;&lt;DisplayText&gt;(5)&lt;/DisplayText&gt;&lt;record&gt;&lt;rec-number&gt;5&lt;/rec-number&gt;&lt;foreign-keys&gt;&lt;key app="EN" db-id="esezwrfeppt5a0ee92qx55shpt2wawp2txd5" timestamp="1561122245"&gt;5&lt;/key&gt;&lt;/foreign-keys&gt;&lt;ref-type name="Journal Article"&gt;17&lt;/ref-type&gt;&lt;contributors&gt;&lt;authors&gt;&lt;author&gt;Welch, Vivian.&lt;/author&gt;&lt;author&gt;Ghogomu, Elizabeth.&lt;/author&gt;&lt;author&gt;Hossain, Alomgir.&lt;/author&gt;&lt;author&gt;Awasthi, Shally.&lt;/author&gt;&lt;author&gt;Bhutta, Zulfi. &lt;/author&gt;&lt;author&gt;Cumberbatch, Chisa.&lt;/author&gt;&lt;author&gt;Fletcher, Robert.&lt;/author&gt;&lt;author&gt;McGowan,  Jessie.&lt;/author&gt;&lt;author&gt;Krishnaratne, Shari.&lt;/author&gt;&lt;author&gt;Kristjansson, Elizabeth.&lt;/author&gt;&lt;author&gt;Sohani, Salim.&lt;/author&gt;&lt;author&gt;Suresh, Shalini.&lt;/author&gt;&lt;author&gt;Tugwell, Peter.&lt;/author&gt;&lt;author&gt;Wells, George.  &lt;/author&gt;&lt;author&gt;White, Howard.&lt;/author&gt;&lt;/authors&gt;&lt;/contributors&gt;&lt;titles&gt;&lt;title&gt;Deworming and Adjuvant Interventions for Improving the Developmental Health and Well-being of Children in Low- and Middle-income Countries: A Systematic Review and Network Meta-analysis&lt;/title&gt;&lt;secondary-title&gt;Campbell Systematic Reviews&lt;/secondary-title&gt;&lt;/titles&gt;&lt;periodical&gt;&lt;full-title&gt;Campbell Systematic Reviews&lt;/full-title&gt;&lt;/periodical&gt;&lt;volume&gt;2016:7&lt;/volume&gt;&lt;dates&gt;&lt;year&gt;2016&lt;/year&gt;&lt;/dates&gt;&lt;urls&gt;&lt;/urls&gt;&lt;electronic-resource-num&gt;10.4073/csr.2016.7&lt;/electronic-resource-num&gt;&lt;/record&gt;&lt;/Cite&gt;&lt;/EndNote&gt;</w:instrText>
      </w:r>
      <w:r w:rsidR="00F0062F">
        <w:fldChar w:fldCharType="separate"/>
      </w:r>
      <w:r w:rsidR="00F0062F">
        <w:rPr>
          <w:noProof/>
        </w:rPr>
        <w:t>(</w:t>
      </w:r>
      <w:hyperlink w:anchor="_ENREF_5" w:tooltip="Welch, 2016 #5" w:history="1">
        <w:r w:rsidR="00BD5A89">
          <w:rPr>
            <w:noProof/>
          </w:rPr>
          <w:t>5</w:t>
        </w:r>
      </w:hyperlink>
      <w:r w:rsidR="00F0062F">
        <w:rPr>
          <w:noProof/>
        </w:rPr>
        <w:t>)</w:t>
      </w:r>
      <w:r w:rsidR="00F0062F">
        <w:fldChar w:fldCharType="end"/>
      </w:r>
      <w:r w:rsidRPr="00B70704">
        <w:t xml:space="preserve"> reviews, our </w:t>
      </w:r>
      <w:r>
        <w:t>findings</w:t>
      </w:r>
      <w:r w:rsidRPr="00B70704">
        <w:t xml:space="preserve"> are similar, with a smaller effect size for weight</w:t>
      </w:r>
      <w:r>
        <w:t xml:space="preserve"> and height (S6 Table)</w:t>
      </w:r>
      <w:r w:rsidRPr="00B70704">
        <w:t xml:space="preserve">.  We conducted </w:t>
      </w:r>
      <w:r w:rsidRPr="00B70704">
        <w:rPr>
          <w:i/>
        </w:rPr>
        <w:t>post-hoc</w:t>
      </w:r>
      <w:r w:rsidRPr="00B70704">
        <w:t xml:space="preserve"> meta-regression analyses, using aggregate data from all studies</w:t>
      </w:r>
      <w:r>
        <w:t xml:space="preserve"> included in our prior systematic review as well as previously unpublished data on weight from this review</w:t>
      </w:r>
      <w:r w:rsidR="00F0062F">
        <w:fldChar w:fldCharType="begin"/>
      </w:r>
      <w:r w:rsidR="00F0062F">
        <w:instrText xml:space="preserve"> ADDIN EN.CITE &lt;EndNote&gt;&lt;Cite&gt;&lt;Author&gt;Welch&lt;/Author&gt;&lt;Year&gt;2016&lt;/Year&gt;&lt;RecNum&gt;5&lt;/RecNum&gt;&lt;DisplayText&gt;(5)&lt;/DisplayText&gt;&lt;record&gt;&lt;rec-number&gt;5&lt;/rec-number&gt;&lt;foreign-keys&gt;&lt;key app="EN" db-id="esezwrfeppt5a0ee92qx55shpt2wawp2txd5" timestamp="1561122245"&gt;5&lt;/key&gt;&lt;/foreign-keys&gt;&lt;ref-type name="Journal Article"&gt;17&lt;/ref-type&gt;&lt;contributors&gt;&lt;authors&gt;&lt;author&gt;Welch, Vivian.&lt;/author&gt;&lt;author&gt;Ghogomu, Elizabeth.&lt;/author&gt;&lt;author&gt;Hossain, Alomgir.&lt;/author&gt;&lt;author&gt;Awasthi, Shally.&lt;/author&gt;&lt;author&gt;Bhutta, Zulfi. &lt;/author&gt;&lt;author&gt;Cumberbatch, Chisa.&lt;/author&gt;&lt;author&gt;Fletcher, Robert.&lt;/author&gt;&lt;author&gt;McGowan,  Jessie.&lt;/author&gt;&lt;author&gt;Krishnaratne, Shari.&lt;/author&gt;&lt;author&gt;Kristjansson, Elizabeth.&lt;/author&gt;&lt;author&gt;Sohani, Salim.&lt;/author&gt;&lt;author&gt;Suresh, Shalini.&lt;/author&gt;&lt;author&gt;Tugwell, Peter.&lt;/author&gt;&lt;author&gt;Wells, George.  &lt;/author&gt;&lt;author&gt;White, Howard.&lt;/author&gt;&lt;/authors&gt;&lt;/contributors&gt;&lt;titles&gt;&lt;title&gt;Deworming and Adjuvant Interventions for Improving the Developmental Health and Well-being of Children in Low- and Middle-income Countries: A Systematic Review and Network Meta-analysis&lt;/title&gt;&lt;secondary-title&gt;Campbell Systematic Reviews&lt;/secondary-title&gt;&lt;/titles&gt;&lt;periodical&gt;&lt;full-title&gt;Campbell Systematic Reviews&lt;/full-title&gt;&lt;/periodical&gt;&lt;volume&gt;2016:7&lt;/volume&gt;&lt;dates&gt;&lt;year&gt;2016&lt;/year&gt;&lt;/dates&gt;&lt;urls&gt;&lt;/urls&gt;&lt;electronic-resource-num&gt;10.4073/csr.2016.7&lt;/electronic-resource-num&gt;&lt;/record&gt;&lt;/Cite&gt;&lt;/EndNote&gt;</w:instrText>
      </w:r>
      <w:r w:rsidR="00F0062F">
        <w:fldChar w:fldCharType="separate"/>
      </w:r>
      <w:r w:rsidR="00F0062F">
        <w:rPr>
          <w:noProof/>
        </w:rPr>
        <w:t>(</w:t>
      </w:r>
      <w:hyperlink w:anchor="_ENREF_5" w:tooltip="Welch, 2016 #5" w:history="1">
        <w:r w:rsidR="00BD5A89">
          <w:rPr>
            <w:noProof/>
          </w:rPr>
          <w:t>5</w:t>
        </w:r>
      </w:hyperlink>
      <w:r w:rsidR="00F0062F">
        <w:rPr>
          <w:noProof/>
        </w:rPr>
        <w:t>)</w:t>
      </w:r>
      <w:r w:rsidR="00F0062F">
        <w:fldChar w:fldCharType="end"/>
      </w:r>
      <w:r w:rsidRPr="00B70704">
        <w:t>.</w:t>
      </w:r>
      <w:r w:rsidR="00871C5E" w:rsidRPr="00B70704">
        <w:t xml:space="preserve">  There was no statistically significant effect of year of publication</w:t>
      </w:r>
      <w:r w:rsidR="00C35346">
        <w:t xml:space="preserve">, </w:t>
      </w:r>
      <w:r w:rsidR="00DF5CB2">
        <w:rPr>
          <w:i/>
        </w:rPr>
        <w:t xml:space="preserve">T. </w:t>
      </w:r>
      <w:proofErr w:type="spellStart"/>
      <w:r w:rsidR="00EB3807">
        <w:rPr>
          <w:i/>
        </w:rPr>
        <w:t>trich</w:t>
      </w:r>
      <w:r w:rsidR="00B516B6">
        <w:rPr>
          <w:i/>
        </w:rPr>
        <w:t>i</w:t>
      </w:r>
      <w:r w:rsidR="00EB3807">
        <w:rPr>
          <w:i/>
        </w:rPr>
        <w:t>ura</w:t>
      </w:r>
      <w:proofErr w:type="spellEnd"/>
      <w:r w:rsidR="00871C5E" w:rsidRPr="00B70704">
        <w:t xml:space="preserve"> or</w:t>
      </w:r>
      <w:r w:rsidR="00816EB8" w:rsidRPr="00B70704">
        <w:t xml:space="preserve"> </w:t>
      </w:r>
      <w:r w:rsidR="00DF5CB2">
        <w:rPr>
          <w:i/>
        </w:rPr>
        <w:t>A. lumbricoides</w:t>
      </w:r>
      <w:r w:rsidR="00871C5E" w:rsidRPr="00B70704">
        <w:t xml:space="preserve"> prevalence</w:t>
      </w:r>
      <w:r w:rsidR="007A5ECF" w:rsidRPr="00B70704">
        <w:t>. H</w:t>
      </w:r>
      <w:r w:rsidR="00871C5E" w:rsidRPr="00B70704">
        <w:t xml:space="preserve">ookworm prevalence </w:t>
      </w:r>
      <w:r w:rsidR="007A5ECF" w:rsidRPr="00B70704">
        <w:t>was positively associated</w:t>
      </w:r>
      <w:r w:rsidR="00871C5E" w:rsidRPr="00B70704">
        <w:t xml:space="preserve"> with weight</w:t>
      </w:r>
      <w:r w:rsidR="001E28F6">
        <w:t xml:space="preserve"> gain</w:t>
      </w:r>
      <w:r w:rsidR="00871C5E" w:rsidRPr="00B70704">
        <w:t xml:space="preserve"> (p=0.014</w:t>
      </w:r>
      <w:r w:rsidR="004F3F60" w:rsidRPr="00B70704">
        <w:t>;</w:t>
      </w:r>
      <w:r w:rsidR="00BD5A94" w:rsidRPr="00BD5A94">
        <w:t xml:space="preserve"> </w:t>
      </w:r>
      <w:r w:rsidRPr="00BD5A94">
        <w:t xml:space="preserve">Fig </w:t>
      </w:r>
      <w:r>
        <w:t>6</w:t>
      </w:r>
      <w:r w:rsidRPr="00B70704">
        <w:t xml:space="preserve">). </w:t>
      </w:r>
    </w:p>
    <w:p w14:paraId="07A485F4" w14:textId="77777777" w:rsidR="000C7888" w:rsidRDefault="000C7888" w:rsidP="000C7888">
      <w:pPr>
        <w:spacing w:line="480" w:lineRule="auto"/>
      </w:pPr>
    </w:p>
    <w:p w14:paraId="4DB395CA" w14:textId="77777777" w:rsidR="000C7888" w:rsidRDefault="000C7888" w:rsidP="000C7888">
      <w:pPr>
        <w:spacing w:line="480" w:lineRule="auto"/>
        <w:rPr>
          <w:b/>
        </w:rPr>
      </w:pPr>
      <w:r w:rsidRPr="00BC2403">
        <w:rPr>
          <w:b/>
        </w:rPr>
        <w:t>Fig 6: Meta-regression analyses using all STH deworming vs. placebo studies</w:t>
      </w:r>
    </w:p>
    <w:p w14:paraId="7D865067" w14:textId="77777777" w:rsidR="00E70E4F" w:rsidRPr="00BC2403" w:rsidRDefault="00E70E4F" w:rsidP="000C7888">
      <w:pPr>
        <w:spacing w:line="480" w:lineRule="auto"/>
        <w:rPr>
          <w:b/>
        </w:rPr>
      </w:pPr>
    </w:p>
    <w:p w14:paraId="505D130F" w14:textId="759EDDB9" w:rsidR="00E45D5C" w:rsidRPr="00037832" w:rsidRDefault="00E45D5C" w:rsidP="007309C5">
      <w:pPr>
        <w:pStyle w:val="Heading1"/>
        <w:spacing w:line="480" w:lineRule="auto"/>
        <w:rPr>
          <w:rFonts w:asciiTheme="minorHAnsi" w:hAnsiTheme="minorHAnsi"/>
        </w:rPr>
      </w:pPr>
      <w:r w:rsidRPr="00037832">
        <w:rPr>
          <w:rFonts w:asciiTheme="minorHAnsi" w:hAnsiTheme="minorHAnsi"/>
        </w:rPr>
        <w:t>Discussion</w:t>
      </w:r>
    </w:p>
    <w:p w14:paraId="14976704" w14:textId="4BF8B9D7" w:rsidR="000C7888" w:rsidRDefault="000C7888" w:rsidP="000C7888">
      <w:pPr>
        <w:spacing w:before="120" w:after="120" w:line="480" w:lineRule="auto"/>
      </w:pPr>
      <w:r>
        <w:t xml:space="preserve">A central issue of the debate about the effects of deworming on child nutritional and cognitive outcomes has been the difficulty in detecting effects from averages across populations where many children are uninfected or lightly infected and thus unlikely to benefit from deworming.  Thus the added value of our study is the assessment of effect modification using individual level data.  Analysis of individual level data for children with moderate or heavy intensity infections show that deworming may increase weight in children with moderate to heavy intensity infections of </w:t>
      </w:r>
      <w:r w:rsidRPr="00DC2C62">
        <w:rPr>
          <w:i/>
        </w:rPr>
        <w:t>A. Lumbricoides</w:t>
      </w:r>
      <w:r>
        <w:t xml:space="preserve"> or </w:t>
      </w:r>
      <w:r w:rsidRPr="00DC2C62">
        <w:rPr>
          <w:i/>
        </w:rPr>
        <w:t xml:space="preserve">T. </w:t>
      </w:r>
      <w:proofErr w:type="spellStart"/>
      <w:r w:rsidR="00B35C1B">
        <w:rPr>
          <w:i/>
        </w:rPr>
        <w:t>t</w:t>
      </w:r>
      <w:r w:rsidR="00CE0168">
        <w:rPr>
          <w:i/>
        </w:rPr>
        <w:t>richiura</w:t>
      </w:r>
      <w:proofErr w:type="spellEnd"/>
      <w:r>
        <w:t xml:space="preserve"> (but not hookworm) (very low certainty).  These analyses did not show a statistically significant relationship for any other covariates for the effect of deworming on weight, height, hemoglobin or cognition in our network meta-analysis; covariates were age, anaemia, height for age, BMI for age and infection intensity for each type of STH according to the median of the distribution.  These effect modification analyses are considered very low certainty since they are based on subgroup analyses and are imprecise.  It is uncertain whether these</w:t>
      </w:r>
      <w:r w:rsidR="00297696" w:rsidRPr="00B70704">
        <w:t xml:space="preserve"> findings </w:t>
      </w:r>
      <w:r>
        <w:t>would apply to children with heavy intensity infections since these represent less than 20% of the children in these analyses.</w:t>
      </w:r>
    </w:p>
    <w:p w14:paraId="6EDC249A" w14:textId="12998283" w:rsidR="000C7888" w:rsidRDefault="000C7888" w:rsidP="000C7888">
      <w:pPr>
        <w:spacing w:before="120" w:after="120" w:line="480" w:lineRule="auto"/>
      </w:pPr>
      <w:r>
        <w:t>Secondly, our network meta-analysis approach allows the comparison of effects for deworming for STH when combined with micronutrients, iron or deworming for schistosomiasis.</w:t>
      </w:r>
      <w:r w:rsidR="00297696" w:rsidRPr="00B70704">
        <w:t xml:space="preserve">  </w:t>
      </w:r>
      <w:r w:rsidR="0035742D" w:rsidRPr="00B70704">
        <w:t xml:space="preserve">Combining </w:t>
      </w:r>
      <w:r w:rsidR="00297696" w:rsidRPr="00B70704">
        <w:t xml:space="preserve">STH deworming with micronutrients or iron </w:t>
      </w:r>
      <w:r w:rsidR="001E28F6">
        <w:t>was</w:t>
      </w:r>
      <w:r w:rsidR="00297696" w:rsidRPr="00B70704">
        <w:t xml:space="preserve"> </w:t>
      </w:r>
      <w:r>
        <w:t xml:space="preserve">more </w:t>
      </w:r>
      <w:r w:rsidR="00297696" w:rsidRPr="00B70704">
        <w:t xml:space="preserve">effective </w:t>
      </w:r>
      <w:r>
        <w:t xml:space="preserve">than placebo </w:t>
      </w:r>
      <w:r w:rsidR="00297696" w:rsidRPr="00B70704">
        <w:t>for improving h</w:t>
      </w:r>
      <w:r w:rsidR="00816EB8" w:rsidRPr="00B70704">
        <w:t>a</w:t>
      </w:r>
      <w:r w:rsidR="00297696" w:rsidRPr="00B70704">
        <w:t>emoglobin</w:t>
      </w:r>
      <w:r w:rsidR="00BE19C4" w:rsidRPr="00B70704">
        <w:t xml:space="preserve">, but not more effective than micronutrients </w:t>
      </w:r>
      <w:r>
        <w:t xml:space="preserve">or iron </w:t>
      </w:r>
      <w:r w:rsidRPr="00B70704">
        <w:t xml:space="preserve">alone. </w:t>
      </w:r>
      <w:r>
        <w:t>Combinations with praziquantel were also more effective at improving hemoglobin than STH deworming alone.</w:t>
      </w:r>
      <w:r w:rsidR="00297696" w:rsidRPr="00B70704">
        <w:t xml:space="preserve"> </w:t>
      </w:r>
      <w:r w:rsidR="00816EB8" w:rsidRPr="00B70704">
        <w:t xml:space="preserve">There were little to no effects on short-term </w:t>
      </w:r>
      <w:r w:rsidR="00816EB8" w:rsidRPr="00B70704">
        <w:lastRenderedPageBreak/>
        <w:t xml:space="preserve">attention, school performance </w:t>
      </w:r>
      <w:r>
        <w:t>or</w:t>
      </w:r>
      <w:r w:rsidR="00816EB8" w:rsidRPr="00B70704">
        <w:t xml:space="preserve"> development in individual studies</w:t>
      </w:r>
      <w:r w:rsidR="00A3704A" w:rsidRPr="00B70704">
        <w:t>, but these were limited by imprecision</w:t>
      </w:r>
      <w:r w:rsidR="00816EB8" w:rsidRPr="00B70704">
        <w:t xml:space="preserve">.  </w:t>
      </w:r>
    </w:p>
    <w:p w14:paraId="1DB108D5" w14:textId="00D8BB17" w:rsidR="00E45D5C" w:rsidRPr="00B70704" w:rsidRDefault="000C7888" w:rsidP="007309C5">
      <w:pPr>
        <w:spacing w:before="120" w:after="120" w:line="480" w:lineRule="auto"/>
      </w:pPr>
      <w:r>
        <w:t xml:space="preserve">Thirdly, we updated previous meta-analyses by adding previously unpublished data obtained from authors for this review.  These analyses reinforce the </w:t>
      </w:r>
      <w:r w:rsidR="001E28F6">
        <w:t xml:space="preserve">findings </w:t>
      </w:r>
      <w:r>
        <w:t>of population-level small effects on average for weight.  This included three previously unpublished estimates for weight.  This analysis replicated estimates of three prior systematic reviews of an average effect size on weight of about 100 grams and showed that this effect size was not related to the year of publication</w:t>
      </w:r>
      <w:r w:rsidR="001E28F6">
        <w:t>.</w:t>
      </w:r>
    </w:p>
    <w:p w14:paraId="2BAC99D0" w14:textId="0E857EAE" w:rsidR="00297696" w:rsidRDefault="00297696" w:rsidP="007309C5">
      <w:pPr>
        <w:spacing w:before="120" w:after="120" w:line="480" w:lineRule="auto"/>
      </w:pPr>
      <w:r w:rsidRPr="00B70704">
        <w:t xml:space="preserve">The findings are based on trials that </w:t>
      </w:r>
      <w:r w:rsidR="003922B1" w:rsidRPr="00B70704">
        <w:t>have</w:t>
      </w:r>
      <w:r w:rsidRPr="00B70704">
        <w:t xml:space="preserve"> an overall low risk of bias, and </w:t>
      </w:r>
      <w:r w:rsidR="004F24A9" w:rsidRPr="00B70704">
        <w:t>main effects were</w:t>
      </w:r>
      <w:r w:rsidRPr="00B70704">
        <w:t xml:space="preserve"> robust to restricting to the lowest risk of bias studies.  We considered the assumptions of transitivity and consistency for network meta-analysis </w:t>
      </w:r>
      <w:r w:rsidR="00A53769" w:rsidRPr="00B70704">
        <w:t>were</w:t>
      </w:r>
      <w:r w:rsidRPr="00B70704">
        <w:t xml:space="preserve"> plausible based on our analyses. </w:t>
      </w:r>
    </w:p>
    <w:p w14:paraId="750E1B51" w14:textId="18586A18" w:rsidR="00166DAF" w:rsidRPr="00896AA8" w:rsidRDefault="00166DAF" w:rsidP="007309C5">
      <w:pPr>
        <w:spacing w:before="120" w:after="120" w:line="480" w:lineRule="auto"/>
      </w:pPr>
      <w:r>
        <w:t>In 2010, the prevalence of all STH infections was below 30% for all regions of the world for each ST</w:t>
      </w:r>
      <w:r w:rsidR="00C07D24">
        <w:t>H which is somewhat lower than the average prevalence of 46% in our sample</w:t>
      </w:r>
      <w:r w:rsidR="00F0062F">
        <w:fldChar w:fldCharType="begin"/>
      </w:r>
      <w:r w:rsidR="00F0062F">
        <w:instrText xml:space="preserve"> ADDIN EN.CITE &lt;EndNote&gt;&lt;Cite&gt;&lt;Author&gt;Pullan&lt;/Author&gt;&lt;Year&gt;2014&lt;/Year&gt;&lt;RecNum&gt;1&lt;/RecNum&gt;&lt;DisplayText&gt;(1)&lt;/DisplayText&gt;&lt;record&gt;&lt;rec-number&gt;1&lt;/rec-number&gt;&lt;foreign-keys&gt;&lt;key app="EN" db-id="esezwrfeppt5a0ee92qx55shpt2wawp2txd5" timestamp="1561122244"&gt;1&lt;/key&gt;&lt;/foreign-keys&gt;&lt;ref-type name="Journal Article"&gt;17&lt;/ref-type&gt;&lt;contributors&gt;&lt;authors&gt;&lt;author&gt;Pullan, Rachel L&lt;/author&gt;&lt;author&gt;Smith, Jennifer L&lt;/author&gt;&lt;author&gt;Jasrasaria, Rashmi&lt;/author&gt;&lt;author&gt;Brooker, Simon J&lt;/author&gt;&lt;/authors&gt;&lt;/contributors&gt;&lt;titles&gt;&lt;title&gt;Global numbers of infection and disease burden of soil transmitted helminth infections in 2010&lt;/title&gt;&lt;secondary-title&gt;Parasites &amp;amp; vectors&lt;/secondary-title&gt;&lt;/titles&gt;&lt;periodical&gt;&lt;full-title&gt;Parasites &amp;amp; vectors&lt;/full-title&gt;&lt;/periodical&gt;&lt;pages&gt;37&lt;/pages&gt;&lt;volume&gt;7&lt;/volume&gt;&lt;number&gt;1&lt;/number&gt;&lt;dates&gt;&lt;year&gt;2014&lt;/year&gt;&lt;/dates&gt;&lt;isbn&gt;1756-3305&lt;/isbn&gt;&lt;urls&gt;&lt;/urls&gt;&lt;/record&gt;&lt;/Cite&gt;&lt;/EndNote&gt;</w:instrText>
      </w:r>
      <w:r w:rsidR="00F0062F">
        <w:fldChar w:fldCharType="separate"/>
      </w:r>
      <w:r w:rsidR="00F0062F">
        <w:rPr>
          <w:noProof/>
        </w:rPr>
        <w:t>(</w:t>
      </w:r>
      <w:hyperlink w:anchor="_ENREF_1" w:tooltip="Pullan, 2014 #1" w:history="1">
        <w:r w:rsidR="00BD5A89">
          <w:rPr>
            <w:noProof/>
          </w:rPr>
          <w:t>1</w:t>
        </w:r>
      </w:hyperlink>
      <w:r w:rsidR="00F0062F">
        <w:rPr>
          <w:noProof/>
        </w:rPr>
        <w:t>)</w:t>
      </w:r>
      <w:r w:rsidR="00F0062F">
        <w:fldChar w:fldCharType="end"/>
      </w:r>
      <w:r w:rsidR="000C7888">
        <w:t>.</w:t>
      </w:r>
      <w:r>
        <w:t xml:space="preserve">  These averages obscure the fact that some areas may have very high prevalence and </w:t>
      </w:r>
      <w:r w:rsidR="00C07D24">
        <w:t xml:space="preserve">heavy </w:t>
      </w:r>
      <w:r>
        <w:t xml:space="preserve">intensity infections. </w:t>
      </w:r>
      <w:r w:rsidRPr="009974F3">
        <w:rPr>
          <w:color w:val="0070C0"/>
        </w:rPr>
        <w:t xml:space="preserve"> </w:t>
      </w:r>
      <w:r w:rsidR="000C7888" w:rsidRPr="00963DD9">
        <w:rPr>
          <w:color w:val="000000" w:themeColor="text1"/>
        </w:rPr>
        <w:t xml:space="preserve">We expect that </w:t>
      </w:r>
      <w:r w:rsidR="000C7888">
        <w:t>the average effects of about 100 grams on weight may</w:t>
      </w:r>
      <w:r w:rsidR="009974F3" w:rsidRPr="00896AA8">
        <w:t xml:space="preserve"> apply to areas with similar</w:t>
      </w:r>
      <w:r w:rsidR="000C7888" w:rsidRPr="00896AA8">
        <w:t xml:space="preserve"> </w:t>
      </w:r>
      <w:r w:rsidR="000C7888">
        <w:t>infection prevalence and</w:t>
      </w:r>
      <w:r w:rsidR="009974F3" w:rsidRPr="00896AA8">
        <w:t xml:space="preserve"> intensity levels to children in this analysis but cannot be assumed to apply to areas where the intensity of infection is much higher.</w:t>
      </w:r>
    </w:p>
    <w:p w14:paraId="0C1FE037" w14:textId="63478214" w:rsidR="000C7888" w:rsidRPr="008751C6" w:rsidRDefault="000C7888" w:rsidP="000C7888">
      <w:pPr>
        <w:spacing w:line="480" w:lineRule="auto"/>
        <w:rPr>
          <w:lang w:val="en-US"/>
        </w:rPr>
      </w:pPr>
      <w:r>
        <w:t>Croke and colleagues</w:t>
      </w:r>
      <w:r w:rsidR="00F0062F">
        <w:fldChar w:fldCharType="begin"/>
      </w:r>
      <w:r w:rsidR="00F0062F">
        <w:instrText xml:space="preserve"> ADDIN EN.CITE &lt;EndNote&gt;&lt;Cite&gt;&lt;Author&gt;Croke&lt;/Author&gt;&lt;Year&gt;2016&lt;/Year&gt;&lt;RecNum&gt;6&lt;/RecNum&gt;&lt;DisplayText&gt;(6)&lt;/DisplayText&gt;&lt;record&gt;&lt;rec-number&gt;6&lt;/rec-number&gt;&lt;foreign-keys&gt;&lt;key app="EN" db-id="esezwrfeppt5a0ee92qx55shpt2wawp2txd5" timestamp="1561122245"&gt;6&lt;/key&gt;&lt;/foreign-keys&gt;&lt;ref-type name="Journal Article"&gt;17&lt;/ref-type&gt;&lt;contributors&gt;&lt;authors&gt;&lt;author&gt;Croke, Kevin&lt;/author&gt;&lt;author&gt;Hicks, Joan Hamory&lt;/author&gt;&lt;author&gt;Hsu, Eric&lt;/author&gt;&lt;author&gt;Kremer, Michael&lt;/author&gt;&lt;author&gt;Miguel, Edward&lt;/author&gt;&lt;/authors&gt;&lt;/contributors&gt;&lt;titles&gt;&lt;title&gt;Does mass deworming affect child nutrition&lt;/title&gt;&lt;secondary-title&gt;Meta-analysis, Cost-Effectiveness, and Statistical Power. Natl Bur Econ Res Work Pap Ser&lt;/secondary-title&gt;&lt;/titles&gt;&lt;periodical&gt;&lt;full-title&gt;Meta-analysis, Cost-Effectiveness, and Statistical Power. Natl Bur Econ Res Work Pap Ser&lt;/full-title&gt;&lt;/periodical&gt;&lt;volume&gt;22382&lt;/volume&gt;&lt;dates&gt;&lt;year&gt;2016&lt;/year&gt;&lt;/dates&gt;&lt;urls&gt;&lt;/urls&gt;&lt;/record&gt;&lt;/Cite&gt;&lt;/EndNote&gt;</w:instrText>
      </w:r>
      <w:r w:rsidR="00F0062F">
        <w:fldChar w:fldCharType="separate"/>
      </w:r>
      <w:r w:rsidR="00F0062F">
        <w:rPr>
          <w:noProof/>
        </w:rPr>
        <w:t>(</w:t>
      </w:r>
      <w:hyperlink w:anchor="_ENREF_6" w:tooltip="Croke, 2016 #6" w:history="1">
        <w:r w:rsidR="00BD5A89">
          <w:rPr>
            <w:noProof/>
          </w:rPr>
          <w:t>6</w:t>
        </w:r>
      </w:hyperlink>
      <w:r w:rsidR="00F0062F">
        <w:rPr>
          <w:noProof/>
        </w:rPr>
        <w:t>)</w:t>
      </w:r>
      <w:r w:rsidR="00F0062F">
        <w:fldChar w:fldCharType="end"/>
      </w:r>
      <w:r>
        <w:t xml:space="preserve"> proposed that the prior Cochrane review was under-powered to detect effects which could be considered cost-effective.  With 31,945 children and 19 studies, our current analysis has over 90% power to detect an average effect size of 0.1 kg in the presence of moderate heterogeneity for the comparison of STH deworming vs. placebo</w:t>
      </w:r>
      <w:r w:rsidR="00F0062F">
        <w:fldChar w:fldCharType="begin"/>
      </w:r>
      <w:r w:rsidR="00F0062F">
        <w:instrText xml:space="preserve"> ADDIN EN.CITE &lt;EndNote&gt;&lt;Cite&gt;&lt;Author&gt;Hedges&lt;/Author&gt;&lt;Year&gt;2001&lt;/Year&gt;&lt;RecNum&gt;22&lt;/RecNum&gt;&lt;DisplayText&gt;(22, 23)&lt;/DisplayText&gt;&lt;record&gt;&lt;rec-number&gt;22&lt;/rec-number&gt;&lt;foreign-keys&gt;&lt;key app="EN" db-id="esezwrfeppt5a0ee92qx55shpt2wawp2txd5" timestamp="1561122248"&gt;22&lt;/key&gt;&lt;/foreign-keys&gt;&lt;ref-type name="Journal Article"&gt;17&lt;/ref-type&gt;&lt;contributors&gt;&lt;authors&gt;&lt;author&gt;Hedges, Larry V&lt;/author&gt;&lt;author&gt;Pigott, Therese D&lt;/author&gt;&lt;/authors&gt;&lt;/contributors&gt;&lt;titles&gt;&lt;title&gt;The power of statistical tests in meta-analysis&lt;/title&gt;&lt;secondary-title&gt;Psychological methods&lt;/secondary-title&gt;&lt;/titles&gt;&lt;periodical&gt;&lt;full-title&gt;Psychological methods&lt;/full-title&gt;&lt;/periodical&gt;&lt;pages&gt;203&lt;/pages&gt;&lt;volume&gt;6&lt;/volume&gt;&lt;number&gt;3&lt;/number&gt;&lt;dates&gt;&lt;year&gt;2001&lt;/year&gt;&lt;/dates&gt;&lt;isbn&gt;1939-1463&lt;/isbn&gt;&lt;urls&gt;&lt;/urls&gt;&lt;/record&gt;&lt;/Cite&gt;&lt;Cite&gt;&lt;Author&gt;Tiebel&lt;/Author&gt;&lt;Year&gt;2008&lt;/Year&gt;&lt;RecNum&gt;23&lt;/RecNum&gt;&lt;record&gt;&lt;rec-number&gt;23&lt;/rec-number&gt;&lt;foreign-keys&gt;&lt;key app="EN" db-id="esezwrfeppt5a0ee92qx55shpt2wawp2txd5" timestamp="1561122248"&gt;23&lt;/key&gt;&lt;/foreign-keys&gt;&lt;ref-type name="Electronic Source"&gt;12&lt;/ref-type&gt;&lt;contributors&gt;&lt;authors&gt;&lt;author&gt;Tiebel, J.&lt;/author&gt;&lt;/authors&gt;&lt;/contributors&gt;&lt;titles&gt;&lt;title&gt;Calculation of statistical power in meta-analysis&lt;/title&gt;&lt;/titles&gt;&lt;dates&gt;&lt;year&gt;2008&lt;/year&gt;&lt;/dates&gt;&lt;pub-location&gt;OSF&lt;/pub-location&gt;&lt;urls&gt;&lt;related-urls&gt;&lt;url&gt;https://doi.org/10.17605/OSF.IO/W4XRS &lt;/url&gt;&lt;/related-urls&gt;&lt;/urls&gt;&lt;/record&gt;&lt;/Cite&gt;&lt;Cite&gt;&lt;Author&gt;Tiebel&lt;/Author&gt;&lt;Year&gt;2008&lt;/Year&gt;&lt;RecNum&gt;23&lt;/RecNum&gt;&lt;record&gt;&lt;rec-number&gt;23&lt;/rec-number&gt;&lt;foreign-keys&gt;&lt;key app="EN" db-id="esezwrfeppt5a0ee92qx55shpt2wawp2txd5" timestamp="1561122248"&gt;23&lt;/key&gt;&lt;/foreign-keys&gt;&lt;ref-type name="Electronic Source"&gt;12&lt;/ref-type&gt;&lt;contributors&gt;&lt;authors&gt;&lt;author&gt;Tiebel, J.&lt;/author&gt;&lt;/authors&gt;&lt;/contributors&gt;&lt;titles&gt;&lt;title&gt;Calculation of statistical power in meta-analysis&lt;/title&gt;&lt;/titles&gt;&lt;dates&gt;&lt;year&gt;2008&lt;/year&gt;&lt;/dates&gt;&lt;pub-location&gt;OSF&lt;/pub-location&gt;&lt;urls&gt;&lt;related-urls&gt;&lt;url&gt;https://doi.org/10.17605/OSF.IO/W4XRS &lt;/url&gt;&lt;/related-urls&gt;&lt;/urls&gt;&lt;/record&gt;&lt;/Cite&gt;&lt;/EndNote&gt;</w:instrText>
      </w:r>
      <w:r w:rsidR="00F0062F">
        <w:fldChar w:fldCharType="separate"/>
      </w:r>
      <w:r w:rsidR="00F0062F">
        <w:rPr>
          <w:noProof/>
        </w:rPr>
        <w:t>(</w:t>
      </w:r>
      <w:hyperlink w:anchor="_ENREF_22" w:tooltip="Hedges, 2001 #22" w:history="1">
        <w:r w:rsidR="00BD5A89">
          <w:rPr>
            <w:noProof/>
          </w:rPr>
          <w:t>22</w:t>
        </w:r>
      </w:hyperlink>
      <w:r w:rsidR="00F0062F">
        <w:rPr>
          <w:noProof/>
        </w:rPr>
        <w:t xml:space="preserve">, </w:t>
      </w:r>
      <w:hyperlink w:anchor="_ENREF_23" w:tooltip="Tiebel, 2008 #23" w:history="1">
        <w:r w:rsidR="00BD5A89">
          <w:rPr>
            <w:noProof/>
          </w:rPr>
          <w:t>23</w:t>
        </w:r>
      </w:hyperlink>
      <w:r w:rsidR="00F0062F">
        <w:rPr>
          <w:noProof/>
        </w:rPr>
        <w:t>)</w:t>
      </w:r>
      <w:r w:rsidR="00F0062F">
        <w:fldChar w:fldCharType="end"/>
      </w:r>
      <w:r w:rsidDel="00157BCF">
        <w:t xml:space="preserve"> </w:t>
      </w:r>
      <w:r>
        <w:t xml:space="preserve">. Croke et al argued that the </w:t>
      </w:r>
      <w:r w:rsidR="00037832">
        <w:t xml:space="preserve">average </w:t>
      </w:r>
      <w:r>
        <w:t>effect size they found of 0.13 kg was cost-effective based on dividing the cost of $0.60 for two annual treatments of deworming by the weight gain, equating to $4.48/kg which is far less than the comparable cost per kg of school meals of $112 to $252/kg</w:t>
      </w:r>
      <w:r w:rsidR="00F0062F">
        <w:fldChar w:fldCharType="begin"/>
      </w:r>
      <w:r w:rsidR="00F0062F">
        <w:instrText xml:space="preserve"> ADDIN EN.CITE &lt;EndNote&gt;&lt;Cite&gt;&lt;Author&gt;Galloway&lt;/Author&gt;&lt;Year&gt;2009&lt;/Year&gt;&lt;RecNum&gt;24&lt;/RecNum&gt;&lt;DisplayText&gt;(24)&lt;/DisplayText&gt;&lt;record&gt;&lt;rec-number&gt;24&lt;/rec-number&gt;&lt;foreign-keys&gt;&lt;key app="EN" db-id="esezwrfeppt5a0ee92qx55shpt2wawp2txd5" timestamp="1561122248"&gt;24&lt;/key&gt;&lt;/foreign-keys&gt;&lt;ref-type name="Journal Article"&gt;17&lt;/ref-type&gt;&lt;contributors&gt;&lt;authors&gt;&lt;author&gt;Galloway, Rae&lt;/author&gt;&lt;author&gt;Kristjansson, Elizabeth&lt;/author&gt;&lt;author&gt;Gelli, Aulo&lt;/author&gt;&lt;author&gt;Meir, Ute&lt;/author&gt;&lt;author&gt;Espejo, Francisco&lt;/author&gt;&lt;author&gt;Bundy, Donald&lt;/author&gt;&lt;/authors&gt;&lt;/contributors&gt;&lt;titles&gt;&lt;title&gt;School feeding: outcomes and costs&lt;/title&gt;&lt;secondary-title&gt;Food and Nutrition Bulletin&lt;/secondary-title&gt;&lt;/titles&gt;&lt;periodical&gt;&lt;full-title&gt;Food and Nutrition Bulletin&lt;/full-title&gt;&lt;/periodical&gt;&lt;pages&gt;171-182&lt;/pages&gt;&lt;volume&gt;30&lt;/volume&gt;&lt;number&gt;2&lt;/number&gt;&lt;dates&gt;&lt;year&gt;2009&lt;/year&gt;&lt;/dates&gt;&lt;isbn&gt;0379-5721&lt;/isbn&gt;&lt;urls&gt;&lt;/urls&gt;&lt;/record&gt;&lt;/Cite&gt;&lt;/EndNote&gt;</w:instrText>
      </w:r>
      <w:r w:rsidR="00F0062F">
        <w:fldChar w:fldCharType="separate"/>
      </w:r>
      <w:r w:rsidR="00F0062F">
        <w:rPr>
          <w:noProof/>
        </w:rPr>
        <w:t>(</w:t>
      </w:r>
      <w:hyperlink w:anchor="_ENREF_24" w:tooltip="Galloway, 2009 #24" w:history="1">
        <w:r w:rsidR="00BD5A89">
          <w:rPr>
            <w:noProof/>
          </w:rPr>
          <w:t>24</w:t>
        </w:r>
      </w:hyperlink>
      <w:r w:rsidR="00F0062F">
        <w:rPr>
          <w:noProof/>
        </w:rPr>
        <w:t>)</w:t>
      </w:r>
      <w:r w:rsidR="00F0062F">
        <w:fldChar w:fldCharType="end"/>
      </w:r>
      <w:r>
        <w:t xml:space="preserve">.  We consider the average effect size, based on the totality of </w:t>
      </w:r>
      <w:r>
        <w:lastRenderedPageBreak/>
        <w:t xml:space="preserve">evidence, not just the IPD analysis, of 100 grams, to be of small practical importance for the typical child in these deworming studies of 7-10 years of age, who gains approximately 2 kg per year based on WHO annual growth charts. For children with moderate or heavy intensity </w:t>
      </w:r>
      <w:r w:rsidRPr="0069489B">
        <w:rPr>
          <w:i/>
        </w:rPr>
        <w:t>A</w:t>
      </w:r>
      <w:r w:rsidR="00B35C1B">
        <w:rPr>
          <w:i/>
        </w:rPr>
        <w:t>.</w:t>
      </w:r>
      <w:r w:rsidRPr="0069489B">
        <w:rPr>
          <w:i/>
        </w:rPr>
        <w:t xml:space="preserve"> </w:t>
      </w:r>
      <w:r w:rsidR="00B35C1B">
        <w:rPr>
          <w:i/>
        </w:rPr>
        <w:t>l</w:t>
      </w:r>
      <w:r w:rsidRPr="0069489B">
        <w:rPr>
          <w:i/>
        </w:rPr>
        <w:t>umbricoides</w:t>
      </w:r>
      <w:r>
        <w:t xml:space="preserve"> infections, the effect on weight was 0.12 kg (95%CI: -0.05 to 0.28) which includes effect sizes of up to 280 grams which may be of importance to younger and more vulnerable children.</w:t>
      </w:r>
      <w:r w:rsidRPr="00403AA6">
        <w:t xml:space="preserve">  This is smaller than effects of other nutritional programs such as school</w:t>
      </w:r>
      <w:r>
        <w:t xml:space="preserve"> </w:t>
      </w:r>
      <w:r w:rsidRPr="00403AA6">
        <w:t xml:space="preserve">feeding which </w:t>
      </w:r>
      <w:r>
        <w:t xml:space="preserve">increases weight gain on average at a population level by about </w:t>
      </w:r>
      <w:r w:rsidRPr="00403AA6">
        <w:t>0.39 kg annually</w:t>
      </w:r>
      <w:r w:rsidR="00F0062F">
        <w:fldChar w:fldCharType="begin"/>
      </w:r>
      <w:r w:rsidR="00F0062F">
        <w:instrText xml:space="preserve"> ADDIN EN.CITE &lt;EndNote&gt;&lt;Cite&gt;&lt;Author&gt;Kristjansson&lt;/Author&gt;&lt;Year&gt;2007&lt;/Year&gt;&lt;RecNum&gt;25&lt;/RecNum&gt;&lt;DisplayText&gt;(25)&lt;/DisplayText&gt;&lt;record&gt;&lt;rec-number&gt;25&lt;/rec-number&gt;&lt;foreign-keys&gt;&lt;key app="EN" db-id="esezwrfeppt5a0ee92qx55shpt2wawp2txd5" timestamp="1561122248"&gt;25&lt;/key&gt;&lt;/foreign-keys&gt;&lt;ref-type name="Journal Article"&gt;17&lt;/ref-type&gt;&lt;contributors&gt;&lt;authors&gt;&lt;author&gt;Kristjansson, EA&lt;/author&gt;&lt;author&gt;Robinson, Vivian&lt;/author&gt;&lt;author&gt;Petticrew, Mark&lt;/author&gt;&lt;author&gt;MacDonald, Barbara&lt;/author&gt;&lt;author&gt;Krasevec, Julia&lt;/author&gt;&lt;author&gt;Janzen, Laura&lt;/author&gt;&lt;author&gt;Greenhalgh, Trish&lt;/author&gt;&lt;author&gt;Wells, George&lt;/author&gt;&lt;author&gt;MacGowan, Jessie&lt;/author&gt;&lt;author&gt;Farmer, Anna&lt;/author&gt;&lt;/authors&gt;&lt;/contributors&gt;&lt;titles&gt;&lt;title&gt;School feeding for improving the physical and psychosocial health of disadvantaged elementary school children&lt;/title&gt;&lt;secondary-title&gt;Cochrane Database Syst Rev&lt;/secondary-title&gt;&lt;/titles&gt;&lt;periodical&gt;&lt;full-title&gt;Cochrane Database Syst Rev&lt;/full-title&gt;&lt;/periodical&gt;&lt;pages&gt;CD004676&lt;/pages&gt;&lt;number&gt;1&lt;/number&gt;&lt;dates&gt;&lt;year&gt;2007&lt;/year&gt;&lt;/dates&gt;&lt;isbn&gt;1469-493X&lt;/isbn&gt;&lt;urls&gt;&lt;/urls&gt;&lt;/record&gt;&lt;/Cite&gt;&lt;/EndNote&gt;</w:instrText>
      </w:r>
      <w:r w:rsidR="00F0062F">
        <w:fldChar w:fldCharType="separate"/>
      </w:r>
      <w:r w:rsidR="00F0062F">
        <w:rPr>
          <w:noProof/>
        </w:rPr>
        <w:t>(</w:t>
      </w:r>
      <w:hyperlink w:anchor="_ENREF_25" w:tooltip="Kristjansson, 2007 #25" w:history="1">
        <w:r w:rsidR="00BD5A89">
          <w:rPr>
            <w:noProof/>
          </w:rPr>
          <w:t>25</w:t>
        </w:r>
      </w:hyperlink>
      <w:r w:rsidR="00F0062F">
        <w:rPr>
          <w:noProof/>
        </w:rPr>
        <w:t>)</w:t>
      </w:r>
      <w:r w:rsidR="00F0062F">
        <w:fldChar w:fldCharType="end"/>
      </w:r>
      <w:r w:rsidRPr="00403AA6">
        <w:t xml:space="preserve">. </w:t>
      </w:r>
      <w:r w:rsidRPr="008751C6">
        <w:rPr>
          <w:lang w:val="en-US"/>
        </w:rPr>
        <w:t xml:space="preserve">Our systematic review cannot predict outcomes </w:t>
      </w:r>
      <w:r>
        <w:rPr>
          <w:lang w:val="en-US"/>
        </w:rPr>
        <w:t>or</w:t>
      </w:r>
      <w:r w:rsidRPr="008751C6">
        <w:rPr>
          <w:lang w:val="en-US"/>
        </w:rPr>
        <w:t xml:space="preserve"> cost-effectiveness for chemoprophylaxis where </w:t>
      </w:r>
      <w:r>
        <w:rPr>
          <w:lang w:val="en-US"/>
        </w:rPr>
        <w:t>intensity of infection</w:t>
      </w:r>
      <w:r w:rsidRPr="008751C6">
        <w:rPr>
          <w:lang w:val="en-US"/>
        </w:rPr>
        <w:t xml:space="preserve"> is </w:t>
      </w:r>
      <w:r>
        <w:rPr>
          <w:lang w:val="en-US"/>
        </w:rPr>
        <w:t>very heavy</w:t>
      </w:r>
      <w:r w:rsidRPr="008751C6">
        <w:rPr>
          <w:lang w:val="en-US"/>
        </w:rPr>
        <w:t xml:space="preserve">, since less than 2% of our sample </w:t>
      </w:r>
      <w:r>
        <w:rPr>
          <w:lang w:val="en-US"/>
        </w:rPr>
        <w:t>had</w:t>
      </w:r>
      <w:r w:rsidRPr="008751C6">
        <w:rPr>
          <w:lang w:val="en-US"/>
        </w:rPr>
        <w:t xml:space="preserve"> heavy intensity infections</w:t>
      </w:r>
      <w:r>
        <w:rPr>
          <w:lang w:val="en-US"/>
        </w:rPr>
        <w:t xml:space="preserve"> according to WHO cutoffs</w:t>
      </w:r>
      <w:r w:rsidRPr="008751C6">
        <w:rPr>
          <w:lang w:val="en-US"/>
        </w:rPr>
        <w:t>.</w:t>
      </w:r>
    </w:p>
    <w:p w14:paraId="17959084" w14:textId="196902BC" w:rsidR="00297696" w:rsidRPr="00B70704" w:rsidRDefault="00297696" w:rsidP="007309C5">
      <w:pPr>
        <w:spacing w:before="120" w:after="120" w:line="480" w:lineRule="auto"/>
      </w:pPr>
      <w:r w:rsidRPr="00B70704">
        <w:t>Strengths are a comprehensive search and transparent method</w:t>
      </w:r>
      <w:r w:rsidR="004F3F60" w:rsidRPr="00B70704">
        <w:t>ology</w:t>
      </w:r>
      <w:r w:rsidRPr="00B70704">
        <w:t xml:space="preserve"> described in an </w:t>
      </w:r>
      <w:r w:rsidRPr="00B70704">
        <w:rPr>
          <w:i/>
        </w:rPr>
        <w:t>a priori</w:t>
      </w:r>
      <w:r w:rsidRPr="00B70704">
        <w:t xml:space="preserve"> protocol.  </w:t>
      </w:r>
      <w:r w:rsidR="005E4183" w:rsidRPr="00B70704">
        <w:t xml:space="preserve">We included an expert advisory board with expertise in nutrition, parasitology, economics and methodology and a trialists’ collaborative. </w:t>
      </w:r>
      <w:r w:rsidR="000E2D7B">
        <w:t xml:space="preserve">We were able to obtain data from 79% of children randomized to eligible deworming studies.  </w:t>
      </w:r>
      <w:bookmarkStart w:id="16" w:name="OLE_LINK1"/>
      <w:bookmarkStart w:id="17" w:name="OLE_LINK2"/>
      <w:r w:rsidR="007B02B0">
        <w:t>We accounted for differences in baseline nutritional status</w:t>
      </w:r>
      <w:r w:rsidR="00CE6CEA">
        <w:t xml:space="preserve">, </w:t>
      </w:r>
      <w:r w:rsidR="007B02B0">
        <w:t xml:space="preserve">age, sex, anaemia and </w:t>
      </w:r>
      <w:r w:rsidR="007B02B0" w:rsidRPr="00896AA8">
        <w:t>infection intensity</w:t>
      </w:r>
      <w:r w:rsidR="00CE6CEA" w:rsidRPr="00896AA8">
        <w:t xml:space="preserve"> and also assessed possible effect modification across these fa</w:t>
      </w:r>
      <w:r w:rsidR="00B33D72" w:rsidRPr="00896AA8">
        <w:t>c</w:t>
      </w:r>
      <w:r w:rsidR="00CE6CEA" w:rsidRPr="00896AA8">
        <w:t>tors</w:t>
      </w:r>
      <w:r w:rsidR="007B02B0" w:rsidRPr="00896AA8">
        <w:t>.</w:t>
      </w:r>
      <w:bookmarkEnd w:id="16"/>
      <w:bookmarkEnd w:id="17"/>
      <w:r w:rsidR="007B02B0" w:rsidRPr="00896AA8">
        <w:t xml:space="preserve">  </w:t>
      </w:r>
      <w:r w:rsidR="005E4183" w:rsidRPr="00896AA8">
        <w:t xml:space="preserve">The results were </w:t>
      </w:r>
      <w:r w:rsidR="005E4183" w:rsidRPr="00B70704">
        <w:t xml:space="preserve">robust to a </w:t>
      </w:r>
      <w:r w:rsidR="005E4183" w:rsidRPr="00037832">
        <w:t>range of sensitivity analyses</w:t>
      </w:r>
      <w:r w:rsidR="009E6E77" w:rsidRPr="00037832">
        <w:t xml:space="preserve"> including complete case analysis and </w:t>
      </w:r>
      <w:r w:rsidR="004726E7" w:rsidRPr="00037832">
        <w:t xml:space="preserve">restricting to </w:t>
      </w:r>
      <w:r w:rsidR="009E6E77" w:rsidRPr="00037832">
        <w:t>studies at low risk of bias</w:t>
      </w:r>
      <w:r w:rsidR="005E4183" w:rsidRPr="00037832">
        <w:t>.</w:t>
      </w:r>
      <w:r w:rsidR="00ED71C2" w:rsidRPr="00037832">
        <w:t xml:space="preserve">  </w:t>
      </w:r>
      <w:r w:rsidR="00ED71C2" w:rsidRPr="00B70704">
        <w:t>We were able to include data from studies which may not have been designed or powered for these outcomes.</w:t>
      </w:r>
      <w:r w:rsidR="000C7888">
        <w:t xml:space="preserve"> </w:t>
      </w:r>
    </w:p>
    <w:p w14:paraId="5599209B" w14:textId="1C66CE5E" w:rsidR="00166DAF" w:rsidRPr="00B70704" w:rsidRDefault="000E2D7B" w:rsidP="007309C5">
      <w:pPr>
        <w:spacing w:before="120" w:after="120" w:line="480" w:lineRule="auto"/>
      </w:pPr>
      <w:r>
        <w:t xml:space="preserve">A limitation </w:t>
      </w:r>
      <w:r w:rsidR="000C7888">
        <w:t xml:space="preserve">of our analyses is that we were unable to retrieve 22 out of 41 eligible studies (which included 8,580 children), despite, in most cases, the good will of the original trialists, due to inability to locate the data, administrative barriers to sharing data or lost datasets.  Another limitation </w:t>
      </w:r>
      <w:r>
        <w:t xml:space="preserve">is that </w:t>
      </w:r>
      <w:r w:rsidR="007B02B0">
        <w:t>only</w:t>
      </w:r>
      <w:r w:rsidRPr="00B70704">
        <w:t xml:space="preserve"> </w:t>
      </w:r>
      <w:r w:rsidR="000C7888">
        <w:t>2</w:t>
      </w:r>
      <w:r w:rsidRPr="00B70704">
        <w:t xml:space="preserve">% </w:t>
      </w:r>
      <w:r w:rsidR="007B02B0">
        <w:t xml:space="preserve">of </w:t>
      </w:r>
      <w:r w:rsidRPr="00B70704">
        <w:t xml:space="preserve">children </w:t>
      </w:r>
      <w:r w:rsidR="007B02B0">
        <w:t>in these studies had</w:t>
      </w:r>
      <w:r w:rsidRPr="00B70704">
        <w:t xml:space="preserve"> </w:t>
      </w:r>
      <w:r w:rsidR="000C7888">
        <w:t>heavy</w:t>
      </w:r>
      <w:r w:rsidRPr="00B70704">
        <w:t xml:space="preserve"> intensity infections </w:t>
      </w:r>
      <w:r w:rsidR="005B6A54">
        <w:t>defined according to</w:t>
      </w:r>
      <w:r w:rsidR="007B02B0">
        <w:t xml:space="preserve"> </w:t>
      </w:r>
      <w:r w:rsidR="007B02B0" w:rsidRPr="00896AA8">
        <w:t xml:space="preserve">WHO cut-offs, </w:t>
      </w:r>
      <w:r w:rsidRPr="00896AA8">
        <w:t>which limited our assessment of effects across intensity</w:t>
      </w:r>
      <w:r w:rsidR="000C7888">
        <w:t>, in particular for children with heavy intensity infections</w:t>
      </w:r>
      <w:r w:rsidR="000C7888" w:rsidRPr="00896AA8">
        <w:t xml:space="preserve">.  </w:t>
      </w:r>
      <w:r w:rsidR="000C7888">
        <w:t xml:space="preserve">These analyses across intensity of infection are limited by measurement issues since WHO cut-offs for intensity are arbitrary and their importance may vary according to different contexts.  </w:t>
      </w:r>
      <w:r w:rsidR="00112751">
        <w:t>Also,</w:t>
      </w:r>
      <w:r w:rsidR="000C7888">
        <w:t xml:space="preserve"> </w:t>
      </w:r>
      <w:r w:rsidR="000C7888">
        <w:lastRenderedPageBreak/>
        <w:t xml:space="preserve">infection intensity was assessed by different methods including Kato-Katz, PCR and other techniques which have different measurement properties.  </w:t>
      </w:r>
      <w:r w:rsidR="000C7888" w:rsidRPr="00B70704">
        <w:t xml:space="preserve">The median study duration of </w:t>
      </w:r>
      <w:r w:rsidR="00C869BC">
        <w:t>12</w:t>
      </w:r>
      <w:r w:rsidR="000C7888" w:rsidRPr="00B70704">
        <w:t xml:space="preserve"> months </w:t>
      </w:r>
      <w:r w:rsidR="000C7888">
        <w:t>limits any inferences about long-term effects of mass deworming</w:t>
      </w:r>
      <w:r w:rsidR="000C7888" w:rsidRPr="00B70704">
        <w:t>.</w:t>
      </w:r>
      <w:r w:rsidR="000C7888">
        <w:t xml:space="preserve"> Our</w:t>
      </w:r>
      <w:r w:rsidR="00F32D92">
        <w:t xml:space="preserve"> analysis included 7 studies with s</w:t>
      </w:r>
      <w:r w:rsidR="006B3E6B">
        <w:t xml:space="preserve">ingle dose </w:t>
      </w:r>
      <w:r w:rsidR="00F32D92">
        <w:t xml:space="preserve">of STH deworming which </w:t>
      </w:r>
      <w:r w:rsidR="006B3E6B">
        <w:t>may</w:t>
      </w:r>
      <w:r w:rsidR="00F32D92">
        <w:t xml:space="preserve"> have been influenced by re-infection in endemic areas. We were unable to adjust for socioeconomic status, water/hygiene environment, presence of schistosomiasis or malaria since there were insufficient details across studies</w:t>
      </w:r>
      <w:r w:rsidR="006B3E6B">
        <w:t>.</w:t>
      </w:r>
      <w:r w:rsidR="006C61F6">
        <w:t xml:space="preserve">  </w:t>
      </w:r>
    </w:p>
    <w:p w14:paraId="26D3392E" w14:textId="77777777" w:rsidR="00EA5D0D" w:rsidRPr="00037832" w:rsidRDefault="00EA5D0D" w:rsidP="00B36497">
      <w:pPr>
        <w:pStyle w:val="Heading1"/>
        <w:rPr>
          <w:rFonts w:asciiTheme="minorHAnsi" w:hAnsiTheme="minorHAnsi"/>
        </w:rPr>
      </w:pPr>
      <w:r w:rsidRPr="00037832">
        <w:rPr>
          <w:rFonts w:asciiTheme="minorHAnsi" w:hAnsiTheme="minorHAnsi"/>
        </w:rPr>
        <w:t>Conclusions</w:t>
      </w:r>
    </w:p>
    <w:p w14:paraId="0327B91F" w14:textId="0C316439" w:rsidR="000C7888" w:rsidRPr="00B70704" w:rsidRDefault="000C7888" w:rsidP="000C7888">
      <w:pPr>
        <w:spacing w:line="480" w:lineRule="auto"/>
      </w:pPr>
      <w:r>
        <w:t xml:space="preserve">For children with moderate or heavy intensity infections (using WHO </w:t>
      </w:r>
      <w:r w:rsidR="00CE0168">
        <w:t>cut-offs</w:t>
      </w:r>
      <w:r>
        <w:t xml:space="preserve">), deworming may have small effects on weight but not height or hemoglobin (very low certainty evidence). Effects of deworming are uncertain in children with heavy intensity infections.  Based on the totality of evidence from three prior systematic reviews and new data from IPD previously unpublished, average effects of mass deworming on child nutritional status and cognition are small at the population level (moderate certainty), thus needs to be complemented by other public health measures. To maximize the societal benefit of research, we strongly support the Open Science movement to reduce limitations in data retrieval for analyses such as these which aim to improve the lives of the most vulnerable populations.  </w:t>
      </w:r>
    </w:p>
    <w:p w14:paraId="40E64A23" w14:textId="77777777" w:rsidR="00E45D5C" w:rsidRPr="00037832" w:rsidRDefault="00E45D5C" w:rsidP="00F610F0">
      <w:pPr>
        <w:pStyle w:val="Heading1"/>
        <w:rPr>
          <w:rFonts w:asciiTheme="minorHAnsi" w:hAnsiTheme="minorHAnsi"/>
        </w:rPr>
      </w:pPr>
      <w:r w:rsidRPr="00037832">
        <w:rPr>
          <w:rFonts w:asciiTheme="minorHAnsi" w:hAnsiTheme="minorHAnsi"/>
        </w:rPr>
        <w:t>Acknowledgements</w:t>
      </w:r>
    </w:p>
    <w:p w14:paraId="51CAB355" w14:textId="206F386C" w:rsidR="003B52AA" w:rsidRDefault="003B52AA" w:rsidP="0076200B">
      <w:pPr>
        <w:spacing w:before="120" w:after="120" w:line="480" w:lineRule="auto"/>
        <w:rPr>
          <w:b/>
        </w:rPr>
      </w:pPr>
      <w:r w:rsidRPr="00E7095C">
        <w:t xml:space="preserve">We would like to thank </w:t>
      </w:r>
      <w:r w:rsidR="00F32D92" w:rsidRPr="00BF4BC0">
        <w:t>Celia Holland</w:t>
      </w:r>
      <w:r w:rsidR="00F32D92" w:rsidRPr="00E7095C">
        <w:t xml:space="preserve"> </w:t>
      </w:r>
      <w:r w:rsidR="00F32D92">
        <w:t xml:space="preserve">for being part of our Advisory board and providing comments on interim results. </w:t>
      </w:r>
      <w:r w:rsidR="00CC1DBD">
        <w:t xml:space="preserve">We would like to thank </w:t>
      </w:r>
      <w:r w:rsidR="00950E36">
        <w:t>Bishop Beasley</w:t>
      </w:r>
      <w:r w:rsidR="000C7888">
        <w:t xml:space="preserve">, </w:t>
      </w:r>
      <w:r w:rsidR="00CC1DBD" w:rsidRPr="00BF4BC0">
        <w:t>Nilanthi de Silva</w:t>
      </w:r>
      <w:r w:rsidR="000C7888">
        <w:t>, Rebecca Stoltzfus and James Tielsch</w:t>
      </w:r>
      <w:r w:rsidR="00CC1DBD">
        <w:t xml:space="preserve"> for </w:t>
      </w:r>
      <w:r w:rsidR="00451EB4">
        <w:t>contributing data</w:t>
      </w:r>
      <w:r w:rsidR="00CC1DBD">
        <w:t xml:space="preserve">. We would like to thank </w:t>
      </w:r>
      <w:r w:rsidRPr="00E7095C">
        <w:t>Jessica Trawin, Christine Mathew</w:t>
      </w:r>
      <w:r w:rsidR="008C0987">
        <w:t xml:space="preserve">, </w:t>
      </w:r>
      <w:r w:rsidRPr="00E7095C">
        <w:t xml:space="preserve">who contributed to data collection </w:t>
      </w:r>
      <w:r w:rsidR="00451EB4">
        <w:t>and</w:t>
      </w:r>
      <w:r w:rsidRPr="00E7095C">
        <w:t xml:space="preserve"> preparation</w:t>
      </w:r>
      <w:r w:rsidR="008C0987">
        <w:t xml:space="preserve">; </w:t>
      </w:r>
      <w:r w:rsidR="00CC1DBD">
        <w:t xml:space="preserve">and </w:t>
      </w:r>
      <w:r w:rsidR="008C0987">
        <w:t>Jordan Bernick who contributed to the analysis</w:t>
      </w:r>
      <w:r w:rsidR="00CC1DBD">
        <w:t>.</w:t>
      </w:r>
      <w:r w:rsidR="008C0987">
        <w:t xml:space="preserve"> </w:t>
      </w:r>
      <w:r w:rsidR="000C7888">
        <w:t xml:space="preserve">We would like to thank anonymous peer referees who provided constructive comments that helped us improve on </w:t>
      </w:r>
      <w:r w:rsidR="004E62CB">
        <w:t xml:space="preserve">an </w:t>
      </w:r>
      <w:r w:rsidR="000C7888">
        <w:t>earlier version of this paper.</w:t>
      </w:r>
      <w:r w:rsidR="0029651D">
        <w:t xml:space="preserve">  We would like to acknowledge the Campbell Collaboration International Development Coordinating group which managed the peer review process for the protocol and final review.  This systematic review will be co-published with the Campbell Collaboration.</w:t>
      </w:r>
      <w:r>
        <w:rPr>
          <w:b/>
        </w:rPr>
        <w:br w:type="page"/>
      </w:r>
    </w:p>
    <w:p w14:paraId="13B610AF" w14:textId="77777777" w:rsidR="00E45D5C" w:rsidRPr="00037832" w:rsidRDefault="00E45D5C" w:rsidP="00F610F0">
      <w:pPr>
        <w:pStyle w:val="Heading1"/>
        <w:rPr>
          <w:rFonts w:asciiTheme="minorHAnsi" w:hAnsiTheme="minorHAnsi"/>
        </w:rPr>
      </w:pPr>
      <w:bookmarkStart w:id="18" w:name="_Ref524539565"/>
      <w:r w:rsidRPr="00037832">
        <w:rPr>
          <w:rFonts w:asciiTheme="minorHAnsi" w:hAnsiTheme="minorHAnsi"/>
        </w:rPr>
        <w:lastRenderedPageBreak/>
        <w:t>References</w:t>
      </w:r>
    </w:p>
    <w:bookmarkEnd w:id="18"/>
    <w:p w14:paraId="0263D20A" w14:textId="77777777" w:rsidR="00BD5A89" w:rsidRPr="00BD5A89" w:rsidRDefault="00F0062F" w:rsidP="00BD5A89">
      <w:pPr>
        <w:pStyle w:val="EndNoteBibliography"/>
        <w:spacing w:after="0"/>
      </w:pPr>
      <w:r>
        <w:fldChar w:fldCharType="begin"/>
      </w:r>
      <w:r>
        <w:instrText xml:space="preserve"> ADDIN EN.REFLIST </w:instrText>
      </w:r>
      <w:r>
        <w:fldChar w:fldCharType="separate"/>
      </w:r>
      <w:bookmarkStart w:id="19" w:name="_ENREF_1"/>
      <w:r w:rsidR="00BD5A89" w:rsidRPr="00BD5A89">
        <w:t>1.</w:t>
      </w:r>
      <w:r w:rsidR="00BD5A89" w:rsidRPr="00BD5A89">
        <w:tab/>
        <w:t>Pullan RL, Smith JL, Jasrasaria R, Brooker SJ. Global numbers of infection and disease burden of soil transmitted helminth infections in 2010. Parasites &amp; vectors. 2014;7(1):37.</w:t>
      </w:r>
      <w:bookmarkEnd w:id="19"/>
    </w:p>
    <w:p w14:paraId="38497BC0" w14:textId="77777777" w:rsidR="00BD5A89" w:rsidRPr="00BD5A89" w:rsidRDefault="00BD5A89" w:rsidP="00BD5A89">
      <w:pPr>
        <w:pStyle w:val="EndNoteBibliography"/>
        <w:spacing w:after="0"/>
      </w:pPr>
      <w:bookmarkStart w:id="20" w:name="_ENREF_2"/>
      <w:r w:rsidRPr="00BD5A89">
        <w:t>2.</w:t>
      </w:r>
      <w:r w:rsidRPr="00BD5A89">
        <w:tab/>
        <w:t>Bundy DA, Appleby LJ, Bradley M, Croke K, Hollingsworth TD, Pullan R, et al. 100 Years of Mass Deworming Programmes: A Policy Perspective From the World Bank's Disease Control Priorities Analyses.  Advances in parasitology. 100: Elsevier; 2018. p. 127-54.</w:t>
      </w:r>
      <w:bookmarkEnd w:id="20"/>
    </w:p>
    <w:p w14:paraId="6010DC66" w14:textId="2E1DB743" w:rsidR="00BD5A89" w:rsidRPr="00BD5A89" w:rsidRDefault="00BD5A89" w:rsidP="00BD5A89">
      <w:pPr>
        <w:pStyle w:val="EndNoteBibliography"/>
        <w:spacing w:after="0"/>
      </w:pPr>
      <w:bookmarkStart w:id="21" w:name="_ENREF_3"/>
      <w:r w:rsidRPr="00BD5A89">
        <w:t>3.</w:t>
      </w:r>
      <w:r w:rsidRPr="00BD5A89">
        <w:tab/>
        <w:t xml:space="preserve">World Health Organization. Guideline: Preventive chemotherapy to control soil-transmitted helminth infections in at-risk population groups: World Health Organization; 2017 [September 12, 2018]. Available from: </w:t>
      </w:r>
      <w:hyperlink r:id="rId11" w:history="1">
        <w:r w:rsidRPr="00BD5A89">
          <w:rPr>
            <w:rStyle w:val="Hyperlink"/>
            <w:rFonts w:ascii="Calibri" w:hAnsi="Calibri"/>
          </w:rPr>
          <w:t>http://apps.who.int/iris/bitstream/handle/10665/258983/9789241550116-eng.pdf;jsessionid=EB785E884EDF96CCC9826D3F9AAE0912?sequence=1</w:t>
        </w:r>
      </w:hyperlink>
      <w:r w:rsidRPr="00BD5A89">
        <w:t>.</w:t>
      </w:r>
      <w:bookmarkEnd w:id="21"/>
    </w:p>
    <w:p w14:paraId="3836F029" w14:textId="77777777" w:rsidR="00BD5A89" w:rsidRPr="00BD5A89" w:rsidRDefault="00BD5A89" w:rsidP="00BD5A89">
      <w:pPr>
        <w:pStyle w:val="EndNoteBibliography"/>
        <w:spacing w:after="0"/>
      </w:pPr>
      <w:bookmarkStart w:id="22" w:name="_ENREF_4"/>
      <w:r w:rsidRPr="00BD5A89">
        <w:t>4.</w:t>
      </w:r>
      <w:r w:rsidRPr="00BD5A89">
        <w:tab/>
        <w:t>Taylor‐Robinson DC, Maayan N, Soares‐Weiser K, Donegan S, Garner P. Deworming drugs for soil‐transmitted intestinal worms in children: effects on nutritional indicators, haemoglobin, and school performance. Cochrane Database of Systematic Reviews. 2015(7).</w:t>
      </w:r>
      <w:bookmarkEnd w:id="22"/>
    </w:p>
    <w:p w14:paraId="2A80EC35" w14:textId="77777777" w:rsidR="00BD5A89" w:rsidRPr="00BD5A89" w:rsidRDefault="00BD5A89" w:rsidP="00BD5A89">
      <w:pPr>
        <w:pStyle w:val="EndNoteBibliography"/>
        <w:spacing w:after="0"/>
      </w:pPr>
      <w:bookmarkStart w:id="23" w:name="_ENREF_5"/>
      <w:r w:rsidRPr="00BD5A89">
        <w:t>5.</w:t>
      </w:r>
      <w:r w:rsidRPr="00BD5A89">
        <w:tab/>
        <w:t>Welch V, Ghogomu E, Hossain A, Awasthi S, Bhutta Z, Cumberbatch C, et al. Deworming and Adjuvant Interventions for Improving the Developmental Health and Well-being of Children in Low- and Middle-income Countries: A Systematic Review and Network Meta-analysis. Campbell Systematic Reviews. 2016;2016:7.</w:t>
      </w:r>
      <w:bookmarkEnd w:id="23"/>
    </w:p>
    <w:p w14:paraId="26B5DA42" w14:textId="77777777" w:rsidR="00BD5A89" w:rsidRPr="00BD5A89" w:rsidRDefault="00BD5A89" w:rsidP="00BD5A89">
      <w:pPr>
        <w:pStyle w:val="EndNoteBibliography"/>
        <w:spacing w:after="0"/>
      </w:pPr>
      <w:bookmarkStart w:id="24" w:name="_ENREF_6"/>
      <w:r w:rsidRPr="00BD5A89">
        <w:t>6.</w:t>
      </w:r>
      <w:r w:rsidRPr="00BD5A89">
        <w:tab/>
        <w:t>Croke K, Hicks JH, Hsu E, Kremer M, Miguel E. Does mass deworming affect child nutrition. Meta-analysis, Cost-Effectiveness, and Statistical Power Natl Bur Econ Res Work Pap Ser. 2016;22382.</w:t>
      </w:r>
      <w:bookmarkEnd w:id="24"/>
    </w:p>
    <w:p w14:paraId="1DE9859A" w14:textId="77777777" w:rsidR="00BD5A89" w:rsidRPr="00BD5A89" w:rsidRDefault="00BD5A89" w:rsidP="00BD5A89">
      <w:pPr>
        <w:pStyle w:val="EndNoteBibliography"/>
        <w:spacing w:after="0"/>
      </w:pPr>
      <w:bookmarkStart w:id="25" w:name="_ENREF_7"/>
      <w:r w:rsidRPr="00BD5A89">
        <w:t>7.</w:t>
      </w:r>
      <w:r w:rsidRPr="00BD5A89">
        <w:tab/>
        <w:t>Dagne GA, Brown CH, Howe G, Kellam SG, Liu L. Testing moderation in network meta‐analysis with individual participant data. Statistics in medicine. 2016;35(15):2485-502.</w:t>
      </w:r>
      <w:bookmarkEnd w:id="25"/>
    </w:p>
    <w:p w14:paraId="2C759886" w14:textId="77777777" w:rsidR="00BD5A89" w:rsidRPr="00BD5A89" w:rsidRDefault="00BD5A89" w:rsidP="00BD5A89">
      <w:pPr>
        <w:pStyle w:val="EndNoteBibliography"/>
        <w:spacing w:after="0"/>
      </w:pPr>
      <w:bookmarkStart w:id="26" w:name="_ENREF_8"/>
      <w:r w:rsidRPr="00BD5A89">
        <w:t>8.</w:t>
      </w:r>
      <w:r w:rsidRPr="00BD5A89">
        <w:tab/>
        <w:t>Salanti G. Indirect and mixed‐treatment comparison, network, or multiple‐treatments meta‐analysis: many names, many benefits, many concerns for the next generation evidence synthesis tool. Research synthesis methods. 2012;3(2):80-97.</w:t>
      </w:r>
      <w:bookmarkEnd w:id="26"/>
    </w:p>
    <w:p w14:paraId="0814FD79" w14:textId="77777777" w:rsidR="00BD5A89" w:rsidRPr="00BD5A89" w:rsidRDefault="00BD5A89" w:rsidP="00BD5A89">
      <w:pPr>
        <w:pStyle w:val="EndNoteBibliography"/>
        <w:spacing w:after="0"/>
      </w:pPr>
      <w:bookmarkStart w:id="27" w:name="_ENREF_9"/>
      <w:r w:rsidRPr="00BD5A89">
        <w:t>9.</w:t>
      </w:r>
      <w:r w:rsidRPr="00BD5A89">
        <w:tab/>
        <w:t>Debray TP, Schuit E, Efthimiou O, Reitsma JB, Ioannidis JP, Salanti G, et al. An overview of methods for network meta-analysis using individual participant data: when do benefits arise? Statistical methods in medical research. 2018;27(5):1351-64.</w:t>
      </w:r>
      <w:bookmarkEnd w:id="27"/>
    </w:p>
    <w:p w14:paraId="34CEB5D9" w14:textId="77777777" w:rsidR="00BD5A89" w:rsidRPr="00BD5A89" w:rsidRDefault="00BD5A89" w:rsidP="00BD5A89">
      <w:pPr>
        <w:pStyle w:val="EndNoteBibliography"/>
        <w:spacing w:after="0"/>
      </w:pPr>
      <w:bookmarkStart w:id="28" w:name="_ENREF_10"/>
      <w:r w:rsidRPr="00BD5A89">
        <w:t>10.</w:t>
      </w:r>
      <w:r w:rsidRPr="00BD5A89">
        <w:tab/>
        <w:t>Hutton B, Salanti G, Caldwell DM, Chaimani A, Schmid CH, Cameron C, et al. The PRISMA extension statement for reporting of systematic reviews incorporating network meta-analyses of health care interventions: checklist and explanations. Annals of internal medicine. 2015;162(11):777-84.</w:t>
      </w:r>
      <w:bookmarkEnd w:id="28"/>
    </w:p>
    <w:p w14:paraId="1B632E02" w14:textId="77777777" w:rsidR="00BD5A89" w:rsidRPr="00BD5A89" w:rsidRDefault="00BD5A89" w:rsidP="00BD5A89">
      <w:pPr>
        <w:pStyle w:val="EndNoteBibliography"/>
        <w:spacing w:after="0"/>
      </w:pPr>
      <w:bookmarkStart w:id="29" w:name="_ENREF_11"/>
      <w:r w:rsidRPr="00BD5A89">
        <w:t>11.</w:t>
      </w:r>
      <w:r w:rsidRPr="00BD5A89">
        <w:tab/>
        <w:t>Stewart LA, Clarke M, Rovers M, Riley RD, Simmonds M, Stewart G, et al. Preferred reporting items for a systematic review and meta-analysis of individual participant data: the PRISMA-IPD statement. Jama. 2015;313(16):1657-65.</w:t>
      </w:r>
      <w:bookmarkEnd w:id="29"/>
    </w:p>
    <w:p w14:paraId="5CCDCD93" w14:textId="77777777" w:rsidR="00BD5A89" w:rsidRPr="00BD5A89" w:rsidRDefault="00BD5A89" w:rsidP="00BD5A89">
      <w:pPr>
        <w:pStyle w:val="EndNoteBibliography"/>
        <w:spacing w:after="0"/>
      </w:pPr>
      <w:bookmarkStart w:id="30" w:name="_ENREF_12"/>
      <w:r w:rsidRPr="00BD5A89">
        <w:t>12.</w:t>
      </w:r>
      <w:r w:rsidRPr="00BD5A89">
        <w:tab/>
        <w:t>Welch V, Ghogomu E, Hossain A, Arora P, Cousens S, Gaffey M, et al. Mass deworming for improving health and cognition of children in endemic helminth areas: a systematic review and individual participant data network meta-analysis. Campbell Systematic Reviews 2018;2018:4.</w:t>
      </w:r>
      <w:bookmarkEnd w:id="30"/>
    </w:p>
    <w:p w14:paraId="3E8CBDCF" w14:textId="77777777" w:rsidR="00BD5A89" w:rsidRPr="00BD5A89" w:rsidRDefault="00BD5A89" w:rsidP="00BD5A89">
      <w:pPr>
        <w:pStyle w:val="EndNoteBibliography"/>
        <w:spacing w:after="0"/>
      </w:pPr>
      <w:bookmarkStart w:id="31" w:name="_ENREF_13"/>
      <w:r w:rsidRPr="00BD5A89">
        <w:t>13.</w:t>
      </w:r>
      <w:r w:rsidRPr="00BD5A89">
        <w:tab/>
        <w:t>Austin PC. Balance diagnostics for comparing the distribution of baseline covariates between treatment groups in propensity‐score matched samples. Statistics in medicine. 2009;28(25):3083-107.</w:t>
      </w:r>
      <w:bookmarkEnd w:id="31"/>
    </w:p>
    <w:p w14:paraId="7162AAEE" w14:textId="77777777" w:rsidR="00BD5A89" w:rsidRPr="00BD5A89" w:rsidRDefault="00BD5A89" w:rsidP="00BD5A89">
      <w:pPr>
        <w:pStyle w:val="EndNoteBibliography"/>
        <w:spacing w:after="0"/>
      </w:pPr>
      <w:bookmarkStart w:id="32" w:name="_ENREF_14"/>
      <w:r w:rsidRPr="00BD5A89">
        <w:t>14.</w:t>
      </w:r>
      <w:r w:rsidRPr="00BD5A89">
        <w:tab/>
        <w:t>Groenwold RH, Moons KG, Vandenbroucke JPJC. Randomized trials with missing outcome data: how to analyze and what to report. 2014;186(15):1153-7.</w:t>
      </w:r>
      <w:bookmarkEnd w:id="32"/>
    </w:p>
    <w:p w14:paraId="6485FB7E" w14:textId="77777777" w:rsidR="00BD5A89" w:rsidRPr="00BD5A89" w:rsidRDefault="00BD5A89" w:rsidP="00BD5A89">
      <w:pPr>
        <w:pStyle w:val="EndNoteBibliography"/>
        <w:spacing w:after="0"/>
      </w:pPr>
      <w:bookmarkStart w:id="33" w:name="_ENREF_15"/>
      <w:r w:rsidRPr="00BD5A89">
        <w:t>15.</w:t>
      </w:r>
      <w:r w:rsidRPr="00BD5A89">
        <w:tab/>
        <w:t>Jakobsen JC, Gluud C, Wetterslev J, Winkel PJBmrm. When and how should multiple imputation be used for handling missing data in randomised clinical trials–a practical guide with flowcharts. 2017;17(1):162.</w:t>
      </w:r>
      <w:bookmarkEnd w:id="33"/>
    </w:p>
    <w:p w14:paraId="0429F340" w14:textId="7E26135D" w:rsidR="00BD5A89" w:rsidRPr="00BD5A89" w:rsidRDefault="00BD5A89" w:rsidP="00BD5A89">
      <w:pPr>
        <w:pStyle w:val="EndNoteBibliography"/>
        <w:spacing w:after="0"/>
      </w:pPr>
      <w:bookmarkStart w:id="34" w:name="_ENREF_16"/>
      <w:r w:rsidRPr="00BD5A89">
        <w:t>16.</w:t>
      </w:r>
      <w:r w:rsidRPr="00BD5A89">
        <w:tab/>
        <w:t xml:space="preserve">World Health Organization. Haemoglobin concentrations for the diagnosis of anaemia and assessment of severity 2011 [September 12, 2018]. Available from: </w:t>
      </w:r>
      <w:hyperlink r:id="rId12" w:history="1">
        <w:r w:rsidRPr="00BD5A89">
          <w:rPr>
            <w:rStyle w:val="Hyperlink"/>
            <w:rFonts w:ascii="Calibri" w:hAnsi="Calibri"/>
          </w:rPr>
          <w:t>http://www.who.int/vmnis/indicators/haemoglobin/en/</w:t>
        </w:r>
      </w:hyperlink>
      <w:r w:rsidRPr="00BD5A89">
        <w:t>.</w:t>
      </w:r>
      <w:bookmarkEnd w:id="34"/>
    </w:p>
    <w:p w14:paraId="746401C1" w14:textId="77777777" w:rsidR="00BD5A89" w:rsidRPr="00BD5A89" w:rsidRDefault="00BD5A89" w:rsidP="00BD5A89">
      <w:pPr>
        <w:pStyle w:val="EndNoteBibliography"/>
        <w:spacing w:after="0"/>
      </w:pPr>
      <w:bookmarkStart w:id="35" w:name="_ENREF_17"/>
      <w:r w:rsidRPr="00BD5A89">
        <w:lastRenderedPageBreak/>
        <w:t>17.</w:t>
      </w:r>
      <w:r w:rsidRPr="00BD5A89">
        <w:tab/>
        <w:t>Higgins JP, Thompson SG. Quantifying heterogeneity in a meta‐analysis. Statistics in medicine. 2002;21(11):1539-58.</w:t>
      </w:r>
      <w:bookmarkEnd w:id="35"/>
    </w:p>
    <w:p w14:paraId="50082463" w14:textId="77777777" w:rsidR="00BD5A89" w:rsidRPr="00BD5A89" w:rsidRDefault="00BD5A89" w:rsidP="00BD5A89">
      <w:pPr>
        <w:pStyle w:val="EndNoteBibliography"/>
        <w:spacing w:after="0"/>
      </w:pPr>
      <w:bookmarkStart w:id="36" w:name="_ENREF_18"/>
      <w:r w:rsidRPr="00BD5A89">
        <w:t>18.</w:t>
      </w:r>
      <w:r w:rsidRPr="00BD5A89">
        <w:tab/>
        <w:t>Puhan MA, Schünemann HJ, Murad MH, Li T, Brignardello-Petersen R, Singh JA, et al. A GRADE Working Group approach for rating the quality of treatment effect estimates from network meta-analysis. Bmj. 2014;349:g5630.</w:t>
      </w:r>
      <w:bookmarkEnd w:id="36"/>
    </w:p>
    <w:p w14:paraId="4429D326" w14:textId="77777777" w:rsidR="00BD5A89" w:rsidRPr="00BD5A89" w:rsidRDefault="00BD5A89" w:rsidP="00BD5A89">
      <w:pPr>
        <w:pStyle w:val="EndNoteBibliography"/>
        <w:spacing w:after="0"/>
      </w:pPr>
      <w:bookmarkStart w:id="37" w:name="_ENREF_19"/>
      <w:r w:rsidRPr="00BD5A89">
        <w:t>19.</w:t>
      </w:r>
      <w:r w:rsidRPr="00BD5A89">
        <w:tab/>
        <w:t>Giovane CD, Vacchi L, Mavridis D, Filippini G, Salanti GJSiM. Network meta‐analysis models to account for variability in treatment definitions: application to dose effects. 2013;32(1):25-39.</w:t>
      </w:r>
      <w:bookmarkEnd w:id="37"/>
    </w:p>
    <w:p w14:paraId="4BD854AB" w14:textId="77777777" w:rsidR="00BD5A89" w:rsidRPr="00BD5A89" w:rsidRDefault="00BD5A89" w:rsidP="00BD5A89">
      <w:pPr>
        <w:pStyle w:val="EndNoteBibliography"/>
        <w:spacing w:after="0"/>
      </w:pPr>
      <w:bookmarkStart w:id="38" w:name="_ENREF_20"/>
      <w:r w:rsidRPr="00BD5A89">
        <w:t>20.</w:t>
      </w:r>
      <w:r w:rsidRPr="00BD5A89">
        <w:tab/>
        <w:t>Rouse B, Chaimani A, Li TJI, medicine e. Network meta-analysis: an introduction for clinicians. 2017;12(1):103-11.</w:t>
      </w:r>
      <w:bookmarkEnd w:id="38"/>
    </w:p>
    <w:p w14:paraId="5AE47C85" w14:textId="77777777" w:rsidR="00BD5A89" w:rsidRPr="00BD5A89" w:rsidRDefault="00BD5A89" w:rsidP="00BD5A89">
      <w:pPr>
        <w:pStyle w:val="EndNoteBibliography"/>
        <w:spacing w:after="0"/>
      </w:pPr>
      <w:bookmarkStart w:id="39" w:name="_ENREF_21"/>
      <w:r w:rsidRPr="00BD5A89">
        <w:t>21.</w:t>
      </w:r>
      <w:r w:rsidRPr="00BD5A89">
        <w:tab/>
        <w:t>Nga TT, Winichagoon P, Dijkhuizen MA, Khan NC, Wasantwisut E, Wieringa FT. Decreased parasite load and improved cognitive outcomes caused by deworming and consumption of multi-micronutrient fortified biscuits in rural Vietnamese schoolchildren. The American journal of tropical medicine and hygiene. 2011;85(2):333-40.</w:t>
      </w:r>
      <w:bookmarkEnd w:id="39"/>
    </w:p>
    <w:p w14:paraId="439D200F" w14:textId="77777777" w:rsidR="00BD5A89" w:rsidRPr="00BD5A89" w:rsidRDefault="00BD5A89" w:rsidP="00BD5A89">
      <w:pPr>
        <w:pStyle w:val="EndNoteBibliography"/>
        <w:spacing w:after="0"/>
      </w:pPr>
      <w:bookmarkStart w:id="40" w:name="_ENREF_22"/>
      <w:r w:rsidRPr="00BD5A89">
        <w:t>22.</w:t>
      </w:r>
      <w:r w:rsidRPr="00BD5A89">
        <w:tab/>
        <w:t>Hedges LV, Pigott TD. The power of statistical tests in meta-analysis. Psychological methods. 2001;6(3):203.</w:t>
      </w:r>
      <w:bookmarkEnd w:id="40"/>
    </w:p>
    <w:p w14:paraId="22DDEDDA" w14:textId="68406524" w:rsidR="00BD5A89" w:rsidRPr="00BD5A89" w:rsidRDefault="00BD5A89" w:rsidP="00BD5A89">
      <w:pPr>
        <w:pStyle w:val="EndNoteBibliography"/>
        <w:spacing w:after="0"/>
      </w:pPr>
      <w:bookmarkStart w:id="41" w:name="_ENREF_23"/>
      <w:r w:rsidRPr="00BD5A89">
        <w:t>23.</w:t>
      </w:r>
      <w:r w:rsidRPr="00BD5A89">
        <w:tab/>
        <w:t xml:space="preserve">Tiebel J. Calculation of statistical power in meta-analysis OSF2008 [Available from: </w:t>
      </w:r>
      <w:hyperlink r:id="rId13" w:history="1">
        <w:r w:rsidRPr="00BD5A89">
          <w:rPr>
            <w:rStyle w:val="Hyperlink"/>
            <w:rFonts w:ascii="Calibri" w:hAnsi="Calibri"/>
          </w:rPr>
          <w:t>https://doi.org/10.17605/OSF.IO/W4XRS</w:t>
        </w:r>
      </w:hyperlink>
      <w:r w:rsidRPr="00BD5A89">
        <w:t xml:space="preserve"> </w:t>
      </w:r>
      <w:bookmarkEnd w:id="41"/>
    </w:p>
    <w:p w14:paraId="01E1599F" w14:textId="77777777" w:rsidR="00BD5A89" w:rsidRPr="00BD5A89" w:rsidRDefault="00BD5A89" w:rsidP="00BD5A89">
      <w:pPr>
        <w:pStyle w:val="EndNoteBibliography"/>
        <w:spacing w:after="0"/>
      </w:pPr>
      <w:bookmarkStart w:id="42" w:name="_ENREF_24"/>
      <w:r w:rsidRPr="00BD5A89">
        <w:t>24.</w:t>
      </w:r>
      <w:r w:rsidRPr="00BD5A89">
        <w:tab/>
        <w:t>Galloway R, Kristjansson E, Gelli A, Meir U, Espejo F, Bundy D. School feeding: outcomes and costs. Food and Nutrition Bulletin. 2009;30(2):171-82.</w:t>
      </w:r>
      <w:bookmarkEnd w:id="42"/>
    </w:p>
    <w:p w14:paraId="0115312C" w14:textId="77777777" w:rsidR="00BD5A89" w:rsidRPr="00BD5A89" w:rsidRDefault="00BD5A89" w:rsidP="00BD5A89">
      <w:pPr>
        <w:pStyle w:val="EndNoteBibliography"/>
      </w:pPr>
      <w:bookmarkStart w:id="43" w:name="_ENREF_25"/>
      <w:r w:rsidRPr="00BD5A89">
        <w:t>25.</w:t>
      </w:r>
      <w:r w:rsidRPr="00BD5A89">
        <w:tab/>
        <w:t>Kristjansson E, Robinson V, Petticrew M, MacDonald B, Krasevec J, Janzen L, et al. School feeding for improving the physical and psychosocial health of disadvantaged elementary school children. Cochrane Database Syst Rev. 2007(1):CD004676.</w:t>
      </w:r>
      <w:bookmarkEnd w:id="43"/>
    </w:p>
    <w:p w14:paraId="53E99B6C" w14:textId="24D7AD04" w:rsidR="00F610F0" w:rsidRDefault="00F0062F" w:rsidP="00037832">
      <w:r>
        <w:fldChar w:fldCharType="end"/>
      </w:r>
    </w:p>
    <w:p w14:paraId="2DA8084F" w14:textId="77777777" w:rsidR="00BD5A89" w:rsidRDefault="00BD5A89" w:rsidP="00BD5A89">
      <w:pPr>
        <w:pStyle w:val="Heading1"/>
        <w:rPr>
          <w:rFonts w:asciiTheme="minorHAnsi" w:hAnsiTheme="minorHAnsi"/>
        </w:rPr>
      </w:pPr>
      <w:r w:rsidRPr="00B35C1B">
        <w:rPr>
          <w:rFonts w:asciiTheme="minorHAnsi" w:hAnsiTheme="minorHAnsi"/>
        </w:rPr>
        <w:t>Supporting Information</w:t>
      </w:r>
    </w:p>
    <w:p w14:paraId="2253843C" w14:textId="77777777" w:rsidR="00BD5A89" w:rsidRPr="001A584B" w:rsidRDefault="00BD5A89" w:rsidP="00BD5A89">
      <w:r>
        <w:t xml:space="preserve">S1 </w:t>
      </w:r>
      <w:r w:rsidRPr="004E62CB">
        <w:t>Table</w:t>
      </w:r>
      <w:r w:rsidRPr="001A584B">
        <w:t>: Characteristics of included studies</w:t>
      </w:r>
      <w:r w:rsidRPr="00960FD6">
        <w:t xml:space="preserve"> child and setting characteristics (n=19)</w:t>
      </w:r>
    </w:p>
    <w:p w14:paraId="7904BAD9" w14:textId="77777777" w:rsidR="00BD5A89" w:rsidRDefault="00BD5A89" w:rsidP="00BD5A89">
      <w:r>
        <w:t xml:space="preserve">S2 Table: </w:t>
      </w:r>
      <w:r w:rsidRPr="00960FD6">
        <w:t>Number and percentage of missing values at baseline and endline of outcome variables and covariates by eligible study</w:t>
      </w:r>
    </w:p>
    <w:p w14:paraId="0AF5201C" w14:textId="0E99B36A" w:rsidR="00BD5A89" w:rsidRDefault="00BD5A89" w:rsidP="00BD5A89">
      <w:r>
        <w:t xml:space="preserve">S3 </w:t>
      </w:r>
      <w:bookmarkStart w:id="44" w:name="_Ref524569348"/>
      <w:r w:rsidRPr="00306820">
        <w:t>Table</w:t>
      </w:r>
      <w:r>
        <w:t xml:space="preserve">: </w:t>
      </w:r>
      <w:r w:rsidRPr="00960FD6">
        <w:t>Cognition outcomes, as defined by authors</w:t>
      </w:r>
    </w:p>
    <w:p w14:paraId="78DD84E5" w14:textId="77777777" w:rsidR="00BD5A89" w:rsidRDefault="00BD5A89" w:rsidP="00BD5A89">
      <w:r>
        <w:t xml:space="preserve">S4 Table: </w:t>
      </w:r>
      <w:r w:rsidRPr="00960FD6">
        <w:t>Example of assessment of consistency and heterogeneity for comparison of deworming for STH vs placebo</w:t>
      </w:r>
    </w:p>
    <w:p w14:paraId="65404445" w14:textId="5BE99997" w:rsidR="00BD5A89" w:rsidRDefault="00BD5A89" w:rsidP="00BD5A89">
      <w:r>
        <w:t>S5 Table</w:t>
      </w:r>
      <w:r w:rsidRPr="00960FD6">
        <w:t xml:space="preserve">: Comparison of Croke et al </w:t>
      </w:r>
      <w:r w:rsidR="00037832">
        <w:t xml:space="preserve">2016 </w:t>
      </w:r>
      <w:r w:rsidRPr="00960FD6">
        <w:t xml:space="preserve">meta-analysis to the totality of study estimates in Welch </w:t>
      </w:r>
      <w:r w:rsidR="00037832">
        <w:t xml:space="preserve">et al </w:t>
      </w:r>
      <w:r w:rsidRPr="00960FD6">
        <w:t xml:space="preserve">2016 and Welch </w:t>
      </w:r>
      <w:r w:rsidR="00037832">
        <w:t xml:space="preserve">et al </w:t>
      </w:r>
      <w:r w:rsidRPr="00960FD6">
        <w:t>2018</w:t>
      </w:r>
    </w:p>
    <w:p w14:paraId="6D87E74D" w14:textId="77777777" w:rsidR="00BD5A89" w:rsidRDefault="00BD5A89" w:rsidP="00BD5A89">
      <w:r>
        <w:t xml:space="preserve">S6 Table: </w:t>
      </w:r>
      <w:r w:rsidRPr="00960FD6">
        <w:t>Comparison of 3 prior systematic reviews, this review, and totality of evidence</w:t>
      </w:r>
    </w:p>
    <w:p w14:paraId="11C165D1" w14:textId="77777777" w:rsidR="00BD5A89" w:rsidRDefault="00BD5A89" w:rsidP="00BD5A89">
      <w:r>
        <w:t xml:space="preserve">S1 Fig: </w:t>
      </w:r>
      <w:r w:rsidRPr="00960FD6">
        <w:t>Full evidence network, 18 nodes, 19 RCTs</w:t>
      </w:r>
    </w:p>
    <w:p w14:paraId="436BCBAE" w14:textId="3984AC45" w:rsidR="00BD5A89" w:rsidRDefault="00BD5A89" w:rsidP="00BD5A89">
      <w:r>
        <w:t>S2 Fig</w:t>
      </w:r>
      <w:bookmarkEnd w:id="44"/>
      <w:r w:rsidRPr="00306820">
        <w:t xml:space="preserve">: Effect </w:t>
      </w:r>
      <w:r w:rsidRPr="00960FD6">
        <w:t xml:space="preserve">of deworming on </w:t>
      </w:r>
      <w:r w:rsidRPr="00960FD6">
        <w:rPr>
          <w:i/>
        </w:rPr>
        <w:t>A. lumbricoides</w:t>
      </w:r>
      <w:r w:rsidRPr="00960FD6">
        <w:t xml:space="preserve"> prevalence</w:t>
      </w:r>
    </w:p>
    <w:p w14:paraId="1971BA5D" w14:textId="77777777" w:rsidR="00BD5A89" w:rsidRDefault="00BD5A89" w:rsidP="00BD5A89">
      <w:r>
        <w:t xml:space="preserve">S3 Fig: </w:t>
      </w:r>
      <w:r w:rsidRPr="00960FD6">
        <w:t>Effect of deworming on T</w:t>
      </w:r>
      <w:r w:rsidRPr="00960FD6">
        <w:rPr>
          <w:i/>
        </w:rPr>
        <w:t xml:space="preserve">. </w:t>
      </w:r>
      <w:proofErr w:type="spellStart"/>
      <w:r w:rsidRPr="00960FD6">
        <w:rPr>
          <w:i/>
        </w:rPr>
        <w:t>trich</w:t>
      </w:r>
      <w:r>
        <w:rPr>
          <w:i/>
        </w:rPr>
        <w:t>iur</w:t>
      </w:r>
      <w:r w:rsidRPr="00960FD6">
        <w:rPr>
          <w:i/>
        </w:rPr>
        <w:t>a</w:t>
      </w:r>
      <w:proofErr w:type="spellEnd"/>
      <w:r w:rsidRPr="00960FD6">
        <w:t xml:space="preserve"> prevalence</w:t>
      </w:r>
    </w:p>
    <w:p w14:paraId="3B0747B2" w14:textId="77777777" w:rsidR="00BD5A89" w:rsidRDefault="00BD5A89" w:rsidP="00BD5A89">
      <w:r>
        <w:t xml:space="preserve">S4 Fig: </w:t>
      </w:r>
      <w:r w:rsidRPr="00960FD6">
        <w:t>Effect of deworming on hookworm prevalence</w:t>
      </w:r>
    </w:p>
    <w:p w14:paraId="21563D33" w14:textId="5D161198" w:rsidR="00BD5A89" w:rsidRPr="00037832" w:rsidRDefault="00BD5A89" w:rsidP="00037832">
      <w:pPr>
        <w:rPr>
          <w:i/>
        </w:rPr>
      </w:pPr>
      <w:r>
        <w:t xml:space="preserve">S5 Fig: </w:t>
      </w:r>
      <w:r w:rsidRPr="00960FD6">
        <w:t>Direct evidence</w:t>
      </w:r>
      <w:r w:rsidRPr="00306820">
        <w:t xml:space="preserve"> analysis across </w:t>
      </w:r>
      <w:r>
        <w:rPr>
          <w:i/>
        </w:rPr>
        <w:t>A. l</w:t>
      </w:r>
      <w:r w:rsidRPr="00960FD6">
        <w:rPr>
          <w:i/>
        </w:rPr>
        <w:t>umbricoides</w:t>
      </w:r>
      <w:r w:rsidRPr="00960FD6">
        <w:t xml:space="preserve"> prevalence, weight (kg)</w:t>
      </w:r>
    </w:p>
    <w:p w14:paraId="04769696" w14:textId="77777777" w:rsidR="00BD5A89" w:rsidRDefault="00BD5A89" w:rsidP="00BD5A89">
      <w:r>
        <w:lastRenderedPageBreak/>
        <w:t xml:space="preserve">S6 Fig: </w:t>
      </w:r>
      <w:r w:rsidRPr="00960FD6">
        <w:t>Direct evide</w:t>
      </w:r>
      <w:r>
        <w:t xml:space="preserve">nce analysis across </w:t>
      </w:r>
      <w:r>
        <w:rPr>
          <w:i/>
        </w:rPr>
        <w:t xml:space="preserve">T. </w:t>
      </w:r>
      <w:proofErr w:type="spellStart"/>
      <w:r>
        <w:rPr>
          <w:i/>
        </w:rPr>
        <w:t>t</w:t>
      </w:r>
      <w:r w:rsidRPr="00960FD6">
        <w:rPr>
          <w:i/>
        </w:rPr>
        <w:t>richiura</w:t>
      </w:r>
      <w:proofErr w:type="spellEnd"/>
      <w:r w:rsidRPr="00960FD6">
        <w:t xml:space="preserve"> prevalence, weight (kg)</w:t>
      </w:r>
    </w:p>
    <w:p w14:paraId="547BAFCA" w14:textId="77777777" w:rsidR="00BD5A89" w:rsidRDefault="00BD5A89" w:rsidP="00BD5A89">
      <w:r>
        <w:t xml:space="preserve">S7 Fig: </w:t>
      </w:r>
      <w:r w:rsidRPr="00960FD6">
        <w:t>D</w:t>
      </w:r>
      <w:r>
        <w:t>irect evidence analysis across h</w:t>
      </w:r>
      <w:r w:rsidRPr="00960FD6">
        <w:t>ookworm prevalence, weight (kg)</w:t>
      </w:r>
    </w:p>
    <w:p w14:paraId="2813B42C" w14:textId="77777777" w:rsidR="00BD5A89" w:rsidRDefault="00BD5A89" w:rsidP="00BD5A89">
      <w:r>
        <w:t xml:space="preserve">S8 Fig: </w:t>
      </w:r>
      <w:r w:rsidRPr="00960FD6">
        <w:t xml:space="preserve">Direct evidence analysis across </w:t>
      </w:r>
      <w:r w:rsidRPr="00960FD6">
        <w:rPr>
          <w:i/>
        </w:rPr>
        <w:t>A</w:t>
      </w:r>
      <w:r>
        <w:rPr>
          <w:i/>
        </w:rPr>
        <w:t>. l</w:t>
      </w:r>
      <w:r w:rsidRPr="00960FD6">
        <w:rPr>
          <w:i/>
        </w:rPr>
        <w:t>umbricoides</w:t>
      </w:r>
      <w:r w:rsidRPr="00960FD6">
        <w:t xml:space="preserve"> prevalence, height (cm)</w:t>
      </w:r>
    </w:p>
    <w:p w14:paraId="16F3C305" w14:textId="77777777" w:rsidR="00BD5A89" w:rsidRDefault="00BD5A89" w:rsidP="00BD5A89">
      <w:r>
        <w:t xml:space="preserve">S9 Fig: </w:t>
      </w:r>
      <w:r w:rsidRPr="00960FD6">
        <w:t xml:space="preserve">Direct evidence analysis across </w:t>
      </w:r>
      <w:r w:rsidRPr="00960FD6">
        <w:rPr>
          <w:i/>
        </w:rPr>
        <w:t xml:space="preserve">T. </w:t>
      </w:r>
      <w:proofErr w:type="spellStart"/>
      <w:r w:rsidRPr="00960FD6">
        <w:rPr>
          <w:i/>
        </w:rPr>
        <w:t>trichiura</w:t>
      </w:r>
      <w:proofErr w:type="spellEnd"/>
      <w:r w:rsidRPr="00960FD6">
        <w:t xml:space="preserve"> prevalence, height (cm)</w:t>
      </w:r>
      <w:r>
        <w:t xml:space="preserve"> </w:t>
      </w:r>
    </w:p>
    <w:p w14:paraId="208D51CA" w14:textId="77777777" w:rsidR="00BD5A89" w:rsidRDefault="00BD5A89" w:rsidP="00BD5A89">
      <w:r>
        <w:t xml:space="preserve">S10 Fig: </w:t>
      </w:r>
      <w:r w:rsidRPr="00960FD6">
        <w:t>D</w:t>
      </w:r>
      <w:r>
        <w:t>irect evidence analysis across h</w:t>
      </w:r>
      <w:r w:rsidRPr="00960FD6">
        <w:t>ookworm prevalence, height (cm)</w:t>
      </w:r>
      <w:r>
        <w:t xml:space="preserve"> </w:t>
      </w:r>
    </w:p>
    <w:p w14:paraId="688763FC" w14:textId="77777777" w:rsidR="00BD5A89" w:rsidRDefault="00BD5A89" w:rsidP="00BD5A89">
      <w:r>
        <w:t xml:space="preserve">S11 Fig: </w:t>
      </w:r>
      <w:r w:rsidRPr="00960FD6">
        <w:t>Direct evidence analysis across A</w:t>
      </w:r>
      <w:r w:rsidRPr="00960FD6">
        <w:rPr>
          <w:i/>
        </w:rPr>
        <w:t>. lumbricoides</w:t>
      </w:r>
      <w:r w:rsidRPr="00960FD6">
        <w:t xml:space="preserve"> prevalence, hemoglobin (g/L)</w:t>
      </w:r>
      <w:r>
        <w:t xml:space="preserve"> </w:t>
      </w:r>
    </w:p>
    <w:p w14:paraId="2D139DD4" w14:textId="77777777" w:rsidR="00BD5A89" w:rsidRDefault="00BD5A89" w:rsidP="00BD5A89">
      <w:r>
        <w:t xml:space="preserve">S12 Fig: </w:t>
      </w:r>
      <w:r w:rsidRPr="00960FD6">
        <w:t xml:space="preserve">Direct evidence analysis across </w:t>
      </w:r>
      <w:r w:rsidRPr="00DF7ECE">
        <w:rPr>
          <w:i/>
        </w:rPr>
        <w:t xml:space="preserve">T. </w:t>
      </w:r>
      <w:proofErr w:type="spellStart"/>
      <w:r w:rsidRPr="00DF7ECE">
        <w:rPr>
          <w:i/>
        </w:rPr>
        <w:t>trichiura</w:t>
      </w:r>
      <w:proofErr w:type="spellEnd"/>
      <w:r w:rsidRPr="00DF7ECE">
        <w:rPr>
          <w:i/>
        </w:rPr>
        <w:t xml:space="preserve"> </w:t>
      </w:r>
      <w:r w:rsidRPr="00960FD6">
        <w:t>prevalence, hemoglobin (g/L)</w:t>
      </w:r>
    </w:p>
    <w:p w14:paraId="649A9B57" w14:textId="77777777" w:rsidR="00BD5A89" w:rsidRDefault="00BD5A89" w:rsidP="00BD5A89">
      <w:r>
        <w:t xml:space="preserve">S13 Fig: </w:t>
      </w:r>
      <w:r w:rsidRPr="00DF7ECE">
        <w:t>D</w:t>
      </w:r>
      <w:r>
        <w:t>irect evidence analysis across h</w:t>
      </w:r>
      <w:r w:rsidRPr="00DF7ECE">
        <w:t>ookworm prevalence, hemoglobin (g/L)</w:t>
      </w:r>
    </w:p>
    <w:p w14:paraId="1A4643D5" w14:textId="07A67F62" w:rsidR="00BD5A89" w:rsidRDefault="00BD5A89" w:rsidP="00BD5A89">
      <w:r>
        <w:t>S1 Appendix: Deviations from protocol</w:t>
      </w:r>
    </w:p>
    <w:p w14:paraId="14A4F316" w14:textId="153E2A13" w:rsidR="00BD5A89" w:rsidRPr="00037832" w:rsidRDefault="00BD5A89" w:rsidP="00037832">
      <w:pPr>
        <w:spacing w:line="240" w:lineRule="auto"/>
      </w:pPr>
      <w:r>
        <w:t xml:space="preserve">S2 Appendix: </w:t>
      </w:r>
      <w:r w:rsidRPr="00037832">
        <w:t>Search strategy</w:t>
      </w:r>
    </w:p>
    <w:p w14:paraId="170E4905" w14:textId="729DEE14" w:rsidR="00BD5A89" w:rsidRDefault="00BD5A89" w:rsidP="00BD5A89">
      <w:r>
        <w:t>S</w:t>
      </w:r>
      <w:r w:rsidR="008C2405">
        <w:t>3</w:t>
      </w:r>
      <w:r>
        <w:t xml:space="preserve"> Appendix: Additional references and excluded studies</w:t>
      </w:r>
    </w:p>
    <w:p w14:paraId="4437F469" w14:textId="77777777" w:rsidR="007C3A13" w:rsidRDefault="007C3A13" w:rsidP="00037832">
      <w:pPr>
        <w:suppressLineNumbers/>
      </w:pPr>
    </w:p>
    <w:p w14:paraId="1A13F6DF" w14:textId="77777777" w:rsidR="00BD5A89" w:rsidRDefault="00BD5A89" w:rsidP="00037832">
      <w:pPr>
        <w:suppressLineNumbers/>
      </w:pPr>
    </w:p>
    <w:p w14:paraId="0AF28961" w14:textId="77777777" w:rsidR="00BD5A89" w:rsidRDefault="00BD5A89" w:rsidP="00037832">
      <w:pPr>
        <w:suppressLineNumbers/>
      </w:pPr>
    </w:p>
    <w:p w14:paraId="158D02D7" w14:textId="77777777" w:rsidR="00BD5A89" w:rsidRDefault="00BD5A89" w:rsidP="00037832">
      <w:pPr>
        <w:suppressLineNumbers/>
      </w:pPr>
    </w:p>
    <w:p w14:paraId="5DB2B936" w14:textId="77777777" w:rsidR="00BD5A89" w:rsidRDefault="00BD5A89" w:rsidP="00037832">
      <w:pPr>
        <w:suppressLineNumbers/>
      </w:pPr>
    </w:p>
    <w:p w14:paraId="2C7834EB" w14:textId="77777777" w:rsidR="00BD5A89" w:rsidRDefault="00BD5A89" w:rsidP="00037832">
      <w:pPr>
        <w:suppressLineNumbers/>
      </w:pPr>
    </w:p>
    <w:p w14:paraId="1A92EF38" w14:textId="77777777" w:rsidR="00BD5A89" w:rsidRPr="00037832" w:rsidRDefault="00BD5A89" w:rsidP="00037832">
      <w:pPr>
        <w:pStyle w:val="Heading1"/>
        <w:suppressLineNumbers/>
        <w:rPr>
          <w:rFonts w:asciiTheme="minorHAnsi" w:hAnsiTheme="minorHAnsi"/>
        </w:rPr>
      </w:pPr>
      <w:r w:rsidRPr="00037832">
        <w:rPr>
          <w:rFonts w:asciiTheme="minorHAnsi" w:hAnsiTheme="minorHAnsi"/>
        </w:rPr>
        <w:lastRenderedPageBreak/>
        <w:t>Figures</w:t>
      </w:r>
    </w:p>
    <w:p w14:paraId="11EFF4A3" w14:textId="6552E3ED" w:rsidR="00BD5A89" w:rsidRDefault="00BD5A89" w:rsidP="00037832">
      <w:pPr>
        <w:pStyle w:val="Heading2"/>
        <w:suppressLineNumbers/>
        <w:rPr>
          <w:i w:val="0"/>
        </w:rPr>
      </w:pPr>
      <w:r w:rsidRPr="00364D94">
        <w:rPr>
          <w:rFonts w:asciiTheme="minorHAnsi" w:hAnsiTheme="minorHAnsi"/>
          <w:i w:val="0"/>
        </w:rPr>
        <w:t>Fig</w:t>
      </w:r>
      <w:r w:rsidRPr="00037832">
        <w:rPr>
          <w:rFonts w:asciiTheme="minorHAnsi" w:hAnsiTheme="minorHAnsi"/>
          <w:i w:val="0"/>
        </w:rPr>
        <w:t xml:space="preserve"> </w:t>
      </w:r>
      <w:r w:rsidRPr="00037832">
        <w:rPr>
          <w:rFonts w:asciiTheme="minorHAnsi" w:hAnsiTheme="minorHAnsi"/>
          <w:i w:val="0"/>
        </w:rPr>
        <w:fldChar w:fldCharType="begin"/>
      </w:r>
      <w:r w:rsidRPr="00037832">
        <w:rPr>
          <w:rFonts w:asciiTheme="minorHAnsi" w:hAnsiTheme="minorHAnsi"/>
          <w:i w:val="0"/>
        </w:rPr>
        <w:instrText xml:space="preserve"> SEQ Figure \* ARABIC </w:instrText>
      </w:r>
      <w:r w:rsidRPr="00037832">
        <w:rPr>
          <w:rFonts w:asciiTheme="minorHAnsi" w:hAnsiTheme="minorHAnsi"/>
          <w:i w:val="0"/>
        </w:rPr>
        <w:fldChar w:fldCharType="separate"/>
      </w:r>
      <w:r>
        <w:rPr>
          <w:rFonts w:asciiTheme="minorHAnsi" w:hAnsiTheme="minorHAnsi"/>
          <w:i w:val="0"/>
          <w:noProof/>
        </w:rPr>
        <w:t>1</w:t>
      </w:r>
      <w:r w:rsidRPr="00037832">
        <w:rPr>
          <w:rFonts w:asciiTheme="minorHAnsi" w:hAnsiTheme="minorHAnsi"/>
          <w:i w:val="0"/>
        </w:rPr>
        <w:fldChar w:fldCharType="end"/>
      </w:r>
      <w:r w:rsidRPr="00037832">
        <w:rPr>
          <w:rFonts w:asciiTheme="minorHAnsi" w:hAnsiTheme="minorHAnsi"/>
          <w:i w:val="0"/>
        </w:rPr>
        <w:t>: PRISMA Flow chart of searches up to March 27, 2018</w:t>
      </w:r>
    </w:p>
    <w:p w14:paraId="3D88DB05" w14:textId="50EA0ED0" w:rsidR="00BD5A89" w:rsidRDefault="0029651D" w:rsidP="00037832">
      <w:pPr>
        <w:suppressLineNumbers/>
      </w:pPr>
      <w:r w:rsidRPr="0029651D">
        <w:rPr>
          <w:noProof/>
          <w:lang w:eastAsia="en-CA"/>
        </w:rPr>
        <w:drawing>
          <wp:inline distT="0" distB="0" distL="0" distR="0" wp14:anchorId="3E4719D4" wp14:editId="48B6B2CE">
            <wp:extent cx="5114045" cy="6277113"/>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5959" cy="6279462"/>
                    </a:xfrm>
                    <a:prstGeom prst="rect">
                      <a:avLst/>
                    </a:prstGeom>
                    <a:noFill/>
                    <a:ln>
                      <a:noFill/>
                    </a:ln>
                  </pic:spPr>
                </pic:pic>
              </a:graphicData>
            </a:graphic>
          </wp:inline>
        </w:drawing>
      </w:r>
    </w:p>
    <w:p w14:paraId="4647256F" w14:textId="04F62798" w:rsidR="00BD5A89" w:rsidRDefault="00BD5A89" w:rsidP="00037832">
      <w:pPr>
        <w:suppressLineNumbers/>
      </w:pPr>
      <w:r w:rsidRPr="00054FD7">
        <w:t xml:space="preserve">Note: </w:t>
      </w:r>
      <w:r w:rsidR="0029651D">
        <w:t xml:space="preserve">number of STH studies and Schistosomiasis studies adds to 56 (not 55) since Olds 1999 study is counted as both STH deworming and </w:t>
      </w:r>
      <w:r w:rsidRPr="00054FD7">
        <w:t>schistosomiasis</w:t>
      </w:r>
      <w:r w:rsidR="0029651D">
        <w:t xml:space="preserve"> deworming because it is a factorial trial</w:t>
      </w:r>
      <w:r w:rsidRPr="00054FD7">
        <w:t>.</w:t>
      </w:r>
    </w:p>
    <w:p w14:paraId="3273EC44" w14:textId="77777777" w:rsidR="00BD5A89" w:rsidRDefault="00BD5A89" w:rsidP="00037832">
      <w:pPr>
        <w:suppressLineNumbers/>
      </w:pPr>
    </w:p>
    <w:p w14:paraId="243BB77C" w14:textId="2A3546F5" w:rsidR="00BD5A89" w:rsidRDefault="00BD5A89" w:rsidP="00037832">
      <w:pPr>
        <w:suppressLineNumbers/>
      </w:pPr>
    </w:p>
    <w:p w14:paraId="66968496" w14:textId="77777777" w:rsidR="0029651D" w:rsidRDefault="0029651D" w:rsidP="00037832">
      <w:pPr>
        <w:suppressLineNumbers/>
        <w:rPr>
          <w:rFonts w:eastAsiaTheme="majorEastAsia" w:cstheme="majorBidi"/>
          <w:b/>
          <w:sz w:val="24"/>
          <w:szCs w:val="26"/>
        </w:rPr>
      </w:pPr>
      <w:bookmarkStart w:id="45" w:name="_Ref524539552"/>
      <w:r>
        <w:rPr>
          <w:i/>
        </w:rPr>
        <w:br w:type="page"/>
      </w:r>
    </w:p>
    <w:p w14:paraId="21FACE2A" w14:textId="4B3A4037" w:rsidR="00BD5A89" w:rsidRPr="00037832" w:rsidRDefault="00BD5A89" w:rsidP="00037832">
      <w:pPr>
        <w:pStyle w:val="Heading2"/>
        <w:suppressLineNumbers/>
        <w:rPr>
          <w:i w:val="0"/>
        </w:rPr>
      </w:pPr>
      <w:r w:rsidRPr="00364D94">
        <w:rPr>
          <w:rFonts w:asciiTheme="minorHAnsi" w:hAnsiTheme="minorHAnsi"/>
          <w:i w:val="0"/>
        </w:rPr>
        <w:lastRenderedPageBreak/>
        <w:t>Fig</w:t>
      </w:r>
      <w:r>
        <w:rPr>
          <w:rFonts w:asciiTheme="minorHAnsi" w:hAnsiTheme="minorHAnsi"/>
          <w:i w:val="0"/>
        </w:rPr>
        <w:t xml:space="preserve"> </w:t>
      </w:r>
      <w:r w:rsidRPr="00364D94">
        <w:rPr>
          <w:rFonts w:asciiTheme="minorHAnsi" w:hAnsiTheme="minorHAnsi"/>
          <w:i w:val="0"/>
          <w:noProof/>
        </w:rPr>
        <w:t>2</w:t>
      </w:r>
      <w:bookmarkEnd w:id="45"/>
      <w:r w:rsidRPr="00037832">
        <w:rPr>
          <w:rFonts w:asciiTheme="minorHAnsi" w:hAnsiTheme="minorHAnsi"/>
          <w:i w:val="0"/>
        </w:rPr>
        <w:t>:  Countries where included studies were conducted</w:t>
      </w:r>
    </w:p>
    <w:p w14:paraId="2DC3EAFD" w14:textId="77777777" w:rsidR="00BD5A89" w:rsidRPr="00003260" w:rsidRDefault="00BD5A89" w:rsidP="00037832">
      <w:pPr>
        <w:suppressLineNumbers/>
      </w:pPr>
      <w:r>
        <w:rPr>
          <w:noProof/>
          <w:lang w:eastAsia="en-CA"/>
        </w:rPr>
        <w:drawing>
          <wp:inline distT="0" distB="0" distL="0" distR="0" wp14:anchorId="524AE124" wp14:editId="1DAC04E9">
            <wp:extent cx="5943600" cy="3056542"/>
            <wp:effectExtent l="0" t="0" r="0" b="0"/>
            <wp:docPr id="9" name="Picture 9" descr="S:\BRI Investigators\Welch\Deworming IPD\PLOSNTD\Fig 2_ne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RI Investigators\Welch\Deworming IPD\PLOSNTD\Fig 2_new.t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056542"/>
                    </a:xfrm>
                    <a:prstGeom prst="rect">
                      <a:avLst/>
                    </a:prstGeom>
                    <a:noFill/>
                    <a:ln>
                      <a:noFill/>
                    </a:ln>
                  </pic:spPr>
                </pic:pic>
              </a:graphicData>
            </a:graphic>
          </wp:inline>
        </w:drawing>
      </w:r>
    </w:p>
    <w:p w14:paraId="501ABB8F" w14:textId="77777777" w:rsidR="00BD5A89" w:rsidRDefault="00BD5A89" w:rsidP="00037832">
      <w:pPr>
        <w:suppressLineNumbers/>
        <w:spacing w:before="120" w:after="120" w:line="240" w:lineRule="auto"/>
        <w:rPr>
          <w:color w:val="44546A" w:themeColor="text2"/>
        </w:rPr>
      </w:pPr>
      <w:r>
        <w:rPr>
          <w:color w:val="44546A" w:themeColor="text2"/>
        </w:rPr>
        <w:t>*Note: Olds 1999 is a single study which was carried out in three sites (Kenya, China and the Philippines); we only received IPD for the Kenya site.</w:t>
      </w:r>
    </w:p>
    <w:p w14:paraId="2C9A3A03" w14:textId="77777777" w:rsidR="00BD5A89" w:rsidRPr="008C7075" w:rsidRDefault="00BD5A89" w:rsidP="00037832">
      <w:pPr>
        <w:suppressLineNumbers/>
        <w:spacing w:before="120" w:after="120" w:line="240" w:lineRule="auto"/>
        <w:rPr>
          <w:color w:val="44546A" w:themeColor="text2"/>
          <w:lang w:val="fr-CA"/>
        </w:rPr>
      </w:pPr>
      <w:r w:rsidRPr="008C7075">
        <w:rPr>
          <w:color w:val="44546A" w:themeColor="text2"/>
          <w:lang w:val="fr-CA"/>
        </w:rPr>
        <w:t xml:space="preserve">Figure source: </w:t>
      </w:r>
      <w:hyperlink r:id="rId16" w:history="1">
        <w:r w:rsidRPr="00D61A43">
          <w:rPr>
            <w:rStyle w:val="Hyperlink"/>
            <w:rFonts w:asciiTheme="minorHAnsi" w:hAnsiTheme="minorHAnsi"/>
            <w:lang w:val="fr-CA"/>
          </w:rPr>
          <w:t>https://pxhere.com/en/photo/1262215</w:t>
        </w:r>
      </w:hyperlink>
      <w:r>
        <w:rPr>
          <w:color w:val="44546A" w:themeColor="text2"/>
          <w:lang w:val="fr-CA"/>
        </w:rPr>
        <w:t>, CC0 Public Domain</w:t>
      </w:r>
    </w:p>
    <w:p w14:paraId="33B04F7F" w14:textId="77777777" w:rsidR="00BD5A89" w:rsidRPr="008C7075" w:rsidRDefault="00BD5A89" w:rsidP="00037832">
      <w:pPr>
        <w:suppressLineNumbers/>
        <w:rPr>
          <w:color w:val="44546A" w:themeColor="text2"/>
          <w:lang w:val="fr-CA"/>
        </w:rPr>
      </w:pPr>
      <w:r w:rsidRPr="008C7075">
        <w:rPr>
          <w:color w:val="44546A" w:themeColor="text2"/>
          <w:lang w:val="fr-CA"/>
        </w:rPr>
        <w:br w:type="page"/>
      </w:r>
    </w:p>
    <w:p w14:paraId="0DE67CC7" w14:textId="6D563A18" w:rsidR="00BD5A89" w:rsidRPr="00037832" w:rsidRDefault="00BD5A89" w:rsidP="00037832">
      <w:pPr>
        <w:suppressLineNumbers/>
      </w:pPr>
      <w:r w:rsidRPr="00364D94">
        <w:lastRenderedPageBreak/>
        <w:t xml:space="preserve">Fig 3: </w:t>
      </w:r>
      <w:r w:rsidRPr="00037832">
        <w:t>Risk of bias graph</w:t>
      </w:r>
    </w:p>
    <w:p w14:paraId="5E4D9643" w14:textId="77777777" w:rsidR="00BD5A89" w:rsidRDefault="00BD5A89" w:rsidP="00037832">
      <w:pPr>
        <w:suppressLineNumbers/>
      </w:pPr>
      <w:r>
        <w:rPr>
          <w:b/>
          <w:noProof/>
          <w:lang w:eastAsia="en-CA"/>
        </w:rPr>
        <w:drawing>
          <wp:inline distT="0" distB="0" distL="0" distR="0" wp14:anchorId="6B452886" wp14:editId="57307A44">
            <wp:extent cx="4781550" cy="23907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1550" cy="2390775"/>
                    </a:xfrm>
                    <a:prstGeom prst="rect">
                      <a:avLst/>
                    </a:prstGeom>
                    <a:noFill/>
                    <a:ln>
                      <a:noFill/>
                    </a:ln>
                  </pic:spPr>
                </pic:pic>
              </a:graphicData>
            </a:graphic>
          </wp:inline>
        </w:drawing>
      </w:r>
    </w:p>
    <w:p w14:paraId="618A7C7A" w14:textId="77777777" w:rsidR="00BD5A89" w:rsidRDefault="00BD5A89" w:rsidP="00037832">
      <w:pPr>
        <w:suppressLineNumbers/>
      </w:pPr>
    </w:p>
    <w:p w14:paraId="18D642FE" w14:textId="0F54D062" w:rsidR="00BD5A89" w:rsidRPr="00306820" w:rsidRDefault="00BD5A89" w:rsidP="00037832">
      <w:pPr>
        <w:suppressLineNumbers/>
      </w:pPr>
      <w:r w:rsidRPr="00364D94">
        <w:t>Fig 4</w:t>
      </w:r>
      <w:r w:rsidRPr="00306820">
        <w:t xml:space="preserve">: Evidence network, </w:t>
      </w:r>
      <w:r w:rsidR="004726E7">
        <w:t>six nodes</w:t>
      </w:r>
    </w:p>
    <w:p w14:paraId="6ED4C89C" w14:textId="77777777" w:rsidR="00BD5A89" w:rsidRDefault="00BD5A89" w:rsidP="00037832">
      <w:pPr>
        <w:suppressLineNumbers/>
      </w:pPr>
      <w:r>
        <w:rPr>
          <w:noProof/>
          <w:lang w:eastAsia="en-CA"/>
        </w:rPr>
        <w:drawing>
          <wp:inline distT="0" distB="0" distL="0" distR="0" wp14:anchorId="79CF5798" wp14:editId="22605AB5">
            <wp:extent cx="5724525" cy="4552950"/>
            <wp:effectExtent l="0" t="0" r="9525" b="0"/>
            <wp:docPr id="11" name="Picture 11" descr="Deworming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worming model"/>
                    <pic:cNvPicPr>
                      <a:picLocks noChangeAspect="1" noChangeArrowheads="1"/>
                    </pic:cNvPicPr>
                  </pic:nvPicPr>
                  <pic:blipFill>
                    <a:blip r:embed="rId18" cstate="print">
                      <a:extLst>
                        <a:ext uri="{28A0092B-C50C-407E-A947-70E740481C1C}">
                          <a14:useLocalDpi xmlns:a14="http://schemas.microsoft.com/office/drawing/2010/main" val="0"/>
                        </a:ext>
                      </a:extLst>
                    </a:blip>
                    <a:srcRect l="16000" r="13274"/>
                    <a:stretch>
                      <a:fillRect/>
                    </a:stretch>
                  </pic:blipFill>
                  <pic:spPr bwMode="auto">
                    <a:xfrm>
                      <a:off x="0" y="0"/>
                      <a:ext cx="5724525" cy="4552950"/>
                    </a:xfrm>
                    <a:prstGeom prst="rect">
                      <a:avLst/>
                    </a:prstGeom>
                    <a:noFill/>
                    <a:ln>
                      <a:noFill/>
                    </a:ln>
                  </pic:spPr>
                </pic:pic>
              </a:graphicData>
            </a:graphic>
          </wp:inline>
        </w:drawing>
      </w:r>
    </w:p>
    <w:p w14:paraId="331642D9" w14:textId="7529ABAB" w:rsidR="00BD5A89" w:rsidRDefault="00BD5A89" w:rsidP="00037832">
      <w:pPr>
        <w:suppressLineNumbers/>
      </w:pPr>
      <w:r>
        <w:t>Note: MCN: Micronutrients; PZQ: praziquantel; STH: Soil transmitted helminths deworming</w:t>
      </w:r>
    </w:p>
    <w:p w14:paraId="780F3DB2" w14:textId="1FCF190C" w:rsidR="00BD5A89" w:rsidRPr="00037832" w:rsidRDefault="00BD5A89" w:rsidP="00037832">
      <w:pPr>
        <w:pStyle w:val="Heading2"/>
        <w:suppressLineNumbers/>
        <w:rPr>
          <w:i w:val="0"/>
        </w:rPr>
      </w:pPr>
      <w:bookmarkStart w:id="46" w:name="_Ref524539537"/>
      <w:r w:rsidRPr="00364D94">
        <w:rPr>
          <w:rFonts w:asciiTheme="minorHAnsi" w:hAnsiTheme="minorHAnsi"/>
          <w:i w:val="0"/>
        </w:rPr>
        <w:lastRenderedPageBreak/>
        <w:t>Fig 5</w:t>
      </w:r>
      <w:bookmarkEnd w:id="46"/>
      <w:r w:rsidRPr="00037832">
        <w:rPr>
          <w:rFonts w:asciiTheme="minorHAnsi" w:hAnsiTheme="minorHAnsi"/>
          <w:i w:val="0"/>
        </w:rPr>
        <w:t>: Main effects on weight (in kg), height (in cm) and haemoglobin (in g/L)</w:t>
      </w:r>
    </w:p>
    <w:p w14:paraId="7BBEBEB6" w14:textId="77777777" w:rsidR="00BD5A89" w:rsidRDefault="00BD5A89" w:rsidP="00037832">
      <w:pPr>
        <w:suppressLineNumbers/>
        <w:spacing w:before="120" w:after="120" w:line="240" w:lineRule="auto"/>
        <w:rPr>
          <w:b/>
        </w:rPr>
      </w:pPr>
      <w:r>
        <w:rPr>
          <w:b/>
          <w:noProof/>
          <w:lang w:eastAsia="en-CA"/>
        </w:rPr>
        <w:drawing>
          <wp:inline distT="0" distB="0" distL="0" distR="0" wp14:anchorId="6584883A" wp14:editId="286AF4EF">
            <wp:extent cx="6067425" cy="3276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67425" cy="3276600"/>
                    </a:xfrm>
                    <a:prstGeom prst="rect">
                      <a:avLst/>
                    </a:prstGeom>
                    <a:noFill/>
                    <a:ln>
                      <a:noFill/>
                    </a:ln>
                  </pic:spPr>
                </pic:pic>
              </a:graphicData>
            </a:graphic>
          </wp:inline>
        </w:drawing>
      </w:r>
    </w:p>
    <w:p w14:paraId="2E394DC8" w14:textId="0F88C465" w:rsidR="00BD5A89" w:rsidRPr="0099127B" w:rsidRDefault="00BD5A89" w:rsidP="00037832">
      <w:pPr>
        <w:suppressLineNumbers/>
        <w:spacing w:before="120" w:after="120" w:line="240" w:lineRule="auto"/>
      </w:pPr>
      <w:r w:rsidRPr="0099127B">
        <w:t xml:space="preserve">Notes: STH: soil-transmitted </w:t>
      </w:r>
      <w:r>
        <w:t>helminth deworming</w:t>
      </w:r>
      <w:r w:rsidRPr="0099127B">
        <w:t>, PZQ: praziquantel; MCN: micronutrients in any form (supplements or fortified beverage or food); iron in any form (supplement or fortification)</w:t>
      </w:r>
    </w:p>
    <w:p w14:paraId="6769BDEE" w14:textId="77777777" w:rsidR="00BD5A89" w:rsidRDefault="00BD5A89" w:rsidP="00037832">
      <w:pPr>
        <w:suppressLineNumbers/>
      </w:pPr>
    </w:p>
    <w:p w14:paraId="789F5C0C" w14:textId="0CE3011B" w:rsidR="00E22E1A" w:rsidRPr="00E22E1A" w:rsidRDefault="00BD5A89" w:rsidP="00037832">
      <w:pPr>
        <w:pStyle w:val="Heading2"/>
        <w:suppressLineNumbers/>
        <w:rPr>
          <w:rFonts w:asciiTheme="minorHAnsi" w:hAnsiTheme="minorHAnsi"/>
          <w:i w:val="0"/>
          <w:szCs w:val="24"/>
        </w:rPr>
      </w:pPr>
      <w:r w:rsidRPr="00E22E1A">
        <w:rPr>
          <w:rFonts w:asciiTheme="minorHAnsi" w:hAnsiTheme="minorHAnsi"/>
          <w:i w:val="0"/>
          <w:szCs w:val="24"/>
        </w:rPr>
        <w:t>Fig 6: Meta-regression analyses using all STH deworming vs. placebo studies</w:t>
      </w:r>
    </w:p>
    <w:p w14:paraId="7A1A3860" w14:textId="77777777" w:rsidR="00BD5A89" w:rsidRDefault="00BD5A89" w:rsidP="00037832">
      <w:pPr>
        <w:suppressLineNumbers/>
      </w:pPr>
      <w:r>
        <w:rPr>
          <w:noProof/>
          <w:color w:val="000000" w:themeColor="text1"/>
          <w:lang w:eastAsia="en-CA"/>
        </w:rPr>
        <w:drawing>
          <wp:inline distT="0" distB="0" distL="0" distR="0" wp14:anchorId="2A4342D4" wp14:editId="716775DC">
            <wp:extent cx="5943600" cy="14954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495425"/>
                    </a:xfrm>
                    <a:prstGeom prst="rect">
                      <a:avLst/>
                    </a:prstGeom>
                    <a:noFill/>
                    <a:ln>
                      <a:noFill/>
                    </a:ln>
                  </pic:spPr>
                </pic:pic>
              </a:graphicData>
            </a:graphic>
          </wp:inline>
        </w:drawing>
      </w:r>
    </w:p>
    <w:p w14:paraId="79284BBE" w14:textId="77392E4B" w:rsidR="00E22E1A" w:rsidRPr="00037832" w:rsidRDefault="00BD5A89" w:rsidP="00037832">
      <w:pPr>
        <w:pStyle w:val="Heading1"/>
        <w:suppressLineNumbers/>
        <w:rPr>
          <w:rFonts w:asciiTheme="minorHAnsi" w:hAnsiTheme="minorHAnsi"/>
        </w:rPr>
      </w:pPr>
      <w:r w:rsidRPr="008D16BC">
        <w:t xml:space="preserve">Note: uses aggregate data from </w:t>
      </w:r>
      <w:r>
        <w:t xml:space="preserve">all </w:t>
      </w:r>
      <w:r w:rsidRPr="008D16BC">
        <w:t xml:space="preserve">studies </w:t>
      </w:r>
      <w:r w:rsidR="00E22E1A" w:rsidRPr="00037832">
        <w:rPr>
          <w:rFonts w:asciiTheme="minorHAnsi" w:hAnsiTheme="minorHAnsi"/>
        </w:rPr>
        <w:t>Funding support</w:t>
      </w:r>
    </w:p>
    <w:p w14:paraId="19EEB36F" w14:textId="77777777" w:rsidR="00E22E1A" w:rsidRPr="00B70704" w:rsidRDefault="00E22E1A" w:rsidP="00037832">
      <w:pPr>
        <w:suppressLineNumbers/>
        <w:spacing w:before="120" w:after="120" w:line="480" w:lineRule="auto"/>
      </w:pPr>
      <w:r w:rsidRPr="00B70704">
        <w:t>This research was funded by the Bill and Melinda Gates Foundation</w:t>
      </w:r>
    </w:p>
    <w:p w14:paraId="75666317" w14:textId="77777777" w:rsidR="00E22E1A" w:rsidRPr="00B70704" w:rsidRDefault="00E22E1A" w:rsidP="00037832">
      <w:pPr>
        <w:suppressLineNumbers/>
        <w:spacing w:before="120" w:after="120" w:line="480" w:lineRule="auto"/>
      </w:pPr>
      <w:r w:rsidRPr="00B70704">
        <w:rPr>
          <w:b/>
        </w:rPr>
        <w:t xml:space="preserve">Role of funder/sponsors: </w:t>
      </w:r>
      <w:r w:rsidRPr="00B70704">
        <w:t>The funder had no role in the analysis, interpretation or decision to publish.</w:t>
      </w:r>
    </w:p>
    <w:p w14:paraId="73F46B47" w14:textId="77777777" w:rsidR="00E22E1A" w:rsidRPr="00037832" w:rsidRDefault="00E22E1A" w:rsidP="00037832">
      <w:pPr>
        <w:suppressLineNumbers/>
      </w:pPr>
    </w:p>
    <w:p w14:paraId="02C481CD" w14:textId="525010A0" w:rsidR="00E22E1A" w:rsidRPr="00037832" w:rsidRDefault="00E22E1A" w:rsidP="00037832">
      <w:pPr>
        <w:pStyle w:val="Heading1"/>
        <w:suppressLineNumbers/>
        <w:rPr>
          <w:rFonts w:asciiTheme="minorHAnsi" w:hAnsiTheme="minorHAnsi"/>
        </w:rPr>
      </w:pPr>
      <w:r>
        <w:rPr>
          <w:rFonts w:asciiTheme="minorHAnsi" w:hAnsiTheme="minorHAnsi"/>
        </w:rPr>
        <w:lastRenderedPageBreak/>
        <w:t>Competing I</w:t>
      </w:r>
      <w:r w:rsidRPr="00037832">
        <w:rPr>
          <w:rFonts w:asciiTheme="minorHAnsi" w:hAnsiTheme="minorHAnsi"/>
        </w:rPr>
        <w:t>nterest</w:t>
      </w:r>
      <w:r>
        <w:rPr>
          <w:rFonts w:asciiTheme="minorHAnsi" w:hAnsiTheme="minorHAnsi"/>
        </w:rPr>
        <w:t>s</w:t>
      </w:r>
      <w:r w:rsidRPr="00037832">
        <w:rPr>
          <w:rFonts w:asciiTheme="minorHAnsi" w:hAnsiTheme="minorHAnsi"/>
        </w:rPr>
        <w:t xml:space="preserve"> </w:t>
      </w:r>
    </w:p>
    <w:p w14:paraId="47B44474" w14:textId="77777777" w:rsidR="00E22E1A" w:rsidRDefault="00E22E1A" w:rsidP="00037832">
      <w:pPr>
        <w:suppressLineNumbers/>
        <w:spacing w:before="120" w:after="120" w:line="480" w:lineRule="auto"/>
      </w:pPr>
      <w:r w:rsidRPr="00E34519">
        <w:t xml:space="preserve">Dr. Welch </w:t>
      </w:r>
      <w:r>
        <w:t xml:space="preserve">is editor in chief of the Campbell Collaboration.  The protocol for this systematic review was registered with the Campbell Collaboration, where the peer review process was handled by an independent editor.  </w:t>
      </w:r>
    </w:p>
    <w:p w14:paraId="69B2EBB5" w14:textId="77777777" w:rsidR="00E22E1A" w:rsidRDefault="00E22E1A" w:rsidP="00037832">
      <w:pPr>
        <w:suppressLineNumbers/>
        <w:spacing w:before="120" w:after="120" w:line="480" w:lineRule="auto"/>
      </w:pPr>
      <w:r w:rsidRPr="00516543">
        <w:t>Dr. Hossain has nothing to disclose.</w:t>
      </w:r>
      <w:r w:rsidRPr="003D7F93">
        <w:t xml:space="preserve"> </w:t>
      </w:r>
    </w:p>
    <w:p w14:paraId="1009803C" w14:textId="77777777" w:rsidR="00E22E1A" w:rsidRDefault="00E22E1A" w:rsidP="00037832">
      <w:pPr>
        <w:suppressLineNumbers/>
        <w:spacing w:before="120" w:after="120" w:line="480" w:lineRule="auto"/>
      </w:pPr>
      <w:r w:rsidRPr="00AE5B1F">
        <w:t xml:space="preserve">Dr. </w:t>
      </w:r>
      <w:proofErr w:type="spellStart"/>
      <w:r w:rsidRPr="00AE5B1F">
        <w:t>Ghogomu</w:t>
      </w:r>
      <w:proofErr w:type="spellEnd"/>
      <w:r w:rsidRPr="00AE5B1F">
        <w:t xml:space="preserve"> </w:t>
      </w:r>
      <w:r>
        <w:t>has nothing to disclose.</w:t>
      </w:r>
    </w:p>
    <w:p w14:paraId="57892C7A" w14:textId="77777777" w:rsidR="00E22E1A" w:rsidRDefault="00E22E1A" w:rsidP="00037832">
      <w:pPr>
        <w:suppressLineNumbers/>
        <w:spacing w:before="120" w:after="120" w:line="480" w:lineRule="auto"/>
      </w:pPr>
      <w:r w:rsidRPr="00D8797B">
        <w:t>Dr. Riddle has nothing to disclose.</w:t>
      </w:r>
    </w:p>
    <w:p w14:paraId="447C2461" w14:textId="77777777" w:rsidR="00E22E1A" w:rsidRDefault="00E22E1A" w:rsidP="00037832">
      <w:pPr>
        <w:suppressLineNumbers/>
        <w:spacing w:before="120" w:after="120" w:line="480" w:lineRule="auto"/>
      </w:pPr>
      <w:r w:rsidRPr="00D8797B">
        <w:t>Ms. Gaffey has nothing to disclose.</w:t>
      </w:r>
    </w:p>
    <w:p w14:paraId="698C71D5" w14:textId="77777777" w:rsidR="00E22E1A" w:rsidRDefault="00E22E1A" w:rsidP="00037832">
      <w:pPr>
        <w:suppressLineNumbers/>
        <w:spacing w:before="120" w:after="120" w:line="480" w:lineRule="auto"/>
      </w:pPr>
      <w:r w:rsidRPr="008B0F98">
        <w:t xml:space="preserve">Dr. Arora has nothing to disclose. </w:t>
      </w:r>
    </w:p>
    <w:p w14:paraId="4BF7D4FD" w14:textId="77777777" w:rsidR="00E22E1A" w:rsidRDefault="00E22E1A" w:rsidP="00037832">
      <w:pPr>
        <w:suppressLineNumbers/>
        <w:spacing w:before="120" w:after="120" w:line="480" w:lineRule="auto"/>
      </w:pPr>
      <w:r w:rsidRPr="00AE5B1F">
        <w:t>Mr. Dewidar has nothing to disclose.</w:t>
      </w:r>
    </w:p>
    <w:p w14:paraId="7DB2DB3A" w14:textId="77777777" w:rsidR="00E22E1A" w:rsidRDefault="00E22E1A" w:rsidP="00037832">
      <w:pPr>
        <w:suppressLineNumbers/>
        <w:spacing w:before="120" w:after="120" w:line="480" w:lineRule="auto"/>
      </w:pPr>
      <w:r w:rsidRPr="008B0F98">
        <w:t xml:space="preserve">Dr. CHEN has nothing to disclose. </w:t>
      </w:r>
    </w:p>
    <w:p w14:paraId="519140CC" w14:textId="77777777" w:rsidR="00E22E1A" w:rsidRDefault="00E22E1A" w:rsidP="00037832">
      <w:pPr>
        <w:suppressLineNumbers/>
        <w:spacing w:before="120" w:after="120" w:line="480" w:lineRule="auto"/>
      </w:pPr>
      <w:r w:rsidRPr="003D7F93">
        <w:t xml:space="preserve">Dr. </w:t>
      </w:r>
      <w:proofErr w:type="spellStart"/>
      <w:r w:rsidRPr="003D7F93">
        <w:t>Abdus</w:t>
      </w:r>
      <w:proofErr w:type="spellEnd"/>
      <w:r w:rsidRPr="003D7F93">
        <w:t xml:space="preserve"> Salam has nothing to </w:t>
      </w:r>
      <w:r w:rsidRPr="00516543">
        <w:t>disclose.</w:t>
      </w:r>
      <w:r w:rsidRPr="003D7F93">
        <w:t xml:space="preserve"> </w:t>
      </w:r>
    </w:p>
    <w:p w14:paraId="4C6FAE58" w14:textId="77777777" w:rsidR="00E22E1A" w:rsidRDefault="00E22E1A" w:rsidP="00037832">
      <w:pPr>
        <w:suppressLineNumbers/>
        <w:spacing w:before="120" w:after="120" w:line="480" w:lineRule="auto"/>
      </w:pPr>
      <w:r w:rsidRPr="00B81C03">
        <w:t>Prof Cousens has nothing to disclose.</w:t>
      </w:r>
    </w:p>
    <w:p w14:paraId="738056CF" w14:textId="77777777" w:rsidR="00E22E1A" w:rsidRDefault="00E22E1A" w:rsidP="00037832">
      <w:pPr>
        <w:suppressLineNumbers/>
        <w:spacing w:before="120" w:after="120" w:line="480" w:lineRule="auto"/>
      </w:pPr>
      <w:r w:rsidRPr="00B81C03">
        <w:t>Dr. Bhutta has nothing to disclose.</w:t>
      </w:r>
    </w:p>
    <w:p w14:paraId="1D8F322C" w14:textId="77777777" w:rsidR="00E22E1A" w:rsidRDefault="00E22E1A" w:rsidP="00037832">
      <w:pPr>
        <w:suppressLineNumbers/>
        <w:spacing w:before="120" w:after="120" w:line="480" w:lineRule="auto"/>
      </w:pPr>
      <w:r w:rsidRPr="00516543">
        <w:t>Dr</w:t>
      </w:r>
      <w:r>
        <w:t>.</w:t>
      </w:r>
      <w:r w:rsidRPr="00516543">
        <w:t xml:space="preserve"> Wells has nothing to disclose.</w:t>
      </w:r>
      <w:r>
        <w:t xml:space="preserve"> </w:t>
      </w:r>
    </w:p>
    <w:p w14:paraId="198475EA" w14:textId="77777777" w:rsidR="00E22E1A" w:rsidRDefault="00E22E1A" w:rsidP="00037832">
      <w:pPr>
        <w:suppressLineNumbers/>
        <w:spacing w:before="120" w:after="120" w:line="480" w:lineRule="auto"/>
      </w:pPr>
      <w:r w:rsidRPr="00AE5B1F">
        <w:t>Dr. Black has nothing to disclose.</w:t>
      </w:r>
    </w:p>
    <w:p w14:paraId="09AC40C4" w14:textId="77777777" w:rsidR="00E22E1A" w:rsidRDefault="00E22E1A" w:rsidP="00037832">
      <w:pPr>
        <w:suppressLineNumbers/>
        <w:spacing w:before="120" w:after="120" w:line="480" w:lineRule="auto"/>
        <w:rPr>
          <w:highlight w:val="yellow"/>
        </w:rPr>
      </w:pPr>
      <w:r w:rsidRPr="008B0F98">
        <w:t>Dr. Hollingsworth has nothing to disclose.</w:t>
      </w:r>
      <w:r w:rsidRPr="008B0F98">
        <w:rPr>
          <w:highlight w:val="yellow"/>
        </w:rPr>
        <w:t xml:space="preserve"> </w:t>
      </w:r>
    </w:p>
    <w:p w14:paraId="303D5FDE" w14:textId="77777777" w:rsidR="00E22E1A" w:rsidRDefault="00E22E1A" w:rsidP="00037832">
      <w:pPr>
        <w:suppressLineNumbers/>
        <w:spacing w:before="120" w:after="120" w:line="480" w:lineRule="auto"/>
        <w:rPr>
          <w:highlight w:val="yellow"/>
        </w:rPr>
      </w:pPr>
      <w:r>
        <w:t xml:space="preserve">Dr. Sue Horton </w:t>
      </w:r>
      <w:r w:rsidRPr="008B0F98">
        <w:t>has nothing to disclose.</w:t>
      </w:r>
      <w:r w:rsidRPr="008B0F98">
        <w:rPr>
          <w:highlight w:val="yellow"/>
        </w:rPr>
        <w:t xml:space="preserve"> </w:t>
      </w:r>
    </w:p>
    <w:p w14:paraId="3D93981F" w14:textId="77777777" w:rsidR="00E22E1A" w:rsidRDefault="00E22E1A" w:rsidP="00037832">
      <w:pPr>
        <w:suppressLineNumbers/>
        <w:spacing w:before="120" w:after="120" w:line="480" w:lineRule="auto"/>
      </w:pPr>
      <w:r w:rsidRPr="00516543">
        <w:t>Dr. Tugwell has nothing to disclose.</w:t>
      </w:r>
      <w:r w:rsidRPr="003D7F93">
        <w:t xml:space="preserve"> </w:t>
      </w:r>
    </w:p>
    <w:p w14:paraId="623FBA3F" w14:textId="77777777" w:rsidR="00E22E1A" w:rsidRDefault="00E22E1A" w:rsidP="00037832">
      <w:pPr>
        <w:suppressLineNumbers/>
        <w:spacing w:before="120" w:after="120" w:line="480" w:lineRule="auto"/>
      </w:pPr>
      <w:r w:rsidRPr="00D8797B">
        <w:t>Dr. Bundy has nothing to disclose.</w:t>
      </w:r>
    </w:p>
    <w:p w14:paraId="41D8ECB0" w14:textId="77777777" w:rsidR="00E22E1A" w:rsidRDefault="00E22E1A" w:rsidP="00037832">
      <w:pPr>
        <w:suppressLineNumbers/>
        <w:spacing w:before="120" w:after="120" w:line="480" w:lineRule="auto"/>
      </w:pPr>
      <w:r w:rsidRPr="00D8797B">
        <w:lastRenderedPageBreak/>
        <w:t>Dr. Castro has nothing to disclose.</w:t>
      </w:r>
    </w:p>
    <w:p w14:paraId="39FCE1B2" w14:textId="77777777" w:rsidR="00E22E1A" w:rsidRDefault="00E22E1A" w:rsidP="00037832">
      <w:pPr>
        <w:suppressLineNumbers/>
        <w:spacing w:before="120" w:after="120" w:line="480" w:lineRule="auto"/>
      </w:pPr>
      <w:r w:rsidRPr="00D8797B">
        <w:t>Dr. Friis reports grants from ARLA Food for Health Center, grants from Danish Dairy Research Fou</w:t>
      </w:r>
      <w:r>
        <w:t xml:space="preserve">ndation, grants from </w:t>
      </w:r>
      <w:proofErr w:type="spellStart"/>
      <w:r>
        <w:t>Nutriset</w:t>
      </w:r>
      <w:proofErr w:type="spellEnd"/>
      <w:r>
        <w:t xml:space="preserve">, </w:t>
      </w:r>
      <w:r w:rsidRPr="00D8797B">
        <w:t>outside the subm</w:t>
      </w:r>
      <w:r>
        <w:t>itted work</w:t>
      </w:r>
      <w:r w:rsidRPr="00D8797B">
        <w:t>.</w:t>
      </w:r>
    </w:p>
    <w:p w14:paraId="356B47A0" w14:textId="77777777" w:rsidR="00E22E1A" w:rsidRDefault="00E22E1A" w:rsidP="00037832">
      <w:pPr>
        <w:suppressLineNumbers/>
        <w:spacing w:before="120" w:after="120" w:line="480" w:lineRule="auto"/>
      </w:pPr>
      <w:r w:rsidRPr="00AE5B1F">
        <w:t xml:space="preserve">Dr. Elliott reports grants from </w:t>
      </w:r>
      <w:proofErr w:type="spellStart"/>
      <w:r w:rsidRPr="00AE5B1F">
        <w:t>Wellcome</w:t>
      </w:r>
      <w:proofErr w:type="spellEnd"/>
      <w:r w:rsidRPr="00AE5B1F">
        <w:t xml:space="preserve"> Trust, during the conduct of the study</w:t>
      </w:r>
    </w:p>
    <w:p w14:paraId="6FA7966B" w14:textId="77777777" w:rsidR="00E22E1A" w:rsidRDefault="00E22E1A" w:rsidP="00037832">
      <w:pPr>
        <w:suppressLineNumbers/>
        <w:spacing w:before="120" w:after="120" w:line="480" w:lineRule="auto"/>
      </w:pPr>
      <w:r w:rsidRPr="00AE5B1F">
        <w:t>Dr. King reports grants from World Health Organization for work included in the study</w:t>
      </w:r>
    </w:p>
    <w:p w14:paraId="0B428A26" w14:textId="77777777" w:rsidR="00E22E1A" w:rsidRDefault="00E22E1A" w:rsidP="00037832">
      <w:pPr>
        <w:suppressLineNumbers/>
        <w:spacing w:before="120" w:after="120" w:line="480" w:lineRule="auto"/>
      </w:pPr>
      <w:r w:rsidRPr="003A3C92">
        <w:t xml:space="preserve">Dr. Le </w:t>
      </w:r>
      <w:proofErr w:type="spellStart"/>
      <w:r w:rsidRPr="003A3C92">
        <w:t>Thi</w:t>
      </w:r>
      <w:proofErr w:type="spellEnd"/>
      <w:r w:rsidRPr="003A3C92">
        <w:t xml:space="preserve"> has nothing to disclose.</w:t>
      </w:r>
    </w:p>
    <w:p w14:paraId="12BA9046" w14:textId="77777777" w:rsidR="00E22E1A" w:rsidRDefault="00E22E1A" w:rsidP="00037832">
      <w:pPr>
        <w:suppressLineNumbers/>
        <w:spacing w:before="120" w:after="120" w:line="480" w:lineRule="auto"/>
      </w:pPr>
      <w:r w:rsidRPr="00D8797B">
        <w:t>Dr. LIU reports grants from International Initiative for Impact Evaluation, grants from National Natural Science Foundation of China, d</w:t>
      </w:r>
      <w:r>
        <w:t>uring the conduct of the study</w:t>
      </w:r>
      <w:r w:rsidRPr="00D8797B">
        <w:t>.</w:t>
      </w:r>
    </w:p>
    <w:p w14:paraId="1A3D9750" w14:textId="77777777" w:rsidR="00E22E1A" w:rsidRDefault="00E22E1A" w:rsidP="00037832">
      <w:pPr>
        <w:suppressLineNumbers/>
        <w:spacing w:before="120" w:after="120" w:line="480" w:lineRule="auto"/>
      </w:pPr>
      <w:r w:rsidRPr="00AE5B1F">
        <w:t>Dr. Rohner has nothing to disclose.</w:t>
      </w:r>
    </w:p>
    <w:p w14:paraId="47E28F49" w14:textId="77777777" w:rsidR="00E22E1A" w:rsidRDefault="00E22E1A" w:rsidP="00037832">
      <w:pPr>
        <w:suppressLineNumbers/>
        <w:spacing w:before="120" w:after="120" w:line="480" w:lineRule="auto"/>
      </w:pPr>
      <w:r w:rsidRPr="00516543">
        <w:t>Dr. Rousham has nothing to disclose.</w:t>
      </w:r>
    </w:p>
    <w:p w14:paraId="599FB856" w14:textId="77777777" w:rsidR="00E22E1A" w:rsidRDefault="00E22E1A" w:rsidP="00037832">
      <w:pPr>
        <w:suppressLineNumbers/>
        <w:spacing w:before="120" w:after="120" w:line="480" w:lineRule="auto"/>
      </w:pPr>
      <w:r w:rsidRPr="00900C16">
        <w:t xml:space="preserve">Dr. </w:t>
      </w:r>
      <w:proofErr w:type="spellStart"/>
      <w:r w:rsidRPr="00900C16">
        <w:t>Sartono</w:t>
      </w:r>
      <w:proofErr w:type="spellEnd"/>
      <w:r w:rsidRPr="00900C16">
        <w:t xml:space="preserve"> has nothing to disclose.</w:t>
      </w:r>
    </w:p>
    <w:p w14:paraId="5F6FACC2" w14:textId="77777777" w:rsidR="00E22E1A" w:rsidRDefault="00E22E1A" w:rsidP="00037832">
      <w:pPr>
        <w:suppressLineNumbers/>
        <w:spacing w:before="120" w:after="120" w:line="480" w:lineRule="auto"/>
      </w:pPr>
      <w:r>
        <w:t xml:space="preserve">Dr. </w:t>
      </w:r>
      <w:r w:rsidRPr="00AE5B1F">
        <w:t>Steinmann has nothing to disclose.</w:t>
      </w:r>
    </w:p>
    <w:p w14:paraId="5A436F6F" w14:textId="77777777" w:rsidR="00E22E1A" w:rsidRDefault="00E22E1A" w:rsidP="00037832">
      <w:pPr>
        <w:suppressLineNumbers/>
        <w:spacing w:before="120" w:after="120" w:line="480" w:lineRule="auto"/>
      </w:pPr>
      <w:r w:rsidRPr="00900C16">
        <w:t xml:space="preserve">Dr. </w:t>
      </w:r>
      <w:proofErr w:type="spellStart"/>
      <w:r w:rsidRPr="00900C16">
        <w:t>Supali</w:t>
      </w:r>
      <w:proofErr w:type="spellEnd"/>
      <w:r w:rsidRPr="00900C16">
        <w:t xml:space="preserve"> has nothing to disclose.</w:t>
      </w:r>
    </w:p>
    <w:p w14:paraId="6816D0CF" w14:textId="77777777" w:rsidR="00E22E1A" w:rsidRDefault="00E22E1A" w:rsidP="00037832">
      <w:pPr>
        <w:suppressLineNumbers/>
        <w:spacing w:before="120" w:after="120" w:line="480" w:lineRule="auto"/>
      </w:pPr>
      <w:r w:rsidRPr="00AE5B1F">
        <w:t>Dr. Webb has nothing to disclose.</w:t>
      </w:r>
    </w:p>
    <w:p w14:paraId="4E558D15" w14:textId="77777777" w:rsidR="00E22E1A" w:rsidRDefault="00E22E1A" w:rsidP="00037832">
      <w:pPr>
        <w:suppressLineNumbers/>
        <w:spacing w:before="120" w:after="120" w:line="480" w:lineRule="auto"/>
      </w:pPr>
      <w:r w:rsidRPr="00AE5B1F">
        <w:t>Dr. Wieringa has nothing to disclose.</w:t>
      </w:r>
    </w:p>
    <w:p w14:paraId="43125072" w14:textId="77777777" w:rsidR="00E22E1A" w:rsidRDefault="00E22E1A" w:rsidP="00037832">
      <w:pPr>
        <w:suppressLineNumbers/>
        <w:spacing w:before="120" w:after="120" w:line="480" w:lineRule="auto"/>
      </w:pPr>
      <w:r w:rsidRPr="00AE5B1F">
        <w:t xml:space="preserve">Dr. </w:t>
      </w:r>
      <w:proofErr w:type="spellStart"/>
      <w:r>
        <w:t>Winnichagoon</w:t>
      </w:r>
      <w:proofErr w:type="spellEnd"/>
      <w:r>
        <w:t xml:space="preserve"> </w:t>
      </w:r>
      <w:r w:rsidRPr="00AE5B1F">
        <w:t>has nothing to disclose.</w:t>
      </w:r>
    </w:p>
    <w:p w14:paraId="445FD81B" w14:textId="676A10E6" w:rsidR="00E22E1A" w:rsidRPr="00DA303F" w:rsidRDefault="00E22E1A" w:rsidP="00037832">
      <w:pPr>
        <w:suppressLineNumbers/>
        <w:spacing w:before="120" w:after="120" w:line="480" w:lineRule="auto"/>
      </w:pPr>
      <w:r w:rsidRPr="00900C16">
        <w:t xml:space="preserve">Dr. </w:t>
      </w:r>
      <w:proofErr w:type="spellStart"/>
      <w:r w:rsidRPr="00900C16">
        <w:t>Yazdanbakhsh</w:t>
      </w:r>
      <w:proofErr w:type="spellEnd"/>
      <w:r w:rsidRPr="00900C16">
        <w:t xml:space="preserve"> has nothing to disclose.</w:t>
      </w:r>
    </w:p>
    <w:p w14:paraId="28F43F2E" w14:textId="77777777" w:rsidR="00BD5A89" w:rsidRDefault="00BD5A89" w:rsidP="00037832">
      <w:pPr>
        <w:suppressLineNumbers/>
      </w:pPr>
      <w:r>
        <w:t xml:space="preserve"> </w:t>
      </w:r>
    </w:p>
    <w:p w14:paraId="3D288620" w14:textId="77777777" w:rsidR="00BD5A89" w:rsidRDefault="00BD5A89" w:rsidP="00037832">
      <w:pPr>
        <w:suppressLineNumbers/>
      </w:pPr>
    </w:p>
    <w:p w14:paraId="448E999D" w14:textId="77777777" w:rsidR="00BD5A89" w:rsidRPr="00037832" w:rsidRDefault="00BD5A89" w:rsidP="00037832">
      <w:pPr>
        <w:suppressLineNumbers/>
      </w:pPr>
    </w:p>
    <w:sectPr w:rsidR="00BD5A89" w:rsidRPr="00037832" w:rsidSect="00037832">
      <w:footerReference w:type="default" r:id="rId21"/>
      <w:pgSz w:w="12240" w:h="15840"/>
      <w:pgMar w:top="1440" w:right="1440" w:bottom="1440" w:left="1440" w:header="706" w:footer="706"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DA8BB" w14:textId="77777777" w:rsidR="00EE0E7B" w:rsidRDefault="00EE0E7B" w:rsidP="00EA5D0D">
      <w:pPr>
        <w:spacing w:after="0" w:line="240" w:lineRule="auto"/>
      </w:pPr>
      <w:r>
        <w:separator/>
      </w:r>
    </w:p>
  </w:endnote>
  <w:endnote w:type="continuationSeparator" w:id="0">
    <w:p w14:paraId="4B99F6BD" w14:textId="77777777" w:rsidR="00EE0E7B" w:rsidRDefault="00EE0E7B" w:rsidP="00EA5D0D">
      <w:pPr>
        <w:spacing w:after="0" w:line="240" w:lineRule="auto"/>
      </w:pPr>
      <w:r>
        <w:continuationSeparator/>
      </w:r>
    </w:p>
  </w:endnote>
  <w:endnote w:type="continuationNotice" w:id="1">
    <w:p w14:paraId="260EC2D2" w14:textId="77777777" w:rsidR="00EE0E7B" w:rsidRDefault="00EE0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993162"/>
      <w:docPartObj>
        <w:docPartGallery w:val="Page Numbers (Bottom of Page)"/>
        <w:docPartUnique/>
      </w:docPartObj>
    </w:sdtPr>
    <w:sdtEndPr>
      <w:rPr>
        <w:noProof/>
      </w:rPr>
    </w:sdtEndPr>
    <w:sdtContent>
      <w:p w14:paraId="50D62069" w14:textId="77777777" w:rsidR="00B22B9C" w:rsidRDefault="00B22B9C">
        <w:pPr>
          <w:pStyle w:val="Footer"/>
          <w:jc w:val="right"/>
        </w:pPr>
        <w:r>
          <w:fldChar w:fldCharType="begin"/>
        </w:r>
        <w:r>
          <w:instrText xml:space="preserve"> PAGE   \* MERGEFORMAT </w:instrText>
        </w:r>
        <w:r>
          <w:fldChar w:fldCharType="separate"/>
        </w:r>
        <w:r w:rsidR="008842B6">
          <w:rPr>
            <w:noProof/>
          </w:rPr>
          <w:t>18</w:t>
        </w:r>
        <w:r>
          <w:rPr>
            <w:noProof/>
          </w:rPr>
          <w:fldChar w:fldCharType="end"/>
        </w:r>
      </w:p>
    </w:sdtContent>
  </w:sdt>
  <w:p w14:paraId="41A638FB" w14:textId="77777777" w:rsidR="00B22B9C" w:rsidRDefault="00B22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255093"/>
      <w:docPartObj>
        <w:docPartGallery w:val="Page Numbers (Bottom of Page)"/>
        <w:docPartUnique/>
      </w:docPartObj>
    </w:sdtPr>
    <w:sdtEndPr>
      <w:rPr>
        <w:noProof/>
      </w:rPr>
    </w:sdtEndPr>
    <w:sdtContent>
      <w:p w14:paraId="2FB02970" w14:textId="77777777" w:rsidR="00B22B9C" w:rsidRDefault="00B22B9C">
        <w:pPr>
          <w:pStyle w:val="Footer"/>
          <w:jc w:val="right"/>
        </w:pPr>
        <w:r>
          <w:fldChar w:fldCharType="begin"/>
        </w:r>
        <w:r>
          <w:instrText xml:space="preserve"> PAGE   \* MERGEFORMAT </w:instrText>
        </w:r>
        <w:r>
          <w:fldChar w:fldCharType="separate"/>
        </w:r>
        <w:r w:rsidR="008842B6">
          <w:rPr>
            <w:noProof/>
          </w:rPr>
          <w:t>20</w:t>
        </w:r>
        <w:r>
          <w:rPr>
            <w:noProof/>
          </w:rPr>
          <w:fldChar w:fldCharType="end"/>
        </w:r>
      </w:p>
    </w:sdtContent>
  </w:sdt>
  <w:p w14:paraId="14327386" w14:textId="77777777" w:rsidR="00B22B9C" w:rsidRDefault="00B22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1C494" w14:textId="77777777" w:rsidR="00EE0E7B" w:rsidRDefault="00EE0E7B" w:rsidP="00EA5D0D">
      <w:pPr>
        <w:spacing w:after="0" w:line="240" w:lineRule="auto"/>
      </w:pPr>
      <w:r>
        <w:separator/>
      </w:r>
    </w:p>
  </w:footnote>
  <w:footnote w:type="continuationSeparator" w:id="0">
    <w:p w14:paraId="6C4D103E" w14:textId="77777777" w:rsidR="00EE0E7B" w:rsidRDefault="00EE0E7B" w:rsidP="00EA5D0D">
      <w:pPr>
        <w:spacing w:after="0" w:line="240" w:lineRule="auto"/>
      </w:pPr>
      <w:r>
        <w:continuationSeparator/>
      </w:r>
    </w:p>
  </w:footnote>
  <w:footnote w:type="continuationNotice" w:id="1">
    <w:p w14:paraId="1EF97E76" w14:textId="77777777" w:rsidR="00EE0E7B" w:rsidRDefault="00EE0E7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23A20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E3507"/>
    <w:multiLevelType w:val="hybridMultilevel"/>
    <w:tmpl w:val="7CF2B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D6CCA"/>
    <w:multiLevelType w:val="hybridMultilevel"/>
    <w:tmpl w:val="4B402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820F9"/>
    <w:multiLevelType w:val="hybridMultilevel"/>
    <w:tmpl w:val="2D8A7F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CC580F"/>
    <w:multiLevelType w:val="hybridMultilevel"/>
    <w:tmpl w:val="240A0EDA"/>
    <w:lvl w:ilvl="0" w:tplc="1AE07B4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460CDC"/>
    <w:multiLevelType w:val="hybridMultilevel"/>
    <w:tmpl w:val="DCC29700"/>
    <w:lvl w:ilvl="0" w:tplc="49768F3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861937"/>
    <w:multiLevelType w:val="hybridMultilevel"/>
    <w:tmpl w:val="AC9A22AC"/>
    <w:lvl w:ilvl="0" w:tplc="1009000F">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7" w15:restartNumberingAfterBreak="0">
    <w:nsid w:val="23B47980"/>
    <w:multiLevelType w:val="hybridMultilevel"/>
    <w:tmpl w:val="4BE4F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E5E53"/>
    <w:multiLevelType w:val="hybridMultilevel"/>
    <w:tmpl w:val="D624D0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47B36D1"/>
    <w:multiLevelType w:val="multilevel"/>
    <w:tmpl w:val="36EE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B7657"/>
    <w:multiLevelType w:val="multilevel"/>
    <w:tmpl w:val="72E413BC"/>
    <w:lvl w:ilvl="0">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32029A6"/>
    <w:multiLevelType w:val="hybridMultilevel"/>
    <w:tmpl w:val="04FEC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FC4D79"/>
    <w:multiLevelType w:val="hybridMultilevel"/>
    <w:tmpl w:val="1A6E3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B523A1"/>
    <w:multiLevelType w:val="hybridMultilevel"/>
    <w:tmpl w:val="12E643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4BA5E1B"/>
    <w:multiLevelType w:val="hybridMultilevel"/>
    <w:tmpl w:val="CC626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455F72"/>
    <w:multiLevelType w:val="hybridMultilevel"/>
    <w:tmpl w:val="D220A9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7"/>
  </w:num>
  <w:num w:numId="5">
    <w:abstractNumId w:val="11"/>
  </w:num>
  <w:num w:numId="6">
    <w:abstractNumId w:val="2"/>
  </w:num>
  <w:num w:numId="7">
    <w:abstractNumId w:val="14"/>
  </w:num>
  <w:num w:numId="8">
    <w:abstractNumId w:val="1"/>
  </w:num>
  <w:num w:numId="9">
    <w:abstractNumId w:val="0"/>
  </w:num>
  <w:num w:numId="10">
    <w:abstractNumId w:val="15"/>
  </w:num>
  <w:num w:numId="11">
    <w:abstractNumId w:val="6"/>
  </w:num>
  <w:num w:numId="12">
    <w:abstractNumId w:val="9"/>
  </w:num>
  <w:num w:numId="13">
    <w:abstractNumId w:val="8"/>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sezwrfeppt5a0ee92qx55shpt2wawp2txd5&quot;&gt;IPD manuscript_plosnt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record-ids&gt;&lt;/item&gt;&lt;/Libraries&gt;"/>
  </w:docVars>
  <w:rsids>
    <w:rsidRoot w:val="00DE3A72"/>
    <w:rsid w:val="0000259B"/>
    <w:rsid w:val="00003260"/>
    <w:rsid w:val="00006217"/>
    <w:rsid w:val="00015505"/>
    <w:rsid w:val="000213C1"/>
    <w:rsid w:val="000214CE"/>
    <w:rsid w:val="00037832"/>
    <w:rsid w:val="00051DFD"/>
    <w:rsid w:val="0006119F"/>
    <w:rsid w:val="00061371"/>
    <w:rsid w:val="00067674"/>
    <w:rsid w:val="00067BD4"/>
    <w:rsid w:val="00067E55"/>
    <w:rsid w:val="00070E32"/>
    <w:rsid w:val="00076FEB"/>
    <w:rsid w:val="00080A46"/>
    <w:rsid w:val="00080F18"/>
    <w:rsid w:val="00092DF7"/>
    <w:rsid w:val="00095BE1"/>
    <w:rsid w:val="00097F98"/>
    <w:rsid w:val="000B2324"/>
    <w:rsid w:val="000B2A14"/>
    <w:rsid w:val="000B3123"/>
    <w:rsid w:val="000C085E"/>
    <w:rsid w:val="000C3BEA"/>
    <w:rsid w:val="000C64BD"/>
    <w:rsid w:val="000C7888"/>
    <w:rsid w:val="000D2463"/>
    <w:rsid w:val="000E1708"/>
    <w:rsid w:val="000E2D7B"/>
    <w:rsid w:val="000E36AF"/>
    <w:rsid w:val="000E3D29"/>
    <w:rsid w:val="000E5F1C"/>
    <w:rsid w:val="000E64B9"/>
    <w:rsid w:val="000F214A"/>
    <w:rsid w:val="000F3070"/>
    <w:rsid w:val="000F68D6"/>
    <w:rsid w:val="001015D7"/>
    <w:rsid w:val="00103E8B"/>
    <w:rsid w:val="00112751"/>
    <w:rsid w:val="00116076"/>
    <w:rsid w:val="00124375"/>
    <w:rsid w:val="0013334D"/>
    <w:rsid w:val="001419F3"/>
    <w:rsid w:val="00144F5D"/>
    <w:rsid w:val="00152C47"/>
    <w:rsid w:val="001531E1"/>
    <w:rsid w:val="00153202"/>
    <w:rsid w:val="00153242"/>
    <w:rsid w:val="001561C2"/>
    <w:rsid w:val="0015636C"/>
    <w:rsid w:val="00157BCF"/>
    <w:rsid w:val="00160219"/>
    <w:rsid w:val="0016075D"/>
    <w:rsid w:val="00166017"/>
    <w:rsid w:val="001666F7"/>
    <w:rsid w:val="00166DAF"/>
    <w:rsid w:val="0016720E"/>
    <w:rsid w:val="001679DF"/>
    <w:rsid w:val="0017299F"/>
    <w:rsid w:val="00173A65"/>
    <w:rsid w:val="00186BF4"/>
    <w:rsid w:val="0019042B"/>
    <w:rsid w:val="0019481D"/>
    <w:rsid w:val="001A12AF"/>
    <w:rsid w:val="001A54F8"/>
    <w:rsid w:val="001A584B"/>
    <w:rsid w:val="001B5107"/>
    <w:rsid w:val="001C4A6A"/>
    <w:rsid w:val="001C6403"/>
    <w:rsid w:val="001D1908"/>
    <w:rsid w:val="001D227E"/>
    <w:rsid w:val="001D6FC5"/>
    <w:rsid w:val="001E02FF"/>
    <w:rsid w:val="001E28F6"/>
    <w:rsid w:val="001E3F34"/>
    <w:rsid w:val="001F18ED"/>
    <w:rsid w:val="0020008C"/>
    <w:rsid w:val="00200745"/>
    <w:rsid w:val="00201D2A"/>
    <w:rsid w:val="0020200A"/>
    <w:rsid w:val="00212654"/>
    <w:rsid w:val="00214C58"/>
    <w:rsid w:val="00214C84"/>
    <w:rsid w:val="00223272"/>
    <w:rsid w:val="00227C94"/>
    <w:rsid w:val="00230F1E"/>
    <w:rsid w:val="00251076"/>
    <w:rsid w:val="00255CD2"/>
    <w:rsid w:val="002615D9"/>
    <w:rsid w:val="00264FCF"/>
    <w:rsid w:val="00271426"/>
    <w:rsid w:val="0027388F"/>
    <w:rsid w:val="002751B4"/>
    <w:rsid w:val="00282F7D"/>
    <w:rsid w:val="002904E3"/>
    <w:rsid w:val="0029651D"/>
    <w:rsid w:val="00297696"/>
    <w:rsid w:val="002A02D8"/>
    <w:rsid w:val="002A397A"/>
    <w:rsid w:val="002B2549"/>
    <w:rsid w:val="002B25E1"/>
    <w:rsid w:val="002B4159"/>
    <w:rsid w:val="002C0BFA"/>
    <w:rsid w:val="002C1B94"/>
    <w:rsid w:val="002C483A"/>
    <w:rsid w:val="002C6E91"/>
    <w:rsid w:val="002D2EDA"/>
    <w:rsid w:val="002D5C5A"/>
    <w:rsid w:val="002D66DE"/>
    <w:rsid w:val="002D709A"/>
    <w:rsid w:val="002E1692"/>
    <w:rsid w:val="002E1BB0"/>
    <w:rsid w:val="002E2EBD"/>
    <w:rsid w:val="002E75CC"/>
    <w:rsid w:val="002F16A2"/>
    <w:rsid w:val="002F7533"/>
    <w:rsid w:val="003018E1"/>
    <w:rsid w:val="003023A1"/>
    <w:rsid w:val="00306820"/>
    <w:rsid w:val="00316712"/>
    <w:rsid w:val="00320BA8"/>
    <w:rsid w:val="00321B74"/>
    <w:rsid w:val="003255FE"/>
    <w:rsid w:val="00331245"/>
    <w:rsid w:val="003504E7"/>
    <w:rsid w:val="00351E9B"/>
    <w:rsid w:val="0035742D"/>
    <w:rsid w:val="00361080"/>
    <w:rsid w:val="00362E6E"/>
    <w:rsid w:val="00364D94"/>
    <w:rsid w:val="00366B94"/>
    <w:rsid w:val="0037570C"/>
    <w:rsid w:val="0037691F"/>
    <w:rsid w:val="00377F84"/>
    <w:rsid w:val="00382047"/>
    <w:rsid w:val="003835CB"/>
    <w:rsid w:val="00385554"/>
    <w:rsid w:val="003903EB"/>
    <w:rsid w:val="003921B7"/>
    <w:rsid w:val="003922B1"/>
    <w:rsid w:val="00393FB6"/>
    <w:rsid w:val="0039421F"/>
    <w:rsid w:val="00394257"/>
    <w:rsid w:val="0039466D"/>
    <w:rsid w:val="003A07F9"/>
    <w:rsid w:val="003A3C92"/>
    <w:rsid w:val="003A48BA"/>
    <w:rsid w:val="003A60CD"/>
    <w:rsid w:val="003B52AA"/>
    <w:rsid w:val="003C33B1"/>
    <w:rsid w:val="003C3724"/>
    <w:rsid w:val="003C4297"/>
    <w:rsid w:val="003C6932"/>
    <w:rsid w:val="003D0CF8"/>
    <w:rsid w:val="003D394A"/>
    <w:rsid w:val="003D42E2"/>
    <w:rsid w:val="003D5845"/>
    <w:rsid w:val="003D731F"/>
    <w:rsid w:val="003D7F93"/>
    <w:rsid w:val="003E6358"/>
    <w:rsid w:val="003E708A"/>
    <w:rsid w:val="003F1A54"/>
    <w:rsid w:val="003F4BD7"/>
    <w:rsid w:val="00400047"/>
    <w:rsid w:val="0040062E"/>
    <w:rsid w:val="00403AA6"/>
    <w:rsid w:val="004060F7"/>
    <w:rsid w:val="004129DE"/>
    <w:rsid w:val="00412C10"/>
    <w:rsid w:val="0041415C"/>
    <w:rsid w:val="00415129"/>
    <w:rsid w:val="00415AE9"/>
    <w:rsid w:val="00420377"/>
    <w:rsid w:val="00420C9D"/>
    <w:rsid w:val="004452D2"/>
    <w:rsid w:val="00451EB4"/>
    <w:rsid w:val="00455BB1"/>
    <w:rsid w:val="004567C6"/>
    <w:rsid w:val="004618A2"/>
    <w:rsid w:val="004639E9"/>
    <w:rsid w:val="004726E7"/>
    <w:rsid w:val="00474EBD"/>
    <w:rsid w:val="00474FA2"/>
    <w:rsid w:val="00476204"/>
    <w:rsid w:val="004910F9"/>
    <w:rsid w:val="004B4748"/>
    <w:rsid w:val="004C52D9"/>
    <w:rsid w:val="004C64E3"/>
    <w:rsid w:val="004D3B36"/>
    <w:rsid w:val="004E214E"/>
    <w:rsid w:val="004E62CB"/>
    <w:rsid w:val="004E7536"/>
    <w:rsid w:val="004F1C9E"/>
    <w:rsid w:val="004F20B5"/>
    <w:rsid w:val="004F24A9"/>
    <w:rsid w:val="004F3E80"/>
    <w:rsid w:val="004F3F60"/>
    <w:rsid w:val="004F533A"/>
    <w:rsid w:val="004F76BD"/>
    <w:rsid w:val="004F7B48"/>
    <w:rsid w:val="005025C1"/>
    <w:rsid w:val="005057BC"/>
    <w:rsid w:val="00507D19"/>
    <w:rsid w:val="00516543"/>
    <w:rsid w:val="00525485"/>
    <w:rsid w:val="005311EC"/>
    <w:rsid w:val="005313EC"/>
    <w:rsid w:val="0053420A"/>
    <w:rsid w:val="005413A5"/>
    <w:rsid w:val="0054719D"/>
    <w:rsid w:val="00556D30"/>
    <w:rsid w:val="005636DB"/>
    <w:rsid w:val="005771EC"/>
    <w:rsid w:val="0058392D"/>
    <w:rsid w:val="00584119"/>
    <w:rsid w:val="005859CA"/>
    <w:rsid w:val="00587D0D"/>
    <w:rsid w:val="005A5F2D"/>
    <w:rsid w:val="005B2FD4"/>
    <w:rsid w:val="005B3414"/>
    <w:rsid w:val="005B6A54"/>
    <w:rsid w:val="005C34D8"/>
    <w:rsid w:val="005E1141"/>
    <w:rsid w:val="005E353E"/>
    <w:rsid w:val="005E4183"/>
    <w:rsid w:val="005E5A86"/>
    <w:rsid w:val="005E7488"/>
    <w:rsid w:val="005E7895"/>
    <w:rsid w:val="005F3ED6"/>
    <w:rsid w:val="005F51E4"/>
    <w:rsid w:val="005F5352"/>
    <w:rsid w:val="005F6999"/>
    <w:rsid w:val="006044D5"/>
    <w:rsid w:val="00605432"/>
    <w:rsid w:val="00610ACE"/>
    <w:rsid w:val="006329A7"/>
    <w:rsid w:val="00634E21"/>
    <w:rsid w:val="0063635E"/>
    <w:rsid w:val="00641412"/>
    <w:rsid w:val="00645561"/>
    <w:rsid w:val="00650F76"/>
    <w:rsid w:val="006558D3"/>
    <w:rsid w:val="006607A2"/>
    <w:rsid w:val="00667ABE"/>
    <w:rsid w:val="00677C41"/>
    <w:rsid w:val="0068057B"/>
    <w:rsid w:val="00681280"/>
    <w:rsid w:val="006855DA"/>
    <w:rsid w:val="00687A46"/>
    <w:rsid w:val="006A108B"/>
    <w:rsid w:val="006A3120"/>
    <w:rsid w:val="006A7A12"/>
    <w:rsid w:val="006B3E6B"/>
    <w:rsid w:val="006B5CB3"/>
    <w:rsid w:val="006C1FB5"/>
    <w:rsid w:val="006C36CC"/>
    <w:rsid w:val="006C61F6"/>
    <w:rsid w:val="006C6300"/>
    <w:rsid w:val="006E7231"/>
    <w:rsid w:val="006F6754"/>
    <w:rsid w:val="00700E6C"/>
    <w:rsid w:val="00702524"/>
    <w:rsid w:val="00705996"/>
    <w:rsid w:val="00706F27"/>
    <w:rsid w:val="0071006A"/>
    <w:rsid w:val="00710AB3"/>
    <w:rsid w:val="00717494"/>
    <w:rsid w:val="0072093E"/>
    <w:rsid w:val="007212F4"/>
    <w:rsid w:val="00722091"/>
    <w:rsid w:val="0072319B"/>
    <w:rsid w:val="007309C5"/>
    <w:rsid w:val="00735096"/>
    <w:rsid w:val="00736C88"/>
    <w:rsid w:val="0074337C"/>
    <w:rsid w:val="00747F81"/>
    <w:rsid w:val="00756A4B"/>
    <w:rsid w:val="00756C23"/>
    <w:rsid w:val="007611B7"/>
    <w:rsid w:val="0076200B"/>
    <w:rsid w:val="00766597"/>
    <w:rsid w:val="00767EE6"/>
    <w:rsid w:val="007743AD"/>
    <w:rsid w:val="00775059"/>
    <w:rsid w:val="00780B14"/>
    <w:rsid w:val="00783369"/>
    <w:rsid w:val="007911AB"/>
    <w:rsid w:val="007A5ECF"/>
    <w:rsid w:val="007A62DD"/>
    <w:rsid w:val="007B02B0"/>
    <w:rsid w:val="007B1783"/>
    <w:rsid w:val="007B4B67"/>
    <w:rsid w:val="007C1D14"/>
    <w:rsid w:val="007C231F"/>
    <w:rsid w:val="007C3A13"/>
    <w:rsid w:val="007C3AC4"/>
    <w:rsid w:val="007D37D9"/>
    <w:rsid w:val="007D493D"/>
    <w:rsid w:val="007D5301"/>
    <w:rsid w:val="007E3E4E"/>
    <w:rsid w:val="007E3F02"/>
    <w:rsid w:val="007E5C48"/>
    <w:rsid w:val="007E5CE3"/>
    <w:rsid w:val="007F1998"/>
    <w:rsid w:val="0080066D"/>
    <w:rsid w:val="008049C4"/>
    <w:rsid w:val="00806E9A"/>
    <w:rsid w:val="00807A5F"/>
    <w:rsid w:val="00815AF0"/>
    <w:rsid w:val="00816EB8"/>
    <w:rsid w:val="00822792"/>
    <w:rsid w:val="0082409D"/>
    <w:rsid w:val="008348C3"/>
    <w:rsid w:val="008364F5"/>
    <w:rsid w:val="008426CD"/>
    <w:rsid w:val="00842DF1"/>
    <w:rsid w:val="00847DF0"/>
    <w:rsid w:val="00850224"/>
    <w:rsid w:val="00851A82"/>
    <w:rsid w:val="00854DFD"/>
    <w:rsid w:val="00855122"/>
    <w:rsid w:val="00855ACB"/>
    <w:rsid w:val="008609C4"/>
    <w:rsid w:val="008653DB"/>
    <w:rsid w:val="008702B4"/>
    <w:rsid w:val="00871158"/>
    <w:rsid w:val="00871C5E"/>
    <w:rsid w:val="00873A18"/>
    <w:rsid w:val="008751C6"/>
    <w:rsid w:val="00877D7D"/>
    <w:rsid w:val="008842B6"/>
    <w:rsid w:val="00886227"/>
    <w:rsid w:val="00886D0B"/>
    <w:rsid w:val="008951CD"/>
    <w:rsid w:val="00895B27"/>
    <w:rsid w:val="00896AA8"/>
    <w:rsid w:val="008A414A"/>
    <w:rsid w:val="008A420E"/>
    <w:rsid w:val="008A5E77"/>
    <w:rsid w:val="008A6971"/>
    <w:rsid w:val="008B0F98"/>
    <w:rsid w:val="008B19CE"/>
    <w:rsid w:val="008B21EE"/>
    <w:rsid w:val="008C0271"/>
    <w:rsid w:val="008C0987"/>
    <w:rsid w:val="008C1BAF"/>
    <w:rsid w:val="008C2405"/>
    <w:rsid w:val="008C57AA"/>
    <w:rsid w:val="008C7075"/>
    <w:rsid w:val="008D3AA8"/>
    <w:rsid w:val="008D545A"/>
    <w:rsid w:val="008D5ED4"/>
    <w:rsid w:val="008D721E"/>
    <w:rsid w:val="008E0CD5"/>
    <w:rsid w:val="008E1398"/>
    <w:rsid w:val="008E3F26"/>
    <w:rsid w:val="008F203A"/>
    <w:rsid w:val="00900C16"/>
    <w:rsid w:val="0090249C"/>
    <w:rsid w:val="00912CCC"/>
    <w:rsid w:val="0091722B"/>
    <w:rsid w:val="009300D3"/>
    <w:rsid w:val="00935807"/>
    <w:rsid w:val="0093664F"/>
    <w:rsid w:val="0094111C"/>
    <w:rsid w:val="00946606"/>
    <w:rsid w:val="00947EAD"/>
    <w:rsid w:val="00950E36"/>
    <w:rsid w:val="00955415"/>
    <w:rsid w:val="00960FD6"/>
    <w:rsid w:val="00961524"/>
    <w:rsid w:val="009619A2"/>
    <w:rsid w:val="00962ADF"/>
    <w:rsid w:val="00963DD9"/>
    <w:rsid w:val="009735C2"/>
    <w:rsid w:val="009768E7"/>
    <w:rsid w:val="00981DD1"/>
    <w:rsid w:val="0098479B"/>
    <w:rsid w:val="0098736A"/>
    <w:rsid w:val="00987668"/>
    <w:rsid w:val="0099127B"/>
    <w:rsid w:val="009974F3"/>
    <w:rsid w:val="009A06F9"/>
    <w:rsid w:val="009A71B3"/>
    <w:rsid w:val="009B4CE8"/>
    <w:rsid w:val="009B5BF0"/>
    <w:rsid w:val="009C1A39"/>
    <w:rsid w:val="009C2A86"/>
    <w:rsid w:val="009D2F8C"/>
    <w:rsid w:val="009E5CF3"/>
    <w:rsid w:val="009E6E77"/>
    <w:rsid w:val="009E70E7"/>
    <w:rsid w:val="009F20E1"/>
    <w:rsid w:val="009F38A5"/>
    <w:rsid w:val="009F455F"/>
    <w:rsid w:val="009F4821"/>
    <w:rsid w:val="00A0044C"/>
    <w:rsid w:val="00A025D1"/>
    <w:rsid w:val="00A0467D"/>
    <w:rsid w:val="00A11115"/>
    <w:rsid w:val="00A1139B"/>
    <w:rsid w:val="00A16FF8"/>
    <w:rsid w:val="00A30805"/>
    <w:rsid w:val="00A3196D"/>
    <w:rsid w:val="00A3338A"/>
    <w:rsid w:val="00A36526"/>
    <w:rsid w:val="00A3704A"/>
    <w:rsid w:val="00A4074D"/>
    <w:rsid w:val="00A42E3A"/>
    <w:rsid w:val="00A439D7"/>
    <w:rsid w:val="00A43AD7"/>
    <w:rsid w:val="00A44144"/>
    <w:rsid w:val="00A46F89"/>
    <w:rsid w:val="00A50BA3"/>
    <w:rsid w:val="00A53769"/>
    <w:rsid w:val="00A62760"/>
    <w:rsid w:val="00A6276E"/>
    <w:rsid w:val="00A63543"/>
    <w:rsid w:val="00A67CAF"/>
    <w:rsid w:val="00A842EC"/>
    <w:rsid w:val="00A866C1"/>
    <w:rsid w:val="00AA2003"/>
    <w:rsid w:val="00AC3EE3"/>
    <w:rsid w:val="00AC78FE"/>
    <w:rsid w:val="00AD45D0"/>
    <w:rsid w:val="00AE14F5"/>
    <w:rsid w:val="00AE1FF6"/>
    <w:rsid w:val="00AE5B1F"/>
    <w:rsid w:val="00AE5BE4"/>
    <w:rsid w:val="00B01DE4"/>
    <w:rsid w:val="00B12DAC"/>
    <w:rsid w:val="00B168CD"/>
    <w:rsid w:val="00B20B3E"/>
    <w:rsid w:val="00B22B9C"/>
    <w:rsid w:val="00B308E1"/>
    <w:rsid w:val="00B33D72"/>
    <w:rsid w:val="00B35C1B"/>
    <w:rsid w:val="00B36497"/>
    <w:rsid w:val="00B516B6"/>
    <w:rsid w:val="00B51CF5"/>
    <w:rsid w:val="00B62D6D"/>
    <w:rsid w:val="00B6548F"/>
    <w:rsid w:val="00B70704"/>
    <w:rsid w:val="00B708C2"/>
    <w:rsid w:val="00B71168"/>
    <w:rsid w:val="00B71FAC"/>
    <w:rsid w:val="00B720D7"/>
    <w:rsid w:val="00B80028"/>
    <w:rsid w:val="00B81435"/>
    <w:rsid w:val="00B81C03"/>
    <w:rsid w:val="00B81C07"/>
    <w:rsid w:val="00B91CCB"/>
    <w:rsid w:val="00B924EC"/>
    <w:rsid w:val="00B946F5"/>
    <w:rsid w:val="00BA6020"/>
    <w:rsid w:val="00BB3D65"/>
    <w:rsid w:val="00BC27AB"/>
    <w:rsid w:val="00BC37DE"/>
    <w:rsid w:val="00BD3D7E"/>
    <w:rsid w:val="00BD5A89"/>
    <w:rsid w:val="00BD5A94"/>
    <w:rsid w:val="00BD77E9"/>
    <w:rsid w:val="00BE19C4"/>
    <w:rsid w:val="00BE7DD1"/>
    <w:rsid w:val="00BE7F0D"/>
    <w:rsid w:val="00BF1863"/>
    <w:rsid w:val="00BF2EE2"/>
    <w:rsid w:val="00BF4BC0"/>
    <w:rsid w:val="00BF74C2"/>
    <w:rsid w:val="00C026F5"/>
    <w:rsid w:val="00C07D24"/>
    <w:rsid w:val="00C1310D"/>
    <w:rsid w:val="00C13576"/>
    <w:rsid w:val="00C15375"/>
    <w:rsid w:val="00C26AA4"/>
    <w:rsid w:val="00C32659"/>
    <w:rsid w:val="00C35346"/>
    <w:rsid w:val="00C40B09"/>
    <w:rsid w:val="00C43270"/>
    <w:rsid w:val="00C43CDA"/>
    <w:rsid w:val="00C451EA"/>
    <w:rsid w:val="00C51252"/>
    <w:rsid w:val="00C5396C"/>
    <w:rsid w:val="00C55EDC"/>
    <w:rsid w:val="00C56619"/>
    <w:rsid w:val="00C62F09"/>
    <w:rsid w:val="00C6339D"/>
    <w:rsid w:val="00C6611D"/>
    <w:rsid w:val="00C66F1C"/>
    <w:rsid w:val="00C6703F"/>
    <w:rsid w:val="00C7494B"/>
    <w:rsid w:val="00C75C2C"/>
    <w:rsid w:val="00C76F84"/>
    <w:rsid w:val="00C807A2"/>
    <w:rsid w:val="00C8271C"/>
    <w:rsid w:val="00C869BC"/>
    <w:rsid w:val="00C9189E"/>
    <w:rsid w:val="00C96BD7"/>
    <w:rsid w:val="00CA2795"/>
    <w:rsid w:val="00CB1A50"/>
    <w:rsid w:val="00CB4DB5"/>
    <w:rsid w:val="00CB63E8"/>
    <w:rsid w:val="00CC1DBD"/>
    <w:rsid w:val="00CC5264"/>
    <w:rsid w:val="00CD06D6"/>
    <w:rsid w:val="00CD3235"/>
    <w:rsid w:val="00CD5A91"/>
    <w:rsid w:val="00CE0168"/>
    <w:rsid w:val="00CE141D"/>
    <w:rsid w:val="00CE19ED"/>
    <w:rsid w:val="00CE320C"/>
    <w:rsid w:val="00CE6CEA"/>
    <w:rsid w:val="00CE704F"/>
    <w:rsid w:val="00CF3DCE"/>
    <w:rsid w:val="00CF3E38"/>
    <w:rsid w:val="00D01932"/>
    <w:rsid w:val="00D077E6"/>
    <w:rsid w:val="00D079FB"/>
    <w:rsid w:val="00D129EB"/>
    <w:rsid w:val="00D168EF"/>
    <w:rsid w:val="00D16CE5"/>
    <w:rsid w:val="00D25029"/>
    <w:rsid w:val="00D31970"/>
    <w:rsid w:val="00D41666"/>
    <w:rsid w:val="00D47570"/>
    <w:rsid w:val="00D5191A"/>
    <w:rsid w:val="00D605B0"/>
    <w:rsid w:val="00D65EF6"/>
    <w:rsid w:val="00D666F3"/>
    <w:rsid w:val="00D811D7"/>
    <w:rsid w:val="00D82B06"/>
    <w:rsid w:val="00D86DF5"/>
    <w:rsid w:val="00D8797B"/>
    <w:rsid w:val="00DA303F"/>
    <w:rsid w:val="00DA7184"/>
    <w:rsid w:val="00DB05A3"/>
    <w:rsid w:val="00DB0DEA"/>
    <w:rsid w:val="00DB2BB5"/>
    <w:rsid w:val="00DB5417"/>
    <w:rsid w:val="00DB5793"/>
    <w:rsid w:val="00DB712C"/>
    <w:rsid w:val="00DC5445"/>
    <w:rsid w:val="00DD38EF"/>
    <w:rsid w:val="00DD5311"/>
    <w:rsid w:val="00DD6523"/>
    <w:rsid w:val="00DE3A72"/>
    <w:rsid w:val="00DE4F0C"/>
    <w:rsid w:val="00DF5CB2"/>
    <w:rsid w:val="00DF5DD4"/>
    <w:rsid w:val="00DF7ECE"/>
    <w:rsid w:val="00E03E51"/>
    <w:rsid w:val="00E03E61"/>
    <w:rsid w:val="00E0653D"/>
    <w:rsid w:val="00E111CC"/>
    <w:rsid w:val="00E11352"/>
    <w:rsid w:val="00E1419D"/>
    <w:rsid w:val="00E15294"/>
    <w:rsid w:val="00E22D45"/>
    <w:rsid w:val="00E22E1A"/>
    <w:rsid w:val="00E26ADA"/>
    <w:rsid w:val="00E34519"/>
    <w:rsid w:val="00E45D5C"/>
    <w:rsid w:val="00E530C0"/>
    <w:rsid w:val="00E55034"/>
    <w:rsid w:val="00E65FD6"/>
    <w:rsid w:val="00E7095C"/>
    <w:rsid w:val="00E70CB3"/>
    <w:rsid w:val="00E70E4F"/>
    <w:rsid w:val="00E72B6C"/>
    <w:rsid w:val="00E87058"/>
    <w:rsid w:val="00E9375A"/>
    <w:rsid w:val="00E93E51"/>
    <w:rsid w:val="00E954F3"/>
    <w:rsid w:val="00EA22D1"/>
    <w:rsid w:val="00EA5D0D"/>
    <w:rsid w:val="00EB2B0B"/>
    <w:rsid w:val="00EB3807"/>
    <w:rsid w:val="00EB3B63"/>
    <w:rsid w:val="00EC4300"/>
    <w:rsid w:val="00EC611E"/>
    <w:rsid w:val="00ED71C2"/>
    <w:rsid w:val="00EE0E7B"/>
    <w:rsid w:val="00EE4CBD"/>
    <w:rsid w:val="00EE7974"/>
    <w:rsid w:val="00EF0ED2"/>
    <w:rsid w:val="00F0062F"/>
    <w:rsid w:val="00F05346"/>
    <w:rsid w:val="00F13B8D"/>
    <w:rsid w:val="00F175DD"/>
    <w:rsid w:val="00F230C4"/>
    <w:rsid w:val="00F258B6"/>
    <w:rsid w:val="00F32D92"/>
    <w:rsid w:val="00F37A93"/>
    <w:rsid w:val="00F439A3"/>
    <w:rsid w:val="00F44BC8"/>
    <w:rsid w:val="00F53D17"/>
    <w:rsid w:val="00F5661C"/>
    <w:rsid w:val="00F56694"/>
    <w:rsid w:val="00F610F0"/>
    <w:rsid w:val="00F62802"/>
    <w:rsid w:val="00F645D8"/>
    <w:rsid w:val="00F8643B"/>
    <w:rsid w:val="00F959C8"/>
    <w:rsid w:val="00F95ECA"/>
    <w:rsid w:val="00FA2CC6"/>
    <w:rsid w:val="00FA36AE"/>
    <w:rsid w:val="00FA3A18"/>
    <w:rsid w:val="00FA3BD5"/>
    <w:rsid w:val="00FA449F"/>
    <w:rsid w:val="00FA749A"/>
    <w:rsid w:val="00FC112D"/>
    <w:rsid w:val="00FC4B6B"/>
    <w:rsid w:val="00FC7A34"/>
    <w:rsid w:val="00FD7086"/>
    <w:rsid w:val="00FF00C5"/>
    <w:rsid w:val="00FF3AC6"/>
    <w:rsid w:val="00FF4EA7"/>
    <w:rsid w:val="00FF60C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16521"/>
  <w15:docId w15:val="{B20DBFF7-9049-4D84-BFF8-85C5CA43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6C1"/>
  </w:style>
  <w:style w:type="paragraph" w:styleId="Heading1">
    <w:name w:val="heading 1"/>
    <w:basedOn w:val="Normal"/>
    <w:next w:val="Normal"/>
    <w:link w:val="Heading1Char"/>
    <w:uiPriority w:val="9"/>
    <w:qFormat/>
    <w:rsid w:val="00EA5D0D"/>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EA5D0D"/>
    <w:pPr>
      <w:keepNext/>
      <w:keepLines/>
      <w:tabs>
        <w:tab w:val="left" w:pos="426"/>
      </w:tabs>
      <w:spacing w:before="40" w:after="0"/>
      <w:ind w:left="426" w:hanging="426"/>
      <w:outlineLvl w:val="1"/>
    </w:pPr>
    <w:rPr>
      <w:rFonts w:asciiTheme="majorHAnsi" w:eastAsiaTheme="majorEastAsia" w:hAnsiTheme="majorHAnsi" w:cstheme="majorBidi"/>
      <w:b/>
      <w:i/>
      <w:sz w:val="24"/>
      <w:szCs w:val="26"/>
    </w:rPr>
  </w:style>
  <w:style w:type="paragraph" w:styleId="Heading3">
    <w:name w:val="heading 3"/>
    <w:basedOn w:val="Normal"/>
    <w:next w:val="Normal"/>
    <w:link w:val="Heading3Char"/>
    <w:uiPriority w:val="9"/>
    <w:unhideWhenUsed/>
    <w:qFormat/>
    <w:rsid w:val="00EA5D0D"/>
    <w:pPr>
      <w:keepNext/>
      <w:keepLines/>
      <w:spacing w:before="40" w:after="0"/>
      <w:outlineLvl w:val="2"/>
    </w:pPr>
    <w:rPr>
      <w:rFonts w:asciiTheme="majorHAnsi" w:eastAsiaTheme="majorEastAsia" w:hAnsiTheme="majorHAnsi"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D5C"/>
    <w:pPr>
      <w:ind w:left="720"/>
      <w:contextualSpacing/>
    </w:pPr>
  </w:style>
  <w:style w:type="character" w:customStyle="1" w:styleId="Heading1Char">
    <w:name w:val="Heading 1 Char"/>
    <w:basedOn w:val="DefaultParagraphFont"/>
    <w:link w:val="Heading1"/>
    <w:uiPriority w:val="9"/>
    <w:rsid w:val="00EA5D0D"/>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EA5D0D"/>
    <w:rPr>
      <w:rFonts w:asciiTheme="majorHAnsi" w:eastAsiaTheme="majorEastAsia" w:hAnsiTheme="majorHAnsi" w:cstheme="majorBidi"/>
      <w:b/>
      <w:i/>
      <w:sz w:val="24"/>
      <w:szCs w:val="26"/>
    </w:rPr>
  </w:style>
  <w:style w:type="character" w:customStyle="1" w:styleId="Heading3Char">
    <w:name w:val="Heading 3 Char"/>
    <w:basedOn w:val="DefaultParagraphFont"/>
    <w:link w:val="Heading3"/>
    <w:uiPriority w:val="9"/>
    <w:rsid w:val="00EA5D0D"/>
    <w:rPr>
      <w:rFonts w:asciiTheme="majorHAnsi" w:eastAsiaTheme="majorEastAsia" w:hAnsiTheme="majorHAnsi" w:cstheme="majorBidi"/>
      <w:i/>
      <w:sz w:val="24"/>
      <w:szCs w:val="24"/>
    </w:rPr>
  </w:style>
  <w:style w:type="paragraph" w:styleId="Header">
    <w:name w:val="header"/>
    <w:basedOn w:val="Normal"/>
    <w:link w:val="HeaderChar"/>
    <w:uiPriority w:val="99"/>
    <w:unhideWhenUsed/>
    <w:rsid w:val="00EA5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D0D"/>
  </w:style>
  <w:style w:type="paragraph" w:styleId="Footer">
    <w:name w:val="footer"/>
    <w:basedOn w:val="Normal"/>
    <w:link w:val="FooterChar"/>
    <w:uiPriority w:val="99"/>
    <w:unhideWhenUsed/>
    <w:rsid w:val="00EA5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D0D"/>
  </w:style>
  <w:style w:type="character" w:styleId="Hyperlink">
    <w:name w:val="Hyperlink"/>
    <w:uiPriority w:val="99"/>
    <w:rsid w:val="009A71B3"/>
    <w:rPr>
      <w:rFonts w:ascii="Georgia" w:hAnsi="Georgia"/>
      <w:color w:val="0000FF"/>
      <w:u w:val="single"/>
    </w:rPr>
  </w:style>
  <w:style w:type="table" w:customStyle="1" w:styleId="Tabel2kinship">
    <w:name w:val="Tabel2 kinship"/>
    <w:basedOn w:val="TableNormal"/>
    <w:rsid w:val="004F20B5"/>
    <w:pPr>
      <w:spacing w:after="0" w:line="240" w:lineRule="auto"/>
    </w:pPr>
    <w:rPr>
      <w:rFonts w:ascii="Arial" w:eastAsia="Times New Roman" w:hAnsi="Arial" w:cs="Times New Roman"/>
      <w:sz w:val="18"/>
      <w:szCs w:val="20"/>
      <w:lang w:val="en-GB" w:eastAsia="en-GB"/>
    </w:rPr>
    <w:tblPr>
      <w:tblBorders>
        <w:top w:val="single" w:sz="12" w:space="0" w:color="auto"/>
        <w:left w:val="single" w:sz="12" w:space="0" w:color="auto"/>
        <w:bottom w:val="single" w:sz="12" w:space="0" w:color="auto"/>
        <w:right w:val="single" w:sz="12" w:space="0" w:color="auto"/>
      </w:tblBorders>
      <w:tblCellMar>
        <w:top w:w="85" w:type="dxa"/>
        <w:bottom w:w="85" w:type="dxa"/>
      </w:tblCellMar>
    </w:tblPr>
    <w:trPr>
      <w:cantSplit/>
    </w:trPr>
    <w:tblStylePr w:type="firstRow">
      <w:pPr>
        <w:jc w:val="center"/>
      </w:pPr>
      <w:rPr>
        <w:rFonts w:ascii="Courier New" w:hAnsi="Courier New"/>
        <w:b/>
        <w:color w:val="auto"/>
        <w:sz w:val="18"/>
      </w:rPr>
      <w:tblPr/>
      <w:trPr>
        <w:tblHeader/>
      </w:trPr>
      <w:tcPr>
        <w:tcBorders>
          <w:top w:val="single" w:sz="12" w:space="0" w:color="auto"/>
          <w:left w:val="single" w:sz="12" w:space="0" w:color="auto"/>
          <w:bottom w:val="nil"/>
          <w:right w:val="single" w:sz="12" w:space="0" w:color="auto"/>
          <w:insideH w:val="nil"/>
          <w:insideV w:val="single" w:sz="2" w:space="0" w:color="FFFFFF"/>
          <w:tl2br w:val="nil"/>
          <w:tr2bl w:val="nil"/>
        </w:tcBorders>
        <w:shd w:val="clear" w:color="auto" w:fill="C0C0C0"/>
      </w:tcPr>
    </w:tblStylePr>
  </w:style>
  <w:style w:type="paragraph" w:styleId="Caption">
    <w:name w:val="caption"/>
    <w:basedOn w:val="Normal"/>
    <w:next w:val="Normal"/>
    <w:link w:val="CaptionChar"/>
    <w:uiPriority w:val="35"/>
    <w:unhideWhenUsed/>
    <w:qFormat/>
    <w:rsid w:val="003504E7"/>
    <w:pPr>
      <w:spacing w:after="200" w:line="240" w:lineRule="auto"/>
    </w:pPr>
    <w:rPr>
      <w:i/>
      <w:iCs/>
      <w:color w:val="44546A" w:themeColor="text2"/>
      <w:sz w:val="18"/>
      <w:szCs w:val="18"/>
    </w:rPr>
  </w:style>
  <w:style w:type="table" w:styleId="TableGrid">
    <w:name w:val="Table Grid"/>
    <w:basedOn w:val="TableNormal"/>
    <w:uiPriority w:val="39"/>
    <w:rsid w:val="007D37D9"/>
    <w:pPr>
      <w:tabs>
        <w:tab w:val="left" w:pos="510"/>
      </w:tabs>
      <w:spacing w:after="0" w:line="30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2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654"/>
    <w:rPr>
      <w:rFonts w:ascii="Tahoma" w:hAnsi="Tahoma" w:cs="Tahoma"/>
      <w:sz w:val="16"/>
      <w:szCs w:val="16"/>
    </w:rPr>
  </w:style>
  <w:style w:type="character" w:styleId="CommentReference">
    <w:name w:val="annotation reference"/>
    <w:basedOn w:val="DefaultParagraphFont"/>
    <w:uiPriority w:val="99"/>
    <w:semiHidden/>
    <w:unhideWhenUsed/>
    <w:rsid w:val="003903EB"/>
    <w:rPr>
      <w:sz w:val="16"/>
      <w:szCs w:val="16"/>
    </w:rPr>
  </w:style>
  <w:style w:type="paragraph" w:styleId="CommentText">
    <w:name w:val="annotation text"/>
    <w:basedOn w:val="Normal"/>
    <w:link w:val="CommentTextChar"/>
    <w:uiPriority w:val="99"/>
    <w:unhideWhenUsed/>
    <w:rsid w:val="003903EB"/>
    <w:pPr>
      <w:spacing w:line="240" w:lineRule="auto"/>
    </w:pPr>
    <w:rPr>
      <w:sz w:val="20"/>
      <w:szCs w:val="20"/>
    </w:rPr>
  </w:style>
  <w:style w:type="character" w:customStyle="1" w:styleId="CommentTextChar">
    <w:name w:val="Comment Text Char"/>
    <w:basedOn w:val="DefaultParagraphFont"/>
    <w:link w:val="CommentText"/>
    <w:uiPriority w:val="99"/>
    <w:rsid w:val="003903EB"/>
    <w:rPr>
      <w:sz w:val="20"/>
      <w:szCs w:val="20"/>
    </w:rPr>
  </w:style>
  <w:style w:type="paragraph" w:styleId="CommentSubject">
    <w:name w:val="annotation subject"/>
    <w:basedOn w:val="CommentText"/>
    <w:next w:val="CommentText"/>
    <w:link w:val="CommentSubjectChar"/>
    <w:uiPriority w:val="99"/>
    <w:semiHidden/>
    <w:unhideWhenUsed/>
    <w:rsid w:val="003903EB"/>
    <w:rPr>
      <w:b/>
      <w:bCs/>
    </w:rPr>
  </w:style>
  <w:style w:type="character" w:customStyle="1" w:styleId="CommentSubjectChar">
    <w:name w:val="Comment Subject Char"/>
    <w:basedOn w:val="CommentTextChar"/>
    <w:link w:val="CommentSubject"/>
    <w:uiPriority w:val="99"/>
    <w:semiHidden/>
    <w:rsid w:val="003903EB"/>
    <w:rPr>
      <w:b/>
      <w:bCs/>
      <w:sz w:val="20"/>
      <w:szCs w:val="20"/>
    </w:rPr>
  </w:style>
  <w:style w:type="paragraph" w:customStyle="1" w:styleId="textbox">
    <w:name w:val="textbox"/>
    <w:basedOn w:val="Normal"/>
    <w:rsid w:val="007B4B6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Bullet">
    <w:name w:val="List Bullet"/>
    <w:basedOn w:val="Normal"/>
    <w:uiPriority w:val="99"/>
    <w:unhideWhenUsed/>
    <w:rsid w:val="00935807"/>
    <w:pPr>
      <w:numPr>
        <w:numId w:val="9"/>
      </w:numPr>
      <w:contextualSpacing/>
    </w:pPr>
  </w:style>
  <w:style w:type="paragraph" w:styleId="Revision">
    <w:name w:val="Revision"/>
    <w:hidden/>
    <w:uiPriority w:val="99"/>
    <w:semiHidden/>
    <w:rsid w:val="00DB05A3"/>
    <w:pPr>
      <w:spacing w:after="0" w:line="240" w:lineRule="auto"/>
    </w:pPr>
  </w:style>
  <w:style w:type="paragraph" w:customStyle="1" w:styleId="Normalindented">
    <w:name w:val="Normal indented"/>
    <w:basedOn w:val="Normal"/>
    <w:rsid w:val="00A3704A"/>
    <w:pPr>
      <w:tabs>
        <w:tab w:val="left" w:pos="510"/>
      </w:tabs>
      <w:spacing w:after="0" w:line="312" w:lineRule="auto"/>
      <w:ind w:firstLine="227"/>
      <w:contextualSpacing/>
    </w:pPr>
    <w:rPr>
      <w:rFonts w:ascii="Georgia" w:eastAsia="Times New Roman" w:hAnsi="Georgia" w:cs="Times New Roman"/>
      <w:szCs w:val="21"/>
      <w:lang w:val="en-GB" w:eastAsia="nb-NO"/>
    </w:rPr>
  </w:style>
  <w:style w:type="table" w:customStyle="1" w:styleId="GridTable1Light1">
    <w:name w:val="Grid Table 1 Light1"/>
    <w:basedOn w:val="TableNormal"/>
    <w:uiPriority w:val="46"/>
    <w:rsid w:val="00A370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
    <w:name w:val="Caption Char"/>
    <w:basedOn w:val="DefaultParagraphFont"/>
    <w:link w:val="Caption"/>
    <w:uiPriority w:val="35"/>
    <w:rsid w:val="00A11115"/>
    <w:rPr>
      <w:i/>
      <w:iCs/>
      <w:color w:val="44546A" w:themeColor="text2"/>
      <w:sz w:val="18"/>
      <w:szCs w:val="18"/>
    </w:rPr>
  </w:style>
  <w:style w:type="table" w:customStyle="1" w:styleId="TableGrid2">
    <w:name w:val="Table Grid2"/>
    <w:basedOn w:val="TableNormal"/>
    <w:next w:val="TableGrid"/>
    <w:uiPriority w:val="39"/>
    <w:rsid w:val="00A11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7494"/>
    <w:pPr>
      <w:autoSpaceDE w:val="0"/>
      <w:autoSpaceDN w:val="0"/>
      <w:adjustRightInd w:val="0"/>
      <w:spacing w:after="0" w:line="240" w:lineRule="auto"/>
    </w:pPr>
    <w:rPr>
      <w:rFonts w:ascii="Tahoma" w:eastAsia="Times New Roman" w:hAnsi="Tahoma" w:cs="Tahoma"/>
      <w:color w:val="000000"/>
      <w:sz w:val="24"/>
      <w:szCs w:val="24"/>
      <w:lang w:val="en-US"/>
    </w:rPr>
  </w:style>
  <w:style w:type="table" w:customStyle="1" w:styleId="PlainTable11">
    <w:name w:val="Plain Table 11"/>
    <w:basedOn w:val="TableNormal"/>
    <w:uiPriority w:val="41"/>
    <w:rsid w:val="005A5F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Normal"/>
    <w:link w:val="EndNoteBibliographyTitleChar"/>
    <w:rsid w:val="0030682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06820"/>
    <w:rPr>
      <w:rFonts w:ascii="Calibri" w:hAnsi="Calibri"/>
      <w:noProof/>
      <w:lang w:val="en-US"/>
    </w:rPr>
  </w:style>
  <w:style w:type="paragraph" w:customStyle="1" w:styleId="EndNoteBibliography">
    <w:name w:val="EndNote Bibliography"/>
    <w:basedOn w:val="Normal"/>
    <w:link w:val="EndNoteBibliographyChar"/>
    <w:rsid w:val="0030682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306820"/>
    <w:rPr>
      <w:rFonts w:ascii="Calibri" w:hAnsi="Calibri"/>
      <w:noProof/>
      <w:lang w:val="en-US"/>
    </w:rPr>
  </w:style>
  <w:style w:type="character" w:styleId="LineNumber">
    <w:name w:val="line number"/>
    <w:basedOn w:val="DefaultParagraphFont"/>
    <w:uiPriority w:val="99"/>
    <w:semiHidden/>
    <w:unhideWhenUsed/>
    <w:rsid w:val="00306820"/>
  </w:style>
  <w:style w:type="paragraph" w:styleId="NormalWeb">
    <w:name w:val="Normal (Web)"/>
    <w:basedOn w:val="Normal"/>
    <w:uiPriority w:val="99"/>
    <w:semiHidden/>
    <w:unhideWhenUsed/>
    <w:rsid w:val="002C6E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32958">
      <w:bodyDiv w:val="1"/>
      <w:marLeft w:val="0"/>
      <w:marRight w:val="0"/>
      <w:marTop w:val="0"/>
      <w:marBottom w:val="0"/>
      <w:divBdr>
        <w:top w:val="none" w:sz="0" w:space="0" w:color="auto"/>
        <w:left w:val="none" w:sz="0" w:space="0" w:color="auto"/>
        <w:bottom w:val="none" w:sz="0" w:space="0" w:color="auto"/>
        <w:right w:val="none" w:sz="0" w:space="0" w:color="auto"/>
      </w:divBdr>
    </w:div>
    <w:div w:id="97216742">
      <w:bodyDiv w:val="1"/>
      <w:marLeft w:val="0"/>
      <w:marRight w:val="0"/>
      <w:marTop w:val="0"/>
      <w:marBottom w:val="0"/>
      <w:divBdr>
        <w:top w:val="none" w:sz="0" w:space="0" w:color="auto"/>
        <w:left w:val="none" w:sz="0" w:space="0" w:color="auto"/>
        <w:bottom w:val="none" w:sz="0" w:space="0" w:color="auto"/>
        <w:right w:val="none" w:sz="0" w:space="0" w:color="auto"/>
      </w:divBdr>
    </w:div>
    <w:div w:id="234096068">
      <w:bodyDiv w:val="1"/>
      <w:marLeft w:val="0"/>
      <w:marRight w:val="0"/>
      <w:marTop w:val="0"/>
      <w:marBottom w:val="0"/>
      <w:divBdr>
        <w:top w:val="none" w:sz="0" w:space="0" w:color="auto"/>
        <w:left w:val="none" w:sz="0" w:space="0" w:color="auto"/>
        <w:bottom w:val="none" w:sz="0" w:space="0" w:color="auto"/>
        <w:right w:val="none" w:sz="0" w:space="0" w:color="auto"/>
      </w:divBdr>
    </w:div>
    <w:div w:id="252933494">
      <w:bodyDiv w:val="1"/>
      <w:marLeft w:val="0"/>
      <w:marRight w:val="0"/>
      <w:marTop w:val="0"/>
      <w:marBottom w:val="0"/>
      <w:divBdr>
        <w:top w:val="none" w:sz="0" w:space="0" w:color="auto"/>
        <w:left w:val="none" w:sz="0" w:space="0" w:color="auto"/>
        <w:bottom w:val="none" w:sz="0" w:space="0" w:color="auto"/>
        <w:right w:val="none" w:sz="0" w:space="0" w:color="auto"/>
      </w:divBdr>
    </w:div>
    <w:div w:id="306519153">
      <w:bodyDiv w:val="1"/>
      <w:marLeft w:val="0"/>
      <w:marRight w:val="0"/>
      <w:marTop w:val="0"/>
      <w:marBottom w:val="0"/>
      <w:divBdr>
        <w:top w:val="none" w:sz="0" w:space="0" w:color="auto"/>
        <w:left w:val="none" w:sz="0" w:space="0" w:color="auto"/>
        <w:bottom w:val="none" w:sz="0" w:space="0" w:color="auto"/>
        <w:right w:val="none" w:sz="0" w:space="0" w:color="auto"/>
      </w:divBdr>
    </w:div>
    <w:div w:id="329676400">
      <w:bodyDiv w:val="1"/>
      <w:marLeft w:val="0"/>
      <w:marRight w:val="0"/>
      <w:marTop w:val="0"/>
      <w:marBottom w:val="0"/>
      <w:divBdr>
        <w:top w:val="none" w:sz="0" w:space="0" w:color="auto"/>
        <w:left w:val="none" w:sz="0" w:space="0" w:color="auto"/>
        <w:bottom w:val="none" w:sz="0" w:space="0" w:color="auto"/>
        <w:right w:val="none" w:sz="0" w:space="0" w:color="auto"/>
      </w:divBdr>
    </w:div>
    <w:div w:id="337201104">
      <w:bodyDiv w:val="1"/>
      <w:marLeft w:val="0"/>
      <w:marRight w:val="0"/>
      <w:marTop w:val="0"/>
      <w:marBottom w:val="0"/>
      <w:divBdr>
        <w:top w:val="none" w:sz="0" w:space="0" w:color="auto"/>
        <w:left w:val="none" w:sz="0" w:space="0" w:color="auto"/>
        <w:bottom w:val="none" w:sz="0" w:space="0" w:color="auto"/>
        <w:right w:val="none" w:sz="0" w:space="0" w:color="auto"/>
      </w:divBdr>
    </w:div>
    <w:div w:id="361589338">
      <w:bodyDiv w:val="1"/>
      <w:marLeft w:val="0"/>
      <w:marRight w:val="0"/>
      <w:marTop w:val="0"/>
      <w:marBottom w:val="0"/>
      <w:divBdr>
        <w:top w:val="none" w:sz="0" w:space="0" w:color="auto"/>
        <w:left w:val="none" w:sz="0" w:space="0" w:color="auto"/>
        <w:bottom w:val="none" w:sz="0" w:space="0" w:color="auto"/>
        <w:right w:val="none" w:sz="0" w:space="0" w:color="auto"/>
      </w:divBdr>
    </w:div>
    <w:div w:id="530800644">
      <w:bodyDiv w:val="1"/>
      <w:marLeft w:val="0"/>
      <w:marRight w:val="0"/>
      <w:marTop w:val="0"/>
      <w:marBottom w:val="0"/>
      <w:divBdr>
        <w:top w:val="none" w:sz="0" w:space="0" w:color="auto"/>
        <w:left w:val="none" w:sz="0" w:space="0" w:color="auto"/>
        <w:bottom w:val="none" w:sz="0" w:space="0" w:color="auto"/>
        <w:right w:val="none" w:sz="0" w:space="0" w:color="auto"/>
      </w:divBdr>
    </w:div>
    <w:div w:id="557665518">
      <w:bodyDiv w:val="1"/>
      <w:marLeft w:val="0"/>
      <w:marRight w:val="0"/>
      <w:marTop w:val="0"/>
      <w:marBottom w:val="0"/>
      <w:divBdr>
        <w:top w:val="none" w:sz="0" w:space="0" w:color="auto"/>
        <w:left w:val="none" w:sz="0" w:space="0" w:color="auto"/>
        <w:bottom w:val="none" w:sz="0" w:space="0" w:color="auto"/>
        <w:right w:val="none" w:sz="0" w:space="0" w:color="auto"/>
      </w:divBdr>
      <w:divsChild>
        <w:div w:id="283535569">
          <w:marLeft w:val="0"/>
          <w:marRight w:val="0"/>
          <w:marTop w:val="0"/>
          <w:marBottom w:val="150"/>
          <w:divBdr>
            <w:top w:val="none" w:sz="0" w:space="0" w:color="auto"/>
            <w:left w:val="none" w:sz="0" w:space="0" w:color="auto"/>
            <w:bottom w:val="none" w:sz="0" w:space="0" w:color="auto"/>
            <w:right w:val="none" w:sz="0" w:space="0" w:color="auto"/>
          </w:divBdr>
        </w:div>
        <w:div w:id="948506065">
          <w:marLeft w:val="0"/>
          <w:marRight w:val="0"/>
          <w:marTop w:val="0"/>
          <w:marBottom w:val="150"/>
          <w:divBdr>
            <w:top w:val="none" w:sz="0" w:space="0" w:color="auto"/>
            <w:left w:val="none" w:sz="0" w:space="0" w:color="auto"/>
            <w:bottom w:val="none" w:sz="0" w:space="0" w:color="auto"/>
            <w:right w:val="none" w:sz="0" w:space="0" w:color="auto"/>
          </w:divBdr>
        </w:div>
      </w:divsChild>
    </w:div>
    <w:div w:id="565459510">
      <w:bodyDiv w:val="1"/>
      <w:marLeft w:val="0"/>
      <w:marRight w:val="0"/>
      <w:marTop w:val="0"/>
      <w:marBottom w:val="0"/>
      <w:divBdr>
        <w:top w:val="none" w:sz="0" w:space="0" w:color="auto"/>
        <w:left w:val="none" w:sz="0" w:space="0" w:color="auto"/>
        <w:bottom w:val="none" w:sz="0" w:space="0" w:color="auto"/>
        <w:right w:val="none" w:sz="0" w:space="0" w:color="auto"/>
      </w:divBdr>
    </w:div>
    <w:div w:id="754742370">
      <w:bodyDiv w:val="1"/>
      <w:marLeft w:val="0"/>
      <w:marRight w:val="0"/>
      <w:marTop w:val="0"/>
      <w:marBottom w:val="0"/>
      <w:divBdr>
        <w:top w:val="none" w:sz="0" w:space="0" w:color="auto"/>
        <w:left w:val="none" w:sz="0" w:space="0" w:color="auto"/>
        <w:bottom w:val="none" w:sz="0" w:space="0" w:color="auto"/>
        <w:right w:val="none" w:sz="0" w:space="0" w:color="auto"/>
      </w:divBdr>
    </w:div>
    <w:div w:id="771246493">
      <w:bodyDiv w:val="1"/>
      <w:marLeft w:val="0"/>
      <w:marRight w:val="0"/>
      <w:marTop w:val="0"/>
      <w:marBottom w:val="0"/>
      <w:divBdr>
        <w:top w:val="none" w:sz="0" w:space="0" w:color="auto"/>
        <w:left w:val="none" w:sz="0" w:space="0" w:color="auto"/>
        <w:bottom w:val="none" w:sz="0" w:space="0" w:color="auto"/>
        <w:right w:val="none" w:sz="0" w:space="0" w:color="auto"/>
      </w:divBdr>
    </w:div>
    <w:div w:id="823160455">
      <w:bodyDiv w:val="1"/>
      <w:marLeft w:val="0"/>
      <w:marRight w:val="0"/>
      <w:marTop w:val="0"/>
      <w:marBottom w:val="0"/>
      <w:divBdr>
        <w:top w:val="none" w:sz="0" w:space="0" w:color="auto"/>
        <w:left w:val="none" w:sz="0" w:space="0" w:color="auto"/>
        <w:bottom w:val="none" w:sz="0" w:space="0" w:color="auto"/>
        <w:right w:val="none" w:sz="0" w:space="0" w:color="auto"/>
      </w:divBdr>
      <w:divsChild>
        <w:div w:id="1537035899">
          <w:marLeft w:val="0"/>
          <w:marRight w:val="0"/>
          <w:marTop w:val="0"/>
          <w:marBottom w:val="0"/>
          <w:divBdr>
            <w:top w:val="none" w:sz="0" w:space="0" w:color="auto"/>
            <w:left w:val="none" w:sz="0" w:space="0" w:color="auto"/>
            <w:bottom w:val="none" w:sz="0" w:space="0" w:color="auto"/>
            <w:right w:val="none" w:sz="0" w:space="0" w:color="auto"/>
          </w:divBdr>
        </w:div>
        <w:div w:id="1645115905">
          <w:marLeft w:val="0"/>
          <w:marRight w:val="0"/>
          <w:marTop w:val="0"/>
          <w:marBottom w:val="0"/>
          <w:divBdr>
            <w:top w:val="none" w:sz="0" w:space="0" w:color="auto"/>
            <w:left w:val="none" w:sz="0" w:space="0" w:color="auto"/>
            <w:bottom w:val="none" w:sz="0" w:space="0" w:color="auto"/>
            <w:right w:val="none" w:sz="0" w:space="0" w:color="auto"/>
          </w:divBdr>
        </w:div>
      </w:divsChild>
    </w:div>
    <w:div w:id="858616268">
      <w:bodyDiv w:val="1"/>
      <w:marLeft w:val="0"/>
      <w:marRight w:val="0"/>
      <w:marTop w:val="0"/>
      <w:marBottom w:val="0"/>
      <w:divBdr>
        <w:top w:val="none" w:sz="0" w:space="0" w:color="auto"/>
        <w:left w:val="none" w:sz="0" w:space="0" w:color="auto"/>
        <w:bottom w:val="none" w:sz="0" w:space="0" w:color="auto"/>
        <w:right w:val="none" w:sz="0" w:space="0" w:color="auto"/>
      </w:divBdr>
    </w:div>
    <w:div w:id="909314521">
      <w:bodyDiv w:val="1"/>
      <w:marLeft w:val="0"/>
      <w:marRight w:val="0"/>
      <w:marTop w:val="0"/>
      <w:marBottom w:val="0"/>
      <w:divBdr>
        <w:top w:val="none" w:sz="0" w:space="0" w:color="auto"/>
        <w:left w:val="none" w:sz="0" w:space="0" w:color="auto"/>
        <w:bottom w:val="none" w:sz="0" w:space="0" w:color="auto"/>
        <w:right w:val="none" w:sz="0" w:space="0" w:color="auto"/>
      </w:divBdr>
    </w:div>
    <w:div w:id="936444981">
      <w:bodyDiv w:val="1"/>
      <w:marLeft w:val="0"/>
      <w:marRight w:val="0"/>
      <w:marTop w:val="0"/>
      <w:marBottom w:val="0"/>
      <w:divBdr>
        <w:top w:val="none" w:sz="0" w:space="0" w:color="auto"/>
        <w:left w:val="none" w:sz="0" w:space="0" w:color="auto"/>
        <w:bottom w:val="none" w:sz="0" w:space="0" w:color="auto"/>
        <w:right w:val="none" w:sz="0" w:space="0" w:color="auto"/>
      </w:divBdr>
    </w:div>
    <w:div w:id="950628048">
      <w:bodyDiv w:val="1"/>
      <w:marLeft w:val="0"/>
      <w:marRight w:val="0"/>
      <w:marTop w:val="0"/>
      <w:marBottom w:val="0"/>
      <w:divBdr>
        <w:top w:val="none" w:sz="0" w:space="0" w:color="auto"/>
        <w:left w:val="none" w:sz="0" w:space="0" w:color="auto"/>
        <w:bottom w:val="none" w:sz="0" w:space="0" w:color="auto"/>
        <w:right w:val="none" w:sz="0" w:space="0" w:color="auto"/>
      </w:divBdr>
    </w:div>
    <w:div w:id="990527648">
      <w:bodyDiv w:val="1"/>
      <w:marLeft w:val="0"/>
      <w:marRight w:val="0"/>
      <w:marTop w:val="0"/>
      <w:marBottom w:val="0"/>
      <w:divBdr>
        <w:top w:val="none" w:sz="0" w:space="0" w:color="auto"/>
        <w:left w:val="none" w:sz="0" w:space="0" w:color="auto"/>
        <w:bottom w:val="none" w:sz="0" w:space="0" w:color="auto"/>
        <w:right w:val="none" w:sz="0" w:space="0" w:color="auto"/>
      </w:divBdr>
    </w:div>
    <w:div w:id="1046418075">
      <w:bodyDiv w:val="1"/>
      <w:marLeft w:val="0"/>
      <w:marRight w:val="0"/>
      <w:marTop w:val="0"/>
      <w:marBottom w:val="0"/>
      <w:divBdr>
        <w:top w:val="none" w:sz="0" w:space="0" w:color="auto"/>
        <w:left w:val="none" w:sz="0" w:space="0" w:color="auto"/>
        <w:bottom w:val="none" w:sz="0" w:space="0" w:color="auto"/>
        <w:right w:val="none" w:sz="0" w:space="0" w:color="auto"/>
      </w:divBdr>
    </w:div>
    <w:div w:id="1179194000">
      <w:bodyDiv w:val="1"/>
      <w:marLeft w:val="0"/>
      <w:marRight w:val="0"/>
      <w:marTop w:val="0"/>
      <w:marBottom w:val="0"/>
      <w:divBdr>
        <w:top w:val="none" w:sz="0" w:space="0" w:color="auto"/>
        <w:left w:val="none" w:sz="0" w:space="0" w:color="auto"/>
        <w:bottom w:val="none" w:sz="0" w:space="0" w:color="auto"/>
        <w:right w:val="none" w:sz="0" w:space="0" w:color="auto"/>
      </w:divBdr>
    </w:div>
    <w:div w:id="1255361023">
      <w:bodyDiv w:val="1"/>
      <w:marLeft w:val="0"/>
      <w:marRight w:val="0"/>
      <w:marTop w:val="0"/>
      <w:marBottom w:val="0"/>
      <w:divBdr>
        <w:top w:val="none" w:sz="0" w:space="0" w:color="auto"/>
        <w:left w:val="none" w:sz="0" w:space="0" w:color="auto"/>
        <w:bottom w:val="none" w:sz="0" w:space="0" w:color="auto"/>
        <w:right w:val="none" w:sz="0" w:space="0" w:color="auto"/>
      </w:divBdr>
    </w:div>
    <w:div w:id="1456873964">
      <w:bodyDiv w:val="1"/>
      <w:marLeft w:val="0"/>
      <w:marRight w:val="0"/>
      <w:marTop w:val="0"/>
      <w:marBottom w:val="0"/>
      <w:divBdr>
        <w:top w:val="none" w:sz="0" w:space="0" w:color="auto"/>
        <w:left w:val="none" w:sz="0" w:space="0" w:color="auto"/>
        <w:bottom w:val="none" w:sz="0" w:space="0" w:color="auto"/>
        <w:right w:val="none" w:sz="0" w:space="0" w:color="auto"/>
      </w:divBdr>
    </w:div>
    <w:div w:id="1588147657">
      <w:bodyDiv w:val="1"/>
      <w:marLeft w:val="0"/>
      <w:marRight w:val="0"/>
      <w:marTop w:val="0"/>
      <w:marBottom w:val="0"/>
      <w:divBdr>
        <w:top w:val="none" w:sz="0" w:space="0" w:color="auto"/>
        <w:left w:val="none" w:sz="0" w:space="0" w:color="auto"/>
        <w:bottom w:val="none" w:sz="0" w:space="0" w:color="auto"/>
        <w:right w:val="none" w:sz="0" w:space="0" w:color="auto"/>
      </w:divBdr>
    </w:div>
    <w:div w:id="1708410470">
      <w:bodyDiv w:val="1"/>
      <w:marLeft w:val="0"/>
      <w:marRight w:val="0"/>
      <w:marTop w:val="0"/>
      <w:marBottom w:val="0"/>
      <w:divBdr>
        <w:top w:val="none" w:sz="0" w:space="0" w:color="auto"/>
        <w:left w:val="none" w:sz="0" w:space="0" w:color="auto"/>
        <w:bottom w:val="none" w:sz="0" w:space="0" w:color="auto"/>
        <w:right w:val="none" w:sz="0" w:space="0" w:color="auto"/>
      </w:divBdr>
    </w:div>
    <w:div w:id="1827092621">
      <w:bodyDiv w:val="1"/>
      <w:marLeft w:val="0"/>
      <w:marRight w:val="0"/>
      <w:marTop w:val="0"/>
      <w:marBottom w:val="0"/>
      <w:divBdr>
        <w:top w:val="none" w:sz="0" w:space="0" w:color="auto"/>
        <w:left w:val="none" w:sz="0" w:space="0" w:color="auto"/>
        <w:bottom w:val="none" w:sz="0" w:space="0" w:color="auto"/>
        <w:right w:val="none" w:sz="0" w:space="0" w:color="auto"/>
      </w:divBdr>
    </w:div>
    <w:div w:id="1835880206">
      <w:bodyDiv w:val="1"/>
      <w:marLeft w:val="0"/>
      <w:marRight w:val="0"/>
      <w:marTop w:val="0"/>
      <w:marBottom w:val="0"/>
      <w:divBdr>
        <w:top w:val="none" w:sz="0" w:space="0" w:color="auto"/>
        <w:left w:val="none" w:sz="0" w:space="0" w:color="auto"/>
        <w:bottom w:val="none" w:sz="0" w:space="0" w:color="auto"/>
        <w:right w:val="none" w:sz="0" w:space="0" w:color="auto"/>
      </w:divBdr>
    </w:div>
    <w:div w:id="1927837422">
      <w:bodyDiv w:val="1"/>
      <w:marLeft w:val="0"/>
      <w:marRight w:val="0"/>
      <w:marTop w:val="0"/>
      <w:marBottom w:val="0"/>
      <w:divBdr>
        <w:top w:val="none" w:sz="0" w:space="0" w:color="auto"/>
        <w:left w:val="none" w:sz="0" w:space="0" w:color="auto"/>
        <w:bottom w:val="none" w:sz="0" w:space="0" w:color="auto"/>
        <w:right w:val="none" w:sz="0" w:space="0" w:color="auto"/>
      </w:divBdr>
    </w:div>
    <w:div w:id="1990666783">
      <w:bodyDiv w:val="1"/>
      <w:marLeft w:val="0"/>
      <w:marRight w:val="0"/>
      <w:marTop w:val="0"/>
      <w:marBottom w:val="0"/>
      <w:divBdr>
        <w:top w:val="none" w:sz="0" w:space="0" w:color="auto"/>
        <w:left w:val="none" w:sz="0" w:space="0" w:color="auto"/>
        <w:bottom w:val="none" w:sz="0" w:space="0" w:color="auto"/>
        <w:right w:val="none" w:sz="0" w:space="0" w:color="auto"/>
      </w:divBdr>
    </w:div>
    <w:div w:id="2072803517">
      <w:bodyDiv w:val="1"/>
      <w:marLeft w:val="0"/>
      <w:marRight w:val="0"/>
      <w:marTop w:val="0"/>
      <w:marBottom w:val="0"/>
      <w:divBdr>
        <w:top w:val="none" w:sz="0" w:space="0" w:color="auto"/>
        <w:left w:val="none" w:sz="0" w:space="0" w:color="auto"/>
        <w:bottom w:val="none" w:sz="0" w:space="0" w:color="auto"/>
        <w:right w:val="none" w:sz="0" w:space="0" w:color="auto"/>
      </w:divBdr>
    </w:div>
    <w:div w:id="2091124299">
      <w:bodyDiv w:val="1"/>
      <w:marLeft w:val="0"/>
      <w:marRight w:val="0"/>
      <w:marTop w:val="0"/>
      <w:marBottom w:val="0"/>
      <w:divBdr>
        <w:top w:val="none" w:sz="0" w:space="0" w:color="auto"/>
        <w:left w:val="none" w:sz="0" w:space="0" w:color="auto"/>
        <w:bottom w:val="none" w:sz="0" w:space="0" w:color="auto"/>
        <w:right w:val="none" w:sz="0" w:space="0" w:color="auto"/>
      </w:divBdr>
    </w:div>
    <w:div w:id="2116635318">
      <w:bodyDiv w:val="1"/>
      <w:marLeft w:val="0"/>
      <w:marRight w:val="0"/>
      <w:marTop w:val="0"/>
      <w:marBottom w:val="0"/>
      <w:divBdr>
        <w:top w:val="none" w:sz="0" w:space="0" w:color="auto"/>
        <w:left w:val="none" w:sz="0" w:space="0" w:color="auto"/>
        <w:bottom w:val="none" w:sz="0" w:space="0" w:color="auto"/>
        <w:right w:val="none" w:sz="0" w:space="0" w:color="auto"/>
      </w:divBdr>
      <w:divsChild>
        <w:div w:id="14384217">
          <w:marLeft w:val="0"/>
          <w:marRight w:val="0"/>
          <w:marTop w:val="0"/>
          <w:marBottom w:val="0"/>
          <w:divBdr>
            <w:top w:val="none" w:sz="0" w:space="0" w:color="auto"/>
            <w:left w:val="none" w:sz="0" w:space="0" w:color="auto"/>
            <w:bottom w:val="none" w:sz="0" w:space="0" w:color="auto"/>
            <w:right w:val="none" w:sz="0" w:space="0" w:color="auto"/>
          </w:divBdr>
        </w:div>
        <w:div w:id="1250582248">
          <w:marLeft w:val="0"/>
          <w:marRight w:val="0"/>
          <w:marTop w:val="0"/>
          <w:marBottom w:val="0"/>
          <w:divBdr>
            <w:top w:val="none" w:sz="0" w:space="0" w:color="auto"/>
            <w:left w:val="none" w:sz="0" w:space="0" w:color="auto"/>
            <w:bottom w:val="none" w:sz="0" w:space="0" w:color="auto"/>
            <w:right w:val="none" w:sz="0" w:space="0" w:color="auto"/>
          </w:divBdr>
        </w:div>
      </w:divsChild>
    </w:div>
    <w:div w:id="2144807930">
      <w:bodyDiv w:val="1"/>
      <w:marLeft w:val="0"/>
      <w:marRight w:val="0"/>
      <w:marTop w:val="0"/>
      <w:marBottom w:val="0"/>
      <w:divBdr>
        <w:top w:val="none" w:sz="0" w:space="0" w:color="auto"/>
        <w:left w:val="none" w:sz="0" w:space="0" w:color="auto"/>
        <w:bottom w:val="none" w:sz="0" w:space="0" w:color="auto"/>
        <w:right w:val="none" w:sz="0" w:space="0" w:color="auto"/>
      </w:divBdr>
      <w:divsChild>
        <w:div w:id="175967105">
          <w:marLeft w:val="720"/>
          <w:marRight w:val="0"/>
          <w:marTop w:val="280"/>
          <w:marBottom w:val="0"/>
          <w:divBdr>
            <w:top w:val="none" w:sz="0" w:space="0" w:color="auto"/>
            <w:left w:val="none" w:sz="0" w:space="0" w:color="auto"/>
            <w:bottom w:val="none" w:sz="0" w:space="0" w:color="auto"/>
            <w:right w:val="none" w:sz="0" w:space="0" w:color="auto"/>
          </w:divBdr>
        </w:div>
        <w:div w:id="1717775081">
          <w:marLeft w:val="720"/>
          <w:marRight w:val="0"/>
          <w:marTop w:val="280"/>
          <w:marBottom w:val="0"/>
          <w:divBdr>
            <w:top w:val="none" w:sz="0" w:space="0" w:color="auto"/>
            <w:left w:val="none" w:sz="0" w:space="0" w:color="auto"/>
            <w:bottom w:val="none" w:sz="0" w:space="0" w:color="auto"/>
            <w:right w:val="none" w:sz="0" w:space="0" w:color="auto"/>
          </w:divBdr>
        </w:div>
        <w:div w:id="1193686206">
          <w:marLeft w:val="720"/>
          <w:marRight w:val="0"/>
          <w:marTop w:val="2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aterloo.ca/public-health-and-health-systems/" TargetMode="External"/><Relationship Id="rId13" Type="http://schemas.openxmlformats.org/officeDocument/2006/relationships/hyperlink" Target="https://doi.org/10.17605/OSF.IO/W4XR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who.int/vmnis/indicators/haemoglobin/en/"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pxhere.com/en/photo/1262215"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who.int/iris/bitstream/handle/10665/258983/9789241550116-eng.pdf;jsessionid=EB785E884EDF96CCC9826D3F9AAE0912?sequence=1" TargetMode="External"/><Relationship Id="rId5" Type="http://schemas.openxmlformats.org/officeDocument/2006/relationships/webSettings" Target="webSettings.xml"/><Relationship Id="rId15" Type="http://schemas.openxmlformats.org/officeDocument/2006/relationships/image" Target="media/image2.tif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vwelch@campbellcollaboration.org" TargetMode="Externa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B143-F35E-4FEE-BB7E-4857722A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35</Pages>
  <Words>14757</Words>
  <Characters>84121</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98681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dc:creator>
  <cp:lastModifiedBy>Vivian Welch</cp:lastModifiedBy>
  <cp:revision>7</cp:revision>
  <cp:lastPrinted>2019-06-18T15:32:00Z</cp:lastPrinted>
  <dcterms:created xsi:type="dcterms:W3CDTF">2019-06-22T02:15:00Z</dcterms:created>
  <dcterms:modified xsi:type="dcterms:W3CDTF">2019-06-27T04:46:00Z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07de7955-6c99-3a08-969d-038f7cba56b8</vt:lpwstr>
  </property>
  <property fmtid="{D5CDD505-2E9C-101B-9397-08002B2CF9AE}" pid="24" name="Mendeley Citation Style_1">
    <vt:lpwstr>http://www.zotero.org/styles/vancouver</vt:lpwstr>
  </property>
</Properties>
</file>