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FADC5" w14:textId="62CBF04F" w:rsidR="00B246A1" w:rsidRPr="009B00F4" w:rsidRDefault="00A45D47" w:rsidP="00C662E0">
      <w:pPr>
        <w:spacing w:after="0" w:line="240" w:lineRule="auto"/>
        <w:jc w:val="both"/>
        <w:rPr>
          <w:sz w:val="20"/>
          <w:szCs w:val="20"/>
        </w:rPr>
      </w:pPr>
      <w:r>
        <w:rPr>
          <w:sz w:val="20"/>
          <w:szCs w:val="20"/>
        </w:rPr>
        <w:t>COMMENTARY</w:t>
      </w:r>
      <w:r w:rsidR="00D53B34">
        <w:rPr>
          <w:sz w:val="20"/>
          <w:szCs w:val="20"/>
        </w:rPr>
        <w:t xml:space="preserve">, </w:t>
      </w:r>
      <w:r w:rsidR="008422D2">
        <w:rPr>
          <w:i/>
          <w:sz w:val="20"/>
          <w:szCs w:val="20"/>
        </w:rPr>
        <w:t>International Journal of Drug Policy, Special Issue, Ed. Grebely et al</w:t>
      </w:r>
      <w:r w:rsidR="00121643" w:rsidRPr="009B00F4">
        <w:rPr>
          <w:sz w:val="20"/>
          <w:szCs w:val="20"/>
        </w:rPr>
        <w:t xml:space="preserve"> </w:t>
      </w:r>
    </w:p>
    <w:p w14:paraId="4FA663E1" w14:textId="77777777" w:rsidR="00B246A1" w:rsidRPr="00D264DB" w:rsidRDefault="00B246A1" w:rsidP="00C662E0">
      <w:pPr>
        <w:spacing w:after="0" w:line="240" w:lineRule="auto"/>
        <w:jc w:val="both"/>
        <w:rPr>
          <w:sz w:val="20"/>
          <w:szCs w:val="20"/>
        </w:rPr>
      </w:pPr>
    </w:p>
    <w:p w14:paraId="5AC4C83C" w14:textId="77777777" w:rsidR="008422D2" w:rsidRDefault="008422D2" w:rsidP="00C662E0">
      <w:pPr>
        <w:spacing w:after="0" w:line="240" w:lineRule="auto"/>
        <w:jc w:val="both"/>
        <w:rPr>
          <w:b/>
          <w:sz w:val="28"/>
          <w:szCs w:val="28"/>
        </w:rPr>
      </w:pPr>
    </w:p>
    <w:p w14:paraId="73D5B685" w14:textId="44CEFBD0" w:rsidR="00155B15" w:rsidRPr="007A7094" w:rsidRDefault="00C662E0" w:rsidP="00C662E0">
      <w:pPr>
        <w:spacing w:after="0" w:line="240" w:lineRule="auto"/>
        <w:jc w:val="both"/>
        <w:rPr>
          <w:b/>
          <w:sz w:val="28"/>
          <w:szCs w:val="28"/>
        </w:rPr>
      </w:pPr>
      <w:r w:rsidRPr="007A7094">
        <w:rPr>
          <w:b/>
          <w:sz w:val="28"/>
          <w:szCs w:val="28"/>
        </w:rPr>
        <w:t>Evidenc</w:t>
      </w:r>
      <w:r w:rsidR="006B2AB3" w:rsidRPr="007A7094">
        <w:rPr>
          <w:b/>
          <w:sz w:val="28"/>
          <w:szCs w:val="28"/>
        </w:rPr>
        <w:t>e-making</w:t>
      </w:r>
      <w:r w:rsidRPr="007A7094">
        <w:rPr>
          <w:b/>
          <w:sz w:val="28"/>
          <w:szCs w:val="28"/>
        </w:rPr>
        <w:t xml:space="preserve"> hepatitis C cure: </w:t>
      </w:r>
      <w:r w:rsidR="00C613FA" w:rsidRPr="007A7094">
        <w:rPr>
          <w:b/>
          <w:sz w:val="28"/>
          <w:szCs w:val="28"/>
        </w:rPr>
        <w:t>Towards a s</w:t>
      </w:r>
      <w:r w:rsidR="00EA12A4" w:rsidRPr="007A7094">
        <w:rPr>
          <w:b/>
          <w:sz w:val="28"/>
          <w:szCs w:val="28"/>
        </w:rPr>
        <w:t xml:space="preserve">cience </w:t>
      </w:r>
      <w:r w:rsidR="00C613FA" w:rsidRPr="007A7094">
        <w:rPr>
          <w:b/>
          <w:sz w:val="28"/>
          <w:szCs w:val="28"/>
        </w:rPr>
        <w:t xml:space="preserve">that </w:t>
      </w:r>
      <w:r w:rsidR="00EA12A4" w:rsidRPr="007A7094">
        <w:rPr>
          <w:b/>
          <w:sz w:val="28"/>
          <w:szCs w:val="28"/>
        </w:rPr>
        <w:t>k</w:t>
      </w:r>
      <w:r w:rsidRPr="007A7094">
        <w:rPr>
          <w:b/>
          <w:sz w:val="28"/>
          <w:szCs w:val="28"/>
        </w:rPr>
        <w:t>now</w:t>
      </w:r>
      <w:r w:rsidR="00C613FA" w:rsidRPr="007A7094">
        <w:rPr>
          <w:b/>
          <w:sz w:val="28"/>
          <w:szCs w:val="28"/>
        </w:rPr>
        <w:t>s</w:t>
      </w:r>
      <w:r w:rsidRPr="007A7094">
        <w:rPr>
          <w:b/>
          <w:sz w:val="28"/>
          <w:szCs w:val="28"/>
        </w:rPr>
        <w:t xml:space="preserve"> more carefull</w:t>
      </w:r>
      <w:r w:rsidR="00101E08" w:rsidRPr="007A7094">
        <w:rPr>
          <w:b/>
          <w:sz w:val="28"/>
          <w:szCs w:val="28"/>
        </w:rPr>
        <w:t>y</w:t>
      </w:r>
    </w:p>
    <w:p w14:paraId="6541556C" w14:textId="6F19362F" w:rsidR="00202372" w:rsidRPr="007A7094" w:rsidRDefault="00202372" w:rsidP="00C662E0">
      <w:pPr>
        <w:spacing w:after="0" w:line="240" w:lineRule="auto"/>
        <w:jc w:val="both"/>
        <w:rPr>
          <w:b/>
          <w:sz w:val="28"/>
          <w:szCs w:val="28"/>
        </w:rPr>
      </w:pPr>
    </w:p>
    <w:p w14:paraId="35408E01" w14:textId="77777777" w:rsidR="008422D2" w:rsidRPr="007A7094" w:rsidRDefault="008422D2" w:rsidP="00C662E0">
      <w:pPr>
        <w:spacing w:after="0" w:line="240" w:lineRule="auto"/>
        <w:jc w:val="both"/>
        <w:rPr>
          <w:b/>
          <w:sz w:val="28"/>
          <w:szCs w:val="28"/>
        </w:rPr>
      </w:pPr>
    </w:p>
    <w:p w14:paraId="2607BCF0" w14:textId="22DB009C" w:rsidR="00247FA2" w:rsidRPr="007A7094" w:rsidRDefault="00804760" w:rsidP="00C662E0">
      <w:pPr>
        <w:spacing w:after="0" w:line="240" w:lineRule="auto"/>
        <w:jc w:val="both"/>
        <w:rPr>
          <w:b/>
          <w:sz w:val="28"/>
          <w:szCs w:val="28"/>
        </w:rPr>
      </w:pPr>
      <w:r w:rsidRPr="007A7094">
        <w:rPr>
          <w:b/>
          <w:sz w:val="28"/>
          <w:szCs w:val="28"/>
        </w:rPr>
        <w:t>Abstract</w:t>
      </w:r>
    </w:p>
    <w:p w14:paraId="44C14779" w14:textId="6F7D0EBC" w:rsidR="00744B14" w:rsidRPr="007A7094" w:rsidRDefault="00744B14" w:rsidP="00744B14">
      <w:pPr>
        <w:spacing w:after="0" w:line="360" w:lineRule="auto"/>
        <w:jc w:val="both"/>
      </w:pPr>
      <w:r w:rsidRPr="007A7094">
        <w:t xml:space="preserve">There </w:t>
      </w:r>
      <w:r w:rsidR="008422D2" w:rsidRPr="007A7094">
        <w:t>has been</w:t>
      </w:r>
      <w:r w:rsidRPr="007A7094">
        <w:t xml:space="preserve"> </w:t>
      </w:r>
      <w:r w:rsidR="008422D2" w:rsidRPr="007A7094">
        <w:t xml:space="preserve">some </w:t>
      </w:r>
      <w:r w:rsidRPr="007A7094">
        <w:t>controversy concerning the curative potential of new treatments for hepatitis C. This follows a systematic review of the Cochrane Collaboration questioning the clinical benefits of direct-acting antivirals (DAAs). This controversy has been debated as a matter of methods regarding how best to evidence treatment in an evidence-based medicine (EBM) approach. Drawing from science and technology studies (STS), we offer an alternative perspective. We propose a different way of thinking with evidence</w:t>
      </w:r>
      <w:r w:rsidR="00873BA4" w:rsidRPr="007A7094">
        <w:t>;</w:t>
      </w:r>
      <w:r w:rsidRPr="007A7094">
        <w:t xml:space="preserve"> </w:t>
      </w:r>
      <w:r w:rsidR="00873BA4" w:rsidRPr="007A7094">
        <w:t>one which treats ‘evidencing as performative’</w:t>
      </w:r>
      <w:r w:rsidRPr="007A7094">
        <w:t xml:space="preserve">. Using the Cochrane review and its linked published responses as a resource for this analysis, we consider how hepatitis C cure is differently made-up through the knowledge-making practices performing it. We show how matters of apparent fact in evidence-based science are enacted as matters of clinical, social and </w:t>
      </w:r>
      <w:r w:rsidR="00A45D47" w:rsidRPr="007A7094">
        <w:t>ethico-</w:t>
      </w:r>
      <w:r w:rsidRPr="007A7094">
        <w:t>political concern. We notice hepatitis C cure as a fluid object in negotiation. We highlight the limits of current debate to advocate a more critical and careful practice-based approach to knowing hepatitis C cure. This calls upon public health researchers to reflect on the performative work of their evidencing. We propose a ‘more-than’ EBM approach which treats ‘evidence-based’ science as an ‘evidence-making intervention</w:t>
      </w:r>
      <w:r w:rsidR="00873BA4" w:rsidRPr="007A7094">
        <w:t>’</w:t>
      </w:r>
      <w:r w:rsidRPr="007A7094">
        <w:t>. We consider the implications of such an approach for the evidencing of public health interventions and for treating hepatitis C in the DAA era</w:t>
      </w:r>
      <w:r w:rsidR="00EA7EC8" w:rsidRPr="007A7094">
        <w:t xml:space="preserve"> of ‘viral elimination’</w:t>
      </w:r>
      <w:r w:rsidRPr="007A7094">
        <w:t>.</w:t>
      </w:r>
      <w:r w:rsidR="00873BA4" w:rsidRPr="007A7094">
        <w:t xml:space="preserve"> </w:t>
      </w:r>
      <w:r w:rsidR="008422D2" w:rsidRPr="007A7094">
        <w:t xml:space="preserve"> </w:t>
      </w:r>
      <w:r w:rsidRPr="007A7094">
        <w:t xml:space="preserve">       </w:t>
      </w:r>
    </w:p>
    <w:p w14:paraId="584369D2" w14:textId="6E8378E1" w:rsidR="008117D3" w:rsidRPr="007A7094" w:rsidRDefault="00D25235" w:rsidP="00202372">
      <w:pPr>
        <w:spacing w:after="0" w:line="360" w:lineRule="auto"/>
        <w:jc w:val="both"/>
      </w:pPr>
      <w:r w:rsidRPr="007A7094">
        <w:t xml:space="preserve">  </w:t>
      </w:r>
      <w:r w:rsidR="00585F09" w:rsidRPr="007A7094">
        <w:t xml:space="preserve">     </w:t>
      </w:r>
      <w:r w:rsidR="008117D3" w:rsidRPr="007A7094">
        <w:t xml:space="preserve"> </w:t>
      </w:r>
    </w:p>
    <w:p w14:paraId="79D4FB9C" w14:textId="77777777" w:rsidR="008117D3" w:rsidRPr="007A7094" w:rsidRDefault="008117D3" w:rsidP="00247FA2">
      <w:pPr>
        <w:spacing w:after="0" w:line="240" w:lineRule="auto"/>
        <w:jc w:val="both"/>
      </w:pPr>
    </w:p>
    <w:p w14:paraId="6A3A71FC" w14:textId="37C9CA12" w:rsidR="00247FA2" w:rsidRPr="007A7094" w:rsidRDefault="00247FA2" w:rsidP="00C662E0">
      <w:pPr>
        <w:spacing w:after="0" w:line="240" w:lineRule="auto"/>
        <w:jc w:val="both"/>
        <w:rPr>
          <w:b/>
          <w:sz w:val="28"/>
          <w:szCs w:val="28"/>
        </w:rPr>
      </w:pPr>
      <w:r w:rsidRPr="007A7094">
        <w:rPr>
          <w:b/>
          <w:sz w:val="28"/>
          <w:szCs w:val="28"/>
        </w:rPr>
        <w:t>Keywords</w:t>
      </w:r>
    </w:p>
    <w:p w14:paraId="65A964A6" w14:textId="49C253EC" w:rsidR="00247FA2" w:rsidRPr="007A7094" w:rsidRDefault="00247FA2" w:rsidP="00C662E0">
      <w:pPr>
        <w:spacing w:after="0" w:line="240" w:lineRule="auto"/>
        <w:jc w:val="both"/>
      </w:pPr>
      <w:r w:rsidRPr="007A7094">
        <w:t>Evidence</w:t>
      </w:r>
      <w:r w:rsidR="00A45D47" w:rsidRPr="007A7094">
        <w:t>-making</w:t>
      </w:r>
      <w:r w:rsidRPr="007A7094">
        <w:t xml:space="preserve">; </w:t>
      </w:r>
      <w:r w:rsidR="00E97FC2" w:rsidRPr="007A7094">
        <w:t xml:space="preserve">Performativity; </w:t>
      </w:r>
      <w:r w:rsidRPr="007A7094">
        <w:t xml:space="preserve">Science and Technology Studies; </w:t>
      </w:r>
      <w:r w:rsidR="008D7073" w:rsidRPr="007A7094">
        <w:t>Direct-Acting Antivirals; Hepatitis C; Cure</w:t>
      </w:r>
    </w:p>
    <w:p w14:paraId="7E7F07E3" w14:textId="5359DDE5" w:rsidR="00247FA2" w:rsidRPr="007A7094" w:rsidRDefault="00247FA2">
      <w:pPr>
        <w:rPr>
          <w:b/>
          <w:sz w:val="28"/>
          <w:szCs w:val="28"/>
        </w:rPr>
      </w:pPr>
      <w:r w:rsidRPr="007A7094">
        <w:rPr>
          <w:b/>
          <w:sz w:val="28"/>
          <w:szCs w:val="28"/>
        </w:rPr>
        <w:br w:type="page"/>
      </w:r>
    </w:p>
    <w:p w14:paraId="092E6A90" w14:textId="299C1AE5" w:rsidR="00D53B34" w:rsidRPr="007A7094" w:rsidRDefault="00A45D47" w:rsidP="00D53B34">
      <w:pPr>
        <w:spacing w:after="0" w:line="240" w:lineRule="auto"/>
        <w:jc w:val="both"/>
        <w:rPr>
          <w:sz w:val="20"/>
          <w:szCs w:val="20"/>
        </w:rPr>
      </w:pPr>
      <w:r w:rsidRPr="007A7094">
        <w:rPr>
          <w:sz w:val="20"/>
          <w:szCs w:val="20"/>
        </w:rPr>
        <w:lastRenderedPageBreak/>
        <w:t>COMMENTARY</w:t>
      </w:r>
      <w:r w:rsidR="00D53B34" w:rsidRPr="007A7094">
        <w:rPr>
          <w:sz w:val="20"/>
          <w:szCs w:val="20"/>
        </w:rPr>
        <w:t xml:space="preserve">, </w:t>
      </w:r>
      <w:r w:rsidR="00873BA4" w:rsidRPr="007A7094">
        <w:rPr>
          <w:i/>
          <w:sz w:val="20"/>
          <w:szCs w:val="20"/>
        </w:rPr>
        <w:t>International Journal of Drug Policy</w:t>
      </w:r>
      <w:r w:rsidR="00D53B34" w:rsidRPr="007A7094">
        <w:rPr>
          <w:sz w:val="20"/>
          <w:szCs w:val="20"/>
        </w:rPr>
        <w:t xml:space="preserve"> </w:t>
      </w:r>
    </w:p>
    <w:p w14:paraId="190B11C0" w14:textId="77777777" w:rsidR="00247FA2" w:rsidRPr="007A7094" w:rsidRDefault="00247FA2" w:rsidP="00247FA2">
      <w:pPr>
        <w:spacing w:after="0" w:line="240" w:lineRule="auto"/>
        <w:jc w:val="both"/>
        <w:rPr>
          <w:sz w:val="20"/>
          <w:szCs w:val="20"/>
        </w:rPr>
      </w:pPr>
    </w:p>
    <w:p w14:paraId="6DD0D992" w14:textId="77777777" w:rsidR="00873BA4" w:rsidRPr="007A7094" w:rsidRDefault="00873BA4" w:rsidP="00247FA2">
      <w:pPr>
        <w:spacing w:after="0" w:line="240" w:lineRule="auto"/>
        <w:jc w:val="both"/>
        <w:rPr>
          <w:b/>
          <w:sz w:val="28"/>
          <w:szCs w:val="28"/>
        </w:rPr>
      </w:pPr>
    </w:p>
    <w:p w14:paraId="58B4A2B4" w14:textId="64C097EF" w:rsidR="00247FA2" w:rsidRPr="007A7094" w:rsidRDefault="00247FA2" w:rsidP="00247FA2">
      <w:pPr>
        <w:spacing w:after="0" w:line="240" w:lineRule="auto"/>
        <w:jc w:val="both"/>
        <w:rPr>
          <w:b/>
          <w:sz w:val="28"/>
          <w:szCs w:val="28"/>
        </w:rPr>
      </w:pPr>
      <w:r w:rsidRPr="007A7094">
        <w:rPr>
          <w:b/>
          <w:sz w:val="28"/>
          <w:szCs w:val="28"/>
        </w:rPr>
        <w:t>Evidenc</w:t>
      </w:r>
      <w:r w:rsidR="00EB37E3" w:rsidRPr="007A7094">
        <w:rPr>
          <w:b/>
          <w:sz w:val="28"/>
          <w:szCs w:val="28"/>
        </w:rPr>
        <w:t>e-making</w:t>
      </w:r>
      <w:r w:rsidRPr="007A7094">
        <w:rPr>
          <w:b/>
          <w:sz w:val="28"/>
          <w:szCs w:val="28"/>
        </w:rPr>
        <w:t xml:space="preserve"> hepatitis C cure: Towards a science that knows more carefully</w:t>
      </w:r>
    </w:p>
    <w:p w14:paraId="24D2B6D3" w14:textId="0B69289B" w:rsidR="00247FA2" w:rsidRPr="007A7094" w:rsidRDefault="00247FA2" w:rsidP="00247FA2">
      <w:pPr>
        <w:spacing w:after="0" w:line="240" w:lineRule="auto"/>
        <w:jc w:val="both"/>
        <w:rPr>
          <w:b/>
          <w:sz w:val="28"/>
          <w:szCs w:val="28"/>
        </w:rPr>
      </w:pPr>
    </w:p>
    <w:p w14:paraId="5C4787C4" w14:textId="77777777" w:rsidR="00C02255" w:rsidRPr="007A7094" w:rsidRDefault="00C02255" w:rsidP="00247FA2">
      <w:pPr>
        <w:spacing w:after="0" w:line="240" w:lineRule="auto"/>
        <w:jc w:val="both"/>
        <w:rPr>
          <w:b/>
          <w:sz w:val="28"/>
          <w:szCs w:val="28"/>
        </w:rPr>
      </w:pPr>
    </w:p>
    <w:p w14:paraId="4F3BB305" w14:textId="3C486F11" w:rsidR="00217E56" w:rsidRPr="007A7094" w:rsidRDefault="00217E56" w:rsidP="00722632">
      <w:pPr>
        <w:spacing w:after="0" w:line="480" w:lineRule="auto"/>
        <w:jc w:val="both"/>
        <w:rPr>
          <w:b/>
          <w:sz w:val="28"/>
          <w:szCs w:val="28"/>
        </w:rPr>
      </w:pPr>
      <w:r w:rsidRPr="007A7094">
        <w:rPr>
          <w:b/>
          <w:sz w:val="28"/>
          <w:szCs w:val="28"/>
        </w:rPr>
        <w:t xml:space="preserve">Introduction </w:t>
      </w:r>
    </w:p>
    <w:p w14:paraId="31A92F6D" w14:textId="0E26B2DC" w:rsidR="00B66222" w:rsidRPr="007A7094" w:rsidRDefault="00A77F96" w:rsidP="00722632">
      <w:pPr>
        <w:spacing w:after="0" w:line="480" w:lineRule="auto"/>
        <w:jc w:val="both"/>
      </w:pPr>
      <w:r w:rsidRPr="007A7094">
        <w:t>New pharmaceutical treatments for chronic hepatitis C evidenced to offer curative potential are having dramatic impacts.</w:t>
      </w:r>
      <w:r w:rsidR="00413674" w:rsidRPr="007A7094">
        <w:t xml:space="preserve"> </w:t>
      </w:r>
      <w:r w:rsidRPr="007A7094">
        <w:t>These new pharmaceuticals – known as direct-acting antiviral (DAA) treatments – are posited as offering near 100% cure of hepatitis C infection with near zero side-effects (</w:t>
      </w:r>
      <w:r w:rsidR="00A45D47" w:rsidRPr="007A7094">
        <w:t>Dore and Feld, 2015; Falade-Nwulia et al., 2017</w:t>
      </w:r>
      <w:r w:rsidRPr="007A7094">
        <w:t xml:space="preserve">). It is for this reason, in combination with the </w:t>
      </w:r>
      <w:r w:rsidR="00B66222" w:rsidRPr="007A7094">
        <w:t xml:space="preserve">rapid </w:t>
      </w:r>
      <w:r w:rsidRPr="007A7094">
        <w:t xml:space="preserve">pace of their development into </w:t>
      </w:r>
      <w:r w:rsidR="00B66222" w:rsidRPr="007A7094">
        <w:t>‘</w:t>
      </w:r>
      <w:r w:rsidRPr="007A7094">
        <w:t>real world</w:t>
      </w:r>
      <w:r w:rsidR="00B66222" w:rsidRPr="007A7094">
        <w:t>’</w:t>
      </w:r>
      <w:r w:rsidRPr="007A7094">
        <w:t xml:space="preserve"> delivery, that they have been </w:t>
      </w:r>
      <w:r w:rsidR="00B66222" w:rsidRPr="007A7094">
        <w:t>presented</w:t>
      </w:r>
      <w:r w:rsidRPr="007A7094">
        <w:t xml:space="preserve"> as ground-breaking and revolutionary </w:t>
      </w:r>
      <w:r w:rsidR="00B66222" w:rsidRPr="007A7094">
        <w:t>(Banerjee and Reddy, 2016; Gane, 2014). The promise afforded by this ‘new world’ of hepatitis C</w:t>
      </w:r>
      <w:r w:rsidR="000916AF" w:rsidRPr="007A7094">
        <w:t xml:space="preserve"> cure </w:t>
      </w:r>
      <w:r w:rsidR="00B66222" w:rsidRPr="007A7094">
        <w:t>is accentuated by the marked difference</w:t>
      </w:r>
      <w:r w:rsidR="000916AF" w:rsidRPr="007A7094">
        <w:t>s of DAAs</w:t>
      </w:r>
      <w:r w:rsidR="00B66222" w:rsidRPr="007A7094">
        <w:t xml:space="preserve"> to the previous era of interferon-based treatments</w:t>
      </w:r>
      <w:r w:rsidR="000916AF" w:rsidRPr="007A7094">
        <w:t xml:space="preserve"> linked to</w:t>
      </w:r>
      <w:r w:rsidR="00B66222" w:rsidRPr="007A7094">
        <w:t xml:space="preserve"> dubious </w:t>
      </w:r>
      <w:r w:rsidR="000916AF" w:rsidRPr="007A7094">
        <w:t xml:space="preserve">levels of </w:t>
      </w:r>
      <w:r w:rsidR="00B66222" w:rsidRPr="007A7094">
        <w:t>effectiveness with extremely difficult to manage side-effects (</w:t>
      </w:r>
      <w:r w:rsidR="00A45D47" w:rsidRPr="007A7094">
        <w:t>Hopwood and Treloar, 2005; Dore and Feld, 2015</w:t>
      </w:r>
      <w:r w:rsidR="00B66222" w:rsidRPr="007A7094">
        <w:t xml:space="preserve">). DAAs enact a rupture in the constitution of hepatitis C treatment. Not only do they afford the promise of cure at the level of </w:t>
      </w:r>
      <w:r w:rsidR="000916AF" w:rsidRPr="007A7094">
        <w:t xml:space="preserve">the </w:t>
      </w:r>
      <w:r w:rsidR="00B66222" w:rsidRPr="007A7094">
        <w:t xml:space="preserve">individual, but they make possible the promise of a future without hepatitis C. Treatments promising cure of infection </w:t>
      </w:r>
      <w:r w:rsidR="007645F7" w:rsidRPr="007A7094">
        <w:t xml:space="preserve">also potentiate, for the first time without vaccination, elimination of an infectious disease </w:t>
      </w:r>
      <w:r w:rsidR="00A45D47" w:rsidRPr="007A7094">
        <w:t>as a public health threat</w:t>
      </w:r>
      <w:r w:rsidR="007645F7" w:rsidRPr="007A7094">
        <w:t>. This idea – of viral elimination end</w:t>
      </w:r>
      <w:r w:rsidR="000916AF" w:rsidRPr="007A7094">
        <w:t xml:space="preserve">ing </w:t>
      </w:r>
      <w:r w:rsidR="007645F7" w:rsidRPr="007A7094">
        <w:t>hepatitis C – has been enacted into global health strategy by the World Health Organization (WHO) among other actors. The WHO has promoted a number of targets to mobilise global efforts towards the elimination of hepatitis C as a public health threat by 2030 (WHO, 2016</w:t>
      </w:r>
      <w:r w:rsidR="00477F5C" w:rsidRPr="007A7094">
        <w:t>a,b</w:t>
      </w:r>
      <w:r w:rsidR="007645F7" w:rsidRPr="007A7094">
        <w:t>). These targets, made possible by the promise of DAAs, shap</w:t>
      </w:r>
      <w:r w:rsidR="000916AF" w:rsidRPr="007A7094">
        <w:t>e</w:t>
      </w:r>
      <w:r w:rsidR="007645F7" w:rsidRPr="007A7094">
        <w:t xml:space="preserve"> the field of hepatitis C treatment </w:t>
      </w:r>
      <w:r w:rsidR="00EA7EC8" w:rsidRPr="007A7094">
        <w:t xml:space="preserve">in relation to </w:t>
      </w:r>
      <w:r w:rsidR="000916AF" w:rsidRPr="007A7094">
        <w:t xml:space="preserve">a </w:t>
      </w:r>
      <w:r w:rsidR="00EA7EC8" w:rsidRPr="007A7094">
        <w:t>viral</w:t>
      </w:r>
      <w:r w:rsidR="007645F7" w:rsidRPr="007A7094">
        <w:t xml:space="preserve"> elimination </w:t>
      </w:r>
      <w:r w:rsidR="000916AF" w:rsidRPr="007A7094">
        <w:t>future</w:t>
      </w:r>
      <w:r w:rsidR="007645F7" w:rsidRPr="007A7094">
        <w:t xml:space="preserve"> (Lancaster et al., 2019).      </w:t>
      </w:r>
    </w:p>
    <w:p w14:paraId="7E1F67B7" w14:textId="7BA986E6" w:rsidR="00B66222" w:rsidRPr="007A7094" w:rsidRDefault="00B66222" w:rsidP="00722632">
      <w:pPr>
        <w:spacing w:after="0" w:line="480" w:lineRule="auto"/>
        <w:jc w:val="both"/>
      </w:pPr>
      <w:r w:rsidRPr="007A7094">
        <w:t xml:space="preserve">  </w:t>
      </w:r>
    </w:p>
    <w:p w14:paraId="2DF39452" w14:textId="77777777" w:rsidR="00B66222" w:rsidRPr="007A7094" w:rsidRDefault="00B66222" w:rsidP="00722632">
      <w:pPr>
        <w:spacing w:after="0" w:line="480" w:lineRule="auto"/>
        <w:jc w:val="both"/>
      </w:pPr>
    </w:p>
    <w:p w14:paraId="51B2DA18" w14:textId="7080B290" w:rsidR="005F59CB" w:rsidRPr="007A7094" w:rsidRDefault="00737C8A" w:rsidP="00722632">
      <w:pPr>
        <w:spacing w:after="0" w:line="480" w:lineRule="auto"/>
        <w:jc w:val="both"/>
      </w:pPr>
      <w:r w:rsidRPr="007A7094">
        <w:t>Yet, t</w:t>
      </w:r>
      <w:r w:rsidR="00101E08" w:rsidRPr="007A7094">
        <w:t xml:space="preserve">here </w:t>
      </w:r>
      <w:r w:rsidR="00873BA4" w:rsidRPr="007A7094">
        <w:t>has been some</w:t>
      </w:r>
      <w:r w:rsidR="00101E08" w:rsidRPr="007A7094">
        <w:t xml:space="preserve"> controversy concerning the curative potential of new treatments for hepatitis C</w:t>
      </w:r>
      <w:r w:rsidR="008D7073" w:rsidRPr="007A7094">
        <w:t xml:space="preserve"> </w:t>
      </w:r>
      <w:r w:rsidRPr="007A7094">
        <w:t>(Rhodes et al., 2019)</w:t>
      </w:r>
      <w:r w:rsidR="00D53B34" w:rsidRPr="007A7094">
        <w:t>.</w:t>
      </w:r>
      <w:r w:rsidR="00101E08" w:rsidRPr="007A7094">
        <w:t xml:space="preserve"> This part</w:t>
      </w:r>
      <w:r w:rsidR="00033ED2" w:rsidRPr="007A7094">
        <w:t>ly relates</w:t>
      </w:r>
      <w:r w:rsidR="00101E08" w:rsidRPr="007A7094">
        <w:t xml:space="preserve"> to a review of the Cochrane </w:t>
      </w:r>
      <w:r w:rsidR="00DA71C2" w:rsidRPr="007A7094">
        <w:t>C</w:t>
      </w:r>
      <w:r w:rsidR="00101E08" w:rsidRPr="007A7094">
        <w:t>ollaboration</w:t>
      </w:r>
      <w:r w:rsidR="00D53B34" w:rsidRPr="007A7094">
        <w:t xml:space="preserve"> </w:t>
      </w:r>
      <w:r w:rsidR="00D53B34" w:rsidRPr="007A7094">
        <w:lastRenderedPageBreak/>
        <w:t>(Jakobsen et al., 2017)</w:t>
      </w:r>
      <w:r w:rsidR="00101E08" w:rsidRPr="007A7094">
        <w:t>,</w:t>
      </w:r>
      <w:r w:rsidR="00D53B34" w:rsidRPr="007A7094">
        <w:t xml:space="preserve"> </w:t>
      </w:r>
      <w:r w:rsidR="00101E08" w:rsidRPr="007A7094">
        <w:t>also published</w:t>
      </w:r>
      <w:r w:rsidR="00DA61CA" w:rsidRPr="007A7094">
        <w:t xml:space="preserve"> </w:t>
      </w:r>
      <w:r w:rsidR="00101E08" w:rsidRPr="007A7094">
        <w:t>by th</w:t>
      </w:r>
      <w:r w:rsidR="00DA61CA" w:rsidRPr="007A7094">
        <w:t xml:space="preserve">e </w:t>
      </w:r>
      <w:r w:rsidR="00DA61CA" w:rsidRPr="007A7094">
        <w:rPr>
          <w:i/>
        </w:rPr>
        <w:t>British Medical Journal</w:t>
      </w:r>
      <w:r w:rsidR="00D53B34" w:rsidRPr="007A7094">
        <w:t xml:space="preserve"> (Jakobsen et al., 2018),</w:t>
      </w:r>
      <w:r w:rsidR="00033ED2" w:rsidRPr="007A7094">
        <w:t xml:space="preserve"> to which there have been multiple responses</w:t>
      </w:r>
      <w:r w:rsidR="00D53B34" w:rsidRPr="007A7094">
        <w:t xml:space="preserve"> (European Association for the Study of the Liver, 2017; World Hepatitis Alliance, 2017; European Liver Patients’ Association, 2017; Gastroenterological Society of Australia, 2017; Hepatitis C Coalition, 2017; Powderly et al., 2017; Foster et al., 2018; Cooke et al., 2018; Barclay et al., 2018; Koretz et al., 2018a,b,c,d). </w:t>
      </w:r>
      <w:r w:rsidR="00101E08" w:rsidRPr="007A7094">
        <w:t xml:space="preserve">The Cochrane </w:t>
      </w:r>
      <w:r w:rsidR="00DA71C2" w:rsidRPr="007A7094">
        <w:t xml:space="preserve">review casts </w:t>
      </w:r>
      <w:r w:rsidR="00101E08" w:rsidRPr="007A7094">
        <w:t>doubt</w:t>
      </w:r>
      <w:r w:rsidR="00DA71C2" w:rsidRPr="007A7094">
        <w:t xml:space="preserve"> on</w:t>
      </w:r>
      <w:r w:rsidR="00101E08" w:rsidRPr="007A7094">
        <w:t xml:space="preserve"> tacitly accepted knowledge </w:t>
      </w:r>
      <w:r w:rsidR="00DA61CA" w:rsidRPr="007A7094">
        <w:t>in</w:t>
      </w:r>
      <w:r w:rsidR="00101E08" w:rsidRPr="007A7094">
        <w:t xml:space="preserve"> the</w:t>
      </w:r>
      <w:r w:rsidR="00DA71C2" w:rsidRPr="007A7094">
        <w:t xml:space="preserve"> </w:t>
      </w:r>
      <w:r w:rsidR="00DA61CA" w:rsidRPr="007A7094">
        <w:t xml:space="preserve">clinical practice </w:t>
      </w:r>
      <w:r w:rsidR="00DA71C2" w:rsidRPr="007A7094">
        <w:t>of</w:t>
      </w:r>
      <w:r w:rsidR="00101E08" w:rsidRPr="007A7094">
        <w:t xml:space="preserve"> hepatitis C treatment</w:t>
      </w:r>
      <w:r w:rsidR="00DA71C2" w:rsidRPr="007A7094">
        <w:t>: that</w:t>
      </w:r>
      <w:r w:rsidR="00DA61CA" w:rsidRPr="007A7094">
        <w:t xml:space="preserve"> DAA treatments can cure individuals of their hepatitis C infection, and that such viral cure confers health benefit</w:t>
      </w:r>
      <w:r w:rsidR="00D53B34" w:rsidRPr="007A7094">
        <w:t xml:space="preserve"> (Simmons et al., 2015; Cheung et al., 2016)</w:t>
      </w:r>
      <w:r w:rsidR="00C675AC" w:rsidRPr="007A7094">
        <w:t xml:space="preserve">. </w:t>
      </w:r>
      <w:r w:rsidR="00C41022" w:rsidRPr="007A7094">
        <w:t>B</w:t>
      </w:r>
      <w:r w:rsidR="00DA71C2" w:rsidRPr="007A7094">
        <w:t xml:space="preserve">ased on its review of 138 randomised controlled trials (RCTs) of the clinical effects of </w:t>
      </w:r>
      <w:r w:rsidR="00321333" w:rsidRPr="007A7094">
        <w:t>DAAs</w:t>
      </w:r>
      <w:r w:rsidR="00DA71C2" w:rsidRPr="007A7094">
        <w:t xml:space="preserve">, </w:t>
      </w:r>
      <w:r w:rsidR="00DA61CA" w:rsidRPr="007A7094">
        <w:t>the Cochrane review</w:t>
      </w:r>
      <w:r w:rsidR="00DA71C2" w:rsidRPr="007A7094">
        <w:t xml:space="preserve"> </w:t>
      </w:r>
      <w:r w:rsidR="005F59CB" w:rsidRPr="007A7094">
        <w:t>states that there is</w:t>
      </w:r>
      <w:r w:rsidR="00DA71C2" w:rsidRPr="007A7094">
        <w:t xml:space="preserve"> “no evidence” to judge if DAAs reduce mortality or other liver complications from chronic hepatitis</w:t>
      </w:r>
      <w:r w:rsidR="00C11164" w:rsidRPr="007A7094">
        <w:t xml:space="preserve"> </w:t>
      </w:r>
      <w:r w:rsidR="00DA71C2" w:rsidRPr="007A7094">
        <w:t>C</w:t>
      </w:r>
      <w:r w:rsidR="00D53B34" w:rsidRPr="007A7094">
        <w:t xml:space="preserve"> (Jakobsen et al., 2018)</w:t>
      </w:r>
      <w:r w:rsidR="00DA71C2" w:rsidRPr="007A7094">
        <w:t>.</w:t>
      </w:r>
      <w:r w:rsidR="002B3D5D" w:rsidRPr="007A7094">
        <w:t xml:space="preserve"> </w:t>
      </w:r>
      <w:r w:rsidR="00946EEE" w:rsidRPr="007A7094">
        <w:t>T</w:t>
      </w:r>
      <w:r w:rsidR="00DA71C2" w:rsidRPr="007A7094">
        <w:t>his work</w:t>
      </w:r>
      <w:r w:rsidR="005F59CB" w:rsidRPr="007A7094">
        <w:t xml:space="preserve"> </w:t>
      </w:r>
      <w:r w:rsidR="00DA71C2" w:rsidRPr="007A7094">
        <w:t>question</w:t>
      </w:r>
      <w:r w:rsidR="00DA61CA" w:rsidRPr="007A7094">
        <w:t>s</w:t>
      </w:r>
      <w:r w:rsidR="00DA71C2" w:rsidRPr="007A7094">
        <w:t xml:space="preserve"> </w:t>
      </w:r>
      <w:r w:rsidR="005F59CB" w:rsidRPr="007A7094">
        <w:t xml:space="preserve">the routine use of Sustained Virological Response (SVR) – the absence or near absence of virus in the blood – as a surrogate </w:t>
      </w:r>
      <w:r w:rsidR="00DA61CA" w:rsidRPr="007A7094">
        <w:t xml:space="preserve">indicating </w:t>
      </w:r>
      <w:r w:rsidR="005F59CB" w:rsidRPr="007A7094">
        <w:t>clinical benefit</w:t>
      </w:r>
      <w:r w:rsidR="00DA61CA" w:rsidRPr="007A7094">
        <w:t xml:space="preserve">s resulting from </w:t>
      </w:r>
      <w:r w:rsidR="005F59CB" w:rsidRPr="007A7094">
        <w:t xml:space="preserve">viral cure. </w:t>
      </w:r>
      <w:r w:rsidR="00D14447" w:rsidRPr="007A7094">
        <w:t>It is also noted that</w:t>
      </w:r>
      <w:r w:rsidR="00773704" w:rsidRPr="007A7094">
        <w:t xml:space="preserve"> DAAs </w:t>
      </w:r>
      <w:r w:rsidR="00D14447" w:rsidRPr="007A7094">
        <w:t xml:space="preserve">have </w:t>
      </w:r>
      <w:r w:rsidR="002C185D" w:rsidRPr="007A7094">
        <w:t xml:space="preserve">“high costs” </w:t>
      </w:r>
      <w:r w:rsidR="00D14447" w:rsidRPr="007A7094">
        <w:t>that</w:t>
      </w:r>
      <w:r w:rsidR="002C185D" w:rsidRPr="007A7094">
        <w:t xml:space="preserve"> are “unaffordable globally</w:t>
      </w:r>
      <w:r w:rsidR="00D14447" w:rsidRPr="007A7094">
        <w:t xml:space="preserve">”, and </w:t>
      </w:r>
      <w:r w:rsidR="00DA61CA" w:rsidRPr="007A7094">
        <w:t xml:space="preserve">that </w:t>
      </w:r>
      <w:r w:rsidR="002C185D" w:rsidRPr="007A7094">
        <w:t>international</w:t>
      </w:r>
      <w:r w:rsidR="00DA61CA" w:rsidRPr="007A7094">
        <w:t xml:space="preserve"> </w:t>
      </w:r>
      <w:r w:rsidR="002C185D" w:rsidRPr="007A7094">
        <w:t>guidelines recommend early treatment for all with chronic hepatitis C</w:t>
      </w:r>
      <w:r w:rsidR="00D53B34" w:rsidRPr="007A7094">
        <w:t xml:space="preserve"> (European Association for the Study of the Liver, 2018)</w:t>
      </w:r>
      <w:r w:rsidR="002C185D" w:rsidRPr="007A7094">
        <w:t xml:space="preserve">. Against the momentum of </w:t>
      </w:r>
      <w:r w:rsidR="00533ADB" w:rsidRPr="007A7094">
        <w:t>high</w:t>
      </w:r>
      <w:r w:rsidR="007603ED" w:rsidRPr="007A7094">
        <w:t>ly</w:t>
      </w:r>
      <w:r w:rsidR="00533ADB" w:rsidRPr="007A7094">
        <w:t xml:space="preserve"> profile</w:t>
      </w:r>
      <w:r w:rsidR="007603ED" w:rsidRPr="007A7094">
        <w:t>d</w:t>
      </w:r>
      <w:r w:rsidR="00533ADB" w:rsidRPr="007A7094">
        <w:t xml:space="preserve"> </w:t>
      </w:r>
      <w:r w:rsidR="002C185D" w:rsidRPr="007A7094">
        <w:t>promise afforded by the scaling-up of DAAs to eliminate hepatitis C as a public health threat globally</w:t>
      </w:r>
      <w:r w:rsidR="00D53B34" w:rsidRPr="007A7094">
        <w:t xml:space="preserve"> (</w:t>
      </w:r>
      <w:r w:rsidR="000467E4" w:rsidRPr="007A7094">
        <w:t>World Health Organization</w:t>
      </w:r>
      <w:r w:rsidR="002C185D" w:rsidRPr="007A7094">
        <w:t>,</w:t>
      </w:r>
      <w:r w:rsidR="00D874C2" w:rsidRPr="007A7094">
        <w:t xml:space="preserve"> 2016a,b),</w:t>
      </w:r>
      <w:r w:rsidR="002C185D" w:rsidRPr="007A7094">
        <w:t xml:space="preserve"> </w:t>
      </w:r>
      <w:r w:rsidR="005F59CB" w:rsidRPr="007A7094">
        <w:t>the authors of the Cochrane Collaboration</w:t>
      </w:r>
      <w:r w:rsidR="002C185D" w:rsidRPr="007A7094">
        <w:t xml:space="preserve"> use their evidence to</w:t>
      </w:r>
      <w:r w:rsidR="005F59CB" w:rsidRPr="007A7094">
        <w:t xml:space="preserve"> call upon clinicians</w:t>
      </w:r>
      <w:r w:rsidR="00477F5C" w:rsidRPr="007A7094">
        <w:t xml:space="preserve"> and practitioners</w:t>
      </w:r>
      <w:r w:rsidR="005F59CB" w:rsidRPr="007A7094">
        <w:t xml:space="preserve"> to </w:t>
      </w:r>
      <w:r w:rsidR="00533ADB" w:rsidRPr="007A7094">
        <w:t>highlight</w:t>
      </w:r>
      <w:r w:rsidR="005F59CB" w:rsidRPr="007A7094">
        <w:t xml:space="preserve"> the “uncertain clinical benefit” as well as “risks and costs” of DAAs</w:t>
      </w:r>
      <w:r w:rsidR="00D874C2" w:rsidRPr="007A7094">
        <w:t xml:space="preserve"> (Jakobsen et al., 2018)</w:t>
      </w:r>
      <w:r w:rsidR="00D14447" w:rsidRPr="007A7094">
        <w:t xml:space="preserve">. </w:t>
      </w:r>
      <w:r w:rsidR="007603ED" w:rsidRPr="007A7094">
        <w:t>T</w:t>
      </w:r>
      <w:r w:rsidR="00D14447" w:rsidRPr="007A7094">
        <w:t xml:space="preserve">hey </w:t>
      </w:r>
      <w:r w:rsidR="00533ADB" w:rsidRPr="007A7094">
        <w:t>call</w:t>
      </w:r>
      <w:r w:rsidR="002C185D" w:rsidRPr="007A7094">
        <w:t xml:space="preserve"> for greater</w:t>
      </w:r>
      <w:r w:rsidR="005F59CB" w:rsidRPr="007A7094">
        <w:t xml:space="preserve"> </w:t>
      </w:r>
      <w:r w:rsidR="00533ADB" w:rsidRPr="007A7094">
        <w:t xml:space="preserve">care </w:t>
      </w:r>
      <w:r w:rsidR="00C41022" w:rsidRPr="007A7094">
        <w:t xml:space="preserve">in </w:t>
      </w:r>
      <w:r w:rsidR="00533ADB" w:rsidRPr="007A7094">
        <w:t>distinguishing</w:t>
      </w:r>
      <w:r w:rsidR="002C185D" w:rsidRPr="007A7094">
        <w:t xml:space="preserve"> </w:t>
      </w:r>
      <w:r w:rsidR="005F59CB" w:rsidRPr="007A7094">
        <w:t>between</w:t>
      </w:r>
      <w:r w:rsidR="002C185D" w:rsidRPr="007A7094">
        <w:t xml:space="preserve"> the</w:t>
      </w:r>
      <w:r w:rsidR="005F59CB" w:rsidRPr="007A7094">
        <w:t xml:space="preserve"> </w:t>
      </w:r>
      <w:r w:rsidR="00533ADB" w:rsidRPr="007A7094">
        <w:t>cure</w:t>
      </w:r>
      <w:r w:rsidR="007603ED" w:rsidRPr="007A7094">
        <w:t xml:space="preserve"> of infection </w:t>
      </w:r>
      <w:r w:rsidR="00C41022" w:rsidRPr="007A7094">
        <w:t xml:space="preserve">(indicated </w:t>
      </w:r>
      <w:r w:rsidR="00C12E44" w:rsidRPr="007A7094">
        <w:t>by</w:t>
      </w:r>
      <w:r w:rsidR="00C41022" w:rsidRPr="007A7094">
        <w:t xml:space="preserve"> surrogate markers) </w:t>
      </w:r>
      <w:r w:rsidR="007603ED" w:rsidRPr="007A7094">
        <w:t>a</w:t>
      </w:r>
      <w:r w:rsidR="005F59CB" w:rsidRPr="007A7094">
        <w:t>nd</w:t>
      </w:r>
      <w:r w:rsidR="002C185D" w:rsidRPr="007A7094">
        <w:t xml:space="preserve"> </w:t>
      </w:r>
      <w:r w:rsidR="007603ED" w:rsidRPr="007A7094">
        <w:t>the cure of disease</w:t>
      </w:r>
      <w:r w:rsidR="00C41022" w:rsidRPr="007A7094">
        <w:t xml:space="preserve"> (indicated clinically)</w:t>
      </w:r>
      <w:r w:rsidR="005F59CB" w:rsidRPr="007A7094">
        <w:t>.</w:t>
      </w:r>
    </w:p>
    <w:p w14:paraId="3B09BC98" w14:textId="7F94E869" w:rsidR="002C185D" w:rsidRPr="007A7094" w:rsidRDefault="002C185D" w:rsidP="00722632">
      <w:pPr>
        <w:spacing w:after="0" w:line="480" w:lineRule="auto"/>
        <w:jc w:val="both"/>
      </w:pPr>
    </w:p>
    <w:p w14:paraId="711FE0F5" w14:textId="5D490AFF" w:rsidR="00DE3F69" w:rsidRPr="007A7094" w:rsidRDefault="00B63EBF" w:rsidP="00722632">
      <w:pPr>
        <w:spacing w:after="0" w:line="480" w:lineRule="auto"/>
        <w:jc w:val="both"/>
      </w:pPr>
      <w:r w:rsidRPr="007A7094">
        <w:t xml:space="preserve">We do </w:t>
      </w:r>
      <w:r w:rsidR="00FD1498" w:rsidRPr="007A7094">
        <w:t xml:space="preserve">not </w:t>
      </w:r>
      <w:r w:rsidRPr="007A7094">
        <w:t xml:space="preserve">want to take issue with </w:t>
      </w:r>
      <w:r w:rsidR="004566B4" w:rsidRPr="007A7094">
        <w:t xml:space="preserve">the strength or otherwise of evidence produced by the Cochrane review. Others </w:t>
      </w:r>
      <w:r w:rsidR="00033ED2" w:rsidRPr="007A7094">
        <w:t>have done</w:t>
      </w:r>
      <w:r w:rsidR="004566B4" w:rsidRPr="007A7094">
        <w:t xml:space="preserve"> this</w:t>
      </w:r>
      <w:r w:rsidR="00D874C2" w:rsidRPr="007A7094">
        <w:t xml:space="preserve"> (European Association for the Study of the Liver, 2017; World Hepatitis Alliance, 2017; European Liver Patients’ Association, 2017; Gastroenterological Society of Australia, 2017; Hepatitis C Coalition, 2017; Powderly et al., 2017; Foster et al., 2018; Cooke et al., 2018; Barclay et al., 2018; Koretz et al., 2018a,b,c,d)</w:t>
      </w:r>
      <w:r w:rsidR="004566B4" w:rsidRPr="007A7094">
        <w:t>.</w:t>
      </w:r>
      <w:r w:rsidR="00D874C2" w:rsidRPr="007A7094">
        <w:t xml:space="preserve"> </w:t>
      </w:r>
      <w:r w:rsidR="004566B4" w:rsidRPr="007A7094">
        <w:t xml:space="preserve">What we want to do is different. We want to offer a perspective </w:t>
      </w:r>
      <w:r w:rsidR="004566B4" w:rsidRPr="007A7094">
        <w:lastRenderedPageBreak/>
        <w:t xml:space="preserve">from critical social science which helps think differently, and </w:t>
      </w:r>
      <w:r w:rsidR="004566B4" w:rsidRPr="007A7094">
        <w:rPr>
          <w:i/>
        </w:rPr>
        <w:t>more carefully</w:t>
      </w:r>
      <w:r w:rsidR="004566B4" w:rsidRPr="007A7094">
        <w:t xml:space="preserve">, about evidence related to </w:t>
      </w:r>
      <w:r w:rsidR="00485C08" w:rsidRPr="007A7094">
        <w:t xml:space="preserve">public </w:t>
      </w:r>
      <w:r w:rsidR="004566B4" w:rsidRPr="007A7094">
        <w:t>health intervention</w:t>
      </w:r>
      <w:r w:rsidR="00C41022" w:rsidRPr="007A7094">
        <w:t xml:space="preserve"> effect</w:t>
      </w:r>
      <w:r w:rsidR="004566B4" w:rsidRPr="007A7094">
        <w:t xml:space="preserve">s. We </w:t>
      </w:r>
      <w:r w:rsidR="00E440FA" w:rsidRPr="007A7094">
        <w:t xml:space="preserve">want to </w:t>
      </w:r>
      <w:r w:rsidR="00D65D97" w:rsidRPr="007A7094">
        <w:t xml:space="preserve">consider this moment of </w:t>
      </w:r>
      <w:r w:rsidR="004566B4" w:rsidRPr="007A7094">
        <w:t>controversy</w:t>
      </w:r>
      <w:r w:rsidR="00D65D97" w:rsidRPr="007A7094">
        <w:t xml:space="preserve"> </w:t>
      </w:r>
      <w:r w:rsidR="004566B4" w:rsidRPr="007A7094">
        <w:t>as more</w:t>
      </w:r>
      <w:r w:rsidR="00033ED2" w:rsidRPr="007A7094">
        <w:t xml:space="preserve"> </w:t>
      </w:r>
      <w:r w:rsidR="004566B4" w:rsidRPr="007A7094">
        <w:t xml:space="preserve">than </w:t>
      </w:r>
      <w:r w:rsidR="002D6AEF" w:rsidRPr="007A7094">
        <w:t>a</w:t>
      </w:r>
      <w:r w:rsidR="004566B4" w:rsidRPr="007A7094">
        <w:t xml:space="preserve"> matter of</w:t>
      </w:r>
      <w:r w:rsidR="002D6AEF" w:rsidRPr="007A7094">
        <w:t xml:space="preserve"> method</w:t>
      </w:r>
      <w:r w:rsidR="00A45D47" w:rsidRPr="007A7094">
        <w:t>s</w:t>
      </w:r>
      <w:r w:rsidR="002D6AEF" w:rsidRPr="007A7094">
        <w:t xml:space="preserve"> regarding the most optimal ways of evidencing interventions.</w:t>
      </w:r>
      <w:r w:rsidR="002020BB" w:rsidRPr="007A7094">
        <w:t xml:space="preserve"> We want to push this debate beyond matters of </w:t>
      </w:r>
      <w:r w:rsidR="002020BB" w:rsidRPr="007A7094">
        <w:rPr>
          <w:i/>
        </w:rPr>
        <w:t>epistemology</w:t>
      </w:r>
      <w:r w:rsidR="002020BB" w:rsidRPr="007A7094">
        <w:t xml:space="preserve"> – </w:t>
      </w:r>
      <w:r w:rsidR="00A45D47" w:rsidRPr="007A7094">
        <w:t>how best to know</w:t>
      </w:r>
      <w:r w:rsidR="002020BB" w:rsidRPr="007A7094">
        <w:t xml:space="preserve"> </w:t>
      </w:r>
      <w:r w:rsidR="00A45D47" w:rsidRPr="007A7094">
        <w:t>i</w:t>
      </w:r>
      <w:r w:rsidR="00963DA2" w:rsidRPr="007A7094">
        <w:t>ntervention</w:t>
      </w:r>
      <w:r w:rsidR="00A45D47" w:rsidRPr="007A7094">
        <w:t xml:space="preserve"> effects</w:t>
      </w:r>
      <w:r w:rsidR="00963DA2" w:rsidRPr="007A7094">
        <w:t xml:space="preserve"> </w:t>
      </w:r>
      <w:r w:rsidR="002020BB" w:rsidRPr="007A7094">
        <w:t xml:space="preserve">– to </w:t>
      </w:r>
      <w:r w:rsidR="00033ED2" w:rsidRPr="007A7094">
        <w:t>matters</w:t>
      </w:r>
      <w:r w:rsidR="002020BB" w:rsidRPr="007A7094">
        <w:t xml:space="preserve"> </w:t>
      </w:r>
      <w:r w:rsidR="00963DA2" w:rsidRPr="007A7094">
        <w:t xml:space="preserve">of </w:t>
      </w:r>
      <w:r w:rsidR="00963DA2" w:rsidRPr="007A7094">
        <w:rPr>
          <w:i/>
        </w:rPr>
        <w:t>ontology</w:t>
      </w:r>
      <w:r w:rsidR="00963DA2" w:rsidRPr="007A7094">
        <w:t xml:space="preserve"> – how knowledge </w:t>
      </w:r>
      <w:r w:rsidR="00A45D47" w:rsidRPr="007A7094">
        <w:t>brings</w:t>
      </w:r>
      <w:r w:rsidR="00963DA2" w:rsidRPr="007A7094">
        <w:t xml:space="preserve"> interventions </w:t>
      </w:r>
      <w:r w:rsidR="00A45D47" w:rsidRPr="007A7094">
        <w:t xml:space="preserve">and effects </w:t>
      </w:r>
      <w:r w:rsidR="00963DA2" w:rsidRPr="007A7094">
        <w:t xml:space="preserve">into being. </w:t>
      </w:r>
    </w:p>
    <w:p w14:paraId="666F4FD5" w14:textId="77777777" w:rsidR="00DE3F69" w:rsidRPr="007A7094" w:rsidRDefault="00DE3F69" w:rsidP="00722632">
      <w:pPr>
        <w:spacing w:after="0" w:line="480" w:lineRule="auto"/>
        <w:jc w:val="both"/>
      </w:pPr>
    </w:p>
    <w:p w14:paraId="19DAD7EF" w14:textId="5637B0C0" w:rsidR="00963DA2" w:rsidRPr="007A7094" w:rsidRDefault="00963DA2" w:rsidP="00722632">
      <w:pPr>
        <w:spacing w:after="0" w:line="480" w:lineRule="auto"/>
        <w:jc w:val="both"/>
      </w:pPr>
      <w:r w:rsidRPr="007A7094">
        <w:t xml:space="preserve">In the field of public health, we are much more used to thinking epistemologically. </w:t>
      </w:r>
      <w:r w:rsidR="005E24BB" w:rsidRPr="007A7094">
        <w:t xml:space="preserve">The field of evidence-based intervention is dominated by questions of method in relation to how science best knows an intervention and its effects (Sackett et al, 1996, 2000). This is an established performance with a familiar narrative, in which the RCT </w:t>
      </w:r>
      <w:r w:rsidR="00A45D47" w:rsidRPr="007A7094">
        <w:t>(and reviews of these) constitute</w:t>
      </w:r>
      <w:r w:rsidR="005E24BB" w:rsidRPr="007A7094">
        <w:t xml:space="preserve"> the optimum way of knowing. The RCT is the standard against which being ‘evidence-based’ is measured (Timmermans and Berg, 2003). The Cochrane </w:t>
      </w:r>
      <w:r w:rsidR="000916AF" w:rsidRPr="007A7094">
        <w:t>Collaboration</w:t>
      </w:r>
      <w:r w:rsidR="000B51CB" w:rsidRPr="007A7094">
        <w:t>,</w:t>
      </w:r>
      <w:r w:rsidR="005E24BB" w:rsidRPr="007A7094">
        <w:t xml:space="preserve"> </w:t>
      </w:r>
      <w:r w:rsidR="000916AF" w:rsidRPr="007A7094">
        <w:t xml:space="preserve">which produces a </w:t>
      </w:r>
      <w:r w:rsidR="005E24BB" w:rsidRPr="007A7094">
        <w:t>library of systematic and meta-analysis reviews</w:t>
      </w:r>
      <w:r w:rsidR="000916AF" w:rsidRPr="007A7094">
        <w:t xml:space="preserve"> in the field of health care</w:t>
      </w:r>
      <w:r w:rsidR="000B51CB" w:rsidRPr="007A7094">
        <w:t>,</w:t>
      </w:r>
      <w:r w:rsidR="005E24BB" w:rsidRPr="007A7094">
        <w:t xml:space="preserve"> is a defining</w:t>
      </w:r>
      <w:r w:rsidR="005308E3" w:rsidRPr="007A7094">
        <w:t xml:space="preserve"> benchmark in the standardisation of </w:t>
      </w:r>
      <w:r w:rsidR="005E24BB" w:rsidRPr="007A7094">
        <w:t>evidence-based medicine (</w:t>
      </w:r>
      <w:r w:rsidR="00A45D47" w:rsidRPr="007A7094">
        <w:t>Levin, 2001</w:t>
      </w:r>
      <w:r w:rsidR="005308E3" w:rsidRPr="007A7094">
        <w:t>; See also: www.cochrane.org</w:t>
      </w:r>
      <w:r w:rsidR="005E24BB" w:rsidRPr="007A7094">
        <w:t xml:space="preserve">). </w:t>
      </w:r>
      <w:r w:rsidR="00F00AF4" w:rsidRPr="007A7094">
        <w:t>H</w:t>
      </w:r>
      <w:r w:rsidR="000B51CB" w:rsidRPr="007A7094">
        <w:t xml:space="preserve">owever, </w:t>
      </w:r>
      <w:r w:rsidR="00F00AF4" w:rsidRPr="007A7094">
        <w:t xml:space="preserve">we </w:t>
      </w:r>
      <w:r w:rsidR="000B51CB" w:rsidRPr="007A7094">
        <w:t xml:space="preserve">wish to think with evidence in a way which extends beyond matters of method and epistemology. Following a tradition in the field of science and technology studies (STS), we accentuate a </w:t>
      </w:r>
      <w:r w:rsidR="000B51CB" w:rsidRPr="007A7094">
        <w:rPr>
          <w:i/>
        </w:rPr>
        <w:t>different way of thinking</w:t>
      </w:r>
      <w:r w:rsidR="000B51CB" w:rsidRPr="007A7094">
        <w:t xml:space="preserve"> with evidence. This is to consider </w:t>
      </w:r>
      <w:r w:rsidR="000B51CB" w:rsidRPr="007A7094">
        <w:rPr>
          <w:i/>
        </w:rPr>
        <w:t>evidencing as performative</w:t>
      </w:r>
      <w:r w:rsidR="000B51CB" w:rsidRPr="007A7094">
        <w:t xml:space="preserve">. We want to draw attention to the performative work that evidence-making </w:t>
      </w:r>
      <w:r w:rsidR="00B44FC4" w:rsidRPr="007A7094">
        <w:t>practices are</w:t>
      </w:r>
      <w:r w:rsidR="000B51CB" w:rsidRPr="007A7094">
        <w:t xml:space="preserve"> doing. </w:t>
      </w:r>
      <w:r w:rsidR="00DE3F69" w:rsidRPr="007A7094">
        <w:t>In contrast to evidence-based intervention approaches, w</w:t>
      </w:r>
      <w:r w:rsidR="000B51CB" w:rsidRPr="007A7094">
        <w:t xml:space="preserve">e </w:t>
      </w:r>
      <w:r w:rsidR="00DE3F69" w:rsidRPr="007A7094">
        <w:t xml:space="preserve">describe </w:t>
      </w:r>
      <w:r w:rsidR="00101606" w:rsidRPr="007A7094">
        <w:t>this as</w:t>
      </w:r>
      <w:r w:rsidR="000916AF" w:rsidRPr="007A7094">
        <w:t xml:space="preserve"> </w:t>
      </w:r>
      <w:r w:rsidR="00DE3F69" w:rsidRPr="007A7094">
        <w:t>an</w:t>
      </w:r>
      <w:r w:rsidR="000B51CB" w:rsidRPr="007A7094">
        <w:t xml:space="preserve"> </w:t>
      </w:r>
      <w:r w:rsidR="00C85BE5" w:rsidRPr="007A7094">
        <w:t>‘</w:t>
      </w:r>
      <w:r w:rsidR="000916AF" w:rsidRPr="007A7094">
        <w:t>evidence-making intervention</w:t>
      </w:r>
      <w:r w:rsidR="00C85BE5" w:rsidRPr="007A7094">
        <w:t>’</w:t>
      </w:r>
      <w:r w:rsidR="00DE3F69" w:rsidRPr="007A7094">
        <w:t xml:space="preserve"> approach (Rhodes et al., 2</w:t>
      </w:r>
      <w:r w:rsidR="000916AF" w:rsidRPr="007A7094">
        <w:t>016; Rhodes and Lancaster, 2019</w:t>
      </w:r>
      <w:r w:rsidR="000E1964" w:rsidRPr="007A7094">
        <w:t>a</w:t>
      </w:r>
      <w:r w:rsidR="00DE3F69" w:rsidRPr="007A7094">
        <w:t>)</w:t>
      </w:r>
      <w:r w:rsidR="000B51CB" w:rsidRPr="007A7094">
        <w:t>.</w:t>
      </w:r>
      <w:r w:rsidR="005E24BB" w:rsidRPr="007A7094">
        <w:t xml:space="preserve"> </w:t>
      </w:r>
      <w:r w:rsidR="00101606" w:rsidRPr="007A7094">
        <w:t>Here, w</w:t>
      </w:r>
      <w:r w:rsidR="00DE3F69" w:rsidRPr="007A7094">
        <w:t>e are interested in how evidence controversies –</w:t>
      </w:r>
      <w:r w:rsidR="00101606" w:rsidRPr="007A7094">
        <w:t xml:space="preserve"> </w:t>
      </w:r>
      <w:r w:rsidR="00DE3F69" w:rsidRPr="007A7094">
        <w:t>concerning the curative potential of DAAs</w:t>
      </w:r>
      <w:r w:rsidR="005D0860" w:rsidRPr="007A7094">
        <w:t xml:space="preserve"> </w:t>
      </w:r>
      <w:r w:rsidR="00DE3F69" w:rsidRPr="007A7094">
        <w:t xml:space="preserve">– </w:t>
      </w:r>
      <w:r w:rsidR="005D0860" w:rsidRPr="007A7094">
        <w:t xml:space="preserve">can be navigated. How are patients and clinicians and practitioners and scientists and policy-makers to make sense of evidence controversy? How can we generate an approach which enables dialogue across different constitutions of </w:t>
      </w:r>
      <w:r w:rsidR="005C2541" w:rsidRPr="007A7094">
        <w:t xml:space="preserve">evidence and </w:t>
      </w:r>
      <w:r w:rsidR="005D0860" w:rsidRPr="007A7094">
        <w:t xml:space="preserve">intervention? </w:t>
      </w:r>
      <w:r w:rsidR="005C2541" w:rsidRPr="007A7094">
        <w:t>H</w:t>
      </w:r>
      <w:r w:rsidR="005D0860" w:rsidRPr="007A7094">
        <w:t xml:space="preserve">ow can we </w:t>
      </w:r>
      <w:r w:rsidR="00101606" w:rsidRPr="007A7094">
        <w:t>enable</w:t>
      </w:r>
      <w:r w:rsidR="005D0860" w:rsidRPr="007A7094">
        <w:t xml:space="preserve"> an approach to evidencing which offers a more careful way of knowing?   </w:t>
      </w:r>
      <w:r w:rsidR="00DE3F69" w:rsidRPr="007A7094">
        <w:t xml:space="preserve">   </w:t>
      </w:r>
      <w:r w:rsidR="005E24BB" w:rsidRPr="007A7094">
        <w:t xml:space="preserve">   </w:t>
      </w:r>
    </w:p>
    <w:p w14:paraId="5FFAEE54" w14:textId="77777777" w:rsidR="004C6309" w:rsidRPr="007A7094" w:rsidRDefault="004C6309" w:rsidP="00722632">
      <w:pPr>
        <w:spacing w:after="0" w:line="480" w:lineRule="auto"/>
        <w:jc w:val="both"/>
      </w:pPr>
    </w:p>
    <w:p w14:paraId="32141DBA" w14:textId="042BAA5C" w:rsidR="00DE3F69" w:rsidRPr="007A7094" w:rsidRDefault="00401ED7" w:rsidP="00722632">
      <w:pPr>
        <w:spacing w:after="0" w:line="480" w:lineRule="auto"/>
        <w:jc w:val="both"/>
        <w:rPr>
          <w:b/>
          <w:sz w:val="28"/>
          <w:szCs w:val="28"/>
        </w:rPr>
      </w:pPr>
      <w:r w:rsidRPr="007A7094">
        <w:rPr>
          <w:b/>
          <w:sz w:val="28"/>
          <w:szCs w:val="28"/>
        </w:rPr>
        <w:t>P</w:t>
      </w:r>
      <w:r w:rsidR="005D0860" w:rsidRPr="007A7094">
        <w:rPr>
          <w:b/>
          <w:sz w:val="28"/>
          <w:szCs w:val="28"/>
        </w:rPr>
        <w:t>erformativity a</w:t>
      </w:r>
      <w:r w:rsidRPr="007A7094">
        <w:rPr>
          <w:b/>
          <w:sz w:val="28"/>
          <w:szCs w:val="28"/>
        </w:rPr>
        <w:t>nd matters-of-concern</w:t>
      </w:r>
    </w:p>
    <w:p w14:paraId="16110879" w14:textId="4E2A28FC" w:rsidR="00E909A7" w:rsidRPr="007A7094" w:rsidRDefault="00B8054D" w:rsidP="0005633A">
      <w:pPr>
        <w:spacing w:after="0" w:line="480" w:lineRule="auto"/>
        <w:jc w:val="both"/>
        <w:rPr>
          <w:lang w:val="en-AU"/>
        </w:rPr>
      </w:pPr>
      <w:r w:rsidRPr="007A7094">
        <w:lastRenderedPageBreak/>
        <w:t>T</w:t>
      </w:r>
      <w:r w:rsidR="006254B3" w:rsidRPr="007A7094">
        <w:t>he</w:t>
      </w:r>
      <w:r w:rsidR="00EB37E3" w:rsidRPr="007A7094">
        <w:t xml:space="preserve"> analysis we develop below draws on two main concepts: performativity; and matters-of-concern. </w:t>
      </w:r>
      <w:r w:rsidR="00E909A7" w:rsidRPr="007A7094">
        <w:rPr>
          <w:lang w:val="en-AU"/>
        </w:rPr>
        <w:t xml:space="preserve">Performativity </w:t>
      </w:r>
      <w:r w:rsidR="00EB37E3" w:rsidRPr="007A7094">
        <w:rPr>
          <w:lang w:val="en-AU"/>
        </w:rPr>
        <w:t xml:space="preserve">is widely used in the social sciences and </w:t>
      </w:r>
      <w:r w:rsidR="00E909A7" w:rsidRPr="007A7094">
        <w:rPr>
          <w:lang w:val="en-AU"/>
        </w:rPr>
        <w:t>provides an alternative framework for thinking about ‘effects’</w:t>
      </w:r>
      <w:r w:rsidR="00206D7B" w:rsidRPr="007A7094">
        <w:rPr>
          <w:lang w:val="en-AU"/>
        </w:rPr>
        <w:t xml:space="preserve"> which</w:t>
      </w:r>
      <w:r w:rsidR="006254B3" w:rsidRPr="007A7094">
        <w:rPr>
          <w:lang w:val="en-AU"/>
        </w:rPr>
        <w:t xml:space="preserve">, applied here to </w:t>
      </w:r>
      <w:r w:rsidR="00EB37E3" w:rsidRPr="007A7094">
        <w:rPr>
          <w:lang w:val="en-AU"/>
        </w:rPr>
        <w:t>the field of public health</w:t>
      </w:r>
      <w:r w:rsidR="006254B3" w:rsidRPr="007A7094">
        <w:rPr>
          <w:lang w:val="en-AU"/>
        </w:rPr>
        <w:t>, counters</w:t>
      </w:r>
      <w:r w:rsidR="00206D7B" w:rsidRPr="007A7094">
        <w:rPr>
          <w:lang w:val="en-AU"/>
        </w:rPr>
        <w:t xml:space="preserve"> </w:t>
      </w:r>
      <w:r w:rsidR="00A0045E" w:rsidRPr="007A7094">
        <w:rPr>
          <w:lang w:val="en-AU"/>
        </w:rPr>
        <w:t xml:space="preserve">realist perspectives </w:t>
      </w:r>
      <w:r w:rsidR="006254B3" w:rsidRPr="007A7094">
        <w:rPr>
          <w:lang w:val="en-AU"/>
        </w:rPr>
        <w:t>which</w:t>
      </w:r>
      <w:r w:rsidR="00206D7B" w:rsidRPr="007A7094">
        <w:rPr>
          <w:lang w:val="en-AU"/>
        </w:rPr>
        <w:t xml:space="preserve"> </w:t>
      </w:r>
      <w:r w:rsidR="00A0045E" w:rsidRPr="007A7094">
        <w:rPr>
          <w:lang w:val="en-AU"/>
        </w:rPr>
        <w:t xml:space="preserve">envisage </w:t>
      </w:r>
      <w:r w:rsidR="00206D7B" w:rsidRPr="007A7094">
        <w:rPr>
          <w:lang w:val="en-AU"/>
        </w:rPr>
        <w:t>evidence</w:t>
      </w:r>
      <w:r w:rsidR="006254B3" w:rsidRPr="007A7094">
        <w:rPr>
          <w:lang w:val="en-AU"/>
        </w:rPr>
        <w:t xml:space="preserve">, </w:t>
      </w:r>
      <w:r w:rsidR="00206D7B" w:rsidRPr="007A7094">
        <w:t xml:space="preserve">interventions </w:t>
      </w:r>
      <w:r w:rsidR="006254B3" w:rsidRPr="007A7094">
        <w:t xml:space="preserve">and their effects as </w:t>
      </w:r>
      <w:r w:rsidR="006254B3" w:rsidRPr="007A7094">
        <w:rPr>
          <w:lang w:val="en-AU"/>
        </w:rPr>
        <w:t xml:space="preserve">stable, knowable, </w:t>
      </w:r>
      <w:r w:rsidR="00206D7B" w:rsidRPr="007A7094">
        <w:rPr>
          <w:lang w:val="en-AU"/>
        </w:rPr>
        <w:t>pre-given entities</w:t>
      </w:r>
      <w:r w:rsidR="00D874C2" w:rsidRPr="007A7094">
        <w:rPr>
          <w:lang w:val="en-AU"/>
        </w:rPr>
        <w:t xml:space="preserve"> (Butler, 2010</w:t>
      </w:r>
      <w:r w:rsidR="00EB37E3" w:rsidRPr="007A7094">
        <w:rPr>
          <w:lang w:val="en-AU"/>
        </w:rPr>
        <w:t xml:space="preserve">; </w:t>
      </w:r>
      <w:r w:rsidR="00B15E85" w:rsidRPr="007A7094">
        <w:rPr>
          <w:lang w:val="en-AU"/>
        </w:rPr>
        <w:t>Mol, 2002; Race, 2018</w:t>
      </w:r>
      <w:r w:rsidR="00D874C2" w:rsidRPr="007A7094">
        <w:rPr>
          <w:lang w:val="en-AU"/>
        </w:rPr>
        <w:t>)</w:t>
      </w:r>
      <w:r w:rsidR="00206D7B" w:rsidRPr="007A7094">
        <w:rPr>
          <w:lang w:val="en-AU"/>
        </w:rPr>
        <w:t xml:space="preserve">. </w:t>
      </w:r>
      <w:r w:rsidR="00E909A7" w:rsidRPr="007A7094">
        <w:rPr>
          <w:lang w:val="en-AU"/>
        </w:rPr>
        <w:t xml:space="preserve">Performativity calls into question </w:t>
      </w:r>
      <w:r w:rsidR="00CE7313" w:rsidRPr="007A7094">
        <w:rPr>
          <w:lang w:val="en-AU"/>
        </w:rPr>
        <w:t>the</w:t>
      </w:r>
      <w:r w:rsidR="006254B3" w:rsidRPr="007A7094">
        <w:rPr>
          <w:lang w:val="en-AU"/>
        </w:rPr>
        <w:t xml:space="preserve"> often taken-for-granted</w:t>
      </w:r>
      <w:r w:rsidR="00E909A7" w:rsidRPr="007A7094">
        <w:rPr>
          <w:lang w:val="en-AU"/>
        </w:rPr>
        <w:t xml:space="preserve"> presumption</w:t>
      </w:r>
      <w:r w:rsidR="00CE7313" w:rsidRPr="007A7094">
        <w:rPr>
          <w:lang w:val="en-AU"/>
        </w:rPr>
        <w:t xml:space="preserve"> that we can stand outside </w:t>
      </w:r>
      <w:r w:rsidR="00F64DEF" w:rsidRPr="007A7094">
        <w:rPr>
          <w:lang w:val="en-AU"/>
        </w:rPr>
        <w:t>of interventions, describing them and analysing their effects.</w:t>
      </w:r>
      <w:r w:rsidR="00041945" w:rsidRPr="007A7094">
        <w:rPr>
          <w:lang w:val="en-AU"/>
        </w:rPr>
        <w:t xml:space="preserve"> </w:t>
      </w:r>
      <w:r w:rsidR="00F64DEF" w:rsidRPr="007A7094">
        <w:rPr>
          <w:lang w:val="en-AU"/>
        </w:rPr>
        <w:t>I</w:t>
      </w:r>
      <w:r w:rsidR="00041945" w:rsidRPr="007A7094">
        <w:rPr>
          <w:lang w:val="en-AU"/>
        </w:rPr>
        <w:t>nstead</w:t>
      </w:r>
      <w:r w:rsidR="00F64DEF" w:rsidRPr="007A7094">
        <w:rPr>
          <w:lang w:val="en-AU"/>
        </w:rPr>
        <w:t xml:space="preserve">, it </w:t>
      </w:r>
      <w:r w:rsidR="006254B3" w:rsidRPr="007A7094">
        <w:rPr>
          <w:lang w:val="en-AU"/>
        </w:rPr>
        <w:t xml:space="preserve">invites us to </w:t>
      </w:r>
      <w:r w:rsidR="00F64DEF" w:rsidRPr="007A7094">
        <w:rPr>
          <w:lang w:val="en-AU"/>
        </w:rPr>
        <w:t xml:space="preserve">think about </w:t>
      </w:r>
      <w:r w:rsidR="006254B3" w:rsidRPr="007A7094">
        <w:rPr>
          <w:lang w:val="en-AU"/>
        </w:rPr>
        <w:t>these entities not as preceding their</w:t>
      </w:r>
      <w:r w:rsidR="00E909A7" w:rsidRPr="007A7094">
        <w:rPr>
          <w:lang w:val="en-AU"/>
        </w:rPr>
        <w:t xml:space="preserve"> expression in </w:t>
      </w:r>
      <w:r w:rsidR="00F64DEF" w:rsidRPr="007A7094">
        <w:rPr>
          <w:lang w:val="en-AU"/>
        </w:rPr>
        <w:t xml:space="preserve">implementation </w:t>
      </w:r>
      <w:r w:rsidR="00E909A7" w:rsidRPr="007A7094">
        <w:rPr>
          <w:lang w:val="en-AU"/>
        </w:rPr>
        <w:t xml:space="preserve">processes and </w:t>
      </w:r>
      <w:r w:rsidR="00F64DEF" w:rsidRPr="007A7094">
        <w:rPr>
          <w:lang w:val="en-AU"/>
        </w:rPr>
        <w:t xml:space="preserve">research </w:t>
      </w:r>
      <w:r w:rsidR="00E909A7" w:rsidRPr="007A7094">
        <w:rPr>
          <w:lang w:val="en-AU"/>
        </w:rPr>
        <w:t>practices</w:t>
      </w:r>
      <w:r w:rsidR="006254B3" w:rsidRPr="007A7094">
        <w:rPr>
          <w:lang w:val="en-AU"/>
        </w:rPr>
        <w:t>, but rather</w:t>
      </w:r>
      <w:r w:rsidR="00F64DEF" w:rsidRPr="007A7094">
        <w:rPr>
          <w:lang w:val="en-AU"/>
        </w:rPr>
        <w:t xml:space="preserve"> as</w:t>
      </w:r>
      <w:r w:rsidR="006254B3" w:rsidRPr="007A7094">
        <w:rPr>
          <w:lang w:val="en-AU"/>
        </w:rPr>
        <w:t xml:space="preserve"> </w:t>
      </w:r>
      <w:r w:rsidR="00F774AD" w:rsidRPr="007A7094">
        <w:rPr>
          <w:i/>
          <w:lang w:val="en-AU"/>
        </w:rPr>
        <w:t>produced through them</w:t>
      </w:r>
      <w:r w:rsidR="00B15E85" w:rsidRPr="007A7094">
        <w:rPr>
          <w:lang w:val="en-AU"/>
        </w:rPr>
        <w:t xml:space="preserve">. </w:t>
      </w:r>
      <w:r w:rsidR="00E909A7" w:rsidRPr="007A7094">
        <w:rPr>
          <w:lang w:val="en-AU"/>
        </w:rPr>
        <w:t>Performativity asks us to “rethink the basic ontologies with which we operate” and allows us to start “to describe a set of processes that produce ontological effects, that is, that work to bring into being certain kinds of realities”</w:t>
      </w:r>
      <w:r w:rsidR="00D874C2" w:rsidRPr="007A7094">
        <w:rPr>
          <w:lang w:val="en-AU"/>
        </w:rPr>
        <w:t xml:space="preserve"> (Butler, 2010)</w:t>
      </w:r>
      <w:r w:rsidR="00E909A7" w:rsidRPr="007A7094">
        <w:rPr>
          <w:lang w:val="en-AU"/>
        </w:rPr>
        <w:t xml:space="preserve">. </w:t>
      </w:r>
      <w:r w:rsidR="00B15E85" w:rsidRPr="007A7094">
        <w:rPr>
          <w:lang w:val="en-AU"/>
        </w:rPr>
        <w:t xml:space="preserve">Our interpretation of performance then, does not imply a ‘backstage’ of the ‘real’, or a central or singular performer, but envisages performance as an </w:t>
      </w:r>
      <w:r w:rsidR="00B15E85" w:rsidRPr="007A7094">
        <w:rPr>
          <w:i/>
          <w:lang w:val="en-AU"/>
        </w:rPr>
        <w:t>enactment of reality</w:t>
      </w:r>
      <w:r w:rsidR="00B15E85" w:rsidRPr="007A7094">
        <w:rPr>
          <w:lang w:val="en-AU"/>
        </w:rPr>
        <w:t xml:space="preserve"> which emerges out of a particular set of knowledge-making practices (Law</w:t>
      </w:r>
      <w:r w:rsidR="00862D7A" w:rsidRPr="007A7094">
        <w:rPr>
          <w:lang w:val="en-AU"/>
        </w:rPr>
        <w:t xml:space="preserve"> and Singleton, 2000</w:t>
      </w:r>
      <w:r w:rsidR="00B15E85" w:rsidRPr="007A7094">
        <w:rPr>
          <w:lang w:val="en-AU"/>
        </w:rPr>
        <w:t>;</w:t>
      </w:r>
      <w:r w:rsidR="00862D7A" w:rsidRPr="007A7094">
        <w:rPr>
          <w:lang w:val="en-AU"/>
        </w:rPr>
        <w:t xml:space="preserve"> Mol, 2002;</w:t>
      </w:r>
      <w:r w:rsidR="00B15E85" w:rsidRPr="007A7094">
        <w:rPr>
          <w:lang w:val="en-AU"/>
        </w:rPr>
        <w:t xml:space="preserve"> Michael, 2017). Importantly, we see knowledge-making practices – such as science – as at once performed and performative. </w:t>
      </w:r>
      <w:r w:rsidR="00AB433F" w:rsidRPr="007A7094">
        <w:rPr>
          <w:lang w:val="en-AU"/>
        </w:rPr>
        <w:t xml:space="preserve">There is no sense of deliberate manipulation here. Rather, this approach </w:t>
      </w:r>
      <w:r w:rsidR="00BC0F6F" w:rsidRPr="007A7094">
        <w:rPr>
          <w:lang w:val="en-AU"/>
        </w:rPr>
        <w:t xml:space="preserve">invites consideration of how </w:t>
      </w:r>
      <w:r w:rsidR="00AB433F" w:rsidRPr="007A7094">
        <w:rPr>
          <w:lang w:val="en-AU"/>
        </w:rPr>
        <w:t>a myriad of everyday practices</w:t>
      </w:r>
      <w:r w:rsidR="00BC0F6F" w:rsidRPr="007A7094">
        <w:rPr>
          <w:lang w:val="en-AU"/>
        </w:rPr>
        <w:t xml:space="preserve"> – including evidence-making practices</w:t>
      </w:r>
      <w:r w:rsidR="005047B3" w:rsidRPr="007A7094">
        <w:rPr>
          <w:lang w:val="en-AU"/>
        </w:rPr>
        <w:t xml:space="preserve"> in health</w:t>
      </w:r>
      <w:r w:rsidR="00BC0F6F" w:rsidRPr="007A7094">
        <w:rPr>
          <w:lang w:val="en-AU"/>
        </w:rPr>
        <w:t xml:space="preserve"> – work to </w:t>
      </w:r>
      <w:r w:rsidR="00BC0F6F" w:rsidRPr="007A7094">
        <w:rPr>
          <w:i/>
          <w:lang w:val="en-AU"/>
        </w:rPr>
        <w:t>make</w:t>
      </w:r>
      <w:r w:rsidR="00AB433F" w:rsidRPr="007A7094">
        <w:rPr>
          <w:i/>
          <w:lang w:val="en-AU"/>
        </w:rPr>
        <w:t xml:space="preserve"> things happen</w:t>
      </w:r>
      <w:r w:rsidR="00D874C2" w:rsidRPr="007A7094">
        <w:rPr>
          <w:lang w:val="en-AU"/>
        </w:rPr>
        <w:t xml:space="preserve"> (Eveline and Bacchi, 2010).</w:t>
      </w:r>
      <w:r w:rsidR="00BC0F6F" w:rsidRPr="007A7094">
        <w:rPr>
          <w:lang w:val="en-AU"/>
        </w:rPr>
        <w:t xml:space="preserve"> </w:t>
      </w:r>
      <w:r w:rsidR="006A6B5A" w:rsidRPr="007A7094">
        <w:rPr>
          <w:lang w:val="en-AU"/>
        </w:rPr>
        <w:t xml:space="preserve">This concept has been </w:t>
      </w:r>
      <w:r w:rsidR="00F64DEF" w:rsidRPr="007A7094">
        <w:rPr>
          <w:lang w:val="en-AU"/>
        </w:rPr>
        <w:t xml:space="preserve">usefully </w:t>
      </w:r>
      <w:r w:rsidR="006A6B5A" w:rsidRPr="007A7094">
        <w:rPr>
          <w:lang w:val="en-AU"/>
        </w:rPr>
        <w:t xml:space="preserve">applied in the field of </w:t>
      </w:r>
      <w:r w:rsidR="00B2397B" w:rsidRPr="007A7094">
        <w:rPr>
          <w:lang w:val="en-AU"/>
        </w:rPr>
        <w:t>health and drug use</w:t>
      </w:r>
      <w:r w:rsidR="0007277F" w:rsidRPr="007A7094">
        <w:rPr>
          <w:lang w:val="en-AU"/>
        </w:rPr>
        <w:t xml:space="preserve">; </w:t>
      </w:r>
      <w:r w:rsidR="006A6B5A" w:rsidRPr="007A7094">
        <w:rPr>
          <w:lang w:val="en-AU"/>
        </w:rPr>
        <w:t xml:space="preserve">for </w:t>
      </w:r>
      <w:r w:rsidR="00642C77" w:rsidRPr="007A7094">
        <w:rPr>
          <w:lang w:val="en-AU"/>
        </w:rPr>
        <w:t>instance</w:t>
      </w:r>
      <w:r w:rsidR="006A6B5A" w:rsidRPr="007A7094">
        <w:rPr>
          <w:lang w:val="en-AU"/>
        </w:rPr>
        <w:t>, illuminat</w:t>
      </w:r>
      <w:r w:rsidR="0007277F" w:rsidRPr="007A7094">
        <w:rPr>
          <w:lang w:val="en-AU"/>
        </w:rPr>
        <w:t>ing</w:t>
      </w:r>
      <w:r w:rsidR="006A6B5A" w:rsidRPr="007A7094">
        <w:rPr>
          <w:lang w:val="en-AU"/>
        </w:rPr>
        <w:t xml:space="preserve"> how legal, biomedical and methodological practices are involved in the production of </w:t>
      </w:r>
      <w:r w:rsidR="00F64DEF" w:rsidRPr="007A7094">
        <w:rPr>
          <w:lang w:val="en-AU"/>
        </w:rPr>
        <w:t>stigma</w:t>
      </w:r>
      <w:r w:rsidR="00B2397B" w:rsidRPr="007A7094">
        <w:rPr>
          <w:lang w:val="en-AU"/>
        </w:rPr>
        <w:t xml:space="preserve"> related to HIV </w:t>
      </w:r>
      <w:r w:rsidR="00D874C2" w:rsidRPr="007A7094">
        <w:rPr>
          <w:lang w:val="en-AU"/>
        </w:rPr>
        <w:t>(Race, 2018)</w:t>
      </w:r>
      <w:r w:rsidR="00642C77" w:rsidRPr="007A7094">
        <w:rPr>
          <w:lang w:val="en-AU"/>
        </w:rPr>
        <w:t>;</w:t>
      </w:r>
      <w:r w:rsidR="0007277F" w:rsidRPr="007A7094">
        <w:rPr>
          <w:lang w:val="en-AU"/>
        </w:rPr>
        <w:t xml:space="preserve"> drawing attention to how </w:t>
      </w:r>
      <w:r w:rsidR="000C3E83" w:rsidRPr="007A7094">
        <w:rPr>
          <w:lang w:val="en-AU"/>
        </w:rPr>
        <w:t xml:space="preserve">hepatitis C </w:t>
      </w:r>
      <w:r w:rsidR="00642C77" w:rsidRPr="007A7094">
        <w:rPr>
          <w:lang w:val="en-AU"/>
        </w:rPr>
        <w:t>is</w:t>
      </w:r>
      <w:r w:rsidR="0007277F" w:rsidRPr="007A7094">
        <w:rPr>
          <w:lang w:val="en-AU"/>
        </w:rPr>
        <w:t xml:space="preserve"> constituted i</w:t>
      </w:r>
      <w:r w:rsidR="000C3E83" w:rsidRPr="007A7094">
        <w:rPr>
          <w:lang w:val="en-AU"/>
        </w:rPr>
        <w:t>n action</w:t>
      </w:r>
      <w:r w:rsidR="0007277F" w:rsidRPr="007A7094">
        <w:rPr>
          <w:lang w:val="en-AU"/>
        </w:rPr>
        <w:t xml:space="preserve">s which </w:t>
      </w:r>
      <w:r w:rsidR="00C05CFF" w:rsidRPr="007A7094">
        <w:rPr>
          <w:lang w:val="en-AU"/>
        </w:rPr>
        <w:t>enact</w:t>
      </w:r>
      <w:r w:rsidR="00B83699" w:rsidRPr="007A7094">
        <w:rPr>
          <w:lang w:val="en-AU"/>
        </w:rPr>
        <w:t>s</w:t>
      </w:r>
      <w:r w:rsidR="00C05CFF" w:rsidRPr="007A7094">
        <w:rPr>
          <w:lang w:val="en-AU"/>
        </w:rPr>
        <w:t xml:space="preserve"> patients and people </w:t>
      </w:r>
      <w:r w:rsidR="00642C77" w:rsidRPr="007A7094">
        <w:rPr>
          <w:lang w:val="en-AU"/>
        </w:rPr>
        <w:t xml:space="preserve">who </w:t>
      </w:r>
      <w:r w:rsidR="00C05CFF" w:rsidRPr="007A7094">
        <w:rPr>
          <w:lang w:val="en-AU"/>
        </w:rPr>
        <w:t xml:space="preserve">use drugs </w:t>
      </w:r>
      <w:r w:rsidR="0007277F" w:rsidRPr="007A7094">
        <w:rPr>
          <w:lang w:val="en-AU"/>
        </w:rPr>
        <w:t>in particular ways</w:t>
      </w:r>
      <w:r w:rsidR="000C3E83" w:rsidRPr="007A7094">
        <w:rPr>
          <w:lang w:val="en-AU"/>
        </w:rPr>
        <w:t xml:space="preserve"> (Fraser </w:t>
      </w:r>
      <w:r w:rsidR="0007277F" w:rsidRPr="007A7094">
        <w:rPr>
          <w:lang w:val="en-AU"/>
        </w:rPr>
        <w:t>and</w:t>
      </w:r>
      <w:r w:rsidR="000C3E83" w:rsidRPr="007A7094">
        <w:rPr>
          <w:lang w:val="en-AU"/>
        </w:rPr>
        <w:t xml:space="preserve"> Seear, 2011)</w:t>
      </w:r>
      <w:r w:rsidR="00642C77" w:rsidRPr="007A7094">
        <w:rPr>
          <w:lang w:val="en-AU"/>
        </w:rPr>
        <w:t>; and understanding how the effects of drugs</w:t>
      </w:r>
      <w:r w:rsidR="007353D3" w:rsidRPr="007A7094">
        <w:rPr>
          <w:lang w:val="en-AU"/>
        </w:rPr>
        <w:t xml:space="preserve"> and medicines vary</w:t>
      </w:r>
      <w:r w:rsidR="00642C77" w:rsidRPr="007A7094">
        <w:rPr>
          <w:lang w:val="en-AU"/>
        </w:rPr>
        <w:t xml:space="preserve"> </w:t>
      </w:r>
      <w:r w:rsidR="007353D3" w:rsidRPr="007A7094">
        <w:rPr>
          <w:lang w:val="en-AU"/>
        </w:rPr>
        <w:t xml:space="preserve">according to the material-discursive practices producing them </w:t>
      </w:r>
      <w:r w:rsidR="00642C77" w:rsidRPr="007A7094">
        <w:rPr>
          <w:lang w:val="en-AU"/>
        </w:rPr>
        <w:t>(</w:t>
      </w:r>
      <w:r w:rsidR="007353D3" w:rsidRPr="007A7094">
        <w:rPr>
          <w:lang w:val="en-AU"/>
        </w:rPr>
        <w:t xml:space="preserve">Gomart, 2000; </w:t>
      </w:r>
      <w:r w:rsidR="00642C77" w:rsidRPr="007A7094">
        <w:rPr>
          <w:lang w:val="en-AU"/>
        </w:rPr>
        <w:t>Lancaster, Seear and Ritter, 2017; Rhodes, 2018; Dennis, 2019</w:t>
      </w:r>
      <w:r w:rsidR="000C3E83" w:rsidRPr="007A7094">
        <w:rPr>
          <w:lang w:val="en-AU"/>
        </w:rPr>
        <w:t>.</w:t>
      </w:r>
      <w:r w:rsidR="00B2397B" w:rsidRPr="007A7094">
        <w:rPr>
          <w:lang w:val="en-AU"/>
        </w:rPr>
        <w:t xml:space="preserve"> </w:t>
      </w:r>
      <w:r w:rsidR="007C50D2" w:rsidRPr="007A7094">
        <w:rPr>
          <w:lang w:val="en-AU"/>
        </w:rPr>
        <w:t>In our analysis below, we</w:t>
      </w:r>
      <w:r w:rsidR="00B2397B" w:rsidRPr="007A7094">
        <w:rPr>
          <w:lang w:val="en-AU"/>
        </w:rPr>
        <w:t xml:space="preserve"> </w:t>
      </w:r>
      <w:r w:rsidR="007C50D2" w:rsidRPr="007A7094">
        <w:rPr>
          <w:lang w:val="en-AU"/>
        </w:rPr>
        <w:t>use</w:t>
      </w:r>
      <w:r w:rsidR="00B2397B" w:rsidRPr="007A7094">
        <w:rPr>
          <w:lang w:val="en-AU"/>
        </w:rPr>
        <w:t xml:space="preserve"> ideas of </w:t>
      </w:r>
      <w:r w:rsidR="0005633A" w:rsidRPr="007A7094">
        <w:rPr>
          <w:lang w:val="en-AU"/>
        </w:rPr>
        <w:t xml:space="preserve">performativity </w:t>
      </w:r>
      <w:r w:rsidR="00F00AF4" w:rsidRPr="007A7094">
        <w:rPr>
          <w:lang w:val="en-AU"/>
        </w:rPr>
        <w:t xml:space="preserve">to explore </w:t>
      </w:r>
      <w:r w:rsidR="0005633A" w:rsidRPr="007A7094">
        <w:rPr>
          <w:lang w:val="en-AU"/>
        </w:rPr>
        <w:t xml:space="preserve">evidence-making practices in recent debates </w:t>
      </w:r>
      <w:r w:rsidR="00756F01" w:rsidRPr="007A7094">
        <w:rPr>
          <w:lang w:val="en-AU"/>
        </w:rPr>
        <w:t xml:space="preserve">surrounding </w:t>
      </w:r>
      <w:r w:rsidR="0005633A" w:rsidRPr="007A7094">
        <w:rPr>
          <w:lang w:val="en-AU"/>
        </w:rPr>
        <w:t xml:space="preserve">the clinical benefits of DAA </w:t>
      </w:r>
      <w:r w:rsidR="00756F01" w:rsidRPr="007A7094">
        <w:rPr>
          <w:lang w:val="en-AU"/>
        </w:rPr>
        <w:t>hepatitis C treatment</w:t>
      </w:r>
      <w:r w:rsidR="0005633A" w:rsidRPr="007A7094">
        <w:rPr>
          <w:lang w:val="en-AU"/>
        </w:rPr>
        <w:t>s</w:t>
      </w:r>
      <w:r w:rsidR="007C50D2" w:rsidRPr="007A7094">
        <w:rPr>
          <w:lang w:val="en-AU"/>
        </w:rPr>
        <w:t xml:space="preserve"> </w:t>
      </w:r>
      <w:r w:rsidR="00F00AF4" w:rsidRPr="007A7094">
        <w:rPr>
          <w:lang w:val="en-AU"/>
        </w:rPr>
        <w:t>following</w:t>
      </w:r>
      <w:r w:rsidR="007C50D2" w:rsidRPr="007A7094">
        <w:rPr>
          <w:lang w:val="en-AU"/>
        </w:rPr>
        <w:t xml:space="preserve"> the</w:t>
      </w:r>
      <w:r w:rsidR="0005633A" w:rsidRPr="007A7094">
        <w:rPr>
          <w:lang w:val="en-AU"/>
        </w:rPr>
        <w:t xml:space="preserve"> publication of a systematic review </w:t>
      </w:r>
      <w:r w:rsidR="00F00AF4" w:rsidRPr="007A7094">
        <w:rPr>
          <w:lang w:val="en-AU"/>
        </w:rPr>
        <w:t xml:space="preserve">of RCTs </w:t>
      </w:r>
      <w:r w:rsidR="0005633A" w:rsidRPr="007A7094">
        <w:rPr>
          <w:lang w:val="en-AU"/>
        </w:rPr>
        <w:t>undertaken by the Cochrane Collaboration (Jakobsen et al., 2017, 2018)</w:t>
      </w:r>
      <w:r w:rsidR="00F00AF4" w:rsidRPr="007A7094">
        <w:rPr>
          <w:lang w:val="en-AU"/>
        </w:rPr>
        <w:t xml:space="preserve">. We also drawn on the </w:t>
      </w:r>
      <w:r w:rsidR="0005633A" w:rsidRPr="007A7094">
        <w:rPr>
          <w:lang w:val="en-AU"/>
        </w:rPr>
        <w:t>published responses</w:t>
      </w:r>
      <w:r w:rsidR="007C50D2" w:rsidRPr="007A7094">
        <w:rPr>
          <w:lang w:val="en-AU"/>
        </w:rPr>
        <w:t xml:space="preserve"> to this</w:t>
      </w:r>
      <w:r w:rsidR="00F00AF4" w:rsidRPr="007A7094">
        <w:rPr>
          <w:lang w:val="en-AU"/>
        </w:rPr>
        <w:t xml:space="preserve"> review</w:t>
      </w:r>
      <w:r w:rsidR="0005633A" w:rsidRPr="007A7094">
        <w:rPr>
          <w:lang w:val="en-AU"/>
        </w:rPr>
        <w:t xml:space="preserve"> </w:t>
      </w:r>
      <w:r w:rsidR="0005633A" w:rsidRPr="007A7094">
        <w:lastRenderedPageBreak/>
        <w:t>(European Association for the Study of the Liver, 2017; World Hepatitis Alliance, 2017; European Liver Patients’ Association, 2017; Gastroenterological Society of Australia, 2017; Hepatitis C Coalition, 2017; Powderly et al., 2017; Foster et al., 2018; Cooke et al., 2018; Barclay et al., 2018; Koretz et al., 2018a,b,c,d).</w:t>
      </w:r>
    </w:p>
    <w:p w14:paraId="0B898397" w14:textId="01FBC6AB" w:rsidR="005D0860" w:rsidRPr="007A7094" w:rsidRDefault="005D0860" w:rsidP="00722632">
      <w:pPr>
        <w:spacing w:after="0" w:line="480" w:lineRule="auto"/>
        <w:jc w:val="both"/>
        <w:rPr>
          <w:lang w:val="en-AU"/>
        </w:rPr>
      </w:pPr>
    </w:p>
    <w:p w14:paraId="33013875" w14:textId="66E3D8BF" w:rsidR="005D0860" w:rsidRPr="007A7094" w:rsidRDefault="00EB3814" w:rsidP="00722632">
      <w:pPr>
        <w:spacing w:after="0" w:line="480" w:lineRule="auto"/>
        <w:jc w:val="both"/>
        <w:rPr>
          <w:lang w:val="en-AU"/>
        </w:rPr>
      </w:pPr>
      <w:r w:rsidRPr="007A7094">
        <w:rPr>
          <w:lang w:val="en-AU"/>
        </w:rPr>
        <w:t xml:space="preserve">Second, </w:t>
      </w:r>
      <w:r w:rsidR="0005633A" w:rsidRPr="007A7094">
        <w:rPr>
          <w:lang w:val="en-AU"/>
        </w:rPr>
        <w:t xml:space="preserve">we draw </w:t>
      </w:r>
      <w:r w:rsidR="00247FD3" w:rsidRPr="007A7094">
        <w:rPr>
          <w:lang w:val="en-AU"/>
        </w:rPr>
        <w:t xml:space="preserve">on ideas of </w:t>
      </w:r>
      <w:r w:rsidRPr="007A7094">
        <w:rPr>
          <w:lang w:val="en-AU"/>
        </w:rPr>
        <w:t>matters</w:t>
      </w:r>
      <w:r w:rsidR="00703AA8" w:rsidRPr="007A7094">
        <w:rPr>
          <w:lang w:val="en-AU"/>
        </w:rPr>
        <w:t>-</w:t>
      </w:r>
      <w:r w:rsidRPr="007A7094">
        <w:rPr>
          <w:lang w:val="en-AU"/>
        </w:rPr>
        <w:t>of</w:t>
      </w:r>
      <w:r w:rsidR="00703AA8" w:rsidRPr="007A7094">
        <w:rPr>
          <w:lang w:val="en-AU"/>
        </w:rPr>
        <w:t>-</w:t>
      </w:r>
      <w:r w:rsidRPr="007A7094">
        <w:rPr>
          <w:lang w:val="en-AU"/>
        </w:rPr>
        <w:t>concern</w:t>
      </w:r>
      <w:r w:rsidR="00247FD3" w:rsidRPr="007A7094">
        <w:rPr>
          <w:lang w:val="en-AU"/>
        </w:rPr>
        <w:t>.</w:t>
      </w:r>
      <w:r w:rsidRPr="007A7094">
        <w:rPr>
          <w:lang w:val="en-AU"/>
        </w:rPr>
        <w:t xml:space="preserve"> </w:t>
      </w:r>
      <w:r w:rsidR="00247FD3" w:rsidRPr="007A7094">
        <w:rPr>
          <w:lang w:val="en-AU"/>
        </w:rPr>
        <w:t xml:space="preserve">STS scholar, </w:t>
      </w:r>
      <w:r w:rsidRPr="007A7094">
        <w:t>Bruno Latour</w:t>
      </w:r>
      <w:r w:rsidR="00247FD3" w:rsidRPr="007A7094">
        <w:t>,</w:t>
      </w:r>
      <w:r w:rsidRPr="007A7094">
        <w:t xml:space="preserve"> s</w:t>
      </w:r>
      <w:r w:rsidR="00247FD3" w:rsidRPr="007A7094">
        <w:t>tages a</w:t>
      </w:r>
      <w:r w:rsidR="00F00AF4" w:rsidRPr="007A7094">
        <w:t xml:space="preserve">pparent </w:t>
      </w:r>
      <w:r w:rsidRPr="007A7094">
        <w:t xml:space="preserve">matters-of-fact as </w:t>
      </w:r>
      <w:r w:rsidR="00703AA8" w:rsidRPr="007A7094">
        <w:t xml:space="preserve">situated </w:t>
      </w:r>
      <w:r w:rsidRPr="007A7094">
        <w:t>matters-of-concern to make visible the social basis of objects presumed to pre-exist independently of their description (Latour, 2004).</w:t>
      </w:r>
      <w:r w:rsidR="00247FD3" w:rsidRPr="007A7094">
        <w:t xml:space="preserve"> Matters-of-concern accentuates things – such as interventions and their effects – not as objective and pre-existing matters-of-fact, but as performed in practices in relation to social, material and political interests (</w:t>
      </w:r>
      <w:r w:rsidR="000424A8" w:rsidRPr="007A7094">
        <w:t xml:space="preserve">see also: </w:t>
      </w:r>
      <w:r w:rsidR="00247FD3" w:rsidRPr="007A7094">
        <w:t xml:space="preserve">Puig de la Bellacasa, 2011). Drawing attention to how apparent universal matters-of-fact </w:t>
      </w:r>
      <w:r w:rsidR="00703AA8" w:rsidRPr="007A7094">
        <w:t>entangle with</w:t>
      </w:r>
      <w:r w:rsidR="00247FD3" w:rsidRPr="007A7094">
        <w:t xml:space="preserve"> situated matters-of-concern </w:t>
      </w:r>
      <w:r w:rsidR="00F00AF4" w:rsidRPr="007A7094">
        <w:t>emphasises</w:t>
      </w:r>
      <w:r w:rsidR="00247FD3" w:rsidRPr="007A7094">
        <w:t xml:space="preserve"> that science is not outside the practices it evidences, but rather is </w:t>
      </w:r>
      <w:r w:rsidR="00703AA8" w:rsidRPr="007A7094">
        <w:t>inside, performative</w:t>
      </w:r>
      <w:r w:rsidR="00F00AF4" w:rsidRPr="007A7094">
        <w:t>,</w:t>
      </w:r>
      <w:r w:rsidR="00247FD3" w:rsidRPr="007A7094">
        <w:t xml:space="preserve"> and inseparable from</w:t>
      </w:r>
      <w:r w:rsidR="00F00AF4" w:rsidRPr="007A7094">
        <w:t>,</w:t>
      </w:r>
      <w:r w:rsidR="00247FD3" w:rsidRPr="007A7094">
        <w:t xml:space="preserve"> these (Latour, 2004; Puig de la Bellacasa, 2011</w:t>
      </w:r>
      <w:r w:rsidR="00703AA8" w:rsidRPr="007A7094">
        <w:t>; Stengers, 2005</w:t>
      </w:r>
      <w:r w:rsidR="00247FD3" w:rsidRPr="007A7094">
        <w:t xml:space="preserve">). </w:t>
      </w:r>
      <w:r w:rsidR="007C50D2" w:rsidRPr="007A7094">
        <w:t xml:space="preserve">We draw attention to how evidence-making in relation to </w:t>
      </w:r>
      <w:r w:rsidR="00C85BE5" w:rsidRPr="007A7094">
        <w:t xml:space="preserve">the </w:t>
      </w:r>
      <w:r w:rsidR="007C50D2" w:rsidRPr="007A7094">
        <w:t>recent controvers</w:t>
      </w:r>
      <w:r w:rsidR="00C85BE5" w:rsidRPr="007A7094">
        <w:t>y</w:t>
      </w:r>
      <w:r w:rsidR="007C50D2" w:rsidRPr="007A7094">
        <w:t xml:space="preserve"> surrounding the clinical benefits of DAAs </w:t>
      </w:r>
      <w:r w:rsidR="00C85BE5" w:rsidRPr="007A7094">
        <w:t>enacts matters-fact</w:t>
      </w:r>
      <w:r w:rsidR="007C50D2" w:rsidRPr="007A7094">
        <w:t xml:space="preserve"> in relation to matters-of-concern. We do this to distinguish ‘evidence-based’ from ‘evidence-making’ intervention approaches</w:t>
      </w:r>
      <w:r w:rsidR="00703AA8" w:rsidRPr="007A7094">
        <w:t xml:space="preserve"> (Rhodes and Lancaster, 2019</w:t>
      </w:r>
      <w:r w:rsidR="00F4325E" w:rsidRPr="007A7094">
        <w:t>a</w:t>
      </w:r>
      <w:r w:rsidR="00703AA8" w:rsidRPr="007A7094">
        <w:t>; Rhodes et al., 2016),</w:t>
      </w:r>
      <w:r w:rsidR="007C50D2" w:rsidRPr="007A7094">
        <w:t xml:space="preserve"> and </w:t>
      </w:r>
      <w:r w:rsidR="00703AA8" w:rsidRPr="007A7094">
        <w:t xml:space="preserve">drawing on the work of Isabelle Stengers (2018), </w:t>
      </w:r>
      <w:r w:rsidR="007C50D2" w:rsidRPr="007A7094">
        <w:t xml:space="preserve">call for a different </w:t>
      </w:r>
      <w:r w:rsidR="00703AA8" w:rsidRPr="007A7094">
        <w:t xml:space="preserve">and more careful </w:t>
      </w:r>
      <w:r w:rsidR="007C50D2" w:rsidRPr="007A7094">
        <w:t xml:space="preserve">way of knowing </w:t>
      </w:r>
      <w:r w:rsidR="00703AA8" w:rsidRPr="007A7094">
        <w:t>hepatitis C cure.</w:t>
      </w:r>
    </w:p>
    <w:p w14:paraId="06140D84" w14:textId="77777777" w:rsidR="001C458C" w:rsidRPr="007A7094" w:rsidRDefault="001C458C" w:rsidP="00722632">
      <w:pPr>
        <w:spacing w:after="0" w:line="480" w:lineRule="auto"/>
        <w:jc w:val="both"/>
      </w:pPr>
    </w:p>
    <w:p w14:paraId="482F7348" w14:textId="0E9D7051" w:rsidR="008D1943" w:rsidRPr="007A7094" w:rsidRDefault="001B181F" w:rsidP="00722632">
      <w:pPr>
        <w:spacing w:after="0" w:line="480" w:lineRule="auto"/>
        <w:jc w:val="both"/>
        <w:rPr>
          <w:b/>
          <w:sz w:val="28"/>
          <w:szCs w:val="28"/>
        </w:rPr>
      </w:pPr>
      <w:r w:rsidRPr="007A7094">
        <w:rPr>
          <w:b/>
          <w:sz w:val="28"/>
          <w:szCs w:val="28"/>
        </w:rPr>
        <w:t xml:space="preserve">Observations from a controversy </w:t>
      </w:r>
    </w:p>
    <w:p w14:paraId="00BB93B5" w14:textId="7377A8DA" w:rsidR="00183A1B" w:rsidRPr="007A7094" w:rsidRDefault="001B181F" w:rsidP="00722632">
      <w:pPr>
        <w:spacing w:after="0" w:line="480" w:lineRule="auto"/>
        <w:jc w:val="both"/>
      </w:pPr>
      <w:r w:rsidRPr="007A7094">
        <w:t xml:space="preserve">What happens when we think of evidence-making moments as matters of performance? How does </w:t>
      </w:r>
      <w:r w:rsidR="006D4A23" w:rsidRPr="007A7094">
        <w:t>this</w:t>
      </w:r>
      <w:r w:rsidRPr="007A7094">
        <w:t xml:space="preserve"> encourage </w:t>
      </w:r>
      <w:r w:rsidR="00180815" w:rsidRPr="007A7094">
        <w:t xml:space="preserve">us </w:t>
      </w:r>
      <w:r w:rsidRPr="007A7094">
        <w:t xml:space="preserve">to </w:t>
      </w:r>
      <w:r w:rsidR="001065BE" w:rsidRPr="007A7094">
        <w:t xml:space="preserve">engage </w:t>
      </w:r>
      <w:r w:rsidRPr="007A7094">
        <w:t xml:space="preserve">with </w:t>
      </w:r>
      <w:r w:rsidR="001065BE" w:rsidRPr="007A7094">
        <w:t xml:space="preserve">evidencing </w:t>
      </w:r>
      <w:r w:rsidRPr="007A7094">
        <w:t>differently? And how can this</w:t>
      </w:r>
      <w:r w:rsidR="00180815" w:rsidRPr="007A7094">
        <w:t xml:space="preserve"> </w:t>
      </w:r>
      <w:r w:rsidR="001065BE" w:rsidRPr="007A7094">
        <w:t>help</w:t>
      </w:r>
      <w:r w:rsidRPr="007A7094">
        <w:t xml:space="preserve"> </w:t>
      </w:r>
      <w:r w:rsidR="001065BE" w:rsidRPr="007A7094">
        <w:t xml:space="preserve">us </w:t>
      </w:r>
      <w:r w:rsidR="00C85BE5" w:rsidRPr="007A7094">
        <w:t>produce</w:t>
      </w:r>
      <w:r w:rsidR="001065BE" w:rsidRPr="007A7094">
        <w:t xml:space="preserve"> evidence</w:t>
      </w:r>
      <w:r w:rsidR="00C85BE5" w:rsidRPr="007A7094">
        <w:t xml:space="preserve"> and intervention</w:t>
      </w:r>
      <w:r w:rsidRPr="007A7094">
        <w:t xml:space="preserve"> more carefully?</w:t>
      </w:r>
      <w:r w:rsidR="003C2A3E" w:rsidRPr="007A7094">
        <w:t xml:space="preserve"> Let us put the </w:t>
      </w:r>
      <w:r w:rsidR="00413674" w:rsidRPr="007A7094">
        <w:t xml:space="preserve">recent </w:t>
      </w:r>
      <w:r w:rsidR="003C2A3E" w:rsidRPr="007A7094">
        <w:t xml:space="preserve">controversy surrounding the clinical benefits of DAAs to use in this way. </w:t>
      </w:r>
    </w:p>
    <w:p w14:paraId="1C25CCB3" w14:textId="31761094" w:rsidR="00183A1B" w:rsidRPr="007A7094" w:rsidRDefault="00183A1B" w:rsidP="00722632">
      <w:pPr>
        <w:spacing w:after="0" w:line="480" w:lineRule="auto"/>
        <w:jc w:val="both"/>
      </w:pPr>
    </w:p>
    <w:p w14:paraId="6040F19F" w14:textId="70A940CD" w:rsidR="0051115A" w:rsidRPr="007A7094" w:rsidRDefault="00AB1610" w:rsidP="00722632">
      <w:pPr>
        <w:spacing w:after="0" w:line="480" w:lineRule="auto"/>
        <w:jc w:val="both"/>
        <w:rPr>
          <w:i/>
          <w:sz w:val="24"/>
          <w:szCs w:val="24"/>
        </w:rPr>
      </w:pPr>
      <w:r w:rsidRPr="007A7094">
        <w:rPr>
          <w:i/>
          <w:sz w:val="24"/>
          <w:szCs w:val="24"/>
        </w:rPr>
        <w:t>Evidence</w:t>
      </w:r>
      <w:r w:rsidR="004B1B9C" w:rsidRPr="007A7094">
        <w:rPr>
          <w:i/>
          <w:sz w:val="24"/>
          <w:szCs w:val="24"/>
        </w:rPr>
        <w:t>-making</w:t>
      </w:r>
      <w:r w:rsidRPr="007A7094">
        <w:rPr>
          <w:i/>
          <w:sz w:val="24"/>
          <w:szCs w:val="24"/>
        </w:rPr>
        <w:t xml:space="preserve"> </w:t>
      </w:r>
      <w:r w:rsidR="0019510C" w:rsidRPr="007A7094">
        <w:rPr>
          <w:i/>
          <w:sz w:val="24"/>
          <w:szCs w:val="24"/>
        </w:rPr>
        <w:t>uncertainty</w:t>
      </w:r>
    </w:p>
    <w:p w14:paraId="0849FD77" w14:textId="32B4929D" w:rsidR="0019510C" w:rsidRPr="007A7094" w:rsidRDefault="004B1B9C" w:rsidP="00722632">
      <w:pPr>
        <w:spacing w:after="0" w:line="480" w:lineRule="auto"/>
        <w:jc w:val="both"/>
      </w:pPr>
      <w:r w:rsidRPr="007A7094">
        <w:lastRenderedPageBreak/>
        <w:t xml:space="preserve">The Cochrane systematic review performs </w:t>
      </w:r>
      <w:r w:rsidRPr="007A7094">
        <w:rPr>
          <w:i/>
        </w:rPr>
        <w:t>uncertainty</w:t>
      </w:r>
      <w:r w:rsidRPr="007A7094">
        <w:t xml:space="preserve">. This enactment of uncertainty is not </w:t>
      </w:r>
      <w:r w:rsidR="006C2147" w:rsidRPr="007A7094">
        <w:t>directly derived from</w:t>
      </w:r>
      <w:r w:rsidR="001065BE" w:rsidRPr="007A7094">
        <w:t>, or located inside,</w:t>
      </w:r>
      <w:r w:rsidR="006C2147" w:rsidRPr="007A7094">
        <w:t xml:space="preserve"> the</w:t>
      </w:r>
      <w:r w:rsidR="001065BE" w:rsidRPr="007A7094">
        <w:t xml:space="preserve"> data contained within the systematic review but is produced by how the science perform</w:t>
      </w:r>
      <w:r w:rsidR="005C2541" w:rsidRPr="007A7094">
        <w:t>s these data</w:t>
      </w:r>
      <w:r w:rsidR="000166F4" w:rsidRPr="007A7094">
        <w:t>, including</w:t>
      </w:r>
      <w:r w:rsidR="001065BE" w:rsidRPr="007A7094">
        <w:t xml:space="preserve"> through</w:t>
      </w:r>
      <w:r w:rsidR="000166F4" w:rsidRPr="007A7094">
        <w:t xml:space="preserve"> write-up into</w:t>
      </w:r>
      <w:r w:rsidR="001065BE" w:rsidRPr="007A7094">
        <w:t xml:space="preserve"> publication.</w:t>
      </w:r>
      <w:r w:rsidR="000166F4" w:rsidRPr="007A7094">
        <w:t xml:space="preserve"> </w:t>
      </w:r>
      <w:r w:rsidR="001065BE" w:rsidRPr="007A7094">
        <w:t xml:space="preserve"> </w:t>
      </w:r>
      <w:r w:rsidR="006C2147" w:rsidRPr="007A7094">
        <w:t>Even before the evidence</w:t>
      </w:r>
      <w:r w:rsidR="00E75F1D" w:rsidRPr="007A7094">
        <w:t xml:space="preserve"> </w:t>
      </w:r>
      <w:r w:rsidR="006C2147" w:rsidRPr="007A7094">
        <w:t xml:space="preserve">is presented the </w:t>
      </w:r>
      <w:r w:rsidR="00E27765" w:rsidRPr="007A7094">
        <w:t xml:space="preserve">published </w:t>
      </w:r>
      <w:r w:rsidR="00E27765" w:rsidRPr="007A7094">
        <w:rPr>
          <w:i/>
        </w:rPr>
        <w:t>BMJ</w:t>
      </w:r>
      <w:r w:rsidR="00E27765" w:rsidRPr="007A7094">
        <w:t xml:space="preserve"> </w:t>
      </w:r>
      <w:r w:rsidR="006C2147" w:rsidRPr="007A7094">
        <w:t>paper enacts uncertainty as its headline: “Uncertainties” is proffered as a topic category for the paper; and the paper is organised around the sub-sections of “What is the evidence of uncertainty?”, and “What should we do in light of the uncertainty?”. These headlines</w:t>
      </w:r>
      <w:r w:rsidR="00E27765" w:rsidRPr="007A7094">
        <w:t>,</w:t>
      </w:r>
      <w:r w:rsidR="006C2147" w:rsidRPr="007A7094">
        <w:t xml:space="preserve"> taken in conjunction with the questioning title of the paper “Do DAAs cure chronic hepatitis?”</w:t>
      </w:r>
      <w:r w:rsidR="0019510C" w:rsidRPr="007A7094">
        <w:t xml:space="preserve"> make-up doubt, even before the facts of the case are assessed.</w:t>
      </w:r>
      <w:r w:rsidR="006C2147" w:rsidRPr="007A7094">
        <w:t xml:space="preserve"> </w:t>
      </w:r>
      <w:r w:rsidR="000166F4" w:rsidRPr="007A7094">
        <w:t xml:space="preserve">Translating DAAs as an object of uncertainty is here a matter of </w:t>
      </w:r>
      <w:r w:rsidR="0019510C" w:rsidRPr="007A7094">
        <w:rPr>
          <w:i/>
        </w:rPr>
        <w:t>discursive practice</w:t>
      </w:r>
      <w:r w:rsidR="000166F4" w:rsidRPr="007A7094">
        <w:t xml:space="preserve">; something enacted materially in the rhetorical work of the </w:t>
      </w:r>
      <w:r w:rsidR="000166F4" w:rsidRPr="007A7094">
        <w:rPr>
          <w:i/>
        </w:rPr>
        <w:t>BMJ</w:t>
      </w:r>
      <w:r w:rsidR="000166F4" w:rsidRPr="007A7094">
        <w:t xml:space="preserve"> publication.  </w:t>
      </w:r>
      <w:r w:rsidR="0019510C" w:rsidRPr="007A7094">
        <w:t xml:space="preserve"> </w:t>
      </w:r>
    </w:p>
    <w:p w14:paraId="6435C891" w14:textId="1658E329" w:rsidR="0019510C" w:rsidRPr="007A7094" w:rsidRDefault="0019510C" w:rsidP="00722632">
      <w:pPr>
        <w:spacing w:after="0" w:line="480" w:lineRule="auto"/>
        <w:jc w:val="both"/>
      </w:pPr>
    </w:p>
    <w:p w14:paraId="4D5B0A1A" w14:textId="6A1951D9" w:rsidR="00137076" w:rsidRPr="007A7094" w:rsidRDefault="0019510C" w:rsidP="00722632">
      <w:pPr>
        <w:spacing w:after="0" w:line="480" w:lineRule="auto"/>
        <w:jc w:val="both"/>
      </w:pPr>
      <w:r w:rsidRPr="007A7094">
        <w:t xml:space="preserve">The performance of uncertainty is extended further </w:t>
      </w:r>
      <w:r w:rsidR="00F6517F" w:rsidRPr="007A7094">
        <w:t>in</w:t>
      </w:r>
      <w:r w:rsidRPr="007A7094">
        <w:t xml:space="preserve"> the interpretati</w:t>
      </w:r>
      <w:r w:rsidR="000166F4" w:rsidRPr="007A7094">
        <w:t>ve work contributed by</w:t>
      </w:r>
      <w:r w:rsidRPr="007A7094">
        <w:t xml:space="preserve"> the authors. They explicitly guide doctors to discuss with their patients “the uncertain long</w:t>
      </w:r>
      <w:r w:rsidR="00831876" w:rsidRPr="007A7094">
        <w:t>-</w:t>
      </w:r>
      <w:r w:rsidRPr="007A7094">
        <w:t>term clinical benefit” of their</w:t>
      </w:r>
      <w:r w:rsidR="00773704" w:rsidRPr="007A7094">
        <w:t xml:space="preserve"> </w:t>
      </w:r>
      <w:r w:rsidR="00FE5988" w:rsidRPr="007A7094">
        <w:t xml:space="preserve">DAA </w:t>
      </w:r>
      <w:r w:rsidRPr="007A7094">
        <w:t xml:space="preserve">treatments, as well as the treatment “risks” and “costs”. </w:t>
      </w:r>
      <w:r w:rsidR="007355FB" w:rsidRPr="007A7094">
        <w:t xml:space="preserve">This is because “patients need to know” that DAAs are not only “costly” but that there is “an absence of evidence on whether [they] cure the disease”. Uncertainty is </w:t>
      </w:r>
      <w:r w:rsidR="00993118" w:rsidRPr="007A7094">
        <w:t>produc</w:t>
      </w:r>
      <w:r w:rsidR="00F6517F" w:rsidRPr="007A7094">
        <w:t xml:space="preserve">ed through the </w:t>
      </w:r>
      <w:r w:rsidR="00993118" w:rsidRPr="007A7094">
        <w:t xml:space="preserve">translation </w:t>
      </w:r>
      <w:r w:rsidR="00F6517F" w:rsidRPr="007A7094">
        <w:t>of evidence</w:t>
      </w:r>
      <w:r w:rsidR="00993118" w:rsidRPr="007A7094">
        <w:t xml:space="preserve"> from </w:t>
      </w:r>
      <w:r w:rsidR="007355FB" w:rsidRPr="007A7094">
        <w:t xml:space="preserve">a matter of </w:t>
      </w:r>
      <w:r w:rsidR="00993118" w:rsidRPr="007A7094">
        <w:t xml:space="preserve">presented </w:t>
      </w:r>
      <w:r w:rsidR="007355FB" w:rsidRPr="007A7094">
        <w:t xml:space="preserve">fact (the treatments are uncertain) </w:t>
      </w:r>
      <w:r w:rsidR="00993118" w:rsidRPr="007A7094">
        <w:t xml:space="preserve">to </w:t>
      </w:r>
      <w:r w:rsidR="00F6517F" w:rsidRPr="007A7094">
        <w:t xml:space="preserve">a concern in </w:t>
      </w:r>
      <w:r w:rsidR="00993118" w:rsidRPr="007A7094">
        <w:t xml:space="preserve">the real world </w:t>
      </w:r>
      <w:r w:rsidR="007355FB" w:rsidRPr="007A7094">
        <w:t xml:space="preserve">(uncertainty is to be communicated to doctors and by doctors to patients). Uncertainty </w:t>
      </w:r>
      <w:r w:rsidR="000166F4" w:rsidRPr="007A7094">
        <w:t xml:space="preserve">emerges </w:t>
      </w:r>
      <w:r w:rsidR="00993118" w:rsidRPr="007A7094">
        <w:t xml:space="preserve">at once </w:t>
      </w:r>
      <w:r w:rsidR="000166F4" w:rsidRPr="007A7094">
        <w:t xml:space="preserve">as </w:t>
      </w:r>
      <w:r w:rsidR="00993118" w:rsidRPr="007A7094">
        <w:t>a</w:t>
      </w:r>
      <w:r w:rsidR="007355FB" w:rsidRPr="007A7094">
        <w:t xml:space="preserve"> matter</w:t>
      </w:r>
      <w:r w:rsidR="00994282" w:rsidRPr="007A7094">
        <w:t>-</w:t>
      </w:r>
      <w:r w:rsidR="007355FB" w:rsidRPr="007A7094">
        <w:t>of</w:t>
      </w:r>
      <w:r w:rsidR="00994282" w:rsidRPr="007A7094">
        <w:t>-</w:t>
      </w:r>
      <w:r w:rsidR="007355FB" w:rsidRPr="007A7094">
        <w:t xml:space="preserve">fact and a </w:t>
      </w:r>
      <w:r w:rsidR="007355FB" w:rsidRPr="007A7094">
        <w:rPr>
          <w:i/>
        </w:rPr>
        <w:t>matte</w:t>
      </w:r>
      <w:r w:rsidR="00994282" w:rsidRPr="007A7094">
        <w:rPr>
          <w:i/>
        </w:rPr>
        <w:t>r-</w:t>
      </w:r>
      <w:r w:rsidR="007355FB" w:rsidRPr="007A7094">
        <w:rPr>
          <w:i/>
        </w:rPr>
        <w:t>of</w:t>
      </w:r>
      <w:r w:rsidR="00994282" w:rsidRPr="007A7094">
        <w:rPr>
          <w:i/>
        </w:rPr>
        <w:t>-</w:t>
      </w:r>
      <w:r w:rsidR="007355FB" w:rsidRPr="007A7094">
        <w:rPr>
          <w:i/>
        </w:rPr>
        <w:t>concern</w:t>
      </w:r>
      <w:r w:rsidR="007355FB" w:rsidRPr="007A7094">
        <w:t>.</w:t>
      </w:r>
      <w:r w:rsidR="00137076" w:rsidRPr="007A7094">
        <w:t xml:space="preserve"> </w:t>
      </w:r>
    </w:p>
    <w:p w14:paraId="58693C67" w14:textId="77777777" w:rsidR="00137076" w:rsidRPr="007A7094" w:rsidRDefault="00137076" w:rsidP="00722632">
      <w:pPr>
        <w:spacing w:after="0" w:line="480" w:lineRule="auto"/>
        <w:jc w:val="both"/>
      </w:pPr>
    </w:p>
    <w:p w14:paraId="528C5CB4" w14:textId="2E18D95E" w:rsidR="00993118" w:rsidRPr="007A7094" w:rsidRDefault="00993118" w:rsidP="00722632">
      <w:pPr>
        <w:spacing w:after="0" w:line="480" w:lineRule="auto"/>
        <w:jc w:val="both"/>
      </w:pPr>
      <w:r w:rsidRPr="007A7094">
        <w:t xml:space="preserve">It is the performative work of science </w:t>
      </w:r>
      <w:r w:rsidR="00291276" w:rsidRPr="007A7094">
        <w:t xml:space="preserve">rather than data alone </w:t>
      </w:r>
      <w:r w:rsidRPr="007A7094">
        <w:t xml:space="preserve">that </w:t>
      </w:r>
      <w:r w:rsidR="00741D6E" w:rsidRPr="007A7094">
        <w:t>is doing</w:t>
      </w:r>
      <w:r w:rsidRPr="007A7094">
        <w:t xml:space="preserve"> the acting here. </w:t>
      </w:r>
      <w:r w:rsidR="00741D6E" w:rsidRPr="007A7094">
        <w:t xml:space="preserve">The data are but one actor in this entanglement between scientists, methods, interpretations, publications, and how these interplay in </w:t>
      </w:r>
      <w:r w:rsidR="005C2541" w:rsidRPr="007A7094">
        <w:t>‘</w:t>
      </w:r>
      <w:r w:rsidR="00741D6E" w:rsidRPr="007A7094">
        <w:t>real worlds</w:t>
      </w:r>
      <w:r w:rsidR="005C2541" w:rsidRPr="007A7094">
        <w:t>’</w:t>
      </w:r>
      <w:r w:rsidR="00741D6E" w:rsidRPr="007A7094">
        <w:t xml:space="preserve">. Importantly, the data are not simply discovered, and do not speak for themselves, but are </w:t>
      </w:r>
      <w:r w:rsidR="00741D6E" w:rsidRPr="007A7094">
        <w:rPr>
          <w:i/>
        </w:rPr>
        <w:t>made</w:t>
      </w:r>
      <w:r w:rsidR="00741D6E" w:rsidRPr="007A7094">
        <w:t xml:space="preserve">. This is the case with the systematic and meta-analytic review as with any other knowledge-making event (Moreira, 2007). Here, we can appreciate that the </w:t>
      </w:r>
      <w:r w:rsidRPr="007A7094">
        <w:t>evidence-</w:t>
      </w:r>
      <w:r w:rsidRPr="007A7094">
        <w:rPr>
          <w:i/>
        </w:rPr>
        <w:t>making</w:t>
      </w:r>
      <w:r w:rsidRPr="007A7094">
        <w:t xml:space="preserve"> of uncertainty requires translational </w:t>
      </w:r>
      <w:r w:rsidR="00741D6E" w:rsidRPr="007A7094">
        <w:t>work</w:t>
      </w:r>
      <w:r w:rsidR="006566B8" w:rsidRPr="007A7094">
        <w:t>.</w:t>
      </w:r>
      <w:r w:rsidR="00741D6E" w:rsidRPr="007A7094">
        <w:t xml:space="preserve"> </w:t>
      </w:r>
      <w:r w:rsidR="00137076" w:rsidRPr="007A7094">
        <w:t>The e</w:t>
      </w:r>
      <w:r w:rsidR="0048208A" w:rsidRPr="007A7094">
        <w:t>vidence</w:t>
      </w:r>
      <w:r w:rsidR="00137076" w:rsidRPr="007A7094">
        <w:t xml:space="preserve"> </w:t>
      </w:r>
      <w:r w:rsidR="0048208A" w:rsidRPr="007A7094">
        <w:t>is</w:t>
      </w:r>
      <w:r w:rsidR="00F716CB" w:rsidRPr="007A7094">
        <w:t xml:space="preserve"> not</w:t>
      </w:r>
      <w:r w:rsidR="0048208A" w:rsidRPr="007A7094">
        <w:t xml:space="preserve"> </w:t>
      </w:r>
      <w:r w:rsidR="00F716CB" w:rsidRPr="007A7094">
        <w:t xml:space="preserve">pre-existing or </w:t>
      </w:r>
      <w:r w:rsidR="0048208A" w:rsidRPr="007A7094">
        <w:t>fixed</w:t>
      </w:r>
      <w:r w:rsidR="00741D6E" w:rsidRPr="007A7094">
        <w:t xml:space="preserve"> or simply </w:t>
      </w:r>
      <w:r w:rsidR="00741D6E" w:rsidRPr="007A7094">
        <w:lastRenderedPageBreak/>
        <w:t xml:space="preserve">transferred </w:t>
      </w:r>
      <w:r w:rsidR="0048208A" w:rsidRPr="007A7094">
        <w:t>but</w:t>
      </w:r>
      <w:r w:rsidR="00741D6E" w:rsidRPr="007A7094">
        <w:rPr>
          <w:i/>
        </w:rPr>
        <w:t xml:space="preserve"> shaped into being</w:t>
      </w:r>
      <w:r w:rsidR="00F716CB" w:rsidRPr="007A7094">
        <w:t xml:space="preserve">, </w:t>
      </w:r>
      <w:r w:rsidR="00137076" w:rsidRPr="007A7094">
        <w:t>subject to how it</w:t>
      </w:r>
      <w:r w:rsidR="00593539" w:rsidRPr="007A7094">
        <w:t xml:space="preserve"> is </w:t>
      </w:r>
      <w:r w:rsidR="0048208A" w:rsidRPr="007A7094">
        <w:rPr>
          <w:i/>
        </w:rPr>
        <w:t>put</w:t>
      </w:r>
      <w:r w:rsidR="00831876" w:rsidRPr="007A7094">
        <w:rPr>
          <w:i/>
        </w:rPr>
        <w:t>-</w:t>
      </w:r>
      <w:r w:rsidR="0048208A" w:rsidRPr="007A7094">
        <w:rPr>
          <w:i/>
        </w:rPr>
        <w:t>to</w:t>
      </w:r>
      <w:r w:rsidR="00831876" w:rsidRPr="007A7094">
        <w:rPr>
          <w:i/>
        </w:rPr>
        <w:t>-</w:t>
      </w:r>
      <w:r w:rsidR="0048208A" w:rsidRPr="007A7094">
        <w:rPr>
          <w:i/>
        </w:rPr>
        <w:t>use</w:t>
      </w:r>
      <w:r w:rsidR="0048208A" w:rsidRPr="007A7094">
        <w:t xml:space="preserve"> in transformative ways</w:t>
      </w:r>
      <w:r w:rsidR="00D874C2" w:rsidRPr="007A7094">
        <w:t xml:space="preserve"> (</w:t>
      </w:r>
      <w:r w:rsidR="00741D6E" w:rsidRPr="007A7094">
        <w:t xml:space="preserve">Moreira, 2007; </w:t>
      </w:r>
      <w:r w:rsidR="00D874C2" w:rsidRPr="007A7094">
        <w:t>Lancaster, 2016)</w:t>
      </w:r>
      <w:r w:rsidR="0048208A" w:rsidRPr="007A7094">
        <w:t>.</w:t>
      </w:r>
      <w:r w:rsidRPr="007A7094">
        <w:t xml:space="preserve"> </w:t>
      </w:r>
      <w:r w:rsidR="00180B1A" w:rsidRPr="007A7094">
        <w:t>At the outset then, we see that science does so much more than simply discover, for it works to translate and transform apparent facts in relation to concern</w:t>
      </w:r>
      <w:r w:rsidR="005C2541" w:rsidRPr="007A7094">
        <w:t>s</w:t>
      </w:r>
      <w:r w:rsidR="00180B1A" w:rsidRPr="007A7094">
        <w:t xml:space="preserve">. This is a process of </w:t>
      </w:r>
      <w:r w:rsidR="00180B1A" w:rsidRPr="007A7094">
        <w:rPr>
          <w:i/>
        </w:rPr>
        <w:t>qualification</w:t>
      </w:r>
      <w:r w:rsidR="00180B1A" w:rsidRPr="007A7094">
        <w:t xml:space="preserve"> (Moreira, 2007). Critically, t</w:t>
      </w:r>
      <w:r w:rsidR="00137076" w:rsidRPr="007A7094">
        <w:t>reating</w:t>
      </w:r>
      <w:r w:rsidR="0048208A" w:rsidRPr="007A7094">
        <w:t xml:space="preserve"> evidenc</w:t>
      </w:r>
      <w:r w:rsidR="00137076" w:rsidRPr="007A7094">
        <w:t>ing</w:t>
      </w:r>
      <w:r w:rsidR="0048208A" w:rsidRPr="007A7094">
        <w:t xml:space="preserve"> as performa</w:t>
      </w:r>
      <w:r w:rsidR="00137076" w:rsidRPr="007A7094">
        <w:t>tive</w:t>
      </w:r>
      <w:r w:rsidR="00180B1A" w:rsidRPr="007A7094">
        <w:t xml:space="preserve"> in this way</w:t>
      </w:r>
      <w:r w:rsidR="0048208A" w:rsidRPr="007A7094">
        <w:t xml:space="preserve"> helps </w:t>
      </w:r>
      <w:r w:rsidR="00137076" w:rsidRPr="007A7094">
        <w:t>attend to</w:t>
      </w:r>
      <w:r w:rsidR="0048208A" w:rsidRPr="007A7094">
        <w:t xml:space="preserve"> what might have been otherwise</w:t>
      </w:r>
      <w:r w:rsidR="00D874C2" w:rsidRPr="007A7094">
        <w:t xml:space="preserve"> </w:t>
      </w:r>
      <w:r w:rsidR="00180B1A" w:rsidRPr="007A7094">
        <w:t>(</w:t>
      </w:r>
      <w:r w:rsidR="00D874C2" w:rsidRPr="007A7094">
        <w:t>Law and Singleton, 2000)</w:t>
      </w:r>
      <w:r w:rsidR="0048208A" w:rsidRPr="007A7094">
        <w:t>.</w:t>
      </w:r>
      <w:r w:rsidR="00D874C2" w:rsidRPr="007A7094">
        <w:t xml:space="preserve"> </w:t>
      </w:r>
      <w:r w:rsidR="0048208A" w:rsidRPr="007A7094">
        <w:t>Could, for instance, t</w:t>
      </w:r>
      <w:r w:rsidR="00180B1A" w:rsidRPr="007A7094">
        <w:t>he</w:t>
      </w:r>
      <w:r w:rsidR="0048208A" w:rsidRPr="007A7094">
        <w:t xml:space="preserve"> same </w:t>
      </w:r>
      <w:r w:rsidR="00F716CB" w:rsidRPr="007A7094">
        <w:t xml:space="preserve">apparent </w:t>
      </w:r>
      <w:r w:rsidR="00271681" w:rsidRPr="007A7094">
        <w:t>‘</w:t>
      </w:r>
      <w:r w:rsidR="0048208A" w:rsidRPr="007A7094">
        <w:t>fact</w:t>
      </w:r>
      <w:r w:rsidR="00180B1A" w:rsidRPr="007A7094">
        <w:t>s</w:t>
      </w:r>
      <w:r w:rsidR="00271681" w:rsidRPr="007A7094">
        <w:t>’</w:t>
      </w:r>
      <w:r w:rsidR="0048208A" w:rsidRPr="007A7094">
        <w:t xml:space="preserve"> of </w:t>
      </w:r>
      <w:r w:rsidR="00180B1A" w:rsidRPr="007A7094">
        <w:t xml:space="preserve">inconclusive </w:t>
      </w:r>
      <w:r w:rsidR="0048208A" w:rsidRPr="007A7094">
        <w:t xml:space="preserve">clinical benefit of DAAs have been performed differently? Might </w:t>
      </w:r>
      <w:r w:rsidR="00180B1A" w:rsidRPr="007A7094">
        <w:t xml:space="preserve">these same data </w:t>
      </w:r>
      <w:r w:rsidR="0048208A" w:rsidRPr="007A7094">
        <w:t xml:space="preserve">have been </w:t>
      </w:r>
      <w:r w:rsidR="00180B1A" w:rsidRPr="007A7094">
        <w:t xml:space="preserve">qualified </w:t>
      </w:r>
      <w:r w:rsidR="00ED6811" w:rsidRPr="007A7094">
        <w:t xml:space="preserve">– made to matter – </w:t>
      </w:r>
      <w:r w:rsidR="00180B1A" w:rsidRPr="007A7094">
        <w:t>differently regarding their</w:t>
      </w:r>
      <w:r w:rsidR="0048208A" w:rsidRPr="007A7094">
        <w:t xml:space="preserve"> implication</w:t>
      </w:r>
      <w:r w:rsidR="00180B1A" w:rsidRPr="007A7094">
        <w:t>s</w:t>
      </w:r>
      <w:r w:rsidR="0048208A" w:rsidRPr="007A7094">
        <w:t xml:space="preserve"> for </w:t>
      </w:r>
      <w:r w:rsidR="00180B1A" w:rsidRPr="007A7094">
        <w:t xml:space="preserve">patients, </w:t>
      </w:r>
      <w:r w:rsidR="00137076" w:rsidRPr="007A7094">
        <w:t>clinic</w:t>
      </w:r>
      <w:r w:rsidR="00180B1A" w:rsidRPr="007A7094">
        <w:t>ians and practitioners</w:t>
      </w:r>
      <w:r w:rsidR="0048208A" w:rsidRPr="007A7094">
        <w:t>?</w:t>
      </w:r>
      <w:r w:rsidR="00643CEE" w:rsidRPr="007A7094">
        <w:t xml:space="preserve"> </w:t>
      </w:r>
      <w:r w:rsidR="0048208A" w:rsidRPr="007A7094">
        <w:t xml:space="preserve">These questions invite us to explore the </w:t>
      </w:r>
      <w:r w:rsidR="0048208A" w:rsidRPr="007A7094">
        <w:rPr>
          <w:i/>
        </w:rPr>
        <w:t>social</w:t>
      </w:r>
      <w:r w:rsidR="00F716CB" w:rsidRPr="007A7094">
        <w:rPr>
          <w:i/>
        </w:rPr>
        <w:t xml:space="preserve"> and political </w:t>
      </w:r>
      <w:r w:rsidR="0048208A" w:rsidRPr="007A7094">
        <w:rPr>
          <w:i/>
        </w:rPr>
        <w:t>relations</w:t>
      </w:r>
      <w:r w:rsidR="0048208A" w:rsidRPr="007A7094">
        <w:t xml:space="preserve"> of evidence-making practices</w:t>
      </w:r>
      <w:r w:rsidR="00137076" w:rsidRPr="007A7094">
        <w:t xml:space="preserve">. They </w:t>
      </w:r>
      <w:r w:rsidR="001B43DD" w:rsidRPr="007A7094">
        <w:t>orientate towards</w:t>
      </w:r>
      <w:r w:rsidR="00137076" w:rsidRPr="007A7094">
        <w:t xml:space="preserve"> trac</w:t>
      </w:r>
      <w:r w:rsidR="001B43DD" w:rsidRPr="007A7094">
        <w:t>ing</w:t>
      </w:r>
      <w:r w:rsidR="0048208A" w:rsidRPr="007A7094">
        <w:t xml:space="preserve"> how things presented as ‘matters</w:t>
      </w:r>
      <w:r w:rsidR="00994282" w:rsidRPr="007A7094">
        <w:t>-</w:t>
      </w:r>
      <w:r w:rsidR="0048208A" w:rsidRPr="007A7094">
        <w:t>of</w:t>
      </w:r>
      <w:r w:rsidR="00994282" w:rsidRPr="007A7094">
        <w:t>-</w:t>
      </w:r>
      <w:r w:rsidR="0048208A" w:rsidRPr="007A7094">
        <w:t>fact’ (</w:t>
      </w:r>
      <w:r w:rsidR="00B8054D" w:rsidRPr="007A7094">
        <w:t xml:space="preserve">here, </w:t>
      </w:r>
      <w:r w:rsidR="0068302C" w:rsidRPr="007A7094">
        <w:t xml:space="preserve">discovered or proved by </w:t>
      </w:r>
      <w:r w:rsidR="0048208A" w:rsidRPr="007A7094">
        <w:t>RCT</w:t>
      </w:r>
      <w:r w:rsidR="0068302C" w:rsidRPr="007A7094">
        <w:t>s</w:t>
      </w:r>
      <w:r w:rsidR="0048208A" w:rsidRPr="007A7094">
        <w:t xml:space="preserve">) </w:t>
      </w:r>
      <w:r w:rsidR="0068302C" w:rsidRPr="007A7094">
        <w:t>are</w:t>
      </w:r>
      <w:r w:rsidR="0048208A" w:rsidRPr="007A7094">
        <w:t xml:space="preserve"> translated </w:t>
      </w:r>
      <w:r w:rsidR="0068302C" w:rsidRPr="007A7094">
        <w:t xml:space="preserve">from, as well as </w:t>
      </w:r>
      <w:r w:rsidR="0048208A" w:rsidRPr="007A7094">
        <w:t>into</w:t>
      </w:r>
      <w:r w:rsidR="0068302C" w:rsidRPr="007A7094">
        <w:t>,</w:t>
      </w:r>
      <w:r w:rsidR="0048208A" w:rsidRPr="007A7094">
        <w:t xml:space="preserve"> particular ‘matters</w:t>
      </w:r>
      <w:r w:rsidR="00994282" w:rsidRPr="007A7094">
        <w:t>-</w:t>
      </w:r>
      <w:r w:rsidR="0048208A" w:rsidRPr="007A7094">
        <w:t>of</w:t>
      </w:r>
      <w:r w:rsidR="00994282" w:rsidRPr="007A7094">
        <w:t>-</w:t>
      </w:r>
      <w:r w:rsidR="0048208A" w:rsidRPr="007A7094">
        <w:t>concern’ (</w:t>
      </w:r>
      <w:r w:rsidR="0068302C" w:rsidRPr="007A7094">
        <w:t>situated practices of the social</w:t>
      </w:r>
      <w:r w:rsidR="00643CEE" w:rsidRPr="007A7094">
        <w:t xml:space="preserve"> and clinical</w:t>
      </w:r>
      <w:r w:rsidR="0048208A" w:rsidRPr="007A7094">
        <w:t xml:space="preserve">). </w:t>
      </w:r>
    </w:p>
    <w:p w14:paraId="3FD13232" w14:textId="3165BC5B" w:rsidR="007355FB" w:rsidRPr="007A7094" w:rsidRDefault="007355FB" w:rsidP="00722632">
      <w:pPr>
        <w:spacing w:after="0" w:line="480" w:lineRule="auto"/>
        <w:jc w:val="both"/>
      </w:pPr>
    </w:p>
    <w:p w14:paraId="257A3D7F" w14:textId="06D0F45E" w:rsidR="001F2DD8" w:rsidRPr="007A7094" w:rsidRDefault="007471CF" w:rsidP="00722632">
      <w:pPr>
        <w:spacing w:after="0" w:line="480" w:lineRule="auto"/>
        <w:jc w:val="both"/>
        <w:rPr>
          <w:i/>
          <w:sz w:val="24"/>
          <w:szCs w:val="24"/>
        </w:rPr>
      </w:pPr>
      <w:r w:rsidRPr="007A7094">
        <w:rPr>
          <w:i/>
          <w:sz w:val="24"/>
          <w:szCs w:val="24"/>
        </w:rPr>
        <w:t>Matters</w:t>
      </w:r>
      <w:r w:rsidR="00C37712" w:rsidRPr="007A7094">
        <w:rPr>
          <w:i/>
          <w:sz w:val="24"/>
          <w:szCs w:val="24"/>
        </w:rPr>
        <w:t>-</w:t>
      </w:r>
      <w:r w:rsidRPr="007A7094">
        <w:rPr>
          <w:i/>
          <w:sz w:val="24"/>
          <w:szCs w:val="24"/>
        </w:rPr>
        <w:t>of</w:t>
      </w:r>
      <w:r w:rsidR="00C37712" w:rsidRPr="007A7094">
        <w:rPr>
          <w:i/>
          <w:sz w:val="24"/>
          <w:szCs w:val="24"/>
        </w:rPr>
        <w:t>-</w:t>
      </w:r>
      <w:r w:rsidRPr="007A7094">
        <w:rPr>
          <w:i/>
          <w:sz w:val="24"/>
          <w:szCs w:val="24"/>
        </w:rPr>
        <w:t>fact translated as matters</w:t>
      </w:r>
      <w:r w:rsidR="00C37712" w:rsidRPr="007A7094">
        <w:rPr>
          <w:i/>
          <w:sz w:val="24"/>
          <w:szCs w:val="24"/>
        </w:rPr>
        <w:t>-</w:t>
      </w:r>
      <w:r w:rsidRPr="007A7094">
        <w:rPr>
          <w:i/>
          <w:sz w:val="24"/>
          <w:szCs w:val="24"/>
        </w:rPr>
        <w:t>of</w:t>
      </w:r>
      <w:r w:rsidR="00C37712" w:rsidRPr="007A7094">
        <w:rPr>
          <w:i/>
          <w:sz w:val="24"/>
          <w:szCs w:val="24"/>
        </w:rPr>
        <w:t>-</w:t>
      </w:r>
      <w:r w:rsidRPr="007A7094">
        <w:rPr>
          <w:i/>
          <w:sz w:val="24"/>
          <w:szCs w:val="24"/>
        </w:rPr>
        <w:t>concern</w:t>
      </w:r>
    </w:p>
    <w:p w14:paraId="17EA9EB0" w14:textId="44DC4008" w:rsidR="003E65B0" w:rsidRPr="007A7094" w:rsidRDefault="009A335C" w:rsidP="00722632">
      <w:pPr>
        <w:spacing w:after="0" w:line="480" w:lineRule="auto"/>
        <w:jc w:val="both"/>
      </w:pPr>
      <w:r w:rsidRPr="007A7094">
        <w:t>Tracing</w:t>
      </w:r>
      <w:r w:rsidR="00593539" w:rsidRPr="007A7094">
        <w:t xml:space="preserve"> the performative work </w:t>
      </w:r>
      <w:r w:rsidRPr="007A7094">
        <w:t xml:space="preserve">which </w:t>
      </w:r>
      <w:r w:rsidR="00831876" w:rsidRPr="007A7094">
        <w:t>translat</w:t>
      </w:r>
      <w:r w:rsidRPr="007A7094">
        <w:t xml:space="preserve">es </w:t>
      </w:r>
      <w:r w:rsidR="00593539" w:rsidRPr="007A7094">
        <w:t xml:space="preserve">evidence into fact </w:t>
      </w:r>
      <w:r w:rsidR="00EB56F9" w:rsidRPr="007A7094">
        <w:t>as context-based</w:t>
      </w:r>
      <w:r w:rsidR="00593539" w:rsidRPr="007A7094">
        <w:t xml:space="preserve"> concer</w:t>
      </w:r>
      <w:r w:rsidR="00831876" w:rsidRPr="007A7094">
        <w:t>n</w:t>
      </w:r>
      <w:r w:rsidR="00052B3A" w:rsidRPr="007A7094">
        <w:t>s</w:t>
      </w:r>
      <w:r w:rsidR="00EB56F9" w:rsidRPr="007A7094">
        <w:t xml:space="preserve"> hits home that evidence-based facts are not separa</w:t>
      </w:r>
      <w:r w:rsidRPr="007A7094">
        <w:t>ble</w:t>
      </w:r>
      <w:r w:rsidR="00EB56F9" w:rsidRPr="007A7094">
        <w:t xml:space="preserve"> </w:t>
      </w:r>
      <w:r w:rsidRPr="007A7094">
        <w:t xml:space="preserve">from, but entangled with, </w:t>
      </w:r>
      <w:r w:rsidR="00EB56F9" w:rsidRPr="007A7094">
        <w:t xml:space="preserve">their contexts of production. </w:t>
      </w:r>
      <w:r w:rsidR="00833B79" w:rsidRPr="007A7094">
        <w:t xml:space="preserve">One instance </w:t>
      </w:r>
      <w:r w:rsidR="00C41022" w:rsidRPr="007A7094">
        <w:t xml:space="preserve">of this </w:t>
      </w:r>
      <w:r w:rsidR="00833B79" w:rsidRPr="007A7094">
        <w:t>in the Cochrane review is the performance of DAA treatment worth as “costly” and “unaffordable”</w:t>
      </w:r>
      <w:r w:rsidR="00D874C2" w:rsidRPr="007A7094">
        <w:t xml:space="preserve"> (Jakobsen et al., 2017, 2018)</w:t>
      </w:r>
      <w:r w:rsidR="00833B79" w:rsidRPr="007A7094">
        <w:t xml:space="preserve">. The authors posit DAA prices as “unfair”. The evidence-making of uncertainty in relation to treatment value is not enacted by the </w:t>
      </w:r>
      <w:r w:rsidR="00994282" w:rsidRPr="007A7094">
        <w:t xml:space="preserve">apparent </w:t>
      </w:r>
      <w:r w:rsidR="00833B79" w:rsidRPr="007A7094">
        <w:t>facts of the evidence reviewed alone but in how this evidence is put</w:t>
      </w:r>
      <w:r w:rsidR="003E65B0" w:rsidRPr="007A7094">
        <w:t>-</w:t>
      </w:r>
      <w:r w:rsidR="00833B79" w:rsidRPr="007A7094">
        <w:t>to</w:t>
      </w:r>
      <w:r w:rsidR="003E65B0" w:rsidRPr="007A7094">
        <w:t>-</w:t>
      </w:r>
      <w:r w:rsidR="00833B79" w:rsidRPr="007A7094">
        <w:t xml:space="preserve">use. </w:t>
      </w:r>
      <w:r w:rsidR="003629F2" w:rsidRPr="007A7094">
        <w:t>The Cochrane authors say that they “do not understand the mismatch between [the] enthusiasm and the level of evidence” for the use of DAA therapy</w:t>
      </w:r>
      <w:r w:rsidR="00D874C2" w:rsidRPr="007A7094">
        <w:t xml:space="preserve"> (Koretz et al., 2018a)</w:t>
      </w:r>
      <w:r w:rsidR="003629F2" w:rsidRPr="007A7094">
        <w:t xml:space="preserve">. The field of hepatitis C treatment is characterised by an atmosphere of great promise, including </w:t>
      </w:r>
      <w:r w:rsidR="0074599F" w:rsidRPr="007A7094">
        <w:t xml:space="preserve">that </w:t>
      </w:r>
      <w:r w:rsidR="003629F2" w:rsidRPr="007A7094">
        <w:t>fuelled by mathematical models of viral elimination potential at the population-level</w:t>
      </w:r>
      <w:r w:rsidR="00D874C2" w:rsidRPr="007A7094">
        <w:t xml:space="preserve"> (Fraser et al, 2018; Razavi et al, 2017)</w:t>
      </w:r>
      <w:r w:rsidR="003629F2" w:rsidRPr="007A7094">
        <w:t>.</w:t>
      </w:r>
      <w:r w:rsidR="00D874C2" w:rsidRPr="007A7094">
        <w:t xml:space="preserve"> </w:t>
      </w:r>
      <w:r w:rsidR="003629F2" w:rsidRPr="007A7094">
        <w:t>The Cochrane authors “fear that at least some of the disconnect” between enthusiasm and evidence “may reflect the influence of industry”</w:t>
      </w:r>
      <w:r w:rsidR="00D874C2" w:rsidRPr="007A7094">
        <w:t xml:space="preserve"> (Koretz et al., 2018a)</w:t>
      </w:r>
      <w:r w:rsidR="003629F2" w:rsidRPr="007A7094">
        <w:t>.</w:t>
      </w:r>
      <w:r w:rsidR="00D874C2" w:rsidRPr="007A7094">
        <w:t xml:space="preserve"> </w:t>
      </w:r>
      <w:r w:rsidR="00111822" w:rsidRPr="007A7094">
        <w:t>They distin</w:t>
      </w:r>
      <w:r w:rsidR="00994282" w:rsidRPr="007A7094">
        <w:t>guish</w:t>
      </w:r>
      <w:r w:rsidR="00111822" w:rsidRPr="007A7094">
        <w:t xml:space="preserve"> between “fact” and “marketing”. </w:t>
      </w:r>
      <w:r w:rsidR="00833B79" w:rsidRPr="007A7094">
        <w:t xml:space="preserve">Treatment uncertainty is </w:t>
      </w:r>
      <w:r w:rsidR="00111822" w:rsidRPr="007A7094">
        <w:t xml:space="preserve">thus performed </w:t>
      </w:r>
      <w:r w:rsidR="00833B79" w:rsidRPr="007A7094">
        <w:t>in relation to a moral economy of fair price</w:t>
      </w:r>
      <w:r w:rsidR="0074599F" w:rsidRPr="007A7094">
        <w:t>. This</w:t>
      </w:r>
      <w:r w:rsidR="00833B79" w:rsidRPr="007A7094">
        <w:t xml:space="preserve"> </w:t>
      </w:r>
      <w:r w:rsidR="0074599F" w:rsidRPr="007A7094">
        <w:t xml:space="preserve">is enacted in relation </w:t>
      </w:r>
      <w:r w:rsidR="0074599F" w:rsidRPr="007A7094">
        <w:lastRenderedPageBreak/>
        <w:t xml:space="preserve">to </w:t>
      </w:r>
      <w:r w:rsidR="00111822" w:rsidRPr="007A7094">
        <w:t xml:space="preserve">a particular </w:t>
      </w:r>
      <w:r w:rsidR="00833B79" w:rsidRPr="007A7094">
        <w:t xml:space="preserve">concern </w:t>
      </w:r>
      <w:r w:rsidR="0074599F" w:rsidRPr="007A7094">
        <w:t xml:space="preserve">regarding </w:t>
      </w:r>
      <w:r w:rsidR="00833B79" w:rsidRPr="007A7094">
        <w:t xml:space="preserve">the role of the pharmaceutical industry and the </w:t>
      </w:r>
      <w:r w:rsidR="00111822" w:rsidRPr="007A7094">
        <w:t>different kinds of</w:t>
      </w:r>
      <w:r w:rsidR="00833B79" w:rsidRPr="007A7094">
        <w:t xml:space="preserve"> benefit</w:t>
      </w:r>
      <w:r w:rsidR="0074599F" w:rsidRPr="007A7094">
        <w:t xml:space="preserve"> that</w:t>
      </w:r>
      <w:r w:rsidR="00833B79" w:rsidRPr="007A7094">
        <w:t xml:space="preserve"> </w:t>
      </w:r>
      <w:r w:rsidR="00111822" w:rsidRPr="007A7094">
        <w:t xml:space="preserve">flow </w:t>
      </w:r>
      <w:r w:rsidR="00833B79" w:rsidRPr="007A7094">
        <w:t>from treatment</w:t>
      </w:r>
      <w:r w:rsidR="00111822" w:rsidRPr="007A7094">
        <w:t xml:space="preserve"> investment</w:t>
      </w:r>
      <w:r w:rsidR="00833B79" w:rsidRPr="007A7094">
        <w:t xml:space="preserve">. Here, </w:t>
      </w:r>
      <w:r w:rsidR="003E65B0" w:rsidRPr="007A7094">
        <w:t>‘</w:t>
      </w:r>
      <w:r w:rsidR="00833B79" w:rsidRPr="007A7094">
        <w:t>benefit</w:t>
      </w:r>
      <w:r w:rsidR="003E65B0" w:rsidRPr="007A7094">
        <w:t>’</w:t>
      </w:r>
      <w:r w:rsidR="00833B79" w:rsidRPr="007A7094">
        <w:t xml:space="preserve"> is being complicated in its performance as a multiplicity, extending beyond the clinical</w:t>
      </w:r>
      <w:r w:rsidR="003E65B0" w:rsidRPr="007A7094">
        <w:t xml:space="preserve">, as </w:t>
      </w:r>
      <w:r w:rsidR="00833B79" w:rsidRPr="007A7094">
        <w:t>evidenced</w:t>
      </w:r>
      <w:r w:rsidR="003E65B0" w:rsidRPr="007A7094">
        <w:t xml:space="preserve"> </w:t>
      </w:r>
      <w:r w:rsidR="00833B79" w:rsidRPr="007A7094">
        <w:t xml:space="preserve">through the trials. </w:t>
      </w:r>
      <w:r w:rsidR="003E65B0" w:rsidRPr="007A7094">
        <w:t>E</w:t>
      </w:r>
      <w:r w:rsidR="00833B79" w:rsidRPr="007A7094">
        <w:t>vidence</w:t>
      </w:r>
      <w:r w:rsidR="003E65B0" w:rsidRPr="007A7094">
        <w:t xml:space="preserve"> </w:t>
      </w:r>
      <w:r w:rsidR="00833B79" w:rsidRPr="007A7094">
        <w:t>is on</w:t>
      </w:r>
      <w:r w:rsidR="008D790D" w:rsidRPr="007A7094">
        <w:t>-</w:t>
      </w:r>
      <w:r w:rsidR="00833B79" w:rsidRPr="007A7094">
        <w:t>the</w:t>
      </w:r>
      <w:r w:rsidR="008D790D" w:rsidRPr="007A7094">
        <w:t>-</w:t>
      </w:r>
      <w:r w:rsidR="00833B79" w:rsidRPr="007A7094">
        <w:t>move,</w:t>
      </w:r>
      <w:r w:rsidR="008D790D" w:rsidRPr="007A7094">
        <w:t xml:space="preserve"> in translation</w:t>
      </w:r>
      <w:r w:rsidR="006B5714" w:rsidRPr="007A7094">
        <w:t xml:space="preserve">. </w:t>
      </w:r>
      <w:r w:rsidR="008D790D" w:rsidRPr="007A7094">
        <w:t xml:space="preserve">The evidence assumed to exist </w:t>
      </w:r>
      <w:r w:rsidR="006B5714" w:rsidRPr="007A7094">
        <w:t>‘out there’</w:t>
      </w:r>
      <w:r w:rsidR="0074599F" w:rsidRPr="007A7094">
        <w:t>,</w:t>
      </w:r>
      <w:r w:rsidR="008D790D" w:rsidRPr="007A7094">
        <w:t xml:space="preserve"> based</w:t>
      </w:r>
      <w:r w:rsidR="006B5714" w:rsidRPr="007A7094">
        <w:t xml:space="preserve"> in </w:t>
      </w:r>
      <w:r w:rsidR="008D790D" w:rsidRPr="007A7094">
        <w:t xml:space="preserve">the </w:t>
      </w:r>
      <w:r w:rsidR="006B5714" w:rsidRPr="007A7094">
        <w:t xml:space="preserve">trials </w:t>
      </w:r>
      <w:r w:rsidR="008D790D" w:rsidRPr="007A7094">
        <w:t xml:space="preserve">which </w:t>
      </w:r>
      <w:r w:rsidR="00935251" w:rsidRPr="007A7094">
        <w:t>establish</w:t>
      </w:r>
      <w:r w:rsidR="008D790D" w:rsidRPr="007A7094">
        <w:t xml:space="preserve"> </w:t>
      </w:r>
      <w:r w:rsidR="00935251" w:rsidRPr="007A7094">
        <w:t xml:space="preserve">the facts of </w:t>
      </w:r>
      <w:r w:rsidR="00833B79" w:rsidRPr="007A7094">
        <w:t xml:space="preserve">clinical </w:t>
      </w:r>
      <w:r w:rsidR="006B5714" w:rsidRPr="007A7094">
        <w:t>benefit</w:t>
      </w:r>
      <w:r w:rsidR="0074599F" w:rsidRPr="007A7094">
        <w:t>,</w:t>
      </w:r>
      <w:r w:rsidR="008D790D" w:rsidRPr="007A7094">
        <w:t xml:space="preserve"> is not at all separable from the evidence </w:t>
      </w:r>
      <w:r w:rsidR="000B66BE" w:rsidRPr="007A7094">
        <w:t>produced ‘in here’</w:t>
      </w:r>
      <w:r w:rsidR="00935251" w:rsidRPr="007A7094">
        <w:t>,</w:t>
      </w:r>
      <w:r w:rsidR="000B66BE" w:rsidRPr="007A7094">
        <w:t xml:space="preserve"> as a situated </w:t>
      </w:r>
      <w:r w:rsidR="0074599F" w:rsidRPr="007A7094">
        <w:t xml:space="preserve">material </w:t>
      </w:r>
      <w:r w:rsidR="000B66BE" w:rsidRPr="007A7094">
        <w:t>concern</w:t>
      </w:r>
      <w:r w:rsidR="00D874C2" w:rsidRPr="007A7094">
        <w:t xml:space="preserve"> (Law, 2004)</w:t>
      </w:r>
      <w:r w:rsidR="00833B79" w:rsidRPr="007A7094">
        <w:t>.</w:t>
      </w:r>
      <w:r w:rsidR="000B66BE" w:rsidRPr="007A7094">
        <w:t xml:space="preserve"> </w:t>
      </w:r>
      <w:r w:rsidR="00FE719F" w:rsidRPr="007A7094">
        <w:t xml:space="preserve">The pharmaceutical industry and the “marketing” of treatment potential </w:t>
      </w:r>
      <w:r w:rsidR="008D790D" w:rsidRPr="007A7094">
        <w:t xml:space="preserve">is enacted </w:t>
      </w:r>
      <w:r w:rsidR="00F439DE" w:rsidRPr="007A7094">
        <w:t xml:space="preserve">as </w:t>
      </w:r>
      <w:r w:rsidR="00FE719F" w:rsidRPr="007A7094">
        <w:t xml:space="preserve">a problem </w:t>
      </w:r>
      <w:r w:rsidR="00144F18" w:rsidRPr="007A7094">
        <w:t>of</w:t>
      </w:r>
      <w:r w:rsidR="00FE719F" w:rsidRPr="007A7094">
        <w:t xml:space="preserve"> evidence-based intervention. </w:t>
      </w:r>
      <w:r w:rsidR="008D790D" w:rsidRPr="007A7094">
        <w:t xml:space="preserve">This is a </w:t>
      </w:r>
      <w:r w:rsidR="008D790D" w:rsidRPr="007A7094">
        <w:rPr>
          <w:i/>
        </w:rPr>
        <w:t>strategic</w:t>
      </w:r>
      <w:r w:rsidR="008D790D" w:rsidRPr="007A7094">
        <w:t xml:space="preserve"> </w:t>
      </w:r>
      <w:r w:rsidR="0008517F" w:rsidRPr="007A7094">
        <w:t xml:space="preserve">move; an </w:t>
      </w:r>
      <w:r w:rsidR="008D790D" w:rsidRPr="007A7094">
        <w:t xml:space="preserve">evidence-making </w:t>
      </w:r>
      <w:r w:rsidR="0008517F" w:rsidRPr="007A7094">
        <w:rPr>
          <w:i/>
        </w:rPr>
        <w:t>intervention</w:t>
      </w:r>
      <w:r w:rsidR="008D790D" w:rsidRPr="007A7094">
        <w:t xml:space="preserve">. </w:t>
      </w:r>
      <w:r w:rsidR="00FE719F" w:rsidRPr="007A7094">
        <w:t xml:space="preserve">The lack of RCT evidence of long-term clinical benefit is </w:t>
      </w:r>
      <w:r w:rsidR="0027530B" w:rsidRPr="007A7094">
        <w:t xml:space="preserve">being </w:t>
      </w:r>
      <w:r w:rsidR="00FE719F" w:rsidRPr="007A7094">
        <w:t xml:space="preserve">translated </w:t>
      </w:r>
      <w:r w:rsidR="00144F18" w:rsidRPr="007A7094">
        <w:t>as a</w:t>
      </w:r>
      <w:r w:rsidR="00E46172" w:rsidRPr="007A7094">
        <w:t>n ethic</w:t>
      </w:r>
      <w:r w:rsidR="0027530B" w:rsidRPr="007A7094">
        <w:t>o-political</w:t>
      </w:r>
      <w:r w:rsidR="00E46172" w:rsidRPr="007A7094">
        <w:t xml:space="preserve"> </w:t>
      </w:r>
      <w:r w:rsidR="00FE719F" w:rsidRPr="007A7094">
        <w:t>concern regarding the “diversion of resources from other healthcare programs”</w:t>
      </w:r>
      <w:r w:rsidR="00D874C2" w:rsidRPr="007A7094">
        <w:t xml:space="preserve"> (Koretz et al., 2018a)</w:t>
      </w:r>
      <w:r w:rsidR="00FE719F" w:rsidRPr="007A7094">
        <w:t>,</w:t>
      </w:r>
      <w:r w:rsidR="00D874C2" w:rsidRPr="007A7094">
        <w:t xml:space="preserve"> </w:t>
      </w:r>
      <w:r w:rsidR="00FE719F" w:rsidRPr="007A7094">
        <w:t>which “will negatively impact on the health of the community”</w:t>
      </w:r>
      <w:r w:rsidR="00D874C2" w:rsidRPr="007A7094">
        <w:t xml:space="preserve"> (Koretz et al., 2018b)</w:t>
      </w:r>
      <w:r w:rsidR="00FE719F" w:rsidRPr="007A7094">
        <w:t>.</w:t>
      </w:r>
    </w:p>
    <w:p w14:paraId="24759AC3" w14:textId="77777777" w:rsidR="003E65B0" w:rsidRPr="007A7094" w:rsidRDefault="003E65B0" w:rsidP="00722632">
      <w:pPr>
        <w:spacing w:after="0" w:line="480" w:lineRule="auto"/>
        <w:jc w:val="both"/>
      </w:pPr>
    </w:p>
    <w:p w14:paraId="307AA1D6" w14:textId="64C9F8D2" w:rsidR="00FE719F" w:rsidRPr="007A7094" w:rsidRDefault="00B627B7" w:rsidP="00722632">
      <w:pPr>
        <w:spacing w:after="0" w:line="480" w:lineRule="auto"/>
        <w:jc w:val="both"/>
      </w:pPr>
      <w:r w:rsidRPr="007A7094">
        <w:t xml:space="preserve">We are </w:t>
      </w:r>
      <w:r w:rsidR="00994282" w:rsidRPr="007A7094">
        <w:t>therefore proposing</w:t>
      </w:r>
      <w:r w:rsidRPr="007A7094">
        <w:t xml:space="preserve"> that this </w:t>
      </w:r>
      <w:r w:rsidR="00FE719F" w:rsidRPr="007A7094">
        <w:t>is evidence-based science enact</w:t>
      </w:r>
      <w:r w:rsidR="00562730" w:rsidRPr="007A7094">
        <w:t>ing</w:t>
      </w:r>
      <w:r w:rsidR="00FE719F" w:rsidRPr="007A7094">
        <w:t xml:space="preserve"> itself as a matter</w:t>
      </w:r>
      <w:r w:rsidR="00994282" w:rsidRPr="007A7094">
        <w:t>-</w:t>
      </w:r>
      <w:r w:rsidR="00FE719F" w:rsidRPr="007A7094">
        <w:t>of</w:t>
      </w:r>
      <w:r w:rsidR="00994282" w:rsidRPr="007A7094">
        <w:t>-</w:t>
      </w:r>
      <w:r w:rsidR="00FE719F" w:rsidRPr="007A7094">
        <w:t>fact</w:t>
      </w:r>
      <w:r w:rsidR="00562730" w:rsidRPr="007A7094">
        <w:t xml:space="preserve"> </w:t>
      </w:r>
      <w:r w:rsidRPr="007A7094">
        <w:t xml:space="preserve">which </w:t>
      </w:r>
      <w:r w:rsidR="00562730" w:rsidRPr="007A7094">
        <w:t>becom</w:t>
      </w:r>
      <w:r w:rsidRPr="007A7094">
        <w:t>es</w:t>
      </w:r>
      <w:r w:rsidR="00562730" w:rsidRPr="007A7094">
        <w:t xml:space="preserve"> noticeable as a matter</w:t>
      </w:r>
      <w:r w:rsidR="00994282" w:rsidRPr="007A7094">
        <w:t>-</w:t>
      </w:r>
      <w:r w:rsidR="00562730" w:rsidRPr="007A7094">
        <w:t>of</w:t>
      </w:r>
      <w:r w:rsidR="00994282" w:rsidRPr="007A7094">
        <w:t>-</w:t>
      </w:r>
      <w:r w:rsidR="00562730" w:rsidRPr="007A7094">
        <w:t>concern</w:t>
      </w:r>
      <w:r w:rsidRPr="007A7094">
        <w:t xml:space="preserve"> when</w:t>
      </w:r>
      <w:r w:rsidR="00562730" w:rsidRPr="007A7094">
        <w:t xml:space="preserve"> viewed as </w:t>
      </w:r>
      <w:r w:rsidR="00FE719F" w:rsidRPr="007A7094">
        <w:rPr>
          <w:i/>
        </w:rPr>
        <w:t>performance</w:t>
      </w:r>
      <w:r w:rsidR="00562730" w:rsidRPr="007A7094">
        <w:t xml:space="preserve">. </w:t>
      </w:r>
      <w:r w:rsidR="001B0C7F" w:rsidRPr="007A7094">
        <w:t>In addition to</w:t>
      </w:r>
      <w:r w:rsidR="00480E88" w:rsidRPr="007A7094">
        <w:t xml:space="preserve"> tracing the performative effects of evidencing through the materials produced by the Cochrane scientists, we can also consider </w:t>
      </w:r>
      <w:r w:rsidR="00562730" w:rsidRPr="007A7094">
        <w:t>the</w:t>
      </w:r>
      <w:r w:rsidRPr="007A7094">
        <w:t xml:space="preserve"> published responses</w:t>
      </w:r>
      <w:r w:rsidR="00562730" w:rsidRPr="007A7094">
        <w:t xml:space="preserve"> </w:t>
      </w:r>
      <w:r w:rsidR="00F936DB" w:rsidRPr="007A7094">
        <w:t>of</w:t>
      </w:r>
      <w:r w:rsidR="005C2541" w:rsidRPr="007A7094">
        <w:t xml:space="preserve"> those dissenting to </w:t>
      </w:r>
      <w:r w:rsidR="00831876" w:rsidRPr="007A7094">
        <w:t xml:space="preserve">the </w:t>
      </w:r>
      <w:r w:rsidR="00562730" w:rsidRPr="007A7094">
        <w:t>Cochrane review.</w:t>
      </w:r>
      <w:r w:rsidR="00480E88" w:rsidRPr="007A7094">
        <w:t xml:space="preserve"> </w:t>
      </w:r>
      <w:r w:rsidR="009A335C" w:rsidRPr="007A7094">
        <w:t>T</w:t>
      </w:r>
      <w:r w:rsidRPr="007A7094">
        <w:t>h</w:t>
      </w:r>
      <w:r w:rsidR="00FE719F" w:rsidRPr="007A7094">
        <w:t xml:space="preserve">e published responses </w:t>
      </w:r>
      <w:r w:rsidRPr="007A7094">
        <w:t xml:space="preserve">in the </w:t>
      </w:r>
      <w:r w:rsidRPr="007A7094">
        <w:rPr>
          <w:i/>
        </w:rPr>
        <w:t>BMJ</w:t>
      </w:r>
      <w:r w:rsidR="00994282" w:rsidRPr="007A7094">
        <w:t xml:space="preserve"> </w:t>
      </w:r>
      <w:r w:rsidR="00FE719F" w:rsidRPr="007A7094">
        <w:t>problematise the science of the Cochrane review in multiple ways</w:t>
      </w:r>
      <w:r w:rsidR="00D874C2" w:rsidRPr="007A7094">
        <w:t xml:space="preserve"> (Foster et al., 2018; Cooke et al., 2018; Barclay et al., 2018)</w:t>
      </w:r>
      <w:r w:rsidR="00FE719F" w:rsidRPr="007A7094">
        <w:t>.</w:t>
      </w:r>
      <w:r w:rsidR="00D874C2" w:rsidRPr="007A7094">
        <w:t xml:space="preserve"> </w:t>
      </w:r>
      <w:r w:rsidR="00FE719F" w:rsidRPr="007A7094">
        <w:t xml:space="preserve">They cast doubt on its </w:t>
      </w:r>
      <w:r w:rsidR="00FE719F" w:rsidRPr="007A7094">
        <w:rPr>
          <w:i/>
        </w:rPr>
        <w:t>expertise</w:t>
      </w:r>
      <w:r w:rsidR="00FE719F" w:rsidRPr="007A7094">
        <w:t xml:space="preserve"> by locating the “discredited” and “significant methodological flaws” of the review as “lacking clinical insight and knowledge” specific to hepatitis C. They enact the Cochrane review as a </w:t>
      </w:r>
      <w:r w:rsidR="00FE719F" w:rsidRPr="007A7094">
        <w:rPr>
          <w:i/>
        </w:rPr>
        <w:t>lone outsider to the mainstream</w:t>
      </w:r>
      <w:r w:rsidR="00FE719F" w:rsidRPr="007A7094">
        <w:t xml:space="preserve"> of specialist knowledge, including among “informed hepatologists, infectious disease and public health physicians”</w:t>
      </w:r>
      <w:r w:rsidRPr="007A7094">
        <w:t>,</w:t>
      </w:r>
      <w:r w:rsidR="00FE719F" w:rsidRPr="007A7094">
        <w:t xml:space="preserve"> </w:t>
      </w:r>
      <w:r w:rsidR="00DE504C" w:rsidRPr="007A7094">
        <w:t xml:space="preserve">and </w:t>
      </w:r>
      <w:r w:rsidR="00FE719F" w:rsidRPr="007A7094">
        <w:t>multiple national and international organisations</w:t>
      </w:r>
      <w:r w:rsidR="00DE504C" w:rsidRPr="007A7094">
        <w:t xml:space="preserve">. The legitimacy of such critique is performed through </w:t>
      </w:r>
      <w:r w:rsidR="00076991" w:rsidRPr="007A7094">
        <w:t xml:space="preserve">a </w:t>
      </w:r>
      <w:r w:rsidR="00DE504C" w:rsidRPr="007A7094">
        <w:t>long list of specialist expert signatories to the published responses</w:t>
      </w:r>
      <w:r w:rsidR="00FE719F" w:rsidRPr="007A7094">
        <w:t>. The</w:t>
      </w:r>
      <w:r w:rsidR="00DE504C" w:rsidRPr="007A7094">
        <w:t xml:space="preserve"> responses further</w:t>
      </w:r>
      <w:r w:rsidR="00FE719F" w:rsidRPr="007A7094">
        <w:t xml:space="preserve"> contrast the RCT evidence of the review with </w:t>
      </w:r>
      <w:r w:rsidR="00FE719F" w:rsidRPr="007A7094">
        <w:rPr>
          <w:i/>
        </w:rPr>
        <w:t>alternative knowledge</w:t>
      </w:r>
      <w:r w:rsidR="00FE719F" w:rsidRPr="007A7094">
        <w:t xml:space="preserve"> on mortality and morbidity drawn from surveillance, cohorts and clinical observation,</w:t>
      </w:r>
      <w:r w:rsidRPr="007A7094">
        <w:t xml:space="preserve"> </w:t>
      </w:r>
      <w:r w:rsidR="00FE719F" w:rsidRPr="007A7094">
        <w:t xml:space="preserve">and proffer </w:t>
      </w:r>
      <w:r w:rsidR="00B4312B" w:rsidRPr="007A7094">
        <w:rPr>
          <w:i/>
        </w:rPr>
        <w:t xml:space="preserve">alternative </w:t>
      </w:r>
      <w:r w:rsidR="00FE719F" w:rsidRPr="007A7094">
        <w:rPr>
          <w:i/>
        </w:rPr>
        <w:t>explanation</w:t>
      </w:r>
      <w:r w:rsidR="00FE719F" w:rsidRPr="007A7094">
        <w:t xml:space="preserve"> of the value of SVR as a m</w:t>
      </w:r>
      <w:r w:rsidR="00994282" w:rsidRPr="007A7094">
        <w:t>easure</w:t>
      </w:r>
      <w:r w:rsidR="00FE719F" w:rsidRPr="007A7094">
        <w:t xml:space="preserve"> of health benefit. </w:t>
      </w:r>
      <w:r w:rsidR="00C2407C" w:rsidRPr="007A7094">
        <w:t xml:space="preserve">They offer </w:t>
      </w:r>
      <w:r w:rsidR="00C2407C" w:rsidRPr="007A7094">
        <w:rPr>
          <w:i/>
        </w:rPr>
        <w:t xml:space="preserve">alternative </w:t>
      </w:r>
      <w:r w:rsidR="00C2407C" w:rsidRPr="007A7094">
        <w:rPr>
          <w:i/>
        </w:rPr>
        <w:lastRenderedPageBreak/>
        <w:t>definitions of benefit</w:t>
      </w:r>
      <w:r w:rsidR="00C2407C" w:rsidRPr="007A7094">
        <w:t xml:space="preserve"> which extend beyond the clinical to encompass personal and social transformative outcomes. </w:t>
      </w:r>
      <w:r w:rsidR="00FE719F" w:rsidRPr="007A7094">
        <w:t xml:space="preserve">They position the Cochrane review as </w:t>
      </w:r>
      <w:r w:rsidR="00FE719F" w:rsidRPr="007A7094">
        <w:rPr>
          <w:i/>
        </w:rPr>
        <w:t>dangerous for public health</w:t>
      </w:r>
      <w:r w:rsidR="00FE719F" w:rsidRPr="007A7094">
        <w:t xml:space="preserve"> in its undermining of the promise of DAA</w:t>
      </w:r>
      <w:r w:rsidRPr="007A7094">
        <w:t>s</w:t>
      </w:r>
      <w:r w:rsidR="00FE719F" w:rsidRPr="007A7094">
        <w:t xml:space="preserve"> to eliminate hepatitis C as a public health threat. They enact the Cochrane review as </w:t>
      </w:r>
      <w:r w:rsidR="00FE719F" w:rsidRPr="007A7094">
        <w:rPr>
          <w:i/>
        </w:rPr>
        <w:t>ethically questionable</w:t>
      </w:r>
      <w:r w:rsidR="00FE719F" w:rsidRPr="007A7094">
        <w:t>, and even “</w:t>
      </w:r>
      <w:r w:rsidR="00FE719F" w:rsidRPr="007A7094">
        <w:rPr>
          <w:i/>
        </w:rPr>
        <w:t>inhumane”</w:t>
      </w:r>
      <w:r w:rsidR="00FE719F" w:rsidRPr="007A7094">
        <w:t xml:space="preserve">, in its </w:t>
      </w:r>
      <w:r w:rsidR="00B40B4A" w:rsidRPr="007A7094">
        <w:t>removal</w:t>
      </w:r>
      <w:r w:rsidRPr="007A7094">
        <w:t xml:space="preserve"> </w:t>
      </w:r>
      <w:r w:rsidR="00FE719F" w:rsidRPr="007A7094">
        <w:t>of curative potential from patients in need</w:t>
      </w:r>
      <w:r w:rsidRPr="007A7094">
        <w:t>.</w:t>
      </w:r>
      <w:r w:rsidR="00FE719F" w:rsidRPr="007A7094">
        <w:t xml:space="preserve"> They question </w:t>
      </w:r>
      <w:r w:rsidR="00C2407C" w:rsidRPr="007A7094">
        <w:t>the</w:t>
      </w:r>
      <w:r w:rsidR="00FE719F" w:rsidRPr="007A7094">
        <w:t xml:space="preserve"> apparent assumption of unaffordable and unfair drug prices, alternatively casting treatment as</w:t>
      </w:r>
      <w:r w:rsidR="00FE719F" w:rsidRPr="007A7094">
        <w:rPr>
          <w:i/>
        </w:rPr>
        <w:t xml:space="preserve"> cost effective</w:t>
      </w:r>
      <w:r w:rsidR="00FE719F" w:rsidRPr="007A7094">
        <w:t xml:space="preserve">. </w:t>
      </w:r>
      <w:r w:rsidR="00C2407C" w:rsidRPr="007A7094">
        <w:t>The evidence being performed in relation to EBM negotiations of hepatitis C cure extend beyond the clinical, and even the viral, to the social and political. At stake here, as previously noted</w:t>
      </w:r>
      <w:r w:rsidR="00536BAF" w:rsidRPr="007A7094">
        <w:t xml:space="preserve"> (Rhodes et al., 201</w:t>
      </w:r>
      <w:r w:rsidR="00271681" w:rsidRPr="007A7094">
        <w:t>9</w:t>
      </w:r>
      <w:r w:rsidR="00536BAF" w:rsidRPr="007A7094">
        <w:t>)</w:t>
      </w:r>
      <w:r w:rsidR="00C2407C" w:rsidRPr="007A7094">
        <w:t>,</w:t>
      </w:r>
      <w:r w:rsidR="00536BAF" w:rsidRPr="007A7094">
        <w:t xml:space="preserve"> </w:t>
      </w:r>
      <w:r w:rsidR="00C2407C" w:rsidRPr="007A7094">
        <w:t>are broader matters</w:t>
      </w:r>
      <w:r w:rsidR="000332CD" w:rsidRPr="007A7094">
        <w:t>-</w:t>
      </w:r>
      <w:r w:rsidR="00C2407C" w:rsidRPr="007A7094">
        <w:t>of</w:t>
      </w:r>
      <w:r w:rsidR="000332CD" w:rsidRPr="007A7094">
        <w:t>-</w:t>
      </w:r>
      <w:r w:rsidR="00C2407C" w:rsidRPr="007A7094">
        <w:t xml:space="preserve">concern: </w:t>
      </w:r>
      <w:r w:rsidR="00C2407C" w:rsidRPr="007A7094">
        <w:rPr>
          <w:i/>
        </w:rPr>
        <w:t>expertise</w:t>
      </w:r>
      <w:r w:rsidR="00C2407C" w:rsidRPr="007A7094">
        <w:t xml:space="preserve"> (what counts as expertise and wh</w:t>
      </w:r>
      <w:r w:rsidR="00144F18" w:rsidRPr="007A7094">
        <w:t>o</w:t>
      </w:r>
      <w:r w:rsidR="00C2407C" w:rsidRPr="007A7094">
        <w:t xml:space="preserve"> </w:t>
      </w:r>
      <w:r w:rsidR="00144F18" w:rsidRPr="007A7094">
        <w:t>can</w:t>
      </w:r>
      <w:r w:rsidR="00C2407C" w:rsidRPr="007A7094">
        <w:t xml:space="preserve"> claim it); </w:t>
      </w:r>
      <w:r w:rsidR="00C2407C" w:rsidRPr="007A7094">
        <w:rPr>
          <w:i/>
        </w:rPr>
        <w:t>morality</w:t>
      </w:r>
      <w:r w:rsidR="00C2407C" w:rsidRPr="007A7094">
        <w:t xml:space="preserve"> (what constitutes an ethical and caring response); and </w:t>
      </w:r>
      <w:r w:rsidR="00C2407C" w:rsidRPr="007A7094">
        <w:rPr>
          <w:i/>
        </w:rPr>
        <w:t>hope</w:t>
      </w:r>
      <w:r w:rsidR="00C2407C" w:rsidRPr="007A7094">
        <w:t xml:space="preserve"> (how evidence </w:t>
      </w:r>
      <w:r w:rsidR="00144F18" w:rsidRPr="007A7094">
        <w:t>a</w:t>
      </w:r>
      <w:r w:rsidR="00C2407C" w:rsidRPr="007A7094">
        <w:t>ffects biomedical promise).</w:t>
      </w:r>
      <w:r w:rsidR="002D0D4C" w:rsidRPr="007A7094">
        <w:t xml:space="preserve"> </w:t>
      </w:r>
      <w:r w:rsidR="00480E88" w:rsidRPr="007A7094">
        <w:t xml:space="preserve">Here, we can appreciate the Cochrane scientists and dissenters, and the materials they produce, as </w:t>
      </w:r>
      <w:r w:rsidR="00480E88" w:rsidRPr="007A7094">
        <w:rPr>
          <w:i/>
        </w:rPr>
        <w:t>entangled</w:t>
      </w:r>
      <w:r w:rsidR="00480E88" w:rsidRPr="007A7094">
        <w:t xml:space="preserve"> actors in the making-up of evidence. Evidencing is a matter of</w:t>
      </w:r>
      <w:r w:rsidR="00DF2A9D" w:rsidRPr="007A7094">
        <w:t xml:space="preserve"> </w:t>
      </w:r>
      <w:r w:rsidR="00480E88" w:rsidRPr="007A7094">
        <w:rPr>
          <w:i/>
        </w:rPr>
        <w:t>dialogue</w:t>
      </w:r>
      <w:r w:rsidR="00480E88" w:rsidRPr="007A7094">
        <w:t xml:space="preserve"> </w:t>
      </w:r>
      <w:r w:rsidR="001F6E3B" w:rsidRPr="007A7094">
        <w:t xml:space="preserve">in the </w:t>
      </w:r>
      <w:r w:rsidR="001F6E3B" w:rsidRPr="007A7094">
        <w:rPr>
          <w:i/>
        </w:rPr>
        <w:t>negotiation</w:t>
      </w:r>
      <w:r w:rsidR="001F6E3B" w:rsidRPr="007A7094">
        <w:t xml:space="preserve"> of</w:t>
      </w:r>
      <w:r w:rsidR="00DF2A9D" w:rsidRPr="007A7094">
        <w:t xml:space="preserve"> </w:t>
      </w:r>
      <w:r w:rsidR="00DF2A9D" w:rsidRPr="007A7094">
        <w:rPr>
          <w:i/>
        </w:rPr>
        <w:t>difference</w:t>
      </w:r>
      <w:r w:rsidR="00DF2A9D" w:rsidRPr="007A7094">
        <w:t xml:space="preserve">, </w:t>
      </w:r>
      <w:r w:rsidR="001F6E3B" w:rsidRPr="007A7094">
        <w:t xml:space="preserve">an </w:t>
      </w:r>
      <w:r w:rsidR="00271681" w:rsidRPr="007A7094">
        <w:t>‘</w:t>
      </w:r>
      <w:r w:rsidR="001F6E3B" w:rsidRPr="007A7094">
        <w:t>evidence</w:t>
      </w:r>
      <w:r w:rsidR="00271681" w:rsidRPr="007A7094">
        <w:t>’</w:t>
      </w:r>
      <w:r w:rsidR="001F6E3B" w:rsidRPr="007A7094">
        <w:t xml:space="preserve"> made multiple</w:t>
      </w:r>
      <w:r w:rsidR="00DF2A9D" w:rsidRPr="007A7094">
        <w:t xml:space="preserve"> </w:t>
      </w:r>
      <w:r w:rsidR="001F6E3B" w:rsidRPr="007A7094">
        <w:t xml:space="preserve">in </w:t>
      </w:r>
      <w:r w:rsidR="00DF2A9D" w:rsidRPr="007A7094">
        <w:t>its</w:t>
      </w:r>
      <w:r w:rsidR="001F6E3B" w:rsidRPr="007A7094">
        <w:t xml:space="preserve"> particular</w:t>
      </w:r>
      <w:r w:rsidR="00DF2A9D" w:rsidRPr="007A7094">
        <w:t xml:space="preserve"> situati</w:t>
      </w:r>
      <w:r w:rsidR="00271681" w:rsidRPr="007A7094">
        <w:t>on</w:t>
      </w:r>
      <w:r w:rsidR="00DF2A9D" w:rsidRPr="007A7094">
        <w:t>.</w:t>
      </w:r>
      <w:r w:rsidR="00480E88" w:rsidRPr="007A7094">
        <w:t xml:space="preserve"> </w:t>
      </w:r>
    </w:p>
    <w:p w14:paraId="6B9F4FDA" w14:textId="5A120147" w:rsidR="00FE719F" w:rsidRPr="007A7094" w:rsidRDefault="00FE719F" w:rsidP="00722632">
      <w:pPr>
        <w:spacing w:after="0" w:line="480" w:lineRule="auto"/>
        <w:jc w:val="both"/>
      </w:pPr>
    </w:p>
    <w:p w14:paraId="20DDBC42" w14:textId="36A97FAE" w:rsidR="00981B73" w:rsidRPr="007A7094" w:rsidRDefault="001F6E3B" w:rsidP="00722632">
      <w:pPr>
        <w:spacing w:after="0" w:line="480" w:lineRule="auto"/>
        <w:jc w:val="both"/>
      </w:pPr>
      <w:r w:rsidRPr="007A7094">
        <w:t xml:space="preserve">In their response to the dissenters and their critiques, the Cochrane scientists produced </w:t>
      </w:r>
      <w:r w:rsidR="00FE719F" w:rsidRPr="007A7094">
        <w:t>rejoinders</w:t>
      </w:r>
      <w:r w:rsidRPr="007A7094">
        <w:t xml:space="preserve">, which seek to re-assert </w:t>
      </w:r>
      <w:r w:rsidR="00FE719F" w:rsidRPr="007A7094">
        <w:t>the Cochrane review as</w:t>
      </w:r>
      <w:r w:rsidR="000332CD" w:rsidRPr="007A7094">
        <w:t xml:space="preserve"> </w:t>
      </w:r>
      <w:r w:rsidRPr="007A7094">
        <w:t xml:space="preserve">producing </w:t>
      </w:r>
      <w:r w:rsidR="00FE719F" w:rsidRPr="007A7094">
        <w:t>matter</w:t>
      </w:r>
      <w:r w:rsidR="00831876" w:rsidRPr="007A7094">
        <w:t>s</w:t>
      </w:r>
      <w:r w:rsidR="000332CD" w:rsidRPr="007A7094">
        <w:t>-</w:t>
      </w:r>
      <w:r w:rsidR="00FE719F" w:rsidRPr="007A7094">
        <w:t>of</w:t>
      </w:r>
      <w:r w:rsidR="000332CD" w:rsidRPr="007A7094">
        <w:t>-</w:t>
      </w:r>
      <w:r w:rsidR="00FE719F" w:rsidRPr="007A7094">
        <w:t xml:space="preserve">fact: “While this perspective is not popular with many people, we should not confuse opinion or marketing with fact”; </w:t>
      </w:r>
      <w:r w:rsidR="00B40B4A" w:rsidRPr="007A7094">
        <w:t xml:space="preserve">“We are attempting to bring all of the facts to the table”; </w:t>
      </w:r>
      <w:r w:rsidR="00FE719F" w:rsidRPr="007A7094">
        <w:t>“At this time there is no credible evidence to support the belief that DAA treatment produces clinical benefits”</w:t>
      </w:r>
      <w:r w:rsidR="00536BAF" w:rsidRPr="007A7094">
        <w:t xml:space="preserve"> (Koretz et al., 2018a,b,c)</w:t>
      </w:r>
      <w:r w:rsidR="00FE719F" w:rsidRPr="007A7094">
        <w:t>.</w:t>
      </w:r>
      <w:r w:rsidR="000332CD" w:rsidRPr="007A7094">
        <w:t xml:space="preserve"> </w:t>
      </w:r>
      <w:r w:rsidR="00FE719F" w:rsidRPr="007A7094">
        <w:t>Th</w:t>
      </w:r>
      <w:r w:rsidR="00DC30BA" w:rsidRPr="007A7094">
        <w:t xml:space="preserve">is defence performs </w:t>
      </w:r>
      <w:r w:rsidRPr="007A7094">
        <w:t xml:space="preserve">evidence-based science, and in particular the RCT, </w:t>
      </w:r>
      <w:r w:rsidR="00DC30BA" w:rsidRPr="007A7094">
        <w:t xml:space="preserve">as the final arbiter, reiterating </w:t>
      </w:r>
      <w:r w:rsidR="00FE719F" w:rsidRPr="007A7094">
        <w:t xml:space="preserve">the review as an exemplar of </w:t>
      </w:r>
      <w:r w:rsidRPr="007A7094">
        <w:t>how science best knows its evidence</w:t>
      </w:r>
      <w:r w:rsidR="00FE719F" w:rsidRPr="007A7094">
        <w:t xml:space="preserve"> in contrast to the “remarkably weak” </w:t>
      </w:r>
      <w:r w:rsidR="00DC30BA" w:rsidRPr="007A7094">
        <w:t>alternatives</w:t>
      </w:r>
      <w:r w:rsidR="00FE719F" w:rsidRPr="007A7094">
        <w:t xml:space="preserve"> characterised by “multiple biases”, “non-validated surrogate outcomes”, “computer modelling that employed treatment-favourable assumptions”, and “unproven speculations”</w:t>
      </w:r>
      <w:r w:rsidRPr="007A7094">
        <w:t xml:space="preserve"> (</w:t>
      </w:r>
      <w:r w:rsidR="00271681" w:rsidRPr="007A7094">
        <w:t>Koretz et al., 2018a,b,c</w:t>
      </w:r>
      <w:r w:rsidRPr="007A7094">
        <w:t>)</w:t>
      </w:r>
      <w:r w:rsidR="00FE719F" w:rsidRPr="007A7094">
        <w:t xml:space="preserve">. </w:t>
      </w:r>
      <w:r w:rsidR="00DC30BA" w:rsidRPr="007A7094">
        <w:t>The</w:t>
      </w:r>
      <w:r w:rsidR="00FE719F" w:rsidRPr="007A7094">
        <w:t xml:space="preserve"> authors’ rejoinders restate their case that </w:t>
      </w:r>
      <w:r w:rsidR="009D76FD" w:rsidRPr="007A7094">
        <w:t>it is only RCT evidence of long-term clinical outcome that constitutes certainty, absenting other forms of knowing</w:t>
      </w:r>
      <w:r w:rsidR="00CD2667" w:rsidRPr="007A7094">
        <w:t xml:space="preserve"> </w:t>
      </w:r>
      <w:r w:rsidR="009D76FD" w:rsidRPr="007A7094">
        <w:t xml:space="preserve">as </w:t>
      </w:r>
      <w:r w:rsidR="00FE719F" w:rsidRPr="007A7094">
        <w:t>biased</w:t>
      </w:r>
      <w:r w:rsidR="009D76FD" w:rsidRPr="007A7094">
        <w:t xml:space="preserve"> and</w:t>
      </w:r>
      <w:r w:rsidR="007327D3" w:rsidRPr="007A7094">
        <w:t xml:space="preserve"> </w:t>
      </w:r>
      <w:r w:rsidR="00FE719F" w:rsidRPr="007A7094">
        <w:t>uncertain.</w:t>
      </w:r>
      <w:r w:rsidR="009D76FD" w:rsidRPr="007A7094">
        <w:t xml:space="preserve"> </w:t>
      </w:r>
      <w:r w:rsidR="00CD2667" w:rsidRPr="007A7094">
        <w:t xml:space="preserve">Locked within an epistemological dispute as to what counts as </w:t>
      </w:r>
      <w:r w:rsidRPr="007A7094">
        <w:t>evidence (and EBM)</w:t>
      </w:r>
      <w:r w:rsidR="00CD2667" w:rsidRPr="007A7094">
        <w:t>, this</w:t>
      </w:r>
      <w:r w:rsidR="009D76FD" w:rsidRPr="007A7094">
        <w:t xml:space="preserve"> </w:t>
      </w:r>
      <w:r w:rsidR="00CD2667" w:rsidRPr="007A7094">
        <w:t>is</w:t>
      </w:r>
      <w:r w:rsidR="009D76FD" w:rsidRPr="007A7094">
        <w:t xml:space="preserve"> a limiting</w:t>
      </w:r>
      <w:r w:rsidR="00CD2667" w:rsidRPr="007A7094">
        <w:t xml:space="preserve"> </w:t>
      </w:r>
      <w:r w:rsidR="00CD2667" w:rsidRPr="007A7094">
        <w:lastRenderedPageBreak/>
        <w:t>and circular</w:t>
      </w:r>
      <w:r w:rsidR="009D76FD" w:rsidRPr="007A7094">
        <w:t xml:space="preserve"> e</w:t>
      </w:r>
      <w:r w:rsidR="00CD2667" w:rsidRPr="007A7094">
        <w:t>xchange. The</w:t>
      </w:r>
      <w:r w:rsidR="009D76FD" w:rsidRPr="007A7094">
        <w:t xml:space="preserve"> dissenters</w:t>
      </w:r>
      <w:r w:rsidR="00CD2667" w:rsidRPr="007A7094">
        <w:t xml:space="preserve"> retort that such narrow definitions of </w:t>
      </w:r>
      <w:r w:rsidR="00B13944" w:rsidRPr="007A7094">
        <w:t xml:space="preserve">evidencing (epitomised in EBM) </w:t>
      </w:r>
      <w:r w:rsidR="00CD2667" w:rsidRPr="007A7094">
        <w:t>are an irrelevance, and even harm, to real-world clinical practice: “It may be that those who hold RCTs above all else still require a trial to prove that more patients with cirrhosis will die if left untreated. […] To us such randomised trials would be unwarranted and unethical”</w:t>
      </w:r>
      <w:r w:rsidR="00536BAF" w:rsidRPr="007A7094">
        <w:t xml:space="preserve"> (Barclay et al., 2018)</w:t>
      </w:r>
      <w:r w:rsidR="00CD2667" w:rsidRPr="007A7094">
        <w:t>.</w:t>
      </w:r>
      <w:r w:rsidR="00574D54" w:rsidRPr="007A7094">
        <w:t xml:space="preserve"> </w:t>
      </w:r>
    </w:p>
    <w:p w14:paraId="12F22732" w14:textId="77777777" w:rsidR="00981B73" w:rsidRPr="007A7094" w:rsidRDefault="00981B73" w:rsidP="00722632">
      <w:pPr>
        <w:spacing w:after="0" w:line="480" w:lineRule="auto"/>
        <w:jc w:val="both"/>
      </w:pPr>
    </w:p>
    <w:p w14:paraId="4C736B44" w14:textId="65C91CB2" w:rsidR="00574D54" w:rsidRPr="007A7094" w:rsidRDefault="00574D54" w:rsidP="00722632">
      <w:pPr>
        <w:spacing w:after="0" w:line="480" w:lineRule="auto"/>
        <w:jc w:val="both"/>
      </w:pPr>
      <w:r w:rsidRPr="007A7094">
        <w:t>We can conclude that</w:t>
      </w:r>
      <w:r w:rsidR="00441433" w:rsidRPr="007A7094">
        <w:t xml:space="preserve"> it is the </w:t>
      </w:r>
      <w:r w:rsidR="00441433" w:rsidRPr="007A7094">
        <w:rPr>
          <w:i/>
        </w:rPr>
        <w:t>object</w:t>
      </w:r>
      <w:r w:rsidR="00EB2C8F" w:rsidRPr="007A7094">
        <w:rPr>
          <w:i/>
        </w:rPr>
        <w:t xml:space="preserve"> of</w:t>
      </w:r>
      <w:r w:rsidRPr="007A7094">
        <w:rPr>
          <w:i/>
        </w:rPr>
        <w:t xml:space="preserve"> </w:t>
      </w:r>
      <w:r w:rsidR="00B13944" w:rsidRPr="007A7094">
        <w:rPr>
          <w:i/>
        </w:rPr>
        <w:t>EBM</w:t>
      </w:r>
      <w:r w:rsidR="006B2AB3" w:rsidRPr="007A7094">
        <w:rPr>
          <w:i/>
        </w:rPr>
        <w:t xml:space="preserve"> itself</w:t>
      </w:r>
      <w:r w:rsidR="00B13944" w:rsidRPr="007A7094">
        <w:rPr>
          <w:i/>
        </w:rPr>
        <w:t xml:space="preserve"> </w:t>
      </w:r>
      <w:r w:rsidR="00441433" w:rsidRPr="007A7094">
        <w:t>which</w:t>
      </w:r>
      <w:r w:rsidR="006B2AB3" w:rsidRPr="007A7094">
        <w:t xml:space="preserve"> is </w:t>
      </w:r>
      <w:r w:rsidR="00441433" w:rsidRPr="007A7094">
        <w:t>in the service of</w:t>
      </w:r>
      <w:r w:rsidR="00EB2C8F" w:rsidRPr="007A7094">
        <w:t xml:space="preserve"> being</w:t>
      </w:r>
      <w:r w:rsidR="00441433" w:rsidRPr="007A7094">
        <w:t xml:space="preserve"> perform</w:t>
      </w:r>
      <w:r w:rsidR="00EB2C8F" w:rsidRPr="007A7094">
        <w:t>ed</w:t>
      </w:r>
      <w:r w:rsidR="00B13944" w:rsidRPr="007A7094">
        <w:t xml:space="preserve"> </w:t>
      </w:r>
      <w:r w:rsidR="00536BAF" w:rsidRPr="007A7094">
        <w:t>(</w:t>
      </w:r>
      <w:r w:rsidR="00B13944" w:rsidRPr="007A7094">
        <w:t xml:space="preserve">Moreira, 2007; </w:t>
      </w:r>
      <w:r w:rsidR="00536BAF" w:rsidRPr="007A7094">
        <w:t>Lancaster, 2016)</w:t>
      </w:r>
      <w:r w:rsidR="00156443" w:rsidRPr="007A7094">
        <w:t>,</w:t>
      </w:r>
      <w:r w:rsidR="00536BAF" w:rsidRPr="007A7094">
        <w:t xml:space="preserve"> </w:t>
      </w:r>
      <w:r w:rsidR="00441433" w:rsidRPr="007A7094">
        <w:t>and not only concern</w:t>
      </w:r>
      <w:r w:rsidR="00271681" w:rsidRPr="007A7094">
        <w:t>s</w:t>
      </w:r>
      <w:r w:rsidR="00441433" w:rsidRPr="007A7094">
        <w:t xml:space="preserve"> regarding hepatitis </w:t>
      </w:r>
      <w:r w:rsidR="00760DCE" w:rsidRPr="007A7094">
        <w:t xml:space="preserve">C </w:t>
      </w:r>
      <w:r w:rsidR="00441433" w:rsidRPr="007A7094">
        <w:t>cure</w:t>
      </w:r>
      <w:r w:rsidR="00B13944" w:rsidRPr="007A7094">
        <w:t xml:space="preserve"> </w:t>
      </w:r>
      <w:r w:rsidR="00271681" w:rsidRPr="007A7094">
        <w:t>or</w:t>
      </w:r>
      <w:r w:rsidR="00B13944" w:rsidRPr="007A7094">
        <w:t xml:space="preserve"> the ethics of the pharmaceutical industry involvement</w:t>
      </w:r>
      <w:r w:rsidR="00441433" w:rsidRPr="007A7094">
        <w:t xml:space="preserve">. </w:t>
      </w:r>
      <w:r w:rsidR="000167DE" w:rsidRPr="007A7094">
        <w:t>M</w:t>
      </w:r>
      <w:r w:rsidR="00DF327F" w:rsidRPr="007A7094">
        <w:t>o</w:t>
      </w:r>
      <w:r w:rsidR="00981B73" w:rsidRPr="007A7094">
        <w:t>reover</w:t>
      </w:r>
      <w:r w:rsidR="00DF327F" w:rsidRPr="007A7094">
        <w:t xml:space="preserve">, </w:t>
      </w:r>
      <w:r w:rsidR="001D37A4" w:rsidRPr="007A7094">
        <w:t>attending to</w:t>
      </w:r>
      <w:r w:rsidR="000167DE" w:rsidRPr="007A7094">
        <w:t xml:space="preserve"> how research performs</w:t>
      </w:r>
      <w:r w:rsidR="00DF327F" w:rsidRPr="007A7094">
        <w:t xml:space="preserve"> matters-of-concern rather than </w:t>
      </w:r>
      <w:r w:rsidR="00DB48C3" w:rsidRPr="007A7094">
        <w:t xml:space="preserve">simply </w:t>
      </w:r>
      <w:r w:rsidR="00DF327F" w:rsidRPr="007A7094">
        <w:t>present</w:t>
      </w:r>
      <w:r w:rsidR="00F52ED2" w:rsidRPr="007A7094">
        <w:t xml:space="preserve">ing </w:t>
      </w:r>
      <w:r w:rsidR="00DF327F" w:rsidRPr="007A7094">
        <w:t>matters-of-fact</w:t>
      </w:r>
      <w:r w:rsidR="00DB48C3" w:rsidRPr="007A7094">
        <w:t xml:space="preserve"> invites a more critical and careful approach to</w:t>
      </w:r>
      <w:r w:rsidR="00BE68DC" w:rsidRPr="007A7094">
        <w:t xml:space="preserve"> </w:t>
      </w:r>
      <w:r w:rsidR="00DB48C3" w:rsidRPr="007A7094">
        <w:t>research</w:t>
      </w:r>
      <w:r w:rsidR="00536BAF" w:rsidRPr="007A7094">
        <w:t xml:space="preserve"> (Stengers, 2018)</w:t>
      </w:r>
      <w:r w:rsidR="00DB48C3" w:rsidRPr="007A7094">
        <w:t>.</w:t>
      </w:r>
      <w:r w:rsidR="00536BAF" w:rsidRPr="007A7094">
        <w:t xml:space="preserve"> </w:t>
      </w:r>
      <w:r w:rsidR="00BE68DC" w:rsidRPr="007A7094">
        <w:t xml:space="preserve">As </w:t>
      </w:r>
      <w:r w:rsidR="00796EFC" w:rsidRPr="007A7094">
        <w:t>noted</w:t>
      </w:r>
      <w:r w:rsidR="00BE68DC" w:rsidRPr="007A7094">
        <w:t xml:space="preserve"> by Isabelle Stengers, t</w:t>
      </w:r>
      <w:r w:rsidR="00DB48C3" w:rsidRPr="007A7094">
        <w:t xml:space="preserve">his is because </w:t>
      </w:r>
      <w:r w:rsidR="00BE68DC" w:rsidRPr="007A7094">
        <w:t>focusing on concerns rather than facts</w:t>
      </w:r>
      <w:r w:rsidR="00DB48C3" w:rsidRPr="007A7094">
        <w:t xml:space="preserve"> troubles the idea </w:t>
      </w:r>
      <w:r w:rsidR="00981B73" w:rsidRPr="007A7094">
        <w:t xml:space="preserve">that </w:t>
      </w:r>
      <w:r w:rsidR="00DB48C3" w:rsidRPr="007A7094">
        <w:t>“there is a single ‘right answer’”</w:t>
      </w:r>
      <w:r w:rsidR="00981B73" w:rsidRPr="007A7094">
        <w:t xml:space="preserve"> </w:t>
      </w:r>
      <w:r w:rsidR="001D37A4" w:rsidRPr="007A7094">
        <w:t>by n</w:t>
      </w:r>
      <w:r w:rsidR="00DB48C3" w:rsidRPr="007A7094">
        <w:t xml:space="preserve">oticing that “there are situations </w:t>
      </w:r>
      <w:r w:rsidR="0050146B" w:rsidRPr="007A7094">
        <w:t xml:space="preserve">that </w:t>
      </w:r>
      <w:r w:rsidR="00DB48C3" w:rsidRPr="007A7094">
        <w:t>concern us before they become objects of preoccupation or choice”</w:t>
      </w:r>
      <w:r w:rsidR="00536BAF" w:rsidRPr="007A7094">
        <w:t xml:space="preserve"> (Stengers, 2018)</w:t>
      </w:r>
      <w:r w:rsidR="00DB48C3" w:rsidRPr="007A7094">
        <w:t>.</w:t>
      </w:r>
      <w:r w:rsidR="00156443" w:rsidRPr="007A7094">
        <w:t xml:space="preserve"> </w:t>
      </w:r>
      <w:r w:rsidR="00D25235" w:rsidRPr="007A7094">
        <w:t xml:space="preserve">The dissentions to the Cochrane review </w:t>
      </w:r>
      <w:r w:rsidR="004F77FF" w:rsidRPr="007A7094">
        <w:t>bring attention to there</w:t>
      </w:r>
      <w:r w:rsidR="00D25235" w:rsidRPr="007A7094">
        <w:t xml:space="preserve"> being </w:t>
      </w:r>
      <w:r w:rsidR="00FF7B02" w:rsidRPr="007A7094">
        <w:t>‘</w:t>
      </w:r>
      <w:r w:rsidR="00D25235" w:rsidRPr="007A7094">
        <w:t>no single right answer</w:t>
      </w:r>
      <w:r w:rsidR="00FF7B02" w:rsidRPr="007A7094">
        <w:t>’</w:t>
      </w:r>
      <w:r w:rsidR="00D25235" w:rsidRPr="007A7094">
        <w:t xml:space="preserve"> to knowing hepatitis C cure once appreciated as matters of practice-based concern. </w:t>
      </w:r>
      <w:r w:rsidR="00156443" w:rsidRPr="007A7094">
        <w:t>Evidence-based facts</w:t>
      </w:r>
      <w:r w:rsidR="00271681" w:rsidRPr="007A7094">
        <w:t xml:space="preserve"> </w:t>
      </w:r>
      <w:r w:rsidR="00156443" w:rsidRPr="007A7094">
        <w:t xml:space="preserve">cannot </w:t>
      </w:r>
      <w:r w:rsidR="00585612" w:rsidRPr="007A7094">
        <w:t>sufficiently</w:t>
      </w:r>
      <w:r w:rsidR="00E82F6A" w:rsidRPr="007A7094">
        <w:t xml:space="preserve"> </w:t>
      </w:r>
      <w:r w:rsidR="00156443" w:rsidRPr="007A7094">
        <w:t xml:space="preserve">‘capture’ </w:t>
      </w:r>
      <w:r w:rsidR="00E82F6A" w:rsidRPr="007A7094">
        <w:t>or ‘know’ situated concerns, for these extend beyond</w:t>
      </w:r>
      <w:r w:rsidR="00585612" w:rsidRPr="007A7094">
        <w:t xml:space="preserve"> </w:t>
      </w:r>
      <w:r w:rsidR="00E82F6A" w:rsidRPr="007A7094">
        <w:t xml:space="preserve">the knowability of science constituted </w:t>
      </w:r>
      <w:r w:rsidR="00B94DDF" w:rsidRPr="007A7094">
        <w:t>narrowly</w:t>
      </w:r>
      <w:r w:rsidR="00585612" w:rsidRPr="007A7094">
        <w:t xml:space="preserve"> </w:t>
      </w:r>
      <w:r w:rsidR="00E82F6A" w:rsidRPr="007A7094">
        <w:t>as the mattering of fact</w:t>
      </w:r>
      <w:r w:rsidR="00B94DDF" w:rsidRPr="007A7094">
        <w:t>s</w:t>
      </w:r>
      <w:r w:rsidR="00E82F6A" w:rsidRPr="007A7094">
        <w:t xml:space="preserve">. </w:t>
      </w:r>
      <w:r w:rsidR="00B13944" w:rsidRPr="007A7094">
        <w:t xml:space="preserve">This points to the spiralling limits </w:t>
      </w:r>
      <w:r w:rsidR="00367BAA" w:rsidRPr="007A7094">
        <w:t xml:space="preserve">(and frustrations) </w:t>
      </w:r>
      <w:r w:rsidR="00B13944" w:rsidRPr="007A7094">
        <w:t>of epistemological critique, which limit</w:t>
      </w:r>
      <w:r w:rsidR="00367BAA" w:rsidRPr="007A7094">
        <w:t>s</w:t>
      </w:r>
      <w:r w:rsidR="00B13944" w:rsidRPr="007A7094">
        <w:t xml:space="preserve"> conversation to within narrowly defined methodological boundaries</w:t>
      </w:r>
      <w:r w:rsidR="00271681" w:rsidRPr="007A7094">
        <w:t xml:space="preserve">. This tells us </w:t>
      </w:r>
      <w:r w:rsidR="00B13944" w:rsidRPr="007A7094">
        <w:t xml:space="preserve">that we need </w:t>
      </w:r>
      <w:r w:rsidR="00B13944" w:rsidRPr="007A7094">
        <w:rPr>
          <w:i/>
        </w:rPr>
        <w:t>another way to converse</w:t>
      </w:r>
      <w:r w:rsidR="00B13944" w:rsidRPr="007A7094">
        <w:t xml:space="preserve">. We thus move from </w:t>
      </w:r>
      <w:r w:rsidR="00367BAA" w:rsidRPr="007A7094">
        <w:t xml:space="preserve">familiar </w:t>
      </w:r>
      <w:r w:rsidR="00B13944" w:rsidRPr="007A7094">
        <w:t>conversation</w:t>
      </w:r>
      <w:r w:rsidR="00367BAA" w:rsidRPr="007A7094">
        <w:t>s</w:t>
      </w:r>
      <w:r w:rsidR="00B13944" w:rsidRPr="007A7094">
        <w:t xml:space="preserve"> </w:t>
      </w:r>
      <w:r w:rsidR="00367BAA" w:rsidRPr="007A7094">
        <w:t xml:space="preserve">about </w:t>
      </w:r>
      <w:r w:rsidR="00B13944" w:rsidRPr="007A7094">
        <w:t>epistemological differences</w:t>
      </w:r>
      <w:r w:rsidR="00367BAA" w:rsidRPr="007A7094">
        <w:t xml:space="preserve"> and which methods are best,</w:t>
      </w:r>
      <w:r w:rsidR="00B13944" w:rsidRPr="007A7094">
        <w:t xml:space="preserve"> to </w:t>
      </w:r>
      <w:r w:rsidR="00367BAA" w:rsidRPr="007A7094">
        <w:t>less predictable</w:t>
      </w:r>
      <w:r w:rsidR="00D45A41" w:rsidRPr="007A7094">
        <w:t xml:space="preserve"> (</w:t>
      </w:r>
      <w:r w:rsidR="00271681" w:rsidRPr="007A7094">
        <w:t>but</w:t>
      </w:r>
      <w:r w:rsidR="00D45A41" w:rsidRPr="007A7094">
        <w:t xml:space="preserve"> livel</w:t>
      </w:r>
      <w:r w:rsidR="001B35F9" w:rsidRPr="007A7094">
        <w:t>ier</w:t>
      </w:r>
      <w:r w:rsidR="00D45A41" w:rsidRPr="007A7094">
        <w:t>)</w:t>
      </w:r>
      <w:r w:rsidR="00367BAA" w:rsidRPr="007A7094">
        <w:t xml:space="preserve"> </w:t>
      </w:r>
      <w:r w:rsidR="00B13944" w:rsidRPr="007A7094">
        <w:t>conversations</w:t>
      </w:r>
      <w:r w:rsidR="00367BAA" w:rsidRPr="007A7094">
        <w:t xml:space="preserve"> </w:t>
      </w:r>
      <w:r w:rsidR="00B13944" w:rsidRPr="007A7094">
        <w:t xml:space="preserve">about </w:t>
      </w:r>
      <w:r w:rsidR="00367BAA" w:rsidRPr="007A7094">
        <w:t>how</w:t>
      </w:r>
      <w:r w:rsidR="00B13944" w:rsidRPr="007A7094">
        <w:t xml:space="preserve"> evidence</w:t>
      </w:r>
      <w:r w:rsidR="00367BAA" w:rsidRPr="007A7094">
        <w:t xml:space="preserve"> comes-to-be and</w:t>
      </w:r>
      <w:r w:rsidR="00271681" w:rsidRPr="007A7094">
        <w:t xml:space="preserve"> </w:t>
      </w:r>
      <w:r w:rsidR="00367BAA" w:rsidRPr="007A7094">
        <w:t xml:space="preserve">is made-to-matter </w:t>
      </w:r>
      <w:r w:rsidR="00D45A41" w:rsidRPr="007A7094">
        <w:t xml:space="preserve">differently </w:t>
      </w:r>
      <w:r w:rsidR="00367BAA" w:rsidRPr="007A7094">
        <w:t xml:space="preserve">among the </w:t>
      </w:r>
      <w:r w:rsidR="00D45A41" w:rsidRPr="007A7094">
        <w:t>diverse</w:t>
      </w:r>
      <w:r w:rsidR="00367BAA" w:rsidRPr="007A7094">
        <w:t xml:space="preserve"> actors involved</w:t>
      </w:r>
      <w:r w:rsidR="00271681" w:rsidRPr="007A7094">
        <w:t>.</w:t>
      </w:r>
      <w:r w:rsidR="00271681" w:rsidRPr="007A7094">
        <w:t xml:space="preserve"> </w:t>
      </w:r>
      <w:r w:rsidR="00C37712" w:rsidRPr="007A7094">
        <w:t>T</w:t>
      </w:r>
      <w:r w:rsidR="00E82F6A" w:rsidRPr="007A7094">
        <w:t xml:space="preserve">reating </w:t>
      </w:r>
      <w:r w:rsidR="0015092A" w:rsidRPr="007A7094">
        <w:t xml:space="preserve">evidencing as performance </w:t>
      </w:r>
      <w:r w:rsidR="00BD2BF3" w:rsidRPr="007A7094">
        <w:t xml:space="preserve">not only </w:t>
      </w:r>
      <w:r w:rsidR="0015092A" w:rsidRPr="007A7094">
        <w:t xml:space="preserve">allows us to see </w:t>
      </w:r>
      <w:r w:rsidR="00271681" w:rsidRPr="007A7094">
        <w:t>EBM</w:t>
      </w:r>
      <w:r w:rsidR="00D804BD" w:rsidRPr="007A7094">
        <w:t xml:space="preserve"> </w:t>
      </w:r>
      <w:r w:rsidR="0015092A" w:rsidRPr="007A7094">
        <w:rPr>
          <w:i/>
        </w:rPr>
        <w:t>working</w:t>
      </w:r>
      <w:r w:rsidR="0015092A" w:rsidRPr="007A7094">
        <w:t xml:space="preserve"> to reproduce itself</w:t>
      </w:r>
      <w:r w:rsidR="00E82F6A" w:rsidRPr="007A7094">
        <w:t xml:space="preserve"> a</w:t>
      </w:r>
      <w:r w:rsidR="00585612" w:rsidRPr="007A7094">
        <w:t>s a</w:t>
      </w:r>
      <w:r w:rsidR="00E82F6A" w:rsidRPr="007A7094">
        <w:t xml:space="preserve"> matter-of-fact</w:t>
      </w:r>
      <w:r w:rsidR="008B5E41" w:rsidRPr="007A7094">
        <w:t>,</w:t>
      </w:r>
      <w:r w:rsidR="0015092A" w:rsidRPr="007A7094">
        <w:t xml:space="preserve"> </w:t>
      </w:r>
      <w:r w:rsidR="00585612" w:rsidRPr="007A7094">
        <w:t xml:space="preserve">it </w:t>
      </w:r>
      <w:r w:rsidR="00BD2BF3" w:rsidRPr="007A7094">
        <w:t>also helps</w:t>
      </w:r>
      <w:r w:rsidR="00585612" w:rsidRPr="007A7094">
        <w:t xml:space="preserve"> glimpse</w:t>
      </w:r>
      <w:r w:rsidR="0015092A" w:rsidRPr="007A7094">
        <w:t xml:space="preserve"> </w:t>
      </w:r>
      <w:r w:rsidR="00585612" w:rsidRPr="007A7094">
        <w:t>how</w:t>
      </w:r>
      <w:r w:rsidR="0015092A" w:rsidRPr="007A7094">
        <w:t xml:space="preserve"> </w:t>
      </w:r>
      <w:r w:rsidR="00BD2BF3" w:rsidRPr="007A7094">
        <w:t>certain</w:t>
      </w:r>
      <w:r w:rsidR="00585612" w:rsidRPr="007A7094">
        <w:t xml:space="preserve"> </w:t>
      </w:r>
      <w:r w:rsidR="0015092A" w:rsidRPr="007A7094">
        <w:t>present</w:t>
      </w:r>
      <w:r w:rsidR="00585612" w:rsidRPr="007A7094">
        <w:t>ed</w:t>
      </w:r>
      <w:r w:rsidR="0015092A" w:rsidRPr="007A7094">
        <w:t xml:space="preserve"> facts </w:t>
      </w:r>
      <w:r w:rsidR="00585612" w:rsidRPr="007A7094">
        <w:t xml:space="preserve">are </w:t>
      </w:r>
      <w:r w:rsidR="00585612" w:rsidRPr="007A7094">
        <w:rPr>
          <w:i/>
        </w:rPr>
        <w:t>worked</w:t>
      </w:r>
      <w:r w:rsidR="00585612" w:rsidRPr="007A7094">
        <w:t xml:space="preserve"> </w:t>
      </w:r>
      <w:r w:rsidR="00585612" w:rsidRPr="007A7094">
        <w:rPr>
          <w:i/>
        </w:rPr>
        <w:t>into</w:t>
      </w:r>
      <w:r w:rsidR="0015092A" w:rsidRPr="007A7094">
        <w:t xml:space="preserve"> </w:t>
      </w:r>
      <w:r w:rsidR="00BD2BF3" w:rsidRPr="007A7094">
        <w:t xml:space="preserve">selected </w:t>
      </w:r>
      <w:r w:rsidR="0015092A" w:rsidRPr="007A7094">
        <w:t>matters-of-concern</w:t>
      </w:r>
      <w:r w:rsidR="00B94DDF" w:rsidRPr="007A7094">
        <w:t xml:space="preserve"> and vice versa</w:t>
      </w:r>
      <w:r w:rsidR="0015092A" w:rsidRPr="007A7094">
        <w:t>.</w:t>
      </w:r>
      <w:r w:rsidR="00E82F6A" w:rsidRPr="007A7094">
        <w:t xml:space="preserve"> </w:t>
      </w:r>
    </w:p>
    <w:p w14:paraId="37515114" w14:textId="77777777" w:rsidR="00833B79" w:rsidRPr="007A7094" w:rsidRDefault="00833B79" w:rsidP="00722632">
      <w:pPr>
        <w:spacing w:after="0" w:line="480" w:lineRule="auto"/>
        <w:jc w:val="both"/>
      </w:pPr>
    </w:p>
    <w:p w14:paraId="640031EF" w14:textId="41A7A4A1" w:rsidR="0046368C" w:rsidRPr="007A7094" w:rsidRDefault="00EF46E5" w:rsidP="00722632">
      <w:pPr>
        <w:spacing w:after="0" w:line="480" w:lineRule="auto"/>
        <w:jc w:val="both"/>
        <w:rPr>
          <w:b/>
          <w:sz w:val="28"/>
          <w:szCs w:val="28"/>
        </w:rPr>
      </w:pPr>
      <w:r w:rsidRPr="007A7094">
        <w:rPr>
          <w:b/>
          <w:sz w:val="28"/>
          <w:szCs w:val="28"/>
        </w:rPr>
        <w:t>L</w:t>
      </w:r>
      <w:r w:rsidR="00D84697" w:rsidRPr="007A7094">
        <w:rPr>
          <w:b/>
          <w:sz w:val="28"/>
          <w:szCs w:val="28"/>
        </w:rPr>
        <w:t xml:space="preserve">essons from </w:t>
      </w:r>
      <w:r w:rsidR="00240423" w:rsidRPr="007A7094">
        <w:rPr>
          <w:b/>
          <w:sz w:val="28"/>
          <w:szCs w:val="28"/>
        </w:rPr>
        <w:t>science and technology studies</w:t>
      </w:r>
    </w:p>
    <w:p w14:paraId="3A3911E9" w14:textId="5339EEFF" w:rsidR="00631CB7" w:rsidRPr="007A7094" w:rsidRDefault="001B43DD" w:rsidP="00722632">
      <w:pPr>
        <w:pStyle w:val="Standard"/>
        <w:spacing w:line="480" w:lineRule="auto"/>
        <w:jc w:val="both"/>
        <w:rPr>
          <w:rFonts w:asciiTheme="minorHAnsi" w:hAnsiTheme="minorHAnsi"/>
          <w:sz w:val="22"/>
          <w:szCs w:val="22"/>
        </w:rPr>
      </w:pPr>
      <w:r w:rsidRPr="007A7094">
        <w:rPr>
          <w:rFonts w:asciiTheme="minorHAnsi" w:hAnsiTheme="minorHAnsi"/>
          <w:sz w:val="22"/>
          <w:szCs w:val="22"/>
        </w:rPr>
        <w:lastRenderedPageBreak/>
        <w:t>E</w:t>
      </w:r>
      <w:r w:rsidR="00C21D85" w:rsidRPr="007A7094">
        <w:rPr>
          <w:rFonts w:asciiTheme="minorHAnsi" w:hAnsiTheme="minorHAnsi"/>
          <w:sz w:val="22"/>
          <w:szCs w:val="22"/>
        </w:rPr>
        <w:t xml:space="preserve">vidence controversies </w:t>
      </w:r>
      <w:r w:rsidR="001E5108" w:rsidRPr="007A7094">
        <w:rPr>
          <w:rFonts w:asciiTheme="minorHAnsi" w:hAnsiTheme="minorHAnsi"/>
          <w:sz w:val="22"/>
          <w:szCs w:val="22"/>
        </w:rPr>
        <w:t>bring to</w:t>
      </w:r>
      <w:r w:rsidR="00C21D85" w:rsidRPr="007A7094">
        <w:rPr>
          <w:rFonts w:asciiTheme="minorHAnsi" w:hAnsiTheme="minorHAnsi"/>
          <w:sz w:val="22"/>
          <w:szCs w:val="22"/>
        </w:rPr>
        <w:t xml:space="preserve"> light the fragility of evidence</w:t>
      </w:r>
      <w:r w:rsidRPr="007A7094">
        <w:rPr>
          <w:rFonts w:asciiTheme="minorHAnsi" w:hAnsiTheme="minorHAnsi"/>
          <w:sz w:val="22"/>
          <w:szCs w:val="22"/>
        </w:rPr>
        <w:t>-based</w:t>
      </w:r>
      <w:r w:rsidR="0007471D" w:rsidRPr="007A7094">
        <w:rPr>
          <w:rFonts w:asciiTheme="minorHAnsi" w:hAnsiTheme="minorHAnsi"/>
          <w:sz w:val="22"/>
          <w:szCs w:val="22"/>
        </w:rPr>
        <w:t xml:space="preserve"> </w:t>
      </w:r>
      <w:r w:rsidRPr="007A7094">
        <w:rPr>
          <w:rFonts w:asciiTheme="minorHAnsi" w:hAnsiTheme="minorHAnsi"/>
          <w:sz w:val="22"/>
          <w:szCs w:val="22"/>
        </w:rPr>
        <w:t>interventions</w:t>
      </w:r>
      <w:r w:rsidR="00536BAF" w:rsidRPr="007A7094">
        <w:rPr>
          <w:rFonts w:asciiTheme="minorHAnsi" w:hAnsiTheme="minorHAnsi"/>
          <w:sz w:val="22"/>
          <w:szCs w:val="22"/>
        </w:rPr>
        <w:t xml:space="preserve"> (Latour, 1987; </w:t>
      </w:r>
      <w:r w:rsidR="005579E7" w:rsidRPr="007A7094">
        <w:rPr>
          <w:rFonts w:asciiTheme="minorHAnsi" w:hAnsiTheme="minorHAnsi"/>
          <w:sz w:val="22"/>
          <w:szCs w:val="22"/>
        </w:rPr>
        <w:t xml:space="preserve">Moreira, 2007; </w:t>
      </w:r>
      <w:r w:rsidR="00536BAF" w:rsidRPr="007A7094">
        <w:rPr>
          <w:rFonts w:asciiTheme="minorHAnsi" w:hAnsiTheme="minorHAnsi"/>
          <w:sz w:val="22"/>
          <w:szCs w:val="22"/>
        </w:rPr>
        <w:t>Whatmore, 2009)</w:t>
      </w:r>
      <w:r w:rsidRPr="007A7094">
        <w:rPr>
          <w:rFonts w:asciiTheme="minorHAnsi" w:hAnsiTheme="minorHAnsi"/>
          <w:sz w:val="22"/>
          <w:szCs w:val="22"/>
        </w:rPr>
        <w:t xml:space="preserve">. They illuminate </w:t>
      </w:r>
      <w:r w:rsidR="0069233C" w:rsidRPr="007A7094">
        <w:rPr>
          <w:rFonts w:asciiTheme="minorHAnsi" w:hAnsiTheme="minorHAnsi"/>
          <w:sz w:val="22"/>
          <w:szCs w:val="22"/>
        </w:rPr>
        <w:t>evidencing</w:t>
      </w:r>
      <w:r w:rsidR="00C21D85" w:rsidRPr="007A7094">
        <w:rPr>
          <w:rFonts w:asciiTheme="minorHAnsi" w:hAnsiTheme="minorHAnsi"/>
          <w:sz w:val="22"/>
          <w:szCs w:val="22"/>
        </w:rPr>
        <w:t xml:space="preserve"> a</w:t>
      </w:r>
      <w:r w:rsidR="001E5108" w:rsidRPr="007A7094">
        <w:rPr>
          <w:rFonts w:asciiTheme="minorHAnsi" w:hAnsiTheme="minorHAnsi"/>
          <w:sz w:val="22"/>
          <w:szCs w:val="22"/>
        </w:rPr>
        <w:t xml:space="preserve">s </w:t>
      </w:r>
      <w:r w:rsidR="00C21D85" w:rsidRPr="007A7094">
        <w:rPr>
          <w:rFonts w:asciiTheme="minorHAnsi" w:hAnsiTheme="minorHAnsi"/>
          <w:sz w:val="22"/>
          <w:szCs w:val="22"/>
        </w:rPr>
        <w:t xml:space="preserve">messy and unpredictable. </w:t>
      </w:r>
      <w:r w:rsidR="001E5108" w:rsidRPr="007A7094">
        <w:rPr>
          <w:rFonts w:asciiTheme="minorHAnsi" w:hAnsiTheme="minorHAnsi"/>
          <w:sz w:val="22"/>
          <w:szCs w:val="22"/>
        </w:rPr>
        <w:t>T</w:t>
      </w:r>
      <w:r w:rsidR="00C21D85" w:rsidRPr="007A7094">
        <w:rPr>
          <w:rFonts w:asciiTheme="minorHAnsi" w:hAnsiTheme="minorHAnsi"/>
          <w:sz w:val="22"/>
          <w:szCs w:val="22"/>
        </w:rPr>
        <w:t>he knowability of hepatitis C cure has become mess</w:t>
      </w:r>
      <w:r w:rsidRPr="007A7094">
        <w:rPr>
          <w:rFonts w:asciiTheme="minorHAnsi" w:hAnsiTheme="minorHAnsi"/>
          <w:sz w:val="22"/>
          <w:szCs w:val="22"/>
        </w:rPr>
        <w:t>ier</w:t>
      </w:r>
      <w:r w:rsidR="000332CD" w:rsidRPr="007A7094">
        <w:rPr>
          <w:rFonts w:asciiTheme="minorHAnsi" w:hAnsiTheme="minorHAnsi"/>
          <w:sz w:val="22"/>
          <w:szCs w:val="22"/>
        </w:rPr>
        <w:t xml:space="preserve"> following the Cochrane review</w:t>
      </w:r>
      <w:r w:rsidR="00536BAF" w:rsidRPr="007A7094">
        <w:rPr>
          <w:rFonts w:asciiTheme="minorHAnsi" w:hAnsiTheme="minorHAnsi"/>
          <w:sz w:val="22"/>
          <w:szCs w:val="22"/>
        </w:rPr>
        <w:t xml:space="preserve"> (Rhodes et al., 201</w:t>
      </w:r>
      <w:r w:rsidR="005579E7" w:rsidRPr="007A7094">
        <w:rPr>
          <w:rFonts w:asciiTheme="minorHAnsi" w:hAnsiTheme="minorHAnsi"/>
          <w:sz w:val="22"/>
          <w:szCs w:val="22"/>
        </w:rPr>
        <w:t>9</w:t>
      </w:r>
      <w:r w:rsidR="00536BAF" w:rsidRPr="007A7094">
        <w:rPr>
          <w:rFonts w:asciiTheme="minorHAnsi" w:hAnsiTheme="minorHAnsi"/>
          <w:sz w:val="22"/>
          <w:szCs w:val="22"/>
        </w:rPr>
        <w:t>)</w:t>
      </w:r>
      <w:r w:rsidR="00C21D85" w:rsidRPr="007A7094">
        <w:rPr>
          <w:rFonts w:asciiTheme="minorHAnsi" w:hAnsiTheme="minorHAnsi"/>
          <w:sz w:val="22"/>
          <w:szCs w:val="22"/>
        </w:rPr>
        <w:t>.</w:t>
      </w:r>
      <w:r w:rsidR="00536BAF" w:rsidRPr="007A7094">
        <w:rPr>
          <w:rFonts w:asciiTheme="minorHAnsi" w:hAnsiTheme="minorHAnsi"/>
          <w:sz w:val="22"/>
          <w:szCs w:val="22"/>
        </w:rPr>
        <w:t xml:space="preserve"> </w:t>
      </w:r>
      <w:r w:rsidR="00C21D85" w:rsidRPr="007A7094">
        <w:rPr>
          <w:rFonts w:asciiTheme="minorHAnsi" w:hAnsiTheme="minorHAnsi"/>
          <w:sz w:val="22"/>
          <w:szCs w:val="22"/>
        </w:rPr>
        <w:t>S</w:t>
      </w:r>
      <w:r w:rsidR="003F1111" w:rsidRPr="007A7094">
        <w:rPr>
          <w:rFonts w:asciiTheme="minorHAnsi" w:hAnsiTheme="minorHAnsi"/>
          <w:sz w:val="22"/>
          <w:szCs w:val="22"/>
        </w:rPr>
        <w:t xml:space="preserve">cientists, clinicians, expert societies and advocacy groups draw upon different forms of </w:t>
      </w:r>
      <w:r w:rsidR="0069233C" w:rsidRPr="007A7094">
        <w:rPr>
          <w:rFonts w:asciiTheme="minorHAnsi" w:hAnsiTheme="minorHAnsi"/>
          <w:sz w:val="22"/>
          <w:szCs w:val="22"/>
        </w:rPr>
        <w:t>knowledge</w:t>
      </w:r>
      <w:r w:rsidR="003F1111" w:rsidRPr="007A7094">
        <w:rPr>
          <w:rFonts w:asciiTheme="minorHAnsi" w:hAnsiTheme="minorHAnsi"/>
          <w:sz w:val="22"/>
          <w:szCs w:val="22"/>
        </w:rPr>
        <w:t xml:space="preserve"> to </w:t>
      </w:r>
      <w:r w:rsidR="0069233C" w:rsidRPr="007A7094">
        <w:rPr>
          <w:rFonts w:asciiTheme="minorHAnsi" w:hAnsiTheme="minorHAnsi"/>
          <w:sz w:val="22"/>
          <w:szCs w:val="22"/>
        </w:rPr>
        <w:t xml:space="preserve">evidence </w:t>
      </w:r>
      <w:r w:rsidR="005579E7" w:rsidRPr="007A7094">
        <w:rPr>
          <w:rFonts w:asciiTheme="minorHAnsi" w:hAnsiTheme="minorHAnsi"/>
          <w:sz w:val="22"/>
          <w:szCs w:val="22"/>
        </w:rPr>
        <w:t>different</w:t>
      </w:r>
      <w:r w:rsidR="005579E7" w:rsidRPr="007A7094">
        <w:rPr>
          <w:rFonts w:asciiTheme="minorHAnsi" w:hAnsiTheme="minorHAnsi"/>
          <w:sz w:val="22"/>
          <w:szCs w:val="22"/>
        </w:rPr>
        <w:t xml:space="preserve"> </w:t>
      </w:r>
      <w:r w:rsidR="00C21D85" w:rsidRPr="007A7094">
        <w:rPr>
          <w:rFonts w:asciiTheme="minorHAnsi" w:hAnsiTheme="minorHAnsi"/>
          <w:sz w:val="22"/>
          <w:szCs w:val="22"/>
        </w:rPr>
        <w:t>realit</w:t>
      </w:r>
      <w:r w:rsidR="005579E7" w:rsidRPr="007A7094">
        <w:rPr>
          <w:rFonts w:asciiTheme="minorHAnsi" w:hAnsiTheme="minorHAnsi"/>
          <w:sz w:val="22"/>
          <w:szCs w:val="22"/>
        </w:rPr>
        <w:t>ies</w:t>
      </w:r>
      <w:r w:rsidR="00C21D85" w:rsidRPr="007A7094">
        <w:rPr>
          <w:rFonts w:asciiTheme="minorHAnsi" w:hAnsiTheme="minorHAnsi"/>
          <w:sz w:val="22"/>
          <w:szCs w:val="22"/>
        </w:rPr>
        <w:t xml:space="preserve"> </w:t>
      </w:r>
      <w:r w:rsidR="001E5108" w:rsidRPr="007A7094">
        <w:rPr>
          <w:rFonts w:asciiTheme="minorHAnsi" w:hAnsiTheme="minorHAnsi"/>
          <w:sz w:val="22"/>
          <w:szCs w:val="22"/>
        </w:rPr>
        <w:t>of</w:t>
      </w:r>
      <w:r w:rsidR="003F1111" w:rsidRPr="007A7094">
        <w:rPr>
          <w:rFonts w:asciiTheme="minorHAnsi" w:hAnsiTheme="minorHAnsi"/>
          <w:sz w:val="22"/>
          <w:szCs w:val="22"/>
        </w:rPr>
        <w:t xml:space="preserve"> hepatitis C cure</w:t>
      </w:r>
      <w:r w:rsidR="0069233C" w:rsidRPr="007A7094">
        <w:rPr>
          <w:rFonts w:asciiTheme="minorHAnsi" w:hAnsiTheme="minorHAnsi"/>
          <w:sz w:val="22"/>
          <w:szCs w:val="22"/>
        </w:rPr>
        <w:t xml:space="preserve"> </w:t>
      </w:r>
      <w:r w:rsidR="00536BAF" w:rsidRPr="007A7094">
        <w:rPr>
          <w:rFonts w:asciiTheme="minorHAnsi" w:hAnsiTheme="minorHAnsi"/>
          <w:sz w:val="22"/>
          <w:szCs w:val="22"/>
        </w:rPr>
        <w:t>(European Association for the Study of the Liver, 2017; World Hepatitis Alliance, 2017; European Liver Patients’ Association, 2017; Gastroenterological Society of Australia, 2017; Hepatitis C Coalition, 2017; Powderly et al., 2017; Foster et al., 2018; Cooke et al., 2018; Barclay et al., 2018)</w:t>
      </w:r>
      <w:r w:rsidR="003F1111" w:rsidRPr="007A7094">
        <w:rPr>
          <w:rFonts w:asciiTheme="minorHAnsi" w:hAnsiTheme="minorHAnsi"/>
          <w:sz w:val="22"/>
          <w:szCs w:val="22"/>
        </w:rPr>
        <w:t>.</w:t>
      </w:r>
      <w:r w:rsidR="00E46BAD" w:rsidRPr="007A7094">
        <w:rPr>
          <w:rFonts w:asciiTheme="minorHAnsi" w:hAnsiTheme="minorHAnsi"/>
          <w:sz w:val="22"/>
          <w:szCs w:val="22"/>
        </w:rPr>
        <w:t xml:space="preserve"> </w:t>
      </w:r>
      <w:r w:rsidR="001E5108" w:rsidRPr="007A7094">
        <w:rPr>
          <w:rFonts w:asciiTheme="minorHAnsi" w:hAnsiTheme="minorHAnsi"/>
          <w:sz w:val="22"/>
          <w:szCs w:val="22"/>
        </w:rPr>
        <w:t>T</w:t>
      </w:r>
      <w:r w:rsidR="00E46BAD" w:rsidRPr="007A7094">
        <w:rPr>
          <w:rFonts w:asciiTheme="minorHAnsi" w:hAnsiTheme="minorHAnsi"/>
          <w:sz w:val="22"/>
          <w:szCs w:val="22"/>
        </w:rPr>
        <w:t>h</w:t>
      </w:r>
      <w:r w:rsidR="001E5108" w:rsidRPr="007A7094">
        <w:rPr>
          <w:rFonts w:asciiTheme="minorHAnsi" w:hAnsiTheme="minorHAnsi"/>
          <w:sz w:val="22"/>
          <w:szCs w:val="22"/>
        </w:rPr>
        <w:t xml:space="preserve">e ensuing controversy risks </w:t>
      </w:r>
      <w:r w:rsidR="00E46BAD" w:rsidRPr="007A7094">
        <w:rPr>
          <w:rFonts w:asciiTheme="minorHAnsi" w:hAnsiTheme="minorHAnsi"/>
          <w:sz w:val="22"/>
          <w:szCs w:val="22"/>
        </w:rPr>
        <w:t>disrupt</w:t>
      </w:r>
      <w:r w:rsidR="001E5108" w:rsidRPr="007A7094">
        <w:rPr>
          <w:rFonts w:asciiTheme="minorHAnsi" w:hAnsiTheme="minorHAnsi"/>
          <w:sz w:val="22"/>
          <w:szCs w:val="22"/>
        </w:rPr>
        <w:t>ing</w:t>
      </w:r>
      <w:r w:rsidR="00E46BAD" w:rsidRPr="007A7094">
        <w:rPr>
          <w:rFonts w:asciiTheme="minorHAnsi" w:hAnsiTheme="minorHAnsi"/>
          <w:sz w:val="22"/>
          <w:szCs w:val="22"/>
        </w:rPr>
        <w:t xml:space="preserve"> accepted</w:t>
      </w:r>
      <w:r w:rsidR="001E5108" w:rsidRPr="007A7094">
        <w:rPr>
          <w:rFonts w:asciiTheme="minorHAnsi" w:hAnsiTheme="minorHAnsi"/>
          <w:sz w:val="22"/>
          <w:szCs w:val="22"/>
        </w:rPr>
        <w:t xml:space="preserve"> working</w:t>
      </w:r>
      <w:r w:rsidR="00E46BAD" w:rsidRPr="007A7094">
        <w:rPr>
          <w:rFonts w:asciiTheme="minorHAnsi" w:hAnsiTheme="minorHAnsi"/>
          <w:sz w:val="22"/>
          <w:szCs w:val="22"/>
        </w:rPr>
        <w:t xml:space="preserve"> truths </w:t>
      </w:r>
      <w:r w:rsidR="001E5108" w:rsidRPr="007A7094">
        <w:rPr>
          <w:rFonts w:asciiTheme="minorHAnsi" w:hAnsiTheme="minorHAnsi"/>
          <w:sz w:val="22"/>
          <w:szCs w:val="22"/>
        </w:rPr>
        <w:t>in clinical and evidence-based practice</w:t>
      </w:r>
      <w:r w:rsidR="0069233C" w:rsidRPr="007A7094">
        <w:rPr>
          <w:rFonts w:asciiTheme="minorHAnsi" w:hAnsiTheme="minorHAnsi"/>
          <w:sz w:val="22"/>
          <w:szCs w:val="22"/>
        </w:rPr>
        <w:t xml:space="preserve"> as well as global strategy</w:t>
      </w:r>
      <w:r w:rsidR="00536BAF" w:rsidRPr="007A7094">
        <w:rPr>
          <w:rFonts w:asciiTheme="minorHAnsi" w:hAnsiTheme="minorHAnsi"/>
          <w:sz w:val="22"/>
          <w:szCs w:val="22"/>
        </w:rPr>
        <w:t xml:space="preserve"> (World Health Organization, 2016a,b)</w:t>
      </w:r>
      <w:r w:rsidR="001E5108" w:rsidRPr="007A7094">
        <w:rPr>
          <w:rFonts w:asciiTheme="minorHAnsi" w:hAnsiTheme="minorHAnsi"/>
          <w:sz w:val="22"/>
          <w:szCs w:val="22"/>
        </w:rPr>
        <w:t xml:space="preserve">. </w:t>
      </w:r>
      <w:r w:rsidR="00E46BAD" w:rsidRPr="007A7094">
        <w:rPr>
          <w:rFonts w:asciiTheme="minorHAnsi" w:hAnsiTheme="minorHAnsi"/>
          <w:sz w:val="22"/>
          <w:szCs w:val="22"/>
        </w:rPr>
        <w:t xml:space="preserve">The Cochrane review </w:t>
      </w:r>
      <w:r w:rsidR="0069233C" w:rsidRPr="007A7094">
        <w:rPr>
          <w:rFonts w:asciiTheme="minorHAnsi" w:hAnsiTheme="minorHAnsi"/>
          <w:sz w:val="22"/>
          <w:szCs w:val="22"/>
        </w:rPr>
        <w:t xml:space="preserve">can be seen to </w:t>
      </w:r>
      <w:r w:rsidR="00E46BAD" w:rsidRPr="007A7094">
        <w:rPr>
          <w:rFonts w:asciiTheme="minorHAnsi" w:hAnsiTheme="minorHAnsi"/>
          <w:sz w:val="22"/>
          <w:szCs w:val="22"/>
        </w:rPr>
        <w:t xml:space="preserve">open up </w:t>
      </w:r>
      <w:r w:rsidR="001E5108" w:rsidRPr="007A7094">
        <w:rPr>
          <w:rFonts w:asciiTheme="minorHAnsi" w:hAnsiTheme="minorHAnsi"/>
          <w:sz w:val="22"/>
          <w:szCs w:val="22"/>
        </w:rPr>
        <w:t xml:space="preserve">a </w:t>
      </w:r>
      <w:r w:rsidR="00E46BAD" w:rsidRPr="007A7094">
        <w:rPr>
          <w:rFonts w:asciiTheme="minorHAnsi" w:hAnsiTheme="minorHAnsi"/>
          <w:sz w:val="22"/>
          <w:szCs w:val="22"/>
        </w:rPr>
        <w:t>taken</w:t>
      </w:r>
      <w:r w:rsidR="001E5108" w:rsidRPr="007A7094">
        <w:rPr>
          <w:rFonts w:asciiTheme="minorHAnsi" w:hAnsiTheme="minorHAnsi"/>
          <w:sz w:val="22"/>
          <w:szCs w:val="22"/>
        </w:rPr>
        <w:t>-</w:t>
      </w:r>
      <w:r w:rsidR="00E46BAD" w:rsidRPr="007A7094">
        <w:rPr>
          <w:rFonts w:asciiTheme="minorHAnsi" w:hAnsiTheme="minorHAnsi"/>
          <w:sz w:val="22"/>
          <w:szCs w:val="22"/>
        </w:rPr>
        <w:t>for</w:t>
      </w:r>
      <w:r w:rsidR="001E5108" w:rsidRPr="007A7094">
        <w:rPr>
          <w:rFonts w:asciiTheme="minorHAnsi" w:hAnsiTheme="minorHAnsi"/>
          <w:sz w:val="22"/>
          <w:szCs w:val="22"/>
        </w:rPr>
        <w:t>-</w:t>
      </w:r>
      <w:r w:rsidR="00E46BAD" w:rsidRPr="007A7094">
        <w:rPr>
          <w:rFonts w:asciiTheme="minorHAnsi" w:hAnsiTheme="minorHAnsi"/>
          <w:sz w:val="22"/>
          <w:szCs w:val="22"/>
        </w:rPr>
        <w:t xml:space="preserve">granted </w:t>
      </w:r>
      <w:r w:rsidR="0069233C" w:rsidRPr="007A7094">
        <w:rPr>
          <w:rFonts w:asciiTheme="minorHAnsi" w:hAnsiTheme="minorHAnsi"/>
          <w:sz w:val="22"/>
          <w:szCs w:val="22"/>
        </w:rPr>
        <w:t>“</w:t>
      </w:r>
      <w:r w:rsidR="00E46BAD" w:rsidRPr="007A7094">
        <w:rPr>
          <w:rFonts w:asciiTheme="minorHAnsi" w:hAnsiTheme="minorHAnsi"/>
          <w:sz w:val="22"/>
          <w:szCs w:val="22"/>
        </w:rPr>
        <w:t>virtual singularity</w:t>
      </w:r>
      <w:r w:rsidR="0069233C" w:rsidRPr="007A7094">
        <w:rPr>
          <w:rFonts w:asciiTheme="minorHAnsi" w:hAnsiTheme="minorHAnsi"/>
          <w:sz w:val="22"/>
          <w:szCs w:val="22"/>
        </w:rPr>
        <w:t>”</w:t>
      </w:r>
      <w:r w:rsidR="00E46BAD" w:rsidRPr="007A7094">
        <w:rPr>
          <w:rFonts w:asciiTheme="minorHAnsi" w:hAnsiTheme="minorHAnsi"/>
          <w:sz w:val="22"/>
          <w:szCs w:val="22"/>
        </w:rPr>
        <w:t xml:space="preserve"> of hepatitis cure into a fluidity and multiplicity of negotiated </w:t>
      </w:r>
      <w:r w:rsidR="00B5034F" w:rsidRPr="007A7094">
        <w:rPr>
          <w:rFonts w:asciiTheme="minorHAnsi" w:hAnsiTheme="minorHAnsi"/>
          <w:sz w:val="22"/>
          <w:szCs w:val="22"/>
        </w:rPr>
        <w:t xml:space="preserve">less </w:t>
      </w:r>
      <w:r w:rsidR="001E5108" w:rsidRPr="007A7094">
        <w:rPr>
          <w:rFonts w:asciiTheme="minorHAnsi" w:hAnsiTheme="minorHAnsi"/>
          <w:sz w:val="22"/>
          <w:szCs w:val="22"/>
        </w:rPr>
        <w:t xml:space="preserve">certain </w:t>
      </w:r>
      <w:r w:rsidR="00E46BAD" w:rsidRPr="007A7094">
        <w:rPr>
          <w:rFonts w:asciiTheme="minorHAnsi" w:hAnsiTheme="minorHAnsi"/>
          <w:sz w:val="22"/>
          <w:szCs w:val="22"/>
        </w:rPr>
        <w:t>cures,</w:t>
      </w:r>
      <w:r w:rsidR="001E5108" w:rsidRPr="007A7094">
        <w:rPr>
          <w:rFonts w:asciiTheme="minorHAnsi" w:hAnsiTheme="minorHAnsi"/>
          <w:sz w:val="22"/>
          <w:szCs w:val="22"/>
        </w:rPr>
        <w:t xml:space="preserve"> each</w:t>
      </w:r>
      <w:r w:rsidR="00E46BAD" w:rsidRPr="007A7094">
        <w:rPr>
          <w:rFonts w:asciiTheme="minorHAnsi" w:hAnsiTheme="minorHAnsi"/>
          <w:sz w:val="22"/>
          <w:szCs w:val="22"/>
        </w:rPr>
        <w:t xml:space="preserve"> subject to the different knowledge claims perform</w:t>
      </w:r>
      <w:r w:rsidR="00B5034F" w:rsidRPr="007A7094">
        <w:rPr>
          <w:rFonts w:asciiTheme="minorHAnsi" w:hAnsiTheme="minorHAnsi"/>
          <w:sz w:val="22"/>
          <w:szCs w:val="22"/>
        </w:rPr>
        <w:t>ing</w:t>
      </w:r>
      <w:r w:rsidR="00E46BAD" w:rsidRPr="007A7094">
        <w:rPr>
          <w:rFonts w:asciiTheme="minorHAnsi" w:hAnsiTheme="minorHAnsi"/>
          <w:sz w:val="22"/>
          <w:szCs w:val="22"/>
        </w:rPr>
        <w:t xml:space="preserve"> </w:t>
      </w:r>
      <w:r w:rsidR="001E5108" w:rsidRPr="007A7094">
        <w:rPr>
          <w:rFonts w:asciiTheme="minorHAnsi" w:hAnsiTheme="minorHAnsi"/>
          <w:sz w:val="22"/>
          <w:szCs w:val="22"/>
        </w:rPr>
        <w:t>them</w:t>
      </w:r>
      <w:r w:rsidR="00536BAF" w:rsidRPr="007A7094">
        <w:rPr>
          <w:rFonts w:asciiTheme="minorHAnsi" w:hAnsiTheme="minorHAnsi"/>
          <w:sz w:val="22"/>
          <w:szCs w:val="22"/>
        </w:rPr>
        <w:t xml:space="preserve"> (Law, 2004; Mol, 2002)</w:t>
      </w:r>
      <w:r w:rsidR="001E5108" w:rsidRPr="007A7094">
        <w:rPr>
          <w:rFonts w:asciiTheme="minorHAnsi" w:hAnsiTheme="minorHAnsi"/>
          <w:sz w:val="22"/>
          <w:szCs w:val="22"/>
        </w:rPr>
        <w:t>.</w:t>
      </w:r>
    </w:p>
    <w:p w14:paraId="1782EF87" w14:textId="77777777" w:rsidR="00631CB7" w:rsidRPr="007A7094" w:rsidRDefault="00631CB7" w:rsidP="00722632">
      <w:pPr>
        <w:pStyle w:val="Standard"/>
        <w:spacing w:line="480" w:lineRule="auto"/>
        <w:jc w:val="both"/>
        <w:rPr>
          <w:rFonts w:asciiTheme="minorHAnsi" w:hAnsiTheme="minorHAnsi"/>
          <w:sz w:val="22"/>
          <w:szCs w:val="22"/>
        </w:rPr>
      </w:pPr>
    </w:p>
    <w:p w14:paraId="36B52956" w14:textId="2B01024F" w:rsidR="00631CB7" w:rsidRPr="007A7094" w:rsidRDefault="001E5108" w:rsidP="00722632">
      <w:pPr>
        <w:pStyle w:val="Standard"/>
        <w:spacing w:line="480" w:lineRule="auto"/>
        <w:jc w:val="both"/>
        <w:rPr>
          <w:rFonts w:asciiTheme="minorHAnsi" w:hAnsiTheme="minorHAnsi"/>
          <w:sz w:val="22"/>
          <w:szCs w:val="22"/>
        </w:rPr>
      </w:pPr>
      <w:r w:rsidRPr="007A7094">
        <w:rPr>
          <w:rFonts w:asciiTheme="minorHAnsi" w:hAnsiTheme="minorHAnsi"/>
          <w:sz w:val="22"/>
          <w:szCs w:val="22"/>
        </w:rPr>
        <w:t>T</w:t>
      </w:r>
      <w:r w:rsidR="00E46BAD" w:rsidRPr="007A7094">
        <w:rPr>
          <w:rFonts w:asciiTheme="minorHAnsi" w:hAnsiTheme="minorHAnsi"/>
          <w:sz w:val="22"/>
          <w:szCs w:val="22"/>
        </w:rPr>
        <w:t>h</w:t>
      </w:r>
      <w:r w:rsidR="00631CB7" w:rsidRPr="007A7094">
        <w:rPr>
          <w:rFonts w:asciiTheme="minorHAnsi" w:hAnsiTheme="minorHAnsi"/>
          <w:sz w:val="22"/>
          <w:szCs w:val="22"/>
        </w:rPr>
        <w:t xml:space="preserve">e controversy over </w:t>
      </w:r>
      <w:r w:rsidRPr="007A7094">
        <w:rPr>
          <w:rFonts w:asciiTheme="minorHAnsi" w:hAnsiTheme="minorHAnsi"/>
          <w:sz w:val="22"/>
          <w:szCs w:val="22"/>
        </w:rPr>
        <w:t>the effects of DAAs</w:t>
      </w:r>
      <w:r w:rsidR="00631CB7" w:rsidRPr="007A7094">
        <w:rPr>
          <w:rFonts w:asciiTheme="minorHAnsi" w:hAnsiTheme="minorHAnsi"/>
          <w:sz w:val="22"/>
          <w:szCs w:val="22"/>
        </w:rPr>
        <w:t xml:space="preserve"> </w:t>
      </w:r>
      <w:r w:rsidR="00E30D0E" w:rsidRPr="007A7094">
        <w:rPr>
          <w:rFonts w:asciiTheme="minorHAnsi" w:hAnsiTheme="minorHAnsi"/>
          <w:sz w:val="22"/>
          <w:szCs w:val="22"/>
        </w:rPr>
        <w:t>has been</w:t>
      </w:r>
      <w:r w:rsidR="008F3BBD" w:rsidRPr="007A7094">
        <w:rPr>
          <w:rFonts w:asciiTheme="minorHAnsi" w:hAnsiTheme="minorHAnsi"/>
          <w:sz w:val="22"/>
          <w:szCs w:val="22"/>
        </w:rPr>
        <w:t xml:space="preserve"> </w:t>
      </w:r>
      <w:r w:rsidR="00631CB7" w:rsidRPr="007A7094">
        <w:rPr>
          <w:rFonts w:asciiTheme="minorHAnsi" w:hAnsiTheme="minorHAnsi"/>
          <w:sz w:val="22"/>
          <w:szCs w:val="22"/>
        </w:rPr>
        <w:t>debated</w:t>
      </w:r>
      <w:r w:rsidR="008F3BBD" w:rsidRPr="007A7094">
        <w:rPr>
          <w:rFonts w:asciiTheme="minorHAnsi" w:hAnsiTheme="minorHAnsi"/>
          <w:sz w:val="22"/>
          <w:szCs w:val="22"/>
        </w:rPr>
        <w:t xml:space="preserve"> in purely epistemological terms </w:t>
      </w:r>
      <w:r w:rsidR="001B43DD" w:rsidRPr="007A7094">
        <w:rPr>
          <w:rFonts w:asciiTheme="minorHAnsi" w:hAnsiTheme="minorHAnsi"/>
          <w:sz w:val="22"/>
          <w:szCs w:val="22"/>
        </w:rPr>
        <w:t xml:space="preserve">regarding </w:t>
      </w:r>
      <w:r w:rsidR="008F3BBD" w:rsidRPr="007A7094">
        <w:rPr>
          <w:rFonts w:asciiTheme="minorHAnsi" w:hAnsiTheme="minorHAnsi"/>
          <w:sz w:val="22"/>
          <w:szCs w:val="22"/>
        </w:rPr>
        <w:t>the best way of knowing</w:t>
      </w:r>
      <w:r w:rsidRPr="007A7094">
        <w:rPr>
          <w:rFonts w:asciiTheme="minorHAnsi" w:hAnsiTheme="minorHAnsi"/>
          <w:sz w:val="22"/>
          <w:szCs w:val="22"/>
        </w:rPr>
        <w:t xml:space="preserve"> cure. Yet </w:t>
      </w:r>
      <w:r w:rsidR="008F3BBD" w:rsidRPr="007A7094">
        <w:rPr>
          <w:rFonts w:asciiTheme="minorHAnsi" w:hAnsiTheme="minorHAnsi"/>
          <w:sz w:val="22"/>
          <w:szCs w:val="22"/>
        </w:rPr>
        <w:t xml:space="preserve">this controversy (like any) is more than a question of epistemology. </w:t>
      </w:r>
      <w:r w:rsidRPr="007A7094">
        <w:rPr>
          <w:rFonts w:asciiTheme="minorHAnsi" w:hAnsiTheme="minorHAnsi"/>
          <w:sz w:val="22"/>
          <w:szCs w:val="22"/>
        </w:rPr>
        <w:t>W</w:t>
      </w:r>
      <w:r w:rsidR="008F3BBD" w:rsidRPr="007A7094">
        <w:rPr>
          <w:rFonts w:asciiTheme="minorHAnsi" w:hAnsiTheme="minorHAnsi"/>
          <w:sz w:val="22"/>
          <w:szCs w:val="22"/>
        </w:rPr>
        <w:t xml:space="preserve">e see </w:t>
      </w:r>
      <w:r w:rsidR="00E46BAD" w:rsidRPr="007A7094">
        <w:rPr>
          <w:rFonts w:asciiTheme="minorHAnsi" w:hAnsiTheme="minorHAnsi"/>
          <w:sz w:val="22"/>
          <w:szCs w:val="22"/>
        </w:rPr>
        <w:t>multiple versions</w:t>
      </w:r>
      <w:r w:rsidR="008F3BBD" w:rsidRPr="007A7094">
        <w:rPr>
          <w:rFonts w:asciiTheme="minorHAnsi" w:hAnsiTheme="minorHAnsi"/>
          <w:sz w:val="22"/>
          <w:szCs w:val="22"/>
        </w:rPr>
        <w:t>,</w:t>
      </w:r>
      <w:r w:rsidRPr="007A7094">
        <w:rPr>
          <w:rFonts w:asciiTheme="minorHAnsi" w:hAnsiTheme="minorHAnsi"/>
          <w:sz w:val="22"/>
          <w:szCs w:val="22"/>
        </w:rPr>
        <w:t xml:space="preserve"> in fact </w:t>
      </w:r>
      <w:r w:rsidR="008F3BBD" w:rsidRPr="007A7094">
        <w:rPr>
          <w:rFonts w:asciiTheme="minorHAnsi" w:hAnsiTheme="minorHAnsi"/>
          <w:i/>
          <w:sz w:val="22"/>
          <w:szCs w:val="22"/>
        </w:rPr>
        <w:t>different objects</w:t>
      </w:r>
      <w:r w:rsidR="008F3BBD" w:rsidRPr="007A7094">
        <w:rPr>
          <w:rFonts w:asciiTheme="minorHAnsi" w:hAnsiTheme="minorHAnsi"/>
          <w:sz w:val="22"/>
          <w:szCs w:val="22"/>
        </w:rPr>
        <w:t>,</w:t>
      </w:r>
      <w:r w:rsidR="00E46BAD" w:rsidRPr="007A7094">
        <w:rPr>
          <w:rFonts w:asciiTheme="minorHAnsi" w:hAnsiTheme="minorHAnsi"/>
          <w:sz w:val="22"/>
          <w:szCs w:val="22"/>
        </w:rPr>
        <w:t xml:space="preserve"> of cure </w:t>
      </w:r>
      <w:r w:rsidR="004B375D" w:rsidRPr="007A7094">
        <w:rPr>
          <w:rFonts w:asciiTheme="minorHAnsi" w:hAnsiTheme="minorHAnsi"/>
          <w:sz w:val="22"/>
          <w:szCs w:val="22"/>
        </w:rPr>
        <w:t>enacted</w:t>
      </w:r>
      <w:r w:rsidR="00753363" w:rsidRPr="007A7094">
        <w:rPr>
          <w:rFonts w:asciiTheme="minorHAnsi" w:hAnsiTheme="minorHAnsi"/>
          <w:sz w:val="22"/>
          <w:szCs w:val="22"/>
        </w:rPr>
        <w:t xml:space="preserve"> </w:t>
      </w:r>
      <w:r w:rsidR="008F3BBD" w:rsidRPr="007A7094">
        <w:rPr>
          <w:rFonts w:asciiTheme="minorHAnsi" w:hAnsiTheme="minorHAnsi"/>
          <w:sz w:val="22"/>
          <w:szCs w:val="22"/>
        </w:rPr>
        <w:t xml:space="preserve">into being </w:t>
      </w:r>
      <w:r w:rsidR="00E46BAD" w:rsidRPr="007A7094">
        <w:rPr>
          <w:rFonts w:asciiTheme="minorHAnsi" w:hAnsiTheme="minorHAnsi"/>
          <w:sz w:val="22"/>
          <w:szCs w:val="22"/>
        </w:rPr>
        <w:t xml:space="preserve">through </w:t>
      </w:r>
      <w:r w:rsidR="008F3BBD" w:rsidRPr="007A7094">
        <w:rPr>
          <w:rFonts w:asciiTheme="minorHAnsi" w:hAnsiTheme="minorHAnsi"/>
          <w:sz w:val="22"/>
          <w:szCs w:val="22"/>
        </w:rPr>
        <w:t xml:space="preserve">the </w:t>
      </w:r>
      <w:r w:rsidR="00E46BAD" w:rsidRPr="007A7094">
        <w:rPr>
          <w:rFonts w:asciiTheme="minorHAnsi" w:hAnsiTheme="minorHAnsi"/>
          <w:sz w:val="22"/>
          <w:szCs w:val="22"/>
        </w:rPr>
        <w:t>different knowledges</w:t>
      </w:r>
      <w:r w:rsidR="008F3BBD" w:rsidRPr="007A7094">
        <w:rPr>
          <w:rFonts w:asciiTheme="minorHAnsi" w:hAnsiTheme="minorHAnsi"/>
          <w:sz w:val="22"/>
          <w:szCs w:val="22"/>
        </w:rPr>
        <w:t xml:space="preserve"> </w:t>
      </w:r>
      <w:r w:rsidR="00F61CF2" w:rsidRPr="007A7094">
        <w:rPr>
          <w:rFonts w:asciiTheme="minorHAnsi" w:hAnsiTheme="minorHAnsi"/>
          <w:sz w:val="22"/>
          <w:szCs w:val="22"/>
        </w:rPr>
        <w:t>performing</w:t>
      </w:r>
      <w:r w:rsidR="008F3BBD" w:rsidRPr="007A7094">
        <w:rPr>
          <w:rFonts w:asciiTheme="minorHAnsi" w:hAnsiTheme="minorHAnsi"/>
          <w:sz w:val="22"/>
          <w:szCs w:val="22"/>
        </w:rPr>
        <w:t xml:space="preserve"> them</w:t>
      </w:r>
      <w:r w:rsidR="00E46BAD" w:rsidRPr="007A7094">
        <w:rPr>
          <w:rFonts w:asciiTheme="minorHAnsi" w:hAnsiTheme="minorHAnsi"/>
          <w:sz w:val="22"/>
          <w:szCs w:val="22"/>
        </w:rPr>
        <w:t>.</w:t>
      </w:r>
      <w:r w:rsidR="008F3BBD" w:rsidRPr="007A7094">
        <w:rPr>
          <w:rFonts w:asciiTheme="minorHAnsi" w:hAnsiTheme="minorHAnsi"/>
          <w:sz w:val="22"/>
          <w:szCs w:val="22"/>
        </w:rPr>
        <w:t xml:space="preserve"> </w:t>
      </w:r>
      <w:r w:rsidR="00753363" w:rsidRPr="007A7094">
        <w:rPr>
          <w:rFonts w:asciiTheme="minorHAnsi" w:hAnsiTheme="minorHAnsi"/>
          <w:sz w:val="22"/>
          <w:szCs w:val="22"/>
        </w:rPr>
        <w:t>A lesson from the field of STS is</w:t>
      </w:r>
      <w:r w:rsidR="00BE537C" w:rsidRPr="007A7094">
        <w:rPr>
          <w:rFonts w:asciiTheme="minorHAnsi" w:hAnsiTheme="minorHAnsi"/>
          <w:sz w:val="22"/>
          <w:szCs w:val="22"/>
        </w:rPr>
        <w:t xml:space="preserve"> not to neglect issues of </w:t>
      </w:r>
      <w:r w:rsidR="00BE537C" w:rsidRPr="007A7094">
        <w:rPr>
          <w:rFonts w:asciiTheme="minorHAnsi" w:hAnsiTheme="minorHAnsi"/>
          <w:i/>
          <w:sz w:val="22"/>
          <w:szCs w:val="22"/>
        </w:rPr>
        <w:t>ontology</w:t>
      </w:r>
      <w:r w:rsidR="00BE537C" w:rsidRPr="007A7094">
        <w:rPr>
          <w:rFonts w:asciiTheme="minorHAnsi" w:hAnsiTheme="minorHAnsi"/>
          <w:sz w:val="22"/>
          <w:szCs w:val="22"/>
        </w:rPr>
        <w:t xml:space="preserve"> in evidence-making; that different knowledge-making practices </w:t>
      </w:r>
      <w:r w:rsidR="00F61CF2" w:rsidRPr="007A7094">
        <w:rPr>
          <w:rFonts w:asciiTheme="minorHAnsi" w:hAnsiTheme="minorHAnsi"/>
          <w:sz w:val="22"/>
          <w:szCs w:val="22"/>
        </w:rPr>
        <w:t xml:space="preserve">do not simply contribute altered perspectives on the </w:t>
      </w:r>
      <w:r w:rsidR="00F61CF2" w:rsidRPr="007A7094">
        <w:rPr>
          <w:rFonts w:asciiTheme="minorHAnsi" w:hAnsiTheme="minorHAnsi"/>
          <w:i/>
          <w:sz w:val="22"/>
          <w:szCs w:val="22"/>
        </w:rPr>
        <w:t>same</w:t>
      </w:r>
      <w:r w:rsidR="00F61CF2" w:rsidRPr="007A7094">
        <w:rPr>
          <w:rFonts w:asciiTheme="minorHAnsi" w:hAnsiTheme="minorHAnsi"/>
          <w:sz w:val="22"/>
          <w:szCs w:val="22"/>
        </w:rPr>
        <w:t xml:space="preserve"> (stable, universal) object of cure, but rather they </w:t>
      </w:r>
      <w:r w:rsidR="00BE537C" w:rsidRPr="007A7094">
        <w:rPr>
          <w:rFonts w:asciiTheme="minorHAnsi" w:hAnsiTheme="minorHAnsi"/>
          <w:sz w:val="22"/>
          <w:szCs w:val="22"/>
        </w:rPr>
        <w:t xml:space="preserve">bring into being </w:t>
      </w:r>
      <w:r w:rsidR="00BE537C" w:rsidRPr="007A7094">
        <w:rPr>
          <w:rFonts w:asciiTheme="minorHAnsi" w:hAnsiTheme="minorHAnsi"/>
          <w:i/>
          <w:sz w:val="22"/>
          <w:szCs w:val="22"/>
        </w:rPr>
        <w:t>different</w:t>
      </w:r>
      <w:r w:rsidR="00BE537C" w:rsidRPr="007A7094">
        <w:rPr>
          <w:rFonts w:asciiTheme="minorHAnsi" w:hAnsiTheme="minorHAnsi"/>
          <w:sz w:val="22"/>
          <w:szCs w:val="22"/>
        </w:rPr>
        <w:t xml:space="preserve"> </w:t>
      </w:r>
      <w:r w:rsidR="00F61CF2" w:rsidRPr="007A7094">
        <w:rPr>
          <w:rFonts w:asciiTheme="minorHAnsi" w:hAnsiTheme="minorHAnsi"/>
          <w:sz w:val="22"/>
          <w:szCs w:val="22"/>
        </w:rPr>
        <w:t xml:space="preserve">(mutable, multiple) </w:t>
      </w:r>
      <w:r w:rsidR="000332CD" w:rsidRPr="007A7094">
        <w:rPr>
          <w:rFonts w:asciiTheme="minorHAnsi" w:hAnsiTheme="minorHAnsi"/>
          <w:sz w:val="22"/>
          <w:szCs w:val="22"/>
        </w:rPr>
        <w:t>version</w:t>
      </w:r>
      <w:r w:rsidR="00BE537C" w:rsidRPr="007A7094">
        <w:rPr>
          <w:rFonts w:asciiTheme="minorHAnsi" w:hAnsiTheme="minorHAnsi"/>
          <w:sz w:val="22"/>
          <w:szCs w:val="22"/>
        </w:rPr>
        <w:t>s of cure</w:t>
      </w:r>
      <w:r w:rsidR="00536BAF" w:rsidRPr="007A7094">
        <w:rPr>
          <w:rFonts w:asciiTheme="minorHAnsi" w:hAnsiTheme="minorHAnsi"/>
          <w:sz w:val="22"/>
          <w:szCs w:val="22"/>
        </w:rPr>
        <w:t xml:space="preserve"> (Mol, 2002</w:t>
      </w:r>
      <w:r w:rsidR="004B375D" w:rsidRPr="007A7094">
        <w:rPr>
          <w:rFonts w:asciiTheme="minorHAnsi" w:hAnsiTheme="minorHAnsi"/>
          <w:sz w:val="22"/>
          <w:szCs w:val="22"/>
        </w:rPr>
        <w:t>; Law, 2004</w:t>
      </w:r>
      <w:r w:rsidR="00536BAF" w:rsidRPr="007A7094">
        <w:rPr>
          <w:rFonts w:asciiTheme="minorHAnsi" w:hAnsiTheme="minorHAnsi"/>
          <w:sz w:val="22"/>
          <w:szCs w:val="22"/>
        </w:rPr>
        <w:t>)</w:t>
      </w:r>
      <w:r w:rsidR="00BE537C" w:rsidRPr="007A7094">
        <w:rPr>
          <w:rFonts w:asciiTheme="minorHAnsi" w:hAnsiTheme="minorHAnsi"/>
          <w:sz w:val="22"/>
          <w:szCs w:val="22"/>
        </w:rPr>
        <w:t xml:space="preserve">. </w:t>
      </w:r>
      <w:r w:rsidR="00F61CF2" w:rsidRPr="007A7094">
        <w:rPr>
          <w:rFonts w:asciiTheme="minorHAnsi" w:hAnsiTheme="minorHAnsi"/>
          <w:sz w:val="22"/>
          <w:szCs w:val="22"/>
        </w:rPr>
        <w:t>W</w:t>
      </w:r>
      <w:r w:rsidR="00730929" w:rsidRPr="007A7094">
        <w:rPr>
          <w:rFonts w:asciiTheme="minorHAnsi" w:hAnsiTheme="minorHAnsi"/>
          <w:sz w:val="22"/>
          <w:szCs w:val="22"/>
        </w:rPr>
        <w:t xml:space="preserve">e can no longer hold on to the idea that there is </w:t>
      </w:r>
      <w:r w:rsidR="00F61CF2" w:rsidRPr="007A7094">
        <w:rPr>
          <w:rFonts w:asciiTheme="minorHAnsi" w:hAnsiTheme="minorHAnsi"/>
          <w:sz w:val="22"/>
          <w:szCs w:val="22"/>
        </w:rPr>
        <w:t>simply one way of knowing</w:t>
      </w:r>
      <w:r w:rsidR="00536BAF" w:rsidRPr="007A7094">
        <w:rPr>
          <w:rFonts w:asciiTheme="minorHAnsi" w:hAnsiTheme="minorHAnsi"/>
          <w:sz w:val="22"/>
          <w:szCs w:val="22"/>
        </w:rPr>
        <w:t xml:space="preserve"> (Stengers, 2018)</w:t>
      </w:r>
      <w:r w:rsidR="00F61CF2" w:rsidRPr="007A7094">
        <w:rPr>
          <w:rFonts w:asciiTheme="minorHAnsi" w:hAnsiTheme="minorHAnsi"/>
          <w:sz w:val="22"/>
          <w:szCs w:val="22"/>
        </w:rPr>
        <w:t xml:space="preserve">. Rather, we need to investigate how our different sciences do their science, how they perform </w:t>
      </w:r>
      <w:r w:rsidR="004B375D" w:rsidRPr="007A7094">
        <w:rPr>
          <w:rFonts w:asciiTheme="minorHAnsi" w:hAnsiTheme="minorHAnsi"/>
          <w:sz w:val="22"/>
          <w:szCs w:val="22"/>
        </w:rPr>
        <w:t>multiple</w:t>
      </w:r>
      <w:r w:rsidR="004B375D" w:rsidRPr="007A7094">
        <w:rPr>
          <w:rFonts w:asciiTheme="minorHAnsi" w:hAnsiTheme="minorHAnsi"/>
          <w:sz w:val="22"/>
          <w:szCs w:val="22"/>
        </w:rPr>
        <w:t xml:space="preserve"> </w:t>
      </w:r>
      <w:r w:rsidR="00F61CF2" w:rsidRPr="007A7094">
        <w:rPr>
          <w:rFonts w:asciiTheme="minorHAnsi" w:hAnsiTheme="minorHAnsi"/>
          <w:sz w:val="22"/>
          <w:szCs w:val="22"/>
        </w:rPr>
        <w:t>products, how they make-up their evidence-based medicine</w:t>
      </w:r>
      <w:r w:rsidR="00C93CD5" w:rsidRPr="007A7094">
        <w:rPr>
          <w:rFonts w:asciiTheme="minorHAnsi" w:hAnsiTheme="minorHAnsi"/>
          <w:sz w:val="22"/>
          <w:szCs w:val="22"/>
        </w:rPr>
        <w:t>s</w:t>
      </w:r>
      <w:r w:rsidR="00F61CF2" w:rsidRPr="007A7094">
        <w:rPr>
          <w:rFonts w:asciiTheme="minorHAnsi" w:hAnsiTheme="minorHAnsi"/>
          <w:sz w:val="22"/>
          <w:szCs w:val="22"/>
        </w:rPr>
        <w:t>.</w:t>
      </w:r>
      <w:r w:rsidR="0007471D" w:rsidRPr="007A7094">
        <w:rPr>
          <w:rFonts w:asciiTheme="minorHAnsi" w:hAnsiTheme="minorHAnsi"/>
          <w:sz w:val="22"/>
          <w:szCs w:val="22"/>
        </w:rPr>
        <w:t xml:space="preserve"> </w:t>
      </w:r>
    </w:p>
    <w:p w14:paraId="0DE6093B" w14:textId="5763900D" w:rsidR="00631CB7" w:rsidRPr="007A7094" w:rsidRDefault="00631CB7" w:rsidP="00722632">
      <w:pPr>
        <w:pStyle w:val="Standard"/>
        <w:spacing w:line="480" w:lineRule="auto"/>
        <w:jc w:val="both"/>
        <w:rPr>
          <w:rFonts w:asciiTheme="minorHAnsi" w:hAnsiTheme="minorHAnsi"/>
          <w:sz w:val="22"/>
          <w:szCs w:val="22"/>
        </w:rPr>
      </w:pPr>
    </w:p>
    <w:p w14:paraId="219A1B37" w14:textId="22D59160" w:rsidR="00EF46E5" w:rsidRPr="007A7094" w:rsidRDefault="00EF46E5" w:rsidP="00722632">
      <w:pPr>
        <w:pStyle w:val="Standard"/>
        <w:spacing w:line="480" w:lineRule="auto"/>
        <w:jc w:val="both"/>
        <w:rPr>
          <w:rFonts w:asciiTheme="minorHAnsi" w:hAnsiTheme="minorHAnsi"/>
          <w:i/>
        </w:rPr>
      </w:pPr>
      <w:r w:rsidRPr="007A7094">
        <w:rPr>
          <w:rFonts w:asciiTheme="minorHAnsi" w:hAnsiTheme="minorHAnsi"/>
          <w:i/>
        </w:rPr>
        <w:t>Object lessons</w:t>
      </w:r>
    </w:p>
    <w:p w14:paraId="30F6B011" w14:textId="710F29F4" w:rsidR="00240423" w:rsidRPr="007A7094" w:rsidRDefault="00957303" w:rsidP="00722632">
      <w:pPr>
        <w:pStyle w:val="Standard"/>
        <w:spacing w:line="480" w:lineRule="auto"/>
        <w:jc w:val="both"/>
        <w:rPr>
          <w:rFonts w:asciiTheme="minorHAnsi" w:hAnsiTheme="minorHAnsi"/>
          <w:sz w:val="22"/>
          <w:szCs w:val="22"/>
        </w:rPr>
      </w:pPr>
      <w:r w:rsidRPr="007A7094">
        <w:rPr>
          <w:rFonts w:asciiTheme="minorHAnsi" w:hAnsiTheme="minorHAnsi"/>
          <w:sz w:val="22"/>
          <w:szCs w:val="22"/>
        </w:rPr>
        <w:t>In their essay entitled “</w:t>
      </w:r>
      <w:r w:rsidR="00CF41CB" w:rsidRPr="007A7094">
        <w:rPr>
          <w:rFonts w:asciiTheme="minorHAnsi" w:hAnsiTheme="minorHAnsi"/>
          <w:sz w:val="22"/>
          <w:szCs w:val="22"/>
        </w:rPr>
        <w:t>Object L</w:t>
      </w:r>
      <w:r w:rsidRPr="007A7094">
        <w:rPr>
          <w:rFonts w:asciiTheme="minorHAnsi" w:hAnsiTheme="minorHAnsi"/>
          <w:sz w:val="22"/>
          <w:szCs w:val="22"/>
        </w:rPr>
        <w:t>essons”</w:t>
      </w:r>
      <w:r w:rsidR="00FF3724" w:rsidRPr="007A7094">
        <w:rPr>
          <w:rFonts w:asciiTheme="minorHAnsi" w:hAnsiTheme="minorHAnsi"/>
          <w:sz w:val="22"/>
          <w:szCs w:val="22"/>
        </w:rPr>
        <w:t>,</w:t>
      </w:r>
      <w:r w:rsidR="00730929" w:rsidRPr="007A7094">
        <w:rPr>
          <w:rFonts w:asciiTheme="minorHAnsi" w:hAnsiTheme="minorHAnsi"/>
          <w:sz w:val="22"/>
          <w:szCs w:val="22"/>
        </w:rPr>
        <w:t xml:space="preserve"> </w:t>
      </w:r>
      <w:r w:rsidR="00631CB7" w:rsidRPr="007A7094">
        <w:rPr>
          <w:rFonts w:asciiTheme="minorHAnsi" w:hAnsiTheme="minorHAnsi"/>
          <w:sz w:val="22"/>
          <w:szCs w:val="22"/>
        </w:rPr>
        <w:t xml:space="preserve">John Law and Vicky Singleton </w:t>
      </w:r>
      <w:r w:rsidR="00536BAF" w:rsidRPr="007A7094">
        <w:rPr>
          <w:rFonts w:asciiTheme="minorHAnsi" w:hAnsiTheme="minorHAnsi"/>
          <w:sz w:val="22"/>
          <w:szCs w:val="22"/>
        </w:rPr>
        <w:t xml:space="preserve">(2005) </w:t>
      </w:r>
      <w:r w:rsidR="00730929" w:rsidRPr="007A7094">
        <w:rPr>
          <w:rFonts w:asciiTheme="minorHAnsi" w:hAnsiTheme="minorHAnsi"/>
          <w:sz w:val="22"/>
          <w:szCs w:val="22"/>
        </w:rPr>
        <w:t>note that i</w:t>
      </w:r>
      <w:r w:rsidR="00240423" w:rsidRPr="007A7094">
        <w:rPr>
          <w:rFonts w:asciiTheme="minorHAnsi" w:hAnsiTheme="minorHAnsi"/>
          <w:sz w:val="22"/>
          <w:szCs w:val="22"/>
        </w:rPr>
        <w:t>f interventions</w:t>
      </w:r>
      <w:r w:rsidR="00730929" w:rsidRPr="007A7094">
        <w:rPr>
          <w:rFonts w:asciiTheme="minorHAnsi" w:hAnsiTheme="minorHAnsi"/>
          <w:sz w:val="22"/>
          <w:szCs w:val="22"/>
        </w:rPr>
        <w:t xml:space="preserve"> </w:t>
      </w:r>
      <w:r w:rsidR="00730929" w:rsidRPr="007A7094">
        <w:rPr>
          <w:rFonts w:asciiTheme="minorHAnsi" w:hAnsiTheme="minorHAnsi"/>
          <w:sz w:val="22"/>
          <w:szCs w:val="22"/>
        </w:rPr>
        <w:lastRenderedPageBreak/>
        <w:t>affording promise</w:t>
      </w:r>
      <w:r w:rsidR="00240423" w:rsidRPr="007A7094">
        <w:rPr>
          <w:rFonts w:asciiTheme="minorHAnsi" w:hAnsiTheme="minorHAnsi"/>
          <w:sz w:val="22"/>
          <w:szCs w:val="22"/>
        </w:rPr>
        <w:t xml:space="preserve"> do not translate as cleanly as imagined, then the </w:t>
      </w:r>
      <w:r w:rsidR="00730929" w:rsidRPr="007A7094">
        <w:rPr>
          <w:rFonts w:asciiTheme="minorHAnsi" w:hAnsiTheme="minorHAnsi"/>
          <w:sz w:val="22"/>
          <w:szCs w:val="22"/>
        </w:rPr>
        <w:t>tendency is to approach this</w:t>
      </w:r>
      <w:r w:rsidR="00240423" w:rsidRPr="007A7094">
        <w:rPr>
          <w:rFonts w:asciiTheme="minorHAnsi" w:hAnsiTheme="minorHAnsi"/>
          <w:sz w:val="22"/>
          <w:szCs w:val="22"/>
        </w:rPr>
        <w:t xml:space="preserve"> </w:t>
      </w:r>
      <w:r w:rsidR="00730929" w:rsidRPr="007A7094">
        <w:rPr>
          <w:rFonts w:asciiTheme="minorHAnsi" w:hAnsiTheme="minorHAnsi"/>
          <w:sz w:val="22"/>
          <w:szCs w:val="22"/>
        </w:rPr>
        <w:t>as</w:t>
      </w:r>
      <w:r w:rsidR="00240423" w:rsidRPr="007A7094">
        <w:rPr>
          <w:rFonts w:asciiTheme="minorHAnsi" w:hAnsiTheme="minorHAnsi"/>
          <w:sz w:val="22"/>
          <w:szCs w:val="22"/>
        </w:rPr>
        <w:t xml:space="preserve"> a </w:t>
      </w:r>
      <w:r w:rsidR="00240423" w:rsidRPr="007A7094">
        <w:rPr>
          <w:rFonts w:asciiTheme="minorHAnsi" w:hAnsiTheme="minorHAnsi"/>
          <w:i/>
          <w:sz w:val="22"/>
          <w:szCs w:val="22"/>
        </w:rPr>
        <w:t>technical</w:t>
      </w:r>
      <w:r w:rsidR="00240423" w:rsidRPr="007A7094">
        <w:rPr>
          <w:rFonts w:asciiTheme="minorHAnsi" w:hAnsiTheme="minorHAnsi"/>
          <w:sz w:val="22"/>
          <w:szCs w:val="22"/>
        </w:rPr>
        <w:t xml:space="preserve"> </w:t>
      </w:r>
      <w:r w:rsidRPr="007A7094">
        <w:rPr>
          <w:rFonts w:asciiTheme="minorHAnsi" w:hAnsiTheme="minorHAnsi"/>
          <w:sz w:val="22"/>
          <w:szCs w:val="22"/>
        </w:rPr>
        <w:t>problem</w:t>
      </w:r>
      <w:r w:rsidR="001B43DD" w:rsidRPr="007A7094">
        <w:rPr>
          <w:rFonts w:asciiTheme="minorHAnsi" w:hAnsiTheme="minorHAnsi"/>
          <w:sz w:val="22"/>
          <w:szCs w:val="22"/>
        </w:rPr>
        <w:t xml:space="preserve"> linked to </w:t>
      </w:r>
      <w:r w:rsidR="0007471D" w:rsidRPr="007A7094">
        <w:rPr>
          <w:rFonts w:asciiTheme="minorHAnsi" w:hAnsiTheme="minorHAnsi"/>
          <w:sz w:val="22"/>
          <w:szCs w:val="22"/>
        </w:rPr>
        <w:t>research</w:t>
      </w:r>
      <w:r w:rsidR="000332CD" w:rsidRPr="007A7094">
        <w:rPr>
          <w:rFonts w:asciiTheme="minorHAnsi" w:hAnsiTheme="minorHAnsi"/>
          <w:sz w:val="22"/>
          <w:szCs w:val="22"/>
        </w:rPr>
        <w:t xml:space="preserve"> </w:t>
      </w:r>
      <w:r w:rsidR="001B43DD" w:rsidRPr="007A7094">
        <w:rPr>
          <w:rFonts w:asciiTheme="minorHAnsi" w:hAnsiTheme="minorHAnsi"/>
          <w:sz w:val="22"/>
          <w:szCs w:val="22"/>
        </w:rPr>
        <w:t>methods</w:t>
      </w:r>
      <w:r w:rsidR="00240423" w:rsidRPr="007A7094">
        <w:rPr>
          <w:rFonts w:asciiTheme="minorHAnsi" w:hAnsiTheme="minorHAnsi"/>
          <w:sz w:val="22"/>
          <w:szCs w:val="22"/>
        </w:rPr>
        <w:t>.</w:t>
      </w:r>
      <w:r w:rsidR="00730929" w:rsidRPr="007A7094">
        <w:rPr>
          <w:rFonts w:asciiTheme="minorHAnsi" w:hAnsiTheme="minorHAnsi"/>
          <w:sz w:val="22"/>
          <w:szCs w:val="22"/>
        </w:rPr>
        <w:t xml:space="preserve"> </w:t>
      </w:r>
      <w:r w:rsidR="001B43DD" w:rsidRPr="007A7094">
        <w:rPr>
          <w:rFonts w:asciiTheme="minorHAnsi" w:hAnsiTheme="minorHAnsi"/>
          <w:sz w:val="22"/>
          <w:szCs w:val="22"/>
        </w:rPr>
        <w:t>T</w:t>
      </w:r>
      <w:r w:rsidR="00240423" w:rsidRPr="007A7094">
        <w:rPr>
          <w:rFonts w:asciiTheme="minorHAnsi" w:hAnsiTheme="minorHAnsi"/>
          <w:sz w:val="22"/>
          <w:szCs w:val="22"/>
        </w:rPr>
        <w:t>he research methods are not optimum</w:t>
      </w:r>
      <w:r w:rsidR="0007471D" w:rsidRPr="007A7094">
        <w:rPr>
          <w:rFonts w:asciiTheme="minorHAnsi" w:hAnsiTheme="minorHAnsi"/>
          <w:sz w:val="22"/>
          <w:szCs w:val="22"/>
        </w:rPr>
        <w:t>,</w:t>
      </w:r>
      <w:r w:rsidR="001B43DD" w:rsidRPr="007A7094">
        <w:rPr>
          <w:rFonts w:asciiTheme="minorHAnsi" w:hAnsiTheme="minorHAnsi"/>
          <w:sz w:val="22"/>
          <w:szCs w:val="22"/>
        </w:rPr>
        <w:t xml:space="preserve"> and this is </w:t>
      </w:r>
      <w:r w:rsidR="00240423" w:rsidRPr="007A7094">
        <w:rPr>
          <w:rFonts w:asciiTheme="minorHAnsi" w:hAnsiTheme="minorHAnsi"/>
          <w:sz w:val="22"/>
          <w:szCs w:val="22"/>
        </w:rPr>
        <w:t xml:space="preserve">why they </w:t>
      </w:r>
      <w:r w:rsidR="00BA6C15" w:rsidRPr="007A7094">
        <w:rPr>
          <w:rFonts w:asciiTheme="minorHAnsi" w:hAnsiTheme="minorHAnsi"/>
          <w:sz w:val="22"/>
          <w:szCs w:val="22"/>
        </w:rPr>
        <w:t>cannot sufficiently evidence</w:t>
      </w:r>
      <w:r w:rsidR="00240423" w:rsidRPr="007A7094">
        <w:rPr>
          <w:rFonts w:asciiTheme="minorHAnsi" w:hAnsiTheme="minorHAnsi"/>
          <w:sz w:val="22"/>
          <w:szCs w:val="22"/>
        </w:rPr>
        <w:t xml:space="preserve"> </w:t>
      </w:r>
      <w:r w:rsidR="00BA6C15" w:rsidRPr="007A7094">
        <w:rPr>
          <w:rFonts w:asciiTheme="minorHAnsi" w:hAnsiTheme="minorHAnsi"/>
          <w:sz w:val="22"/>
          <w:szCs w:val="22"/>
        </w:rPr>
        <w:t xml:space="preserve">the </w:t>
      </w:r>
      <w:r w:rsidRPr="007A7094">
        <w:rPr>
          <w:rFonts w:asciiTheme="minorHAnsi" w:hAnsiTheme="minorHAnsi"/>
          <w:sz w:val="22"/>
          <w:szCs w:val="22"/>
        </w:rPr>
        <w:t>intervention</w:t>
      </w:r>
      <w:r w:rsidR="00240423" w:rsidRPr="007A7094">
        <w:rPr>
          <w:rFonts w:asciiTheme="minorHAnsi" w:hAnsiTheme="minorHAnsi"/>
          <w:sz w:val="22"/>
          <w:szCs w:val="22"/>
        </w:rPr>
        <w:t xml:space="preserve">. </w:t>
      </w:r>
      <w:r w:rsidR="009B66C1" w:rsidRPr="007A7094">
        <w:rPr>
          <w:rFonts w:asciiTheme="minorHAnsi" w:hAnsiTheme="minorHAnsi"/>
          <w:sz w:val="22"/>
          <w:szCs w:val="22"/>
        </w:rPr>
        <w:t>In this interpretation, it</w:t>
      </w:r>
      <w:r w:rsidR="00240423" w:rsidRPr="007A7094">
        <w:rPr>
          <w:rFonts w:asciiTheme="minorHAnsi" w:hAnsiTheme="minorHAnsi"/>
          <w:sz w:val="22"/>
          <w:szCs w:val="22"/>
        </w:rPr>
        <w:t xml:space="preserve"> is not that the </w:t>
      </w:r>
      <w:r w:rsidR="00A47DC4" w:rsidRPr="007A7094">
        <w:rPr>
          <w:rFonts w:asciiTheme="minorHAnsi" w:hAnsiTheme="minorHAnsi"/>
          <w:sz w:val="22"/>
          <w:szCs w:val="22"/>
        </w:rPr>
        <w:t>intervention in</w:t>
      </w:r>
      <w:r w:rsidR="00240423" w:rsidRPr="007A7094">
        <w:rPr>
          <w:rFonts w:asciiTheme="minorHAnsi" w:hAnsiTheme="minorHAnsi"/>
          <w:sz w:val="22"/>
          <w:szCs w:val="22"/>
        </w:rPr>
        <w:t xml:space="preserve"> translation is messy but that the methods</w:t>
      </w:r>
      <w:r w:rsidR="00BA6C15" w:rsidRPr="007A7094">
        <w:rPr>
          <w:rFonts w:asciiTheme="minorHAnsi" w:hAnsiTheme="minorHAnsi"/>
          <w:sz w:val="22"/>
          <w:szCs w:val="22"/>
        </w:rPr>
        <w:t xml:space="preserve"> of knowing</w:t>
      </w:r>
      <w:r w:rsidR="00240423" w:rsidRPr="007A7094">
        <w:rPr>
          <w:rFonts w:asciiTheme="minorHAnsi" w:hAnsiTheme="minorHAnsi"/>
          <w:sz w:val="22"/>
          <w:szCs w:val="22"/>
        </w:rPr>
        <w:t xml:space="preserve"> are in a mess. </w:t>
      </w:r>
      <w:r w:rsidR="00A47DC4" w:rsidRPr="007A7094">
        <w:rPr>
          <w:rFonts w:asciiTheme="minorHAnsi" w:hAnsiTheme="minorHAnsi"/>
          <w:sz w:val="22"/>
          <w:szCs w:val="22"/>
        </w:rPr>
        <w:t>In the case of DAAs, the</w:t>
      </w:r>
      <w:r w:rsidR="004B375D" w:rsidRPr="007A7094">
        <w:rPr>
          <w:rFonts w:asciiTheme="minorHAnsi" w:hAnsiTheme="minorHAnsi"/>
          <w:sz w:val="22"/>
          <w:szCs w:val="22"/>
        </w:rPr>
        <w:t xml:space="preserve"> Cochrane review posits that there </w:t>
      </w:r>
      <w:r w:rsidR="00A47DC4" w:rsidRPr="007A7094">
        <w:rPr>
          <w:rFonts w:asciiTheme="minorHAnsi" w:hAnsiTheme="minorHAnsi"/>
          <w:sz w:val="22"/>
          <w:szCs w:val="22"/>
        </w:rPr>
        <w:t>is</w:t>
      </w:r>
      <w:r w:rsidR="00BA6C15" w:rsidRPr="007A7094">
        <w:rPr>
          <w:rFonts w:asciiTheme="minorHAnsi" w:hAnsiTheme="minorHAnsi"/>
          <w:sz w:val="22"/>
          <w:szCs w:val="22"/>
        </w:rPr>
        <w:t xml:space="preserve"> insufficient evidence to properly and cleanly demonstrate, without doubt, </w:t>
      </w:r>
      <w:r w:rsidR="00A47DC4" w:rsidRPr="007A7094">
        <w:rPr>
          <w:rFonts w:asciiTheme="minorHAnsi" w:hAnsiTheme="minorHAnsi"/>
          <w:sz w:val="22"/>
          <w:szCs w:val="22"/>
        </w:rPr>
        <w:t>long-term clinical</w:t>
      </w:r>
      <w:r w:rsidR="00BA6C15" w:rsidRPr="007A7094">
        <w:rPr>
          <w:rFonts w:asciiTheme="minorHAnsi" w:hAnsiTheme="minorHAnsi"/>
          <w:sz w:val="22"/>
          <w:szCs w:val="22"/>
        </w:rPr>
        <w:t xml:space="preserve"> </w:t>
      </w:r>
      <w:r w:rsidR="00D14E57" w:rsidRPr="007A7094">
        <w:rPr>
          <w:rFonts w:asciiTheme="minorHAnsi" w:hAnsiTheme="minorHAnsi"/>
          <w:sz w:val="22"/>
          <w:szCs w:val="22"/>
        </w:rPr>
        <w:t>effects</w:t>
      </w:r>
      <w:r w:rsidR="00BA6C15" w:rsidRPr="007A7094">
        <w:rPr>
          <w:rFonts w:asciiTheme="minorHAnsi" w:hAnsiTheme="minorHAnsi"/>
          <w:sz w:val="22"/>
          <w:szCs w:val="22"/>
        </w:rPr>
        <w:t>.</w:t>
      </w:r>
      <w:r w:rsidR="00D14E57" w:rsidRPr="007A7094">
        <w:rPr>
          <w:rFonts w:asciiTheme="minorHAnsi" w:hAnsiTheme="minorHAnsi"/>
          <w:sz w:val="22"/>
          <w:szCs w:val="22"/>
        </w:rPr>
        <w:t xml:space="preserve"> The dissenters to the Cochrane review claim they know the object of treatment</w:t>
      </w:r>
      <w:r w:rsidR="00A47DC4" w:rsidRPr="007A7094">
        <w:rPr>
          <w:rFonts w:asciiTheme="minorHAnsi" w:hAnsiTheme="minorHAnsi"/>
          <w:sz w:val="22"/>
          <w:szCs w:val="22"/>
        </w:rPr>
        <w:t xml:space="preserve"> differently</w:t>
      </w:r>
      <w:r w:rsidR="00D14E57" w:rsidRPr="007A7094">
        <w:rPr>
          <w:rFonts w:asciiTheme="minorHAnsi" w:hAnsiTheme="minorHAnsi"/>
          <w:sz w:val="22"/>
          <w:szCs w:val="22"/>
        </w:rPr>
        <w:t xml:space="preserve">, yet they cannot demonstrate </w:t>
      </w:r>
      <w:r w:rsidR="000332CD" w:rsidRPr="007A7094">
        <w:rPr>
          <w:rFonts w:asciiTheme="minorHAnsi" w:hAnsiTheme="minorHAnsi"/>
          <w:sz w:val="22"/>
          <w:szCs w:val="22"/>
        </w:rPr>
        <w:t>this</w:t>
      </w:r>
      <w:r w:rsidR="00D14E57" w:rsidRPr="007A7094">
        <w:rPr>
          <w:rFonts w:asciiTheme="minorHAnsi" w:hAnsiTheme="minorHAnsi"/>
          <w:sz w:val="22"/>
          <w:szCs w:val="22"/>
        </w:rPr>
        <w:t xml:space="preserve"> </w:t>
      </w:r>
      <w:r w:rsidR="00A47DC4" w:rsidRPr="007A7094">
        <w:rPr>
          <w:rFonts w:asciiTheme="minorHAnsi" w:hAnsiTheme="minorHAnsi"/>
          <w:sz w:val="22"/>
          <w:szCs w:val="22"/>
        </w:rPr>
        <w:t xml:space="preserve">in terms which are sufficient </w:t>
      </w:r>
      <w:r w:rsidR="00D14E57" w:rsidRPr="007A7094">
        <w:rPr>
          <w:rFonts w:asciiTheme="minorHAnsi" w:hAnsiTheme="minorHAnsi"/>
          <w:sz w:val="22"/>
          <w:szCs w:val="22"/>
        </w:rPr>
        <w:t xml:space="preserve">to </w:t>
      </w:r>
      <w:r w:rsidR="00A47DC4" w:rsidRPr="007A7094">
        <w:rPr>
          <w:rFonts w:asciiTheme="minorHAnsi" w:hAnsiTheme="minorHAnsi"/>
          <w:sz w:val="22"/>
          <w:szCs w:val="22"/>
        </w:rPr>
        <w:t xml:space="preserve">meet the optimum standards as defined by the Cochrane Collaboration. According to the Cochrane reviewers, without </w:t>
      </w:r>
      <w:r w:rsidR="00D14E57" w:rsidRPr="007A7094">
        <w:rPr>
          <w:rFonts w:asciiTheme="minorHAnsi" w:hAnsiTheme="minorHAnsi"/>
          <w:sz w:val="22"/>
          <w:szCs w:val="22"/>
        </w:rPr>
        <w:t xml:space="preserve">producing </w:t>
      </w:r>
      <w:r w:rsidR="00A47DC4" w:rsidRPr="007A7094">
        <w:rPr>
          <w:rFonts w:asciiTheme="minorHAnsi" w:hAnsiTheme="minorHAnsi"/>
          <w:sz w:val="22"/>
          <w:szCs w:val="22"/>
        </w:rPr>
        <w:t>RCT evidence</w:t>
      </w:r>
      <w:r w:rsidR="00D14E57" w:rsidRPr="007A7094">
        <w:rPr>
          <w:rFonts w:asciiTheme="minorHAnsi" w:hAnsiTheme="minorHAnsi"/>
          <w:sz w:val="22"/>
          <w:szCs w:val="22"/>
        </w:rPr>
        <w:t xml:space="preserve"> </w:t>
      </w:r>
      <w:r w:rsidR="00A47DC4" w:rsidRPr="007A7094">
        <w:rPr>
          <w:rFonts w:asciiTheme="minorHAnsi" w:hAnsiTheme="minorHAnsi"/>
          <w:sz w:val="22"/>
          <w:szCs w:val="22"/>
        </w:rPr>
        <w:t xml:space="preserve">of </w:t>
      </w:r>
      <w:r w:rsidR="00D14E57" w:rsidRPr="007A7094">
        <w:rPr>
          <w:rFonts w:asciiTheme="minorHAnsi" w:hAnsiTheme="minorHAnsi"/>
          <w:sz w:val="22"/>
          <w:szCs w:val="22"/>
        </w:rPr>
        <w:t xml:space="preserve">long-term </w:t>
      </w:r>
      <w:r w:rsidR="00A47DC4" w:rsidRPr="007A7094">
        <w:rPr>
          <w:rFonts w:asciiTheme="minorHAnsi" w:hAnsiTheme="minorHAnsi"/>
          <w:sz w:val="22"/>
          <w:szCs w:val="22"/>
        </w:rPr>
        <w:t>clinical effects</w:t>
      </w:r>
      <w:r w:rsidR="00D14E57" w:rsidRPr="007A7094">
        <w:rPr>
          <w:rFonts w:asciiTheme="minorHAnsi" w:hAnsiTheme="minorHAnsi"/>
          <w:sz w:val="22"/>
          <w:szCs w:val="22"/>
        </w:rPr>
        <w:t xml:space="preserve">, this intervention can never be properly known. This </w:t>
      </w:r>
      <w:r w:rsidR="00A47DC4" w:rsidRPr="007A7094">
        <w:rPr>
          <w:rFonts w:asciiTheme="minorHAnsi" w:hAnsiTheme="minorHAnsi"/>
          <w:sz w:val="22"/>
          <w:szCs w:val="22"/>
        </w:rPr>
        <w:t xml:space="preserve">technical problem of messy evidence appears </w:t>
      </w:r>
      <w:r w:rsidR="00D14E57" w:rsidRPr="007A7094">
        <w:rPr>
          <w:rFonts w:asciiTheme="minorHAnsi" w:hAnsiTheme="minorHAnsi"/>
          <w:sz w:val="22"/>
          <w:szCs w:val="22"/>
        </w:rPr>
        <w:t xml:space="preserve">circular if </w:t>
      </w:r>
      <w:r w:rsidR="00A47DC4" w:rsidRPr="007A7094">
        <w:rPr>
          <w:rFonts w:asciiTheme="minorHAnsi" w:hAnsiTheme="minorHAnsi"/>
          <w:sz w:val="22"/>
          <w:szCs w:val="22"/>
        </w:rPr>
        <w:t>the evidence constituted as</w:t>
      </w:r>
      <w:r w:rsidR="00D14E57" w:rsidRPr="007A7094">
        <w:rPr>
          <w:rFonts w:asciiTheme="minorHAnsi" w:hAnsiTheme="minorHAnsi"/>
          <w:sz w:val="22"/>
          <w:szCs w:val="22"/>
        </w:rPr>
        <w:t xml:space="preserve"> proper </w:t>
      </w:r>
      <w:r w:rsidR="00ED19C1" w:rsidRPr="007A7094">
        <w:rPr>
          <w:rFonts w:asciiTheme="minorHAnsi" w:hAnsiTheme="minorHAnsi"/>
          <w:sz w:val="22"/>
          <w:szCs w:val="22"/>
        </w:rPr>
        <w:t xml:space="preserve">and required </w:t>
      </w:r>
      <w:r w:rsidR="00D14E57" w:rsidRPr="007A7094">
        <w:rPr>
          <w:rFonts w:asciiTheme="minorHAnsi" w:hAnsiTheme="minorHAnsi"/>
          <w:sz w:val="22"/>
          <w:szCs w:val="22"/>
        </w:rPr>
        <w:t>is not technically available</w:t>
      </w:r>
      <w:r w:rsidR="00EB621F" w:rsidRPr="007A7094">
        <w:rPr>
          <w:rFonts w:asciiTheme="minorHAnsi" w:hAnsiTheme="minorHAnsi"/>
          <w:sz w:val="22"/>
          <w:szCs w:val="22"/>
        </w:rPr>
        <w:t xml:space="preserve"> </w:t>
      </w:r>
      <w:r w:rsidR="003711F3" w:rsidRPr="007A7094">
        <w:rPr>
          <w:rFonts w:asciiTheme="minorHAnsi" w:hAnsiTheme="minorHAnsi"/>
          <w:sz w:val="22"/>
          <w:szCs w:val="22"/>
        </w:rPr>
        <w:t xml:space="preserve">(such as RCTs of long-term clinical outcome). </w:t>
      </w:r>
    </w:p>
    <w:p w14:paraId="03B08C10" w14:textId="77777777" w:rsidR="00240423" w:rsidRPr="007A7094" w:rsidRDefault="00240423" w:rsidP="00722632">
      <w:pPr>
        <w:pStyle w:val="Standard"/>
        <w:spacing w:line="480" w:lineRule="auto"/>
        <w:jc w:val="both"/>
        <w:rPr>
          <w:rFonts w:asciiTheme="minorHAnsi" w:hAnsiTheme="minorHAnsi"/>
          <w:sz w:val="22"/>
          <w:szCs w:val="22"/>
        </w:rPr>
      </w:pPr>
    </w:p>
    <w:p w14:paraId="5B018604" w14:textId="0E5B04F1" w:rsidR="00240423" w:rsidRPr="007A7094" w:rsidRDefault="003711F3" w:rsidP="00722632">
      <w:pPr>
        <w:pStyle w:val="Standard"/>
        <w:spacing w:line="480" w:lineRule="auto"/>
        <w:jc w:val="both"/>
        <w:rPr>
          <w:rFonts w:asciiTheme="minorHAnsi" w:hAnsiTheme="minorHAnsi"/>
          <w:sz w:val="22"/>
          <w:szCs w:val="22"/>
        </w:rPr>
      </w:pPr>
      <w:r w:rsidRPr="007A7094">
        <w:rPr>
          <w:rFonts w:asciiTheme="minorHAnsi" w:hAnsiTheme="minorHAnsi"/>
          <w:sz w:val="22"/>
          <w:szCs w:val="22"/>
        </w:rPr>
        <w:t xml:space="preserve">Law and Singleton </w:t>
      </w:r>
      <w:r w:rsidR="00EB621F" w:rsidRPr="007A7094">
        <w:rPr>
          <w:rFonts w:asciiTheme="minorHAnsi" w:hAnsiTheme="minorHAnsi"/>
          <w:sz w:val="22"/>
          <w:szCs w:val="22"/>
        </w:rPr>
        <w:t>propose</w:t>
      </w:r>
      <w:r w:rsidRPr="007A7094">
        <w:rPr>
          <w:rFonts w:asciiTheme="minorHAnsi" w:hAnsiTheme="minorHAnsi"/>
          <w:sz w:val="22"/>
          <w:szCs w:val="22"/>
        </w:rPr>
        <w:t xml:space="preserve"> a</w:t>
      </w:r>
      <w:r w:rsidR="00240423" w:rsidRPr="007A7094">
        <w:rPr>
          <w:rFonts w:asciiTheme="minorHAnsi" w:hAnsiTheme="minorHAnsi"/>
          <w:sz w:val="22"/>
          <w:szCs w:val="22"/>
        </w:rPr>
        <w:t xml:space="preserve"> second way </w:t>
      </w:r>
      <w:r w:rsidR="00EB621F" w:rsidRPr="007A7094">
        <w:rPr>
          <w:rFonts w:asciiTheme="minorHAnsi" w:hAnsiTheme="minorHAnsi"/>
          <w:sz w:val="22"/>
          <w:szCs w:val="22"/>
        </w:rPr>
        <w:t>to</w:t>
      </w:r>
      <w:r w:rsidR="00240423" w:rsidRPr="007A7094">
        <w:rPr>
          <w:rFonts w:asciiTheme="minorHAnsi" w:hAnsiTheme="minorHAnsi"/>
          <w:sz w:val="22"/>
          <w:szCs w:val="22"/>
        </w:rPr>
        <w:t xml:space="preserve"> address the problem of messy intervention translation</w:t>
      </w:r>
      <w:r w:rsidR="00EB621F" w:rsidRPr="007A7094">
        <w:rPr>
          <w:rFonts w:asciiTheme="minorHAnsi" w:hAnsiTheme="minorHAnsi"/>
          <w:sz w:val="22"/>
          <w:szCs w:val="22"/>
        </w:rPr>
        <w:t>. This</w:t>
      </w:r>
      <w:r w:rsidR="00240423" w:rsidRPr="007A7094">
        <w:rPr>
          <w:rFonts w:asciiTheme="minorHAnsi" w:hAnsiTheme="minorHAnsi"/>
          <w:sz w:val="22"/>
          <w:szCs w:val="22"/>
        </w:rPr>
        <w:t xml:space="preserve"> is </w:t>
      </w:r>
      <w:r w:rsidR="00EB621F" w:rsidRPr="007A7094">
        <w:rPr>
          <w:rFonts w:asciiTheme="minorHAnsi" w:hAnsiTheme="minorHAnsi"/>
          <w:sz w:val="22"/>
          <w:szCs w:val="22"/>
        </w:rPr>
        <w:t xml:space="preserve">to consider </w:t>
      </w:r>
      <w:r w:rsidR="00003099" w:rsidRPr="007A7094">
        <w:rPr>
          <w:rFonts w:asciiTheme="minorHAnsi" w:hAnsiTheme="minorHAnsi"/>
          <w:sz w:val="22"/>
          <w:szCs w:val="22"/>
        </w:rPr>
        <w:t xml:space="preserve">the complexity of implementation contexts as the problem </w:t>
      </w:r>
      <w:r w:rsidR="004B375D" w:rsidRPr="007A7094">
        <w:rPr>
          <w:rFonts w:asciiTheme="minorHAnsi" w:hAnsiTheme="minorHAnsi"/>
          <w:sz w:val="22"/>
          <w:szCs w:val="22"/>
        </w:rPr>
        <w:t xml:space="preserve">which </w:t>
      </w:r>
      <w:r w:rsidR="00003099" w:rsidRPr="007A7094">
        <w:rPr>
          <w:rFonts w:asciiTheme="minorHAnsi" w:hAnsiTheme="minorHAnsi"/>
          <w:sz w:val="22"/>
          <w:szCs w:val="22"/>
        </w:rPr>
        <w:t>mak</w:t>
      </w:r>
      <w:r w:rsidR="004B375D" w:rsidRPr="007A7094">
        <w:rPr>
          <w:rFonts w:asciiTheme="minorHAnsi" w:hAnsiTheme="minorHAnsi"/>
          <w:sz w:val="22"/>
          <w:szCs w:val="22"/>
        </w:rPr>
        <w:t xml:space="preserve">es </w:t>
      </w:r>
      <w:r w:rsidR="00003099" w:rsidRPr="007A7094">
        <w:rPr>
          <w:rFonts w:asciiTheme="minorHAnsi" w:hAnsiTheme="minorHAnsi"/>
          <w:sz w:val="22"/>
          <w:szCs w:val="22"/>
        </w:rPr>
        <w:t>interventio</w:t>
      </w:r>
      <w:r w:rsidR="004B375D" w:rsidRPr="007A7094">
        <w:rPr>
          <w:rFonts w:asciiTheme="minorHAnsi" w:hAnsiTheme="minorHAnsi"/>
          <w:sz w:val="22"/>
          <w:szCs w:val="22"/>
        </w:rPr>
        <w:t>n</w:t>
      </w:r>
      <w:r w:rsidR="00003099" w:rsidRPr="007A7094">
        <w:rPr>
          <w:rFonts w:asciiTheme="minorHAnsi" w:hAnsiTheme="minorHAnsi"/>
          <w:sz w:val="22"/>
          <w:szCs w:val="22"/>
        </w:rPr>
        <w:t xml:space="preserve">s unstable and unknowable. </w:t>
      </w:r>
      <w:r w:rsidR="009B66C1" w:rsidRPr="007A7094">
        <w:rPr>
          <w:rFonts w:asciiTheme="minorHAnsi" w:hAnsiTheme="minorHAnsi"/>
          <w:sz w:val="22"/>
          <w:szCs w:val="22"/>
        </w:rPr>
        <w:t>In this interpretation,</w:t>
      </w:r>
      <w:r w:rsidRPr="007A7094">
        <w:rPr>
          <w:rFonts w:asciiTheme="minorHAnsi" w:hAnsiTheme="minorHAnsi"/>
          <w:sz w:val="22"/>
          <w:szCs w:val="22"/>
        </w:rPr>
        <w:t xml:space="preserve"> elements of the intervention implementation – such as diagnosis, delivery and measurement – need to make better order of themselves. </w:t>
      </w:r>
      <w:r w:rsidR="00003099" w:rsidRPr="007A7094">
        <w:rPr>
          <w:rFonts w:asciiTheme="minorHAnsi" w:hAnsiTheme="minorHAnsi"/>
          <w:sz w:val="22"/>
          <w:szCs w:val="22"/>
        </w:rPr>
        <w:t xml:space="preserve">This implies the need for </w:t>
      </w:r>
      <w:r w:rsidR="00003099" w:rsidRPr="007A7094">
        <w:rPr>
          <w:rFonts w:asciiTheme="minorHAnsi" w:hAnsiTheme="minorHAnsi"/>
          <w:i/>
          <w:sz w:val="22"/>
          <w:szCs w:val="22"/>
        </w:rPr>
        <w:t>managerial intervention</w:t>
      </w:r>
      <w:r w:rsidR="00003099" w:rsidRPr="007A7094">
        <w:rPr>
          <w:rFonts w:asciiTheme="minorHAnsi" w:hAnsiTheme="minorHAnsi"/>
          <w:sz w:val="22"/>
          <w:szCs w:val="22"/>
        </w:rPr>
        <w:t xml:space="preserve">. </w:t>
      </w:r>
      <w:r w:rsidR="00240423" w:rsidRPr="007A7094">
        <w:rPr>
          <w:rFonts w:asciiTheme="minorHAnsi" w:hAnsiTheme="minorHAnsi"/>
          <w:sz w:val="22"/>
          <w:szCs w:val="22"/>
        </w:rPr>
        <w:t>Here, “</w:t>
      </w:r>
      <w:r w:rsidRPr="007A7094">
        <w:rPr>
          <w:rFonts w:asciiTheme="minorHAnsi" w:hAnsiTheme="minorHAnsi"/>
          <w:sz w:val="22"/>
          <w:szCs w:val="22"/>
        </w:rPr>
        <w:t>m</w:t>
      </w:r>
      <w:r w:rsidR="00240423" w:rsidRPr="007A7094">
        <w:rPr>
          <w:rFonts w:asciiTheme="minorHAnsi" w:hAnsiTheme="minorHAnsi"/>
          <w:sz w:val="22"/>
          <w:szCs w:val="22"/>
        </w:rPr>
        <w:t>anagerialism becomes the executive tool of methodological clarity”, since “it makes a world fit for study”</w:t>
      </w:r>
      <w:r w:rsidR="00536BAF" w:rsidRPr="007A7094">
        <w:rPr>
          <w:rFonts w:asciiTheme="minorHAnsi" w:hAnsiTheme="minorHAnsi"/>
          <w:sz w:val="22"/>
          <w:szCs w:val="22"/>
        </w:rPr>
        <w:t xml:space="preserve"> (Law and Singleton, 2005)</w:t>
      </w:r>
      <w:r w:rsidR="00240423" w:rsidRPr="007A7094">
        <w:rPr>
          <w:rFonts w:asciiTheme="minorHAnsi" w:hAnsiTheme="minorHAnsi"/>
          <w:sz w:val="22"/>
          <w:szCs w:val="22"/>
        </w:rPr>
        <w:t>.</w:t>
      </w:r>
      <w:r w:rsidR="000332CD" w:rsidRPr="007A7094">
        <w:rPr>
          <w:rFonts w:asciiTheme="minorHAnsi" w:hAnsiTheme="minorHAnsi"/>
          <w:sz w:val="22"/>
          <w:szCs w:val="22"/>
        </w:rPr>
        <w:t xml:space="preserve"> </w:t>
      </w:r>
      <w:r w:rsidRPr="007A7094">
        <w:rPr>
          <w:rFonts w:asciiTheme="minorHAnsi" w:hAnsiTheme="minorHAnsi"/>
          <w:sz w:val="22"/>
          <w:szCs w:val="22"/>
        </w:rPr>
        <w:t>The Cochrane revie</w:t>
      </w:r>
      <w:r w:rsidR="0007471D" w:rsidRPr="007A7094">
        <w:rPr>
          <w:rFonts w:asciiTheme="minorHAnsi" w:hAnsiTheme="minorHAnsi"/>
          <w:sz w:val="22"/>
          <w:szCs w:val="22"/>
        </w:rPr>
        <w:t>w</w:t>
      </w:r>
      <w:r w:rsidRPr="007A7094">
        <w:rPr>
          <w:rFonts w:asciiTheme="minorHAnsi" w:hAnsiTheme="minorHAnsi"/>
          <w:sz w:val="22"/>
          <w:szCs w:val="22"/>
        </w:rPr>
        <w:t xml:space="preserve">, for instance, </w:t>
      </w:r>
      <w:r w:rsidR="0007471D" w:rsidRPr="007A7094">
        <w:rPr>
          <w:rFonts w:asciiTheme="minorHAnsi" w:hAnsiTheme="minorHAnsi"/>
          <w:sz w:val="22"/>
          <w:szCs w:val="22"/>
        </w:rPr>
        <w:t>positions</w:t>
      </w:r>
      <w:r w:rsidR="00A55978" w:rsidRPr="007A7094">
        <w:rPr>
          <w:rFonts w:asciiTheme="minorHAnsi" w:hAnsiTheme="minorHAnsi"/>
          <w:sz w:val="22"/>
          <w:szCs w:val="22"/>
        </w:rPr>
        <w:t xml:space="preserve"> SVR as a “flawed” device for knowing DAA effects</w:t>
      </w:r>
      <w:r w:rsidR="00EB621F" w:rsidRPr="007A7094">
        <w:rPr>
          <w:rFonts w:asciiTheme="minorHAnsi" w:hAnsiTheme="minorHAnsi"/>
          <w:sz w:val="22"/>
          <w:szCs w:val="22"/>
        </w:rPr>
        <w:t xml:space="preserve"> </w:t>
      </w:r>
      <w:r w:rsidR="00A55978" w:rsidRPr="007A7094">
        <w:rPr>
          <w:rFonts w:asciiTheme="minorHAnsi" w:hAnsiTheme="minorHAnsi"/>
          <w:sz w:val="22"/>
          <w:szCs w:val="22"/>
        </w:rPr>
        <w:t>because th</w:t>
      </w:r>
      <w:r w:rsidR="004F77FF" w:rsidRPr="007A7094">
        <w:rPr>
          <w:rFonts w:asciiTheme="minorHAnsi" w:hAnsiTheme="minorHAnsi"/>
          <w:sz w:val="22"/>
          <w:szCs w:val="22"/>
        </w:rPr>
        <w:t xml:space="preserve">is surrogate has </w:t>
      </w:r>
      <w:r w:rsidR="00A55978" w:rsidRPr="007A7094">
        <w:rPr>
          <w:rFonts w:asciiTheme="minorHAnsi" w:hAnsiTheme="minorHAnsi"/>
          <w:sz w:val="22"/>
          <w:szCs w:val="22"/>
        </w:rPr>
        <w:t>“never been validated”</w:t>
      </w:r>
      <w:r w:rsidR="004F77FF" w:rsidRPr="007A7094">
        <w:rPr>
          <w:rFonts w:asciiTheme="minorHAnsi" w:hAnsiTheme="minorHAnsi"/>
          <w:sz w:val="22"/>
          <w:szCs w:val="22"/>
        </w:rPr>
        <w:t xml:space="preserve"> clinically</w:t>
      </w:r>
      <w:r w:rsidR="00536BAF" w:rsidRPr="007A7094">
        <w:rPr>
          <w:rFonts w:asciiTheme="minorHAnsi" w:hAnsiTheme="minorHAnsi"/>
          <w:sz w:val="22"/>
          <w:szCs w:val="22"/>
        </w:rPr>
        <w:t xml:space="preserve"> (Koretz et al., 2018a,b,c,d)</w:t>
      </w:r>
      <w:r w:rsidR="00A55978" w:rsidRPr="007A7094">
        <w:rPr>
          <w:rFonts w:asciiTheme="minorHAnsi" w:hAnsiTheme="minorHAnsi"/>
          <w:sz w:val="22"/>
          <w:szCs w:val="22"/>
        </w:rPr>
        <w:t xml:space="preserve">. </w:t>
      </w:r>
      <w:r w:rsidR="00EB621F" w:rsidRPr="007A7094">
        <w:rPr>
          <w:rFonts w:asciiTheme="minorHAnsi" w:hAnsiTheme="minorHAnsi"/>
          <w:sz w:val="22"/>
          <w:szCs w:val="22"/>
        </w:rPr>
        <w:t>They give pointers to tidying up varieties and measures of cure.</w:t>
      </w:r>
    </w:p>
    <w:p w14:paraId="647F2496" w14:textId="77777777" w:rsidR="00240423" w:rsidRPr="007A7094" w:rsidRDefault="00240423" w:rsidP="00722632">
      <w:pPr>
        <w:pStyle w:val="Standard"/>
        <w:spacing w:line="480" w:lineRule="auto"/>
        <w:jc w:val="both"/>
        <w:rPr>
          <w:rFonts w:asciiTheme="minorHAnsi" w:hAnsiTheme="minorHAnsi"/>
          <w:sz w:val="22"/>
          <w:szCs w:val="22"/>
        </w:rPr>
      </w:pPr>
    </w:p>
    <w:p w14:paraId="269870A1" w14:textId="52E350B7" w:rsidR="00715353" w:rsidRPr="007A7094" w:rsidRDefault="00240423" w:rsidP="00722632">
      <w:pPr>
        <w:pStyle w:val="Standard"/>
        <w:spacing w:line="480" w:lineRule="auto"/>
        <w:jc w:val="both"/>
        <w:rPr>
          <w:rFonts w:asciiTheme="minorHAnsi" w:hAnsiTheme="minorHAnsi"/>
          <w:sz w:val="22"/>
          <w:szCs w:val="22"/>
        </w:rPr>
      </w:pPr>
      <w:r w:rsidRPr="007A7094">
        <w:rPr>
          <w:rFonts w:asciiTheme="minorHAnsi" w:hAnsiTheme="minorHAnsi"/>
          <w:sz w:val="22"/>
          <w:szCs w:val="22"/>
        </w:rPr>
        <w:t xml:space="preserve">But there is </w:t>
      </w:r>
      <w:r w:rsidR="00EB621F" w:rsidRPr="007A7094">
        <w:rPr>
          <w:rFonts w:asciiTheme="minorHAnsi" w:hAnsiTheme="minorHAnsi"/>
          <w:sz w:val="22"/>
          <w:szCs w:val="22"/>
        </w:rPr>
        <w:t>a</w:t>
      </w:r>
      <w:r w:rsidRPr="007A7094">
        <w:rPr>
          <w:rFonts w:asciiTheme="minorHAnsi" w:hAnsiTheme="minorHAnsi"/>
          <w:sz w:val="22"/>
          <w:szCs w:val="22"/>
        </w:rPr>
        <w:t xml:space="preserve"> third way </w:t>
      </w:r>
      <w:r w:rsidR="00EB621F" w:rsidRPr="007A7094">
        <w:rPr>
          <w:rFonts w:asciiTheme="minorHAnsi" w:hAnsiTheme="minorHAnsi"/>
          <w:sz w:val="22"/>
          <w:szCs w:val="22"/>
        </w:rPr>
        <w:t>to consider</w:t>
      </w:r>
      <w:r w:rsidR="00A55978" w:rsidRPr="007A7094">
        <w:rPr>
          <w:rFonts w:asciiTheme="minorHAnsi" w:hAnsiTheme="minorHAnsi"/>
          <w:sz w:val="22"/>
          <w:szCs w:val="22"/>
        </w:rPr>
        <w:t xml:space="preserve">. This is to </w:t>
      </w:r>
      <w:r w:rsidRPr="007A7094">
        <w:rPr>
          <w:rFonts w:asciiTheme="minorHAnsi" w:hAnsiTheme="minorHAnsi"/>
          <w:i/>
          <w:sz w:val="22"/>
          <w:szCs w:val="22"/>
        </w:rPr>
        <w:t>think differently about objects</w:t>
      </w:r>
      <w:r w:rsidR="009262F1" w:rsidRPr="007A7094">
        <w:rPr>
          <w:rFonts w:asciiTheme="minorHAnsi" w:hAnsiTheme="minorHAnsi"/>
          <w:sz w:val="22"/>
          <w:szCs w:val="22"/>
        </w:rPr>
        <w:t xml:space="preserve">, that is, the </w:t>
      </w:r>
      <w:r w:rsidR="00D56CA9" w:rsidRPr="007A7094">
        <w:rPr>
          <w:rFonts w:asciiTheme="minorHAnsi" w:hAnsiTheme="minorHAnsi"/>
          <w:sz w:val="22"/>
          <w:szCs w:val="22"/>
        </w:rPr>
        <w:t>‘</w:t>
      </w:r>
      <w:r w:rsidR="009262F1" w:rsidRPr="007A7094">
        <w:rPr>
          <w:rFonts w:asciiTheme="minorHAnsi" w:hAnsiTheme="minorHAnsi"/>
          <w:sz w:val="22"/>
          <w:szCs w:val="22"/>
        </w:rPr>
        <w:t>things</w:t>
      </w:r>
      <w:r w:rsidR="00D56CA9" w:rsidRPr="007A7094">
        <w:rPr>
          <w:rFonts w:asciiTheme="minorHAnsi" w:hAnsiTheme="minorHAnsi"/>
          <w:sz w:val="22"/>
          <w:szCs w:val="22"/>
        </w:rPr>
        <w:t>’,</w:t>
      </w:r>
      <w:r w:rsidR="009262F1" w:rsidRPr="007A7094">
        <w:rPr>
          <w:rFonts w:asciiTheme="minorHAnsi" w:hAnsiTheme="minorHAnsi"/>
          <w:sz w:val="22"/>
          <w:szCs w:val="22"/>
        </w:rPr>
        <w:t xml:space="preserve"> such as interventions, treatments</w:t>
      </w:r>
      <w:r w:rsidR="004F77FF" w:rsidRPr="007A7094">
        <w:rPr>
          <w:rFonts w:asciiTheme="minorHAnsi" w:hAnsiTheme="minorHAnsi"/>
          <w:sz w:val="22"/>
          <w:szCs w:val="22"/>
        </w:rPr>
        <w:t xml:space="preserve"> and</w:t>
      </w:r>
      <w:r w:rsidR="009262F1" w:rsidRPr="007A7094">
        <w:rPr>
          <w:rFonts w:asciiTheme="minorHAnsi" w:hAnsiTheme="minorHAnsi"/>
          <w:sz w:val="22"/>
          <w:szCs w:val="22"/>
        </w:rPr>
        <w:t xml:space="preserve"> cures, that are the focus of evidencing in EBM.</w:t>
      </w:r>
      <w:r w:rsidRPr="007A7094">
        <w:rPr>
          <w:rFonts w:asciiTheme="minorHAnsi" w:hAnsiTheme="minorHAnsi"/>
          <w:sz w:val="22"/>
          <w:szCs w:val="22"/>
        </w:rPr>
        <w:t xml:space="preserve"> Law and Singleton argue that there is a “need to think more carefully about the nature of objects in the world: about what counts as an object”</w:t>
      </w:r>
      <w:r w:rsidR="00536BAF" w:rsidRPr="007A7094">
        <w:rPr>
          <w:rFonts w:asciiTheme="minorHAnsi" w:hAnsiTheme="minorHAnsi"/>
          <w:sz w:val="22"/>
          <w:szCs w:val="22"/>
        </w:rPr>
        <w:t xml:space="preserve"> (Law and Singleton, 2005)</w:t>
      </w:r>
      <w:r w:rsidRPr="007A7094">
        <w:rPr>
          <w:rFonts w:asciiTheme="minorHAnsi" w:hAnsiTheme="minorHAnsi"/>
          <w:sz w:val="22"/>
          <w:szCs w:val="22"/>
        </w:rPr>
        <w:t>.</w:t>
      </w:r>
      <w:r w:rsidR="00A55978" w:rsidRPr="007A7094">
        <w:rPr>
          <w:rFonts w:asciiTheme="minorHAnsi" w:hAnsiTheme="minorHAnsi"/>
          <w:sz w:val="22"/>
          <w:szCs w:val="22"/>
        </w:rPr>
        <w:t xml:space="preserve"> </w:t>
      </w:r>
      <w:r w:rsidRPr="007A7094">
        <w:rPr>
          <w:rFonts w:asciiTheme="minorHAnsi" w:hAnsiTheme="minorHAnsi"/>
          <w:sz w:val="22"/>
          <w:szCs w:val="22"/>
        </w:rPr>
        <w:t>They argue that</w:t>
      </w:r>
      <w:r w:rsidR="00A55978" w:rsidRPr="007A7094">
        <w:rPr>
          <w:rFonts w:asciiTheme="minorHAnsi" w:hAnsiTheme="minorHAnsi"/>
          <w:sz w:val="22"/>
          <w:szCs w:val="22"/>
        </w:rPr>
        <w:t xml:space="preserve"> we need to consider that</w:t>
      </w:r>
      <w:r w:rsidRPr="007A7094">
        <w:rPr>
          <w:rFonts w:asciiTheme="minorHAnsi" w:hAnsiTheme="minorHAnsi"/>
          <w:sz w:val="22"/>
          <w:szCs w:val="22"/>
        </w:rPr>
        <w:t xml:space="preserve"> </w:t>
      </w:r>
      <w:r w:rsidRPr="007A7094">
        <w:rPr>
          <w:rFonts w:asciiTheme="minorHAnsi" w:hAnsiTheme="minorHAnsi"/>
          <w:sz w:val="22"/>
          <w:szCs w:val="22"/>
        </w:rPr>
        <w:lastRenderedPageBreak/>
        <w:t>“objects come in forms that cannot be known within the most obvious versions of commonsense”, and that “it is useful to work on different models for imagining objects”.</w:t>
      </w:r>
      <w:r w:rsidR="00A55978" w:rsidRPr="007A7094">
        <w:rPr>
          <w:rFonts w:asciiTheme="minorHAnsi" w:hAnsiTheme="minorHAnsi"/>
          <w:sz w:val="22"/>
          <w:szCs w:val="22"/>
        </w:rPr>
        <w:t xml:space="preserve"> Rather than assuming the object of intervention to be stable and clean in a messy research or delivery context – </w:t>
      </w:r>
      <w:r w:rsidR="00831876" w:rsidRPr="007A7094">
        <w:rPr>
          <w:rFonts w:asciiTheme="minorHAnsi" w:hAnsiTheme="minorHAnsi"/>
          <w:sz w:val="22"/>
          <w:szCs w:val="22"/>
        </w:rPr>
        <w:t>the</w:t>
      </w:r>
      <w:r w:rsidR="00A55978" w:rsidRPr="007A7094">
        <w:rPr>
          <w:rFonts w:asciiTheme="minorHAnsi" w:hAnsiTheme="minorHAnsi"/>
          <w:sz w:val="22"/>
          <w:szCs w:val="22"/>
        </w:rPr>
        <w:t xml:space="preserve"> approach to understanding </w:t>
      </w:r>
      <w:r w:rsidR="00715353" w:rsidRPr="007A7094">
        <w:rPr>
          <w:rFonts w:asciiTheme="minorHAnsi" w:hAnsiTheme="minorHAnsi"/>
          <w:sz w:val="22"/>
          <w:szCs w:val="22"/>
        </w:rPr>
        <w:t xml:space="preserve">the </w:t>
      </w:r>
      <w:r w:rsidR="00A55978" w:rsidRPr="007A7094">
        <w:rPr>
          <w:rFonts w:asciiTheme="minorHAnsi" w:hAnsiTheme="minorHAnsi"/>
          <w:sz w:val="22"/>
          <w:szCs w:val="22"/>
        </w:rPr>
        <w:t xml:space="preserve">contested evidence </w:t>
      </w:r>
      <w:r w:rsidR="00715353" w:rsidRPr="007A7094">
        <w:rPr>
          <w:rFonts w:asciiTheme="minorHAnsi" w:hAnsiTheme="minorHAnsi"/>
          <w:sz w:val="22"/>
          <w:szCs w:val="22"/>
        </w:rPr>
        <w:t>of</w:t>
      </w:r>
      <w:r w:rsidR="00A55978" w:rsidRPr="007A7094">
        <w:rPr>
          <w:rFonts w:asciiTheme="minorHAnsi" w:hAnsiTheme="minorHAnsi"/>
          <w:sz w:val="22"/>
          <w:szCs w:val="22"/>
        </w:rPr>
        <w:t xml:space="preserve"> DAAs s</w:t>
      </w:r>
      <w:r w:rsidR="00715353" w:rsidRPr="007A7094">
        <w:rPr>
          <w:rFonts w:asciiTheme="minorHAnsi" w:hAnsiTheme="minorHAnsi"/>
          <w:sz w:val="22"/>
          <w:szCs w:val="22"/>
        </w:rPr>
        <w:t>o</w:t>
      </w:r>
      <w:r w:rsidR="00A55978" w:rsidRPr="007A7094">
        <w:rPr>
          <w:rFonts w:asciiTheme="minorHAnsi" w:hAnsiTheme="minorHAnsi"/>
          <w:sz w:val="22"/>
          <w:szCs w:val="22"/>
        </w:rPr>
        <w:t xml:space="preserve"> far –</w:t>
      </w:r>
      <w:r w:rsidR="00EB621F" w:rsidRPr="007A7094">
        <w:rPr>
          <w:rFonts w:asciiTheme="minorHAnsi" w:hAnsiTheme="minorHAnsi"/>
          <w:sz w:val="22"/>
          <w:szCs w:val="22"/>
        </w:rPr>
        <w:t xml:space="preserve"> </w:t>
      </w:r>
      <w:r w:rsidR="0045214E" w:rsidRPr="007A7094">
        <w:rPr>
          <w:rFonts w:asciiTheme="minorHAnsi" w:hAnsiTheme="minorHAnsi"/>
          <w:sz w:val="22"/>
          <w:szCs w:val="22"/>
        </w:rPr>
        <w:t>we entertain the possibility that our common</w:t>
      </w:r>
      <w:r w:rsidR="00EB621F" w:rsidRPr="007A7094">
        <w:rPr>
          <w:rFonts w:asciiTheme="minorHAnsi" w:hAnsiTheme="minorHAnsi"/>
          <w:sz w:val="22"/>
          <w:szCs w:val="22"/>
        </w:rPr>
        <w:t>-</w:t>
      </w:r>
      <w:r w:rsidR="0045214E" w:rsidRPr="007A7094">
        <w:rPr>
          <w:rFonts w:asciiTheme="minorHAnsi" w:hAnsiTheme="minorHAnsi"/>
          <w:sz w:val="22"/>
          <w:szCs w:val="22"/>
        </w:rPr>
        <w:t>sense of science, our received wisdom of knowing,</w:t>
      </w:r>
      <w:r w:rsidR="00715353" w:rsidRPr="007A7094">
        <w:rPr>
          <w:rFonts w:asciiTheme="minorHAnsi" w:hAnsiTheme="minorHAnsi"/>
          <w:sz w:val="22"/>
          <w:szCs w:val="22"/>
        </w:rPr>
        <w:t xml:space="preserve"> may </w:t>
      </w:r>
      <w:r w:rsidR="009262F1" w:rsidRPr="007A7094">
        <w:rPr>
          <w:rFonts w:asciiTheme="minorHAnsi" w:hAnsiTheme="minorHAnsi"/>
          <w:sz w:val="22"/>
          <w:szCs w:val="22"/>
        </w:rPr>
        <w:t>limit</w:t>
      </w:r>
      <w:r w:rsidR="00715353" w:rsidRPr="007A7094">
        <w:rPr>
          <w:rFonts w:asciiTheme="minorHAnsi" w:hAnsiTheme="minorHAnsi"/>
          <w:sz w:val="22"/>
          <w:szCs w:val="22"/>
        </w:rPr>
        <w:t xml:space="preserve"> </w:t>
      </w:r>
      <w:r w:rsidR="009262F1" w:rsidRPr="007A7094">
        <w:rPr>
          <w:rFonts w:asciiTheme="minorHAnsi" w:hAnsiTheme="minorHAnsi"/>
          <w:sz w:val="22"/>
          <w:szCs w:val="22"/>
        </w:rPr>
        <w:t xml:space="preserve">potential </w:t>
      </w:r>
      <w:r w:rsidR="006F10C5" w:rsidRPr="007A7094">
        <w:rPr>
          <w:rFonts w:asciiTheme="minorHAnsi" w:hAnsiTheme="minorHAnsi"/>
          <w:sz w:val="22"/>
          <w:szCs w:val="22"/>
        </w:rPr>
        <w:t>for treating</w:t>
      </w:r>
      <w:r w:rsidR="0045214E" w:rsidRPr="007A7094">
        <w:rPr>
          <w:rFonts w:asciiTheme="minorHAnsi" w:hAnsiTheme="minorHAnsi"/>
          <w:sz w:val="22"/>
          <w:szCs w:val="22"/>
        </w:rPr>
        <w:t xml:space="preserve"> objects differently. </w:t>
      </w:r>
      <w:r w:rsidR="004B375D" w:rsidRPr="007A7094">
        <w:rPr>
          <w:rFonts w:asciiTheme="minorHAnsi" w:hAnsiTheme="minorHAnsi"/>
          <w:sz w:val="22"/>
          <w:szCs w:val="22"/>
        </w:rPr>
        <w:t>We move from assumed-to-be stable intervention objects of evidence-based universal effect potential to</w:t>
      </w:r>
      <w:r w:rsidR="00982BB6" w:rsidRPr="007A7094">
        <w:rPr>
          <w:rFonts w:asciiTheme="minorHAnsi" w:hAnsiTheme="minorHAnsi"/>
          <w:sz w:val="22"/>
          <w:szCs w:val="22"/>
        </w:rPr>
        <w:t xml:space="preserve"> fluid intervention objects with multiple emergent effects (De Laet and Mol, 2000; Mol, 2002). </w:t>
      </w:r>
      <w:r w:rsidR="004B375D" w:rsidRPr="007A7094">
        <w:rPr>
          <w:rFonts w:asciiTheme="minorHAnsi" w:hAnsiTheme="minorHAnsi"/>
          <w:sz w:val="22"/>
          <w:szCs w:val="22"/>
        </w:rPr>
        <w:t xml:space="preserve">  </w:t>
      </w:r>
    </w:p>
    <w:p w14:paraId="5BDC1782" w14:textId="77777777" w:rsidR="00715353" w:rsidRPr="007A7094" w:rsidRDefault="00715353" w:rsidP="00722632">
      <w:pPr>
        <w:pStyle w:val="Standard"/>
        <w:spacing w:line="480" w:lineRule="auto"/>
        <w:jc w:val="both"/>
        <w:rPr>
          <w:rFonts w:asciiTheme="minorHAnsi" w:hAnsiTheme="minorHAnsi"/>
          <w:sz w:val="22"/>
          <w:szCs w:val="22"/>
        </w:rPr>
      </w:pPr>
    </w:p>
    <w:p w14:paraId="7E584CB6" w14:textId="0BEF87C5" w:rsidR="00EF46E5" w:rsidRPr="007A7094" w:rsidRDefault="00EF46E5" w:rsidP="00722632">
      <w:pPr>
        <w:pStyle w:val="Standard"/>
        <w:spacing w:line="480" w:lineRule="auto"/>
        <w:jc w:val="both"/>
        <w:rPr>
          <w:rFonts w:asciiTheme="minorHAnsi" w:hAnsiTheme="minorHAnsi"/>
          <w:i/>
        </w:rPr>
      </w:pPr>
      <w:r w:rsidRPr="007A7094">
        <w:rPr>
          <w:rFonts w:asciiTheme="minorHAnsi" w:hAnsiTheme="minorHAnsi"/>
          <w:i/>
        </w:rPr>
        <w:t>Fluid interventions</w:t>
      </w:r>
    </w:p>
    <w:p w14:paraId="0E7BB36C" w14:textId="244B5481" w:rsidR="00146093" w:rsidRPr="007A7094" w:rsidRDefault="009247E4" w:rsidP="00722632">
      <w:pPr>
        <w:pStyle w:val="Standard"/>
        <w:spacing w:line="480" w:lineRule="auto"/>
        <w:jc w:val="both"/>
        <w:rPr>
          <w:rFonts w:asciiTheme="minorHAnsi" w:hAnsiTheme="minorHAnsi"/>
          <w:sz w:val="22"/>
          <w:szCs w:val="22"/>
        </w:rPr>
      </w:pPr>
      <w:r w:rsidRPr="007A7094">
        <w:rPr>
          <w:rFonts w:asciiTheme="minorHAnsi" w:hAnsiTheme="minorHAnsi"/>
          <w:sz w:val="22"/>
          <w:szCs w:val="22"/>
        </w:rPr>
        <w:t xml:space="preserve">The object of hepatitis C cure </w:t>
      </w:r>
      <w:r w:rsidR="001D00C3" w:rsidRPr="007A7094">
        <w:rPr>
          <w:rFonts w:asciiTheme="minorHAnsi" w:hAnsiTheme="minorHAnsi"/>
          <w:sz w:val="22"/>
          <w:szCs w:val="22"/>
        </w:rPr>
        <w:t xml:space="preserve">is made </w:t>
      </w:r>
      <w:r w:rsidRPr="007A7094">
        <w:rPr>
          <w:rFonts w:asciiTheme="minorHAnsi" w:hAnsiTheme="minorHAnsi"/>
          <w:sz w:val="22"/>
          <w:szCs w:val="22"/>
        </w:rPr>
        <w:t xml:space="preserve">noticeably fluid by its evidence controversies prompted by the Cochrane review. </w:t>
      </w:r>
      <w:r w:rsidR="000F4D7D" w:rsidRPr="007A7094">
        <w:rPr>
          <w:rFonts w:asciiTheme="minorHAnsi" w:hAnsiTheme="minorHAnsi"/>
          <w:sz w:val="22"/>
          <w:szCs w:val="22"/>
        </w:rPr>
        <w:t>C</w:t>
      </w:r>
      <w:r w:rsidR="008F4618" w:rsidRPr="007A7094">
        <w:rPr>
          <w:rFonts w:asciiTheme="minorHAnsi" w:hAnsiTheme="minorHAnsi"/>
          <w:sz w:val="22"/>
          <w:szCs w:val="22"/>
        </w:rPr>
        <w:t xml:space="preserve">ontroversy </w:t>
      </w:r>
      <w:r w:rsidR="000F4D7D" w:rsidRPr="007A7094">
        <w:rPr>
          <w:rFonts w:asciiTheme="minorHAnsi" w:hAnsiTheme="minorHAnsi"/>
          <w:sz w:val="22"/>
          <w:szCs w:val="22"/>
        </w:rPr>
        <w:t>makes the</w:t>
      </w:r>
      <w:r w:rsidR="008F4618" w:rsidRPr="007A7094">
        <w:rPr>
          <w:rFonts w:asciiTheme="minorHAnsi" w:hAnsiTheme="minorHAnsi"/>
          <w:sz w:val="22"/>
          <w:szCs w:val="22"/>
        </w:rPr>
        <w:t xml:space="preserve"> </w:t>
      </w:r>
      <w:r w:rsidR="00571446" w:rsidRPr="007A7094">
        <w:rPr>
          <w:rFonts w:asciiTheme="minorHAnsi" w:hAnsiTheme="minorHAnsi"/>
          <w:sz w:val="22"/>
          <w:szCs w:val="22"/>
        </w:rPr>
        <w:t>network</w:t>
      </w:r>
      <w:r w:rsidR="00A16EB1" w:rsidRPr="007A7094">
        <w:rPr>
          <w:rFonts w:asciiTheme="minorHAnsi" w:hAnsiTheme="minorHAnsi"/>
          <w:sz w:val="22"/>
          <w:szCs w:val="22"/>
        </w:rPr>
        <w:t>s producing knowledge</w:t>
      </w:r>
      <w:r w:rsidR="001D00C3" w:rsidRPr="007A7094">
        <w:rPr>
          <w:rFonts w:asciiTheme="minorHAnsi" w:hAnsiTheme="minorHAnsi"/>
          <w:sz w:val="22"/>
          <w:szCs w:val="22"/>
        </w:rPr>
        <w:t xml:space="preserve"> of treatment effects</w:t>
      </w:r>
      <w:r w:rsidR="00A16EB1" w:rsidRPr="007A7094">
        <w:rPr>
          <w:rFonts w:asciiTheme="minorHAnsi" w:hAnsiTheme="minorHAnsi"/>
          <w:sz w:val="22"/>
          <w:szCs w:val="22"/>
        </w:rPr>
        <w:t xml:space="preserve"> </w:t>
      </w:r>
      <w:r w:rsidR="008F4618" w:rsidRPr="007A7094">
        <w:rPr>
          <w:rFonts w:asciiTheme="minorHAnsi" w:hAnsiTheme="minorHAnsi"/>
          <w:sz w:val="22"/>
          <w:szCs w:val="22"/>
        </w:rPr>
        <w:t>more open to</w:t>
      </w:r>
      <w:r w:rsidR="00571446" w:rsidRPr="007A7094">
        <w:rPr>
          <w:rFonts w:asciiTheme="minorHAnsi" w:hAnsiTheme="minorHAnsi"/>
          <w:sz w:val="22"/>
          <w:szCs w:val="22"/>
        </w:rPr>
        <w:t xml:space="preserve"> friction </w:t>
      </w:r>
      <w:r w:rsidR="00EB621F" w:rsidRPr="007A7094">
        <w:rPr>
          <w:rFonts w:asciiTheme="minorHAnsi" w:hAnsiTheme="minorHAnsi"/>
          <w:sz w:val="22"/>
          <w:szCs w:val="22"/>
        </w:rPr>
        <w:t>and to</w:t>
      </w:r>
      <w:r w:rsidR="00571446" w:rsidRPr="007A7094">
        <w:rPr>
          <w:rFonts w:asciiTheme="minorHAnsi" w:hAnsiTheme="minorHAnsi"/>
          <w:sz w:val="22"/>
          <w:szCs w:val="22"/>
        </w:rPr>
        <w:t xml:space="preserve"> changes of </w:t>
      </w:r>
      <w:r w:rsidR="008F4618" w:rsidRPr="007A7094">
        <w:rPr>
          <w:rFonts w:asciiTheme="minorHAnsi" w:hAnsiTheme="minorHAnsi"/>
          <w:sz w:val="22"/>
          <w:szCs w:val="22"/>
        </w:rPr>
        <w:t>flow</w:t>
      </w:r>
      <w:r w:rsidR="008C6A91" w:rsidRPr="007A7094">
        <w:rPr>
          <w:rFonts w:asciiTheme="minorHAnsi" w:hAnsiTheme="minorHAnsi"/>
          <w:sz w:val="22"/>
          <w:szCs w:val="22"/>
        </w:rPr>
        <w:t xml:space="preserve"> (Stengers, 2005</w:t>
      </w:r>
      <w:r w:rsidR="00D47722" w:rsidRPr="007A7094">
        <w:rPr>
          <w:rFonts w:asciiTheme="minorHAnsi" w:hAnsiTheme="minorHAnsi"/>
          <w:sz w:val="22"/>
          <w:szCs w:val="22"/>
        </w:rPr>
        <w:t>; Whatmore, 2009</w:t>
      </w:r>
      <w:r w:rsidR="008C6A91" w:rsidRPr="007A7094">
        <w:rPr>
          <w:rFonts w:asciiTheme="minorHAnsi" w:hAnsiTheme="minorHAnsi"/>
          <w:sz w:val="22"/>
          <w:szCs w:val="22"/>
        </w:rPr>
        <w:t>)</w:t>
      </w:r>
      <w:r w:rsidR="008F4618" w:rsidRPr="007A7094">
        <w:rPr>
          <w:rFonts w:asciiTheme="minorHAnsi" w:hAnsiTheme="minorHAnsi"/>
          <w:sz w:val="22"/>
          <w:szCs w:val="22"/>
        </w:rPr>
        <w:t>.</w:t>
      </w:r>
      <w:r w:rsidR="001D00C3" w:rsidRPr="007A7094">
        <w:rPr>
          <w:rFonts w:asciiTheme="minorHAnsi" w:hAnsiTheme="minorHAnsi"/>
          <w:sz w:val="22"/>
          <w:szCs w:val="22"/>
        </w:rPr>
        <w:t xml:space="preserve"> </w:t>
      </w:r>
      <w:r w:rsidR="00EC62AF" w:rsidRPr="007A7094">
        <w:rPr>
          <w:rFonts w:asciiTheme="minorHAnsi" w:hAnsiTheme="minorHAnsi"/>
          <w:sz w:val="22"/>
          <w:szCs w:val="22"/>
        </w:rPr>
        <w:t xml:space="preserve">As we have </w:t>
      </w:r>
      <w:r w:rsidR="00D47722" w:rsidRPr="007A7094">
        <w:rPr>
          <w:rFonts w:asciiTheme="minorHAnsi" w:hAnsiTheme="minorHAnsi"/>
          <w:sz w:val="22"/>
          <w:szCs w:val="22"/>
        </w:rPr>
        <w:t>seen in the knowledge debates</w:t>
      </w:r>
      <w:r w:rsidR="00146093" w:rsidRPr="007A7094">
        <w:rPr>
          <w:rFonts w:asciiTheme="minorHAnsi" w:hAnsiTheme="minorHAnsi"/>
          <w:sz w:val="22"/>
          <w:szCs w:val="22"/>
        </w:rPr>
        <w:t xml:space="preserve"> </w:t>
      </w:r>
      <w:r w:rsidR="00D47722" w:rsidRPr="007A7094">
        <w:rPr>
          <w:rFonts w:asciiTheme="minorHAnsi" w:hAnsiTheme="minorHAnsi"/>
          <w:sz w:val="22"/>
          <w:szCs w:val="22"/>
        </w:rPr>
        <w:t>surrounding the Cochrane review</w:t>
      </w:r>
      <w:r w:rsidR="00EC62AF" w:rsidRPr="007A7094">
        <w:rPr>
          <w:rFonts w:asciiTheme="minorHAnsi" w:hAnsiTheme="minorHAnsi"/>
          <w:sz w:val="22"/>
          <w:szCs w:val="22"/>
        </w:rPr>
        <w:t>,</w:t>
      </w:r>
      <w:r w:rsidR="001E64EB" w:rsidRPr="007A7094">
        <w:rPr>
          <w:rFonts w:asciiTheme="minorHAnsi" w:hAnsiTheme="minorHAnsi"/>
          <w:sz w:val="22"/>
          <w:szCs w:val="22"/>
        </w:rPr>
        <w:t xml:space="preserve"> t</w:t>
      </w:r>
      <w:r w:rsidR="00571446" w:rsidRPr="007A7094">
        <w:rPr>
          <w:rFonts w:asciiTheme="minorHAnsi" w:hAnsiTheme="minorHAnsi"/>
          <w:sz w:val="22"/>
          <w:szCs w:val="22"/>
        </w:rPr>
        <w:t xml:space="preserve">here are </w:t>
      </w:r>
      <w:r w:rsidR="00D47722" w:rsidRPr="007A7094">
        <w:rPr>
          <w:rFonts w:asciiTheme="minorHAnsi" w:hAnsiTheme="minorHAnsi"/>
          <w:sz w:val="22"/>
          <w:szCs w:val="22"/>
        </w:rPr>
        <w:t>frictions</w:t>
      </w:r>
      <w:r w:rsidR="001E64EB" w:rsidRPr="007A7094">
        <w:rPr>
          <w:rFonts w:asciiTheme="minorHAnsi" w:hAnsiTheme="minorHAnsi"/>
          <w:sz w:val="22"/>
          <w:szCs w:val="22"/>
        </w:rPr>
        <w:t xml:space="preserve"> </w:t>
      </w:r>
      <w:r w:rsidR="00D47722" w:rsidRPr="007A7094">
        <w:rPr>
          <w:rFonts w:asciiTheme="minorHAnsi" w:hAnsiTheme="minorHAnsi"/>
          <w:sz w:val="22"/>
          <w:szCs w:val="22"/>
        </w:rPr>
        <w:t>generated</w:t>
      </w:r>
      <w:r w:rsidR="001E64EB" w:rsidRPr="007A7094">
        <w:rPr>
          <w:rFonts w:asciiTheme="minorHAnsi" w:hAnsiTheme="minorHAnsi"/>
          <w:sz w:val="22"/>
          <w:szCs w:val="22"/>
        </w:rPr>
        <w:t xml:space="preserve"> </w:t>
      </w:r>
      <w:r w:rsidR="00571446" w:rsidRPr="007A7094">
        <w:rPr>
          <w:rFonts w:asciiTheme="minorHAnsi" w:hAnsiTheme="minorHAnsi"/>
          <w:sz w:val="22"/>
          <w:szCs w:val="22"/>
        </w:rPr>
        <w:t xml:space="preserve">between </w:t>
      </w:r>
      <w:r w:rsidR="00146093" w:rsidRPr="007A7094">
        <w:rPr>
          <w:rFonts w:asciiTheme="minorHAnsi" w:hAnsiTheme="minorHAnsi"/>
          <w:sz w:val="22"/>
          <w:szCs w:val="22"/>
        </w:rPr>
        <w:t xml:space="preserve">the </w:t>
      </w:r>
      <w:r w:rsidR="008F4618" w:rsidRPr="007A7094">
        <w:rPr>
          <w:rFonts w:asciiTheme="minorHAnsi" w:hAnsiTheme="minorHAnsi"/>
          <w:sz w:val="22"/>
          <w:szCs w:val="22"/>
        </w:rPr>
        <w:t xml:space="preserve">expertise </w:t>
      </w:r>
      <w:r w:rsidR="00146093" w:rsidRPr="007A7094">
        <w:rPr>
          <w:rFonts w:asciiTheme="minorHAnsi" w:hAnsiTheme="minorHAnsi"/>
          <w:sz w:val="22"/>
          <w:szCs w:val="22"/>
        </w:rPr>
        <w:t xml:space="preserve">of clinicians, hepatologists, and infectious disease </w:t>
      </w:r>
      <w:r w:rsidR="008F4618" w:rsidRPr="007A7094">
        <w:rPr>
          <w:rFonts w:asciiTheme="minorHAnsi" w:hAnsiTheme="minorHAnsi"/>
          <w:sz w:val="22"/>
          <w:szCs w:val="22"/>
        </w:rPr>
        <w:t>specialist</w:t>
      </w:r>
      <w:r w:rsidR="00146093" w:rsidRPr="007A7094">
        <w:rPr>
          <w:rFonts w:asciiTheme="minorHAnsi" w:hAnsiTheme="minorHAnsi"/>
          <w:sz w:val="22"/>
          <w:szCs w:val="22"/>
        </w:rPr>
        <w:t>s, also</w:t>
      </w:r>
      <w:r w:rsidR="008F4618" w:rsidRPr="007A7094">
        <w:rPr>
          <w:rFonts w:asciiTheme="minorHAnsi" w:hAnsiTheme="minorHAnsi"/>
          <w:sz w:val="22"/>
          <w:szCs w:val="22"/>
        </w:rPr>
        <w:t xml:space="preserve"> </w:t>
      </w:r>
      <w:r w:rsidR="00D47722" w:rsidRPr="007A7094">
        <w:rPr>
          <w:rFonts w:asciiTheme="minorHAnsi" w:hAnsiTheme="minorHAnsi"/>
          <w:sz w:val="22"/>
          <w:szCs w:val="22"/>
        </w:rPr>
        <w:t xml:space="preserve">pitched against </w:t>
      </w:r>
      <w:r w:rsidR="008F4618" w:rsidRPr="007A7094">
        <w:rPr>
          <w:rFonts w:asciiTheme="minorHAnsi" w:hAnsiTheme="minorHAnsi"/>
          <w:sz w:val="22"/>
          <w:szCs w:val="22"/>
        </w:rPr>
        <w:t>generalist expertise</w:t>
      </w:r>
      <w:r w:rsidR="00571446" w:rsidRPr="007A7094">
        <w:rPr>
          <w:rFonts w:asciiTheme="minorHAnsi" w:hAnsiTheme="minorHAnsi"/>
          <w:sz w:val="22"/>
          <w:szCs w:val="22"/>
        </w:rPr>
        <w:t xml:space="preserve"> </w:t>
      </w:r>
      <w:r w:rsidR="00D47722" w:rsidRPr="007A7094">
        <w:rPr>
          <w:rFonts w:asciiTheme="minorHAnsi" w:hAnsiTheme="minorHAnsi"/>
          <w:sz w:val="22"/>
          <w:szCs w:val="22"/>
        </w:rPr>
        <w:t>(See also Rhodes et al., 2019)</w:t>
      </w:r>
      <w:r w:rsidR="008F4618" w:rsidRPr="007A7094">
        <w:rPr>
          <w:rFonts w:asciiTheme="minorHAnsi" w:hAnsiTheme="minorHAnsi"/>
          <w:sz w:val="22"/>
          <w:szCs w:val="22"/>
        </w:rPr>
        <w:t xml:space="preserve">. </w:t>
      </w:r>
      <w:r w:rsidR="006A61E1" w:rsidRPr="007A7094">
        <w:rPr>
          <w:rFonts w:asciiTheme="minorHAnsi" w:hAnsiTheme="minorHAnsi"/>
          <w:sz w:val="22"/>
          <w:szCs w:val="22"/>
        </w:rPr>
        <w:t xml:space="preserve">We </w:t>
      </w:r>
      <w:r w:rsidR="00EC62AF" w:rsidRPr="007A7094">
        <w:rPr>
          <w:rFonts w:asciiTheme="minorHAnsi" w:hAnsiTheme="minorHAnsi"/>
          <w:sz w:val="22"/>
          <w:szCs w:val="22"/>
        </w:rPr>
        <w:t>therefore propose</w:t>
      </w:r>
      <w:r w:rsidR="006A61E1" w:rsidRPr="007A7094">
        <w:rPr>
          <w:rFonts w:asciiTheme="minorHAnsi" w:hAnsiTheme="minorHAnsi"/>
          <w:sz w:val="22"/>
          <w:szCs w:val="22"/>
        </w:rPr>
        <w:t xml:space="preserve"> hepatitis C cure as an object which is both ‘becoming’ (in-the-making) and ‘fluid’ (open to transformations). </w:t>
      </w:r>
      <w:r w:rsidR="000F4D7D" w:rsidRPr="007A7094">
        <w:rPr>
          <w:rFonts w:asciiTheme="minorHAnsi" w:hAnsiTheme="minorHAnsi"/>
          <w:sz w:val="22"/>
          <w:szCs w:val="22"/>
        </w:rPr>
        <w:t>The</w:t>
      </w:r>
      <w:r w:rsidR="006A61E1" w:rsidRPr="007A7094">
        <w:rPr>
          <w:rFonts w:asciiTheme="minorHAnsi" w:hAnsiTheme="minorHAnsi"/>
          <w:sz w:val="22"/>
          <w:szCs w:val="22"/>
        </w:rPr>
        <w:t xml:space="preserve"> controversy</w:t>
      </w:r>
      <w:r w:rsidR="00EC62AF" w:rsidRPr="007A7094">
        <w:rPr>
          <w:rFonts w:asciiTheme="minorHAnsi" w:hAnsiTheme="minorHAnsi"/>
          <w:sz w:val="22"/>
          <w:szCs w:val="22"/>
        </w:rPr>
        <w:t xml:space="preserve"> </w:t>
      </w:r>
      <w:r w:rsidR="000F4D7D" w:rsidRPr="007A7094">
        <w:rPr>
          <w:rFonts w:asciiTheme="minorHAnsi" w:hAnsiTheme="minorHAnsi"/>
          <w:sz w:val="22"/>
          <w:szCs w:val="22"/>
        </w:rPr>
        <w:t>evidencing hepatitis C cure offers a</w:t>
      </w:r>
      <w:r w:rsidR="00EC62AF" w:rsidRPr="007A7094">
        <w:rPr>
          <w:rFonts w:asciiTheme="minorHAnsi" w:hAnsiTheme="minorHAnsi"/>
          <w:sz w:val="22"/>
          <w:szCs w:val="22"/>
        </w:rPr>
        <w:t xml:space="preserve"> resource </w:t>
      </w:r>
      <w:r w:rsidR="000F4D7D" w:rsidRPr="007A7094">
        <w:rPr>
          <w:rFonts w:asciiTheme="minorHAnsi" w:hAnsiTheme="minorHAnsi"/>
          <w:sz w:val="22"/>
          <w:szCs w:val="22"/>
        </w:rPr>
        <w:t xml:space="preserve">for making </w:t>
      </w:r>
      <w:r w:rsidR="006A61E1" w:rsidRPr="007A7094">
        <w:rPr>
          <w:rFonts w:asciiTheme="minorHAnsi" w:hAnsiTheme="minorHAnsi"/>
          <w:sz w:val="22"/>
          <w:szCs w:val="22"/>
        </w:rPr>
        <w:t xml:space="preserve">visible that there </w:t>
      </w:r>
      <w:r w:rsidR="00E17ED3" w:rsidRPr="007A7094">
        <w:rPr>
          <w:rFonts w:asciiTheme="minorHAnsi" w:hAnsiTheme="minorHAnsi"/>
          <w:sz w:val="22"/>
          <w:szCs w:val="22"/>
        </w:rPr>
        <w:t>is no single way of knowing cure</w:t>
      </w:r>
      <w:r w:rsidR="006A61E1" w:rsidRPr="007A7094">
        <w:rPr>
          <w:rFonts w:asciiTheme="minorHAnsi" w:hAnsiTheme="minorHAnsi"/>
          <w:sz w:val="22"/>
          <w:szCs w:val="22"/>
        </w:rPr>
        <w:t xml:space="preserve"> (despite such </w:t>
      </w:r>
      <w:r w:rsidR="00146093" w:rsidRPr="007A7094">
        <w:rPr>
          <w:rFonts w:asciiTheme="minorHAnsi" w:hAnsiTheme="minorHAnsi"/>
          <w:sz w:val="22"/>
          <w:szCs w:val="22"/>
        </w:rPr>
        <w:t xml:space="preserve">rhetorical </w:t>
      </w:r>
      <w:r w:rsidR="006A61E1" w:rsidRPr="007A7094">
        <w:rPr>
          <w:rFonts w:asciiTheme="minorHAnsi" w:hAnsiTheme="minorHAnsi"/>
          <w:sz w:val="22"/>
          <w:szCs w:val="22"/>
        </w:rPr>
        <w:t xml:space="preserve">claims </w:t>
      </w:r>
      <w:r w:rsidR="00146093" w:rsidRPr="007A7094">
        <w:rPr>
          <w:rFonts w:asciiTheme="minorHAnsi" w:hAnsiTheme="minorHAnsi"/>
          <w:sz w:val="22"/>
          <w:szCs w:val="22"/>
        </w:rPr>
        <w:t xml:space="preserve">being </w:t>
      </w:r>
      <w:r w:rsidR="006A61E1" w:rsidRPr="007A7094">
        <w:rPr>
          <w:rFonts w:asciiTheme="minorHAnsi" w:hAnsiTheme="minorHAnsi"/>
          <w:sz w:val="22"/>
          <w:szCs w:val="22"/>
        </w:rPr>
        <w:t xml:space="preserve">made in the name of </w:t>
      </w:r>
      <w:r w:rsidR="00EC62AF" w:rsidRPr="007A7094">
        <w:rPr>
          <w:rFonts w:asciiTheme="minorHAnsi" w:hAnsiTheme="minorHAnsi"/>
          <w:sz w:val="22"/>
          <w:szCs w:val="22"/>
        </w:rPr>
        <w:t>EBM</w:t>
      </w:r>
      <w:r w:rsidR="006A61E1" w:rsidRPr="007A7094">
        <w:rPr>
          <w:rFonts w:asciiTheme="minorHAnsi" w:hAnsiTheme="minorHAnsi"/>
          <w:sz w:val="22"/>
          <w:szCs w:val="22"/>
        </w:rPr>
        <w:t xml:space="preserve">), and </w:t>
      </w:r>
      <w:r w:rsidR="00EC62AF" w:rsidRPr="007A7094">
        <w:rPr>
          <w:rFonts w:asciiTheme="minorHAnsi" w:hAnsiTheme="minorHAnsi"/>
          <w:sz w:val="22"/>
          <w:szCs w:val="22"/>
        </w:rPr>
        <w:t>th</w:t>
      </w:r>
      <w:r w:rsidR="00A16EB1" w:rsidRPr="007A7094">
        <w:rPr>
          <w:rFonts w:asciiTheme="minorHAnsi" w:hAnsiTheme="minorHAnsi"/>
          <w:sz w:val="22"/>
          <w:szCs w:val="22"/>
        </w:rPr>
        <w:t xml:space="preserve">us </w:t>
      </w:r>
      <w:r w:rsidR="006A61E1" w:rsidRPr="007A7094">
        <w:rPr>
          <w:rFonts w:asciiTheme="minorHAnsi" w:hAnsiTheme="minorHAnsi"/>
          <w:sz w:val="22"/>
          <w:szCs w:val="22"/>
        </w:rPr>
        <w:t>no singular</w:t>
      </w:r>
      <w:r w:rsidR="00982BB6" w:rsidRPr="007A7094">
        <w:rPr>
          <w:rFonts w:asciiTheme="minorHAnsi" w:hAnsiTheme="minorHAnsi"/>
          <w:sz w:val="22"/>
          <w:szCs w:val="22"/>
        </w:rPr>
        <w:t>ity</w:t>
      </w:r>
      <w:r w:rsidR="00A16EB1" w:rsidRPr="007A7094">
        <w:rPr>
          <w:rFonts w:asciiTheme="minorHAnsi" w:hAnsiTheme="minorHAnsi"/>
          <w:sz w:val="22"/>
          <w:szCs w:val="22"/>
        </w:rPr>
        <w:t xml:space="preserve"> of </w:t>
      </w:r>
      <w:r w:rsidR="006A61E1" w:rsidRPr="007A7094">
        <w:rPr>
          <w:rFonts w:asciiTheme="minorHAnsi" w:hAnsiTheme="minorHAnsi"/>
          <w:sz w:val="22"/>
          <w:szCs w:val="22"/>
        </w:rPr>
        <w:t xml:space="preserve">cure (despite </w:t>
      </w:r>
      <w:r w:rsidR="00481674" w:rsidRPr="007A7094">
        <w:rPr>
          <w:rFonts w:asciiTheme="minorHAnsi" w:hAnsiTheme="minorHAnsi"/>
          <w:sz w:val="22"/>
          <w:szCs w:val="22"/>
        </w:rPr>
        <w:t xml:space="preserve">cure </w:t>
      </w:r>
      <w:r w:rsidR="00EC62AF" w:rsidRPr="007A7094">
        <w:rPr>
          <w:rFonts w:asciiTheme="minorHAnsi" w:hAnsiTheme="minorHAnsi"/>
          <w:sz w:val="22"/>
          <w:szCs w:val="22"/>
        </w:rPr>
        <w:t>being</w:t>
      </w:r>
      <w:r w:rsidR="006A61E1" w:rsidRPr="007A7094">
        <w:rPr>
          <w:rFonts w:asciiTheme="minorHAnsi" w:hAnsiTheme="minorHAnsi"/>
          <w:sz w:val="22"/>
          <w:szCs w:val="22"/>
        </w:rPr>
        <w:t xml:space="preserve"> </w:t>
      </w:r>
      <w:r w:rsidR="00481674" w:rsidRPr="007A7094">
        <w:rPr>
          <w:rFonts w:asciiTheme="minorHAnsi" w:hAnsiTheme="minorHAnsi"/>
          <w:sz w:val="22"/>
          <w:szCs w:val="22"/>
        </w:rPr>
        <w:t>performed in this way</w:t>
      </w:r>
      <w:r w:rsidR="006A61E1" w:rsidRPr="007A7094">
        <w:rPr>
          <w:rFonts w:asciiTheme="minorHAnsi" w:hAnsiTheme="minorHAnsi"/>
          <w:sz w:val="22"/>
          <w:szCs w:val="22"/>
        </w:rPr>
        <w:t>)</w:t>
      </w:r>
      <w:r w:rsidR="00E17ED3" w:rsidRPr="007A7094">
        <w:rPr>
          <w:rFonts w:asciiTheme="minorHAnsi" w:hAnsiTheme="minorHAnsi"/>
          <w:sz w:val="22"/>
          <w:szCs w:val="22"/>
        </w:rPr>
        <w:t xml:space="preserve">. </w:t>
      </w:r>
      <w:r w:rsidR="006A61E1" w:rsidRPr="007A7094">
        <w:rPr>
          <w:rFonts w:asciiTheme="minorHAnsi" w:hAnsiTheme="minorHAnsi"/>
          <w:sz w:val="22"/>
          <w:szCs w:val="22"/>
        </w:rPr>
        <w:t xml:space="preserve"> </w:t>
      </w:r>
    </w:p>
    <w:p w14:paraId="66CD37A8" w14:textId="7438A0C5" w:rsidR="00146093" w:rsidRPr="007A7094" w:rsidRDefault="00146093" w:rsidP="00722632">
      <w:pPr>
        <w:pStyle w:val="Standard"/>
        <w:spacing w:line="480" w:lineRule="auto"/>
        <w:jc w:val="both"/>
        <w:rPr>
          <w:rFonts w:asciiTheme="minorHAnsi" w:hAnsiTheme="minorHAnsi"/>
          <w:sz w:val="22"/>
          <w:szCs w:val="22"/>
        </w:rPr>
      </w:pPr>
    </w:p>
    <w:p w14:paraId="46C8E9E4" w14:textId="46785B87" w:rsidR="00B71A02" w:rsidRPr="007A7094" w:rsidRDefault="00B7538C" w:rsidP="00722632">
      <w:pPr>
        <w:pStyle w:val="Standard"/>
        <w:spacing w:line="480" w:lineRule="auto"/>
        <w:jc w:val="both"/>
        <w:rPr>
          <w:rFonts w:asciiTheme="minorHAnsi" w:hAnsiTheme="minorHAnsi"/>
          <w:sz w:val="22"/>
          <w:szCs w:val="22"/>
        </w:rPr>
      </w:pPr>
      <w:r w:rsidRPr="007A7094">
        <w:rPr>
          <w:rFonts w:asciiTheme="minorHAnsi" w:hAnsiTheme="minorHAnsi"/>
          <w:sz w:val="22"/>
          <w:szCs w:val="22"/>
        </w:rPr>
        <w:t>T</w:t>
      </w:r>
      <w:r w:rsidR="000F4D7D" w:rsidRPr="007A7094">
        <w:rPr>
          <w:rFonts w:asciiTheme="minorHAnsi" w:hAnsiTheme="minorHAnsi"/>
          <w:sz w:val="22"/>
          <w:szCs w:val="22"/>
        </w:rPr>
        <w:t xml:space="preserve">he evidence performances of </w:t>
      </w:r>
      <w:r w:rsidRPr="007A7094">
        <w:rPr>
          <w:rFonts w:asciiTheme="minorHAnsi" w:hAnsiTheme="minorHAnsi"/>
          <w:sz w:val="22"/>
          <w:szCs w:val="22"/>
        </w:rPr>
        <w:t xml:space="preserve">the Cochrane review and its responses </w:t>
      </w:r>
      <w:r w:rsidR="00982BB6" w:rsidRPr="007A7094">
        <w:rPr>
          <w:rFonts w:asciiTheme="minorHAnsi" w:hAnsiTheme="minorHAnsi"/>
          <w:sz w:val="22"/>
          <w:szCs w:val="22"/>
        </w:rPr>
        <w:t>bring into being</w:t>
      </w:r>
      <w:r w:rsidRPr="007A7094">
        <w:rPr>
          <w:rFonts w:asciiTheme="minorHAnsi" w:hAnsiTheme="minorHAnsi"/>
          <w:sz w:val="22"/>
          <w:szCs w:val="22"/>
        </w:rPr>
        <w:t xml:space="preserve"> </w:t>
      </w:r>
      <w:r w:rsidR="001D00C3" w:rsidRPr="007A7094">
        <w:rPr>
          <w:rFonts w:asciiTheme="minorHAnsi" w:hAnsiTheme="minorHAnsi"/>
          <w:sz w:val="22"/>
          <w:szCs w:val="22"/>
        </w:rPr>
        <w:t>varied</w:t>
      </w:r>
      <w:r w:rsidRPr="007A7094">
        <w:rPr>
          <w:rFonts w:asciiTheme="minorHAnsi" w:hAnsiTheme="minorHAnsi"/>
          <w:sz w:val="22"/>
          <w:szCs w:val="22"/>
        </w:rPr>
        <w:t xml:space="preserve"> objects of cure. </w:t>
      </w:r>
      <w:r w:rsidR="00805639" w:rsidRPr="007A7094">
        <w:rPr>
          <w:rFonts w:asciiTheme="minorHAnsi" w:hAnsiTheme="minorHAnsi"/>
          <w:sz w:val="22"/>
          <w:szCs w:val="22"/>
        </w:rPr>
        <w:t xml:space="preserve">First there is SVR. This device performs cure in a particular way. It is used routinely in clinical practice as a surrogate of </w:t>
      </w:r>
      <w:r w:rsidR="00805639" w:rsidRPr="007A7094">
        <w:rPr>
          <w:rFonts w:asciiTheme="minorHAnsi" w:hAnsiTheme="minorHAnsi"/>
          <w:i/>
          <w:sz w:val="22"/>
          <w:szCs w:val="22"/>
        </w:rPr>
        <w:t>viral cure</w:t>
      </w:r>
      <w:r w:rsidR="00805639" w:rsidRPr="007A7094">
        <w:rPr>
          <w:rFonts w:asciiTheme="minorHAnsi" w:hAnsiTheme="minorHAnsi"/>
          <w:sz w:val="22"/>
          <w:szCs w:val="22"/>
        </w:rPr>
        <w:t xml:space="preserve">, also termed </w:t>
      </w:r>
      <w:r w:rsidR="00805639" w:rsidRPr="007A7094">
        <w:rPr>
          <w:rFonts w:asciiTheme="minorHAnsi" w:hAnsiTheme="minorHAnsi"/>
          <w:i/>
          <w:sz w:val="22"/>
          <w:szCs w:val="22"/>
        </w:rPr>
        <w:t>viral eradication</w:t>
      </w:r>
      <w:r w:rsidR="00805639" w:rsidRPr="007A7094">
        <w:rPr>
          <w:rFonts w:asciiTheme="minorHAnsi" w:hAnsiTheme="minorHAnsi"/>
          <w:sz w:val="22"/>
          <w:szCs w:val="22"/>
        </w:rPr>
        <w:t>, evidenced by the absence or near absence of virus in the blood.</w:t>
      </w:r>
      <w:r w:rsidR="00F77A59" w:rsidRPr="007A7094">
        <w:rPr>
          <w:rFonts w:asciiTheme="minorHAnsi" w:hAnsiTheme="minorHAnsi"/>
          <w:sz w:val="22"/>
          <w:szCs w:val="22"/>
        </w:rPr>
        <w:t xml:space="preserve"> </w:t>
      </w:r>
      <w:r w:rsidR="00805639" w:rsidRPr="007A7094">
        <w:rPr>
          <w:rFonts w:asciiTheme="minorHAnsi" w:hAnsiTheme="minorHAnsi"/>
          <w:sz w:val="22"/>
          <w:szCs w:val="22"/>
        </w:rPr>
        <w:t xml:space="preserve">The Cochrane review questions whether this surrogate is necessarily indicative of viral cure, given the presence of </w:t>
      </w:r>
      <w:r w:rsidR="00F77A59" w:rsidRPr="007A7094">
        <w:rPr>
          <w:rFonts w:asciiTheme="minorHAnsi" w:hAnsiTheme="minorHAnsi"/>
          <w:sz w:val="22"/>
          <w:szCs w:val="22"/>
        </w:rPr>
        <w:t>HCV ribonucleic acid (RNA)</w:t>
      </w:r>
      <w:r w:rsidR="00805639" w:rsidRPr="007A7094">
        <w:rPr>
          <w:rFonts w:asciiTheme="minorHAnsi" w:hAnsiTheme="minorHAnsi"/>
          <w:sz w:val="22"/>
          <w:szCs w:val="22"/>
        </w:rPr>
        <w:t xml:space="preserve"> in </w:t>
      </w:r>
      <w:r w:rsidR="00F77A59" w:rsidRPr="007A7094">
        <w:rPr>
          <w:rFonts w:asciiTheme="minorHAnsi" w:hAnsiTheme="minorHAnsi"/>
          <w:sz w:val="22"/>
          <w:szCs w:val="22"/>
        </w:rPr>
        <w:t xml:space="preserve">cells of the </w:t>
      </w:r>
      <w:r w:rsidR="00805639" w:rsidRPr="007A7094">
        <w:rPr>
          <w:rFonts w:asciiTheme="minorHAnsi" w:hAnsiTheme="minorHAnsi"/>
          <w:sz w:val="22"/>
          <w:szCs w:val="22"/>
        </w:rPr>
        <w:t xml:space="preserve">body despite its </w:t>
      </w:r>
      <w:r w:rsidR="00F77A59" w:rsidRPr="007A7094">
        <w:rPr>
          <w:rFonts w:asciiTheme="minorHAnsi" w:hAnsiTheme="minorHAnsi"/>
          <w:sz w:val="22"/>
          <w:szCs w:val="22"/>
        </w:rPr>
        <w:t xml:space="preserve">apparent </w:t>
      </w:r>
      <w:r w:rsidR="00805639" w:rsidRPr="007A7094">
        <w:rPr>
          <w:rFonts w:asciiTheme="minorHAnsi" w:hAnsiTheme="minorHAnsi"/>
          <w:sz w:val="22"/>
          <w:szCs w:val="22"/>
        </w:rPr>
        <w:t>absence in the blood.</w:t>
      </w:r>
      <w:r w:rsidR="00583BDC" w:rsidRPr="007A7094">
        <w:rPr>
          <w:rFonts w:asciiTheme="minorHAnsi" w:hAnsiTheme="minorHAnsi"/>
          <w:sz w:val="22"/>
          <w:szCs w:val="22"/>
        </w:rPr>
        <w:t xml:space="preserve"> It also questions bias linked to observational studies comparing </w:t>
      </w:r>
      <w:r w:rsidR="00583BDC" w:rsidRPr="007A7094">
        <w:rPr>
          <w:rFonts w:asciiTheme="minorHAnsi" w:hAnsiTheme="minorHAnsi"/>
          <w:sz w:val="22"/>
          <w:szCs w:val="22"/>
        </w:rPr>
        <w:lastRenderedPageBreak/>
        <w:t>clinical outcomes between those with SVR and those without, and comparing viral cure evidenced by SVR between those treated and untreated with DAAs. It declares SV</w:t>
      </w:r>
      <w:r w:rsidR="00A16EB1" w:rsidRPr="007A7094">
        <w:rPr>
          <w:rFonts w:asciiTheme="minorHAnsi" w:hAnsiTheme="minorHAnsi"/>
          <w:sz w:val="22"/>
          <w:szCs w:val="22"/>
        </w:rPr>
        <w:t>R</w:t>
      </w:r>
      <w:r w:rsidR="00583BDC" w:rsidRPr="007A7094">
        <w:rPr>
          <w:rFonts w:asciiTheme="minorHAnsi" w:hAnsiTheme="minorHAnsi"/>
          <w:sz w:val="22"/>
          <w:szCs w:val="22"/>
        </w:rPr>
        <w:t xml:space="preserve"> </w:t>
      </w:r>
      <w:r w:rsidR="00F77A59" w:rsidRPr="007A7094">
        <w:rPr>
          <w:rFonts w:asciiTheme="minorHAnsi" w:hAnsiTheme="minorHAnsi"/>
          <w:sz w:val="22"/>
          <w:szCs w:val="22"/>
        </w:rPr>
        <w:t>a</w:t>
      </w:r>
      <w:r w:rsidR="00583BDC" w:rsidRPr="007A7094">
        <w:rPr>
          <w:rFonts w:asciiTheme="minorHAnsi" w:hAnsiTheme="minorHAnsi"/>
          <w:sz w:val="22"/>
          <w:szCs w:val="22"/>
        </w:rPr>
        <w:t xml:space="preserve"> “flawed” surrogate</w:t>
      </w:r>
      <w:r w:rsidR="00146093" w:rsidRPr="007A7094">
        <w:rPr>
          <w:rFonts w:asciiTheme="minorHAnsi" w:hAnsiTheme="minorHAnsi"/>
          <w:sz w:val="22"/>
          <w:szCs w:val="22"/>
        </w:rPr>
        <w:t xml:space="preserve"> (Jakobsen et al., 2018)</w:t>
      </w:r>
      <w:r w:rsidR="00583BDC" w:rsidRPr="007A7094">
        <w:rPr>
          <w:rFonts w:asciiTheme="minorHAnsi" w:hAnsiTheme="minorHAnsi"/>
          <w:sz w:val="22"/>
          <w:szCs w:val="22"/>
        </w:rPr>
        <w:t xml:space="preserve">. </w:t>
      </w:r>
      <w:r w:rsidR="00F77A59" w:rsidRPr="007A7094">
        <w:rPr>
          <w:rFonts w:asciiTheme="minorHAnsi" w:hAnsiTheme="minorHAnsi"/>
          <w:sz w:val="22"/>
          <w:szCs w:val="22"/>
        </w:rPr>
        <w:t xml:space="preserve">This is because of its </w:t>
      </w:r>
      <w:r w:rsidR="00583BDC" w:rsidRPr="007A7094">
        <w:rPr>
          <w:rFonts w:asciiTheme="minorHAnsi" w:hAnsiTheme="minorHAnsi"/>
          <w:sz w:val="22"/>
          <w:szCs w:val="22"/>
        </w:rPr>
        <w:t>lack of validation in relation to long-term clinical benefits</w:t>
      </w:r>
      <w:r w:rsidR="00F77A59" w:rsidRPr="007A7094">
        <w:rPr>
          <w:rFonts w:asciiTheme="minorHAnsi" w:hAnsiTheme="minorHAnsi"/>
          <w:sz w:val="22"/>
          <w:szCs w:val="22"/>
        </w:rPr>
        <w:t>,</w:t>
      </w:r>
      <w:r w:rsidR="00583BDC" w:rsidRPr="007A7094">
        <w:rPr>
          <w:rFonts w:asciiTheme="minorHAnsi" w:hAnsiTheme="minorHAnsi"/>
          <w:sz w:val="22"/>
          <w:szCs w:val="22"/>
        </w:rPr>
        <w:t xml:space="preserve"> or cure of disease</w:t>
      </w:r>
      <w:r w:rsidR="00F77A59" w:rsidRPr="007A7094">
        <w:rPr>
          <w:rFonts w:asciiTheme="minorHAnsi" w:hAnsiTheme="minorHAnsi"/>
          <w:sz w:val="22"/>
          <w:szCs w:val="22"/>
        </w:rPr>
        <w:t xml:space="preserve">, </w:t>
      </w:r>
      <w:r w:rsidR="00583BDC" w:rsidRPr="007A7094">
        <w:rPr>
          <w:rFonts w:asciiTheme="minorHAnsi" w:hAnsiTheme="minorHAnsi"/>
          <w:sz w:val="22"/>
          <w:szCs w:val="22"/>
        </w:rPr>
        <w:t xml:space="preserve">following </w:t>
      </w:r>
      <w:r w:rsidR="00F77A59" w:rsidRPr="007A7094">
        <w:rPr>
          <w:rFonts w:asciiTheme="minorHAnsi" w:hAnsiTheme="minorHAnsi"/>
          <w:sz w:val="22"/>
          <w:szCs w:val="22"/>
        </w:rPr>
        <w:t xml:space="preserve">apparent </w:t>
      </w:r>
      <w:r w:rsidR="00583BDC" w:rsidRPr="007A7094">
        <w:rPr>
          <w:rFonts w:asciiTheme="minorHAnsi" w:hAnsiTheme="minorHAnsi"/>
          <w:sz w:val="22"/>
          <w:szCs w:val="22"/>
        </w:rPr>
        <w:t>viral cure</w:t>
      </w:r>
      <w:r w:rsidR="0097483B" w:rsidRPr="007A7094">
        <w:rPr>
          <w:rFonts w:asciiTheme="minorHAnsi" w:hAnsiTheme="minorHAnsi"/>
          <w:sz w:val="22"/>
          <w:szCs w:val="22"/>
        </w:rPr>
        <w:t>.</w:t>
      </w:r>
      <w:r w:rsidR="00F77A59" w:rsidRPr="007A7094">
        <w:rPr>
          <w:rFonts w:asciiTheme="minorHAnsi" w:hAnsiTheme="minorHAnsi"/>
          <w:sz w:val="22"/>
          <w:szCs w:val="22"/>
        </w:rPr>
        <w:t xml:space="preserve"> </w:t>
      </w:r>
      <w:r w:rsidR="007D4219" w:rsidRPr="007A7094">
        <w:rPr>
          <w:rFonts w:asciiTheme="minorHAnsi" w:hAnsiTheme="minorHAnsi"/>
          <w:sz w:val="22"/>
          <w:szCs w:val="22"/>
        </w:rPr>
        <w:t xml:space="preserve">The Cochrane authors </w:t>
      </w:r>
      <w:r w:rsidR="001D00C3" w:rsidRPr="007A7094">
        <w:rPr>
          <w:rFonts w:asciiTheme="minorHAnsi" w:hAnsiTheme="minorHAnsi"/>
          <w:sz w:val="22"/>
          <w:szCs w:val="22"/>
        </w:rPr>
        <w:t xml:space="preserve">accordingly </w:t>
      </w:r>
      <w:r w:rsidR="007D4219" w:rsidRPr="007A7094">
        <w:rPr>
          <w:rFonts w:asciiTheme="minorHAnsi" w:hAnsiTheme="minorHAnsi"/>
          <w:sz w:val="22"/>
          <w:szCs w:val="22"/>
        </w:rPr>
        <w:t>note examples of the progression of liver disease despite undetectable HCV-RNA in the serum.</w:t>
      </w:r>
      <w:r w:rsidR="00F77A59" w:rsidRPr="007A7094">
        <w:rPr>
          <w:rFonts w:asciiTheme="minorHAnsi" w:hAnsiTheme="minorHAnsi"/>
          <w:sz w:val="22"/>
          <w:szCs w:val="22"/>
        </w:rPr>
        <w:t xml:space="preserve"> This introduces a second object of cure,</w:t>
      </w:r>
      <w:r w:rsidR="007D4219" w:rsidRPr="007A7094">
        <w:rPr>
          <w:rFonts w:asciiTheme="minorHAnsi" w:hAnsiTheme="minorHAnsi"/>
          <w:sz w:val="22"/>
          <w:szCs w:val="22"/>
        </w:rPr>
        <w:t xml:space="preserve"> </w:t>
      </w:r>
      <w:r w:rsidR="007D4219" w:rsidRPr="007A7094">
        <w:rPr>
          <w:rFonts w:asciiTheme="minorHAnsi" w:hAnsiTheme="minorHAnsi"/>
          <w:i/>
          <w:sz w:val="22"/>
          <w:szCs w:val="22"/>
        </w:rPr>
        <w:t xml:space="preserve">cure of </w:t>
      </w:r>
      <w:r w:rsidR="00F77A59" w:rsidRPr="007A7094">
        <w:rPr>
          <w:rFonts w:asciiTheme="minorHAnsi" w:hAnsiTheme="minorHAnsi"/>
          <w:i/>
          <w:sz w:val="22"/>
          <w:szCs w:val="22"/>
        </w:rPr>
        <w:t>disease</w:t>
      </w:r>
      <w:r w:rsidR="007D4219" w:rsidRPr="007A7094">
        <w:rPr>
          <w:rFonts w:asciiTheme="minorHAnsi" w:hAnsiTheme="minorHAnsi"/>
          <w:sz w:val="22"/>
          <w:szCs w:val="22"/>
        </w:rPr>
        <w:t xml:space="preserve">, which may or may not be linked with surrogate markers of viral cure, and which is evidenced </w:t>
      </w:r>
      <w:r w:rsidR="00155B15" w:rsidRPr="007A7094">
        <w:rPr>
          <w:rFonts w:asciiTheme="minorHAnsi" w:hAnsiTheme="minorHAnsi"/>
          <w:sz w:val="22"/>
          <w:szCs w:val="22"/>
        </w:rPr>
        <w:t xml:space="preserve">clinically </w:t>
      </w:r>
      <w:r w:rsidR="007D4219" w:rsidRPr="007A7094">
        <w:rPr>
          <w:rFonts w:asciiTheme="minorHAnsi" w:hAnsiTheme="minorHAnsi"/>
          <w:sz w:val="22"/>
          <w:szCs w:val="22"/>
        </w:rPr>
        <w:t>in the short or long-term. There is a</w:t>
      </w:r>
      <w:r w:rsidR="006F3A9E" w:rsidRPr="007A7094">
        <w:rPr>
          <w:rFonts w:asciiTheme="minorHAnsi" w:hAnsiTheme="minorHAnsi"/>
          <w:sz w:val="22"/>
          <w:szCs w:val="22"/>
        </w:rPr>
        <w:t>lso a</w:t>
      </w:r>
      <w:r w:rsidR="007D4219" w:rsidRPr="007A7094">
        <w:rPr>
          <w:rFonts w:asciiTheme="minorHAnsi" w:hAnsiTheme="minorHAnsi"/>
          <w:sz w:val="22"/>
          <w:szCs w:val="22"/>
        </w:rPr>
        <w:t xml:space="preserve"> third object of hepatitis C cure </w:t>
      </w:r>
      <w:r w:rsidR="006F3A9E" w:rsidRPr="007A7094">
        <w:rPr>
          <w:rFonts w:asciiTheme="minorHAnsi" w:hAnsiTheme="minorHAnsi"/>
          <w:sz w:val="22"/>
          <w:szCs w:val="22"/>
        </w:rPr>
        <w:t>negotiated</w:t>
      </w:r>
      <w:r w:rsidR="007D4219" w:rsidRPr="007A7094">
        <w:rPr>
          <w:rFonts w:asciiTheme="minorHAnsi" w:hAnsiTheme="minorHAnsi"/>
          <w:sz w:val="22"/>
          <w:szCs w:val="22"/>
        </w:rPr>
        <w:t xml:space="preserve"> in these exchanges, and this is </w:t>
      </w:r>
      <w:r w:rsidR="007D4219" w:rsidRPr="007A7094">
        <w:rPr>
          <w:rFonts w:asciiTheme="minorHAnsi" w:hAnsiTheme="minorHAnsi"/>
          <w:i/>
          <w:sz w:val="22"/>
          <w:szCs w:val="22"/>
        </w:rPr>
        <w:t>viral elimination</w:t>
      </w:r>
      <w:r w:rsidR="007D4219" w:rsidRPr="007A7094">
        <w:rPr>
          <w:rFonts w:asciiTheme="minorHAnsi" w:hAnsiTheme="minorHAnsi"/>
          <w:sz w:val="22"/>
          <w:szCs w:val="22"/>
        </w:rPr>
        <w:t xml:space="preserve"> at the level of the population, and even </w:t>
      </w:r>
      <w:r w:rsidR="001D00C3" w:rsidRPr="007A7094">
        <w:rPr>
          <w:rFonts w:asciiTheme="minorHAnsi" w:hAnsiTheme="minorHAnsi"/>
          <w:sz w:val="22"/>
          <w:szCs w:val="22"/>
        </w:rPr>
        <w:t>nation-state</w:t>
      </w:r>
      <w:r w:rsidR="007D4219" w:rsidRPr="007A7094">
        <w:rPr>
          <w:rFonts w:asciiTheme="minorHAnsi" w:hAnsiTheme="minorHAnsi"/>
          <w:sz w:val="22"/>
          <w:szCs w:val="22"/>
        </w:rPr>
        <w:t>.</w:t>
      </w:r>
      <w:r w:rsidR="00B71A02" w:rsidRPr="007A7094">
        <w:rPr>
          <w:rFonts w:asciiTheme="minorHAnsi" w:hAnsiTheme="minorHAnsi"/>
          <w:sz w:val="22"/>
          <w:szCs w:val="22"/>
        </w:rPr>
        <w:t xml:space="preserve"> This object of cure is brought into being through reference to mathematical and computer modelling projections of viral elimination</w:t>
      </w:r>
      <w:r w:rsidR="001D00C3" w:rsidRPr="007A7094">
        <w:rPr>
          <w:rFonts w:asciiTheme="minorHAnsi" w:hAnsiTheme="minorHAnsi"/>
          <w:sz w:val="22"/>
          <w:szCs w:val="22"/>
        </w:rPr>
        <w:t xml:space="preserve"> </w:t>
      </w:r>
      <w:r w:rsidR="00B71A02" w:rsidRPr="007A7094">
        <w:rPr>
          <w:rFonts w:asciiTheme="minorHAnsi" w:hAnsiTheme="minorHAnsi"/>
          <w:sz w:val="22"/>
          <w:szCs w:val="22"/>
        </w:rPr>
        <w:t>following reduced transmissions linked to anticipated rates of viral cure</w:t>
      </w:r>
      <w:r w:rsidR="008C6A91" w:rsidRPr="007A7094">
        <w:rPr>
          <w:rFonts w:asciiTheme="minorHAnsi" w:hAnsiTheme="minorHAnsi"/>
          <w:sz w:val="22"/>
          <w:szCs w:val="22"/>
        </w:rPr>
        <w:t xml:space="preserve"> (Fraser et al., 2018; Razavi et al., 2017</w:t>
      </w:r>
      <w:r w:rsidR="00986AFB" w:rsidRPr="007A7094">
        <w:rPr>
          <w:rFonts w:asciiTheme="minorHAnsi" w:hAnsiTheme="minorHAnsi"/>
          <w:sz w:val="22"/>
          <w:szCs w:val="22"/>
        </w:rPr>
        <w:t>; Rhodes and Lancaster, 2019b</w:t>
      </w:r>
      <w:r w:rsidR="008C6A91" w:rsidRPr="007A7094">
        <w:rPr>
          <w:rFonts w:asciiTheme="minorHAnsi" w:hAnsiTheme="minorHAnsi"/>
          <w:sz w:val="22"/>
          <w:szCs w:val="22"/>
        </w:rPr>
        <w:t>)</w:t>
      </w:r>
      <w:r w:rsidR="00986AFB" w:rsidRPr="007A7094">
        <w:rPr>
          <w:rFonts w:asciiTheme="minorHAnsi" w:hAnsiTheme="minorHAnsi"/>
          <w:sz w:val="22"/>
          <w:szCs w:val="22"/>
        </w:rPr>
        <w:t>, and</w:t>
      </w:r>
      <w:r w:rsidR="00986AFB" w:rsidRPr="007A7094">
        <w:rPr>
          <w:rFonts w:asciiTheme="minorHAnsi" w:hAnsiTheme="minorHAnsi"/>
          <w:sz w:val="22"/>
          <w:szCs w:val="22"/>
        </w:rPr>
        <w:t xml:space="preserve"> is also materialised in viral elimination targets</w:t>
      </w:r>
      <w:r w:rsidR="00986AFB" w:rsidRPr="007A7094">
        <w:rPr>
          <w:rFonts w:asciiTheme="minorHAnsi" w:hAnsiTheme="minorHAnsi"/>
          <w:sz w:val="22"/>
          <w:szCs w:val="22"/>
        </w:rPr>
        <w:t xml:space="preserve"> (Lancaster et al., 2019)</w:t>
      </w:r>
      <w:r w:rsidR="00B71A02" w:rsidRPr="007A7094">
        <w:rPr>
          <w:rFonts w:asciiTheme="minorHAnsi" w:hAnsiTheme="minorHAnsi"/>
          <w:sz w:val="22"/>
          <w:szCs w:val="22"/>
        </w:rPr>
        <w:t>.</w:t>
      </w:r>
      <w:r w:rsidR="00DC4A53" w:rsidRPr="007A7094">
        <w:rPr>
          <w:rFonts w:asciiTheme="minorHAnsi" w:hAnsiTheme="minorHAnsi"/>
          <w:sz w:val="22"/>
          <w:szCs w:val="22"/>
        </w:rPr>
        <w:t xml:space="preserve"> All of these cures are made-to-matter differently according to how they </w:t>
      </w:r>
      <w:r w:rsidR="00982BB6" w:rsidRPr="007A7094">
        <w:rPr>
          <w:rFonts w:asciiTheme="minorHAnsi" w:hAnsiTheme="minorHAnsi"/>
          <w:sz w:val="22"/>
          <w:szCs w:val="22"/>
        </w:rPr>
        <w:t xml:space="preserve">come to be known </w:t>
      </w:r>
      <w:r w:rsidR="00DC4A53" w:rsidRPr="007A7094">
        <w:rPr>
          <w:rFonts w:asciiTheme="minorHAnsi" w:hAnsiTheme="minorHAnsi"/>
          <w:sz w:val="22"/>
          <w:szCs w:val="22"/>
        </w:rPr>
        <w:t xml:space="preserve">in </w:t>
      </w:r>
      <w:r w:rsidR="00986AFB" w:rsidRPr="007A7094">
        <w:rPr>
          <w:rFonts w:asciiTheme="minorHAnsi" w:hAnsiTheme="minorHAnsi"/>
          <w:sz w:val="22"/>
          <w:szCs w:val="22"/>
        </w:rPr>
        <w:t xml:space="preserve">situated </w:t>
      </w:r>
      <w:r w:rsidR="00DC4A53" w:rsidRPr="007A7094">
        <w:rPr>
          <w:rFonts w:asciiTheme="minorHAnsi" w:hAnsiTheme="minorHAnsi"/>
          <w:sz w:val="22"/>
          <w:szCs w:val="22"/>
        </w:rPr>
        <w:t>practice</w:t>
      </w:r>
      <w:r w:rsidR="00982BB6" w:rsidRPr="007A7094">
        <w:rPr>
          <w:rFonts w:asciiTheme="minorHAnsi" w:hAnsiTheme="minorHAnsi"/>
          <w:sz w:val="22"/>
          <w:szCs w:val="22"/>
        </w:rPr>
        <w:t>s</w:t>
      </w:r>
      <w:r w:rsidR="00DC4A53" w:rsidRPr="007A7094">
        <w:rPr>
          <w:rFonts w:asciiTheme="minorHAnsi" w:hAnsiTheme="minorHAnsi"/>
          <w:sz w:val="22"/>
          <w:szCs w:val="22"/>
        </w:rPr>
        <w:t>.</w:t>
      </w:r>
      <w:r w:rsidR="00CD178C" w:rsidRPr="007A7094">
        <w:rPr>
          <w:rFonts w:asciiTheme="minorHAnsi" w:hAnsiTheme="minorHAnsi"/>
          <w:sz w:val="22"/>
          <w:szCs w:val="22"/>
        </w:rPr>
        <w:t xml:space="preserve"> </w:t>
      </w:r>
      <w:r w:rsidR="002F7087" w:rsidRPr="007A7094">
        <w:rPr>
          <w:rFonts w:asciiTheme="minorHAnsi" w:hAnsiTheme="minorHAnsi"/>
          <w:sz w:val="22"/>
          <w:szCs w:val="22"/>
        </w:rPr>
        <w:t>Whereas the</w:t>
      </w:r>
      <w:r w:rsidR="001D00C3" w:rsidRPr="007A7094">
        <w:rPr>
          <w:rFonts w:asciiTheme="minorHAnsi" w:hAnsiTheme="minorHAnsi"/>
          <w:sz w:val="22"/>
          <w:szCs w:val="22"/>
        </w:rPr>
        <w:t xml:space="preserve"> fluidity of intervention </w:t>
      </w:r>
      <w:r w:rsidR="002F7087" w:rsidRPr="007A7094">
        <w:rPr>
          <w:rFonts w:asciiTheme="minorHAnsi" w:hAnsiTheme="minorHAnsi"/>
          <w:sz w:val="22"/>
          <w:szCs w:val="22"/>
        </w:rPr>
        <w:t>goes</w:t>
      </w:r>
      <w:r w:rsidR="001D00C3" w:rsidRPr="007A7094">
        <w:rPr>
          <w:rFonts w:asciiTheme="minorHAnsi" w:hAnsiTheme="minorHAnsi"/>
          <w:sz w:val="22"/>
          <w:szCs w:val="22"/>
        </w:rPr>
        <w:t xml:space="preserve"> largely unnoticed in EBM</w:t>
      </w:r>
      <w:r w:rsidR="002F7087" w:rsidRPr="007A7094">
        <w:rPr>
          <w:rFonts w:asciiTheme="minorHAnsi" w:hAnsiTheme="minorHAnsi"/>
          <w:sz w:val="22"/>
          <w:szCs w:val="22"/>
        </w:rPr>
        <w:t xml:space="preserve"> given</w:t>
      </w:r>
      <w:r w:rsidR="001D00C3" w:rsidRPr="007A7094">
        <w:rPr>
          <w:rFonts w:asciiTheme="minorHAnsi" w:hAnsiTheme="minorHAnsi"/>
          <w:sz w:val="22"/>
          <w:szCs w:val="22"/>
        </w:rPr>
        <w:t xml:space="preserve"> overriding technical concern</w:t>
      </w:r>
      <w:r w:rsidR="002F7087" w:rsidRPr="007A7094">
        <w:rPr>
          <w:rFonts w:asciiTheme="minorHAnsi" w:hAnsiTheme="minorHAnsi"/>
          <w:sz w:val="22"/>
          <w:szCs w:val="22"/>
        </w:rPr>
        <w:t>s</w:t>
      </w:r>
      <w:r w:rsidR="001D00C3" w:rsidRPr="007A7094">
        <w:rPr>
          <w:rFonts w:asciiTheme="minorHAnsi" w:hAnsiTheme="minorHAnsi"/>
          <w:sz w:val="22"/>
          <w:szCs w:val="22"/>
        </w:rPr>
        <w:t xml:space="preserve"> oriented to isolat</w:t>
      </w:r>
      <w:r w:rsidR="002F7087" w:rsidRPr="007A7094">
        <w:rPr>
          <w:rFonts w:asciiTheme="minorHAnsi" w:hAnsiTheme="minorHAnsi"/>
          <w:sz w:val="22"/>
          <w:szCs w:val="22"/>
        </w:rPr>
        <w:t>ing</w:t>
      </w:r>
      <w:r w:rsidR="001D00C3" w:rsidRPr="007A7094">
        <w:rPr>
          <w:rFonts w:asciiTheme="minorHAnsi" w:hAnsiTheme="minorHAnsi"/>
          <w:sz w:val="22"/>
          <w:szCs w:val="22"/>
        </w:rPr>
        <w:t xml:space="preserve"> and replicatin</w:t>
      </w:r>
      <w:r w:rsidR="002F7087" w:rsidRPr="007A7094">
        <w:rPr>
          <w:rFonts w:asciiTheme="minorHAnsi" w:hAnsiTheme="minorHAnsi"/>
          <w:sz w:val="22"/>
          <w:szCs w:val="22"/>
        </w:rPr>
        <w:t>g</w:t>
      </w:r>
      <w:r w:rsidR="001D00C3" w:rsidRPr="007A7094">
        <w:rPr>
          <w:rFonts w:asciiTheme="minorHAnsi" w:hAnsiTheme="minorHAnsi"/>
          <w:sz w:val="22"/>
          <w:szCs w:val="22"/>
        </w:rPr>
        <w:t xml:space="preserve"> universal intervention effect</w:t>
      </w:r>
      <w:r w:rsidR="002F7087" w:rsidRPr="007A7094">
        <w:rPr>
          <w:rFonts w:asciiTheme="minorHAnsi" w:hAnsiTheme="minorHAnsi"/>
          <w:sz w:val="22"/>
          <w:szCs w:val="22"/>
        </w:rPr>
        <w:t>, we</w:t>
      </w:r>
      <w:r w:rsidR="00CD178C" w:rsidRPr="007A7094">
        <w:rPr>
          <w:rFonts w:asciiTheme="minorHAnsi" w:hAnsiTheme="minorHAnsi"/>
          <w:sz w:val="22"/>
          <w:szCs w:val="22"/>
        </w:rPr>
        <w:t xml:space="preserve"> need an approach which engage</w:t>
      </w:r>
      <w:r w:rsidR="002C61D9" w:rsidRPr="007A7094">
        <w:rPr>
          <w:rFonts w:asciiTheme="minorHAnsi" w:hAnsiTheme="minorHAnsi"/>
          <w:sz w:val="22"/>
          <w:szCs w:val="22"/>
        </w:rPr>
        <w:t>s</w:t>
      </w:r>
      <w:r w:rsidR="00CD178C" w:rsidRPr="007A7094">
        <w:rPr>
          <w:rFonts w:asciiTheme="minorHAnsi" w:hAnsiTheme="minorHAnsi"/>
          <w:sz w:val="22"/>
          <w:szCs w:val="22"/>
        </w:rPr>
        <w:t xml:space="preserve"> across different knowledge-making practices </w:t>
      </w:r>
      <w:r w:rsidR="00986AFB" w:rsidRPr="007A7094">
        <w:rPr>
          <w:rFonts w:asciiTheme="minorHAnsi" w:hAnsiTheme="minorHAnsi"/>
          <w:sz w:val="22"/>
          <w:szCs w:val="22"/>
        </w:rPr>
        <w:t xml:space="preserve">(including beyond science) </w:t>
      </w:r>
      <w:r w:rsidR="002C61D9" w:rsidRPr="007A7094">
        <w:rPr>
          <w:rFonts w:asciiTheme="minorHAnsi" w:hAnsiTheme="minorHAnsi"/>
          <w:sz w:val="22"/>
          <w:szCs w:val="22"/>
        </w:rPr>
        <w:t>to</w:t>
      </w:r>
      <w:r w:rsidR="00CD178C" w:rsidRPr="007A7094">
        <w:rPr>
          <w:rFonts w:asciiTheme="minorHAnsi" w:hAnsiTheme="minorHAnsi"/>
          <w:sz w:val="22"/>
          <w:szCs w:val="22"/>
        </w:rPr>
        <w:t xml:space="preserve"> allow for </w:t>
      </w:r>
      <w:r w:rsidR="00986AFB" w:rsidRPr="007A7094">
        <w:rPr>
          <w:rFonts w:asciiTheme="minorHAnsi" w:hAnsiTheme="minorHAnsi"/>
          <w:sz w:val="22"/>
          <w:szCs w:val="22"/>
        </w:rPr>
        <w:t xml:space="preserve">multiple </w:t>
      </w:r>
      <w:r w:rsidR="00CD178C" w:rsidRPr="007A7094">
        <w:rPr>
          <w:rFonts w:asciiTheme="minorHAnsi" w:hAnsiTheme="minorHAnsi"/>
          <w:sz w:val="22"/>
          <w:szCs w:val="22"/>
        </w:rPr>
        <w:t>cure</w:t>
      </w:r>
      <w:r w:rsidR="00986AFB" w:rsidRPr="007A7094">
        <w:rPr>
          <w:rFonts w:asciiTheme="minorHAnsi" w:hAnsiTheme="minorHAnsi"/>
          <w:sz w:val="22"/>
          <w:szCs w:val="22"/>
        </w:rPr>
        <w:t>s</w:t>
      </w:r>
      <w:r w:rsidR="00CD178C" w:rsidRPr="007A7094">
        <w:rPr>
          <w:rFonts w:asciiTheme="minorHAnsi" w:hAnsiTheme="minorHAnsi"/>
          <w:sz w:val="22"/>
          <w:szCs w:val="22"/>
        </w:rPr>
        <w:t xml:space="preserve"> to matter. </w:t>
      </w:r>
      <w:r w:rsidR="00DC4A53" w:rsidRPr="007A7094">
        <w:rPr>
          <w:rFonts w:asciiTheme="minorHAnsi" w:hAnsiTheme="minorHAnsi"/>
          <w:sz w:val="22"/>
          <w:szCs w:val="22"/>
        </w:rPr>
        <w:t xml:space="preserve"> </w:t>
      </w:r>
      <w:r w:rsidR="00B71A02" w:rsidRPr="007A7094">
        <w:rPr>
          <w:rFonts w:asciiTheme="minorHAnsi" w:hAnsiTheme="minorHAnsi"/>
          <w:sz w:val="22"/>
          <w:szCs w:val="22"/>
        </w:rPr>
        <w:t xml:space="preserve"> </w:t>
      </w:r>
    </w:p>
    <w:p w14:paraId="33AE0145" w14:textId="5B835AB4" w:rsidR="00B71A02" w:rsidRPr="007A7094" w:rsidRDefault="00B71A02" w:rsidP="00722632">
      <w:pPr>
        <w:pStyle w:val="Standard"/>
        <w:spacing w:line="480" w:lineRule="auto"/>
        <w:jc w:val="both"/>
        <w:rPr>
          <w:rFonts w:asciiTheme="minorHAnsi" w:hAnsiTheme="minorHAnsi"/>
          <w:sz w:val="22"/>
          <w:szCs w:val="22"/>
        </w:rPr>
      </w:pPr>
    </w:p>
    <w:p w14:paraId="593B9650" w14:textId="502924F7" w:rsidR="006F3A9E" w:rsidRPr="007A7094" w:rsidRDefault="006F3A9E" w:rsidP="00722632">
      <w:pPr>
        <w:pStyle w:val="Standard"/>
        <w:spacing w:line="480" w:lineRule="auto"/>
        <w:jc w:val="both"/>
        <w:rPr>
          <w:rFonts w:asciiTheme="minorHAnsi" w:hAnsiTheme="minorHAnsi"/>
          <w:b/>
          <w:sz w:val="28"/>
          <w:szCs w:val="28"/>
        </w:rPr>
      </w:pPr>
      <w:r w:rsidRPr="007A7094">
        <w:rPr>
          <w:rFonts w:asciiTheme="minorHAnsi" w:hAnsiTheme="minorHAnsi"/>
          <w:b/>
          <w:sz w:val="28"/>
          <w:szCs w:val="28"/>
        </w:rPr>
        <w:t>Knowing cure</w:t>
      </w:r>
      <w:r w:rsidR="00BB0B0C" w:rsidRPr="007A7094">
        <w:rPr>
          <w:rFonts w:asciiTheme="minorHAnsi" w:hAnsiTheme="minorHAnsi"/>
          <w:b/>
          <w:sz w:val="28"/>
          <w:szCs w:val="28"/>
        </w:rPr>
        <w:t xml:space="preserve">, and </w:t>
      </w:r>
      <w:r w:rsidR="007E6E8F" w:rsidRPr="007A7094">
        <w:rPr>
          <w:rFonts w:asciiTheme="minorHAnsi" w:hAnsiTheme="minorHAnsi"/>
          <w:b/>
          <w:sz w:val="28"/>
          <w:szCs w:val="28"/>
        </w:rPr>
        <w:t>making evidence</w:t>
      </w:r>
      <w:r w:rsidR="00BB0B0C" w:rsidRPr="007A7094">
        <w:rPr>
          <w:rFonts w:asciiTheme="minorHAnsi" w:hAnsiTheme="minorHAnsi"/>
          <w:b/>
          <w:sz w:val="28"/>
          <w:szCs w:val="28"/>
        </w:rPr>
        <w:t>,</w:t>
      </w:r>
      <w:r w:rsidRPr="007A7094">
        <w:rPr>
          <w:rFonts w:asciiTheme="minorHAnsi" w:hAnsiTheme="minorHAnsi"/>
          <w:b/>
          <w:sz w:val="28"/>
          <w:szCs w:val="28"/>
        </w:rPr>
        <w:t xml:space="preserve"> more carefully</w:t>
      </w:r>
    </w:p>
    <w:p w14:paraId="6524755C" w14:textId="14C1CEC5" w:rsidR="00911A63" w:rsidRPr="007A7094" w:rsidRDefault="00146093" w:rsidP="00722632">
      <w:pPr>
        <w:pStyle w:val="Standard"/>
        <w:spacing w:line="480" w:lineRule="auto"/>
        <w:jc w:val="both"/>
        <w:rPr>
          <w:rFonts w:asciiTheme="minorHAnsi" w:hAnsiTheme="minorHAnsi"/>
          <w:sz w:val="22"/>
          <w:szCs w:val="22"/>
        </w:rPr>
      </w:pPr>
      <w:r w:rsidRPr="007A7094">
        <w:rPr>
          <w:rFonts w:asciiTheme="minorHAnsi" w:hAnsiTheme="minorHAnsi"/>
          <w:sz w:val="22"/>
          <w:szCs w:val="22"/>
        </w:rPr>
        <w:t xml:space="preserve">Let us </w:t>
      </w:r>
      <w:r w:rsidR="000D6CA1" w:rsidRPr="007A7094">
        <w:rPr>
          <w:rFonts w:asciiTheme="minorHAnsi" w:hAnsiTheme="minorHAnsi"/>
          <w:sz w:val="22"/>
          <w:szCs w:val="22"/>
        </w:rPr>
        <w:t>move towards some conclusions</w:t>
      </w:r>
      <w:r w:rsidRPr="007A7094">
        <w:rPr>
          <w:rFonts w:asciiTheme="minorHAnsi" w:hAnsiTheme="minorHAnsi"/>
          <w:sz w:val="22"/>
          <w:szCs w:val="22"/>
        </w:rPr>
        <w:t xml:space="preserve">. </w:t>
      </w:r>
      <w:r w:rsidR="00BB0B0C" w:rsidRPr="007A7094">
        <w:rPr>
          <w:rFonts w:asciiTheme="minorHAnsi" w:hAnsiTheme="minorHAnsi"/>
          <w:sz w:val="22"/>
          <w:szCs w:val="22"/>
        </w:rPr>
        <w:t>We have proposed treating science</w:t>
      </w:r>
      <w:r w:rsidR="00A36A11" w:rsidRPr="007A7094">
        <w:rPr>
          <w:rFonts w:asciiTheme="minorHAnsi" w:hAnsiTheme="minorHAnsi"/>
          <w:sz w:val="22"/>
          <w:szCs w:val="22"/>
        </w:rPr>
        <w:t xml:space="preserve"> and other forms of evidencing</w:t>
      </w:r>
      <w:r w:rsidR="00BB0B0C" w:rsidRPr="007A7094">
        <w:rPr>
          <w:rFonts w:asciiTheme="minorHAnsi" w:hAnsiTheme="minorHAnsi"/>
          <w:sz w:val="22"/>
          <w:szCs w:val="22"/>
        </w:rPr>
        <w:t xml:space="preserve"> as </w:t>
      </w:r>
      <w:r w:rsidR="00C36438" w:rsidRPr="007A7094">
        <w:rPr>
          <w:rFonts w:asciiTheme="minorHAnsi" w:hAnsiTheme="minorHAnsi"/>
          <w:sz w:val="22"/>
          <w:szCs w:val="22"/>
        </w:rPr>
        <w:t xml:space="preserve">performative </w:t>
      </w:r>
      <w:r w:rsidR="00BB0B0C" w:rsidRPr="007A7094">
        <w:rPr>
          <w:rFonts w:asciiTheme="minorHAnsi" w:hAnsiTheme="minorHAnsi"/>
          <w:sz w:val="22"/>
          <w:szCs w:val="22"/>
        </w:rPr>
        <w:t>practices. This</w:t>
      </w:r>
      <w:r w:rsidR="00DA68E5" w:rsidRPr="007A7094">
        <w:rPr>
          <w:rFonts w:asciiTheme="minorHAnsi" w:hAnsiTheme="minorHAnsi"/>
          <w:sz w:val="22"/>
          <w:szCs w:val="22"/>
        </w:rPr>
        <w:t xml:space="preserve"> approach</w:t>
      </w:r>
      <w:r w:rsidR="00BB0B0C" w:rsidRPr="007A7094">
        <w:rPr>
          <w:rFonts w:asciiTheme="minorHAnsi" w:hAnsiTheme="minorHAnsi"/>
          <w:sz w:val="22"/>
          <w:szCs w:val="22"/>
        </w:rPr>
        <w:t xml:space="preserve">, we have argued, helps </w:t>
      </w:r>
      <w:r w:rsidR="007E6E8F" w:rsidRPr="007A7094">
        <w:rPr>
          <w:rFonts w:asciiTheme="minorHAnsi" w:hAnsiTheme="minorHAnsi"/>
          <w:sz w:val="22"/>
          <w:szCs w:val="22"/>
        </w:rPr>
        <w:t>appreciate</w:t>
      </w:r>
      <w:r w:rsidR="00BB0B0C" w:rsidRPr="007A7094">
        <w:rPr>
          <w:rFonts w:asciiTheme="minorHAnsi" w:hAnsiTheme="minorHAnsi"/>
          <w:sz w:val="22"/>
          <w:szCs w:val="22"/>
        </w:rPr>
        <w:t xml:space="preserve"> </w:t>
      </w:r>
      <w:r w:rsidR="007E6E8F" w:rsidRPr="007A7094">
        <w:rPr>
          <w:rFonts w:asciiTheme="minorHAnsi" w:hAnsiTheme="minorHAnsi"/>
          <w:sz w:val="22"/>
          <w:szCs w:val="22"/>
        </w:rPr>
        <w:t xml:space="preserve">how </w:t>
      </w:r>
      <w:r w:rsidR="00BB0B0C" w:rsidRPr="007A7094">
        <w:rPr>
          <w:rFonts w:asciiTheme="minorHAnsi" w:hAnsiTheme="minorHAnsi"/>
          <w:sz w:val="22"/>
          <w:szCs w:val="22"/>
        </w:rPr>
        <w:t xml:space="preserve">evidence-based interventions incorporate </w:t>
      </w:r>
      <w:r w:rsidR="00A36A11" w:rsidRPr="007A7094">
        <w:rPr>
          <w:rFonts w:asciiTheme="minorHAnsi" w:hAnsiTheme="minorHAnsi"/>
          <w:sz w:val="22"/>
          <w:szCs w:val="22"/>
        </w:rPr>
        <w:t xml:space="preserve">universalised </w:t>
      </w:r>
      <w:r w:rsidR="00BB0B0C" w:rsidRPr="007A7094">
        <w:rPr>
          <w:rFonts w:asciiTheme="minorHAnsi" w:hAnsiTheme="minorHAnsi"/>
          <w:sz w:val="22"/>
          <w:szCs w:val="22"/>
        </w:rPr>
        <w:t>matters</w:t>
      </w:r>
      <w:r w:rsidR="00A16EB1" w:rsidRPr="007A7094">
        <w:rPr>
          <w:rFonts w:asciiTheme="minorHAnsi" w:hAnsiTheme="minorHAnsi"/>
          <w:sz w:val="22"/>
          <w:szCs w:val="22"/>
        </w:rPr>
        <w:t>-</w:t>
      </w:r>
      <w:r w:rsidR="00BB0B0C" w:rsidRPr="007A7094">
        <w:rPr>
          <w:rFonts w:asciiTheme="minorHAnsi" w:hAnsiTheme="minorHAnsi"/>
          <w:sz w:val="22"/>
          <w:szCs w:val="22"/>
        </w:rPr>
        <w:t>of</w:t>
      </w:r>
      <w:r w:rsidR="00A16EB1" w:rsidRPr="007A7094">
        <w:rPr>
          <w:rFonts w:asciiTheme="minorHAnsi" w:hAnsiTheme="minorHAnsi"/>
          <w:sz w:val="22"/>
          <w:szCs w:val="22"/>
        </w:rPr>
        <w:t>-</w:t>
      </w:r>
      <w:r w:rsidR="00BB0B0C" w:rsidRPr="007A7094">
        <w:rPr>
          <w:rFonts w:asciiTheme="minorHAnsi" w:hAnsiTheme="minorHAnsi"/>
          <w:sz w:val="22"/>
          <w:szCs w:val="22"/>
        </w:rPr>
        <w:t xml:space="preserve">fact </w:t>
      </w:r>
      <w:r w:rsidR="007E6E8F" w:rsidRPr="007A7094">
        <w:rPr>
          <w:rFonts w:asciiTheme="minorHAnsi" w:hAnsiTheme="minorHAnsi"/>
          <w:sz w:val="22"/>
          <w:szCs w:val="22"/>
        </w:rPr>
        <w:t>with</w:t>
      </w:r>
      <w:r w:rsidR="00BB0B0C" w:rsidRPr="007A7094">
        <w:rPr>
          <w:rFonts w:asciiTheme="minorHAnsi" w:hAnsiTheme="minorHAnsi"/>
          <w:sz w:val="22"/>
          <w:szCs w:val="22"/>
        </w:rPr>
        <w:t xml:space="preserve"> </w:t>
      </w:r>
      <w:r w:rsidR="00A36A11" w:rsidRPr="007A7094">
        <w:rPr>
          <w:rFonts w:asciiTheme="minorHAnsi" w:hAnsiTheme="minorHAnsi"/>
          <w:sz w:val="22"/>
          <w:szCs w:val="22"/>
        </w:rPr>
        <w:t xml:space="preserve">situated </w:t>
      </w:r>
      <w:r w:rsidR="00BB0B0C" w:rsidRPr="007A7094">
        <w:rPr>
          <w:rFonts w:asciiTheme="minorHAnsi" w:hAnsiTheme="minorHAnsi"/>
          <w:sz w:val="22"/>
          <w:szCs w:val="22"/>
        </w:rPr>
        <w:t>matters</w:t>
      </w:r>
      <w:r w:rsidR="00A16EB1" w:rsidRPr="007A7094">
        <w:rPr>
          <w:rFonts w:asciiTheme="minorHAnsi" w:hAnsiTheme="minorHAnsi"/>
          <w:sz w:val="22"/>
          <w:szCs w:val="22"/>
        </w:rPr>
        <w:t>-</w:t>
      </w:r>
      <w:r w:rsidR="00BB0B0C" w:rsidRPr="007A7094">
        <w:rPr>
          <w:rFonts w:asciiTheme="minorHAnsi" w:hAnsiTheme="minorHAnsi"/>
          <w:sz w:val="22"/>
          <w:szCs w:val="22"/>
        </w:rPr>
        <w:t>of</w:t>
      </w:r>
      <w:r w:rsidR="00A16EB1" w:rsidRPr="007A7094">
        <w:rPr>
          <w:rFonts w:asciiTheme="minorHAnsi" w:hAnsiTheme="minorHAnsi"/>
          <w:sz w:val="22"/>
          <w:szCs w:val="22"/>
        </w:rPr>
        <w:t>-</w:t>
      </w:r>
      <w:r w:rsidR="00BB0B0C" w:rsidRPr="007A7094">
        <w:rPr>
          <w:rFonts w:asciiTheme="minorHAnsi" w:hAnsiTheme="minorHAnsi"/>
          <w:sz w:val="22"/>
          <w:szCs w:val="22"/>
        </w:rPr>
        <w:t xml:space="preserve">concern. </w:t>
      </w:r>
      <w:r w:rsidR="00A36A11" w:rsidRPr="007A7094">
        <w:rPr>
          <w:rFonts w:asciiTheme="minorHAnsi" w:hAnsiTheme="minorHAnsi"/>
          <w:sz w:val="22"/>
          <w:szCs w:val="22"/>
        </w:rPr>
        <w:t>Accordingly, this helps</w:t>
      </w:r>
      <w:r w:rsidR="00BB0B0C" w:rsidRPr="007A7094">
        <w:rPr>
          <w:rFonts w:asciiTheme="minorHAnsi" w:hAnsiTheme="minorHAnsi"/>
          <w:sz w:val="22"/>
          <w:szCs w:val="22"/>
        </w:rPr>
        <w:t xml:space="preserve"> notice </w:t>
      </w:r>
      <w:r w:rsidR="007E6E8F" w:rsidRPr="007A7094">
        <w:rPr>
          <w:rFonts w:asciiTheme="minorHAnsi" w:hAnsiTheme="minorHAnsi"/>
          <w:sz w:val="22"/>
          <w:szCs w:val="22"/>
        </w:rPr>
        <w:t xml:space="preserve">how </w:t>
      </w:r>
      <w:r w:rsidR="00A36A11" w:rsidRPr="007A7094">
        <w:rPr>
          <w:rFonts w:asciiTheme="minorHAnsi" w:hAnsiTheme="minorHAnsi"/>
          <w:sz w:val="22"/>
          <w:szCs w:val="22"/>
        </w:rPr>
        <w:t xml:space="preserve">interventions </w:t>
      </w:r>
      <w:r w:rsidR="007E6E8F" w:rsidRPr="007A7094">
        <w:rPr>
          <w:rFonts w:asciiTheme="minorHAnsi" w:hAnsiTheme="minorHAnsi"/>
          <w:sz w:val="22"/>
          <w:szCs w:val="22"/>
        </w:rPr>
        <w:t>are not separate from</w:t>
      </w:r>
      <w:r w:rsidR="00076991" w:rsidRPr="007A7094">
        <w:rPr>
          <w:rFonts w:asciiTheme="minorHAnsi" w:hAnsiTheme="minorHAnsi"/>
          <w:sz w:val="22"/>
          <w:szCs w:val="22"/>
        </w:rPr>
        <w:t>,</w:t>
      </w:r>
      <w:r w:rsidR="007E6E8F" w:rsidRPr="007A7094">
        <w:rPr>
          <w:rFonts w:asciiTheme="minorHAnsi" w:hAnsiTheme="minorHAnsi"/>
          <w:sz w:val="22"/>
          <w:szCs w:val="22"/>
        </w:rPr>
        <w:t xml:space="preserve"> but entangled with</w:t>
      </w:r>
      <w:r w:rsidR="00076991" w:rsidRPr="007A7094">
        <w:rPr>
          <w:rFonts w:asciiTheme="minorHAnsi" w:hAnsiTheme="minorHAnsi"/>
          <w:sz w:val="22"/>
          <w:szCs w:val="22"/>
        </w:rPr>
        <w:t>,</w:t>
      </w:r>
      <w:r w:rsidR="007E6E8F" w:rsidRPr="007A7094">
        <w:rPr>
          <w:rFonts w:asciiTheme="minorHAnsi" w:hAnsiTheme="minorHAnsi"/>
          <w:sz w:val="22"/>
          <w:szCs w:val="22"/>
        </w:rPr>
        <w:t xml:space="preserve"> </w:t>
      </w:r>
      <w:r w:rsidR="00A36A11" w:rsidRPr="007A7094">
        <w:rPr>
          <w:rFonts w:asciiTheme="minorHAnsi" w:hAnsiTheme="minorHAnsi"/>
          <w:sz w:val="22"/>
          <w:szCs w:val="22"/>
        </w:rPr>
        <w:t xml:space="preserve">everyday clinical and social </w:t>
      </w:r>
      <w:r w:rsidR="007E6E8F" w:rsidRPr="007A7094">
        <w:rPr>
          <w:rFonts w:asciiTheme="minorHAnsi" w:hAnsiTheme="minorHAnsi"/>
          <w:sz w:val="22"/>
          <w:szCs w:val="22"/>
        </w:rPr>
        <w:t>practices.</w:t>
      </w:r>
      <w:r w:rsidR="00DC4A53" w:rsidRPr="007A7094">
        <w:rPr>
          <w:rFonts w:asciiTheme="minorHAnsi" w:hAnsiTheme="minorHAnsi"/>
          <w:sz w:val="22"/>
          <w:szCs w:val="22"/>
        </w:rPr>
        <w:t xml:space="preserve"> </w:t>
      </w:r>
      <w:r w:rsidR="009A65D4" w:rsidRPr="007A7094">
        <w:rPr>
          <w:rFonts w:asciiTheme="minorHAnsi" w:hAnsiTheme="minorHAnsi"/>
          <w:sz w:val="22"/>
          <w:szCs w:val="22"/>
        </w:rPr>
        <w:t>Thinking of</w:t>
      </w:r>
      <w:r w:rsidR="00DA68E5" w:rsidRPr="007A7094">
        <w:rPr>
          <w:rFonts w:asciiTheme="minorHAnsi" w:hAnsiTheme="minorHAnsi"/>
          <w:sz w:val="22"/>
          <w:szCs w:val="22"/>
        </w:rPr>
        <w:t xml:space="preserve"> </w:t>
      </w:r>
      <w:r w:rsidR="005454F3" w:rsidRPr="007A7094">
        <w:rPr>
          <w:rFonts w:asciiTheme="minorHAnsi" w:hAnsiTheme="minorHAnsi"/>
          <w:sz w:val="22"/>
          <w:szCs w:val="22"/>
        </w:rPr>
        <w:t xml:space="preserve">scientific, clinical and other evidence-making </w:t>
      </w:r>
      <w:r w:rsidR="00DA68E5" w:rsidRPr="007A7094">
        <w:rPr>
          <w:rFonts w:asciiTheme="minorHAnsi" w:hAnsiTheme="minorHAnsi"/>
          <w:sz w:val="22"/>
          <w:szCs w:val="22"/>
        </w:rPr>
        <w:t>practices</w:t>
      </w:r>
      <w:r w:rsidR="009516B1" w:rsidRPr="007A7094">
        <w:rPr>
          <w:rFonts w:asciiTheme="minorHAnsi" w:hAnsiTheme="minorHAnsi"/>
          <w:sz w:val="22"/>
          <w:szCs w:val="22"/>
        </w:rPr>
        <w:t xml:space="preserve"> as performative</w:t>
      </w:r>
      <w:r w:rsidR="00A36A11" w:rsidRPr="007A7094">
        <w:rPr>
          <w:rFonts w:asciiTheme="minorHAnsi" w:hAnsiTheme="minorHAnsi"/>
          <w:sz w:val="22"/>
          <w:szCs w:val="22"/>
        </w:rPr>
        <w:t xml:space="preserve"> </w:t>
      </w:r>
      <w:r w:rsidRPr="007A7094">
        <w:rPr>
          <w:rFonts w:asciiTheme="minorHAnsi" w:hAnsiTheme="minorHAnsi"/>
          <w:sz w:val="22"/>
          <w:szCs w:val="22"/>
        </w:rPr>
        <w:t xml:space="preserve">is a strategic intervention which </w:t>
      </w:r>
      <w:r w:rsidR="00A36A11" w:rsidRPr="007A7094">
        <w:rPr>
          <w:rFonts w:asciiTheme="minorHAnsi" w:hAnsiTheme="minorHAnsi"/>
          <w:sz w:val="22"/>
          <w:szCs w:val="22"/>
        </w:rPr>
        <w:t>has practical</w:t>
      </w:r>
      <w:r w:rsidR="00C33CD0" w:rsidRPr="007A7094">
        <w:rPr>
          <w:rFonts w:asciiTheme="minorHAnsi" w:hAnsiTheme="minorHAnsi"/>
          <w:sz w:val="22"/>
          <w:szCs w:val="22"/>
        </w:rPr>
        <w:t xml:space="preserve"> </w:t>
      </w:r>
      <w:r w:rsidR="009271AB" w:rsidRPr="007A7094">
        <w:rPr>
          <w:rFonts w:asciiTheme="minorHAnsi" w:hAnsiTheme="minorHAnsi"/>
          <w:sz w:val="22"/>
          <w:szCs w:val="22"/>
        </w:rPr>
        <w:t xml:space="preserve">and political </w:t>
      </w:r>
      <w:r w:rsidR="00C33CD0" w:rsidRPr="007A7094">
        <w:rPr>
          <w:rFonts w:asciiTheme="minorHAnsi" w:hAnsiTheme="minorHAnsi"/>
          <w:sz w:val="22"/>
          <w:szCs w:val="22"/>
        </w:rPr>
        <w:t>implications</w:t>
      </w:r>
      <w:r w:rsidR="003904E6" w:rsidRPr="007A7094">
        <w:rPr>
          <w:rFonts w:asciiTheme="minorHAnsi" w:hAnsiTheme="minorHAnsi"/>
          <w:sz w:val="22"/>
          <w:szCs w:val="22"/>
        </w:rPr>
        <w:t>.</w:t>
      </w:r>
      <w:r w:rsidR="00C33CD0" w:rsidRPr="007A7094">
        <w:rPr>
          <w:rFonts w:asciiTheme="minorHAnsi" w:hAnsiTheme="minorHAnsi"/>
          <w:sz w:val="22"/>
          <w:szCs w:val="22"/>
        </w:rPr>
        <w:t xml:space="preserve">  </w:t>
      </w:r>
      <w:r w:rsidR="00327EE3" w:rsidRPr="007A7094">
        <w:rPr>
          <w:rFonts w:asciiTheme="minorHAnsi" w:hAnsiTheme="minorHAnsi"/>
          <w:sz w:val="22"/>
          <w:szCs w:val="22"/>
        </w:rPr>
        <w:t>It</w:t>
      </w:r>
      <w:r w:rsidR="00605FF6" w:rsidRPr="007A7094">
        <w:rPr>
          <w:rFonts w:asciiTheme="minorHAnsi" w:hAnsiTheme="minorHAnsi"/>
          <w:sz w:val="22"/>
          <w:szCs w:val="22"/>
        </w:rPr>
        <w:t xml:space="preserve"> </w:t>
      </w:r>
      <w:r w:rsidR="005E3683" w:rsidRPr="007A7094">
        <w:rPr>
          <w:rFonts w:asciiTheme="minorHAnsi" w:hAnsiTheme="minorHAnsi"/>
          <w:sz w:val="22"/>
          <w:szCs w:val="22"/>
        </w:rPr>
        <w:t>transforms</w:t>
      </w:r>
      <w:r w:rsidR="00D008B5" w:rsidRPr="007A7094">
        <w:rPr>
          <w:rFonts w:asciiTheme="minorHAnsi" w:hAnsiTheme="minorHAnsi"/>
          <w:sz w:val="22"/>
          <w:szCs w:val="22"/>
        </w:rPr>
        <w:t xml:space="preserve"> the terms of </w:t>
      </w:r>
      <w:r w:rsidR="00605FF6" w:rsidRPr="007A7094">
        <w:rPr>
          <w:rFonts w:asciiTheme="minorHAnsi" w:hAnsiTheme="minorHAnsi"/>
          <w:sz w:val="22"/>
          <w:szCs w:val="22"/>
        </w:rPr>
        <w:t xml:space="preserve">the </w:t>
      </w:r>
      <w:r w:rsidR="00D008B5" w:rsidRPr="007A7094">
        <w:rPr>
          <w:rFonts w:asciiTheme="minorHAnsi" w:hAnsiTheme="minorHAnsi"/>
          <w:sz w:val="22"/>
          <w:szCs w:val="22"/>
        </w:rPr>
        <w:t>debate</w:t>
      </w:r>
      <w:r w:rsidR="009271AB" w:rsidRPr="007A7094">
        <w:rPr>
          <w:rFonts w:asciiTheme="minorHAnsi" w:hAnsiTheme="minorHAnsi"/>
          <w:sz w:val="22"/>
          <w:szCs w:val="22"/>
        </w:rPr>
        <w:t>,</w:t>
      </w:r>
      <w:r w:rsidR="005454F3" w:rsidRPr="007A7094">
        <w:rPr>
          <w:rFonts w:asciiTheme="minorHAnsi" w:hAnsiTheme="minorHAnsi"/>
          <w:sz w:val="22"/>
          <w:szCs w:val="22"/>
        </w:rPr>
        <w:t xml:space="preserve"> </w:t>
      </w:r>
      <w:r w:rsidR="00605FF6" w:rsidRPr="007A7094">
        <w:rPr>
          <w:rFonts w:asciiTheme="minorHAnsi" w:hAnsiTheme="minorHAnsi"/>
          <w:sz w:val="22"/>
          <w:szCs w:val="22"/>
        </w:rPr>
        <w:t xml:space="preserve">opens up multiple possibilities, </w:t>
      </w:r>
      <w:r w:rsidR="00D008B5" w:rsidRPr="007A7094">
        <w:rPr>
          <w:rFonts w:asciiTheme="minorHAnsi" w:hAnsiTheme="minorHAnsi"/>
          <w:sz w:val="22"/>
          <w:szCs w:val="22"/>
        </w:rPr>
        <w:t xml:space="preserve">and </w:t>
      </w:r>
      <w:r w:rsidR="005E3683" w:rsidRPr="007A7094">
        <w:rPr>
          <w:rFonts w:asciiTheme="minorHAnsi" w:hAnsiTheme="minorHAnsi"/>
          <w:sz w:val="22"/>
          <w:szCs w:val="22"/>
        </w:rPr>
        <w:t>allows</w:t>
      </w:r>
      <w:r w:rsidR="005454F3" w:rsidRPr="007A7094">
        <w:rPr>
          <w:rFonts w:asciiTheme="minorHAnsi" w:hAnsiTheme="minorHAnsi"/>
          <w:sz w:val="22"/>
          <w:szCs w:val="22"/>
        </w:rPr>
        <w:t xml:space="preserve"> us </w:t>
      </w:r>
      <w:r w:rsidR="00D008B5" w:rsidRPr="007A7094">
        <w:rPr>
          <w:rFonts w:asciiTheme="minorHAnsi" w:hAnsiTheme="minorHAnsi"/>
          <w:sz w:val="22"/>
          <w:szCs w:val="22"/>
        </w:rPr>
        <w:t xml:space="preserve">to </w:t>
      </w:r>
      <w:r w:rsidR="005454F3" w:rsidRPr="007A7094">
        <w:rPr>
          <w:rFonts w:asciiTheme="minorHAnsi" w:hAnsiTheme="minorHAnsi"/>
          <w:sz w:val="22"/>
          <w:szCs w:val="22"/>
        </w:rPr>
        <w:t>know the object</w:t>
      </w:r>
      <w:r w:rsidR="009C2AC5" w:rsidRPr="007A7094">
        <w:rPr>
          <w:rFonts w:asciiTheme="minorHAnsi" w:hAnsiTheme="minorHAnsi"/>
          <w:sz w:val="22"/>
          <w:szCs w:val="22"/>
        </w:rPr>
        <w:t>(s)</w:t>
      </w:r>
      <w:r w:rsidR="005454F3" w:rsidRPr="007A7094">
        <w:rPr>
          <w:rFonts w:asciiTheme="minorHAnsi" w:hAnsiTheme="minorHAnsi"/>
          <w:sz w:val="22"/>
          <w:szCs w:val="22"/>
        </w:rPr>
        <w:t xml:space="preserve"> of hepatitis C cure more carefully</w:t>
      </w:r>
      <w:r w:rsidR="000F57BA" w:rsidRPr="007A7094">
        <w:rPr>
          <w:rFonts w:asciiTheme="minorHAnsi" w:hAnsiTheme="minorHAnsi"/>
          <w:sz w:val="22"/>
          <w:szCs w:val="22"/>
        </w:rPr>
        <w:t xml:space="preserve"> (in ways that matter)</w:t>
      </w:r>
      <w:r w:rsidR="005454F3" w:rsidRPr="007A7094">
        <w:rPr>
          <w:rFonts w:asciiTheme="minorHAnsi" w:hAnsiTheme="minorHAnsi"/>
          <w:sz w:val="22"/>
          <w:szCs w:val="22"/>
        </w:rPr>
        <w:t xml:space="preserve">. </w:t>
      </w:r>
      <w:r w:rsidR="00D008B5" w:rsidRPr="007A7094">
        <w:rPr>
          <w:rFonts w:asciiTheme="minorHAnsi" w:hAnsiTheme="minorHAnsi"/>
          <w:sz w:val="22"/>
          <w:szCs w:val="22"/>
        </w:rPr>
        <w:t>As Butler (1990</w:t>
      </w:r>
      <w:r w:rsidR="00601E34" w:rsidRPr="007A7094">
        <w:rPr>
          <w:rFonts w:asciiTheme="minorHAnsi" w:hAnsiTheme="minorHAnsi"/>
          <w:sz w:val="22"/>
          <w:szCs w:val="22"/>
        </w:rPr>
        <w:t>:</w:t>
      </w:r>
      <w:r w:rsidR="008C6A91" w:rsidRPr="007A7094">
        <w:rPr>
          <w:rFonts w:asciiTheme="minorHAnsi" w:hAnsiTheme="minorHAnsi"/>
          <w:sz w:val="22"/>
          <w:szCs w:val="22"/>
        </w:rPr>
        <w:t xml:space="preserve"> </w:t>
      </w:r>
      <w:r w:rsidR="00D008B5" w:rsidRPr="007A7094">
        <w:rPr>
          <w:rFonts w:asciiTheme="minorHAnsi" w:hAnsiTheme="minorHAnsi"/>
          <w:sz w:val="22"/>
          <w:szCs w:val="22"/>
        </w:rPr>
        <w:t xml:space="preserve">viii) </w:t>
      </w:r>
      <w:r w:rsidR="007B3EEC" w:rsidRPr="007A7094">
        <w:rPr>
          <w:rFonts w:asciiTheme="minorHAnsi" w:hAnsiTheme="minorHAnsi"/>
          <w:sz w:val="22"/>
          <w:szCs w:val="22"/>
        </w:rPr>
        <w:t xml:space="preserve">has </w:t>
      </w:r>
      <w:r w:rsidR="00D008B5" w:rsidRPr="007A7094">
        <w:rPr>
          <w:rFonts w:asciiTheme="minorHAnsi" w:hAnsiTheme="minorHAnsi"/>
          <w:sz w:val="22"/>
          <w:szCs w:val="22"/>
        </w:rPr>
        <w:t xml:space="preserve">argued, “[o]ne might wonder what </w:t>
      </w:r>
      <w:r w:rsidR="00D008B5" w:rsidRPr="007A7094">
        <w:rPr>
          <w:rFonts w:asciiTheme="minorHAnsi" w:hAnsiTheme="minorHAnsi"/>
          <w:sz w:val="22"/>
          <w:szCs w:val="22"/>
        </w:rPr>
        <w:lastRenderedPageBreak/>
        <w:t>use ‘opening up possibilities’ finally is, but no one who has understood what it is to live in the social world as what is ‘impossible,’ illegible, unrealisable, unreal, and illegitimate is likely to pose that question.”</w:t>
      </w:r>
      <w:r w:rsidR="00DF3BBE" w:rsidRPr="007A7094">
        <w:rPr>
          <w:rFonts w:asciiTheme="minorHAnsi" w:hAnsiTheme="minorHAnsi"/>
          <w:sz w:val="22"/>
          <w:szCs w:val="22"/>
        </w:rPr>
        <w:t xml:space="preserve"> </w:t>
      </w:r>
    </w:p>
    <w:p w14:paraId="6006B9C1" w14:textId="781BC654" w:rsidR="00692019" w:rsidRPr="007A7094" w:rsidRDefault="00692019" w:rsidP="00722632">
      <w:pPr>
        <w:pStyle w:val="Standard"/>
        <w:spacing w:line="480" w:lineRule="auto"/>
        <w:jc w:val="both"/>
        <w:rPr>
          <w:rFonts w:asciiTheme="minorHAnsi" w:hAnsiTheme="minorHAnsi"/>
          <w:sz w:val="22"/>
          <w:szCs w:val="22"/>
        </w:rPr>
      </w:pPr>
    </w:p>
    <w:p w14:paraId="14A278D3" w14:textId="2027B532" w:rsidR="00692019" w:rsidRPr="007A7094" w:rsidRDefault="00692019" w:rsidP="00722632">
      <w:pPr>
        <w:pStyle w:val="Standard"/>
        <w:spacing w:line="480" w:lineRule="auto"/>
        <w:jc w:val="both"/>
        <w:rPr>
          <w:rFonts w:asciiTheme="minorHAnsi" w:hAnsiTheme="minorHAnsi"/>
          <w:i/>
        </w:rPr>
      </w:pPr>
      <w:r w:rsidRPr="007A7094">
        <w:rPr>
          <w:rFonts w:asciiTheme="minorHAnsi" w:hAnsiTheme="minorHAnsi"/>
          <w:i/>
        </w:rPr>
        <w:t>A more careful science</w:t>
      </w:r>
    </w:p>
    <w:p w14:paraId="15F996FF" w14:textId="1E42A013" w:rsidR="00F36558" w:rsidRPr="007A7094" w:rsidRDefault="00692019" w:rsidP="000D6CA1">
      <w:pPr>
        <w:pStyle w:val="Standard"/>
        <w:spacing w:line="480" w:lineRule="auto"/>
        <w:jc w:val="both"/>
        <w:rPr>
          <w:rFonts w:asciiTheme="minorHAnsi" w:hAnsiTheme="minorHAnsi"/>
          <w:sz w:val="22"/>
          <w:szCs w:val="22"/>
        </w:rPr>
      </w:pPr>
      <w:r w:rsidRPr="007A7094">
        <w:rPr>
          <w:rFonts w:asciiTheme="minorHAnsi" w:hAnsiTheme="minorHAnsi"/>
          <w:sz w:val="22"/>
          <w:szCs w:val="22"/>
        </w:rPr>
        <w:t xml:space="preserve">Attending to evidence-making as a </w:t>
      </w:r>
      <w:r w:rsidR="00BD52E5" w:rsidRPr="007A7094">
        <w:rPr>
          <w:rFonts w:asciiTheme="minorHAnsi" w:hAnsiTheme="minorHAnsi"/>
          <w:sz w:val="22"/>
          <w:szCs w:val="22"/>
        </w:rPr>
        <w:t xml:space="preserve">performative </w:t>
      </w:r>
      <w:r w:rsidRPr="007A7094">
        <w:rPr>
          <w:rFonts w:asciiTheme="minorHAnsi" w:hAnsiTheme="minorHAnsi"/>
          <w:sz w:val="22"/>
          <w:szCs w:val="22"/>
        </w:rPr>
        <w:t xml:space="preserve">practice </w:t>
      </w:r>
      <w:r w:rsidR="002F7087" w:rsidRPr="007A7094">
        <w:rPr>
          <w:rFonts w:asciiTheme="minorHAnsi" w:hAnsiTheme="minorHAnsi"/>
          <w:sz w:val="22"/>
          <w:szCs w:val="22"/>
        </w:rPr>
        <w:t>i</w:t>
      </w:r>
      <w:r w:rsidRPr="007A7094">
        <w:rPr>
          <w:rFonts w:asciiTheme="minorHAnsi" w:hAnsiTheme="minorHAnsi"/>
          <w:sz w:val="22"/>
          <w:szCs w:val="22"/>
        </w:rPr>
        <w:t xml:space="preserve">s a more careful way of </w:t>
      </w:r>
      <w:r w:rsidR="00A113BF" w:rsidRPr="007A7094">
        <w:rPr>
          <w:rFonts w:asciiTheme="minorHAnsi" w:hAnsiTheme="minorHAnsi"/>
          <w:sz w:val="22"/>
          <w:szCs w:val="22"/>
        </w:rPr>
        <w:t>knowing</w:t>
      </w:r>
      <w:r w:rsidRPr="007A7094">
        <w:rPr>
          <w:rFonts w:asciiTheme="minorHAnsi" w:hAnsiTheme="minorHAnsi"/>
          <w:sz w:val="22"/>
          <w:szCs w:val="22"/>
        </w:rPr>
        <w:t>.</w:t>
      </w:r>
      <w:r w:rsidR="00312A78" w:rsidRPr="007A7094">
        <w:rPr>
          <w:rFonts w:asciiTheme="minorHAnsi" w:hAnsiTheme="minorHAnsi"/>
          <w:sz w:val="22"/>
          <w:szCs w:val="22"/>
        </w:rPr>
        <w:t xml:space="preserve"> It helps </w:t>
      </w:r>
      <w:r w:rsidR="000D6CA1" w:rsidRPr="007A7094">
        <w:rPr>
          <w:rFonts w:asciiTheme="minorHAnsi" w:hAnsiTheme="minorHAnsi"/>
          <w:sz w:val="22"/>
          <w:szCs w:val="22"/>
        </w:rPr>
        <w:t>reassemble</w:t>
      </w:r>
      <w:r w:rsidR="00312A78" w:rsidRPr="007A7094">
        <w:rPr>
          <w:rFonts w:asciiTheme="minorHAnsi" w:hAnsiTheme="minorHAnsi"/>
          <w:sz w:val="22"/>
          <w:szCs w:val="22"/>
        </w:rPr>
        <w:t xml:space="preserve"> evidenc</w:t>
      </w:r>
      <w:r w:rsidR="009A03CC" w:rsidRPr="007A7094">
        <w:rPr>
          <w:rFonts w:asciiTheme="minorHAnsi" w:hAnsiTheme="minorHAnsi"/>
          <w:sz w:val="22"/>
          <w:szCs w:val="22"/>
        </w:rPr>
        <w:t>ing</w:t>
      </w:r>
      <w:r w:rsidR="00312A78" w:rsidRPr="007A7094">
        <w:rPr>
          <w:rFonts w:asciiTheme="minorHAnsi" w:hAnsiTheme="minorHAnsi"/>
          <w:sz w:val="22"/>
          <w:szCs w:val="22"/>
        </w:rPr>
        <w:t xml:space="preserve"> in particular social, political and </w:t>
      </w:r>
      <w:r w:rsidR="009A03CC" w:rsidRPr="007A7094">
        <w:rPr>
          <w:rFonts w:asciiTheme="minorHAnsi" w:hAnsiTheme="minorHAnsi"/>
          <w:sz w:val="22"/>
          <w:szCs w:val="22"/>
        </w:rPr>
        <w:t>ethical</w:t>
      </w:r>
      <w:r w:rsidR="00312A78" w:rsidRPr="007A7094">
        <w:rPr>
          <w:rFonts w:asciiTheme="minorHAnsi" w:hAnsiTheme="minorHAnsi"/>
          <w:sz w:val="22"/>
          <w:szCs w:val="22"/>
        </w:rPr>
        <w:t xml:space="preserve"> </w:t>
      </w:r>
      <w:r w:rsidR="000D6CA1" w:rsidRPr="007A7094">
        <w:rPr>
          <w:rFonts w:asciiTheme="minorHAnsi" w:hAnsiTheme="minorHAnsi"/>
          <w:sz w:val="22"/>
          <w:szCs w:val="22"/>
        </w:rPr>
        <w:t>concerns</w:t>
      </w:r>
      <w:r w:rsidR="00312A78" w:rsidRPr="007A7094">
        <w:rPr>
          <w:rFonts w:asciiTheme="minorHAnsi" w:hAnsiTheme="minorHAnsi"/>
          <w:sz w:val="22"/>
          <w:szCs w:val="22"/>
        </w:rPr>
        <w:t xml:space="preserve">. We can no longer act </w:t>
      </w:r>
      <w:r w:rsidR="00312A78" w:rsidRPr="007A7094">
        <w:rPr>
          <w:rFonts w:asciiTheme="minorHAnsi" w:hAnsiTheme="minorHAnsi"/>
          <w:i/>
          <w:sz w:val="22"/>
          <w:szCs w:val="22"/>
        </w:rPr>
        <w:t>as if</w:t>
      </w:r>
      <w:r w:rsidR="00312A78" w:rsidRPr="007A7094">
        <w:rPr>
          <w:rFonts w:asciiTheme="minorHAnsi" w:hAnsiTheme="minorHAnsi"/>
          <w:sz w:val="22"/>
          <w:szCs w:val="22"/>
        </w:rPr>
        <w:t xml:space="preserve"> EBM produces </w:t>
      </w:r>
      <w:r w:rsidR="000D6CA1" w:rsidRPr="007A7094">
        <w:rPr>
          <w:rFonts w:asciiTheme="minorHAnsi" w:hAnsiTheme="minorHAnsi"/>
          <w:sz w:val="22"/>
          <w:szCs w:val="22"/>
        </w:rPr>
        <w:t xml:space="preserve">clean </w:t>
      </w:r>
      <w:r w:rsidR="00312A78" w:rsidRPr="007A7094">
        <w:rPr>
          <w:rFonts w:asciiTheme="minorHAnsi" w:hAnsiTheme="minorHAnsi"/>
          <w:sz w:val="22"/>
          <w:szCs w:val="22"/>
        </w:rPr>
        <w:t>fact</w:t>
      </w:r>
      <w:r w:rsidR="000D6CA1" w:rsidRPr="007A7094">
        <w:rPr>
          <w:rFonts w:asciiTheme="minorHAnsi" w:hAnsiTheme="minorHAnsi"/>
          <w:sz w:val="22"/>
          <w:szCs w:val="22"/>
        </w:rPr>
        <w:t>s</w:t>
      </w:r>
      <w:r w:rsidR="00312A78" w:rsidRPr="007A7094">
        <w:rPr>
          <w:rFonts w:asciiTheme="minorHAnsi" w:hAnsiTheme="minorHAnsi"/>
          <w:sz w:val="22"/>
          <w:szCs w:val="22"/>
        </w:rPr>
        <w:t xml:space="preserve"> isolatable from </w:t>
      </w:r>
      <w:r w:rsidR="000D6CA1" w:rsidRPr="007A7094">
        <w:rPr>
          <w:rFonts w:asciiTheme="minorHAnsi" w:hAnsiTheme="minorHAnsi"/>
          <w:sz w:val="22"/>
          <w:szCs w:val="22"/>
        </w:rPr>
        <w:t xml:space="preserve">their </w:t>
      </w:r>
      <w:r w:rsidR="00312A78" w:rsidRPr="007A7094">
        <w:rPr>
          <w:rFonts w:asciiTheme="minorHAnsi" w:hAnsiTheme="minorHAnsi"/>
          <w:sz w:val="22"/>
          <w:szCs w:val="22"/>
        </w:rPr>
        <w:t xml:space="preserve">knowledge-making practices and contexts. The </w:t>
      </w:r>
      <w:r w:rsidR="009A342F" w:rsidRPr="007A7094">
        <w:rPr>
          <w:rFonts w:asciiTheme="minorHAnsi" w:hAnsiTheme="minorHAnsi"/>
          <w:sz w:val="22"/>
          <w:szCs w:val="22"/>
        </w:rPr>
        <w:t>‘</w:t>
      </w:r>
      <w:r w:rsidR="00312A78" w:rsidRPr="007A7094">
        <w:rPr>
          <w:rFonts w:asciiTheme="minorHAnsi" w:hAnsiTheme="minorHAnsi"/>
          <w:sz w:val="22"/>
          <w:szCs w:val="22"/>
        </w:rPr>
        <w:t>facts</w:t>
      </w:r>
      <w:r w:rsidR="009A342F" w:rsidRPr="007A7094">
        <w:rPr>
          <w:rFonts w:asciiTheme="minorHAnsi" w:hAnsiTheme="minorHAnsi"/>
          <w:sz w:val="22"/>
          <w:szCs w:val="22"/>
        </w:rPr>
        <w:t>’</w:t>
      </w:r>
      <w:r w:rsidR="00312A78" w:rsidRPr="007A7094">
        <w:rPr>
          <w:rFonts w:asciiTheme="minorHAnsi" w:hAnsiTheme="minorHAnsi"/>
          <w:sz w:val="22"/>
          <w:szCs w:val="22"/>
        </w:rPr>
        <w:t xml:space="preserve"> that are made in evidence-based science, how they are put-to-use, and how they are made-to-matter, is accomplished through performance work</w:t>
      </w:r>
      <w:r w:rsidR="009328D6" w:rsidRPr="007A7094">
        <w:rPr>
          <w:rFonts w:asciiTheme="minorHAnsi" w:hAnsiTheme="minorHAnsi"/>
          <w:sz w:val="22"/>
          <w:szCs w:val="22"/>
        </w:rPr>
        <w:t xml:space="preserve"> that is at </w:t>
      </w:r>
      <w:r w:rsidR="000A7415" w:rsidRPr="007A7094">
        <w:rPr>
          <w:rFonts w:asciiTheme="minorHAnsi" w:hAnsiTheme="minorHAnsi"/>
          <w:sz w:val="22"/>
          <w:szCs w:val="22"/>
        </w:rPr>
        <w:t xml:space="preserve">once affected by, </w:t>
      </w:r>
      <w:r w:rsidR="00F36558" w:rsidRPr="007A7094">
        <w:rPr>
          <w:rFonts w:asciiTheme="minorHAnsi" w:hAnsiTheme="minorHAnsi"/>
          <w:sz w:val="22"/>
          <w:szCs w:val="22"/>
        </w:rPr>
        <w:t>while</w:t>
      </w:r>
      <w:r w:rsidR="000A7415" w:rsidRPr="007A7094">
        <w:rPr>
          <w:rFonts w:asciiTheme="minorHAnsi" w:hAnsiTheme="minorHAnsi"/>
          <w:sz w:val="22"/>
          <w:szCs w:val="22"/>
        </w:rPr>
        <w:t xml:space="preserve"> affect</w:t>
      </w:r>
      <w:r w:rsidR="00F36558" w:rsidRPr="007A7094">
        <w:rPr>
          <w:rFonts w:asciiTheme="minorHAnsi" w:hAnsiTheme="minorHAnsi"/>
          <w:sz w:val="22"/>
          <w:szCs w:val="22"/>
        </w:rPr>
        <w:t>ing</w:t>
      </w:r>
      <w:r w:rsidR="000A7415" w:rsidRPr="007A7094">
        <w:rPr>
          <w:rFonts w:asciiTheme="minorHAnsi" w:hAnsiTheme="minorHAnsi"/>
          <w:sz w:val="22"/>
          <w:szCs w:val="22"/>
        </w:rPr>
        <w:t xml:space="preserve">, </w:t>
      </w:r>
      <w:r w:rsidR="009328D6" w:rsidRPr="007A7094">
        <w:rPr>
          <w:rFonts w:asciiTheme="minorHAnsi" w:hAnsiTheme="minorHAnsi"/>
          <w:sz w:val="22"/>
          <w:szCs w:val="22"/>
        </w:rPr>
        <w:t>its social</w:t>
      </w:r>
      <w:r w:rsidR="000A7415" w:rsidRPr="007A7094">
        <w:rPr>
          <w:rFonts w:asciiTheme="minorHAnsi" w:hAnsiTheme="minorHAnsi"/>
          <w:sz w:val="22"/>
          <w:szCs w:val="22"/>
        </w:rPr>
        <w:t xml:space="preserve"> relations.</w:t>
      </w:r>
      <w:r w:rsidR="009800BF" w:rsidRPr="007A7094">
        <w:rPr>
          <w:rFonts w:asciiTheme="minorHAnsi" w:hAnsiTheme="minorHAnsi"/>
          <w:sz w:val="22"/>
          <w:szCs w:val="22"/>
        </w:rPr>
        <w:t xml:space="preserve"> A more careful evidence-based science </w:t>
      </w:r>
      <w:r w:rsidR="00F36558" w:rsidRPr="007A7094">
        <w:rPr>
          <w:rFonts w:asciiTheme="minorHAnsi" w:hAnsiTheme="minorHAnsi"/>
          <w:sz w:val="22"/>
          <w:szCs w:val="22"/>
        </w:rPr>
        <w:t xml:space="preserve">does not simply ask ‘What </w:t>
      </w:r>
      <w:r w:rsidR="00F36558" w:rsidRPr="007A7094">
        <w:rPr>
          <w:rFonts w:asciiTheme="minorHAnsi" w:hAnsiTheme="minorHAnsi"/>
          <w:i/>
          <w:sz w:val="22"/>
          <w:szCs w:val="22"/>
        </w:rPr>
        <w:t>is</w:t>
      </w:r>
      <w:r w:rsidR="00F36558" w:rsidRPr="007A7094">
        <w:rPr>
          <w:rFonts w:asciiTheme="minorHAnsi" w:hAnsiTheme="minorHAnsi"/>
          <w:sz w:val="22"/>
          <w:szCs w:val="22"/>
        </w:rPr>
        <w:t xml:space="preserve"> the evidence?’, but also asks ‘</w:t>
      </w:r>
      <w:r w:rsidR="00F36558" w:rsidRPr="007A7094">
        <w:rPr>
          <w:rFonts w:asciiTheme="minorHAnsi" w:hAnsiTheme="minorHAnsi"/>
          <w:i/>
          <w:sz w:val="22"/>
          <w:szCs w:val="22"/>
        </w:rPr>
        <w:t>How</w:t>
      </w:r>
      <w:r w:rsidR="00F36558" w:rsidRPr="007A7094">
        <w:rPr>
          <w:rFonts w:asciiTheme="minorHAnsi" w:hAnsiTheme="minorHAnsi"/>
          <w:sz w:val="22"/>
          <w:szCs w:val="22"/>
        </w:rPr>
        <w:t xml:space="preserve"> is evidence </w:t>
      </w:r>
      <w:r w:rsidR="00F36558" w:rsidRPr="007A7094">
        <w:rPr>
          <w:rFonts w:asciiTheme="minorHAnsi" w:hAnsiTheme="minorHAnsi"/>
          <w:i/>
          <w:sz w:val="22"/>
          <w:szCs w:val="22"/>
        </w:rPr>
        <w:t>made</w:t>
      </w:r>
      <w:r w:rsidR="00F36558" w:rsidRPr="007A7094">
        <w:rPr>
          <w:rFonts w:asciiTheme="minorHAnsi" w:hAnsiTheme="minorHAnsi"/>
          <w:sz w:val="22"/>
          <w:szCs w:val="22"/>
        </w:rPr>
        <w:t xml:space="preserve">?’, ‘How is evidence </w:t>
      </w:r>
      <w:r w:rsidR="00F36558" w:rsidRPr="007A7094">
        <w:rPr>
          <w:rFonts w:asciiTheme="minorHAnsi" w:hAnsiTheme="minorHAnsi"/>
          <w:i/>
          <w:sz w:val="22"/>
          <w:szCs w:val="22"/>
        </w:rPr>
        <w:t>put-to-use</w:t>
      </w:r>
      <w:r w:rsidR="00F36558" w:rsidRPr="007A7094">
        <w:rPr>
          <w:rFonts w:asciiTheme="minorHAnsi" w:hAnsiTheme="minorHAnsi"/>
          <w:sz w:val="22"/>
          <w:szCs w:val="22"/>
        </w:rPr>
        <w:t xml:space="preserve">?’, and ‘How is evidence </w:t>
      </w:r>
      <w:r w:rsidR="00F36558" w:rsidRPr="007A7094">
        <w:rPr>
          <w:rFonts w:asciiTheme="minorHAnsi" w:hAnsiTheme="minorHAnsi"/>
          <w:i/>
          <w:sz w:val="22"/>
          <w:szCs w:val="22"/>
        </w:rPr>
        <w:t>made-to-matter</w:t>
      </w:r>
      <w:r w:rsidR="00F36558" w:rsidRPr="007A7094">
        <w:rPr>
          <w:rFonts w:asciiTheme="minorHAnsi" w:hAnsiTheme="minorHAnsi"/>
          <w:sz w:val="22"/>
          <w:szCs w:val="22"/>
        </w:rPr>
        <w:t>?’</w:t>
      </w:r>
      <w:r w:rsidR="00A113BF" w:rsidRPr="007A7094">
        <w:rPr>
          <w:rFonts w:asciiTheme="minorHAnsi" w:hAnsiTheme="minorHAnsi"/>
          <w:sz w:val="22"/>
          <w:szCs w:val="22"/>
        </w:rPr>
        <w:t xml:space="preserve"> (Rhodes and Lancaster, 2019a). </w:t>
      </w:r>
      <w:r w:rsidR="0062709E" w:rsidRPr="007A7094">
        <w:rPr>
          <w:rFonts w:asciiTheme="minorHAnsi" w:hAnsiTheme="minorHAnsi"/>
          <w:sz w:val="22"/>
          <w:szCs w:val="22"/>
        </w:rPr>
        <w:t>These questions, we suggest, are not merely troublesome</w:t>
      </w:r>
      <w:r w:rsidR="005A50C4" w:rsidRPr="007A7094">
        <w:rPr>
          <w:rFonts w:asciiTheme="minorHAnsi" w:hAnsiTheme="minorHAnsi"/>
          <w:sz w:val="22"/>
          <w:szCs w:val="22"/>
        </w:rPr>
        <w:t xml:space="preserve"> but </w:t>
      </w:r>
      <w:r w:rsidR="00D72173" w:rsidRPr="007A7094">
        <w:rPr>
          <w:rFonts w:asciiTheme="minorHAnsi" w:hAnsiTheme="minorHAnsi"/>
          <w:sz w:val="22"/>
          <w:szCs w:val="22"/>
        </w:rPr>
        <w:t xml:space="preserve">a “vital necessity” </w:t>
      </w:r>
      <w:r w:rsidR="008C6A91" w:rsidRPr="007A7094">
        <w:rPr>
          <w:rFonts w:asciiTheme="minorHAnsi" w:hAnsiTheme="minorHAnsi"/>
          <w:sz w:val="22"/>
          <w:szCs w:val="22"/>
        </w:rPr>
        <w:t xml:space="preserve">(Puig de la Bellacasa, 2011) </w:t>
      </w:r>
      <w:r w:rsidR="005A50C4" w:rsidRPr="007A7094">
        <w:rPr>
          <w:rFonts w:asciiTheme="minorHAnsi" w:hAnsiTheme="minorHAnsi"/>
          <w:sz w:val="22"/>
          <w:szCs w:val="22"/>
        </w:rPr>
        <w:t xml:space="preserve">if our goal is to improve implementation outcomes in health </w:t>
      </w:r>
      <w:r w:rsidR="002F7087" w:rsidRPr="007A7094">
        <w:rPr>
          <w:rFonts w:asciiTheme="minorHAnsi" w:hAnsiTheme="minorHAnsi"/>
          <w:sz w:val="22"/>
          <w:szCs w:val="22"/>
        </w:rPr>
        <w:t xml:space="preserve">which </w:t>
      </w:r>
      <w:r w:rsidR="005A50C4" w:rsidRPr="007A7094">
        <w:rPr>
          <w:rFonts w:asciiTheme="minorHAnsi" w:hAnsiTheme="minorHAnsi"/>
          <w:sz w:val="22"/>
          <w:szCs w:val="22"/>
        </w:rPr>
        <w:t xml:space="preserve">contribute to making more liveable worlds. </w:t>
      </w:r>
      <w:r w:rsidR="000D6CA1" w:rsidRPr="007A7094">
        <w:rPr>
          <w:rFonts w:asciiTheme="minorHAnsi" w:hAnsiTheme="minorHAnsi"/>
          <w:sz w:val="22"/>
          <w:szCs w:val="22"/>
        </w:rPr>
        <w:t xml:space="preserve">A more careful science attuned to matters-of-concern is at once </w:t>
      </w:r>
      <w:r w:rsidR="00A113BF" w:rsidRPr="007A7094">
        <w:rPr>
          <w:rFonts w:asciiTheme="minorHAnsi" w:hAnsiTheme="minorHAnsi"/>
          <w:sz w:val="22"/>
          <w:szCs w:val="22"/>
        </w:rPr>
        <w:t xml:space="preserve">a more </w:t>
      </w:r>
      <w:r w:rsidR="00A113BF" w:rsidRPr="007A7094">
        <w:rPr>
          <w:rFonts w:asciiTheme="minorHAnsi" w:hAnsiTheme="minorHAnsi"/>
          <w:i/>
          <w:sz w:val="22"/>
          <w:szCs w:val="22"/>
        </w:rPr>
        <w:t>caring</w:t>
      </w:r>
      <w:r w:rsidR="00A113BF" w:rsidRPr="007A7094">
        <w:rPr>
          <w:rFonts w:asciiTheme="minorHAnsi" w:hAnsiTheme="minorHAnsi"/>
          <w:sz w:val="22"/>
          <w:szCs w:val="22"/>
        </w:rPr>
        <w:t xml:space="preserve"> science </w:t>
      </w:r>
      <w:r w:rsidR="000D6CA1" w:rsidRPr="007A7094">
        <w:rPr>
          <w:rFonts w:asciiTheme="minorHAnsi" w:hAnsiTheme="minorHAnsi"/>
          <w:sz w:val="22"/>
          <w:szCs w:val="22"/>
        </w:rPr>
        <w:t>attuned to matters-of-</w:t>
      </w:r>
      <w:r w:rsidR="000D6CA1" w:rsidRPr="007A7094">
        <w:rPr>
          <w:rFonts w:asciiTheme="minorHAnsi" w:hAnsiTheme="minorHAnsi"/>
          <w:i/>
          <w:sz w:val="22"/>
          <w:szCs w:val="22"/>
        </w:rPr>
        <w:t>care</w:t>
      </w:r>
      <w:r w:rsidR="00A113BF" w:rsidRPr="007A7094">
        <w:rPr>
          <w:rFonts w:asciiTheme="minorHAnsi" w:hAnsiTheme="minorHAnsi"/>
          <w:sz w:val="22"/>
          <w:szCs w:val="22"/>
        </w:rPr>
        <w:t xml:space="preserve"> </w:t>
      </w:r>
      <w:r w:rsidR="00F936DB" w:rsidRPr="007A7094">
        <w:rPr>
          <w:rFonts w:asciiTheme="minorHAnsi" w:hAnsiTheme="minorHAnsi"/>
          <w:sz w:val="22"/>
          <w:szCs w:val="22"/>
        </w:rPr>
        <w:t>(P</w:t>
      </w:r>
      <w:r w:rsidR="000D6CA1" w:rsidRPr="007A7094">
        <w:rPr>
          <w:rFonts w:asciiTheme="minorHAnsi" w:hAnsiTheme="minorHAnsi"/>
          <w:sz w:val="22"/>
          <w:szCs w:val="22"/>
        </w:rPr>
        <w:t>u</w:t>
      </w:r>
      <w:r w:rsidR="00F936DB" w:rsidRPr="007A7094">
        <w:rPr>
          <w:rFonts w:asciiTheme="minorHAnsi" w:hAnsiTheme="minorHAnsi"/>
          <w:sz w:val="22"/>
          <w:szCs w:val="22"/>
        </w:rPr>
        <w:t>i</w:t>
      </w:r>
      <w:r w:rsidR="000D6CA1" w:rsidRPr="007A7094">
        <w:rPr>
          <w:rFonts w:asciiTheme="minorHAnsi" w:hAnsiTheme="minorHAnsi"/>
          <w:sz w:val="22"/>
          <w:szCs w:val="22"/>
        </w:rPr>
        <w:t>g de la Bellacasa, 2011).</w:t>
      </w:r>
    </w:p>
    <w:p w14:paraId="79267C08" w14:textId="2FEF4C7F" w:rsidR="00F36558" w:rsidRPr="007A7094" w:rsidRDefault="00F36558" w:rsidP="00722632">
      <w:pPr>
        <w:pStyle w:val="Standard"/>
        <w:spacing w:line="480" w:lineRule="auto"/>
        <w:jc w:val="both"/>
        <w:rPr>
          <w:rFonts w:asciiTheme="minorHAnsi" w:hAnsiTheme="minorHAnsi"/>
          <w:sz w:val="22"/>
          <w:szCs w:val="22"/>
        </w:rPr>
      </w:pPr>
    </w:p>
    <w:p w14:paraId="561DA7A8" w14:textId="570C7CDE" w:rsidR="00685F54" w:rsidRPr="007A7094" w:rsidRDefault="00441628" w:rsidP="00722632">
      <w:pPr>
        <w:pStyle w:val="Standard"/>
        <w:spacing w:line="480" w:lineRule="auto"/>
        <w:jc w:val="both"/>
        <w:rPr>
          <w:rFonts w:asciiTheme="minorHAnsi" w:hAnsiTheme="minorHAnsi"/>
          <w:sz w:val="22"/>
          <w:szCs w:val="22"/>
        </w:rPr>
      </w:pPr>
      <w:r w:rsidRPr="007A7094">
        <w:rPr>
          <w:rFonts w:asciiTheme="minorHAnsi" w:hAnsiTheme="minorHAnsi"/>
          <w:sz w:val="22"/>
          <w:szCs w:val="22"/>
        </w:rPr>
        <w:t>In th</w:t>
      </w:r>
      <w:r w:rsidR="000D6CA1" w:rsidRPr="007A7094">
        <w:rPr>
          <w:rFonts w:asciiTheme="minorHAnsi" w:hAnsiTheme="minorHAnsi"/>
          <w:sz w:val="22"/>
          <w:szCs w:val="22"/>
        </w:rPr>
        <w:t>e</w:t>
      </w:r>
      <w:r w:rsidR="003904E6" w:rsidRPr="007A7094">
        <w:rPr>
          <w:rFonts w:asciiTheme="minorHAnsi" w:hAnsiTheme="minorHAnsi"/>
          <w:sz w:val="22"/>
          <w:szCs w:val="22"/>
        </w:rPr>
        <w:t xml:space="preserve"> </w:t>
      </w:r>
      <w:r w:rsidR="00685F54" w:rsidRPr="007A7094">
        <w:rPr>
          <w:rFonts w:asciiTheme="minorHAnsi" w:hAnsiTheme="minorHAnsi"/>
          <w:sz w:val="22"/>
          <w:szCs w:val="22"/>
        </w:rPr>
        <w:t xml:space="preserve">case </w:t>
      </w:r>
      <w:r w:rsidR="000D6CA1" w:rsidRPr="007A7094">
        <w:rPr>
          <w:rFonts w:asciiTheme="minorHAnsi" w:hAnsiTheme="minorHAnsi"/>
          <w:sz w:val="22"/>
          <w:szCs w:val="22"/>
        </w:rPr>
        <w:t xml:space="preserve">of </w:t>
      </w:r>
      <w:r w:rsidR="00685F54" w:rsidRPr="007A7094">
        <w:rPr>
          <w:rFonts w:asciiTheme="minorHAnsi" w:hAnsiTheme="minorHAnsi"/>
          <w:sz w:val="22"/>
          <w:szCs w:val="22"/>
        </w:rPr>
        <w:t xml:space="preserve">treating </w:t>
      </w:r>
      <w:r w:rsidR="000D6CA1" w:rsidRPr="007A7094">
        <w:rPr>
          <w:rFonts w:asciiTheme="minorHAnsi" w:hAnsiTheme="minorHAnsi"/>
          <w:sz w:val="22"/>
          <w:szCs w:val="22"/>
        </w:rPr>
        <w:t>hepatitis</w:t>
      </w:r>
      <w:r w:rsidR="00685F54" w:rsidRPr="007A7094">
        <w:rPr>
          <w:rFonts w:asciiTheme="minorHAnsi" w:hAnsiTheme="minorHAnsi"/>
          <w:sz w:val="22"/>
          <w:szCs w:val="22"/>
        </w:rPr>
        <w:t xml:space="preserve"> C</w:t>
      </w:r>
      <w:r w:rsidRPr="007A7094">
        <w:rPr>
          <w:rFonts w:asciiTheme="minorHAnsi" w:hAnsiTheme="minorHAnsi"/>
          <w:sz w:val="22"/>
          <w:szCs w:val="22"/>
        </w:rPr>
        <w:t xml:space="preserve">, the </w:t>
      </w:r>
      <w:r w:rsidR="009800BF" w:rsidRPr="007A7094">
        <w:rPr>
          <w:rFonts w:asciiTheme="minorHAnsi" w:hAnsiTheme="minorHAnsi"/>
          <w:sz w:val="22"/>
          <w:szCs w:val="22"/>
        </w:rPr>
        <w:t>question</w:t>
      </w:r>
      <w:r w:rsidR="0098615D" w:rsidRPr="007A7094">
        <w:rPr>
          <w:rFonts w:asciiTheme="minorHAnsi" w:hAnsiTheme="minorHAnsi"/>
          <w:sz w:val="22"/>
          <w:szCs w:val="22"/>
        </w:rPr>
        <w:t xml:space="preserve"> for a more careful science </w:t>
      </w:r>
      <w:r w:rsidR="009800BF" w:rsidRPr="007A7094">
        <w:rPr>
          <w:rFonts w:asciiTheme="minorHAnsi" w:hAnsiTheme="minorHAnsi"/>
          <w:sz w:val="22"/>
          <w:szCs w:val="22"/>
        </w:rPr>
        <w:t>is</w:t>
      </w:r>
      <w:r w:rsidR="0098615D" w:rsidRPr="007A7094">
        <w:rPr>
          <w:rFonts w:asciiTheme="minorHAnsi" w:hAnsiTheme="minorHAnsi"/>
          <w:sz w:val="22"/>
          <w:szCs w:val="22"/>
        </w:rPr>
        <w:t xml:space="preserve"> </w:t>
      </w:r>
      <w:r w:rsidR="009328D6" w:rsidRPr="007A7094">
        <w:rPr>
          <w:rFonts w:asciiTheme="minorHAnsi" w:hAnsiTheme="minorHAnsi"/>
          <w:sz w:val="22"/>
          <w:szCs w:val="22"/>
        </w:rPr>
        <w:t xml:space="preserve">therefore </w:t>
      </w:r>
      <w:r w:rsidR="0098615D" w:rsidRPr="007A7094">
        <w:rPr>
          <w:rFonts w:asciiTheme="minorHAnsi" w:hAnsiTheme="minorHAnsi"/>
          <w:sz w:val="22"/>
          <w:szCs w:val="22"/>
        </w:rPr>
        <w:t xml:space="preserve">not only </w:t>
      </w:r>
      <w:r w:rsidR="009800BF" w:rsidRPr="007A7094">
        <w:rPr>
          <w:rFonts w:asciiTheme="minorHAnsi" w:hAnsiTheme="minorHAnsi"/>
          <w:sz w:val="22"/>
          <w:szCs w:val="22"/>
        </w:rPr>
        <w:t>“</w:t>
      </w:r>
      <w:r w:rsidR="009800BF" w:rsidRPr="007A7094">
        <w:rPr>
          <w:rFonts w:asciiTheme="minorHAnsi" w:hAnsiTheme="minorHAnsi"/>
          <w:i/>
          <w:sz w:val="22"/>
          <w:szCs w:val="22"/>
        </w:rPr>
        <w:t>Do</w:t>
      </w:r>
      <w:r w:rsidR="009800BF" w:rsidRPr="007A7094">
        <w:rPr>
          <w:rFonts w:asciiTheme="minorHAnsi" w:hAnsiTheme="minorHAnsi"/>
          <w:sz w:val="22"/>
          <w:szCs w:val="22"/>
        </w:rPr>
        <w:t xml:space="preserve"> direct</w:t>
      </w:r>
      <w:r w:rsidR="00076991" w:rsidRPr="007A7094">
        <w:rPr>
          <w:rFonts w:asciiTheme="minorHAnsi" w:hAnsiTheme="minorHAnsi"/>
          <w:sz w:val="22"/>
          <w:szCs w:val="22"/>
        </w:rPr>
        <w:t>-</w:t>
      </w:r>
      <w:r w:rsidR="009800BF" w:rsidRPr="007A7094">
        <w:rPr>
          <w:rFonts w:asciiTheme="minorHAnsi" w:hAnsiTheme="minorHAnsi"/>
          <w:sz w:val="22"/>
          <w:szCs w:val="22"/>
        </w:rPr>
        <w:t>acting antivirals cure chronic hepatitis C?”</w:t>
      </w:r>
      <w:r w:rsidR="00F36558" w:rsidRPr="007A7094">
        <w:rPr>
          <w:rFonts w:asciiTheme="minorHAnsi" w:hAnsiTheme="minorHAnsi"/>
          <w:sz w:val="22"/>
          <w:szCs w:val="22"/>
        </w:rPr>
        <w:t xml:space="preserve">, as posed by the Cochrane review published in the </w:t>
      </w:r>
      <w:r w:rsidR="00F36558" w:rsidRPr="007A7094">
        <w:rPr>
          <w:rFonts w:asciiTheme="minorHAnsi" w:hAnsiTheme="minorHAnsi"/>
          <w:i/>
          <w:sz w:val="22"/>
          <w:szCs w:val="22"/>
        </w:rPr>
        <w:t>BMJ</w:t>
      </w:r>
      <w:r w:rsidR="00F36558" w:rsidRPr="007A7094">
        <w:rPr>
          <w:rFonts w:asciiTheme="minorHAnsi" w:hAnsiTheme="minorHAnsi"/>
          <w:sz w:val="22"/>
          <w:szCs w:val="22"/>
        </w:rPr>
        <w:t xml:space="preserve">, </w:t>
      </w:r>
      <w:r w:rsidR="0098615D" w:rsidRPr="007A7094">
        <w:rPr>
          <w:rFonts w:asciiTheme="minorHAnsi" w:hAnsiTheme="minorHAnsi"/>
          <w:sz w:val="22"/>
          <w:szCs w:val="22"/>
        </w:rPr>
        <w:t>but</w:t>
      </w:r>
      <w:r w:rsidR="009800BF" w:rsidRPr="007A7094">
        <w:rPr>
          <w:rFonts w:asciiTheme="minorHAnsi" w:hAnsiTheme="minorHAnsi"/>
          <w:sz w:val="22"/>
          <w:szCs w:val="22"/>
        </w:rPr>
        <w:t xml:space="preserve"> “</w:t>
      </w:r>
      <w:r w:rsidR="009800BF" w:rsidRPr="007A7094">
        <w:rPr>
          <w:rFonts w:asciiTheme="minorHAnsi" w:hAnsiTheme="minorHAnsi"/>
          <w:i/>
          <w:sz w:val="22"/>
          <w:szCs w:val="22"/>
        </w:rPr>
        <w:t>How</w:t>
      </w:r>
      <w:r w:rsidR="009800BF" w:rsidRPr="007A7094">
        <w:rPr>
          <w:rFonts w:asciiTheme="minorHAnsi" w:hAnsiTheme="minorHAnsi"/>
          <w:sz w:val="22"/>
          <w:szCs w:val="22"/>
        </w:rPr>
        <w:t xml:space="preserve"> are direct</w:t>
      </w:r>
      <w:r w:rsidR="00076991" w:rsidRPr="007A7094">
        <w:rPr>
          <w:rFonts w:asciiTheme="minorHAnsi" w:hAnsiTheme="minorHAnsi"/>
          <w:sz w:val="22"/>
          <w:szCs w:val="22"/>
        </w:rPr>
        <w:t>-</w:t>
      </w:r>
      <w:r w:rsidR="009800BF" w:rsidRPr="007A7094">
        <w:rPr>
          <w:rFonts w:asciiTheme="minorHAnsi" w:hAnsiTheme="minorHAnsi"/>
          <w:sz w:val="22"/>
          <w:szCs w:val="22"/>
        </w:rPr>
        <w:t xml:space="preserve">acting antivirals performed to </w:t>
      </w:r>
      <w:r w:rsidR="009800BF" w:rsidRPr="007A7094">
        <w:rPr>
          <w:rFonts w:asciiTheme="minorHAnsi" w:hAnsiTheme="minorHAnsi"/>
          <w:i/>
          <w:sz w:val="22"/>
          <w:szCs w:val="22"/>
        </w:rPr>
        <w:t>make</w:t>
      </w:r>
      <w:r w:rsidR="009800BF" w:rsidRPr="007A7094">
        <w:rPr>
          <w:rFonts w:asciiTheme="minorHAnsi" w:hAnsiTheme="minorHAnsi"/>
          <w:sz w:val="22"/>
          <w:szCs w:val="22"/>
        </w:rPr>
        <w:t xml:space="preserve"> a cure for chronic hepatitis C?”. </w:t>
      </w:r>
      <w:r w:rsidR="0098615D" w:rsidRPr="007A7094">
        <w:rPr>
          <w:rFonts w:asciiTheme="minorHAnsi" w:hAnsiTheme="minorHAnsi"/>
          <w:sz w:val="22"/>
          <w:szCs w:val="22"/>
        </w:rPr>
        <w:t>The</w:t>
      </w:r>
      <w:r w:rsidR="009800BF" w:rsidRPr="007A7094">
        <w:rPr>
          <w:rFonts w:asciiTheme="minorHAnsi" w:hAnsiTheme="minorHAnsi"/>
          <w:sz w:val="22"/>
          <w:szCs w:val="22"/>
        </w:rPr>
        <w:t xml:space="preserve"> first version</w:t>
      </w:r>
      <w:r w:rsidR="0098615D" w:rsidRPr="007A7094">
        <w:rPr>
          <w:rFonts w:asciiTheme="minorHAnsi" w:hAnsiTheme="minorHAnsi"/>
          <w:sz w:val="22"/>
          <w:szCs w:val="22"/>
        </w:rPr>
        <w:t xml:space="preserve"> is EBM as we know it.</w:t>
      </w:r>
      <w:r w:rsidR="00D328FE" w:rsidRPr="007A7094">
        <w:rPr>
          <w:rFonts w:asciiTheme="minorHAnsi" w:hAnsiTheme="minorHAnsi"/>
          <w:sz w:val="22"/>
          <w:szCs w:val="22"/>
        </w:rPr>
        <w:t xml:space="preserve"> </w:t>
      </w:r>
      <w:r w:rsidR="0098615D" w:rsidRPr="007A7094">
        <w:rPr>
          <w:rFonts w:asciiTheme="minorHAnsi" w:hAnsiTheme="minorHAnsi"/>
          <w:sz w:val="22"/>
          <w:szCs w:val="22"/>
        </w:rPr>
        <w:t>Here</w:t>
      </w:r>
      <w:r w:rsidR="009800BF" w:rsidRPr="007A7094">
        <w:rPr>
          <w:rFonts w:asciiTheme="minorHAnsi" w:hAnsiTheme="minorHAnsi"/>
          <w:sz w:val="22"/>
          <w:szCs w:val="22"/>
        </w:rPr>
        <w:t>,</w:t>
      </w:r>
      <w:r w:rsidR="00D328FE" w:rsidRPr="007A7094">
        <w:rPr>
          <w:rFonts w:asciiTheme="minorHAnsi" w:hAnsiTheme="minorHAnsi"/>
          <w:sz w:val="22"/>
          <w:szCs w:val="22"/>
        </w:rPr>
        <w:t xml:space="preserve"> </w:t>
      </w:r>
      <w:r w:rsidR="009800BF" w:rsidRPr="007A7094">
        <w:rPr>
          <w:rFonts w:asciiTheme="minorHAnsi" w:hAnsiTheme="minorHAnsi"/>
          <w:sz w:val="22"/>
          <w:szCs w:val="22"/>
        </w:rPr>
        <w:t xml:space="preserve">the object of cure is </w:t>
      </w:r>
      <w:r w:rsidR="00F36558" w:rsidRPr="007A7094">
        <w:rPr>
          <w:rFonts w:asciiTheme="minorHAnsi" w:hAnsiTheme="minorHAnsi"/>
          <w:sz w:val="22"/>
          <w:szCs w:val="22"/>
        </w:rPr>
        <w:t>located inside the make-up of</w:t>
      </w:r>
      <w:r w:rsidR="009800BF" w:rsidRPr="007A7094">
        <w:rPr>
          <w:rFonts w:asciiTheme="minorHAnsi" w:hAnsiTheme="minorHAnsi"/>
          <w:sz w:val="22"/>
          <w:szCs w:val="22"/>
        </w:rPr>
        <w:t xml:space="preserve"> DAAs</w:t>
      </w:r>
      <w:r w:rsidR="00F36558" w:rsidRPr="007A7094">
        <w:rPr>
          <w:rFonts w:asciiTheme="minorHAnsi" w:hAnsiTheme="minorHAnsi"/>
          <w:sz w:val="22"/>
          <w:szCs w:val="22"/>
        </w:rPr>
        <w:t>. It is</w:t>
      </w:r>
      <w:r w:rsidR="009800BF" w:rsidRPr="007A7094">
        <w:rPr>
          <w:rFonts w:asciiTheme="minorHAnsi" w:hAnsiTheme="minorHAnsi"/>
          <w:sz w:val="22"/>
          <w:szCs w:val="22"/>
        </w:rPr>
        <w:t xml:space="preserve"> </w:t>
      </w:r>
      <w:r w:rsidR="00F36558" w:rsidRPr="007A7094">
        <w:rPr>
          <w:rFonts w:asciiTheme="minorHAnsi" w:hAnsiTheme="minorHAnsi"/>
          <w:sz w:val="22"/>
          <w:szCs w:val="22"/>
        </w:rPr>
        <w:t xml:space="preserve">an essence that </w:t>
      </w:r>
      <w:r w:rsidR="009800BF" w:rsidRPr="007A7094">
        <w:rPr>
          <w:rFonts w:asciiTheme="minorHAnsi" w:hAnsiTheme="minorHAnsi"/>
          <w:sz w:val="22"/>
          <w:szCs w:val="22"/>
        </w:rPr>
        <w:t>DAAs either have or not</w:t>
      </w:r>
      <w:r w:rsidR="00F36558" w:rsidRPr="007A7094">
        <w:rPr>
          <w:rFonts w:asciiTheme="minorHAnsi" w:hAnsiTheme="minorHAnsi"/>
          <w:sz w:val="22"/>
          <w:szCs w:val="22"/>
        </w:rPr>
        <w:t>, and it is the function of science to evidence this presence or absence</w:t>
      </w:r>
      <w:r w:rsidR="009800BF" w:rsidRPr="007A7094">
        <w:rPr>
          <w:rFonts w:asciiTheme="minorHAnsi" w:hAnsiTheme="minorHAnsi"/>
          <w:sz w:val="22"/>
          <w:szCs w:val="22"/>
        </w:rPr>
        <w:t xml:space="preserve">. </w:t>
      </w:r>
      <w:r w:rsidR="0098615D" w:rsidRPr="007A7094">
        <w:rPr>
          <w:rFonts w:asciiTheme="minorHAnsi" w:hAnsiTheme="minorHAnsi"/>
          <w:sz w:val="22"/>
          <w:szCs w:val="22"/>
        </w:rPr>
        <w:t>T</w:t>
      </w:r>
      <w:r w:rsidR="009800BF" w:rsidRPr="007A7094">
        <w:rPr>
          <w:rFonts w:asciiTheme="minorHAnsi" w:hAnsiTheme="minorHAnsi"/>
          <w:sz w:val="22"/>
          <w:szCs w:val="22"/>
        </w:rPr>
        <w:t>he second version</w:t>
      </w:r>
      <w:r w:rsidR="0098615D" w:rsidRPr="007A7094">
        <w:rPr>
          <w:rFonts w:asciiTheme="minorHAnsi" w:hAnsiTheme="minorHAnsi"/>
          <w:sz w:val="22"/>
          <w:szCs w:val="22"/>
        </w:rPr>
        <w:t xml:space="preserve"> is a more careful science of evidence-making. Here</w:t>
      </w:r>
      <w:r w:rsidR="009800BF" w:rsidRPr="007A7094">
        <w:rPr>
          <w:rFonts w:asciiTheme="minorHAnsi" w:hAnsiTheme="minorHAnsi"/>
          <w:sz w:val="22"/>
          <w:szCs w:val="22"/>
        </w:rPr>
        <w:t xml:space="preserve">, the object of cure is </w:t>
      </w:r>
      <w:r w:rsidR="0098615D" w:rsidRPr="007A7094">
        <w:rPr>
          <w:rFonts w:asciiTheme="minorHAnsi" w:hAnsiTheme="minorHAnsi"/>
          <w:sz w:val="22"/>
          <w:szCs w:val="22"/>
        </w:rPr>
        <w:t>located</w:t>
      </w:r>
      <w:r w:rsidR="009800BF" w:rsidRPr="007A7094">
        <w:rPr>
          <w:rFonts w:asciiTheme="minorHAnsi" w:hAnsiTheme="minorHAnsi"/>
          <w:sz w:val="22"/>
          <w:szCs w:val="22"/>
        </w:rPr>
        <w:t xml:space="preserve"> </w:t>
      </w:r>
      <w:r w:rsidR="0098615D" w:rsidRPr="007A7094">
        <w:rPr>
          <w:rFonts w:asciiTheme="minorHAnsi" w:hAnsiTheme="minorHAnsi"/>
          <w:sz w:val="22"/>
          <w:szCs w:val="22"/>
        </w:rPr>
        <w:t xml:space="preserve">inside the </w:t>
      </w:r>
      <w:r w:rsidR="009800BF" w:rsidRPr="007A7094">
        <w:rPr>
          <w:rFonts w:asciiTheme="minorHAnsi" w:hAnsiTheme="minorHAnsi"/>
          <w:sz w:val="22"/>
          <w:szCs w:val="22"/>
        </w:rPr>
        <w:t xml:space="preserve">knowledge-making practices </w:t>
      </w:r>
      <w:r w:rsidR="0098615D" w:rsidRPr="007A7094">
        <w:rPr>
          <w:rFonts w:asciiTheme="minorHAnsi" w:hAnsiTheme="minorHAnsi"/>
          <w:sz w:val="22"/>
          <w:szCs w:val="22"/>
        </w:rPr>
        <w:t>which produce</w:t>
      </w:r>
      <w:r w:rsidR="009800BF" w:rsidRPr="007A7094">
        <w:rPr>
          <w:rFonts w:asciiTheme="minorHAnsi" w:hAnsiTheme="minorHAnsi"/>
          <w:sz w:val="22"/>
          <w:szCs w:val="22"/>
        </w:rPr>
        <w:t xml:space="preserve"> it</w:t>
      </w:r>
      <w:r w:rsidR="0098615D" w:rsidRPr="007A7094">
        <w:rPr>
          <w:rFonts w:asciiTheme="minorHAnsi" w:hAnsiTheme="minorHAnsi"/>
          <w:sz w:val="22"/>
          <w:szCs w:val="22"/>
        </w:rPr>
        <w:t xml:space="preserve">, and the function of science </w:t>
      </w:r>
      <w:r w:rsidR="00D328FE" w:rsidRPr="007A7094">
        <w:rPr>
          <w:rFonts w:asciiTheme="minorHAnsi" w:hAnsiTheme="minorHAnsi"/>
          <w:sz w:val="22"/>
          <w:szCs w:val="22"/>
        </w:rPr>
        <w:t xml:space="preserve">is also </w:t>
      </w:r>
      <w:r w:rsidR="0098615D" w:rsidRPr="007A7094">
        <w:rPr>
          <w:rFonts w:asciiTheme="minorHAnsi" w:hAnsiTheme="minorHAnsi"/>
          <w:sz w:val="22"/>
          <w:szCs w:val="22"/>
        </w:rPr>
        <w:t xml:space="preserve">to </w:t>
      </w:r>
      <w:r w:rsidR="00D328FE" w:rsidRPr="007A7094">
        <w:rPr>
          <w:rFonts w:asciiTheme="minorHAnsi" w:hAnsiTheme="minorHAnsi"/>
          <w:sz w:val="22"/>
          <w:szCs w:val="22"/>
        </w:rPr>
        <w:t>investigate</w:t>
      </w:r>
      <w:r w:rsidR="0098615D" w:rsidRPr="007A7094">
        <w:rPr>
          <w:rFonts w:asciiTheme="minorHAnsi" w:hAnsiTheme="minorHAnsi"/>
          <w:sz w:val="22"/>
          <w:szCs w:val="22"/>
        </w:rPr>
        <w:t xml:space="preserve"> this knowledge production</w:t>
      </w:r>
      <w:r w:rsidR="009800BF" w:rsidRPr="007A7094">
        <w:rPr>
          <w:rFonts w:asciiTheme="minorHAnsi" w:hAnsiTheme="minorHAnsi"/>
          <w:sz w:val="22"/>
          <w:szCs w:val="22"/>
        </w:rPr>
        <w:t xml:space="preserve">. </w:t>
      </w:r>
      <w:r w:rsidR="0098615D" w:rsidRPr="007A7094">
        <w:rPr>
          <w:rFonts w:asciiTheme="minorHAnsi" w:hAnsiTheme="minorHAnsi"/>
          <w:sz w:val="22"/>
          <w:szCs w:val="22"/>
        </w:rPr>
        <w:t>In the second version of science, m</w:t>
      </w:r>
      <w:r w:rsidR="009800BF" w:rsidRPr="007A7094">
        <w:rPr>
          <w:rFonts w:asciiTheme="minorHAnsi" w:hAnsiTheme="minorHAnsi"/>
          <w:sz w:val="22"/>
          <w:szCs w:val="22"/>
        </w:rPr>
        <w:t xml:space="preserve">ultiple </w:t>
      </w:r>
      <w:r w:rsidR="00780FEC" w:rsidRPr="007A7094">
        <w:rPr>
          <w:rFonts w:asciiTheme="minorHAnsi" w:hAnsiTheme="minorHAnsi"/>
          <w:sz w:val="22"/>
          <w:szCs w:val="22"/>
        </w:rPr>
        <w:t xml:space="preserve">and mutable </w:t>
      </w:r>
      <w:r w:rsidR="009800BF" w:rsidRPr="007A7094">
        <w:rPr>
          <w:rFonts w:asciiTheme="minorHAnsi" w:hAnsiTheme="minorHAnsi"/>
          <w:sz w:val="22"/>
          <w:szCs w:val="22"/>
        </w:rPr>
        <w:t xml:space="preserve">cures become </w:t>
      </w:r>
      <w:r w:rsidR="00EF29C5" w:rsidRPr="007A7094">
        <w:rPr>
          <w:rFonts w:asciiTheme="minorHAnsi" w:hAnsiTheme="minorHAnsi"/>
          <w:sz w:val="22"/>
          <w:szCs w:val="22"/>
        </w:rPr>
        <w:t>noticeable</w:t>
      </w:r>
      <w:r w:rsidR="00D328FE" w:rsidRPr="007A7094">
        <w:rPr>
          <w:rFonts w:asciiTheme="minorHAnsi" w:hAnsiTheme="minorHAnsi"/>
          <w:sz w:val="22"/>
          <w:szCs w:val="22"/>
        </w:rPr>
        <w:t>, as d</w:t>
      </w:r>
      <w:r w:rsidR="009800BF" w:rsidRPr="007A7094">
        <w:rPr>
          <w:rFonts w:asciiTheme="minorHAnsi" w:hAnsiTheme="minorHAnsi"/>
          <w:sz w:val="22"/>
          <w:szCs w:val="22"/>
        </w:rPr>
        <w:t xml:space="preserve">ifferent cures </w:t>
      </w:r>
      <w:r w:rsidR="00EF29C5" w:rsidRPr="007A7094">
        <w:rPr>
          <w:rFonts w:asciiTheme="minorHAnsi" w:hAnsiTheme="minorHAnsi"/>
          <w:sz w:val="22"/>
          <w:szCs w:val="22"/>
        </w:rPr>
        <w:t xml:space="preserve">become </w:t>
      </w:r>
      <w:r w:rsidR="009800BF" w:rsidRPr="007A7094">
        <w:rPr>
          <w:rFonts w:asciiTheme="minorHAnsi" w:hAnsiTheme="minorHAnsi"/>
          <w:sz w:val="22"/>
          <w:szCs w:val="22"/>
        </w:rPr>
        <w:t>absent or present subject to the</w:t>
      </w:r>
      <w:r w:rsidR="0098615D" w:rsidRPr="007A7094">
        <w:rPr>
          <w:rFonts w:asciiTheme="minorHAnsi" w:hAnsiTheme="minorHAnsi"/>
          <w:sz w:val="22"/>
          <w:szCs w:val="22"/>
        </w:rPr>
        <w:t>ir</w:t>
      </w:r>
      <w:r w:rsidR="009800BF" w:rsidRPr="007A7094">
        <w:rPr>
          <w:rFonts w:asciiTheme="minorHAnsi" w:hAnsiTheme="minorHAnsi"/>
          <w:sz w:val="22"/>
          <w:szCs w:val="22"/>
        </w:rPr>
        <w:t xml:space="preserve"> </w:t>
      </w:r>
      <w:r w:rsidR="00780FEC" w:rsidRPr="007A7094">
        <w:rPr>
          <w:rFonts w:asciiTheme="minorHAnsi" w:hAnsiTheme="minorHAnsi"/>
          <w:sz w:val="22"/>
          <w:szCs w:val="22"/>
        </w:rPr>
        <w:t xml:space="preserve">evolving </w:t>
      </w:r>
      <w:r w:rsidR="009800BF" w:rsidRPr="007A7094">
        <w:rPr>
          <w:rFonts w:asciiTheme="minorHAnsi" w:hAnsiTheme="minorHAnsi"/>
          <w:sz w:val="22"/>
          <w:szCs w:val="22"/>
        </w:rPr>
        <w:t>knowledge</w:t>
      </w:r>
      <w:r w:rsidR="00D328FE" w:rsidRPr="007A7094">
        <w:rPr>
          <w:rFonts w:asciiTheme="minorHAnsi" w:hAnsiTheme="minorHAnsi"/>
          <w:sz w:val="22"/>
          <w:szCs w:val="22"/>
        </w:rPr>
        <w:t>-</w:t>
      </w:r>
      <w:r w:rsidR="00D328FE" w:rsidRPr="007A7094">
        <w:rPr>
          <w:rFonts w:asciiTheme="minorHAnsi" w:hAnsiTheme="minorHAnsi"/>
          <w:sz w:val="22"/>
          <w:szCs w:val="22"/>
        </w:rPr>
        <w:lastRenderedPageBreak/>
        <w:t>making</w:t>
      </w:r>
      <w:r w:rsidR="009800BF" w:rsidRPr="007A7094">
        <w:rPr>
          <w:rFonts w:asciiTheme="minorHAnsi" w:hAnsiTheme="minorHAnsi"/>
          <w:sz w:val="22"/>
          <w:szCs w:val="22"/>
        </w:rPr>
        <w:t xml:space="preserve"> </w:t>
      </w:r>
      <w:r w:rsidR="0098615D" w:rsidRPr="007A7094">
        <w:rPr>
          <w:rFonts w:asciiTheme="minorHAnsi" w:hAnsiTheme="minorHAnsi"/>
          <w:sz w:val="22"/>
          <w:szCs w:val="22"/>
        </w:rPr>
        <w:t>practice</w:t>
      </w:r>
      <w:r w:rsidR="009800BF" w:rsidRPr="007A7094">
        <w:rPr>
          <w:rFonts w:asciiTheme="minorHAnsi" w:hAnsiTheme="minorHAnsi"/>
          <w:sz w:val="22"/>
          <w:szCs w:val="22"/>
        </w:rPr>
        <w:t xml:space="preserve">s. </w:t>
      </w:r>
    </w:p>
    <w:p w14:paraId="21231449" w14:textId="77777777" w:rsidR="00685F54" w:rsidRPr="007A7094" w:rsidRDefault="00685F54" w:rsidP="00722632">
      <w:pPr>
        <w:pStyle w:val="Standard"/>
        <w:spacing w:line="480" w:lineRule="auto"/>
        <w:jc w:val="both"/>
        <w:rPr>
          <w:rFonts w:asciiTheme="minorHAnsi" w:hAnsiTheme="minorHAnsi"/>
          <w:sz w:val="22"/>
          <w:szCs w:val="22"/>
        </w:rPr>
      </w:pPr>
    </w:p>
    <w:p w14:paraId="73C5B85F" w14:textId="3E9EFD10" w:rsidR="00C77AB3" w:rsidRPr="007A7094" w:rsidRDefault="00685F54" w:rsidP="00C77AB3">
      <w:pPr>
        <w:pStyle w:val="Standard"/>
        <w:spacing w:line="480" w:lineRule="auto"/>
        <w:jc w:val="both"/>
        <w:rPr>
          <w:rFonts w:asciiTheme="minorHAnsi" w:hAnsiTheme="minorHAnsi"/>
          <w:sz w:val="22"/>
          <w:szCs w:val="22"/>
        </w:rPr>
      </w:pPr>
      <w:r w:rsidRPr="007A7094">
        <w:rPr>
          <w:rFonts w:asciiTheme="minorHAnsi" w:hAnsiTheme="minorHAnsi"/>
          <w:sz w:val="22"/>
          <w:szCs w:val="22"/>
        </w:rPr>
        <w:t>A</w:t>
      </w:r>
      <w:r w:rsidR="00780FEC" w:rsidRPr="007A7094">
        <w:rPr>
          <w:rFonts w:asciiTheme="minorHAnsi" w:hAnsiTheme="minorHAnsi"/>
          <w:sz w:val="22"/>
          <w:szCs w:val="22"/>
        </w:rPr>
        <w:t xml:space="preserve"> science </w:t>
      </w:r>
      <w:r w:rsidRPr="007A7094">
        <w:rPr>
          <w:rFonts w:asciiTheme="minorHAnsi" w:hAnsiTheme="minorHAnsi"/>
          <w:sz w:val="22"/>
          <w:szCs w:val="22"/>
        </w:rPr>
        <w:t xml:space="preserve">which treats evidencing as performative and interventions as emergent </w:t>
      </w:r>
      <w:r w:rsidR="00780FEC" w:rsidRPr="007A7094">
        <w:rPr>
          <w:rFonts w:asciiTheme="minorHAnsi" w:hAnsiTheme="minorHAnsi"/>
          <w:sz w:val="22"/>
          <w:szCs w:val="22"/>
        </w:rPr>
        <w:t xml:space="preserve">is useful precisely because it investigates beyond the </w:t>
      </w:r>
      <w:r w:rsidRPr="007A7094">
        <w:rPr>
          <w:rFonts w:asciiTheme="minorHAnsi" w:hAnsiTheme="minorHAnsi"/>
          <w:sz w:val="22"/>
          <w:szCs w:val="22"/>
        </w:rPr>
        <w:t>virtual singularity</w:t>
      </w:r>
      <w:r w:rsidR="00780FEC" w:rsidRPr="007A7094">
        <w:rPr>
          <w:rFonts w:asciiTheme="minorHAnsi" w:hAnsiTheme="minorHAnsi"/>
          <w:sz w:val="22"/>
          <w:szCs w:val="22"/>
        </w:rPr>
        <w:t xml:space="preserve"> of EBM. </w:t>
      </w:r>
      <w:r w:rsidR="003904E6" w:rsidRPr="007A7094">
        <w:rPr>
          <w:rFonts w:asciiTheme="minorHAnsi" w:hAnsiTheme="minorHAnsi"/>
          <w:sz w:val="22"/>
          <w:szCs w:val="22"/>
        </w:rPr>
        <w:t xml:space="preserve">It allows into the mix, for instance, the variants of treated hepatitis C which </w:t>
      </w:r>
      <w:r w:rsidR="00291442" w:rsidRPr="007A7094">
        <w:rPr>
          <w:rFonts w:asciiTheme="minorHAnsi" w:hAnsiTheme="minorHAnsi"/>
          <w:sz w:val="22"/>
          <w:szCs w:val="22"/>
        </w:rPr>
        <w:t>co-</w:t>
      </w:r>
      <w:r w:rsidR="003904E6" w:rsidRPr="007A7094">
        <w:rPr>
          <w:rFonts w:asciiTheme="minorHAnsi" w:hAnsiTheme="minorHAnsi"/>
          <w:sz w:val="22"/>
          <w:szCs w:val="22"/>
        </w:rPr>
        <w:t xml:space="preserve">exist </w:t>
      </w:r>
      <w:r w:rsidR="002D3573" w:rsidRPr="007A7094">
        <w:rPr>
          <w:rFonts w:asciiTheme="minorHAnsi" w:hAnsiTheme="minorHAnsi"/>
          <w:sz w:val="22"/>
          <w:szCs w:val="22"/>
        </w:rPr>
        <w:t>and</w:t>
      </w:r>
      <w:r w:rsidR="003904E6" w:rsidRPr="007A7094">
        <w:rPr>
          <w:rFonts w:asciiTheme="minorHAnsi" w:hAnsiTheme="minorHAnsi"/>
          <w:sz w:val="22"/>
          <w:szCs w:val="22"/>
        </w:rPr>
        <w:t xml:space="preserve"> matter in practice</w:t>
      </w:r>
      <w:r w:rsidR="00C77AB3" w:rsidRPr="007A7094">
        <w:rPr>
          <w:rFonts w:asciiTheme="minorHAnsi" w:hAnsiTheme="minorHAnsi"/>
          <w:sz w:val="22"/>
          <w:szCs w:val="22"/>
        </w:rPr>
        <w:t xml:space="preserve"> according to the situated concerns of </w:t>
      </w:r>
      <w:r w:rsidR="003904E6" w:rsidRPr="007A7094">
        <w:rPr>
          <w:rFonts w:asciiTheme="minorHAnsi" w:hAnsiTheme="minorHAnsi"/>
          <w:sz w:val="22"/>
          <w:szCs w:val="22"/>
        </w:rPr>
        <w:t xml:space="preserve">clinicians, </w:t>
      </w:r>
      <w:r w:rsidR="00C77AB3" w:rsidRPr="007A7094">
        <w:rPr>
          <w:rFonts w:asciiTheme="minorHAnsi" w:hAnsiTheme="minorHAnsi"/>
          <w:sz w:val="22"/>
          <w:szCs w:val="22"/>
        </w:rPr>
        <w:t>p</w:t>
      </w:r>
      <w:r w:rsidR="003904E6" w:rsidRPr="007A7094">
        <w:rPr>
          <w:rFonts w:asciiTheme="minorHAnsi" w:hAnsiTheme="minorHAnsi"/>
          <w:sz w:val="22"/>
          <w:szCs w:val="22"/>
        </w:rPr>
        <w:t>atients and advocacy groups otherwise side-lined by</w:t>
      </w:r>
      <w:r w:rsidR="00291442" w:rsidRPr="007A7094">
        <w:rPr>
          <w:rFonts w:asciiTheme="minorHAnsi" w:hAnsiTheme="minorHAnsi"/>
          <w:sz w:val="22"/>
          <w:szCs w:val="22"/>
        </w:rPr>
        <w:t xml:space="preserve"> the version o</w:t>
      </w:r>
      <w:r w:rsidR="003904E6" w:rsidRPr="007A7094">
        <w:rPr>
          <w:rFonts w:asciiTheme="minorHAnsi" w:hAnsiTheme="minorHAnsi"/>
          <w:sz w:val="22"/>
          <w:szCs w:val="22"/>
        </w:rPr>
        <w:t xml:space="preserve">f EBM performed </w:t>
      </w:r>
      <w:r w:rsidR="00C77AB3" w:rsidRPr="007A7094">
        <w:rPr>
          <w:rFonts w:asciiTheme="minorHAnsi" w:hAnsiTheme="minorHAnsi"/>
          <w:sz w:val="22"/>
          <w:szCs w:val="22"/>
        </w:rPr>
        <w:t xml:space="preserve">through </w:t>
      </w:r>
      <w:r w:rsidR="003904E6" w:rsidRPr="007A7094">
        <w:rPr>
          <w:rFonts w:asciiTheme="minorHAnsi" w:hAnsiTheme="minorHAnsi"/>
          <w:sz w:val="22"/>
          <w:szCs w:val="22"/>
        </w:rPr>
        <w:t>the Cochrane review.</w:t>
      </w:r>
      <w:r w:rsidR="00291442" w:rsidRPr="007A7094">
        <w:rPr>
          <w:rFonts w:asciiTheme="minorHAnsi" w:hAnsiTheme="minorHAnsi"/>
          <w:sz w:val="22"/>
          <w:szCs w:val="22"/>
        </w:rPr>
        <w:t xml:space="preserve"> </w:t>
      </w:r>
      <w:r w:rsidR="00EF29C5" w:rsidRPr="007A7094">
        <w:rPr>
          <w:rFonts w:asciiTheme="minorHAnsi" w:hAnsiTheme="minorHAnsi"/>
          <w:sz w:val="22"/>
          <w:szCs w:val="22"/>
        </w:rPr>
        <w:t>This affords a science that is m</w:t>
      </w:r>
      <w:r w:rsidR="00D328FE" w:rsidRPr="007A7094">
        <w:rPr>
          <w:rFonts w:asciiTheme="minorHAnsi" w:hAnsiTheme="minorHAnsi"/>
          <w:sz w:val="22"/>
          <w:szCs w:val="22"/>
        </w:rPr>
        <w:t>uch more critically attuned to evidence-making</w:t>
      </w:r>
      <w:r w:rsidR="00EF29C5" w:rsidRPr="007A7094">
        <w:rPr>
          <w:rFonts w:asciiTheme="minorHAnsi" w:hAnsiTheme="minorHAnsi"/>
          <w:sz w:val="22"/>
          <w:szCs w:val="22"/>
        </w:rPr>
        <w:t xml:space="preserve"> as an </w:t>
      </w:r>
      <w:r w:rsidR="00EF29C5" w:rsidRPr="007A7094">
        <w:rPr>
          <w:rFonts w:asciiTheme="minorHAnsi" w:hAnsiTheme="minorHAnsi"/>
          <w:i/>
          <w:sz w:val="22"/>
          <w:szCs w:val="22"/>
        </w:rPr>
        <w:t>intervention</w:t>
      </w:r>
      <w:r w:rsidR="00291442" w:rsidRPr="007A7094">
        <w:rPr>
          <w:rFonts w:asciiTheme="minorHAnsi" w:hAnsiTheme="minorHAnsi"/>
          <w:sz w:val="22"/>
          <w:szCs w:val="22"/>
        </w:rPr>
        <w:t xml:space="preserve"> because it is </w:t>
      </w:r>
      <w:r w:rsidR="00EE3B46" w:rsidRPr="007A7094">
        <w:rPr>
          <w:rFonts w:asciiTheme="minorHAnsi" w:hAnsiTheme="minorHAnsi"/>
          <w:sz w:val="22"/>
          <w:szCs w:val="22"/>
        </w:rPr>
        <w:t>noticing</w:t>
      </w:r>
      <w:r w:rsidR="00EF29C5" w:rsidRPr="007A7094">
        <w:rPr>
          <w:rFonts w:asciiTheme="minorHAnsi" w:hAnsiTheme="minorHAnsi"/>
          <w:sz w:val="22"/>
          <w:szCs w:val="22"/>
        </w:rPr>
        <w:t xml:space="preserve"> what evidence-making</w:t>
      </w:r>
      <w:r w:rsidR="00D328FE" w:rsidRPr="007A7094">
        <w:rPr>
          <w:rFonts w:asciiTheme="minorHAnsi" w:hAnsiTheme="minorHAnsi"/>
          <w:sz w:val="22"/>
          <w:szCs w:val="22"/>
        </w:rPr>
        <w:t xml:space="preserve"> </w:t>
      </w:r>
      <w:r w:rsidR="00D328FE" w:rsidRPr="007A7094">
        <w:rPr>
          <w:rFonts w:asciiTheme="minorHAnsi" w:hAnsiTheme="minorHAnsi"/>
          <w:i/>
          <w:sz w:val="22"/>
          <w:szCs w:val="22"/>
        </w:rPr>
        <w:t>does</w:t>
      </w:r>
      <w:r w:rsidR="00EF29C5" w:rsidRPr="007A7094">
        <w:rPr>
          <w:rFonts w:asciiTheme="minorHAnsi" w:hAnsiTheme="minorHAnsi"/>
          <w:sz w:val="22"/>
          <w:szCs w:val="22"/>
        </w:rPr>
        <w:t xml:space="preserve"> in practice</w:t>
      </w:r>
      <w:r w:rsidR="00C77AB3" w:rsidRPr="007A7094">
        <w:rPr>
          <w:rFonts w:asciiTheme="minorHAnsi" w:hAnsiTheme="minorHAnsi"/>
          <w:sz w:val="22"/>
          <w:szCs w:val="22"/>
        </w:rPr>
        <w:t xml:space="preserve"> and how this affords </w:t>
      </w:r>
      <w:r w:rsidR="00C77AB3" w:rsidRPr="007A7094">
        <w:rPr>
          <w:rFonts w:asciiTheme="minorHAnsi" w:hAnsiTheme="minorHAnsi"/>
          <w:i/>
          <w:sz w:val="22"/>
          <w:szCs w:val="22"/>
        </w:rPr>
        <w:t>care</w:t>
      </w:r>
      <w:r w:rsidR="00EF29C5" w:rsidRPr="007A7094">
        <w:rPr>
          <w:rFonts w:asciiTheme="minorHAnsi" w:hAnsiTheme="minorHAnsi"/>
          <w:sz w:val="22"/>
          <w:szCs w:val="22"/>
        </w:rPr>
        <w:t xml:space="preserve">. </w:t>
      </w:r>
      <w:r w:rsidR="00291442" w:rsidRPr="007A7094">
        <w:rPr>
          <w:rFonts w:asciiTheme="minorHAnsi" w:hAnsiTheme="minorHAnsi"/>
          <w:sz w:val="22"/>
          <w:szCs w:val="22"/>
        </w:rPr>
        <w:t>Rather than treating evidence controvers</w:t>
      </w:r>
      <w:r w:rsidR="002F7087" w:rsidRPr="007A7094">
        <w:rPr>
          <w:rFonts w:asciiTheme="minorHAnsi" w:hAnsiTheme="minorHAnsi"/>
          <w:sz w:val="22"/>
          <w:szCs w:val="22"/>
        </w:rPr>
        <w:t>ies</w:t>
      </w:r>
      <w:r w:rsidR="00291442" w:rsidRPr="007A7094">
        <w:rPr>
          <w:rFonts w:asciiTheme="minorHAnsi" w:hAnsiTheme="minorHAnsi"/>
          <w:sz w:val="22"/>
          <w:szCs w:val="22"/>
        </w:rPr>
        <w:t xml:space="preserve"> as technical </w:t>
      </w:r>
      <w:r w:rsidR="00C77AB3" w:rsidRPr="007A7094">
        <w:rPr>
          <w:rFonts w:asciiTheme="minorHAnsi" w:hAnsiTheme="minorHAnsi"/>
          <w:sz w:val="22"/>
          <w:szCs w:val="22"/>
        </w:rPr>
        <w:t xml:space="preserve">methodological </w:t>
      </w:r>
      <w:r w:rsidR="00291442" w:rsidRPr="007A7094">
        <w:rPr>
          <w:rFonts w:asciiTheme="minorHAnsi" w:hAnsiTheme="minorHAnsi"/>
          <w:sz w:val="22"/>
          <w:szCs w:val="22"/>
        </w:rPr>
        <w:t>problem</w:t>
      </w:r>
      <w:r w:rsidR="002F7087" w:rsidRPr="007A7094">
        <w:rPr>
          <w:rFonts w:asciiTheme="minorHAnsi" w:hAnsiTheme="minorHAnsi"/>
          <w:sz w:val="22"/>
          <w:szCs w:val="22"/>
        </w:rPr>
        <w:t>s in</w:t>
      </w:r>
      <w:r w:rsidR="004D1369" w:rsidRPr="007A7094">
        <w:rPr>
          <w:rFonts w:asciiTheme="minorHAnsi" w:hAnsiTheme="minorHAnsi"/>
          <w:sz w:val="22"/>
          <w:szCs w:val="22"/>
        </w:rPr>
        <w:t xml:space="preserve"> need purification </w:t>
      </w:r>
      <w:r w:rsidR="00E05FB2" w:rsidRPr="007A7094">
        <w:rPr>
          <w:rFonts w:asciiTheme="minorHAnsi" w:hAnsiTheme="minorHAnsi"/>
          <w:sz w:val="22"/>
          <w:szCs w:val="22"/>
        </w:rPr>
        <w:t>or</w:t>
      </w:r>
      <w:r w:rsidR="004D1369" w:rsidRPr="007A7094">
        <w:rPr>
          <w:rFonts w:asciiTheme="minorHAnsi" w:hAnsiTheme="minorHAnsi"/>
          <w:sz w:val="22"/>
          <w:szCs w:val="22"/>
        </w:rPr>
        <w:t xml:space="preserve"> clean-up</w:t>
      </w:r>
      <w:r w:rsidR="00C77AB3" w:rsidRPr="007A7094">
        <w:rPr>
          <w:rFonts w:asciiTheme="minorHAnsi" w:hAnsiTheme="minorHAnsi"/>
          <w:sz w:val="22"/>
          <w:szCs w:val="22"/>
        </w:rPr>
        <w:t xml:space="preserve"> (Latour and Woolgar, 1986)</w:t>
      </w:r>
      <w:r w:rsidR="004D1369" w:rsidRPr="007A7094">
        <w:rPr>
          <w:rFonts w:asciiTheme="minorHAnsi" w:hAnsiTheme="minorHAnsi"/>
          <w:sz w:val="22"/>
          <w:szCs w:val="22"/>
        </w:rPr>
        <w:t xml:space="preserve">, </w:t>
      </w:r>
      <w:r w:rsidR="00C77AB3" w:rsidRPr="007A7094">
        <w:rPr>
          <w:rFonts w:asciiTheme="minorHAnsi" w:hAnsiTheme="minorHAnsi"/>
          <w:sz w:val="22"/>
          <w:szCs w:val="22"/>
        </w:rPr>
        <w:t>i</w:t>
      </w:r>
      <w:r w:rsidR="00C77AB3" w:rsidRPr="007A7094">
        <w:rPr>
          <w:rFonts w:asciiTheme="minorHAnsi" w:hAnsiTheme="minorHAnsi"/>
          <w:sz w:val="22"/>
          <w:szCs w:val="22"/>
        </w:rPr>
        <w:t xml:space="preserve">t is an approach which helps “reclaim” (Stengers, 2018), by </w:t>
      </w:r>
      <w:r w:rsidR="00C77AB3" w:rsidRPr="007A7094">
        <w:rPr>
          <w:rFonts w:asciiTheme="minorHAnsi" w:hAnsiTheme="minorHAnsi"/>
          <w:i/>
          <w:sz w:val="22"/>
          <w:szCs w:val="22"/>
        </w:rPr>
        <w:t>working-with</w:t>
      </w:r>
      <w:r w:rsidR="00C77AB3" w:rsidRPr="007A7094">
        <w:rPr>
          <w:rFonts w:asciiTheme="minorHAnsi" w:hAnsiTheme="minorHAnsi"/>
          <w:sz w:val="22"/>
          <w:szCs w:val="22"/>
        </w:rPr>
        <w:t xml:space="preserve"> rather than against the mess and complexity which is so often evident in public health practice but masked by normative (limiting) ways of practising EBM.</w:t>
      </w:r>
    </w:p>
    <w:p w14:paraId="1B9BA61E" w14:textId="77777777" w:rsidR="00C77AB3" w:rsidRPr="007A7094" w:rsidRDefault="00C77AB3" w:rsidP="00C77AB3">
      <w:pPr>
        <w:pStyle w:val="Standard"/>
        <w:spacing w:line="480" w:lineRule="auto"/>
        <w:jc w:val="both"/>
        <w:rPr>
          <w:rFonts w:asciiTheme="minorHAnsi" w:hAnsiTheme="minorHAnsi"/>
          <w:i/>
        </w:rPr>
      </w:pPr>
    </w:p>
    <w:p w14:paraId="5FDA4EA4" w14:textId="5D8D721D" w:rsidR="00C77AB3" w:rsidRPr="007A7094" w:rsidRDefault="00C77AB3" w:rsidP="00C77AB3">
      <w:pPr>
        <w:pStyle w:val="Standard"/>
        <w:spacing w:line="480" w:lineRule="auto"/>
        <w:jc w:val="both"/>
        <w:rPr>
          <w:rFonts w:asciiTheme="minorHAnsi" w:hAnsiTheme="minorHAnsi"/>
          <w:i/>
        </w:rPr>
      </w:pPr>
      <w:r w:rsidRPr="007A7094">
        <w:rPr>
          <w:rFonts w:asciiTheme="minorHAnsi" w:hAnsiTheme="minorHAnsi"/>
          <w:i/>
        </w:rPr>
        <w:t>A more careful viral elimination science</w:t>
      </w:r>
    </w:p>
    <w:p w14:paraId="40113111" w14:textId="3BB916C7" w:rsidR="00AD47AD" w:rsidRPr="007A7094" w:rsidRDefault="009B6091" w:rsidP="00413674">
      <w:pPr>
        <w:pStyle w:val="Standard"/>
        <w:spacing w:line="480" w:lineRule="auto"/>
        <w:jc w:val="both"/>
        <w:rPr>
          <w:rFonts w:asciiTheme="minorHAnsi" w:hAnsiTheme="minorHAnsi"/>
          <w:sz w:val="22"/>
          <w:szCs w:val="22"/>
        </w:rPr>
      </w:pPr>
      <w:r w:rsidRPr="007A7094">
        <w:rPr>
          <w:rFonts w:asciiTheme="minorHAnsi" w:hAnsiTheme="minorHAnsi"/>
          <w:sz w:val="22"/>
          <w:szCs w:val="22"/>
        </w:rPr>
        <w:t>O</w:t>
      </w:r>
      <w:r w:rsidR="00EE3B46" w:rsidRPr="007A7094">
        <w:rPr>
          <w:rFonts w:asciiTheme="minorHAnsi" w:hAnsiTheme="minorHAnsi"/>
          <w:sz w:val="22"/>
          <w:szCs w:val="22"/>
        </w:rPr>
        <w:t xml:space="preserve">ne more careful way of knowing hepatitis C cure brought to light by </w:t>
      </w:r>
      <w:r w:rsidR="00FE20DB" w:rsidRPr="007A7094">
        <w:rPr>
          <w:rFonts w:asciiTheme="minorHAnsi" w:hAnsiTheme="minorHAnsi"/>
          <w:sz w:val="22"/>
          <w:szCs w:val="22"/>
        </w:rPr>
        <w:t xml:space="preserve">the Cochrane </w:t>
      </w:r>
      <w:r w:rsidR="00EE3B46" w:rsidRPr="007A7094">
        <w:rPr>
          <w:rFonts w:asciiTheme="minorHAnsi" w:hAnsiTheme="minorHAnsi"/>
          <w:sz w:val="22"/>
          <w:szCs w:val="22"/>
        </w:rPr>
        <w:t>controvers</w:t>
      </w:r>
      <w:r w:rsidR="00A16EB1" w:rsidRPr="007A7094">
        <w:rPr>
          <w:rFonts w:asciiTheme="minorHAnsi" w:hAnsiTheme="minorHAnsi"/>
          <w:sz w:val="22"/>
          <w:szCs w:val="22"/>
        </w:rPr>
        <w:t xml:space="preserve">y </w:t>
      </w:r>
      <w:r w:rsidR="00EE3B46" w:rsidRPr="007A7094">
        <w:rPr>
          <w:rFonts w:asciiTheme="minorHAnsi" w:hAnsiTheme="minorHAnsi"/>
          <w:sz w:val="22"/>
          <w:szCs w:val="22"/>
        </w:rPr>
        <w:t>concerns</w:t>
      </w:r>
      <w:r w:rsidR="00A16EB1" w:rsidRPr="007A7094">
        <w:rPr>
          <w:rFonts w:asciiTheme="minorHAnsi" w:hAnsiTheme="minorHAnsi"/>
          <w:sz w:val="22"/>
          <w:szCs w:val="22"/>
        </w:rPr>
        <w:t xml:space="preserve"> the</w:t>
      </w:r>
      <w:r w:rsidR="00EE3B46" w:rsidRPr="007A7094">
        <w:rPr>
          <w:rFonts w:asciiTheme="minorHAnsi" w:hAnsiTheme="minorHAnsi"/>
          <w:sz w:val="22"/>
          <w:szCs w:val="22"/>
        </w:rPr>
        <w:t xml:space="preserve"> performance of ‘viral elimination’. </w:t>
      </w:r>
      <w:r w:rsidR="00FE20DB" w:rsidRPr="007A7094">
        <w:rPr>
          <w:rFonts w:asciiTheme="minorHAnsi" w:hAnsiTheme="minorHAnsi"/>
          <w:sz w:val="22"/>
          <w:szCs w:val="22"/>
        </w:rPr>
        <w:t>As we have indicated, t</w:t>
      </w:r>
      <w:r w:rsidR="00EE3B46" w:rsidRPr="007A7094">
        <w:rPr>
          <w:rFonts w:asciiTheme="minorHAnsi" w:hAnsiTheme="minorHAnsi"/>
          <w:sz w:val="22"/>
          <w:szCs w:val="22"/>
        </w:rPr>
        <w:t>he</w:t>
      </w:r>
      <w:r w:rsidR="00FE20DB" w:rsidRPr="007A7094">
        <w:rPr>
          <w:rFonts w:asciiTheme="minorHAnsi" w:hAnsiTheme="minorHAnsi"/>
          <w:sz w:val="22"/>
          <w:szCs w:val="22"/>
        </w:rPr>
        <w:t xml:space="preserve"> </w:t>
      </w:r>
      <w:r w:rsidR="00EE3B46" w:rsidRPr="007A7094">
        <w:rPr>
          <w:rFonts w:asciiTheme="minorHAnsi" w:hAnsiTheme="minorHAnsi"/>
          <w:i/>
          <w:sz w:val="22"/>
          <w:szCs w:val="22"/>
        </w:rPr>
        <w:t>BMJ</w:t>
      </w:r>
      <w:r w:rsidR="00EE3B46" w:rsidRPr="007A7094">
        <w:rPr>
          <w:rFonts w:asciiTheme="minorHAnsi" w:hAnsiTheme="minorHAnsi"/>
          <w:sz w:val="22"/>
          <w:szCs w:val="22"/>
        </w:rPr>
        <w:t xml:space="preserve"> published debates </w:t>
      </w:r>
      <w:r w:rsidR="00FE20DB" w:rsidRPr="007A7094">
        <w:rPr>
          <w:rFonts w:asciiTheme="minorHAnsi" w:hAnsiTheme="minorHAnsi"/>
          <w:sz w:val="22"/>
          <w:szCs w:val="22"/>
        </w:rPr>
        <w:t xml:space="preserve">enact an ontological disturbance in the knowing of hepatitis C cure, with variable objects of cure </w:t>
      </w:r>
      <w:r w:rsidR="002D3573" w:rsidRPr="007A7094">
        <w:rPr>
          <w:rFonts w:asciiTheme="minorHAnsi" w:hAnsiTheme="minorHAnsi"/>
          <w:sz w:val="22"/>
          <w:szCs w:val="22"/>
        </w:rPr>
        <w:t>(</w:t>
      </w:r>
      <w:r w:rsidR="00FE20DB" w:rsidRPr="007A7094">
        <w:rPr>
          <w:rFonts w:asciiTheme="minorHAnsi" w:hAnsiTheme="minorHAnsi"/>
          <w:sz w:val="22"/>
          <w:szCs w:val="22"/>
        </w:rPr>
        <w:t>and care</w:t>
      </w:r>
      <w:r w:rsidR="002D3573" w:rsidRPr="007A7094">
        <w:rPr>
          <w:rFonts w:asciiTheme="minorHAnsi" w:hAnsiTheme="minorHAnsi"/>
          <w:sz w:val="22"/>
          <w:szCs w:val="22"/>
        </w:rPr>
        <w:t>)</w:t>
      </w:r>
      <w:r w:rsidR="00FE20DB" w:rsidRPr="007A7094">
        <w:rPr>
          <w:rFonts w:asciiTheme="minorHAnsi" w:hAnsiTheme="minorHAnsi"/>
          <w:sz w:val="22"/>
          <w:szCs w:val="22"/>
        </w:rPr>
        <w:t xml:space="preserve"> oscillating for attention, including</w:t>
      </w:r>
      <w:r w:rsidR="00EE3B46" w:rsidRPr="007A7094">
        <w:rPr>
          <w:rFonts w:asciiTheme="minorHAnsi" w:hAnsiTheme="minorHAnsi"/>
          <w:sz w:val="22"/>
          <w:szCs w:val="22"/>
        </w:rPr>
        <w:t xml:space="preserve">: viral cure/eradication; cure of disease/recovery; </w:t>
      </w:r>
      <w:r w:rsidR="00FE20DB" w:rsidRPr="007A7094">
        <w:rPr>
          <w:rFonts w:asciiTheme="minorHAnsi" w:hAnsiTheme="minorHAnsi"/>
          <w:sz w:val="22"/>
          <w:szCs w:val="22"/>
        </w:rPr>
        <w:t xml:space="preserve">and </w:t>
      </w:r>
      <w:r w:rsidR="00EE3B46" w:rsidRPr="007A7094">
        <w:rPr>
          <w:rFonts w:asciiTheme="minorHAnsi" w:hAnsiTheme="minorHAnsi"/>
          <w:sz w:val="22"/>
          <w:szCs w:val="22"/>
        </w:rPr>
        <w:t>viral elimination</w:t>
      </w:r>
      <w:r w:rsidR="008C6A91" w:rsidRPr="007A7094">
        <w:rPr>
          <w:rFonts w:asciiTheme="minorHAnsi" w:hAnsiTheme="minorHAnsi"/>
          <w:sz w:val="22"/>
          <w:szCs w:val="22"/>
        </w:rPr>
        <w:t xml:space="preserve"> (Jakobsen et al., 2018; Foster et al., 2018; Cooke et al., 2018; Barclay et al., 2018; Koret</w:t>
      </w:r>
      <w:r w:rsidR="00FE20DB" w:rsidRPr="007A7094">
        <w:rPr>
          <w:rFonts w:asciiTheme="minorHAnsi" w:hAnsiTheme="minorHAnsi"/>
          <w:sz w:val="22"/>
          <w:szCs w:val="22"/>
        </w:rPr>
        <w:t>z</w:t>
      </w:r>
      <w:r w:rsidR="008C6A91" w:rsidRPr="007A7094">
        <w:rPr>
          <w:rFonts w:asciiTheme="minorHAnsi" w:hAnsiTheme="minorHAnsi"/>
          <w:sz w:val="22"/>
          <w:szCs w:val="22"/>
        </w:rPr>
        <w:t xml:space="preserve"> et al., 2018a,b,c,d)</w:t>
      </w:r>
      <w:r w:rsidR="00EE3B46" w:rsidRPr="007A7094">
        <w:rPr>
          <w:rFonts w:asciiTheme="minorHAnsi" w:hAnsiTheme="minorHAnsi"/>
          <w:sz w:val="22"/>
          <w:szCs w:val="22"/>
        </w:rPr>
        <w:t>.</w:t>
      </w:r>
      <w:r w:rsidR="008C6A91" w:rsidRPr="007A7094">
        <w:rPr>
          <w:rFonts w:asciiTheme="minorHAnsi" w:hAnsiTheme="minorHAnsi"/>
          <w:sz w:val="22"/>
          <w:szCs w:val="22"/>
        </w:rPr>
        <w:t xml:space="preserve"> </w:t>
      </w:r>
      <w:r w:rsidR="00EE3B46" w:rsidRPr="007A7094">
        <w:rPr>
          <w:rFonts w:asciiTheme="minorHAnsi" w:hAnsiTheme="minorHAnsi"/>
          <w:sz w:val="22"/>
          <w:szCs w:val="22"/>
        </w:rPr>
        <w:t>The</w:t>
      </w:r>
      <w:r w:rsidR="00FE20DB" w:rsidRPr="007A7094">
        <w:rPr>
          <w:rFonts w:asciiTheme="minorHAnsi" w:hAnsiTheme="minorHAnsi"/>
          <w:sz w:val="22"/>
          <w:szCs w:val="22"/>
        </w:rPr>
        <w:t>se</w:t>
      </w:r>
      <w:r w:rsidR="00EE3B46" w:rsidRPr="007A7094">
        <w:rPr>
          <w:rFonts w:asciiTheme="minorHAnsi" w:hAnsiTheme="minorHAnsi"/>
          <w:sz w:val="22"/>
          <w:szCs w:val="22"/>
        </w:rPr>
        <w:t xml:space="preserve"> debates </w:t>
      </w:r>
      <w:r w:rsidR="00FE20DB" w:rsidRPr="007A7094">
        <w:rPr>
          <w:rFonts w:asciiTheme="minorHAnsi" w:hAnsiTheme="minorHAnsi"/>
          <w:sz w:val="22"/>
          <w:szCs w:val="22"/>
        </w:rPr>
        <w:t xml:space="preserve">might afford </w:t>
      </w:r>
      <w:r w:rsidR="00EE3B46" w:rsidRPr="007A7094">
        <w:rPr>
          <w:rFonts w:asciiTheme="minorHAnsi" w:hAnsiTheme="minorHAnsi"/>
          <w:sz w:val="22"/>
          <w:szCs w:val="22"/>
        </w:rPr>
        <w:t xml:space="preserve">an </w:t>
      </w:r>
      <w:r w:rsidR="00EE3B46" w:rsidRPr="007A7094">
        <w:rPr>
          <w:rFonts w:asciiTheme="minorHAnsi" w:hAnsiTheme="minorHAnsi"/>
          <w:i/>
          <w:sz w:val="22"/>
          <w:szCs w:val="22"/>
        </w:rPr>
        <w:t>emerging carefulness</w:t>
      </w:r>
      <w:r w:rsidR="00EE3B46" w:rsidRPr="007A7094">
        <w:rPr>
          <w:rFonts w:asciiTheme="minorHAnsi" w:hAnsiTheme="minorHAnsi"/>
          <w:sz w:val="22"/>
          <w:szCs w:val="22"/>
        </w:rPr>
        <w:t xml:space="preserve"> in how </w:t>
      </w:r>
      <w:r w:rsidR="00FE20DB" w:rsidRPr="007A7094">
        <w:rPr>
          <w:rFonts w:asciiTheme="minorHAnsi" w:hAnsiTheme="minorHAnsi"/>
          <w:sz w:val="22"/>
          <w:szCs w:val="22"/>
        </w:rPr>
        <w:t>cure comes to be known a</w:t>
      </w:r>
      <w:r w:rsidR="0076298B" w:rsidRPr="007A7094">
        <w:rPr>
          <w:rFonts w:asciiTheme="minorHAnsi" w:hAnsiTheme="minorHAnsi"/>
          <w:sz w:val="22"/>
          <w:szCs w:val="22"/>
        </w:rPr>
        <w:t xml:space="preserve">s well as </w:t>
      </w:r>
      <w:r w:rsidR="00FE20DB" w:rsidRPr="007A7094">
        <w:rPr>
          <w:rFonts w:asciiTheme="minorHAnsi" w:hAnsiTheme="minorHAnsi"/>
          <w:sz w:val="22"/>
          <w:szCs w:val="22"/>
        </w:rPr>
        <w:t xml:space="preserve">measured, for instance, through </w:t>
      </w:r>
      <w:r w:rsidR="00EE3B46" w:rsidRPr="007A7094">
        <w:rPr>
          <w:rFonts w:asciiTheme="minorHAnsi" w:hAnsiTheme="minorHAnsi"/>
          <w:sz w:val="22"/>
          <w:szCs w:val="22"/>
        </w:rPr>
        <w:t>surrogate</w:t>
      </w:r>
      <w:r w:rsidR="000D6365" w:rsidRPr="007A7094">
        <w:rPr>
          <w:rFonts w:asciiTheme="minorHAnsi" w:hAnsiTheme="minorHAnsi"/>
          <w:sz w:val="22"/>
          <w:szCs w:val="22"/>
        </w:rPr>
        <w:t xml:space="preserve"> markers</w:t>
      </w:r>
      <w:r w:rsidR="00FE20DB" w:rsidRPr="007A7094">
        <w:rPr>
          <w:rFonts w:asciiTheme="minorHAnsi" w:hAnsiTheme="minorHAnsi"/>
          <w:sz w:val="22"/>
          <w:szCs w:val="22"/>
        </w:rPr>
        <w:t xml:space="preserve">, </w:t>
      </w:r>
      <w:r w:rsidR="00EE3B46" w:rsidRPr="007A7094">
        <w:rPr>
          <w:rFonts w:asciiTheme="minorHAnsi" w:hAnsiTheme="minorHAnsi"/>
          <w:sz w:val="22"/>
          <w:szCs w:val="22"/>
        </w:rPr>
        <w:t>clinical</w:t>
      </w:r>
      <w:r w:rsidR="000D6365" w:rsidRPr="007A7094">
        <w:rPr>
          <w:rFonts w:asciiTheme="minorHAnsi" w:hAnsiTheme="minorHAnsi"/>
          <w:sz w:val="22"/>
          <w:szCs w:val="22"/>
        </w:rPr>
        <w:t xml:space="preserve"> outcomes</w:t>
      </w:r>
      <w:r w:rsidR="00FE20DB" w:rsidRPr="007A7094">
        <w:rPr>
          <w:rFonts w:asciiTheme="minorHAnsi" w:hAnsiTheme="minorHAnsi"/>
          <w:sz w:val="22"/>
          <w:szCs w:val="22"/>
        </w:rPr>
        <w:t>,</w:t>
      </w:r>
      <w:r w:rsidR="000D6365" w:rsidRPr="007A7094">
        <w:rPr>
          <w:rFonts w:asciiTheme="minorHAnsi" w:hAnsiTheme="minorHAnsi"/>
          <w:sz w:val="22"/>
          <w:szCs w:val="22"/>
        </w:rPr>
        <w:t xml:space="preserve"> observational and surveillance indicators</w:t>
      </w:r>
      <w:r w:rsidR="00FE20DB" w:rsidRPr="007A7094">
        <w:rPr>
          <w:rFonts w:asciiTheme="minorHAnsi" w:hAnsiTheme="minorHAnsi"/>
          <w:sz w:val="22"/>
          <w:szCs w:val="22"/>
        </w:rPr>
        <w:t>, patient experiences, and other materials</w:t>
      </w:r>
      <w:r w:rsidR="000D6365" w:rsidRPr="007A7094">
        <w:rPr>
          <w:rFonts w:asciiTheme="minorHAnsi" w:hAnsiTheme="minorHAnsi"/>
          <w:sz w:val="22"/>
          <w:szCs w:val="22"/>
        </w:rPr>
        <w:t xml:space="preserve">. </w:t>
      </w:r>
      <w:r w:rsidR="00946E48" w:rsidRPr="007A7094">
        <w:rPr>
          <w:rFonts w:asciiTheme="minorHAnsi" w:hAnsiTheme="minorHAnsi"/>
          <w:sz w:val="22"/>
          <w:szCs w:val="22"/>
        </w:rPr>
        <w:t>A more careful science i</w:t>
      </w:r>
      <w:r w:rsidR="00AD47AD" w:rsidRPr="007A7094">
        <w:rPr>
          <w:rFonts w:asciiTheme="minorHAnsi" w:hAnsiTheme="minorHAnsi"/>
          <w:sz w:val="22"/>
          <w:szCs w:val="22"/>
        </w:rPr>
        <w:t>nvolve</w:t>
      </w:r>
      <w:r w:rsidR="00946E48" w:rsidRPr="007A7094">
        <w:rPr>
          <w:rFonts w:asciiTheme="minorHAnsi" w:hAnsiTheme="minorHAnsi"/>
          <w:sz w:val="22"/>
          <w:szCs w:val="22"/>
        </w:rPr>
        <w:t>s</w:t>
      </w:r>
      <w:r w:rsidR="00AD47AD" w:rsidRPr="007A7094">
        <w:rPr>
          <w:rFonts w:asciiTheme="minorHAnsi" w:hAnsiTheme="minorHAnsi"/>
          <w:sz w:val="22"/>
          <w:szCs w:val="22"/>
        </w:rPr>
        <w:t xml:space="preserve"> </w:t>
      </w:r>
      <w:r w:rsidR="00AD47AD" w:rsidRPr="007A7094">
        <w:rPr>
          <w:rFonts w:asciiTheme="minorHAnsi" w:hAnsiTheme="minorHAnsi"/>
          <w:i/>
          <w:sz w:val="22"/>
          <w:szCs w:val="22"/>
        </w:rPr>
        <w:t>dialogue</w:t>
      </w:r>
      <w:r w:rsidR="00AD47AD" w:rsidRPr="007A7094">
        <w:rPr>
          <w:rFonts w:asciiTheme="minorHAnsi" w:hAnsiTheme="minorHAnsi"/>
          <w:sz w:val="22"/>
          <w:szCs w:val="22"/>
        </w:rPr>
        <w:t xml:space="preserve"> across different forms of knowledge and knowledge actor, and is thus</w:t>
      </w:r>
      <w:r w:rsidR="00946E48" w:rsidRPr="007A7094">
        <w:rPr>
          <w:rFonts w:asciiTheme="minorHAnsi" w:hAnsiTheme="minorHAnsi"/>
          <w:sz w:val="22"/>
          <w:szCs w:val="22"/>
        </w:rPr>
        <w:t xml:space="preserve"> a more </w:t>
      </w:r>
      <w:r w:rsidR="00946E48" w:rsidRPr="007A7094">
        <w:rPr>
          <w:rFonts w:asciiTheme="minorHAnsi" w:hAnsiTheme="minorHAnsi"/>
          <w:i/>
          <w:sz w:val="22"/>
          <w:szCs w:val="22"/>
        </w:rPr>
        <w:t>considered</w:t>
      </w:r>
      <w:r w:rsidR="00946E48" w:rsidRPr="007A7094">
        <w:rPr>
          <w:rFonts w:asciiTheme="minorHAnsi" w:hAnsiTheme="minorHAnsi"/>
          <w:sz w:val="22"/>
          <w:szCs w:val="22"/>
        </w:rPr>
        <w:t xml:space="preserve"> science. </w:t>
      </w:r>
      <w:r w:rsidR="0076298B" w:rsidRPr="007A7094">
        <w:rPr>
          <w:rFonts w:asciiTheme="minorHAnsi" w:hAnsiTheme="minorHAnsi"/>
          <w:sz w:val="22"/>
          <w:szCs w:val="22"/>
        </w:rPr>
        <w:t>This</w:t>
      </w:r>
      <w:r w:rsidR="00946E48" w:rsidRPr="007A7094">
        <w:rPr>
          <w:rFonts w:asciiTheme="minorHAnsi" w:hAnsiTheme="minorHAnsi"/>
          <w:sz w:val="22"/>
          <w:szCs w:val="22"/>
        </w:rPr>
        <w:t xml:space="preserve"> strikes us as </w:t>
      </w:r>
      <w:r w:rsidR="0076298B" w:rsidRPr="007A7094">
        <w:rPr>
          <w:rFonts w:asciiTheme="minorHAnsi" w:hAnsiTheme="minorHAnsi"/>
          <w:sz w:val="22"/>
          <w:szCs w:val="22"/>
        </w:rPr>
        <w:t xml:space="preserve">particularly </w:t>
      </w:r>
      <w:r w:rsidR="00946E48" w:rsidRPr="007A7094">
        <w:rPr>
          <w:rFonts w:asciiTheme="minorHAnsi" w:hAnsiTheme="minorHAnsi"/>
          <w:sz w:val="22"/>
          <w:szCs w:val="22"/>
        </w:rPr>
        <w:t xml:space="preserve">apposite </w:t>
      </w:r>
      <w:r w:rsidR="0076298B" w:rsidRPr="007A7094">
        <w:rPr>
          <w:rFonts w:asciiTheme="minorHAnsi" w:hAnsiTheme="minorHAnsi"/>
          <w:sz w:val="22"/>
          <w:szCs w:val="22"/>
        </w:rPr>
        <w:t xml:space="preserve">in </w:t>
      </w:r>
      <w:r w:rsidR="00946E48" w:rsidRPr="007A7094">
        <w:rPr>
          <w:rFonts w:asciiTheme="minorHAnsi" w:hAnsiTheme="minorHAnsi"/>
          <w:sz w:val="22"/>
          <w:szCs w:val="22"/>
        </w:rPr>
        <w:t xml:space="preserve">a </w:t>
      </w:r>
      <w:r w:rsidR="0076298B" w:rsidRPr="007A7094">
        <w:rPr>
          <w:rFonts w:asciiTheme="minorHAnsi" w:hAnsiTheme="minorHAnsi"/>
          <w:sz w:val="22"/>
          <w:szCs w:val="22"/>
        </w:rPr>
        <w:t xml:space="preserve">period </w:t>
      </w:r>
      <w:r w:rsidR="00946E48" w:rsidRPr="007A7094">
        <w:rPr>
          <w:rFonts w:asciiTheme="minorHAnsi" w:hAnsiTheme="minorHAnsi"/>
          <w:sz w:val="22"/>
          <w:szCs w:val="22"/>
        </w:rPr>
        <w:t xml:space="preserve">characterised by high speed and </w:t>
      </w:r>
      <w:r w:rsidR="0076298B" w:rsidRPr="007A7094">
        <w:rPr>
          <w:rFonts w:asciiTheme="minorHAnsi" w:hAnsiTheme="minorHAnsi"/>
          <w:sz w:val="22"/>
          <w:szCs w:val="22"/>
        </w:rPr>
        <w:t xml:space="preserve">ground breaking pharmaceutical </w:t>
      </w:r>
      <w:r w:rsidR="00946E48" w:rsidRPr="007A7094">
        <w:rPr>
          <w:rFonts w:asciiTheme="minorHAnsi" w:hAnsiTheme="minorHAnsi"/>
          <w:sz w:val="22"/>
          <w:szCs w:val="22"/>
        </w:rPr>
        <w:t xml:space="preserve">treatment developments which enact </w:t>
      </w:r>
      <w:r w:rsidR="0076298B" w:rsidRPr="007A7094">
        <w:rPr>
          <w:rFonts w:asciiTheme="minorHAnsi" w:hAnsiTheme="minorHAnsi"/>
          <w:sz w:val="22"/>
          <w:szCs w:val="22"/>
        </w:rPr>
        <w:t>promise</w:t>
      </w:r>
      <w:r w:rsidR="00946E48" w:rsidRPr="007A7094">
        <w:rPr>
          <w:rFonts w:asciiTheme="minorHAnsi" w:hAnsiTheme="minorHAnsi"/>
          <w:sz w:val="22"/>
          <w:szCs w:val="22"/>
        </w:rPr>
        <w:t xml:space="preserve"> not only of individual cure but of </w:t>
      </w:r>
      <w:r w:rsidR="003D2000" w:rsidRPr="007A7094">
        <w:rPr>
          <w:rFonts w:asciiTheme="minorHAnsi" w:hAnsiTheme="minorHAnsi"/>
          <w:sz w:val="22"/>
          <w:szCs w:val="22"/>
        </w:rPr>
        <w:t xml:space="preserve">global </w:t>
      </w:r>
      <w:r w:rsidR="00946E48" w:rsidRPr="007A7094">
        <w:rPr>
          <w:rFonts w:asciiTheme="minorHAnsi" w:hAnsiTheme="minorHAnsi"/>
          <w:sz w:val="22"/>
          <w:szCs w:val="22"/>
        </w:rPr>
        <w:t>viral elimination.</w:t>
      </w:r>
      <w:r w:rsidR="0076298B" w:rsidRPr="007A7094">
        <w:rPr>
          <w:rFonts w:asciiTheme="minorHAnsi" w:hAnsiTheme="minorHAnsi"/>
          <w:sz w:val="22"/>
          <w:szCs w:val="22"/>
        </w:rPr>
        <w:t xml:space="preserve"> </w:t>
      </w:r>
    </w:p>
    <w:p w14:paraId="1516DA38" w14:textId="77777777" w:rsidR="00AD47AD" w:rsidRPr="007A7094" w:rsidRDefault="00AD47AD" w:rsidP="00413674">
      <w:pPr>
        <w:pStyle w:val="Standard"/>
        <w:spacing w:line="480" w:lineRule="auto"/>
        <w:jc w:val="both"/>
        <w:rPr>
          <w:rFonts w:asciiTheme="minorHAnsi" w:hAnsiTheme="minorHAnsi"/>
          <w:sz w:val="22"/>
          <w:szCs w:val="22"/>
        </w:rPr>
      </w:pPr>
    </w:p>
    <w:p w14:paraId="75E2936B" w14:textId="4438C4EC" w:rsidR="0019519B" w:rsidRPr="007A7094" w:rsidRDefault="00141DBE" w:rsidP="00413674">
      <w:pPr>
        <w:pStyle w:val="Standard"/>
        <w:spacing w:line="480" w:lineRule="auto"/>
        <w:jc w:val="both"/>
        <w:rPr>
          <w:rFonts w:asciiTheme="minorHAnsi" w:hAnsiTheme="minorHAnsi"/>
          <w:sz w:val="22"/>
          <w:szCs w:val="22"/>
        </w:rPr>
      </w:pPr>
      <w:r w:rsidRPr="007A7094">
        <w:rPr>
          <w:rFonts w:asciiTheme="minorHAnsi" w:hAnsiTheme="minorHAnsi"/>
          <w:sz w:val="22"/>
          <w:szCs w:val="22"/>
        </w:rPr>
        <w:t xml:space="preserve">Multiple forms of evidence entangle to perform </w:t>
      </w:r>
      <w:r w:rsidR="001A7734" w:rsidRPr="007A7094">
        <w:rPr>
          <w:rFonts w:asciiTheme="minorHAnsi" w:hAnsiTheme="minorHAnsi"/>
          <w:sz w:val="22"/>
          <w:szCs w:val="22"/>
        </w:rPr>
        <w:t xml:space="preserve">an imagined future of </w:t>
      </w:r>
      <w:r w:rsidRPr="007A7094">
        <w:rPr>
          <w:rFonts w:asciiTheme="minorHAnsi" w:hAnsiTheme="minorHAnsi"/>
          <w:sz w:val="22"/>
          <w:szCs w:val="22"/>
        </w:rPr>
        <w:t>hepatitis C viral elimination, including global elimination targets, mathematical model</w:t>
      </w:r>
      <w:r w:rsidR="003D2000" w:rsidRPr="007A7094">
        <w:rPr>
          <w:rFonts w:asciiTheme="minorHAnsi" w:hAnsiTheme="minorHAnsi"/>
          <w:sz w:val="22"/>
          <w:szCs w:val="22"/>
        </w:rPr>
        <w:t>ling projection</w:t>
      </w:r>
      <w:r w:rsidRPr="007A7094">
        <w:rPr>
          <w:rFonts w:asciiTheme="minorHAnsi" w:hAnsiTheme="minorHAnsi"/>
          <w:sz w:val="22"/>
          <w:szCs w:val="22"/>
        </w:rPr>
        <w:t xml:space="preserve">s, </w:t>
      </w:r>
      <w:r w:rsidR="003D2000" w:rsidRPr="007A7094">
        <w:rPr>
          <w:rFonts w:asciiTheme="minorHAnsi" w:hAnsiTheme="minorHAnsi"/>
          <w:sz w:val="22"/>
          <w:szCs w:val="22"/>
        </w:rPr>
        <w:t xml:space="preserve">local </w:t>
      </w:r>
      <w:r w:rsidRPr="007A7094">
        <w:rPr>
          <w:rFonts w:asciiTheme="minorHAnsi" w:hAnsiTheme="minorHAnsi"/>
          <w:sz w:val="22"/>
          <w:szCs w:val="22"/>
        </w:rPr>
        <w:t xml:space="preserve">accounts of </w:t>
      </w:r>
      <w:r w:rsidR="003D2000" w:rsidRPr="007A7094">
        <w:rPr>
          <w:rFonts w:asciiTheme="minorHAnsi" w:hAnsiTheme="minorHAnsi"/>
          <w:sz w:val="22"/>
          <w:szCs w:val="22"/>
        </w:rPr>
        <w:t xml:space="preserve">viral </w:t>
      </w:r>
      <w:r w:rsidRPr="007A7094">
        <w:rPr>
          <w:rFonts w:asciiTheme="minorHAnsi" w:hAnsiTheme="minorHAnsi"/>
          <w:sz w:val="22"/>
          <w:szCs w:val="22"/>
        </w:rPr>
        <w:t>elimination intervening, and strategies and policies of nation-states ‘signed-up’ to global elimination goals (Rhodes and Lancaster, 2019</w:t>
      </w:r>
      <w:r w:rsidR="00AD47AD" w:rsidRPr="007A7094">
        <w:rPr>
          <w:rFonts w:asciiTheme="minorHAnsi" w:hAnsiTheme="minorHAnsi"/>
          <w:sz w:val="22"/>
          <w:szCs w:val="22"/>
        </w:rPr>
        <w:t>b</w:t>
      </w:r>
      <w:r w:rsidRPr="007A7094">
        <w:rPr>
          <w:rFonts w:asciiTheme="minorHAnsi" w:hAnsiTheme="minorHAnsi"/>
          <w:sz w:val="22"/>
          <w:szCs w:val="22"/>
        </w:rPr>
        <w:t xml:space="preserve">; Lancaster et al., 2019). Viral elimination potential is an evidence-making performance. This is not to say that viral elimination potential is not real, or that a future without hepatitis C is not possible, or that some ways of knowing viral elimination might claim greater epistemological veracity than others. Rather, it draws attention to how a more careful elimination science </w:t>
      </w:r>
      <w:r w:rsidR="005D57E2" w:rsidRPr="007A7094">
        <w:rPr>
          <w:rFonts w:asciiTheme="minorHAnsi" w:hAnsiTheme="minorHAnsi"/>
          <w:sz w:val="22"/>
          <w:szCs w:val="22"/>
        </w:rPr>
        <w:t>is</w:t>
      </w:r>
      <w:r w:rsidRPr="007A7094">
        <w:rPr>
          <w:rFonts w:asciiTheme="minorHAnsi" w:hAnsiTheme="minorHAnsi"/>
          <w:sz w:val="22"/>
          <w:szCs w:val="22"/>
        </w:rPr>
        <w:t xml:space="preserve"> attuned to knowing how viral elimination is</w:t>
      </w:r>
      <w:r w:rsidR="005D57E2" w:rsidRPr="007A7094">
        <w:rPr>
          <w:rFonts w:asciiTheme="minorHAnsi" w:hAnsiTheme="minorHAnsi"/>
          <w:sz w:val="22"/>
          <w:szCs w:val="22"/>
        </w:rPr>
        <w:t xml:space="preserve"> variably made-up </w:t>
      </w:r>
      <w:r w:rsidR="003D2000" w:rsidRPr="007A7094">
        <w:rPr>
          <w:rFonts w:asciiTheme="minorHAnsi" w:hAnsiTheme="minorHAnsi"/>
          <w:sz w:val="22"/>
          <w:szCs w:val="22"/>
        </w:rPr>
        <w:t>in</w:t>
      </w:r>
      <w:r w:rsidR="005D57E2" w:rsidRPr="007A7094">
        <w:rPr>
          <w:rFonts w:asciiTheme="minorHAnsi" w:hAnsiTheme="minorHAnsi"/>
          <w:sz w:val="22"/>
          <w:szCs w:val="22"/>
        </w:rPr>
        <w:t xml:space="preserve"> its evidencing</w:t>
      </w:r>
      <w:r w:rsidR="003D2000" w:rsidRPr="007A7094">
        <w:rPr>
          <w:rFonts w:asciiTheme="minorHAnsi" w:hAnsiTheme="minorHAnsi"/>
          <w:sz w:val="22"/>
          <w:szCs w:val="22"/>
        </w:rPr>
        <w:t xml:space="preserve"> practices</w:t>
      </w:r>
      <w:r w:rsidR="005D57E2" w:rsidRPr="007A7094">
        <w:rPr>
          <w:rFonts w:asciiTheme="minorHAnsi" w:hAnsiTheme="minorHAnsi"/>
          <w:sz w:val="22"/>
          <w:szCs w:val="22"/>
        </w:rPr>
        <w:t xml:space="preserve"> and how this making-up is situated </w:t>
      </w:r>
      <w:r w:rsidR="003D2000" w:rsidRPr="007A7094">
        <w:rPr>
          <w:rFonts w:asciiTheme="minorHAnsi" w:hAnsiTheme="minorHAnsi"/>
          <w:sz w:val="22"/>
          <w:szCs w:val="22"/>
        </w:rPr>
        <w:t>in relation to</w:t>
      </w:r>
      <w:r w:rsidR="005D57E2" w:rsidRPr="007A7094">
        <w:rPr>
          <w:rFonts w:asciiTheme="minorHAnsi" w:hAnsiTheme="minorHAnsi"/>
          <w:sz w:val="22"/>
          <w:szCs w:val="22"/>
        </w:rPr>
        <w:t xml:space="preserve"> particular social, political, economic and policy concerns. There is the virtual singular of viral elimination performed as a matter-of-fact – this is the viral elimination we see performed most often – and there is a messier, complex, less stable, more fluid, ‘viral elimination multiple’ which is performed </w:t>
      </w:r>
      <w:r w:rsidR="0082100B" w:rsidRPr="007A7094">
        <w:rPr>
          <w:rFonts w:asciiTheme="minorHAnsi" w:hAnsiTheme="minorHAnsi"/>
          <w:sz w:val="22"/>
          <w:szCs w:val="22"/>
        </w:rPr>
        <w:t>as</w:t>
      </w:r>
      <w:r w:rsidR="005D57E2" w:rsidRPr="007A7094">
        <w:rPr>
          <w:rFonts w:asciiTheme="minorHAnsi" w:hAnsiTheme="minorHAnsi"/>
          <w:sz w:val="22"/>
          <w:szCs w:val="22"/>
        </w:rPr>
        <w:t xml:space="preserve"> local matters-of-concern.  </w:t>
      </w:r>
      <w:r w:rsidR="003D2000" w:rsidRPr="007A7094">
        <w:rPr>
          <w:rFonts w:asciiTheme="minorHAnsi" w:hAnsiTheme="minorHAnsi"/>
          <w:sz w:val="22"/>
          <w:szCs w:val="22"/>
        </w:rPr>
        <w:t xml:space="preserve">We can trace how the performative work in some of the </w:t>
      </w:r>
      <w:r w:rsidR="003362B6" w:rsidRPr="007A7094">
        <w:rPr>
          <w:rFonts w:asciiTheme="minorHAnsi" w:hAnsiTheme="minorHAnsi"/>
          <w:sz w:val="22"/>
          <w:szCs w:val="22"/>
        </w:rPr>
        <w:t>responses to</w:t>
      </w:r>
      <w:r w:rsidR="0019519B" w:rsidRPr="007A7094">
        <w:rPr>
          <w:rFonts w:asciiTheme="minorHAnsi" w:hAnsiTheme="minorHAnsi"/>
          <w:sz w:val="22"/>
          <w:szCs w:val="22"/>
        </w:rPr>
        <w:t xml:space="preserve"> the Cochrane review</w:t>
      </w:r>
      <w:r w:rsidR="003D2000" w:rsidRPr="007A7094">
        <w:rPr>
          <w:rFonts w:asciiTheme="minorHAnsi" w:hAnsiTheme="minorHAnsi"/>
          <w:sz w:val="22"/>
          <w:szCs w:val="22"/>
        </w:rPr>
        <w:t xml:space="preserve"> seeks to preserve the purity of the singular virtual of viral elimination </w:t>
      </w:r>
      <w:r w:rsidR="008C6A91" w:rsidRPr="007A7094">
        <w:rPr>
          <w:rFonts w:asciiTheme="minorHAnsi" w:hAnsiTheme="minorHAnsi"/>
          <w:sz w:val="22"/>
          <w:szCs w:val="22"/>
        </w:rPr>
        <w:t>(European Association for the Study of the Liver, 2017; World Hepatitis Alliance, 2017; European Liver Patients’ Association, 2017; Gastroenterological Society of Australia, 2017; Hepatitis C Coalition, 2017; Powderly et al., 2017; Foster et al., 2018; Cooke et al., 2018; Barclay et al., 2018)</w:t>
      </w:r>
      <w:r w:rsidR="0019519B" w:rsidRPr="007A7094">
        <w:rPr>
          <w:rFonts w:asciiTheme="minorHAnsi" w:hAnsiTheme="minorHAnsi"/>
          <w:sz w:val="22"/>
          <w:szCs w:val="22"/>
        </w:rPr>
        <w:t xml:space="preserve">. </w:t>
      </w:r>
      <w:r w:rsidR="00E66264" w:rsidRPr="007A7094">
        <w:rPr>
          <w:rFonts w:asciiTheme="minorHAnsi" w:hAnsiTheme="minorHAnsi"/>
          <w:sz w:val="22"/>
          <w:szCs w:val="22"/>
        </w:rPr>
        <w:t xml:space="preserve">While the Cochrane controversy concerning DAAs is relatively </w:t>
      </w:r>
      <w:r w:rsidR="003D2000" w:rsidRPr="007A7094">
        <w:rPr>
          <w:rFonts w:asciiTheme="minorHAnsi" w:hAnsiTheme="minorHAnsi"/>
          <w:sz w:val="22"/>
          <w:szCs w:val="22"/>
        </w:rPr>
        <w:t>narrow</w:t>
      </w:r>
      <w:r w:rsidR="00E66264" w:rsidRPr="007A7094">
        <w:rPr>
          <w:rFonts w:asciiTheme="minorHAnsi" w:hAnsiTheme="minorHAnsi"/>
          <w:sz w:val="22"/>
          <w:szCs w:val="22"/>
        </w:rPr>
        <w:t xml:space="preserve"> in its field of focus, perhaps even esoteric to some, </w:t>
      </w:r>
      <w:r w:rsidR="003D2000" w:rsidRPr="007A7094">
        <w:rPr>
          <w:rFonts w:asciiTheme="minorHAnsi" w:hAnsiTheme="minorHAnsi"/>
          <w:sz w:val="22"/>
          <w:szCs w:val="22"/>
        </w:rPr>
        <w:t>and</w:t>
      </w:r>
      <w:r w:rsidR="00E66264" w:rsidRPr="007A7094">
        <w:rPr>
          <w:rFonts w:asciiTheme="minorHAnsi" w:hAnsiTheme="minorHAnsi"/>
          <w:sz w:val="22"/>
          <w:szCs w:val="22"/>
        </w:rPr>
        <w:t xml:space="preserve"> possibly short-lived, </w:t>
      </w:r>
      <w:r w:rsidR="003D2000" w:rsidRPr="007A7094">
        <w:rPr>
          <w:rFonts w:asciiTheme="minorHAnsi" w:hAnsiTheme="minorHAnsi"/>
          <w:sz w:val="22"/>
          <w:szCs w:val="22"/>
        </w:rPr>
        <w:t>it prompts us to propose that</w:t>
      </w:r>
      <w:r w:rsidR="00E66264" w:rsidRPr="007A7094">
        <w:rPr>
          <w:rFonts w:asciiTheme="minorHAnsi" w:hAnsiTheme="minorHAnsi"/>
          <w:sz w:val="22"/>
          <w:szCs w:val="22"/>
        </w:rPr>
        <w:t xml:space="preserve"> </w:t>
      </w:r>
      <w:r w:rsidR="009D7E98" w:rsidRPr="007A7094">
        <w:rPr>
          <w:rFonts w:asciiTheme="minorHAnsi" w:hAnsiTheme="minorHAnsi"/>
          <w:sz w:val="22"/>
          <w:szCs w:val="22"/>
        </w:rPr>
        <w:t>a</w:t>
      </w:r>
      <w:r w:rsidR="0019519B" w:rsidRPr="007A7094">
        <w:rPr>
          <w:rFonts w:asciiTheme="minorHAnsi" w:hAnsiTheme="minorHAnsi"/>
          <w:sz w:val="22"/>
          <w:szCs w:val="22"/>
        </w:rPr>
        <w:t xml:space="preserve"> more careful </w:t>
      </w:r>
      <w:r w:rsidR="00E66264" w:rsidRPr="007A7094">
        <w:rPr>
          <w:rFonts w:asciiTheme="minorHAnsi" w:hAnsiTheme="minorHAnsi"/>
          <w:sz w:val="22"/>
          <w:szCs w:val="22"/>
        </w:rPr>
        <w:t xml:space="preserve">viral elimination </w:t>
      </w:r>
      <w:r w:rsidR="0019519B" w:rsidRPr="007A7094">
        <w:rPr>
          <w:rFonts w:asciiTheme="minorHAnsi" w:hAnsiTheme="minorHAnsi"/>
          <w:sz w:val="22"/>
          <w:szCs w:val="22"/>
        </w:rPr>
        <w:t>science</w:t>
      </w:r>
      <w:r w:rsidR="003D2000" w:rsidRPr="007A7094">
        <w:rPr>
          <w:rFonts w:asciiTheme="minorHAnsi" w:hAnsiTheme="minorHAnsi"/>
          <w:sz w:val="22"/>
          <w:szCs w:val="22"/>
        </w:rPr>
        <w:t xml:space="preserve"> is warranted</w:t>
      </w:r>
      <w:r w:rsidR="0019519B" w:rsidRPr="007A7094">
        <w:rPr>
          <w:rFonts w:asciiTheme="minorHAnsi" w:hAnsiTheme="minorHAnsi"/>
          <w:sz w:val="22"/>
          <w:szCs w:val="22"/>
        </w:rPr>
        <w:t xml:space="preserve">. </w:t>
      </w:r>
    </w:p>
    <w:p w14:paraId="42EEC239" w14:textId="5C9DE01E" w:rsidR="0019519B" w:rsidRPr="007A7094" w:rsidRDefault="0019519B" w:rsidP="00722632">
      <w:pPr>
        <w:pStyle w:val="Standard"/>
        <w:spacing w:line="480" w:lineRule="auto"/>
        <w:jc w:val="both"/>
        <w:rPr>
          <w:rFonts w:asciiTheme="minorHAnsi" w:hAnsiTheme="minorHAnsi"/>
          <w:sz w:val="22"/>
          <w:szCs w:val="22"/>
        </w:rPr>
      </w:pPr>
    </w:p>
    <w:p w14:paraId="2FABCFD1" w14:textId="1D662AB1" w:rsidR="0019519B" w:rsidRPr="007A7094" w:rsidRDefault="001D5B83" w:rsidP="00722632">
      <w:pPr>
        <w:pStyle w:val="Standard"/>
        <w:spacing w:line="480" w:lineRule="auto"/>
        <w:jc w:val="both"/>
        <w:rPr>
          <w:rFonts w:asciiTheme="minorHAnsi" w:hAnsiTheme="minorHAnsi"/>
          <w:i/>
        </w:rPr>
      </w:pPr>
      <w:r w:rsidRPr="007A7094">
        <w:rPr>
          <w:rFonts w:asciiTheme="minorHAnsi" w:hAnsiTheme="minorHAnsi"/>
          <w:i/>
        </w:rPr>
        <w:t>Conclusion</w:t>
      </w:r>
      <w:r w:rsidR="003D2000" w:rsidRPr="007A7094">
        <w:rPr>
          <w:rFonts w:asciiTheme="minorHAnsi" w:hAnsiTheme="minorHAnsi"/>
          <w:i/>
        </w:rPr>
        <w:t>s</w:t>
      </w:r>
      <w:r w:rsidR="0019519B" w:rsidRPr="007A7094">
        <w:rPr>
          <w:rFonts w:asciiTheme="minorHAnsi" w:hAnsiTheme="minorHAnsi"/>
          <w:i/>
        </w:rPr>
        <w:t xml:space="preserve">: </w:t>
      </w:r>
      <w:r w:rsidR="009D7E98" w:rsidRPr="007A7094">
        <w:rPr>
          <w:rFonts w:asciiTheme="minorHAnsi" w:hAnsiTheme="minorHAnsi"/>
          <w:i/>
        </w:rPr>
        <w:t>Towards e</w:t>
      </w:r>
      <w:r w:rsidR="0019519B" w:rsidRPr="007A7094">
        <w:rPr>
          <w:rFonts w:asciiTheme="minorHAnsi" w:hAnsiTheme="minorHAnsi"/>
          <w:i/>
        </w:rPr>
        <w:t xml:space="preserve">vidence-making </w:t>
      </w:r>
      <w:r w:rsidR="009D7E98" w:rsidRPr="007A7094">
        <w:rPr>
          <w:rFonts w:asciiTheme="minorHAnsi" w:hAnsiTheme="minorHAnsi"/>
          <w:i/>
        </w:rPr>
        <w:t xml:space="preserve">intervention </w:t>
      </w:r>
      <w:r w:rsidR="0019519B" w:rsidRPr="007A7094">
        <w:rPr>
          <w:rFonts w:asciiTheme="minorHAnsi" w:hAnsiTheme="minorHAnsi"/>
          <w:i/>
        </w:rPr>
        <w:t>approaches</w:t>
      </w:r>
    </w:p>
    <w:p w14:paraId="50DF4333" w14:textId="345F3742" w:rsidR="00997B63" w:rsidRPr="007A7094" w:rsidRDefault="00B51301" w:rsidP="00722632">
      <w:pPr>
        <w:spacing w:after="0" w:line="480" w:lineRule="auto"/>
        <w:jc w:val="both"/>
      </w:pPr>
      <w:r w:rsidRPr="007A7094">
        <w:t xml:space="preserve">A more careful science </w:t>
      </w:r>
      <w:r w:rsidR="0019519B" w:rsidRPr="007A7094">
        <w:t>extends beyond th</w:t>
      </w:r>
      <w:r w:rsidRPr="007A7094">
        <w:t>at</w:t>
      </w:r>
      <w:r w:rsidR="0019519B" w:rsidRPr="007A7094">
        <w:t xml:space="preserve"> restricted to matters of epistemological concern.</w:t>
      </w:r>
      <w:r w:rsidRPr="007A7094">
        <w:t xml:space="preserve"> We are advocating a way of knowing </w:t>
      </w:r>
      <w:r w:rsidR="00DD14EC" w:rsidRPr="007A7094">
        <w:t xml:space="preserve">health intervention </w:t>
      </w:r>
      <w:r w:rsidRPr="007A7094">
        <w:t xml:space="preserve">that is </w:t>
      </w:r>
      <w:r w:rsidRPr="007A7094">
        <w:rPr>
          <w:i/>
        </w:rPr>
        <w:t>more</w:t>
      </w:r>
      <w:r w:rsidR="00EB5271" w:rsidRPr="007A7094">
        <w:rPr>
          <w:i/>
        </w:rPr>
        <w:t xml:space="preserve"> </w:t>
      </w:r>
      <w:r w:rsidRPr="007A7094">
        <w:rPr>
          <w:i/>
        </w:rPr>
        <w:t>than</w:t>
      </w:r>
      <w:r w:rsidRPr="007A7094">
        <w:t xml:space="preserve"> epistemological and </w:t>
      </w:r>
      <w:r w:rsidRPr="007A7094">
        <w:rPr>
          <w:i/>
        </w:rPr>
        <w:t>more</w:t>
      </w:r>
      <w:r w:rsidR="00EB5271" w:rsidRPr="007A7094">
        <w:rPr>
          <w:i/>
        </w:rPr>
        <w:t xml:space="preserve"> </w:t>
      </w:r>
      <w:r w:rsidRPr="007A7094">
        <w:rPr>
          <w:i/>
        </w:rPr>
        <w:t>than</w:t>
      </w:r>
      <w:r w:rsidRPr="007A7094">
        <w:t xml:space="preserve"> a matter</w:t>
      </w:r>
      <w:r w:rsidR="00A16EB1" w:rsidRPr="007A7094">
        <w:t>-</w:t>
      </w:r>
      <w:r w:rsidRPr="007A7094">
        <w:t>of</w:t>
      </w:r>
      <w:r w:rsidR="00A16EB1" w:rsidRPr="007A7094">
        <w:t>-</w:t>
      </w:r>
      <w:r w:rsidRPr="007A7094">
        <w:t>fact.</w:t>
      </w:r>
      <w:r w:rsidR="0019519B" w:rsidRPr="007A7094">
        <w:t xml:space="preserve"> </w:t>
      </w:r>
      <w:r w:rsidR="006E43DE" w:rsidRPr="007A7094">
        <w:t xml:space="preserve">We should not proceed </w:t>
      </w:r>
      <w:r w:rsidR="006E43DE" w:rsidRPr="007A7094">
        <w:rPr>
          <w:i/>
        </w:rPr>
        <w:t>as if</w:t>
      </w:r>
      <w:r w:rsidR="006E43DE" w:rsidRPr="007A7094">
        <w:t xml:space="preserve"> science is separate from </w:t>
      </w:r>
      <w:r w:rsidR="00247FA2" w:rsidRPr="007A7094">
        <w:t xml:space="preserve">its </w:t>
      </w:r>
      <w:r w:rsidR="006E43DE" w:rsidRPr="007A7094">
        <w:t>implementation practices</w:t>
      </w:r>
      <w:r w:rsidR="00DD14EC" w:rsidRPr="007A7094">
        <w:t xml:space="preserve"> and matters-of-concern</w:t>
      </w:r>
      <w:r w:rsidR="006E43DE" w:rsidRPr="007A7094">
        <w:t>, and we need</w:t>
      </w:r>
      <w:r w:rsidR="00DD14EC" w:rsidRPr="007A7094">
        <w:t xml:space="preserve"> </w:t>
      </w:r>
      <w:r w:rsidR="006E43DE" w:rsidRPr="007A7094">
        <w:rPr>
          <w:i/>
        </w:rPr>
        <w:t>more</w:t>
      </w:r>
      <w:r w:rsidR="00EB5271" w:rsidRPr="007A7094">
        <w:rPr>
          <w:i/>
        </w:rPr>
        <w:t xml:space="preserve"> </w:t>
      </w:r>
      <w:r w:rsidR="006E43DE" w:rsidRPr="007A7094">
        <w:rPr>
          <w:i/>
        </w:rPr>
        <w:t>than</w:t>
      </w:r>
      <w:r w:rsidR="006E43DE" w:rsidRPr="007A7094">
        <w:t xml:space="preserve"> </w:t>
      </w:r>
      <w:r w:rsidR="00EB5271" w:rsidRPr="007A7094">
        <w:t xml:space="preserve">a </w:t>
      </w:r>
      <w:r w:rsidR="006E43DE" w:rsidRPr="007A7094">
        <w:t>single way of knowing.</w:t>
      </w:r>
      <w:r w:rsidR="00DD14EC" w:rsidRPr="007A7094">
        <w:t xml:space="preserve"> </w:t>
      </w:r>
      <w:r w:rsidR="006C3B0C" w:rsidRPr="007A7094">
        <w:t xml:space="preserve">Following </w:t>
      </w:r>
      <w:r w:rsidR="009A03CC" w:rsidRPr="007A7094">
        <w:t>Isabelle Stengers</w:t>
      </w:r>
      <w:r w:rsidR="008C6A91" w:rsidRPr="007A7094">
        <w:t xml:space="preserve"> </w:t>
      </w:r>
      <w:r w:rsidR="008C6A91" w:rsidRPr="007A7094">
        <w:lastRenderedPageBreak/>
        <w:t>(2018)</w:t>
      </w:r>
      <w:r w:rsidR="006C3B0C" w:rsidRPr="007A7094">
        <w:t xml:space="preserve">, </w:t>
      </w:r>
      <w:r w:rsidR="009A03CC" w:rsidRPr="007A7094">
        <w:t>“another science is possible”</w:t>
      </w:r>
      <w:r w:rsidR="003E26F3" w:rsidRPr="007A7094">
        <w:t xml:space="preserve">. </w:t>
      </w:r>
      <w:r w:rsidR="00C64842" w:rsidRPr="007A7094">
        <w:t>S</w:t>
      </w:r>
      <w:r w:rsidR="008C6A91" w:rsidRPr="007A7094">
        <w:t xml:space="preserve">he </w:t>
      </w:r>
      <w:r w:rsidR="00C64842" w:rsidRPr="007A7094">
        <w:t>writes: “The essential thing with ‘matters-of-concern’ is to get rid of the idea that there is a single ‘right answer’, and instead put what are often difficult choices on the table, necessitating a process of hesitation, concentration and attentive scrutiny”</w:t>
      </w:r>
      <w:r w:rsidR="00997B63" w:rsidRPr="007A7094">
        <w:t xml:space="preserve"> (2018: </w:t>
      </w:r>
      <w:bookmarkStart w:id="0" w:name="_GoBack"/>
      <w:bookmarkEnd w:id="0"/>
      <w:r w:rsidR="00CE41D9" w:rsidRPr="007A7094">
        <w:t>3-4</w:t>
      </w:r>
      <w:r w:rsidR="00997B63" w:rsidRPr="007A7094">
        <w:t>)</w:t>
      </w:r>
      <w:r w:rsidR="00C64842" w:rsidRPr="007A7094">
        <w:t xml:space="preserve">. </w:t>
      </w:r>
    </w:p>
    <w:p w14:paraId="725ADD31" w14:textId="77777777" w:rsidR="00997B63" w:rsidRPr="007A7094" w:rsidRDefault="00997B63" w:rsidP="00722632">
      <w:pPr>
        <w:spacing w:after="0" w:line="480" w:lineRule="auto"/>
        <w:jc w:val="both"/>
      </w:pPr>
    </w:p>
    <w:p w14:paraId="31467A02" w14:textId="03FF1182" w:rsidR="00024BCB" w:rsidRPr="009B00F4" w:rsidRDefault="00C64842" w:rsidP="00722632">
      <w:pPr>
        <w:spacing w:after="0" w:line="480" w:lineRule="auto"/>
        <w:jc w:val="both"/>
      </w:pPr>
      <w:r w:rsidRPr="007A7094">
        <w:t xml:space="preserve">Stengers </w:t>
      </w:r>
      <w:r w:rsidR="008C6A91" w:rsidRPr="007A7094">
        <w:t xml:space="preserve">(2018) </w:t>
      </w:r>
      <w:r w:rsidRPr="007A7094">
        <w:t xml:space="preserve">is advocating </w:t>
      </w:r>
      <w:r w:rsidR="003E26F3" w:rsidRPr="007A7094">
        <w:t xml:space="preserve">a science that </w:t>
      </w:r>
      <w:r w:rsidRPr="007A7094">
        <w:t>incorporat</w:t>
      </w:r>
      <w:r w:rsidR="003E26F3" w:rsidRPr="007A7094">
        <w:t>es</w:t>
      </w:r>
      <w:r w:rsidRPr="007A7094">
        <w:t xml:space="preserve"> multiple forms of knowledge-making</w:t>
      </w:r>
      <w:r w:rsidR="007F0E98" w:rsidRPr="007A7094">
        <w:t>, including those beyond evidence-based science as we know it</w:t>
      </w:r>
      <w:r w:rsidRPr="007A7094">
        <w:t xml:space="preserve">. </w:t>
      </w:r>
      <w:r w:rsidR="00A44A42" w:rsidRPr="007A7094">
        <w:t xml:space="preserve">This </w:t>
      </w:r>
      <w:r w:rsidR="003E26F3" w:rsidRPr="007A7094">
        <w:t>invites</w:t>
      </w:r>
      <w:r w:rsidR="00A44A42" w:rsidRPr="007A7094">
        <w:t xml:space="preserve"> a new set of relations between scientists, experts, clinicians and, indeed, the communities they serve. </w:t>
      </w:r>
      <w:r w:rsidRPr="007A7094">
        <w:t xml:space="preserve">In </w:t>
      </w:r>
      <w:r w:rsidR="007F0E98" w:rsidRPr="007A7094">
        <w:t xml:space="preserve">this version of science, uncertainty produced through evidence controversy is </w:t>
      </w:r>
      <w:r w:rsidR="007F0E98" w:rsidRPr="007A7094">
        <w:rPr>
          <w:i/>
        </w:rPr>
        <w:t>productive</w:t>
      </w:r>
      <w:r w:rsidR="007F0E98" w:rsidRPr="007A7094">
        <w:t xml:space="preserve">, for it generates a critical hesitancy and reflection which enables science </w:t>
      </w:r>
      <w:r w:rsidR="00A026C7" w:rsidRPr="007A7094">
        <w:t xml:space="preserve">(and clinical practices) </w:t>
      </w:r>
      <w:r w:rsidR="007F0E98" w:rsidRPr="007A7094">
        <w:t>to perform as concern</w:t>
      </w:r>
      <w:r w:rsidR="00D207EA" w:rsidRPr="007A7094">
        <w:t xml:space="preserve">s </w:t>
      </w:r>
      <w:r w:rsidR="007F0E98" w:rsidRPr="007A7094">
        <w:t xml:space="preserve">in ways </w:t>
      </w:r>
      <w:r w:rsidR="00D207EA" w:rsidRPr="007A7094">
        <w:t>that</w:t>
      </w:r>
      <w:r w:rsidR="007F0E98" w:rsidRPr="007A7094">
        <w:t xml:space="preserve"> are made-to-matter. </w:t>
      </w:r>
      <w:r w:rsidR="00A44A42" w:rsidRPr="007A7094">
        <w:t>It requires that scientists and clinical practitioners share their knowledge without pre-empting how it should be taken into account</w:t>
      </w:r>
      <w:r w:rsidR="002C61D9" w:rsidRPr="007A7094">
        <w:t>.</w:t>
      </w:r>
      <w:r w:rsidR="00A44A42" w:rsidRPr="007A7094">
        <w:t xml:space="preserve"> </w:t>
      </w:r>
      <w:r w:rsidR="00457405" w:rsidRPr="007A7094">
        <w:t xml:space="preserve">This </w:t>
      </w:r>
      <w:r w:rsidR="00076991" w:rsidRPr="007A7094">
        <w:t>i</w:t>
      </w:r>
      <w:r w:rsidR="00457405" w:rsidRPr="007A7094">
        <w:t xml:space="preserve">s a more careful reflexive science than </w:t>
      </w:r>
      <w:r w:rsidR="00CF5447" w:rsidRPr="007A7094">
        <w:t>the ‘f</w:t>
      </w:r>
      <w:r w:rsidR="00457405" w:rsidRPr="007A7094">
        <w:t>ast</w:t>
      </w:r>
      <w:r w:rsidR="00CF5447" w:rsidRPr="007A7094">
        <w:t>er’</w:t>
      </w:r>
      <w:r w:rsidR="00457405" w:rsidRPr="007A7094">
        <w:t xml:space="preserve"> science</w:t>
      </w:r>
      <w:r w:rsidR="00CF5447" w:rsidRPr="007A7094">
        <w:t>s</w:t>
      </w:r>
      <w:r w:rsidR="00457405" w:rsidRPr="007A7094">
        <w:t xml:space="preserve"> reproducing</w:t>
      </w:r>
      <w:r w:rsidR="003A6307" w:rsidRPr="007A7094">
        <w:t xml:space="preserve"> </w:t>
      </w:r>
      <w:r w:rsidR="00457405" w:rsidRPr="007A7094">
        <w:t xml:space="preserve">matters-of-fact. In this more careful way of knowing </w:t>
      </w:r>
      <w:r w:rsidR="007F0E98" w:rsidRPr="007A7094">
        <w:t>“what is messy is not defective</w:t>
      </w:r>
      <w:r w:rsidR="00CF5447" w:rsidRPr="007A7094">
        <w:t>” – a technical problem of research method to era</w:t>
      </w:r>
      <w:r w:rsidR="003A6307" w:rsidRPr="007A7094">
        <w:t>se</w:t>
      </w:r>
      <w:r w:rsidR="00CF5447" w:rsidRPr="007A7094">
        <w:t xml:space="preserve"> before facts become possible – </w:t>
      </w:r>
      <w:r w:rsidR="007F0E98" w:rsidRPr="007A7094">
        <w:t xml:space="preserve">but </w:t>
      </w:r>
      <w:r w:rsidR="00CF5447" w:rsidRPr="007A7094">
        <w:t xml:space="preserve">a </w:t>
      </w:r>
      <w:r w:rsidR="003A6307" w:rsidRPr="007A7094">
        <w:t xml:space="preserve">material </w:t>
      </w:r>
      <w:r w:rsidR="00CF5447" w:rsidRPr="007A7094">
        <w:t xml:space="preserve">concern </w:t>
      </w:r>
      <w:r w:rsidR="007F0E98" w:rsidRPr="007A7094">
        <w:t xml:space="preserve">that we </w:t>
      </w:r>
      <w:r w:rsidR="00CF5447" w:rsidRPr="007A7094">
        <w:t>can “</w:t>
      </w:r>
      <w:r w:rsidR="007F0E98" w:rsidRPr="007A7094">
        <w:t>learn to live with and think with”</w:t>
      </w:r>
      <w:r w:rsidR="008C6A91" w:rsidRPr="007A7094">
        <w:t xml:space="preserve"> (Stengers, 2018)</w:t>
      </w:r>
      <w:r w:rsidR="00CF5447" w:rsidRPr="007A7094">
        <w:t xml:space="preserve">. </w:t>
      </w:r>
      <w:r w:rsidR="003E26F3" w:rsidRPr="007A7094">
        <w:t>This</w:t>
      </w:r>
      <w:r w:rsidR="001C6C74" w:rsidRPr="007A7094">
        <w:t xml:space="preserve"> forces us all – as </w:t>
      </w:r>
      <w:r w:rsidR="008F0E86" w:rsidRPr="007A7094">
        <w:t>researchers</w:t>
      </w:r>
      <w:r w:rsidR="001C6C74" w:rsidRPr="007A7094">
        <w:t>, experts</w:t>
      </w:r>
      <w:r w:rsidR="003E26F3" w:rsidRPr="007A7094">
        <w:t xml:space="preserve">, </w:t>
      </w:r>
      <w:r w:rsidR="001C6C74" w:rsidRPr="007A7094">
        <w:t>practitioners</w:t>
      </w:r>
      <w:r w:rsidR="003E26F3" w:rsidRPr="007A7094">
        <w:t>, patients</w:t>
      </w:r>
      <w:r w:rsidR="001C6C74" w:rsidRPr="007A7094">
        <w:t xml:space="preserve"> – to </w:t>
      </w:r>
      <w:r w:rsidR="008F0E86" w:rsidRPr="007A7094">
        <w:t xml:space="preserve">transform the terms of the debate, </w:t>
      </w:r>
      <w:r w:rsidR="00352A4A" w:rsidRPr="007A7094">
        <w:t>expose</w:t>
      </w:r>
      <w:r w:rsidR="008F0E86" w:rsidRPr="007A7094">
        <w:t xml:space="preserve"> the consequences of different ways of thinking, </w:t>
      </w:r>
      <w:r w:rsidR="00352A4A" w:rsidRPr="007A7094">
        <w:t xml:space="preserve">preclude shortcuts, </w:t>
      </w:r>
      <w:r w:rsidR="008F0E86" w:rsidRPr="007A7094">
        <w:t>and give voice to the hard questions face</w:t>
      </w:r>
      <w:r w:rsidR="00352A4A" w:rsidRPr="007A7094">
        <w:t>d</w:t>
      </w:r>
      <w:r w:rsidR="008F0E86" w:rsidRPr="007A7094">
        <w:t xml:space="preserve"> in policy and practice</w:t>
      </w:r>
      <w:r w:rsidR="00AC1E20" w:rsidRPr="007A7094">
        <w:t>,</w:t>
      </w:r>
      <w:r w:rsidR="00352A4A" w:rsidRPr="007A7094">
        <w:t xml:space="preserve"> </w:t>
      </w:r>
      <w:r w:rsidR="00BD7367" w:rsidRPr="007A7094">
        <w:t xml:space="preserve">especially in </w:t>
      </w:r>
      <w:r w:rsidR="00352A4A" w:rsidRPr="007A7094">
        <w:t>time</w:t>
      </w:r>
      <w:r w:rsidR="006C3B0C" w:rsidRPr="007A7094">
        <w:t>s</w:t>
      </w:r>
      <w:r w:rsidR="00352A4A" w:rsidRPr="007A7094">
        <w:t xml:space="preserve"> of rapid biomedical innovation</w:t>
      </w:r>
      <w:r w:rsidR="008F0E86" w:rsidRPr="007A7094">
        <w:t xml:space="preserve">. </w:t>
      </w:r>
      <w:r w:rsidR="005D27A1" w:rsidRPr="007A7094">
        <w:t xml:space="preserve">As the DAA debates illustrate, simply dismissing </w:t>
      </w:r>
      <w:r w:rsidR="006C3B0C" w:rsidRPr="007A7094">
        <w:t>certain</w:t>
      </w:r>
      <w:r w:rsidR="005D27A1" w:rsidRPr="007A7094">
        <w:t xml:space="preserve"> concerns as ‘non-scientific’ is </w:t>
      </w:r>
      <w:r w:rsidR="00AC1E20" w:rsidRPr="007A7094">
        <w:t>in</w:t>
      </w:r>
      <w:r w:rsidR="005D27A1" w:rsidRPr="007A7094">
        <w:t>sufficient. The limited lexicon of EBM to which proponents and opponents appeal restrict</w:t>
      </w:r>
      <w:r w:rsidR="00AC1E20" w:rsidRPr="007A7094">
        <w:t>s</w:t>
      </w:r>
      <w:r w:rsidR="005D27A1" w:rsidRPr="007A7094">
        <w:t xml:space="preserve"> the terms of th</w:t>
      </w:r>
      <w:r w:rsidR="00AC1E20" w:rsidRPr="007A7094">
        <w:t>e</w:t>
      </w:r>
      <w:r w:rsidR="005D27A1" w:rsidRPr="007A7094">
        <w:t xml:space="preserve"> debate</w:t>
      </w:r>
      <w:r w:rsidR="00AC1E20" w:rsidRPr="007A7094">
        <w:t xml:space="preserve"> </w:t>
      </w:r>
      <w:r w:rsidR="00352A4A" w:rsidRPr="007A7094">
        <w:t>without</w:t>
      </w:r>
      <w:r w:rsidR="008F0E86" w:rsidRPr="007A7094">
        <w:t xml:space="preserve"> finding</w:t>
      </w:r>
      <w:r w:rsidR="00352A4A" w:rsidRPr="007A7094">
        <w:t xml:space="preserve"> </w:t>
      </w:r>
      <w:r w:rsidR="00AC1E20" w:rsidRPr="007A7094">
        <w:t>ground</w:t>
      </w:r>
      <w:r w:rsidR="008F0E86" w:rsidRPr="007A7094">
        <w:t xml:space="preserve"> for engagement</w:t>
      </w:r>
      <w:r w:rsidR="005D27A1" w:rsidRPr="007A7094">
        <w:t xml:space="preserve">. </w:t>
      </w:r>
      <w:r w:rsidR="00EB5271" w:rsidRPr="007A7094">
        <w:t>A</w:t>
      </w:r>
      <w:r w:rsidR="003E26F3" w:rsidRPr="007A7094">
        <w:t>n</w:t>
      </w:r>
      <w:r w:rsidR="005D27A1" w:rsidRPr="007A7094">
        <w:t xml:space="preserve"> </w:t>
      </w:r>
      <w:r w:rsidR="003E26F3" w:rsidRPr="007A7094">
        <w:t xml:space="preserve">evidence-making </w:t>
      </w:r>
      <w:r w:rsidR="00EB5271" w:rsidRPr="007A7094">
        <w:t xml:space="preserve">intervention </w:t>
      </w:r>
      <w:r w:rsidR="005D27A1" w:rsidRPr="007A7094">
        <w:t xml:space="preserve">approach </w:t>
      </w:r>
      <w:r w:rsidR="00AC1E20" w:rsidRPr="007A7094">
        <w:t>seeks to</w:t>
      </w:r>
      <w:r w:rsidR="002C0ACF" w:rsidRPr="007A7094">
        <w:t xml:space="preserve"> </w:t>
      </w:r>
      <w:r w:rsidR="009C1CA6" w:rsidRPr="007A7094">
        <w:t xml:space="preserve">enable </w:t>
      </w:r>
      <w:r w:rsidR="00EB5271" w:rsidRPr="007A7094">
        <w:t xml:space="preserve">evidence-making relations </w:t>
      </w:r>
      <w:r w:rsidR="002C0ACF" w:rsidRPr="007A7094">
        <w:t>that give</w:t>
      </w:r>
      <w:r w:rsidR="00EB5271" w:rsidRPr="007A7094">
        <w:t xml:space="preserve"> space for dialogue and</w:t>
      </w:r>
      <w:r w:rsidR="002C0ACF" w:rsidRPr="007A7094">
        <w:t xml:space="preserve"> voice to</w:t>
      </w:r>
      <w:r w:rsidR="008F0E86" w:rsidRPr="007A7094">
        <w:t xml:space="preserve"> </w:t>
      </w:r>
      <w:r w:rsidR="002C0ACF" w:rsidRPr="007A7094">
        <w:t>diverse matters</w:t>
      </w:r>
      <w:r w:rsidR="002C61D9" w:rsidRPr="007A7094">
        <w:t>-</w:t>
      </w:r>
      <w:r w:rsidR="002C0ACF" w:rsidRPr="007A7094">
        <w:t>of</w:t>
      </w:r>
      <w:r w:rsidR="002C61D9" w:rsidRPr="007A7094">
        <w:t>-</w:t>
      </w:r>
      <w:r w:rsidR="002C0ACF" w:rsidRPr="007A7094">
        <w:t>concern.</w:t>
      </w:r>
      <w:r w:rsidR="00EB5271" w:rsidRPr="007A7094">
        <w:t xml:space="preserve"> </w:t>
      </w:r>
      <w:r w:rsidR="002C0ACF" w:rsidRPr="007A7094">
        <w:t>Rather than “systematically downplay[ing] anything that doesn’t directly contribute to the cause of advancing specialised knowledge”</w:t>
      </w:r>
      <w:r w:rsidR="00AC1E20" w:rsidRPr="007A7094">
        <w:t>,</w:t>
      </w:r>
      <w:r w:rsidR="002C0ACF" w:rsidRPr="007A7094">
        <w:t xml:space="preserve"> specialists</w:t>
      </w:r>
      <w:r w:rsidR="009C1CA6" w:rsidRPr="007A7094">
        <w:t xml:space="preserve"> need space</w:t>
      </w:r>
      <w:r w:rsidR="002C0ACF" w:rsidRPr="007A7094">
        <w:t xml:space="preserve"> to “take seriously the matters</w:t>
      </w:r>
      <w:r w:rsidR="002C61D9" w:rsidRPr="007A7094">
        <w:t>-</w:t>
      </w:r>
      <w:r w:rsidR="002C0ACF" w:rsidRPr="007A7094">
        <w:t>of</w:t>
      </w:r>
      <w:r w:rsidR="002C61D9" w:rsidRPr="007A7094">
        <w:t>-</w:t>
      </w:r>
      <w:r w:rsidR="002C0ACF" w:rsidRPr="007A7094">
        <w:t>concern arising from the innovations they promote”</w:t>
      </w:r>
      <w:r w:rsidR="008C6A91" w:rsidRPr="007A7094">
        <w:t xml:space="preserve"> (Stengers, 2018)</w:t>
      </w:r>
      <w:r w:rsidR="002C61D9" w:rsidRPr="007A7094">
        <w:t>.</w:t>
      </w:r>
      <w:r w:rsidR="005D27A1" w:rsidRPr="007A7094">
        <w:t xml:space="preserve"> </w:t>
      </w:r>
      <w:r w:rsidR="00024BCB" w:rsidRPr="007A7094">
        <w:t xml:space="preserve">We are no longer talking about evidence </w:t>
      </w:r>
      <w:r w:rsidR="00024BCB" w:rsidRPr="007A7094">
        <w:rPr>
          <w:i/>
        </w:rPr>
        <w:t>and</w:t>
      </w:r>
      <w:r w:rsidR="00024BCB" w:rsidRPr="007A7094">
        <w:t xml:space="preserve"> intervention, </w:t>
      </w:r>
      <w:r w:rsidR="00102E45" w:rsidRPr="007A7094">
        <w:t xml:space="preserve">or fact </w:t>
      </w:r>
      <w:r w:rsidR="00102E45" w:rsidRPr="007A7094">
        <w:rPr>
          <w:i/>
        </w:rPr>
        <w:t>and</w:t>
      </w:r>
      <w:r w:rsidR="00102E45" w:rsidRPr="007A7094">
        <w:t xml:space="preserve"> concern, </w:t>
      </w:r>
      <w:r w:rsidR="00024BCB" w:rsidRPr="007A7094">
        <w:t>as if these can be isolated from one another, but evidenc</w:t>
      </w:r>
      <w:r w:rsidR="00945758" w:rsidRPr="007A7094">
        <w:t>ing</w:t>
      </w:r>
      <w:r w:rsidR="00024BCB" w:rsidRPr="007A7094">
        <w:t xml:space="preserve"> </w:t>
      </w:r>
      <w:r w:rsidR="00024BCB" w:rsidRPr="007A7094">
        <w:rPr>
          <w:i/>
        </w:rPr>
        <w:t>as</w:t>
      </w:r>
      <w:r w:rsidR="00024BCB" w:rsidRPr="007A7094">
        <w:t xml:space="preserve"> intervention</w:t>
      </w:r>
      <w:r w:rsidR="00945758" w:rsidRPr="007A7094">
        <w:t xml:space="preserve">, and </w:t>
      </w:r>
      <w:r w:rsidR="009A50E8" w:rsidRPr="007A7094">
        <w:t xml:space="preserve">intervention </w:t>
      </w:r>
      <w:r w:rsidR="00945758" w:rsidRPr="007A7094">
        <w:rPr>
          <w:i/>
        </w:rPr>
        <w:t>as</w:t>
      </w:r>
      <w:r w:rsidR="00945758" w:rsidRPr="007A7094">
        <w:t xml:space="preserve"> mattering in relation to practice-based concerns</w:t>
      </w:r>
      <w:r w:rsidR="00024BCB" w:rsidRPr="007A7094">
        <w:t>.</w:t>
      </w:r>
      <w:r w:rsidR="00024BCB" w:rsidRPr="009B00F4">
        <w:t xml:space="preserve"> </w:t>
      </w:r>
    </w:p>
    <w:p w14:paraId="7C69186B" w14:textId="62906A67" w:rsidR="00981B73" w:rsidRPr="009B00F4" w:rsidRDefault="00981B73" w:rsidP="006E43DE">
      <w:pPr>
        <w:spacing w:after="0" w:line="240" w:lineRule="auto"/>
        <w:jc w:val="both"/>
      </w:pPr>
    </w:p>
    <w:p w14:paraId="594EEC26" w14:textId="77777777" w:rsidR="00076991" w:rsidRPr="009B00F4" w:rsidRDefault="00076991" w:rsidP="006E43DE">
      <w:pPr>
        <w:spacing w:after="0" w:line="240" w:lineRule="auto"/>
        <w:jc w:val="both"/>
      </w:pPr>
    </w:p>
    <w:p w14:paraId="487A75CC" w14:textId="77777777" w:rsidR="00E752F1" w:rsidRPr="00E752F1" w:rsidRDefault="00E752F1" w:rsidP="007A7094">
      <w:pPr>
        <w:spacing w:line="480" w:lineRule="auto"/>
        <w:jc w:val="both"/>
        <w:rPr>
          <w:b/>
          <w:lang w:val="en-AU"/>
        </w:rPr>
      </w:pPr>
      <w:r w:rsidRPr="007A7094">
        <w:rPr>
          <w:b/>
          <w:sz w:val="28"/>
          <w:szCs w:val="28"/>
          <w:lang w:val="en-AU"/>
        </w:rPr>
        <w:t>Acknowledgements</w:t>
      </w:r>
    </w:p>
    <w:p w14:paraId="1D05ED07" w14:textId="709814F6" w:rsidR="00E752F1" w:rsidRPr="00E752F1" w:rsidRDefault="00E752F1" w:rsidP="007A7094">
      <w:pPr>
        <w:spacing w:line="480" w:lineRule="auto"/>
        <w:jc w:val="both"/>
        <w:rPr>
          <w:lang w:val="en-US"/>
        </w:rPr>
      </w:pPr>
      <w:r w:rsidRPr="00E752F1">
        <w:rPr>
          <w:lang w:val="en-US"/>
        </w:rPr>
        <w:t>The Centre for Social Research in Health</w:t>
      </w:r>
      <w:r w:rsidR="00F4325E">
        <w:rPr>
          <w:lang w:val="en-US"/>
        </w:rPr>
        <w:t xml:space="preserve"> at the University of New South Wales (UNSW)</w:t>
      </w:r>
      <w:r w:rsidRPr="00E752F1">
        <w:rPr>
          <w:lang w:val="en-US"/>
        </w:rPr>
        <w:t xml:space="preserve"> is supported by a grant from the Australian Government Department of Health. </w:t>
      </w:r>
      <w:r>
        <w:rPr>
          <w:lang w:val="en-US"/>
        </w:rPr>
        <w:t>We are</w:t>
      </w:r>
      <w:r w:rsidRPr="00E752F1">
        <w:rPr>
          <w:lang w:val="en-US"/>
        </w:rPr>
        <w:t xml:space="preserve"> grateful for support from the UNSW </w:t>
      </w:r>
      <w:r>
        <w:rPr>
          <w:lang w:val="en-US"/>
        </w:rPr>
        <w:t xml:space="preserve">SHARP (Professor Tim Rhodes) and </w:t>
      </w:r>
      <w:r w:rsidRPr="00E752F1">
        <w:rPr>
          <w:lang w:val="en-US"/>
        </w:rPr>
        <w:t xml:space="preserve">Scientia Fellowship </w:t>
      </w:r>
      <w:r>
        <w:rPr>
          <w:lang w:val="en-US"/>
        </w:rPr>
        <w:t xml:space="preserve">(Dr Kari Lancaster) </w:t>
      </w:r>
      <w:r w:rsidRPr="00E752F1">
        <w:rPr>
          <w:lang w:val="en-US"/>
        </w:rPr>
        <w:t>scheme</w:t>
      </w:r>
      <w:r>
        <w:rPr>
          <w:lang w:val="en-US"/>
        </w:rPr>
        <w:t>s</w:t>
      </w:r>
      <w:r w:rsidRPr="00E752F1">
        <w:rPr>
          <w:lang w:val="en-US"/>
        </w:rPr>
        <w:t>.</w:t>
      </w:r>
    </w:p>
    <w:p w14:paraId="00C40C5F" w14:textId="77777777" w:rsidR="00E752F1" w:rsidRPr="00705977" w:rsidRDefault="00E752F1" w:rsidP="007A7094">
      <w:pPr>
        <w:spacing w:line="480" w:lineRule="auto"/>
        <w:jc w:val="both"/>
      </w:pPr>
    </w:p>
    <w:p w14:paraId="2774568F" w14:textId="77777777" w:rsidR="001C600D" w:rsidRPr="00705977" w:rsidRDefault="001C600D" w:rsidP="001C600D">
      <w:pPr>
        <w:jc w:val="both"/>
      </w:pPr>
    </w:p>
    <w:p w14:paraId="502F1B12" w14:textId="77777777" w:rsidR="001C600D" w:rsidRPr="00705977" w:rsidRDefault="001C600D" w:rsidP="000C4F4D">
      <w:pPr>
        <w:jc w:val="both"/>
      </w:pPr>
    </w:p>
    <w:p w14:paraId="7D9817CF" w14:textId="77777777" w:rsidR="000C4F4D" w:rsidRPr="00705977" w:rsidRDefault="000C4F4D" w:rsidP="00761DA5">
      <w:pPr>
        <w:jc w:val="both"/>
      </w:pPr>
    </w:p>
    <w:p w14:paraId="3C2EAD3F" w14:textId="4D0172EF" w:rsidR="003A6307" w:rsidRPr="00705977" w:rsidRDefault="003A6307" w:rsidP="00761DA5">
      <w:pPr>
        <w:jc w:val="both"/>
      </w:pPr>
      <w:r w:rsidRPr="00705977">
        <w:br w:type="page"/>
      </w:r>
    </w:p>
    <w:p w14:paraId="0142D908" w14:textId="4028F76C" w:rsidR="00CB377C" w:rsidRPr="007E397A" w:rsidRDefault="00CB377C" w:rsidP="006E43DE">
      <w:pPr>
        <w:spacing w:after="0" w:line="240" w:lineRule="auto"/>
        <w:jc w:val="both"/>
        <w:rPr>
          <w:b/>
          <w:sz w:val="28"/>
          <w:szCs w:val="28"/>
        </w:rPr>
      </w:pPr>
      <w:r w:rsidRPr="007E397A">
        <w:rPr>
          <w:b/>
          <w:sz w:val="28"/>
          <w:szCs w:val="28"/>
        </w:rPr>
        <w:lastRenderedPageBreak/>
        <w:t>References</w:t>
      </w:r>
    </w:p>
    <w:p w14:paraId="6EB790D8" w14:textId="77777777" w:rsidR="00C50A87" w:rsidRPr="00AA7A4D" w:rsidRDefault="00C50A87" w:rsidP="00C50A87">
      <w:pPr>
        <w:spacing w:after="0" w:line="240" w:lineRule="auto"/>
        <w:contextualSpacing/>
        <w:rPr>
          <w:sz w:val="20"/>
          <w:szCs w:val="20"/>
        </w:rPr>
      </w:pPr>
      <w:r w:rsidRPr="00EF6926">
        <w:rPr>
          <w:sz w:val="20"/>
          <w:szCs w:val="20"/>
        </w:rPr>
        <w:t>Banerjee, D</w:t>
      </w:r>
      <w:r w:rsidRPr="00AA7A4D">
        <w:rPr>
          <w:sz w:val="20"/>
          <w:szCs w:val="20"/>
        </w:rPr>
        <w:t>.</w:t>
      </w:r>
      <w:r w:rsidRPr="00EF6926">
        <w:rPr>
          <w:sz w:val="20"/>
          <w:szCs w:val="20"/>
        </w:rPr>
        <w:t xml:space="preserve">, </w:t>
      </w:r>
      <w:r w:rsidRPr="00AA7A4D">
        <w:rPr>
          <w:sz w:val="20"/>
          <w:szCs w:val="20"/>
        </w:rPr>
        <w:t xml:space="preserve">and </w:t>
      </w:r>
      <w:r w:rsidRPr="00EF6926">
        <w:rPr>
          <w:sz w:val="20"/>
          <w:szCs w:val="20"/>
        </w:rPr>
        <w:t>Reddy, K</w:t>
      </w:r>
      <w:r w:rsidRPr="00AA7A4D">
        <w:rPr>
          <w:sz w:val="20"/>
          <w:szCs w:val="20"/>
        </w:rPr>
        <w:t xml:space="preserve">. </w:t>
      </w:r>
      <w:r w:rsidRPr="00EF6926">
        <w:rPr>
          <w:sz w:val="20"/>
          <w:szCs w:val="20"/>
        </w:rPr>
        <w:t xml:space="preserve">R. </w:t>
      </w:r>
      <w:r w:rsidRPr="00AA7A4D">
        <w:rPr>
          <w:sz w:val="20"/>
          <w:szCs w:val="20"/>
        </w:rPr>
        <w:t xml:space="preserve">(2016) </w:t>
      </w:r>
      <w:r w:rsidRPr="00EF6926">
        <w:rPr>
          <w:sz w:val="20"/>
          <w:szCs w:val="20"/>
        </w:rPr>
        <w:t xml:space="preserve">Safety and tolerability of direct-acting anti-viral agents in the new era of hepatitis C therapy, </w:t>
      </w:r>
      <w:r w:rsidRPr="00EF6926">
        <w:rPr>
          <w:i/>
          <w:sz w:val="20"/>
          <w:szCs w:val="20"/>
        </w:rPr>
        <w:t>Alimentary Pharmacology and Therapeutics</w:t>
      </w:r>
      <w:r w:rsidRPr="00EF6926">
        <w:rPr>
          <w:sz w:val="20"/>
          <w:szCs w:val="20"/>
        </w:rPr>
        <w:t>, 43: 674-696.</w:t>
      </w:r>
    </w:p>
    <w:p w14:paraId="133C94F9" w14:textId="77777777" w:rsidR="00C50A87" w:rsidRPr="00EF6926" w:rsidRDefault="00C50A87" w:rsidP="00C50A87">
      <w:pPr>
        <w:spacing w:after="0" w:line="240" w:lineRule="auto"/>
        <w:ind w:left="360"/>
        <w:contextualSpacing/>
        <w:rPr>
          <w:sz w:val="20"/>
          <w:szCs w:val="20"/>
        </w:rPr>
      </w:pPr>
    </w:p>
    <w:p w14:paraId="162BDA85" w14:textId="77777777" w:rsidR="00C50A87" w:rsidRPr="00AA7A4D" w:rsidRDefault="00C50A87" w:rsidP="00C50A87">
      <w:pPr>
        <w:keepNext/>
        <w:keepLines/>
        <w:shd w:val="clear" w:color="auto" w:fill="FFFFFF"/>
        <w:spacing w:after="0" w:line="240" w:lineRule="auto"/>
        <w:textAlignment w:val="baseline"/>
        <w:outlineLvl w:val="1"/>
        <w:rPr>
          <w:rFonts w:eastAsiaTheme="majorEastAsia" w:cs="Helvetica"/>
          <w:color w:val="333333"/>
          <w:sz w:val="20"/>
          <w:szCs w:val="20"/>
        </w:rPr>
      </w:pPr>
      <w:r w:rsidRPr="00EF6926">
        <w:rPr>
          <w:rFonts w:eastAsiaTheme="majorEastAsia" w:cs="Helvetica"/>
          <w:color w:val="333333"/>
          <w:sz w:val="20"/>
          <w:szCs w:val="20"/>
        </w:rPr>
        <w:t xml:space="preserve">Barclay S, Bramley P, Dillon J, et al. </w:t>
      </w:r>
      <w:r w:rsidRPr="00AA7A4D">
        <w:rPr>
          <w:rFonts w:eastAsiaTheme="majorEastAsia" w:cs="Helvetica"/>
          <w:color w:val="333333"/>
          <w:sz w:val="20"/>
          <w:szCs w:val="20"/>
        </w:rPr>
        <w:t xml:space="preserve">(2018) </w:t>
      </w:r>
      <w:r w:rsidRPr="00EF6926">
        <w:rPr>
          <w:rFonts w:eastAsiaTheme="majorEastAsia" w:cs="Helvetica"/>
          <w:color w:val="333333"/>
          <w:sz w:val="20"/>
          <w:szCs w:val="20"/>
        </w:rPr>
        <w:t>Do direct acting antivirals cure chronic hepatitis? Scotland says yes (Rapid response)</w:t>
      </w:r>
      <w:r w:rsidRPr="00AA7A4D">
        <w:rPr>
          <w:rFonts w:eastAsiaTheme="majorEastAsia" w:cs="Helvetica"/>
          <w:color w:val="333333"/>
          <w:sz w:val="20"/>
          <w:szCs w:val="20"/>
        </w:rPr>
        <w:t>,</w:t>
      </w:r>
      <w:r w:rsidRPr="00EF6926">
        <w:rPr>
          <w:rFonts w:eastAsiaTheme="majorEastAsia" w:cs="Helvetica"/>
          <w:color w:val="333333"/>
          <w:sz w:val="20"/>
          <w:szCs w:val="20"/>
        </w:rPr>
        <w:t xml:space="preserve"> </w:t>
      </w:r>
      <w:r w:rsidRPr="00EF6926">
        <w:rPr>
          <w:rFonts w:eastAsiaTheme="majorEastAsia" w:cs="Helvetica"/>
          <w:i/>
          <w:color w:val="333333"/>
          <w:sz w:val="20"/>
          <w:szCs w:val="20"/>
        </w:rPr>
        <w:t>B</w:t>
      </w:r>
      <w:r w:rsidRPr="00AA7A4D">
        <w:rPr>
          <w:rFonts w:eastAsiaTheme="majorEastAsia" w:cs="Helvetica"/>
          <w:i/>
          <w:color w:val="333333"/>
          <w:sz w:val="20"/>
          <w:szCs w:val="20"/>
        </w:rPr>
        <w:t xml:space="preserve">ritish </w:t>
      </w:r>
      <w:r w:rsidRPr="00EF6926">
        <w:rPr>
          <w:rFonts w:eastAsiaTheme="majorEastAsia" w:cs="Helvetica"/>
          <w:i/>
          <w:color w:val="333333"/>
          <w:sz w:val="20"/>
          <w:szCs w:val="20"/>
        </w:rPr>
        <w:t>M</w:t>
      </w:r>
      <w:r w:rsidRPr="00AA7A4D">
        <w:rPr>
          <w:rFonts w:eastAsiaTheme="majorEastAsia" w:cs="Helvetica"/>
          <w:i/>
          <w:color w:val="333333"/>
          <w:sz w:val="20"/>
          <w:szCs w:val="20"/>
        </w:rPr>
        <w:t xml:space="preserve">edical </w:t>
      </w:r>
      <w:r w:rsidRPr="00EF6926">
        <w:rPr>
          <w:rFonts w:eastAsiaTheme="majorEastAsia" w:cs="Helvetica"/>
          <w:i/>
          <w:color w:val="333333"/>
          <w:sz w:val="20"/>
          <w:szCs w:val="20"/>
        </w:rPr>
        <w:t>J</w:t>
      </w:r>
      <w:r w:rsidRPr="00AA7A4D">
        <w:rPr>
          <w:rFonts w:eastAsiaTheme="majorEastAsia" w:cs="Helvetica"/>
          <w:i/>
          <w:color w:val="333333"/>
          <w:sz w:val="20"/>
          <w:szCs w:val="20"/>
        </w:rPr>
        <w:t>ournal</w:t>
      </w:r>
      <w:r w:rsidRPr="00EF6926">
        <w:rPr>
          <w:rFonts w:eastAsiaTheme="majorEastAsia" w:cs="Helvetica"/>
          <w:color w:val="333333"/>
          <w:sz w:val="20"/>
          <w:szCs w:val="20"/>
        </w:rPr>
        <w:t xml:space="preserve"> 361:l1382.</w:t>
      </w:r>
    </w:p>
    <w:p w14:paraId="2B6ACD6D" w14:textId="77777777" w:rsidR="00C50A87" w:rsidRPr="00AA7A4D" w:rsidRDefault="00C50A87" w:rsidP="00C50A87">
      <w:pPr>
        <w:spacing w:after="0" w:line="240" w:lineRule="auto"/>
        <w:contextualSpacing/>
        <w:rPr>
          <w:rFonts w:cstheme="minorHAnsi"/>
          <w:noProof/>
          <w:sz w:val="20"/>
          <w:szCs w:val="20"/>
        </w:rPr>
      </w:pPr>
    </w:p>
    <w:p w14:paraId="3B578F69" w14:textId="77777777" w:rsidR="00C50A87" w:rsidRPr="00EF6926" w:rsidRDefault="00C50A87" w:rsidP="00C50A87">
      <w:pPr>
        <w:spacing w:after="0" w:line="240" w:lineRule="auto"/>
        <w:jc w:val="both"/>
        <w:rPr>
          <w:noProof/>
          <w:sz w:val="20"/>
          <w:szCs w:val="20"/>
        </w:rPr>
      </w:pPr>
      <w:r w:rsidRPr="00EF6926">
        <w:rPr>
          <w:noProof/>
          <w:sz w:val="20"/>
          <w:szCs w:val="20"/>
        </w:rPr>
        <w:t xml:space="preserve">Butler, J. (1990) </w:t>
      </w:r>
      <w:r w:rsidRPr="00EF6926">
        <w:rPr>
          <w:i/>
          <w:noProof/>
          <w:sz w:val="20"/>
          <w:szCs w:val="20"/>
        </w:rPr>
        <w:t>Gender Trouble: Feminism and the Subversion of Identity</w:t>
      </w:r>
      <w:r w:rsidRPr="00EF6926">
        <w:rPr>
          <w:noProof/>
          <w:sz w:val="20"/>
          <w:szCs w:val="20"/>
        </w:rPr>
        <w:t>. New York: Routledge.</w:t>
      </w:r>
    </w:p>
    <w:p w14:paraId="29258D8E" w14:textId="77777777" w:rsidR="00C50A87" w:rsidRPr="00EF6926" w:rsidRDefault="00C50A87" w:rsidP="00C50A87">
      <w:pPr>
        <w:spacing w:after="0" w:line="240" w:lineRule="auto"/>
        <w:contextualSpacing/>
        <w:rPr>
          <w:rFonts w:cstheme="minorHAnsi"/>
          <w:noProof/>
          <w:sz w:val="20"/>
          <w:szCs w:val="20"/>
        </w:rPr>
      </w:pPr>
    </w:p>
    <w:p w14:paraId="20B45555" w14:textId="77777777" w:rsidR="00C50A87" w:rsidRPr="00AA7A4D" w:rsidRDefault="00C50A87" w:rsidP="00C50A87">
      <w:pPr>
        <w:spacing w:after="0" w:line="240" w:lineRule="auto"/>
        <w:contextualSpacing/>
        <w:rPr>
          <w:rFonts w:cstheme="minorHAnsi"/>
          <w:noProof/>
          <w:sz w:val="20"/>
          <w:szCs w:val="20"/>
        </w:rPr>
      </w:pPr>
      <w:r w:rsidRPr="00EF6926">
        <w:rPr>
          <w:rFonts w:cstheme="minorHAnsi"/>
          <w:noProof/>
          <w:sz w:val="20"/>
          <w:szCs w:val="20"/>
        </w:rPr>
        <w:t xml:space="preserve">Butler J. </w:t>
      </w:r>
      <w:r w:rsidRPr="00AA7A4D">
        <w:rPr>
          <w:rFonts w:cstheme="minorHAnsi"/>
          <w:noProof/>
          <w:sz w:val="20"/>
          <w:szCs w:val="20"/>
        </w:rPr>
        <w:t xml:space="preserve">(2010) </w:t>
      </w:r>
      <w:r w:rsidRPr="00EF6926">
        <w:rPr>
          <w:rFonts w:cstheme="minorHAnsi"/>
          <w:noProof/>
          <w:sz w:val="20"/>
          <w:szCs w:val="20"/>
        </w:rPr>
        <w:t xml:space="preserve">Performative agency, </w:t>
      </w:r>
      <w:r w:rsidRPr="00EF6926">
        <w:rPr>
          <w:rFonts w:cstheme="minorHAnsi"/>
          <w:i/>
          <w:noProof/>
          <w:sz w:val="20"/>
          <w:szCs w:val="20"/>
        </w:rPr>
        <w:t>Journal of Cultural Economics</w:t>
      </w:r>
      <w:r w:rsidRPr="00EF6926">
        <w:rPr>
          <w:rFonts w:cstheme="minorHAnsi"/>
          <w:noProof/>
          <w:sz w:val="20"/>
          <w:szCs w:val="20"/>
        </w:rPr>
        <w:t>, 3: 147-161.</w:t>
      </w:r>
    </w:p>
    <w:p w14:paraId="413A6210" w14:textId="77777777" w:rsidR="00C50A87" w:rsidRPr="00AA7A4D" w:rsidRDefault="00C50A87" w:rsidP="00C50A87">
      <w:pPr>
        <w:spacing w:after="0" w:line="240" w:lineRule="auto"/>
        <w:ind w:left="360"/>
        <w:contextualSpacing/>
        <w:rPr>
          <w:rFonts w:cstheme="minorHAnsi"/>
          <w:noProof/>
          <w:sz w:val="20"/>
          <w:szCs w:val="20"/>
        </w:rPr>
      </w:pPr>
    </w:p>
    <w:p w14:paraId="77D0E4E3" w14:textId="77777777" w:rsidR="00C50A87" w:rsidRPr="00AA7A4D" w:rsidRDefault="00C50A87" w:rsidP="00C50A87">
      <w:pPr>
        <w:spacing w:after="0" w:line="240" w:lineRule="auto"/>
        <w:contextualSpacing/>
        <w:rPr>
          <w:rFonts w:cstheme="minorHAnsi"/>
          <w:noProof/>
          <w:sz w:val="20"/>
          <w:szCs w:val="20"/>
        </w:rPr>
      </w:pPr>
      <w:r w:rsidRPr="00EF6926">
        <w:rPr>
          <w:rFonts w:cstheme="minorHAnsi"/>
          <w:noProof/>
          <w:sz w:val="20"/>
          <w:szCs w:val="20"/>
        </w:rPr>
        <w:t xml:space="preserve">Cheung MCM, Walker AJ, Hudson BE, Verma S, McLauchlan J, Mutimer DJ, Brown A, Gelson WTH, MacDonald DC, Agarwal K, Foster GR, Irving WL. </w:t>
      </w:r>
      <w:r w:rsidRPr="00AA7A4D">
        <w:rPr>
          <w:rFonts w:cstheme="minorHAnsi"/>
          <w:noProof/>
          <w:sz w:val="20"/>
          <w:szCs w:val="20"/>
        </w:rPr>
        <w:t xml:space="preserve">(2016) </w:t>
      </w:r>
      <w:r w:rsidRPr="00EF6926">
        <w:rPr>
          <w:rFonts w:cstheme="minorHAnsi"/>
          <w:noProof/>
          <w:sz w:val="20"/>
          <w:szCs w:val="20"/>
        </w:rPr>
        <w:t xml:space="preserve">Outcomes after successful direct-acting antiviral therapy for patients with chronic hepatitis C and decompensated cirrhosis, </w:t>
      </w:r>
      <w:r w:rsidRPr="00EF6926">
        <w:rPr>
          <w:rFonts w:cstheme="minorHAnsi"/>
          <w:i/>
          <w:noProof/>
          <w:sz w:val="20"/>
          <w:szCs w:val="20"/>
        </w:rPr>
        <w:t>J</w:t>
      </w:r>
      <w:r w:rsidRPr="00AA7A4D">
        <w:rPr>
          <w:rFonts w:cstheme="minorHAnsi"/>
          <w:i/>
          <w:noProof/>
          <w:sz w:val="20"/>
          <w:szCs w:val="20"/>
        </w:rPr>
        <w:t>ournal of</w:t>
      </w:r>
      <w:r w:rsidRPr="00EF6926">
        <w:rPr>
          <w:rFonts w:cstheme="minorHAnsi"/>
          <w:i/>
          <w:noProof/>
          <w:sz w:val="20"/>
          <w:szCs w:val="20"/>
        </w:rPr>
        <w:t xml:space="preserve"> Hepatol</w:t>
      </w:r>
      <w:r w:rsidRPr="00AA7A4D">
        <w:rPr>
          <w:rFonts w:cstheme="minorHAnsi"/>
          <w:i/>
          <w:noProof/>
          <w:sz w:val="20"/>
          <w:szCs w:val="20"/>
        </w:rPr>
        <w:t>ogy</w:t>
      </w:r>
      <w:r w:rsidRPr="00EF6926">
        <w:rPr>
          <w:rFonts w:cstheme="minorHAnsi"/>
          <w:noProof/>
          <w:sz w:val="20"/>
          <w:szCs w:val="20"/>
        </w:rPr>
        <w:t>, 65: 741-747.</w:t>
      </w:r>
    </w:p>
    <w:p w14:paraId="23E9D9F1" w14:textId="77777777" w:rsidR="00C50A87" w:rsidRPr="00AA7A4D" w:rsidRDefault="00C50A87" w:rsidP="00C50A87">
      <w:pPr>
        <w:spacing w:after="0" w:line="240" w:lineRule="auto"/>
        <w:contextualSpacing/>
        <w:rPr>
          <w:rFonts w:cstheme="minorHAnsi"/>
          <w:noProof/>
          <w:sz w:val="20"/>
          <w:szCs w:val="20"/>
        </w:rPr>
      </w:pPr>
    </w:p>
    <w:p w14:paraId="5D5AC798" w14:textId="77777777" w:rsidR="00C50A87" w:rsidRPr="00413674" w:rsidRDefault="00C50A87" w:rsidP="00C50A87">
      <w:pPr>
        <w:keepNext/>
        <w:keepLines/>
        <w:shd w:val="clear" w:color="auto" w:fill="FFFFFF"/>
        <w:spacing w:after="0" w:line="240" w:lineRule="auto"/>
        <w:textAlignment w:val="baseline"/>
        <w:outlineLvl w:val="1"/>
        <w:rPr>
          <w:rFonts w:eastAsiaTheme="majorEastAsia" w:cs="Helvetica"/>
          <w:color w:val="333333"/>
          <w:sz w:val="20"/>
          <w:szCs w:val="20"/>
        </w:rPr>
      </w:pPr>
      <w:r w:rsidRPr="00EF6926">
        <w:rPr>
          <w:rFonts w:eastAsiaTheme="majorEastAsia" w:cs="Helvetica"/>
          <w:color w:val="333333"/>
          <w:sz w:val="20"/>
          <w:szCs w:val="20"/>
        </w:rPr>
        <w:t xml:space="preserve">Cooke GS, Barclay S, Barnes E, et al. </w:t>
      </w:r>
      <w:r w:rsidRPr="00AA7A4D">
        <w:rPr>
          <w:rFonts w:eastAsiaTheme="majorEastAsia" w:cs="Helvetica"/>
          <w:color w:val="333333"/>
          <w:sz w:val="20"/>
          <w:szCs w:val="20"/>
        </w:rPr>
        <w:t xml:space="preserve">(2018) </w:t>
      </w:r>
      <w:r w:rsidRPr="00EF6926">
        <w:rPr>
          <w:rFonts w:eastAsiaTheme="majorEastAsia" w:cs="Helvetica"/>
          <w:color w:val="333333"/>
          <w:sz w:val="20"/>
          <w:szCs w:val="20"/>
        </w:rPr>
        <w:t>The benefits to patients of novel hepatitis C therapies are beyond reasonable doubt (Rapid response)</w:t>
      </w:r>
      <w:r w:rsidRPr="00AA7A4D">
        <w:rPr>
          <w:rFonts w:eastAsiaTheme="majorEastAsia" w:cs="Helvetica"/>
          <w:color w:val="333333"/>
          <w:sz w:val="20"/>
          <w:szCs w:val="20"/>
        </w:rPr>
        <w:t>,</w:t>
      </w:r>
      <w:r w:rsidRPr="00EF6926">
        <w:rPr>
          <w:rFonts w:eastAsiaTheme="majorEastAsia" w:cs="Helvetica"/>
          <w:color w:val="333333"/>
          <w:sz w:val="20"/>
          <w:szCs w:val="20"/>
        </w:rPr>
        <w:t xml:space="preserve"> </w:t>
      </w:r>
      <w:r w:rsidRPr="00EF6926">
        <w:rPr>
          <w:rFonts w:eastAsiaTheme="majorEastAsia" w:cs="Helvetica"/>
          <w:i/>
          <w:color w:val="333333"/>
          <w:sz w:val="20"/>
          <w:szCs w:val="20"/>
        </w:rPr>
        <w:t>B</w:t>
      </w:r>
      <w:r w:rsidRPr="00AA7A4D">
        <w:rPr>
          <w:rFonts w:eastAsiaTheme="majorEastAsia" w:cs="Helvetica"/>
          <w:i/>
          <w:color w:val="333333"/>
          <w:sz w:val="20"/>
          <w:szCs w:val="20"/>
        </w:rPr>
        <w:t xml:space="preserve">ritish </w:t>
      </w:r>
      <w:r w:rsidRPr="00EF6926">
        <w:rPr>
          <w:rFonts w:eastAsiaTheme="majorEastAsia" w:cs="Helvetica"/>
          <w:i/>
          <w:color w:val="333333"/>
          <w:sz w:val="20"/>
          <w:szCs w:val="20"/>
        </w:rPr>
        <w:t>M</w:t>
      </w:r>
      <w:r w:rsidRPr="00AA7A4D">
        <w:rPr>
          <w:rFonts w:eastAsiaTheme="majorEastAsia" w:cs="Helvetica"/>
          <w:i/>
          <w:color w:val="333333"/>
          <w:sz w:val="20"/>
          <w:szCs w:val="20"/>
        </w:rPr>
        <w:t xml:space="preserve">edical </w:t>
      </w:r>
      <w:r w:rsidRPr="00EF6926">
        <w:rPr>
          <w:rFonts w:eastAsiaTheme="majorEastAsia" w:cs="Helvetica"/>
          <w:i/>
          <w:color w:val="333333"/>
          <w:sz w:val="20"/>
          <w:szCs w:val="20"/>
        </w:rPr>
        <w:t>J</w:t>
      </w:r>
      <w:r w:rsidRPr="00AA7A4D">
        <w:rPr>
          <w:rFonts w:eastAsiaTheme="majorEastAsia" w:cs="Helvetica"/>
          <w:i/>
          <w:color w:val="333333"/>
          <w:sz w:val="20"/>
          <w:szCs w:val="20"/>
        </w:rPr>
        <w:t>ournal</w:t>
      </w:r>
      <w:r w:rsidRPr="00AA7A4D">
        <w:rPr>
          <w:rFonts w:eastAsiaTheme="majorEastAsia" w:cs="Helvetica"/>
          <w:color w:val="333333"/>
          <w:sz w:val="20"/>
          <w:szCs w:val="20"/>
        </w:rPr>
        <w:t xml:space="preserve">, </w:t>
      </w:r>
      <w:r w:rsidRPr="00EF6926">
        <w:rPr>
          <w:rFonts w:eastAsiaTheme="majorEastAsia" w:cs="Helvetica"/>
          <w:color w:val="333333"/>
          <w:sz w:val="20"/>
          <w:szCs w:val="20"/>
        </w:rPr>
        <w:t>361:k1382.</w:t>
      </w:r>
    </w:p>
    <w:p w14:paraId="7EA7F246" w14:textId="77777777" w:rsidR="00C50A87" w:rsidRPr="00413674" w:rsidRDefault="00C50A87" w:rsidP="00C50A87">
      <w:pPr>
        <w:spacing w:after="0" w:line="240" w:lineRule="auto"/>
        <w:contextualSpacing/>
        <w:rPr>
          <w:rFonts w:cstheme="minorHAnsi"/>
          <w:noProof/>
          <w:sz w:val="20"/>
          <w:szCs w:val="20"/>
        </w:rPr>
      </w:pPr>
    </w:p>
    <w:p w14:paraId="2517D407" w14:textId="77777777" w:rsidR="00003099" w:rsidRPr="007A7094" w:rsidRDefault="00003099" w:rsidP="00003099">
      <w:pPr>
        <w:spacing w:after="0" w:line="240" w:lineRule="auto"/>
        <w:jc w:val="both"/>
        <w:rPr>
          <w:sz w:val="20"/>
          <w:szCs w:val="20"/>
        </w:rPr>
      </w:pPr>
      <w:r w:rsidRPr="007A7094">
        <w:rPr>
          <w:sz w:val="20"/>
          <w:szCs w:val="20"/>
        </w:rPr>
        <w:t xml:space="preserve">De Laet, M. and Mol, A. (2000) The Zimbabwe bush pump: Mechanics of a fluid technology, </w:t>
      </w:r>
      <w:r w:rsidRPr="007A7094">
        <w:rPr>
          <w:i/>
          <w:sz w:val="20"/>
          <w:szCs w:val="20"/>
        </w:rPr>
        <w:t>Social Studies of Science</w:t>
      </w:r>
      <w:r w:rsidRPr="007A7094">
        <w:rPr>
          <w:sz w:val="20"/>
          <w:szCs w:val="20"/>
        </w:rPr>
        <w:t>, 30: 225-263.</w:t>
      </w:r>
    </w:p>
    <w:p w14:paraId="79E5ECAB" w14:textId="56DAC0E2" w:rsidR="00003099" w:rsidRPr="007A7094" w:rsidRDefault="00003099" w:rsidP="00C50A87">
      <w:pPr>
        <w:shd w:val="clear" w:color="auto" w:fill="FFFFFF"/>
        <w:spacing w:after="0" w:line="240" w:lineRule="auto"/>
        <w:textAlignment w:val="baseline"/>
        <w:rPr>
          <w:rFonts w:eastAsia="Times New Roman" w:cs="Helvetica"/>
          <w:color w:val="333333"/>
          <w:sz w:val="20"/>
          <w:szCs w:val="20"/>
          <w:lang w:val="en-AU" w:eastAsia="en-AU"/>
        </w:rPr>
      </w:pPr>
    </w:p>
    <w:p w14:paraId="4B501F18" w14:textId="77777777" w:rsidR="008E09B4" w:rsidRPr="007A7094" w:rsidRDefault="008E09B4" w:rsidP="008E09B4">
      <w:pPr>
        <w:spacing w:after="0" w:line="240" w:lineRule="auto"/>
        <w:jc w:val="both"/>
        <w:rPr>
          <w:sz w:val="20"/>
          <w:szCs w:val="20"/>
        </w:rPr>
      </w:pPr>
      <w:r w:rsidRPr="007A7094">
        <w:rPr>
          <w:sz w:val="20"/>
          <w:szCs w:val="20"/>
        </w:rPr>
        <w:t xml:space="preserve">Dennis, F. (2019) </w:t>
      </w:r>
      <w:r w:rsidRPr="007A7094">
        <w:rPr>
          <w:i/>
          <w:sz w:val="20"/>
          <w:szCs w:val="20"/>
        </w:rPr>
        <w:t>Injecting Bodies in More-Than-Human Worlds</w:t>
      </w:r>
      <w:r w:rsidRPr="007A7094">
        <w:rPr>
          <w:sz w:val="20"/>
          <w:szCs w:val="20"/>
        </w:rPr>
        <w:t>, London: Taylor and Francis.</w:t>
      </w:r>
    </w:p>
    <w:p w14:paraId="5966F78F" w14:textId="77777777" w:rsidR="0095507E" w:rsidRPr="007A7094" w:rsidRDefault="0095507E" w:rsidP="00C50A87">
      <w:pPr>
        <w:shd w:val="clear" w:color="auto" w:fill="FFFFFF"/>
        <w:spacing w:after="0" w:line="240" w:lineRule="auto"/>
        <w:textAlignment w:val="baseline"/>
        <w:rPr>
          <w:rFonts w:eastAsia="Times New Roman" w:cs="Helvetica"/>
          <w:color w:val="333333"/>
          <w:sz w:val="20"/>
          <w:szCs w:val="20"/>
          <w:lang w:val="en-AU" w:eastAsia="en-AU"/>
        </w:rPr>
      </w:pPr>
    </w:p>
    <w:p w14:paraId="24E00DB7" w14:textId="5BFECF63" w:rsidR="009D1A23" w:rsidRDefault="009D1A23" w:rsidP="00C50A87">
      <w:pPr>
        <w:shd w:val="clear" w:color="auto" w:fill="FFFFFF"/>
        <w:spacing w:after="0" w:line="240" w:lineRule="auto"/>
        <w:textAlignment w:val="baseline"/>
        <w:rPr>
          <w:rFonts w:eastAsia="Times New Roman" w:cs="Helvetica"/>
          <w:color w:val="333333"/>
          <w:sz w:val="20"/>
          <w:szCs w:val="20"/>
          <w:lang w:val="en-AU" w:eastAsia="en-AU"/>
        </w:rPr>
      </w:pPr>
      <w:r>
        <w:rPr>
          <w:rFonts w:eastAsia="Times New Roman" w:cs="Helvetica"/>
          <w:color w:val="333333"/>
          <w:sz w:val="20"/>
          <w:szCs w:val="20"/>
          <w:lang w:val="en-AU" w:eastAsia="en-AU"/>
        </w:rPr>
        <w:t xml:space="preserve">Dore, G. J. and Feld, J. J. (2015) Hepatitis C virus therapeutic development: In pursuit of “Petectovir”, </w:t>
      </w:r>
      <w:r w:rsidRPr="007A7094">
        <w:rPr>
          <w:rFonts w:eastAsia="Times New Roman" w:cs="Helvetica"/>
          <w:i/>
          <w:color w:val="333333"/>
          <w:sz w:val="20"/>
          <w:szCs w:val="20"/>
          <w:lang w:val="en-AU" w:eastAsia="en-AU"/>
        </w:rPr>
        <w:t>Clinical Infectious Diseases</w:t>
      </w:r>
      <w:r>
        <w:rPr>
          <w:rFonts w:eastAsia="Times New Roman" w:cs="Helvetica"/>
          <w:color w:val="333333"/>
          <w:sz w:val="20"/>
          <w:szCs w:val="20"/>
          <w:lang w:val="en-AU" w:eastAsia="en-AU"/>
        </w:rPr>
        <w:t>, 60: 1829-1836.</w:t>
      </w:r>
    </w:p>
    <w:p w14:paraId="1D8D2754" w14:textId="77777777" w:rsidR="009D1A23" w:rsidRDefault="009D1A23" w:rsidP="00C50A87">
      <w:pPr>
        <w:shd w:val="clear" w:color="auto" w:fill="FFFFFF"/>
        <w:spacing w:after="0" w:line="240" w:lineRule="auto"/>
        <w:textAlignment w:val="baseline"/>
        <w:rPr>
          <w:rFonts w:eastAsia="Times New Roman" w:cs="Helvetica"/>
          <w:color w:val="333333"/>
          <w:sz w:val="20"/>
          <w:szCs w:val="20"/>
          <w:lang w:val="en-AU" w:eastAsia="en-AU"/>
        </w:rPr>
      </w:pPr>
    </w:p>
    <w:p w14:paraId="0C066264" w14:textId="2EF8E59B" w:rsidR="00C50A87" w:rsidRPr="00AA7A4D" w:rsidRDefault="00C50A87" w:rsidP="00C50A87">
      <w:pPr>
        <w:shd w:val="clear" w:color="auto" w:fill="FFFFFF"/>
        <w:spacing w:after="0" w:line="240" w:lineRule="auto"/>
        <w:textAlignment w:val="baseline"/>
        <w:rPr>
          <w:rFonts w:eastAsia="Times New Roman" w:cs="Helvetica"/>
          <w:color w:val="333333"/>
          <w:sz w:val="20"/>
          <w:szCs w:val="20"/>
          <w:lang w:val="en-AU" w:eastAsia="en-AU"/>
        </w:rPr>
      </w:pPr>
      <w:r w:rsidRPr="00EF6926">
        <w:rPr>
          <w:rFonts w:eastAsia="Times New Roman" w:cs="Helvetica"/>
          <w:color w:val="333333"/>
          <w:sz w:val="20"/>
          <w:szCs w:val="20"/>
          <w:lang w:val="en-AU" w:eastAsia="en-AU"/>
        </w:rPr>
        <w:t>European Association for the Study of the Liver</w:t>
      </w:r>
      <w:r w:rsidRPr="00AA7A4D">
        <w:rPr>
          <w:rFonts w:eastAsia="Times New Roman" w:cs="Helvetica"/>
          <w:color w:val="333333"/>
          <w:sz w:val="20"/>
          <w:szCs w:val="20"/>
          <w:lang w:val="en-AU" w:eastAsia="en-AU"/>
        </w:rPr>
        <w:t xml:space="preserve"> (2017) </w:t>
      </w:r>
      <w:r w:rsidRPr="00EF6926">
        <w:rPr>
          <w:rFonts w:eastAsia="Times New Roman" w:cs="Helvetica"/>
          <w:color w:val="333333"/>
          <w:sz w:val="20"/>
          <w:szCs w:val="20"/>
          <w:lang w:val="en-AU" w:eastAsia="en-AU"/>
        </w:rPr>
        <w:t xml:space="preserve">Response to the Cochrane systematic review on DAA-based treatment of chronic hepatitis C. </w:t>
      </w:r>
      <w:r w:rsidRPr="00EF6926">
        <w:rPr>
          <w:rFonts w:eastAsia="Times New Roman" w:cs="Helvetica"/>
          <w:i/>
          <w:color w:val="333333"/>
          <w:sz w:val="20"/>
          <w:szCs w:val="20"/>
          <w:lang w:val="en-AU" w:eastAsia="en-AU"/>
        </w:rPr>
        <w:t>J</w:t>
      </w:r>
      <w:r w:rsidRPr="00AA7A4D">
        <w:rPr>
          <w:rFonts w:eastAsia="Times New Roman" w:cs="Helvetica"/>
          <w:i/>
          <w:color w:val="333333"/>
          <w:sz w:val="20"/>
          <w:szCs w:val="20"/>
          <w:lang w:val="en-AU" w:eastAsia="en-AU"/>
        </w:rPr>
        <w:t>ournal of</w:t>
      </w:r>
      <w:r w:rsidRPr="00EF6926">
        <w:rPr>
          <w:rFonts w:eastAsia="Times New Roman" w:cs="Helvetica"/>
          <w:i/>
          <w:color w:val="333333"/>
          <w:sz w:val="20"/>
          <w:szCs w:val="20"/>
          <w:lang w:val="en-AU" w:eastAsia="en-AU"/>
        </w:rPr>
        <w:t xml:space="preserve"> Hepatol</w:t>
      </w:r>
      <w:r w:rsidRPr="00AA7A4D">
        <w:rPr>
          <w:rFonts w:eastAsia="Times New Roman" w:cs="Helvetica"/>
          <w:i/>
          <w:color w:val="333333"/>
          <w:sz w:val="20"/>
          <w:szCs w:val="20"/>
          <w:lang w:val="en-AU" w:eastAsia="en-AU"/>
        </w:rPr>
        <w:t>ogy</w:t>
      </w:r>
      <w:r w:rsidRPr="00AA7A4D">
        <w:rPr>
          <w:rFonts w:eastAsia="Times New Roman" w:cs="Helvetica"/>
          <w:color w:val="333333"/>
          <w:sz w:val="20"/>
          <w:szCs w:val="20"/>
          <w:lang w:val="en-AU" w:eastAsia="en-AU"/>
        </w:rPr>
        <w:t xml:space="preserve">, </w:t>
      </w:r>
      <w:r w:rsidRPr="00EF6926">
        <w:rPr>
          <w:rFonts w:eastAsia="Times New Roman" w:cs="Helvetica"/>
          <w:color w:val="333333"/>
          <w:sz w:val="20"/>
          <w:szCs w:val="20"/>
          <w:lang w:val="en-AU" w:eastAsia="en-AU"/>
        </w:rPr>
        <w:t>67(4):663-664.</w:t>
      </w:r>
    </w:p>
    <w:p w14:paraId="6BF94CA6" w14:textId="77777777" w:rsidR="00C50A87" w:rsidRPr="00EF6926" w:rsidRDefault="00C50A87" w:rsidP="00C50A87">
      <w:pPr>
        <w:spacing w:after="0" w:line="240" w:lineRule="auto"/>
        <w:contextualSpacing/>
        <w:rPr>
          <w:rFonts w:cstheme="minorHAnsi"/>
          <w:noProof/>
          <w:sz w:val="20"/>
          <w:szCs w:val="20"/>
          <w:lang w:val="en-AU"/>
        </w:rPr>
      </w:pPr>
    </w:p>
    <w:p w14:paraId="55FE7098" w14:textId="77777777" w:rsidR="00C50A87" w:rsidRPr="00AA7A4D" w:rsidRDefault="00C50A87" w:rsidP="00C50A87">
      <w:pPr>
        <w:spacing w:after="0" w:line="240" w:lineRule="auto"/>
        <w:contextualSpacing/>
        <w:rPr>
          <w:rFonts w:cstheme="minorHAnsi"/>
          <w:noProof/>
          <w:sz w:val="20"/>
          <w:szCs w:val="20"/>
        </w:rPr>
      </w:pPr>
      <w:r w:rsidRPr="00EF6926">
        <w:rPr>
          <w:rFonts w:cstheme="minorHAnsi"/>
          <w:noProof/>
          <w:sz w:val="20"/>
          <w:szCs w:val="20"/>
        </w:rPr>
        <w:t xml:space="preserve">European Association for the Study of the Liver. </w:t>
      </w:r>
      <w:r w:rsidRPr="00AA7A4D">
        <w:rPr>
          <w:rFonts w:cstheme="minorHAnsi"/>
          <w:noProof/>
          <w:sz w:val="20"/>
          <w:szCs w:val="20"/>
        </w:rPr>
        <w:t xml:space="preserve">(2018) </w:t>
      </w:r>
      <w:r w:rsidRPr="00EF6926">
        <w:rPr>
          <w:rFonts w:cstheme="minorHAnsi"/>
          <w:noProof/>
          <w:sz w:val="20"/>
          <w:szCs w:val="20"/>
        </w:rPr>
        <w:t xml:space="preserve">EASL recommendations on treatment of hepatitis C, </w:t>
      </w:r>
      <w:r w:rsidRPr="00EF6926">
        <w:rPr>
          <w:rFonts w:cstheme="minorHAnsi"/>
          <w:i/>
          <w:noProof/>
          <w:sz w:val="20"/>
          <w:szCs w:val="20"/>
        </w:rPr>
        <w:t>J</w:t>
      </w:r>
      <w:r w:rsidRPr="00AA7A4D">
        <w:rPr>
          <w:rFonts w:cstheme="minorHAnsi"/>
          <w:i/>
          <w:noProof/>
          <w:sz w:val="20"/>
          <w:szCs w:val="20"/>
        </w:rPr>
        <w:t>ournal of</w:t>
      </w:r>
      <w:r w:rsidRPr="00EF6926">
        <w:rPr>
          <w:rFonts w:cstheme="minorHAnsi"/>
          <w:i/>
          <w:noProof/>
          <w:sz w:val="20"/>
          <w:szCs w:val="20"/>
        </w:rPr>
        <w:t xml:space="preserve"> Hepatol</w:t>
      </w:r>
      <w:r w:rsidRPr="00AA7A4D">
        <w:rPr>
          <w:rFonts w:cstheme="minorHAnsi"/>
          <w:i/>
          <w:noProof/>
          <w:sz w:val="20"/>
          <w:szCs w:val="20"/>
        </w:rPr>
        <w:t>ogy,</w:t>
      </w:r>
      <w:r w:rsidRPr="00EF6926">
        <w:rPr>
          <w:rFonts w:cstheme="minorHAnsi"/>
          <w:noProof/>
          <w:sz w:val="20"/>
          <w:szCs w:val="20"/>
        </w:rPr>
        <w:t xml:space="preserve"> </w:t>
      </w:r>
      <w:hyperlink r:id="rId7" w:history="1">
        <w:r w:rsidRPr="00AA7A4D">
          <w:rPr>
            <w:rFonts w:cstheme="minorHAnsi"/>
            <w:noProof/>
            <w:color w:val="0563C1" w:themeColor="hyperlink"/>
            <w:sz w:val="20"/>
            <w:szCs w:val="20"/>
            <w:u w:val="single"/>
          </w:rPr>
          <w:t>https://doi.org/10.1016/j</w:t>
        </w:r>
      </w:hyperlink>
      <w:r w:rsidRPr="00EF6926">
        <w:rPr>
          <w:rFonts w:cstheme="minorHAnsi"/>
          <w:noProof/>
          <w:sz w:val="20"/>
          <w:szCs w:val="20"/>
        </w:rPr>
        <w:t>.</w:t>
      </w:r>
    </w:p>
    <w:p w14:paraId="1D324D77" w14:textId="77777777" w:rsidR="00C50A87" w:rsidRPr="00AA7A4D" w:rsidRDefault="00C50A87" w:rsidP="00C50A87">
      <w:pPr>
        <w:spacing w:after="0" w:line="240" w:lineRule="auto"/>
        <w:ind w:left="360"/>
        <w:contextualSpacing/>
        <w:rPr>
          <w:rFonts w:eastAsia="Times New Roman" w:cstheme="minorHAnsi"/>
          <w:sz w:val="20"/>
          <w:szCs w:val="20"/>
        </w:rPr>
      </w:pPr>
    </w:p>
    <w:p w14:paraId="2DD28455" w14:textId="77777777" w:rsidR="00C50A87" w:rsidRPr="00AA7A4D" w:rsidRDefault="00C50A87" w:rsidP="00C50A87">
      <w:pPr>
        <w:autoSpaceDE w:val="0"/>
        <w:autoSpaceDN w:val="0"/>
        <w:adjustRightInd w:val="0"/>
        <w:spacing w:after="0" w:line="240" w:lineRule="auto"/>
        <w:contextualSpacing/>
        <w:rPr>
          <w:rFonts w:cstheme="minorHAnsi"/>
          <w:noProof/>
          <w:sz w:val="20"/>
          <w:szCs w:val="20"/>
        </w:rPr>
      </w:pPr>
      <w:r w:rsidRPr="00EF6926">
        <w:rPr>
          <w:rFonts w:cstheme="minorHAnsi"/>
          <w:noProof/>
          <w:sz w:val="20"/>
          <w:szCs w:val="20"/>
        </w:rPr>
        <w:t>European Liver Patients’ Association (ELPA)</w:t>
      </w:r>
      <w:r w:rsidRPr="00AA7A4D">
        <w:rPr>
          <w:rFonts w:cstheme="minorHAnsi"/>
          <w:noProof/>
          <w:sz w:val="20"/>
          <w:szCs w:val="20"/>
        </w:rPr>
        <w:t xml:space="preserve"> (2017)</w:t>
      </w:r>
      <w:r w:rsidRPr="00EF6926">
        <w:rPr>
          <w:rFonts w:cstheme="minorHAnsi"/>
          <w:noProof/>
          <w:sz w:val="20"/>
          <w:szCs w:val="20"/>
        </w:rPr>
        <w:t xml:space="preserve"> ELPA joins hepatitis community worldwide in their unanimous response to the Cochrane systematic review on effectiveness of antiviral therapy, </w:t>
      </w:r>
      <w:hyperlink r:id="rId8" w:history="1">
        <w:r w:rsidRPr="00AA7A4D">
          <w:rPr>
            <w:rFonts w:cstheme="minorHAnsi"/>
            <w:noProof/>
            <w:color w:val="0563C1" w:themeColor="hyperlink"/>
            <w:sz w:val="20"/>
            <w:szCs w:val="20"/>
            <w:u w:val="single"/>
          </w:rPr>
          <w:t>http://www.elpa.eu/news/jul-2017/response-media-coverage-cochrane-study-daa-based-treatment-chronic-hepatitis-c</w:t>
        </w:r>
      </w:hyperlink>
      <w:r w:rsidRPr="00EF6926">
        <w:rPr>
          <w:rFonts w:cstheme="minorHAnsi"/>
          <w:noProof/>
          <w:sz w:val="20"/>
          <w:szCs w:val="20"/>
        </w:rPr>
        <w:t>.</w:t>
      </w:r>
    </w:p>
    <w:p w14:paraId="002B69E7" w14:textId="77777777" w:rsidR="00C50A87" w:rsidRPr="00AA7A4D" w:rsidRDefault="00C50A87" w:rsidP="00C50A87">
      <w:pPr>
        <w:spacing w:after="0" w:line="240" w:lineRule="auto"/>
        <w:contextualSpacing/>
        <w:rPr>
          <w:rFonts w:eastAsia="Times New Roman" w:cstheme="minorHAnsi"/>
          <w:sz w:val="20"/>
          <w:szCs w:val="20"/>
        </w:rPr>
      </w:pPr>
    </w:p>
    <w:p w14:paraId="1C8A7F2A" w14:textId="77777777" w:rsidR="00C50A87" w:rsidRPr="00EF6926" w:rsidRDefault="00C50A87" w:rsidP="00C50A87">
      <w:pPr>
        <w:spacing w:after="0" w:line="240" w:lineRule="auto"/>
        <w:contextualSpacing/>
        <w:rPr>
          <w:rFonts w:cstheme="minorHAnsi"/>
          <w:noProof/>
          <w:sz w:val="20"/>
          <w:szCs w:val="20"/>
        </w:rPr>
      </w:pPr>
      <w:r w:rsidRPr="00EF6926">
        <w:rPr>
          <w:rFonts w:eastAsia="Times New Roman" w:cstheme="minorHAnsi"/>
          <w:sz w:val="20"/>
          <w:szCs w:val="20"/>
          <w:lang w:val="en-AU"/>
        </w:rPr>
        <w:t>Eveline</w:t>
      </w:r>
      <w:r w:rsidRPr="00AA7A4D">
        <w:rPr>
          <w:rFonts w:eastAsia="Times New Roman" w:cstheme="minorHAnsi"/>
          <w:sz w:val="20"/>
          <w:szCs w:val="20"/>
          <w:lang w:val="en-AU"/>
        </w:rPr>
        <w:t xml:space="preserve">, </w:t>
      </w:r>
      <w:r w:rsidRPr="00EF6926">
        <w:rPr>
          <w:rFonts w:eastAsia="Times New Roman" w:cstheme="minorHAnsi"/>
          <w:sz w:val="20"/>
          <w:szCs w:val="20"/>
          <w:lang w:val="en-AU"/>
        </w:rPr>
        <w:t>J</w:t>
      </w:r>
      <w:r w:rsidRPr="00AA7A4D">
        <w:rPr>
          <w:rFonts w:eastAsia="Times New Roman" w:cstheme="minorHAnsi"/>
          <w:sz w:val="20"/>
          <w:szCs w:val="20"/>
          <w:lang w:val="en-AU"/>
        </w:rPr>
        <w:t>. and</w:t>
      </w:r>
      <w:r w:rsidRPr="00EF6926">
        <w:rPr>
          <w:rFonts w:eastAsia="Times New Roman" w:cstheme="minorHAnsi"/>
          <w:sz w:val="20"/>
          <w:szCs w:val="20"/>
          <w:lang w:val="en-AU"/>
        </w:rPr>
        <w:t xml:space="preserve"> Bacchi</w:t>
      </w:r>
      <w:r w:rsidRPr="00AA7A4D">
        <w:rPr>
          <w:rFonts w:eastAsia="Times New Roman" w:cstheme="minorHAnsi"/>
          <w:sz w:val="20"/>
          <w:szCs w:val="20"/>
          <w:lang w:val="en-AU"/>
        </w:rPr>
        <w:t>,</w:t>
      </w:r>
      <w:r w:rsidRPr="00EF6926">
        <w:rPr>
          <w:rFonts w:eastAsia="Times New Roman" w:cstheme="minorHAnsi"/>
          <w:sz w:val="20"/>
          <w:szCs w:val="20"/>
          <w:lang w:val="en-AU"/>
        </w:rPr>
        <w:t xml:space="preserve"> C</w:t>
      </w:r>
      <w:r w:rsidRPr="00AA7A4D">
        <w:rPr>
          <w:rFonts w:eastAsia="Times New Roman" w:cstheme="minorHAnsi"/>
          <w:sz w:val="20"/>
          <w:szCs w:val="20"/>
          <w:lang w:val="en-AU"/>
        </w:rPr>
        <w:t xml:space="preserve"> (2010)</w:t>
      </w:r>
      <w:r w:rsidRPr="00EF6926">
        <w:rPr>
          <w:rFonts w:eastAsia="Times New Roman" w:cstheme="minorHAnsi"/>
          <w:sz w:val="20"/>
          <w:szCs w:val="20"/>
          <w:lang w:val="en-AU"/>
        </w:rPr>
        <w:t xml:space="preserve"> Power, resistance and reflexive practice, in Carol Bacchi and Joan Eveline (eds.), </w:t>
      </w:r>
      <w:r w:rsidRPr="00EF6926">
        <w:rPr>
          <w:rFonts w:eastAsia="Times New Roman" w:cstheme="minorHAnsi"/>
          <w:i/>
          <w:iCs/>
          <w:sz w:val="20"/>
          <w:szCs w:val="20"/>
          <w:lang w:val="en-AU"/>
        </w:rPr>
        <w:t xml:space="preserve">Mainstreaming Politics: Gendering Practices and Feminist Theory. </w:t>
      </w:r>
      <w:r w:rsidRPr="00EF6926">
        <w:rPr>
          <w:rFonts w:eastAsia="Times New Roman" w:cstheme="minorHAnsi"/>
          <w:sz w:val="20"/>
          <w:szCs w:val="20"/>
          <w:lang w:val="en-AU"/>
        </w:rPr>
        <w:t>Adelaide: University of Adelaide Press.</w:t>
      </w:r>
    </w:p>
    <w:p w14:paraId="083D233D" w14:textId="77777777" w:rsidR="00C50A87" w:rsidRPr="00AA7A4D" w:rsidRDefault="00C50A87" w:rsidP="00C50A87">
      <w:pPr>
        <w:spacing w:after="0" w:line="240" w:lineRule="auto"/>
        <w:contextualSpacing/>
        <w:rPr>
          <w:sz w:val="20"/>
          <w:szCs w:val="20"/>
        </w:rPr>
      </w:pPr>
    </w:p>
    <w:p w14:paraId="69DF8E35" w14:textId="6853CDF6" w:rsidR="009D1A23" w:rsidRDefault="009D1A23" w:rsidP="00C50A87">
      <w:pPr>
        <w:keepNext/>
        <w:keepLines/>
        <w:shd w:val="clear" w:color="auto" w:fill="FFFFFF"/>
        <w:spacing w:after="0" w:line="240" w:lineRule="auto"/>
        <w:textAlignment w:val="baseline"/>
        <w:outlineLvl w:val="1"/>
        <w:rPr>
          <w:rFonts w:eastAsiaTheme="majorEastAsia" w:cs="Helvetica"/>
          <w:color w:val="333333"/>
          <w:sz w:val="20"/>
          <w:szCs w:val="20"/>
        </w:rPr>
      </w:pPr>
      <w:r>
        <w:rPr>
          <w:rFonts w:eastAsiaTheme="majorEastAsia" w:cs="Helvetica"/>
          <w:color w:val="333333"/>
          <w:sz w:val="20"/>
          <w:szCs w:val="20"/>
        </w:rPr>
        <w:t xml:space="preserve">Falade-Nwulia, O., Suarez-Cuervo, C., Nelson, D. R. Fried, M. W., Segel, J. B. and Sulkowski, M. S. (2017) Oral direct-acting agent therapy for hepatitis C virus infection: Systematic review, </w:t>
      </w:r>
      <w:r w:rsidRPr="007A7094">
        <w:rPr>
          <w:rFonts w:eastAsiaTheme="majorEastAsia" w:cs="Helvetica"/>
          <w:i/>
          <w:color w:val="333333"/>
          <w:sz w:val="20"/>
          <w:szCs w:val="20"/>
        </w:rPr>
        <w:t>Annals of Internal Medicine</w:t>
      </w:r>
      <w:r>
        <w:rPr>
          <w:rFonts w:eastAsiaTheme="majorEastAsia" w:cs="Helvetica"/>
          <w:color w:val="333333"/>
          <w:sz w:val="20"/>
          <w:szCs w:val="20"/>
        </w:rPr>
        <w:t>, 166: 637-648.</w:t>
      </w:r>
    </w:p>
    <w:p w14:paraId="507E59CA" w14:textId="77777777" w:rsidR="009D1A23" w:rsidRDefault="009D1A23" w:rsidP="00C50A87">
      <w:pPr>
        <w:keepNext/>
        <w:keepLines/>
        <w:shd w:val="clear" w:color="auto" w:fill="FFFFFF"/>
        <w:spacing w:after="0" w:line="240" w:lineRule="auto"/>
        <w:textAlignment w:val="baseline"/>
        <w:outlineLvl w:val="1"/>
        <w:rPr>
          <w:rFonts w:eastAsiaTheme="majorEastAsia" w:cs="Helvetica"/>
          <w:color w:val="333333"/>
          <w:sz w:val="20"/>
          <w:szCs w:val="20"/>
        </w:rPr>
      </w:pPr>
    </w:p>
    <w:p w14:paraId="2C7D86C5" w14:textId="3A224A04" w:rsidR="00C50A87" w:rsidRPr="00AA7A4D" w:rsidRDefault="00C50A87" w:rsidP="00C50A87">
      <w:pPr>
        <w:keepNext/>
        <w:keepLines/>
        <w:shd w:val="clear" w:color="auto" w:fill="FFFFFF"/>
        <w:spacing w:after="0" w:line="240" w:lineRule="auto"/>
        <w:textAlignment w:val="baseline"/>
        <w:outlineLvl w:val="1"/>
        <w:rPr>
          <w:rFonts w:eastAsiaTheme="majorEastAsia" w:cs="Helvetica"/>
          <w:color w:val="333333"/>
          <w:sz w:val="20"/>
          <w:szCs w:val="20"/>
        </w:rPr>
      </w:pPr>
      <w:r w:rsidRPr="00EF6926">
        <w:rPr>
          <w:rFonts w:eastAsiaTheme="majorEastAsia" w:cs="Helvetica"/>
          <w:color w:val="333333"/>
          <w:sz w:val="20"/>
          <w:szCs w:val="20"/>
        </w:rPr>
        <w:t xml:space="preserve">Foster GR, Agarwal K, Cramp M, et al. </w:t>
      </w:r>
      <w:r w:rsidRPr="00AA7A4D">
        <w:rPr>
          <w:rFonts w:eastAsiaTheme="majorEastAsia" w:cs="Helvetica"/>
          <w:color w:val="333333"/>
          <w:sz w:val="20"/>
          <w:szCs w:val="20"/>
        </w:rPr>
        <w:t xml:space="preserve">(2018) </w:t>
      </w:r>
      <w:r w:rsidRPr="00EF6926">
        <w:rPr>
          <w:rFonts w:eastAsiaTheme="majorEastAsia" w:cs="Helvetica"/>
          <w:color w:val="333333"/>
          <w:sz w:val="20"/>
          <w:szCs w:val="20"/>
        </w:rPr>
        <w:t>Viral hepatitis experts are convinced of the benefits of antiviral therapy for hepatitis C (Rapid response)</w:t>
      </w:r>
      <w:r w:rsidRPr="00AA7A4D">
        <w:rPr>
          <w:rFonts w:eastAsiaTheme="majorEastAsia" w:cs="Helvetica"/>
          <w:color w:val="333333"/>
          <w:sz w:val="20"/>
          <w:szCs w:val="20"/>
        </w:rPr>
        <w:t>,</w:t>
      </w:r>
      <w:r w:rsidRPr="00EF6926">
        <w:rPr>
          <w:rFonts w:eastAsiaTheme="majorEastAsia" w:cs="Helvetica"/>
          <w:color w:val="333333"/>
          <w:sz w:val="20"/>
          <w:szCs w:val="20"/>
        </w:rPr>
        <w:t xml:space="preserve"> </w:t>
      </w:r>
      <w:r w:rsidRPr="00EF6926">
        <w:rPr>
          <w:rFonts w:eastAsiaTheme="majorEastAsia" w:cs="Helvetica"/>
          <w:i/>
          <w:color w:val="333333"/>
          <w:sz w:val="20"/>
          <w:szCs w:val="20"/>
        </w:rPr>
        <w:t>B</w:t>
      </w:r>
      <w:r w:rsidRPr="00AA7A4D">
        <w:rPr>
          <w:rFonts w:eastAsiaTheme="majorEastAsia" w:cs="Helvetica"/>
          <w:i/>
          <w:color w:val="333333"/>
          <w:sz w:val="20"/>
          <w:szCs w:val="20"/>
        </w:rPr>
        <w:t xml:space="preserve">ritish </w:t>
      </w:r>
      <w:r w:rsidRPr="00EF6926">
        <w:rPr>
          <w:rFonts w:eastAsiaTheme="majorEastAsia" w:cs="Helvetica"/>
          <w:i/>
          <w:color w:val="333333"/>
          <w:sz w:val="20"/>
          <w:szCs w:val="20"/>
        </w:rPr>
        <w:t>M</w:t>
      </w:r>
      <w:r w:rsidRPr="00AA7A4D">
        <w:rPr>
          <w:rFonts w:eastAsiaTheme="majorEastAsia" w:cs="Helvetica"/>
          <w:i/>
          <w:color w:val="333333"/>
          <w:sz w:val="20"/>
          <w:szCs w:val="20"/>
        </w:rPr>
        <w:t xml:space="preserve">edical </w:t>
      </w:r>
      <w:r w:rsidRPr="00EF6926">
        <w:rPr>
          <w:rFonts w:eastAsiaTheme="majorEastAsia" w:cs="Helvetica"/>
          <w:i/>
          <w:color w:val="333333"/>
          <w:sz w:val="20"/>
          <w:szCs w:val="20"/>
        </w:rPr>
        <w:t>J</w:t>
      </w:r>
      <w:r w:rsidRPr="00AA7A4D">
        <w:rPr>
          <w:rFonts w:eastAsiaTheme="majorEastAsia" w:cs="Helvetica"/>
          <w:i/>
          <w:color w:val="333333"/>
          <w:sz w:val="20"/>
          <w:szCs w:val="20"/>
        </w:rPr>
        <w:t>ournal,</w:t>
      </w:r>
      <w:r w:rsidRPr="00EF6926">
        <w:rPr>
          <w:rFonts w:eastAsiaTheme="majorEastAsia" w:cs="Helvetica"/>
          <w:color w:val="333333"/>
          <w:sz w:val="20"/>
          <w:szCs w:val="20"/>
        </w:rPr>
        <w:t xml:space="preserve"> 361:k1382.</w:t>
      </w:r>
    </w:p>
    <w:p w14:paraId="66A80277" w14:textId="77777777" w:rsidR="00C50A87" w:rsidRPr="00EF6926" w:rsidRDefault="00C50A87" w:rsidP="00C50A87">
      <w:pPr>
        <w:autoSpaceDE w:val="0"/>
        <w:autoSpaceDN w:val="0"/>
        <w:adjustRightInd w:val="0"/>
        <w:spacing w:after="0" w:line="240" w:lineRule="auto"/>
        <w:contextualSpacing/>
        <w:rPr>
          <w:rFonts w:cstheme="minorHAnsi"/>
          <w:noProof/>
          <w:sz w:val="20"/>
          <w:szCs w:val="20"/>
        </w:rPr>
      </w:pPr>
    </w:p>
    <w:p w14:paraId="56737355" w14:textId="19B259DE" w:rsidR="00C50A87" w:rsidRPr="007A7094" w:rsidRDefault="00C50A87" w:rsidP="00C50A87">
      <w:pPr>
        <w:keepNext/>
        <w:keepLines/>
        <w:shd w:val="clear" w:color="auto" w:fill="FFFFFF"/>
        <w:spacing w:after="0" w:line="240" w:lineRule="auto"/>
        <w:textAlignment w:val="baseline"/>
        <w:outlineLvl w:val="1"/>
        <w:rPr>
          <w:rFonts w:eastAsiaTheme="majorEastAsia" w:cs="Helvetica"/>
          <w:color w:val="333333"/>
          <w:sz w:val="20"/>
          <w:szCs w:val="20"/>
        </w:rPr>
      </w:pPr>
      <w:r w:rsidRPr="00EF6926">
        <w:rPr>
          <w:rFonts w:eastAsiaTheme="majorEastAsia" w:cs="Helvetica"/>
          <w:color w:val="333333"/>
          <w:sz w:val="20"/>
          <w:szCs w:val="20"/>
          <w:lang w:val="da-DK"/>
        </w:rPr>
        <w:t xml:space="preserve">Fraser H, Martin NK, Brummer-Kornenkonito H, Carrieri P, Dalgard D. et al. </w:t>
      </w:r>
      <w:r w:rsidRPr="00AA7A4D">
        <w:rPr>
          <w:rFonts w:eastAsiaTheme="majorEastAsia" w:cs="Helvetica"/>
          <w:color w:val="333333"/>
          <w:sz w:val="20"/>
          <w:szCs w:val="20"/>
        </w:rPr>
        <w:t xml:space="preserve">(2018) </w:t>
      </w:r>
      <w:r w:rsidRPr="00EF6926">
        <w:rPr>
          <w:rFonts w:eastAsiaTheme="majorEastAsia" w:cs="Helvetica"/>
          <w:color w:val="333333"/>
          <w:sz w:val="20"/>
          <w:szCs w:val="20"/>
        </w:rPr>
        <w:t xml:space="preserve">Model projections on the impact of HCV treatment in the prevention of HCV transmission among people who inject drugs in Europe, </w:t>
      </w:r>
      <w:r w:rsidRPr="00EF6926">
        <w:rPr>
          <w:rFonts w:eastAsiaTheme="majorEastAsia" w:cs="Helvetica"/>
          <w:i/>
          <w:color w:val="333333"/>
          <w:sz w:val="20"/>
          <w:szCs w:val="20"/>
        </w:rPr>
        <w:t>Journal of Hepatology</w:t>
      </w:r>
      <w:r w:rsidRPr="00AA7A4D">
        <w:rPr>
          <w:rFonts w:eastAsiaTheme="majorEastAsia" w:cs="Helvetica"/>
          <w:color w:val="333333"/>
          <w:sz w:val="20"/>
          <w:szCs w:val="20"/>
        </w:rPr>
        <w:t>,</w:t>
      </w:r>
      <w:r w:rsidRPr="00EF6926">
        <w:rPr>
          <w:rFonts w:eastAsiaTheme="majorEastAsia" w:cs="Helvetica"/>
          <w:color w:val="333333"/>
          <w:sz w:val="20"/>
          <w:szCs w:val="20"/>
        </w:rPr>
        <w:t xml:space="preserve"> 68: 402-411.</w:t>
      </w:r>
    </w:p>
    <w:p w14:paraId="6A2E51B1" w14:textId="40FEB887" w:rsidR="00F00AF4" w:rsidRPr="007A7094" w:rsidRDefault="00F00AF4" w:rsidP="007A7094">
      <w:pPr>
        <w:keepNext/>
        <w:keepLines/>
        <w:shd w:val="clear" w:color="auto" w:fill="FFFFFF"/>
        <w:spacing w:after="0" w:line="240" w:lineRule="auto"/>
        <w:jc w:val="both"/>
        <w:textAlignment w:val="baseline"/>
        <w:outlineLvl w:val="1"/>
        <w:rPr>
          <w:rFonts w:eastAsiaTheme="majorEastAsia" w:cs="Helvetica"/>
          <w:color w:val="333333"/>
          <w:sz w:val="20"/>
          <w:szCs w:val="20"/>
        </w:rPr>
      </w:pPr>
    </w:p>
    <w:p w14:paraId="06F9EFBC" w14:textId="7C7D92C4" w:rsidR="00F00AF4" w:rsidRPr="007A7094" w:rsidRDefault="00F00AF4" w:rsidP="007A7094">
      <w:pPr>
        <w:keepNext/>
        <w:keepLines/>
        <w:shd w:val="clear" w:color="auto" w:fill="FFFFFF"/>
        <w:spacing w:after="0" w:line="240" w:lineRule="auto"/>
        <w:jc w:val="both"/>
        <w:textAlignment w:val="baseline"/>
        <w:outlineLvl w:val="1"/>
        <w:rPr>
          <w:rFonts w:eastAsiaTheme="majorEastAsia" w:cs="Helvetica"/>
          <w:color w:val="333333"/>
          <w:sz w:val="20"/>
          <w:szCs w:val="20"/>
        </w:rPr>
      </w:pPr>
      <w:r w:rsidRPr="007A7094">
        <w:rPr>
          <w:sz w:val="20"/>
          <w:szCs w:val="20"/>
        </w:rPr>
        <w:t xml:space="preserve">Fraser, S., and Seear, K. (2011). </w:t>
      </w:r>
      <w:r w:rsidRPr="007A7094">
        <w:rPr>
          <w:i/>
          <w:sz w:val="20"/>
          <w:szCs w:val="20"/>
        </w:rPr>
        <w:t>Making Disease, Making Citizens: The Politics of Hepatitis C</w:t>
      </w:r>
      <w:r w:rsidRPr="007A7094">
        <w:rPr>
          <w:sz w:val="20"/>
          <w:szCs w:val="20"/>
        </w:rPr>
        <w:t>. London: Routledge.</w:t>
      </w:r>
    </w:p>
    <w:p w14:paraId="261C777F" w14:textId="77777777" w:rsidR="00C50A87" w:rsidRPr="007A7094" w:rsidRDefault="00C50A87" w:rsidP="007A7094">
      <w:pPr>
        <w:keepNext/>
        <w:keepLines/>
        <w:shd w:val="clear" w:color="auto" w:fill="FFFFFF"/>
        <w:spacing w:after="0" w:line="240" w:lineRule="auto"/>
        <w:ind w:left="360"/>
        <w:jc w:val="both"/>
        <w:textAlignment w:val="baseline"/>
        <w:outlineLvl w:val="1"/>
        <w:rPr>
          <w:rFonts w:eastAsiaTheme="majorEastAsia" w:cs="Helvetica"/>
          <w:color w:val="333333"/>
          <w:sz w:val="20"/>
          <w:szCs w:val="20"/>
        </w:rPr>
      </w:pPr>
    </w:p>
    <w:p w14:paraId="2D210107" w14:textId="77777777" w:rsidR="00C50A87" w:rsidRPr="00AA7A4D" w:rsidRDefault="00C50A87" w:rsidP="00C50A87">
      <w:pPr>
        <w:spacing w:after="0" w:line="240" w:lineRule="auto"/>
        <w:contextualSpacing/>
        <w:rPr>
          <w:sz w:val="20"/>
          <w:szCs w:val="20"/>
        </w:rPr>
      </w:pPr>
      <w:r w:rsidRPr="00EF6926">
        <w:rPr>
          <w:sz w:val="20"/>
          <w:szCs w:val="20"/>
        </w:rPr>
        <w:t xml:space="preserve">Gane, E. </w:t>
      </w:r>
      <w:r w:rsidRPr="00AA7A4D">
        <w:rPr>
          <w:sz w:val="20"/>
          <w:szCs w:val="20"/>
        </w:rPr>
        <w:t xml:space="preserve">(2014) </w:t>
      </w:r>
      <w:r w:rsidRPr="00EF6926">
        <w:rPr>
          <w:sz w:val="20"/>
          <w:szCs w:val="20"/>
        </w:rPr>
        <w:t xml:space="preserve">Hepatitis C beware: The end is nigh, </w:t>
      </w:r>
      <w:r w:rsidRPr="00EF6926">
        <w:rPr>
          <w:i/>
          <w:sz w:val="20"/>
          <w:szCs w:val="20"/>
        </w:rPr>
        <w:t>Lancet</w:t>
      </w:r>
      <w:r w:rsidRPr="00EF6926">
        <w:rPr>
          <w:sz w:val="20"/>
          <w:szCs w:val="20"/>
        </w:rPr>
        <w:t>, 384: 1557-1560.</w:t>
      </w:r>
    </w:p>
    <w:p w14:paraId="663144BB" w14:textId="77777777" w:rsidR="00C50A87" w:rsidRPr="00AA7A4D" w:rsidRDefault="00C50A87" w:rsidP="00C50A87">
      <w:pPr>
        <w:spacing w:after="0" w:line="240" w:lineRule="auto"/>
        <w:contextualSpacing/>
        <w:rPr>
          <w:rFonts w:cstheme="minorHAnsi"/>
          <w:noProof/>
          <w:sz w:val="20"/>
          <w:szCs w:val="20"/>
        </w:rPr>
      </w:pPr>
    </w:p>
    <w:p w14:paraId="0B2695F3" w14:textId="77777777" w:rsidR="00C50A87" w:rsidRPr="00AA7A4D" w:rsidRDefault="00C50A87" w:rsidP="00C50A87">
      <w:pPr>
        <w:spacing w:after="0" w:line="240" w:lineRule="auto"/>
        <w:contextualSpacing/>
        <w:rPr>
          <w:rFonts w:cstheme="minorHAnsi"/>
          <w:noProof/>
          <w:sz w:val="20"/>
          <w:szCs w:val="20"/>
        </w:rPr>
      </w:pPr>
      <w:r w:rsidRPr="00EF6926">
        <w:rPr>
          <w:rFonts w:cstheme="minorHAnsi"/>
          <w:noProof/>
          <w:sz w:val="20"/>
          <w:szCs w:val="20"/>
        </w:rPr>
        <w:lastRenderedPageBreak/>
        <w:t>Gastroenterological Society of Australia (GESA)</w:t>
      </w:r>
      <w:r w:rsidRPr="00AA7A4D">
        <w:rPr>
          <w:rFonts w:cstheme="minorHAnsi"/>
          <w:noProof/>
          <w:sz w:val="20"/>
          <w:szCs w:val="20"/>
        </w:rPr>
        <w:t xml:space="preserve"> (2017)</w:t>
      </w:r>
      <w:r w:rsidRPr="00EF6926">
        <w:rPr>
          <w:rFonts w:cstheme="minorHAnsi"/>
          <w:noProof/>
          <w:sz w:val="20"/>
          <w:szCs w:val="20"/>
        </w:rPr>
        <w:t xml:space="preserve">. Experts reject flawed report and reaffirm support for new generation hepatitis C therapies, June 16, </w:t>
      </w:r>
      <w:hyperlink r:id="rId9" w:history="1">
        <w:r w:rsidRPr="00AA7A4D">
          <w:rPr>
            <w:rFonts w:cstheme="minorHAnsi"/>
            <w:noProof/>
            <w:color w:val="0563C1" w:themeColor="hyperlink"/>
            <w:sz w:val="20"/>
            <w:szCs w:val="20"/>
            <w:u w:val="single"/>
          </w:rPr>
          <w:t>http://www.hepatologyassociation.com.au/public/23/system/newsAttachments/GESA%20Media%20Release%20HCV%20DAAs_15%20June%202017.pdf</w:t>
        </w:r>
      </w:hyperlink>
      <w:r w:rsidRPr="00AA7A4D">
        <w:rPr>
          <w:rFonts w:cstheme="minorHAnsi"/>
          <w:noProof/>
          <w:sz w:val="20"/>
          <w:szCs w:val="20"/>
        </w:rPr>
        <w:t>.</w:t>
      </w:r>
    </w:p>
    <w:p w14:paraId="625340D9" w14:textId="77777777" w:rsidR="00C50A87" w:rsidRPr="007A7094" w:rsidRDefault="00C50A87" w:rsidP="00C50A87">
      <w:pPr>
        <w:spacing w:after="0" w:line="240" w:lineRule="auto"/>
        <w:ind w:left="360"/>
        <w:contextualSpacing/>
        <w:rPr>
          <w:rFonts w:cstheme="minorHAnsi"/>
          <w:noProof/>
          <w:sz w:val="20"/>
          <w:szCs w:val="20"/>
        </w:rPr>
      </w:pPr>
    </w:p>
    <w:p w14:paraId="72EB1A7E" w14:textId="77777777" w:rsidR="008E09B4" w:rsidRPr="007A7094" w:rsidRDefault="008E09B4" w:rsidP="008E09B4">
      <w:pPr>
        <w:autoSpaceDE w:val="0"/>
        <w:autoSpaceDN w:val="0"/>
        <w:adjustRightInd w:val="0"/>
        <w:spacing w:after="0" w:line="240" w:lineRule="auto"/>
        <w:jc w:val="both"/>
        <w:rPr>
          <w:rFonts w:eastAsia="Calibri" w:cs="Arial"/>
          <w:color w:val="000000"/>
          <w:sz w:val="20"/>
          <w:szCs w:val="20"/>
          <w:lang w:eastAsia="en-GB"/>
        </w:rPr>
      </w:pPr>
      <w:r w:rsidRPr="007A7094">
        <w:rPr>
          <w:rFonts w:eastAsia="Calibri" w:cs="Arial"/>
          <w:color w:val="000000"/>
          <w:sz w:val="20"/>
          <w:szCs w:val="20"/>
          <w:lang w:eastAsia="en-GB"/>
        </w:rPr>
        <w:t xml:space="preserve">Gomart, E. (2002) Methadone: Six effects in search of a substance, </w:t>
      </w:r>
      <w:r w:rsidRPr="007A7094">
        <w:rPr>
          <w:rFonts w:eastAsia="Calibri" w:cs="Arial"/>
          <w:i/>
          <w:color w:val="000000"/>
          <w:sz w:val="20"/>
          <w:szCs w:val="20"/>
          <w:lang w:eastAsia="en-GB"/>
        </w:rPr>
        <w:t>Social Studies of Science</w:t>
      </w:r>
      <w:r w:rsidRPr="007A7094">
        <w:rPr>
          <w:rFonts w:eastAsia="Calibri" w:cs="Arial"/>
          <w:color w:val="000000"/>
          <w:sz w:val="20"/>
          <w:szCs w:val="20"/>
          <w:lang w:eastAsia="en-GB"/>
        </w:rPr>
        <w:t>, 32: 93-135.</w:t>
      </w:r>
    </w:p>
    <w:p w14:paraId="33C3735C" w14:textId="77777777" w:rsidR="007353D3" w:rsidRPr="007A7094" w:rsidRDefault="007353D3" w:rsidP="00C50A87">
      <w:pPr>
        <w:keepNext/>
        <w:keepLines/>
        <w:shd w:val="clear" w:color="auto" w:fill="FFFFFF"/>
        <w:spacing w:after="0" w:line="240" w:lineRule="auto"/>
        <w:textAlignment w:val="baseline"/>
        <w:outlineLvl w:val="1"/>
        <w:rPr>
          <w:rFonts w:eastAsiaTheme="majorEastAsia" w:cstheme="minorHAnsi"/>
          <w:sz w:val="20"/>
          <w:szCs w:val="20"/>
        </w:rPr>
      </w:pPr>
    </w:p>
    <w:p w14:paraId="2EEBC02A" w14:textId="1887FB61" w:rsidR="00C50A87" w:rsidRPr="00AA7A4D" w:rsidRDefault="00C50A87" w:rsidP="00C50A87">
      <w:pPr>
        <w:keepNext/>
        <w:keepLines/>
        <w:shd w:val="clear" w:color="auto" w:fill="FFFFFF"/>
        <w:spacing w:after="0" w:line="240" w:lineRule="auto"/>
        <w:textAlignment w:val="baseline"/>
        <w:outlineLvl w:val="1"/>
        <w:rPr>
          <w:rFonts w:eastAsiaTheme="majorEastAsia" w:cstheme="minorHAnsi"/>
          <w:sz w:val="20"/>
          <w:szCs w:val="20"/>
        </w:rPr>
      </w:pPr>
      <w:r w:rsidRPr="00EF6926">
        <w:rPr>
          <w:rFonts w:eastAsiaTheme="majorEastAsia" w:cstheme="minorHAnsi"/>
          <w:sz w:val="20"/>
          <w:szCs w:val="20"/>
        </w:rPr>
        <w:t>Hepatitis C Coalition</w:t>
      </w:r>
      <w:r w:rsidRPr="00AA7A4D">
        <w:rPr>
          <w:rFonts w:eastAsiaTheme="majorEastAsia" w:cstheme="minorHAnsi"/>
          <w:sz w:val="20"/>
          <w:szCs w:val="20"/>
        </w:rPr>
        <w:t xml:space="preserve"> (2017)</w:t>
      </w:r>
      <w:r w:rsidRPr="00EF6926">
        <w:rPr>
          <w:rFonts w:eastAsiaTheme="majorEastAsia" w:cstheme="minorHAnsi"/>
          <w:sz w:val="20"/>
          <w:szCs w:val="20"/>
        </w:rPr>
        <w:t xml:space="preserve"> </w:t>
      </w:r>
      <w:r w:rsidRPr="00EF6926">
        <w:rPr>
          <w:rFonts w:eastAsia="Times New Roman" w:cs="Helvetica"/>
          <w:bCs/>
          <w:sz w:val="20"/>
          <w:szCs w:val="20"/>
          <w:lang w:eastAsia="en-GB"/>
        </w:rPr>
        <w:t xml:space="preserve">The Hepatitis C Coalition’s response to the Cochrane Review on Hepatitis C Medicines, </w:t>
      </w:r>
      <w:r w:rsidRPr="00EF6926">
        <w:rPr>
          <w:rFonts w:eastAsiaTheme="majorEastAsia" w:cstheme="minorHAnsi"/>
          <w:i/>
          <w:sz w:val="20"/>
          <w:szCs w:val="20"/>
        </w:rPr>
        <w:t>B</w:t>
      </w:r>
      <w:r w:rsidRPr="00AA7A4D">
        <w:rPr>
          <w:rFonts w:eastAsiaTheme="majorEastAsia" w:cstheme="minorHAnsi"/>
          <w:i/>
          <w:sz w:val="20"/>
          <w:szCs w:val="20"/>
        </w:rPr>
        <w:t>ritish Medical Journal,</w:t>
      </w:r>
      <w:r w:rsidRPr="00EF6926">
        <w:rPr>
          <w:rFonts w:eastAsiaTheme="majorEastAsia" w:cs="Helvetica"/>
          <w:sz w:val="20"/>
          <w:szCs w:val="20"/>
          <w:bdr w:val="none" w:sz="0" w:space="0" w:color="auto" w:frame="1"/>
          <w:shd w:val="clear" w:color="auto" w:fill="FFFFFF"/>
        </w:rPr>
        <w:t xml:space="preserve"> </w:t>
      </w:r>
      <w:r w:rsidRPr="00EF6926">
        <w:rPr>
          <w:rFonts w:eastAsiaTheme="majorEastAsia" w:cs="Helvetica"/>
          <w:sz w:val="20"/>
          <w:szCs w:val="20"/>
          <w:shd w:val="clear" w:color="auto" w:fill="FFFFFF"/>
        </w:rPr>
        <w:t>357: j2961.</w:t>
      </w:r>
      <w:r w:rsidRPr="00EF6926">
        <w:rPr>
          <w:rFonts w:eastAsiaTheme="majorEastAsia" w:cstheme="minorHAnsi"/>
          <w:sz w:val="20"/>
          <w:szCs w:val="20"/>
        </w:rPr>
        <w:t xml:space="preserve"> </w:t>
      </w:r>
    </w:p>
    <w:p w14:paraId="2537E459" w14:textId="77777777" w:rsidR="00C50A87" w:rsidRPr="00AA7A4D" w:rsidRDefault="00C50A87" w:rsidP="00C50A87">
      <w:pPr>
        <w:keepNext/>
        <w:keepLines/>
        <w:shd w:val="clear" w:color="auto" w:fill="FFFFFF"/>
        <w:spacing w:after="0" w:line="240" w:lineRule="auto"/>
        <w:ind w:left="360"/>
        <w:textAlignment w:val="baseline"/>
        <w:outlineLvl w:val="1"/>
        <w:rPr>
          <w:rFonts w:eastAsiaTheme="majorEastAsia" w:cs="Helvetica"/>
          <w:color w:val="333333"/>
          <w:sz w:val="20"/>
          <w:szCs w:val="20"/>
        </w:rPr>
      </w:pPr>
    </w:p>
    <w:p w14:paraId="2CEEBF82" w14:textId="3B403F45" w:rsidR="009D1A23" w:rsidRDefault="009D1A23" w:rsidP="00C50A87">
      <w:pPr>
        <w:spacing w:after="0" w:line="240" w:lineRule="auto"/>
        <w:contextualSpacing/>
        <w:rPr>
          <w:sz w:val="20"/>
          <w:szCs w:val="20"/>
        </w:rPr>
      </w:pPr>
      <w:r>
        <w:rPr>
          <w:sz w:val="20"/>
          <w:szCs w:val="20"/>
        </w:rPr>
        <w:t xml:space="preserve">Hopwood, M. and Treloar, C. (2005) The experience of interferon-based treatments for hepatitis C infection, </w:t>
      </w:r>
      <w:r w:rsidRPr="007A7094">
        <w:rPr>
          <w:i/>
          <w:sz w:val="20"/>
          <w:szCs w:val="20"/>
        </w:rPr>
        <w:t>Qualitative Health Research</w:t>
      </w:r>
      <w:r>
        <w:rPr>
          <w:sz w:val="20"/>
          <w:szCs w:val="20"/>
        </w:rPr>
        <w:t>, 15: 635-646.</w:t>
      </w:r>
    </w:p>
    <w:p w14:paraId="59FD3A31" w14:textId="77777777" w:rsidR="009D1A23" w:rsidRDefault="009D1A23" w:rsidP="00C50A87">
      <w:pPr>
        <w:spacing w:after="0" w:line="240" w:lineRule="auto"/>
        <w:contextualSpacing/>
        <w:rPr>
          <w:sz w:val="20"/>
          <w:szCs w:val="20"/>
        </w:rPr>
      </w:pPr>
    </w:p>
    <w:p w14:paraId="6C40030B" w14:textId="66D023E0" w:rsidR="00C50A87" w:rsidRPr="00AA7A4D" w:rsidRDefault="00C50A87" w:rsidP="00C50A87">
      <w:pPr>
        <w:spacing w:after="0" w:line="240" w:lineRule="auto"/>
        <w:contextualSpacing/>
        <w:rPr>
          <w:sz w:val="20"/>
          <w:szCs w:val="20"/>
        </w:rPr>
      </w:pPr>
      <w:r w:rsidRPr="00EF6926">
        <w:rPr>
          <w:sz w:val="20"/>
          <w:szCs w:val="20"/>
        </w:rPr>
        <w:t xml:space="preserve">Jakobsen, J. C., Nielsen, E. F., Feinberg, J., Katakam, K. K., Fobain, K., Hauser, G. et al. </w:t>
      </w:r>
      <w:r w:rsidRPr="00AA7A4D">
        <w:rPr>
          <w:sz w:val="20"/>
          <w:szCs w:val="20"/>
        </w:rPr>
        <w:t xml:space="preserve">(2017) </w:t>
      </w:r>
      <w:r w:rsidRPr="00EF6926">
        <w:rPr>
          <w:sz w:val="20"/>
          <w:szCs w:val="20"/>
        </w:rPr>
        <w:t xml:space="preserve">Direct-acting antivirals for chronic hepatitis, </w:t>
      </w:r>
      <w:r w:rsidRPr="00EF6926">
        <w:rPr>
          <w:i/>
          <w:sz w:val="20"/>
          <w:szCs w:val="20"/>
        </w:rPr>
        <w:t>Cochrane Database of Systematic Reviews</w:t>
      </w:r>
      <w:r w:rsidRPr="00EF6926">
        <w:rPr>
          <w:sz w:val="20"/>
          <w:szCs w:val="20"/>
        </w:rPr>
        <w:t>, 9: CD012143, doi: 10.1002/14651858.CD012143.</w:t>
      </w:r>
    </w:p>
    <w:p w14:paraId="6EC1BF98" w14:textId="77777777" w:rsidR="00C50A87" w:rsidRPr="00EF6926" w:rsidRDefault="00C50A87" w:rsidP="00C50A87">
      <w:pPr>
        <w:spacing w:after="0" w:line="240" w:lineRule="auto"/>
        <w:ind w:left="360"/>
        <w:contextualSpacing/>
        <w:rPr>
          <w:sz w:val="20"/>
          <w:szCs w:val="20"/>
        </w:rPr>
      </w:pPr>
    </w:p>
    <w:p w14:paraId="19E01B23" w14:textId="38B4BFB2" w:rsidR="00C50A87" w:rsidRPr="00AA7A4D" w:rsidRDefault="00C50A87" w:rsidP="00C50A87">
      <w:pPr>
        <w:shd w:val="clear" w:color="auto" w:fill="FFFFFF"/>
        <w:spacing w:after="0" w:line="240" w:lineRule="auto"/>
        <w:textAlignment w:val="baseline"/>
        <w:rPr>
          <w:rFonts w:eastAsia="Times New Roman" w:cs="Helvetica"/>
          <w:color w:val="333333"/>
          <w:sz w:val="20"/>
          <w:szCs w:val="20"/>
          <w:lang w:val="en-AU" w:eastAsia="en-AU"/>
        </w:rPr>
      </w:pPr>
      <w:r w:rsidRPr="00EF6926">
        <w:rPr>
          <w:rFonts w:eastAsia="Times New Roman" w:cs="Helvetica"/>
          <w:color w:val="333333"/>
          <w:sz w:val="20"/>
          <w:szCs w:val="20"/>
          <w:lang w:val="en-AU" w:eastAsia="en-AU"/>
        </w:rPr>
        <w:t>Jakobsen J</w:t>
      </w:r>
      <w:r w:rsidR="009D1A23">
        <w:rPr>
          <w:rFonts w:eastAsia="Times New Roman" w:cs="Helvetica"/>
          <w:color w:val="333333"/>
          <w:sz w:val="20"/>
          <w:szCs w:val="20"/>
          <w:lang w:val="en-AU" w:eastAsia="en-AU"/>
        </w:rPr>
        <w:t xml:space="preserve">. </w:t>
      </w:r>
      <w:r w:rsidRPr="00EF6926">
        <w:rPr>
          <w:rFonts w:eastAsia="Times New Roman" w:cs="Helvetica"/>
          <w:color w:val="333333"/>
          <w:sz w:val="20"/>
          <w:szCs w:val="20"/>
          <w:lang w:val="en-AU" w:eastAsia="en-AU"/>
        </w:rPr>
        <w:t>C</w:t>
      </w:r>
      <w:r w:rsidR="009D1A23">
        <w:rPr>
          <w:rFonts w:eastAsia="Times New Roman" w:cs="Helvetica"/>
          <w:color w:val="333333"/>
          <w:sz w:val="20"/>
          <w:szCs w:val="20"/>
          <w:lang w:val="en-AU" w:eastAsia="en-AU"/>
        </w:rPr>
        <w:t>.</w:t>
      </w:r>
      <w:r w:rsidRPr="00EF6926">
        <w:rPr>
          <w:rFonts w:eastAsia="Times New Roman" w:cs="Helvetica"/>
          <w:color w:val="333333"/>
          <w:sz w:val="20"/>
          <w:szCs w:val="20"/>
          <w:lang w:val="en-AU" w:eastAsia="en-AU"/>
        </w:rPr>
        <w:t>, Nielsen</w:t>
      </w:r>
      <w:r w:rsidR="009D1A23">
        <w:rPr>
          <w:rFonts w:eastAsia="Times New Roman" w:cs="Helvetica"/>
          <w:color w:val="333333"/>
          <w:sz w:val="20"/>
          <w:szCs w:val="20"/>
          <w:lang w:val="en-AU" w:eastAsia="en-AU"/>
        </w:rPr>
        <w:t>,</w:t>
      </w:r>
      <w:r w:rsidRPr="00EF6926">
        <w:rPr>
          <w:rFonts w:eastAsia="Times New Roman" w:cs="Helvetica"/>
          <w:color w:val="333333"/>
          <w:sz w:val="20"/>
          <w:szCs w:val="20"/>
          <w:lang w:val="en-AU" w:eastAsia="en-AU"/>
        </w:rPr>
        <w:t xml:space="preserve"> E</w:t>
      </w:r>
      <w:r w:rsidR="009D1A23">
        <w:rPr>
          <w:rFonts w:eastAsia="Times New Roman" w:cs="Helvetica"/>
          <w:color w:val="333333"/>
          <w:sz w:val="20"/>
          <w:szCs w:val="20"/>
          <w:lang w:val="en-AU" w:eastAsia="en-AU"/>
        </w:rPr>
        <w:t xml:space="preserve">. </w:t>
      </w:r>
      <w:r w:rsidRPr="00EF6926">
        <w:rPr>
          <w:rFonts w:eastAsia="Times New Roman" w:cs="Helvetica"/>
          <w:color w:val="333333"/>
          <w:sz w:val="20"/>
          <w:szCs w:val="20"/>
          <w:lang w:val="en-AU" w:eastAsia="en-AU"/>
        </w:rPr>
        <w:t>E</w:t>
      </w:r>
      <w:r w:rsidR="009D1A23">
        <w:rPr>
          <w:rFonts w:eastAsia="Times New Roman" w:cs="Helvetica"/>
          <w:color w:val="333333"/>
          <w:sz w:val="20"/>
          <w:szCs w:val="20"/>
          <w:lang w:val="en-AU" w:eastAsia="en-AU"/>
        </w:rPr>
        <w:t>.</w:t>
      </w:r>
      <w:r w:rsidRPr="00EF6926">
        <w:rPr>
          <w:rFonts w:eastAsia="Times New Roman" w:cs="Helvetica"/>
          <w:color w:val="333333"/>
          <w:sz w:val="20"/>
          <w:szCs w:val="20"/>
          <w:lang w:val="en-AU" w:eastAsia="en-AU"/>
        </w:rPr>
        <w:t>, Koretz</w:t>
      </w:r>
      <w:r w:rsidR="009D1A23">
        <w:rPr>
          <w:rFonts w:eastAsia="Times New Roman" w:cs="Helvetica"/>
          <w:color w:val="333333"/>
          <w:sz w:val="20"/>
          <w:szCs w:val="20"/>
          <w:lang w:val="en-AU" w:eastAsia="en-AU"/>
        </w:rPr>
        <w:t>,</w:t>
      </w:r>
      <w:r w:rsidRPr="00EF6926">
        <w:rPr>
          <w:rFonts w:eastAsia="Times New Roman" w:cs="Helvetica"/>
          <w:color w:val="333333"/>
          <w:sz w:val="20"/>
          <w:szCs w:val="20"/>
          <w:lang w:val="en-AU" w:eastAsia="en-AU"/>
        </w:rPr>
        <w:t xml:space="preserve"> R</w:t>
      </w:r>
      <w:r w:rsidR="009D1A23">
        <w:rPr>
          <w:rFonts w:eastAsia="Times New Roman" w:cs="Helvetica"/>
          <w:color w:val="333333"/>
          <w:sz w:val="20"/>
          <w:szCs w:val="20"/>
          <w:lang w:val="en-AU" w:eastAsia="en-AU"/>
        </w:rPr>
        <w:t xml:space="preserve">. </w:t>
      </w:r>
      <w:r w:rsidRPr="00EF6926">
        <w:rPr>
          <w:rFonts w:eastAsia="Times New Roman" w:cs="Helvetica"/>
          <w:color w:val="333333"/>
          <w:sz w:val="20"/>
          <w:szCs w:val="20"/>
          <w:lang w:val="en-AU" w:eastAsia="en-AU"/>
        </w:rPr>
        <w:t>L</w:t>
      </w:r>
      <w:r w:rsidR="009D1A23">
        <w:rPr>
          <w:rFonts w:eastAsia="Times New Roman" w:cs="Helvetica"/>
          <w:color w:val="333333"/>
          <w:sz w:val="20"/>
          <w:szCs w:val="20"/>
          <w:lang w:val="en-AU" w:eastAsia="en-AU"/>
        </w:rPr>
        <w:t>. and</w:t>
      </w:r>
      <w:r w:rsidRPr="00EF6926">
        <w:rPr>
          <w:rFonts w:eastAsia="Times New Roman" w:cs="Helvetica"/>
          <w:color w:val="333333"/>
          <w:sz w:val="20"/>
          <w:szCs w:val="20"/>
          <w:lang w:val="en-AU" w:eastAsia="en-AU"/>
        </w:rPr>
        <w:t xml:space="preserve"> Gluud C. </w:t>
      </w:r>
      <w:r w:rsidRPr="00AA7A4D">
        <w:rPr>
          <w:rFonts w:eastAsia="Times New Roman" w:cs="Helvetica"/>
          <w:color w:val="333333"/>
          <w:sz w:val="20"/>
          <w:szCs w:val="20"/>
          <w:lang w:val="en-AU" w:eastAsia="en-AU"/>
        </w:rPr>
        <w:t xml:space="preserve">(2018) </w:t>
      </w:r>
      <w:r w:rsidRPr="00EF6926">
        <w:rPr>
          <w:rFonts w:eastAsia="Times New Roman" w:cs="Helvetica"/>
          <w:color w:val="333333"/>
          <w:sz w:val="20"/>
          <w:szCs w:val="20"/>
          <w:lang w:val="en-AU" w:eastAsia="en-AU"/>
        </w:rPr>
        <w:t xml:space="preserve">Do direct acting antivirals cure chronic hepatitis C? </w:t>
      </w:r>
      <w:r w:rsidRPr="00EF6926">
        <w:rPr>
          <w:rFonts w:eastAsia="Times New Roman" w:cs="Helvetica"/>
          <w:i/>
          <w:color w:val="333333"/>
          <w:sz w:val="20"/>
          <w:szCs w:val="20"/>
          <w:lang w:val="en-AU" w:eastAsia="en-AU"/>
        </w:rPr>
        <w:t>BMJ</w:t>
      </w:r>
      <w:r w:rsidRPr="00EF6926">
        <w:rPr>
          <w:rFonts w:eastAsia="Times New Roman" w:cs="Helvetica"/>
          <w:color w:val="333333"/>
          <w:sz w:val="20"/>
          <w:szCs w:val="20"/>
          <w:lang w:val="en-AU" w:eastAsia="en-AU"/>
        </w:rPr>
        <w:t xml:space="preserve"> 2018; 361:k1382.</w:t>
      </w:r>
    </w:p>
    <w:p w14:paraId="457DDD5D" w14:textId="77777777" w:rsidR="00C50A87" w:rsidRPr="00AA7A4D" w:rsidRDefault="00C50A87" w:rsidP="00C50A87">
      <w:pPr>
        <w:keepNext/>
        <w:keepLines/>
        <w:shd w:val="clear" w:color="auto" w:fill="FFFFFF"/>
        <w:spacing w:after="0" w:line="240" w:lineRule="auto"/>
        <w:ind w:left="360"/>
        <w:textAlignment w:val="baseline"/>
        <w:outlineLvl w:val="1"/>
        <w:rPr>
          <w:rFonts w:eastAsiaTheme="majorEastAsia" w:cs="Helvetica"/>
          <w:color w:val="333333"/>
          <w:sz w:val="20"/>
          <w:szCs w:val="20"/>
          <w:lang w:val="en-AU"/>
        </w:rPr>
      </w:pPr>
    </w:p>
    <w:p w14:paraId="08A215DA" w14:textId="092AD8B9" w:rsidR="00C50A87" w:rsidRPr="00AA7A4D" w:rsidRDefault="00C50A87" w:rsidP="00C50A87">
      <w:pPr>
        <w:keepNext/>
        <w:keepLines/>
        <w:shd w:val="clear" w:color="auto" w:fill="FFFFFF"/>
        <w:spacing w:after="0" w:line="240" w:lineRule="auto"/>
        <w:textAlignment w:val="baseline"/>
        <w:outlineLvl w:val="1"/>
        <w:rPr>
          <w:rFonts w:eastAsiaTheme="majorEastAsia" w:cs="Helvetica"/>
          <w:color w:val="333333"/>
          <w:sz w:val="20"/>
          <w:szCs w:val="20"/>
        </w:rPr>
      </w:pPr>
      <w:r w:rsidRPr="00EF6926">
        <w:rPr>
          <w:rFonts w:eastAsiaTheme="majorEastAsia" w:cs="Helvetica"/>
          <w:color w:val="333333"/>
          <w:sz w:val="20"/>
          <w:szCs w:val="20"/>
          <w:lang w:val="en-AU"/>
        </w:rPr>
        <w:t>Koretz</w:t>
      </w:r>
      <w:r w:rsidR="009D1A23">
        <w:rPr>
          <w:rFonts w:eastAsiaTheme="majorEastAsia" w:cs="Helvetica"/>
          <w:color w:val="333333"/>
          <w:sz w:val="20"/>
          <w:szCs w:val="20"/>
          <w:lang w:val="en-AU"/>
        </w:rPr>
        <w:t>,</w:t>
      </w:r>
      <w:r w:rsidRPr="00EF6926">
        <w:rPr>
          <w:rFonts w:eastAsiaTheme="majorEastAsia" w:cs="Helvetica"/>
          <w:color w:val="333333"/>
          <w:sz w:val="20"/>
          <w:szCs w:val="20"/>
          <w:lang w:val="en-AU"/>
        </w:rPr>
        <w:t xml:space="preserve"> R</w:t>
      </w:r>
      <w:r w:rsidR="009D1A23">
        <w:rPr>
          <w:rFonts w:eastAsiaTheme="majorEastAsia" w:cs="Helvetica"/>
          <w:color w:val="333333"/>
          <w:sz w:val="20"/>
          <w:szCs w:val="20"/>
          <w:lang w:val="en-AU"/>
        </w:rPr>
        <w:t>.</w:t>
      </w:r>
      <w:r w:rsidRPr="00EF6926">
        <w:rPr>
          <w:rFonts w:eastAsiaTheme="majorEastAsia" w:cs="Helvetica"/>
          <w:color w:val="333333"/>
          <w:sz w:val="20"/>
          <w:szCs w:val="20"/>
          <w:lang w:val="en-AU"/>
        </w:rPr>
        <w:t>, Jakobsen</w:t>
      </w:r>
      <w:r w:rsidR="009D1A23">
        <w:rPr>
          <w:rFonts w:eastAsiaTheme="majorEastAsia" w:cs="Helvetica"/>
          <w:color w:val="333333"/>
          <w:sz w:val="20"/>
          <w:szCs w:val="20"/>
          <w:lang w:val="en-AU"/>
        </w:rPr>
        <w:t>,</w:t>
      </w:r>
      <w:r w:rsidRPr="00EF6926">
        <w:rPr>
          <w:rFonts w:eastAsiaTheme="majorEastAsia" w:cs="Helvetica"/>
          <w:color w:val="333333"/>
          <w:sz w:val="20"/>
          <w:szCs w:val="20"/>
          <w:lang w:val="en-AU"/>
        </w:rPr>
        <w:t xml:space="preserve"> J</w:t>
      </w:r>
      <w:r w:rsidR="009D1A23">
        <w:rPr>
          <w:rFonts w:eastAsiaTheme="majorEastAsia" w:cs="Helvetica"/>
          <w:color w:val="333333"/>
          <w:sz w:val="20"/>
          <w:szCs w:val="20"/>
          <w:lang w:val="en-AU"/>
        </w:rPr>
        <w:t xml:space="preserve">. </w:t>
      </w:r>
      <w:r w:rsidRPr="00EF6926">
        <w:rPr>
          <w:rFonts w:eastAsiaTheme="majorEastAsia" w:cs="Helvetica"/>
          <w:color w:val="333333"/>
          <w:sz w:val="20"/>
          <w:szCs w:val="20"/>
          <w:lang w:val="en-AU"/>
        </w:rPr>
        <w:t>C</w:t>
      </w:r>
      <w:r w:rsidR="009D1A23">
        <w:rPr>
          <w:rFonts w:eastAsiaTheme="majorEastAsia" w:cs="Helvetica"/>
          <w:color w:val="333333"/>
          <w:sz w:val="20"/>
          <w:szCs w:val="20"/>
          <w:lang w:val="en-AU"/>
        </w:rPr>
        <w:t>. and</w:t>
      </w:r>
      <w:r w:rsidRPr="00EF6926">
        <w:rPr>
          <w:rFonts w:eastAsiaTheme="majorEastAsia" w:cs="Helvetica"/>
          <w:color w:val="333333"/>
          <w:sz w:val="20"/>
          <w:szCs w:val="20"/>
          <w:lang w:val="en-AU"/>
        </w:rPr>
        <w:t xml:space="preserve"> View</w:t>
      </w:r>
      <w:r w:rsidR="009D1A23">
        <w:rPr>
          <w:rFonts w:eastAsiaTheme="majorEastAsia" w:cs="Helvetica"/>
          <w:color w:val="333333"/>
          <w:sz w:val="20"/>
          <w:szCs w:val="20"/>
          <w:lang w:val="en-AU"/>
        </w:rPr>
        <w:t>,</w:t>
      </w:r>
      <w:r w:rsidRPr="00EF6926">
        <w:rPr>
          <w:rFonts w:eastAsiaTheme="majorEastAsia" w:cs="Helvetica"/>
          <w:color w:val="333333"/>
          <w:sz w:val="20"/>
          <w:szCs w:val="20"/>
          <w:lang w:val="en-AU"/>
        </w:rPr>
        <w:t xml:space="preserve"> </w:t>
      </w:r>
      <w:r w:rsidRPr="00EF6926">
        <w:rPr>
          <w:rFonts w:eastAsiaTheme="majorEastAsia" w:cs="Helvetica"/>
          <w:color w:val="333333"/>
          <w:sz w:val="20"/>
          <w:szCs w:val="20"/>
        </w:rPr>
        <w:t xml:space="preserve">O. </w:t>
      </w:r>
      <w:r w:rsidRPr="00AA7A4D">
        <w:rPr>
          <w:rFonts w:eastAsiaTheme="majorEastAsia" w:cs="Helvetica"/>
          <w:color w:val="333333"/>
          <w:sz w:val="20"/>
          <w:szCs w:val="20"/>
        </w:rPr>
        <w:t xml:space="preserve">(2018a) </w:t>
      </w:r>
      <w:r w:rsidRPr="00EF6926">
        <w:rPr>
          <w:rFonts w:eastAsiaTheme="majorEastAsia" w:cs="Helvetica"/>
          <w:color w:val="333333"/>
          <w:sz w:val="20"/>
          <w:szCs w:val="20"/>
        </w:rPr>
        <w:t>Do direct acting antivirals cure chronic hepatitis C? Authors’ response to Foster et al.</w:t>
      </w:r>
      <w:r w:rsidRPr="00AA7A4D">
        <w:rPr>
          <w:rFonts w:eastAsiaTheme="majorEastAsia" w:cs="Helvetica"/>
          <w:color w:val="333333"/>
          <w:sz w:val="20"/>
          <w:szCs w:val="20"/>
        </w:rPr>
        <w:t>,</w:t>
      </w:r>
      <w:r w:rsidRPr="00EF6926">
        <w:rPr>
          <w:rFonts w:eastAsiaTheme="majorEastAsia" w:cs="Helvetica"/>
          <w:color w:val="333333"/>
          <w:sz w:val="20"/>
          <w:szCs w:val="20"/>
        </w:rPr>
        <w:t xml:space="preserve"> </w:t>
      </w:r>
      <w:r w:rsidRPr="00EF6926">
        <w:rPr>
          <w:rFonts w:eastAsiaTheme="majorEastAsia" w:cs="Helvetica"/>
          <w:i/>
          <w:color w:val="333333"/>
          <w:sz w:val="20"/>
          <w:szCs w:val="20"/>
        </w:rPr>
        <w:t>B</w:t>
      </w:r>
      <w:r w:rsidRPr="00AA7A4D">
        <w:rPr>
          <w:rFonts w:eastAsiaTheme="majorEastAsia" w:cs="Helvetica"/>
          <w:i/>
          <w:color w:val="333333"/>
          <w:sz w:val="20"/>
          <w:szCs w:val="20"/>
        </w:rPr>
        <w:t xml:space="preserve">ritish </w:t>
      </w:r>
      <w:r w:rsidRPr="00EF6926">
        <w:rPr>
          <w:rFonts w:eastAsiaTheme="majorEastAsia" w:cs="Helvetica"/>
          <w:i/>
          <w:color w:val="333333"/>
          <w:sz w:val="20"/>
          <w:szCs w:val="20"/>
        </w:rPr>
        <w:t>M</w:t>
      </w:r>
      <w:r w:rsidRPr="00AA7A4D">
        <w:rPr>
          <w:rFonts w:eastAsiaTheme="majorEastAsia" w:cs="Helvetica"/>
          <w:i/>
          <w:color w:val="333333"/>
          <w:sz w:val="20"/>
          <w:szCs w:val="20"/>
        </w:rPr>
        <w:t xml:space="preserve">edical </w:t>
      </w:r>
      <w:r w:rsidRPr="00EF6926">
        <w:rPr>
          <w:rFonts w:eastAsiaTheme="majorEastAsia" w:cs="Helvetica"/>
          <w:i/>
          <w:color w:val="333333"/>
          <w:sz w:val="20"/>
          <w:szCs w:val="20"/>
        </w:rPr>
        <w:t>J</w:t>
      </w:r>
      <w:r w:rsidRPr="00AA7A4D">
        <w:rPr>
          <w:rFonts w:eastAsiaTheme="majorEastAsia" w:cs="Helvetica"/>
          <w:i/>
          <w:color w:val="333333"/>
          <w:sz w:val="20"/>
          <w:szCs w:val="20"/>
        </w:rPr>
        <w:t>ournal,</w:t>
      </w:r>
      <w:r w:rsidRPr="00AA7A4D">
        <w:rPr>
          <w:rFonts w:eastAsiaTheme="majorEastAsia" w:cs="Helvetica"/>
          <w:color w:val="333333"/>
          <w:sz w:val="20"/>
          <w:szCs w:val="20"/>
        </w:rPr>
        <w:t xml:space="preserve"> </w:t>
      </w:r>
      <w:r w:rsidRPr="00EF6926">
        <w:rPr>
          <w:rFonts w:eastAsiaTheme="majorEastAsia" w:cs="Helvetica"/>
          <w:color w:val="333333"/>
          <w:sz w:val="20"/>
          <w:szCs w:val="20"/>
        </w:rPr>
        <w:t>361:l1382.</w:t>
      </w:r>
    </w:p>
    <w:p w14:paraId="4D2CF03C" w14:textId="77777777" w:rsidR="00C50A87" w:rsidRPr="00EF6926" w:rsidRDefault="00C50A87" w:rsidP="00C50A87">
      <w:pPr>
        <w:keepNext/>
        <w:keepLines/>
        <w:shd w:val="clear" w:color="auto" w:fill="FFFFFF"/>
        <w:spacing w:after="0" w:line="240" w:lineRule="auto"/>
        <w:ind w:left="360"/>
        <w:textAlignment w:val="baseline"/>
        <w:outlineLvl w:val="1"/>
        <w:rPr>
          <w:rFonts w:eastAsiaTheme="majorEastAsia" w:cstheme="minorHAnsi"/>
          <w:sz w:val="20"/>
          <w:szCs w:val="20"/>
        </w:rPr>
      </w:pPr>
    </w:p>
    <w:p w14:paraId="500915CC" w14:textId="77777777" w:rsidR="00C50A87" w:rsidRPr="00AA7A4D" w:rsidRDefault="00C50A87" w:rsidP="00C50A87">
      <w:pPr>
        <w:keepNext/>
        <w:keepLines/>
        <w:shd w:val="clear" w:color="auto" w:fill="FFFFFF"/>
        <w:spacing w:after="0" w:line="240" w:lineRule="auto"/>
        <w:textAlignment w:val="baseline"/>
        <w:outlineLvl w:val="1"/>
        <w:rPr>
          <w:rFonts w:eastAsiaTheme="majorEastAsia" w:cs="Helvetica"/>
          <w:color w:val="333333"/>
          <w:sz w:val="20"/>
          <w:szCs w:val="20"/>
        </w:rPr>
      </w:pPr>
      <w:r w:rsidRPr="00EF6926">
        <w:rPr>
          <w:rFonts w:eastAsiaTheme="majorEastAsia" w:cs="Helvetica"/>
          <w:color w:val="333333"/>
          <w:sz w:val="20"/>
          <w:szCs w:val="20"/>
          <w:lang w:val="en-AU"/>
        </w:rPr>
        <w:t xml:space="preserve">Koretz R, Jakobsen JC, View </w:t>
      </w:r>
      <w:r w:rsidRPr="00EF6926">
        <w:rPr>
          <w:rFonts w:eastAsiaTheme="majorEastAsia" w:cs="Helvetica"/>
          <w:color w:val="333333"/>
          <w:sz w:val="20"/>
          <w:szCs w:val="20"/>
        </w:rPr>
        <w:t xml:space="preserve">O. </w:t>
      </w:r>
      <w:r w:rsidRPr="00AA7A4D">
        <w:rPr>
          <w:rFonts w:eastAsiaTheme="majorEastAsia" w:cs="Helvetica"/>
          <w:color w:val="333333"/>
          <w:sz w:val="20"/>
          <w:szCs w:val="20"/>
        </w:rPr>
        <w:t xml:space="preserve">(2018b) </w:t>
      </w:r>
      <w:r w:rsidRPr="00EF6926">
        <w:rPr>
          <w:rFonts w:eastAsiaTheme="majorEastAsia" w:cs="Helvetica"/>
          <w:color w:val="333333"/>
          <w:sz w:val="20"/>
          <w:szCs w:val="20"/>
        </w:rPr>
        <w:t>Do direct acting antivirals cure chronic hepatitis C? Authors’ response to Cooke et al.</w:t>
      </w:r>
      <w:r w:rsidRPr="00AA7A4D">
        <w:rPr>
          <w:rFonts w:eastAsiaTheme="majorEastAsia" w:cs="Helvetica"/>
          <w:color w:val="333333"/>
          <w:sz w:val="20"/>
          <w:szCs w:val="20"/>
        </w:rPr>
        <w:t>,</w:t>
      </w:r>
      <w:r w:rsidRPr="00EF6926">
        <w:rPr>
          <w:rFonts w:eastAsiaTheme="majorEastAsia" w:cs="Helvetica"/>
          <w:color w:val="333333"/>
          <w:sz w:val="20"/>
          <w:szCs w:val="20"/>
        </w:rPr>
        <w:t xml:space="preserve"> </w:t>
      </w:r>
      <w:r w:rsidRPr="00EF6926">
        <w:rPr>
          <w:rFonts w:eastAsiaTheme="majorEastAsia" w:cs="Helvetica"/>
          <w:i/>
          <w:color w:val="333333"/>
          <w:sz w:val="20"/>
          <w:szCs w:val="20"/>
        </w:rPr>
        <w:t>B</w:t>
      </w:r>
      <w:r w:rsidRPr="00AA7A4D">
        <w:rPr>
          <w:rFonts w:eastAsiaTheme="majorEastAsia" w:cs="Helvetica"/>
          <w:i/>
          <w:color w:val="333333"/>
          <w:sz w:val="20"/>
          <w:szCs w:val="20"/>
        </w:rPr>
        <w:t xml:space="preserve">ritish </w:t>
      </w:r>
      <w:r w:rsidRPr="00EF6926">
        <w:rPr>
          <w:rFonts w:eastAsiaTheme="majorEastAsia" w:cs="Helvetica"/>
          <w:i/>
          <w:color w:val="333333"/>
          <w:sz w:val="20"/>
          <w:szCs w:val="20"/>
        </w:rPr>
        <w:t>M</w:t>
      </w:r>
      <w:r w:rsidRPr="00AA7A4D">
        <w:rPr>
          <w:rFonts w:eastAsiaTheme="majorEastAsia" w:cs="Helvetica"/>
          <w:i/>
          <w:color w:val="333333"/>
          <w:sz w:val="20"/>
          <w:szCs w:val="20"/>
        </w:rPr>
        <w:t xml:space="preserve">edical </w:t>
      </w:r>
      <w:r w:rsidRPr="00EF6926">
        <w:rPr>
          <w:rFonts w:eastAsiaTheme="majorEastAsia" w:cs="Helvetica"/>
          <w:i/>
          <w:color w:val="333333"/>
          <w:sz w:val="20"/>
          <w:szCs w:val="20"/>
        </w:rPr>
        <w:t>J</w:t>
      </w:r>
      <w:r w:rsidRPr="00AA7A4D">
        <w:rPr>
          <w:rFonts w:eastAsiaTheme="majorEastAsia" w:cs="Helvetica"/>
          <w:i/>
          <w:color w:val="333333"/>
          <w:sz w:val="20"/>
          <w:szCs w:val="20"/>
        </w:rPr>
        <w:t>ournal</w:t>
      </w:r>
      <w:r w:rsidRPr="00AA7A4D">
        <w:rPr>
          <w:rFonts w:eastAsiaTheme="majorEastAsia" w:cs="Helvetica"/>
          <w:color w:val="333333"/>
          <w:sz w:val="20"/>
          <w:szCs w:val="20"/>
        </w:rPr>
        <w:t xml:space="preserve">, </w:t>
      </w:r>
      <w:r w:rsidRPr="00EF6926">
        <w:rPr>
          <w:rFonts w:eastAsiaTheme="majorEastAsia" w:cs="Helvetica"/>
          <w:color w:val="333333"/>
          <w:sz w:val="20"/>
          <w:szCs w:val="20"/>
        </w:rPr>
        <w:t>61:l1382.</w:t>
      </w:r>
    </w:p>
    <w:p w14:paraId="07961173" w14:textId="77777777" w:rsidR="00C50A87" w:rsidRPr="00EF6926" w:rsidRDefault="00C50A87" w:rsidP="00C50A87">
      <w:pPr>
        <w:keepNext/>
        <w:keepLines/>
        <w:shd w:val="clear" w:color="auto" w:fill="FFFFFF"/>
        <w:spacing w:after="0" w:line="240" w:lineRule="auto"/>
        <w:ind w:left="360"/>
        <w:textAlignment w:val="baseline"/>
        <w:outlineLvl w:val="1"/>
        <w:rPr>
          <w:rFonts w:eastAsiaTheme="majorEastAsia" w:cstheme="minorHAnsi"/>
          <w:sz w:val="20"/>
          <w:szCs w:val="20"/>
        </w:rPr>
      </w:pPr>
    </w:p>
    <w:p w14:paraId="23281031" w14:textId="77777777" w:rsidR="00C50A87" w:rsidRPr="00AA7A4D" w:rsidRDefault="00C50A87" w:rsidP="00C50A87">
      <w:pPr>
        <w:keepNext/>
        <w:keepLines/>
        <w:shd w:val="clear" w:color="auto" w:fill="FFFFFF"/>
        <w:spacing w:after="0" w:line="240" w:lineRule="auto"/>
        <w:textAlignment w:val="baseline"/>
        <w:outlineLvl w:val="1"/>
        <w:rPr>
          <w:rFonts w:eastAsiaTheme="majorEastAsia" w:cs="Helvetica"/>
          <w:color w:val="333333"/>
          <w:sz w:val="20"/>
          <w:szCs w:val="20"/>
        </w:rPr>
      </w:pPr>
      <w:r w:rsidRPr="00EF6926">
        <w:rPr>
          <w:rFonts w:eastAsiaTheme="majorEastAsia" w:cs="Helvetica"/>
          <w:color w:val="333333"/>
          <w:sz w:val="20"/>
          <w:szCs w:val="20"/>
          <w:lang w:val="en-AU"/>
        </w:rPr>
        <w:t xml:space="preserve">Koretz R, Jakobsen JC, View </w:t>
      </w:r>
      <w:r w:rsidRPr="00EF6926">
        <w:rPr>
          <w:rFonts w:eastAsiaTheme="majorEastAsia" w:cs="Helvetica"/>
          <w:color w:val="333333"/>
          <w:sz w:val="20"/>
          <w:szCs w:val="20"/>
        </w:rPr>
        <w:t xml:space="preserve">O. </w:t>
      </w:r>
      <w:r w:rsidRPr="00AA7A4D">
        <w:rPr>
          <w:rFonts w:eastAsiaTheme="majorEastAsia" w:cs="Helvetica"/>
          <w:color w:val="333333"/>
          <w:sz w:val="20"/>
          <w:szCs w:val="20"/>
        </w:rPr>
        <w:t xml:space="preserve">(2018c) </w:t>
      </w:r>
      <w:r w:rsidRPr="00EF6926">
        <w:rPr>
          <w:rFonts w:eastAsiaTheme="majorEastAsia" w:cs="Helvetica"/>
          <w:color w:val="333333"/>
          <w:sz w:val="20"/>
          <w:szCs w:val="20"/>
        </w:rPr>
        <w:t>Do direct acting antivirals cure chronic hepatitis C? Authors’ response to Barclay et al.</w:t>
      </w:r>
      <w:r w:rsidRPr="00AA7A4D">
        <w:rPr>
          <w:rFonts w:eastAsiaTheme="majorEastAsia" w:cs="Helvetica"/>
          <w:color w:val="333333"/>
          <w:sz w:val="20"/>
          <w:szCs w:val="20"/>
        </w:rPr>
        <w:t>,</w:t>
      </w:r>
      <w:r w:rsidRPr="00EF6926">
        <w:rPr>
          <w:rFonts w:eastAsiaTheme="majorEastAsia" w:cs="Helvetica"/>
          <w:color w:val="333333"/>
          <w:sz w:val="20"/>
          <w:szCs w:val="20"/>
        </w:rPr>
        <w:t xml:space="preserve"> </w:t>
      </w:r>
      <w:r w:rsidRPr="00EF6926">
        <w:rPr>
          <w:rFonts w:eastAsiaTheme="majorEastAsia" w:cs="Helvetica"/>
          <w:i/>
          <w:color w:val="333333"/>
          <w:sz w:val="20"/>
          <w:szCs w:val="20"/>
        </w:rPr>
        <w:t>B</w:t>
      </w:r>
      <w:r w:rsidRPr="00AA7A4D">
        <w:rPr>
          <w:rFonts w:eastAsiaTheme="majorEastAsia" w:cs="Helvetica"/>
          <w:i/>
          <w:color w:val="333333"/>
          <w:sz w:val="20"/>
          <w:szCs w:val="20"/>
        </w:rPr>
        <w:t xml:space="preserve">ritish </w:t>
      </w:r>
      <w:r w:rsidRPr="00EF6926">
        <w:rPr>
          <w:rFonts w:eastAsiaTheme="majorEastAsia" w:cs="Helvetica"/>
          <w:i/>
          <w:color w:val="333333"/>
          <w:sz w:val="20"/>
          <w:szCs w:val="20"/>
        </w:rPr>
        <w:t>M</w:t>
      </w:r>
      <w:r w:rsidRPr="00AA7A4D">
        <w:rPr>
          <w:rFonts w:eastAsiaTheme="majorEastAsia" w:cs="Helvetica"/>
          <w:i/>
          <w:color w:val="333333"/>
          <w:sz w:val="20"/>
          <w:szCs w:val="20"/>
        </w:rPr>
        <w:t xml:space="preserve">edical </w:t>
      </w:r>
      <w:r w:rsidRPr="00EF6926">
        <w:rPr>
          <w:rFonts w:eastAsiaTheme="majorEastAsia" w:cs="Helvetica"/>
          <w:i/>
          <w:color w:val="333333"/>
          <w:sz w:val="20"/>
          <w:szCs w:val="20"/>
        </w:rPr>
        <w:t>J</w:t>
      </w:r>
      <w:r w:rsidRPr="00AA7A4D">
        <w:rPr>
          <w:rFonts w:eastAsiaTheme="majorEastAsia" w:cs="Helvetica"/>
          <w:i/>
          <w:color w:val="333333"/>
          <w:sz w:val="20"/>
          <w:szCs w:val="20"/>
        </w:rPr>
        <w:t>ournal</w:t>
      </w:r>
      <w:r w:rsidRPr="00AA7A4D">
        <w:rPr>
          <w:rFonts w:eastAsiaTheme="majorEastAsia" w:cs="Helvetica"/>
          <w:color w:val="333333"/>
          <w:sz w:val="20"/>
          <w:szCs w:val="20"/>
        </w:rPr>
        <w:t xml:space="preserve">, </w:t>
      </w:r>
      <w:r w:rsidRPr="00EF6926">
        <w:rPr>
          <w:rFonts w:eastAsiaTheme="majorEastAsia" w:cs="Helvetica"/>
          <w:color w:val="333333"/>
          <w:sz w:val="20"/>
          <w:szCs w:val="20"/>
        </w:rPr>
        <w:t>361:l1382.</w:t>
      </w:r>
    </w:p>
    <w:p w14:paraId="5301F01B" w14:textId="77777777" w:rsidR="00C50A87" w:rsidRDefault="00C50A87" w:rsidP="00C50A87">
      <w:pPr>
        <w:spacing w:after="0" w:line="240" w:lineRule="auto"/>
        <w:rPr>
          <w:rFonts w:eastAsiaTheme="majorEastAsia" w:cs="Helvetica"/>
          <w:color w:val="333333"/>
          <w:sz w:val="20"/>
          <w:szCs w:val="20"/>
        </w:rPr>
      </w:pPr>
    </w:p>
    <w:p w14:paraId="0C652084" w14:textId="77777777" w:rsidR="00C50A87" w:rsidRPr="00EF6926" w:rsidRDefault="00C50A87" w:rsidP="00C50A87">
      <w:pPr>
        <w:spacing w:after="0" w:line="240" w:lineRule="auto"/>
        <w:rPr>
          <w:rFonts w:eastAsia="Times New Roman" w:cs="Times New Roman"/>
          <w:sz w:val="20"/>
          <w:szCs w:val="20"/>
          <w:lang w:eastAsia="en-GB"/>
        </w:rPr>
      </w:pPr>
      <w:r w:rsidRPr="00EF6926">
        <w:rPr>
          <w:rFonts w:eastAsia="Times New Roman" w:cs="Times New Roman"/>
          <w:sz w:val="20"/>
          <w:szCs w:val="20"/>
          <w:lang w:eastAsia="en-GB"/>
        </w:rPr>
        <w:t>Koretz, R.L., Jakobsen, J. C. and Gluud, C. (2018</w:t>
      </w:r>
      <w:r w:rsidRPr="00AA7A4D">
        <w:rPr>
          <w:rFonts w:eastAsia="Times New Roman" w:cs="Times New Roman"/>
          <w:sz w:val="20"/>
          <w:szCs w:val="20"/>
          <w:lang w:eastAsia="en-GB"/>
        </w:rPr>
        <w:t>d</w:t>
      </w:r>
      <w:r w:rsidRPr="00EF6926">
        <w:rPr>
          <w:rFonts w:eastAsia="Times New Roman" w:cs="Times New Roman"/>
          <w:sz w:val="20"/>
          <w:szCs w:val="20"/>
          <w:lang w:eastAsia="en-GB"/>
        </w:rPr>
        <w:t xml:space="preserve">) </w:t>
      </w:r>
      <w:r w:rsidRPr="00EF6926">
        <w:rPr>
          <w:rFonts w:eastAsia="Times New Roman" w:cs="Times New Roman"/>
          <w:iCs/>
          <w:sz w:val="20"/>
          <w:szCs w:val="20"/>
          <w:lang w:eastAsia="en-GB"/>
        </w:rPr>
        <w:t>Assessing the validity of surrogate endpoints in the context of a controversy about the measurement of effectiveness of hepatitis C virus treatment</w:t>
      </w:r>
      <w:r w:rsidRPr="00EF6926">
        <w:rPr>
          <w:rFonts w:eastAsia="Times New Roman" w:cs="Times New Roman"/>
          <w:i/>
          <w:iCs/>
          <w:sz w:val="20"/>
          <w:szCs w:val="20"/>
          <w:lang w:eastAsia="en-GB"/>
        </w:rPr>
        <w:t xml:space="preserve">, BMJ Evidence-Based Medicine, </w:t>
      </w:r>
      <w:hyperlink r:id="rId10" w:tgtFrame="_new" w:history="1">
        <w:r w:rsidRPr="00EF6926">
          <w:rPr>
            <w:rFonts w:eastAsia="Times New Roman" w:cs="Times New Roman"/>
            <w:color w:val="0000FF"/>
            <w:sz w:val="20"/>
            <w:szCs w:val="20"/>
            <w:u w:val="single"/>
            <w:lang w:eastAsia="en-GB"/>
          </w:rPr>
          <w:t>http://dx.doi.org/10.1136/bmjebm-2018-111072</w:t>
        </w:r>
      </w:hyperlink>
      <w:r w:rsidRPr="00AA7A4D">
        <w:rPr>
          <w:rFonts w:eastAsia="Times New Roman" w:cs="Times New Roman"/>
          <w:sz w:val="20"/>
          <w:szCs w:val="20"/>
          <w:lang w:eastAsia="en-GB"/>
        </w:rPr>
        <w:t>.</w:t>
      </w:r>
    </w:p>
    <w:p w14:paraId="1E9D203A" w14:textId="77777777" w:rsidR="00C50A87" w:rsidRPr="00AA7A4D" w:rsidRDefault="00C50A87" w:rsidP="00C50A87">
      <w:pPr>
        <w:spacing w:after="0" w:line="240" w:lineRule="auto"/>
        <w:rPr>
          <w:rFonts w:eastAsiaTheme="majorEastAsia" w:cs="Helvetica"/>
          <w:color w:val="333333"/>
          <w:sz w:val="20"/>
          <w:szCs w:val="20"/>
        </w:rPr>
      </w:pPr>
    </w:p>
    <w:p w14:paraId="0CEA145C" w14:textId="202EDAA0" w:rsidR="00C50A87" w:rsidRDefault="00C50A87" w:rsidP="00C50A87">
      <w:pPr>
        <w:spacing w:after="0" w:line="240" w:lineRule="auto"/>
        <w:rPr>
          <w:rFonts w:cstheme="minorHAnsi"/>
          <w:noProof/>
          <w:sz w:val="20"/>
          <w:szCs w:val="20"/>
        </w:rPr>
      </w:pPr>
      <w:r w:rsidRPr="00EF6926">
        <w:rPr>
          <w:rFonts w:cstheme="minorHAnsi"/>
          <w:noProof/>
          <w:sz w:val="20"/>
          <w:szCs w:val="20"/>
        </w:rPr>
        <w:t>Lancaster</w:t>
      </w:r>
      <w:r w:rsidRPr="00AA7A4D">
        <w:rPr>
          <w:rFonts w:cstheme="minorHAnsi"/>
          <w:noProof/>
          <w:sz w:val="20"/>
          <w:szCs w:val="20"/>
        </w:rPr>
        <w:t>,</w:t>
      </w:r>
      <w:r w:rsidRPr="00EF6926">
        <w:rPr>
          <w:rFonts w:cstheme="minorHAnsi"/>
          <w:noProof/>
          <w:sz w:val="20"/>
          <w:szCs w:val="20"/>
        </w:rPr>
        <w:t xml:space="preserve"> K. </w:t>
      </w:r>
      <w:r w:rsidRPr="00AA7A4D">
        <w:rPr>
          <w:rFonts w:cstheme="minorHAnsi"/>
          <w:noProof/>
          <w:sz w:val="20"/>
          <w:szCs w:val="20"/>
        </w:rPr>
        <w:t xml:space="preserve">(2016) </w:t>
      </w:r>
      <w:r w:rsidRPr="00EF6926">
        <w:rPr>
          <w:rFonts w:cstheme="minorHAnsi"/>
          <w:noProof/>
          <w:sz w:val="20"/>
          <w:szCs w:val="20"/>
        </w:rPr>
        <w:t xml:space="preserve">Performing the evidence-based drug policy paradigm, </w:t>
      </w:r>
      <w:r w:rsidRPr="00EF6926">
        <w:rPr>
          <w:rFonts w:cstheme="minorHAnsi"/>
          <w:i/>
          <w:noProof/>
          <w:sz w:val="20"/>
          <w:szCs w:val="20"/>
        </w:rPr>
        <w:t>Contemporary Drug Problems</w:t>
      </w:r>
      <w:r w:rsidRPr="00AA7A4D">
        <w:rPr>
          <w:rFonts w:cstheme="minorHAnsi"/>
          <w:noProof/>
          <w:sz w:val="20"/>
          <w:szCs w:val="20"/>
        </w:rPr>
        <w:t xml:space="preserve">, </w:t>
      </w:r>
      <w:r w:rsidRPr="00EF6926">
        <w:rPr>
          <w:rFonts w:cstheme="minorHAnsi"/>
          <w:noProof/>
          <w:sz w:val="20"/>
          <w:szCs w:val="20"/>
        </w:rPr>
        <w:t>43: 142-153.</w:t>
      </w:r>
    </w:p>
    <w:p w14:paraId="4085FBA0" w14:textId="6F12F83F" w:rsidR="00F345FD" w:rsidRDefault="00F345FD" w:rsidP="00C50A87">
      <w:pPr>
        <w:spacing w:after="0" w:line="240" w:lineRule="auto"/>
        <w:rPr>
          <w:rFonts w:cstheme="minorHAnsi"/>
          <w:noProof/>
          <w:sz w:val="20"/>
          <w:szCs w:val="20"/>
        </w:rPr>
      </w:pPr>
    </w:p>
    <w:p w14:paraId="2155DCFC" w14:textId="72BB4E28" w:rsidR="007353D3" w:rsidRDefault="007353D3" w:rsidP="00C50A87">
      <w:pPr>
        <w:spacing w:after="0" w:line="240" w:lineRule="auto"/>
        <w:rPr>
          <w:rFonts w:cstheme="minorHAnsi"/>
          <w:bCs/>
          <w:noProof/>
          <w:sz w:val="20"/>
          <w:szCs w:val="20"/>
        </w:rPr>
      </w:pPr>
      <w:r>
        <w:rPr>
          <w:rFonts w:cstheme="minorHAnsi"/>
          <w:bCs/>
          <w:noProof/>
          <w:sz w:val="20"/>
          <w:szCs w:val="20"/>
        </w:rPr>
        <w:t xml:space="preserve">Lancaster, K., Seear, K. and Ritter, A. (2017) </w:t>
      </w:r>
      <w:r w:rsidR="008E09B4">
        <w:rPr>
          <w:rFonts w:cstheme="minorHAnsi"/>
          <w:bCs/>
          <w:noProof/>
          <w:sz w:val="20"/>
          <w:szCs w:val="20"/>
        </w:rPr>
        <w:t xml:space="preserve">Making medicine, producing pleasure: A critical examination of medicinal cannabis policy and law in Victoria, Australia, </w:t>
      </w:r>
      <w:r w:rsidRPr="007A7094">
        <w:rPr>
          <w:rFonts w:cstheme="minorHAnsi"/>
          <w:bCs/>
          <w:i/>
          <w:noProof/>
          <w:sz w:val="20"/>
          <w:szCs w:val="20"/>
        </w:rPr>
        <w:t>International Journal of Drug Policy</w:t>
      </w:r>
      <w:r>
        <w:rPr>
          <w:rFonts w:cstheme="minorHAnsi"/>
          <w:bCs/>
          <w:noProof/>
          <w:sz w:val="20"/>
          <w:szCs w:val="20"/>
        </w:rPr>
        <w:t>, 49: 117-125.</w:t>
      </w:r>
    </w:p>
    <w:p w14:paraId="66F33E5A" w14:textId="77777777" w:rsidR="007353D3" w:rsidRDefault="007353D3" w:rsidP="00C50A87">
      <w:pPr>
        <w:spacing w:after="0" w:line="240" w:lineRule="auto"/>
        <w:rPr>
          <w:rFonts w:cstheme="minorHAnsi"/>
          <w:bCs/>
          <w:noProof/>
          <w:sz w:val="20"/>
          <w:szCs w:val="20"/>
        </w:rPr>
      </w:pPr>
    </w:p>
    <w:p w14:paraId="45CA81E5" w14:textId="4BC8E881" w:rsidR="00F345FD" w:rsidRPr="007A7094" w:rsidRDefault="00F345FD" w:rsidP="00C50A87">
      <w:pPr>
        <w:spacing w:after="0" w:line="240" w:lineRule="auto"/>
        <w:rPr>
          <w:rFonts w:cstheme="minorHAnsi"/>
          <w:i/>
          <w:iCs/>
          <w:noProof/>
          <w:sz w:val="20"/>
          <w:szCs w:val="20"/>
        </w:rPr>
      </w:pPr>
      <w:r w:rsidRPr="007A7094">
        <w:rPr>
          <w:rFonts w:cstheme="minorHAnsi"/>
          <w:bCs/>
          <w:noProof/>
          <w:sz w:val="20"/>
          <w:szCs w:val="20"/>
        </w:rPr>
        <w:t>Lancaster</w:t>
      </w:r>
      <w:r w:rsidRPr="00F345FD">
        <w:rPr>
          <w:rFonts w:cstheme="minorHAnsi"/>
          <w:noProof/>
          <w:sz w:val="20"/>
          <w:szCs w:val="20"/>
        </w:rPr>
        <w:t xml:space="preserve">, K., Rhodes, T., </w:t>
      </w:r>
      <w:r w:rsidR="007353D3">
        <w:rPr>
          <w:rFonts w:cstheme="minorHAnsi"/>
          <w:noProof/>
          <w:sz w:val="20"/>
          <w:szCs w:val="20"/>
        </w:rPr>
        <w:t>and</w:t>
      </w:r>
      <w:r w:rsidRPr="00F345FD">
        <w:rPr>
          <w:rFonts w:cstheme="minorHAnsi"/>
          <w:noProof/>
          <w:sz w:val="20"/>
          <w:szCs w:val="20"/>
        </w:rPr>
        <w:t xml:space="preserve"> Rance, J. (2019) “Towards eliminating viral hepatitis”: Examining the productive capacity and constitutive effects of global policy on hepatitis C elimination. </w:t>
      </w:r>
      <w:r w:rsidRPr="00F345FD">
        <w:rPr>
          <w:rFonts w:cstheme="minorHAnsi"/>
          <w:i/>
          <w:iCs/>
          <w:noProof/>
          <w:sz w:val="20"/>
          <w:szCs w:val="20"/>
        </w:rPr>
        <w:t>International Journal of Drug Policy,</w:t>
      </w:r>
      <w:r w:rsidRPr="00F345FD">
        <w:rPr>
          <w:rFonts w:cstheme="minorHAnsi"/>
          <w:iCs/>
          <w:noProof/>
          <w:sz w:val="20"/>
          <w:szCs w:val="20"/>
        </w:rPr>
        <w:t xml:space="preserve"> (Advance online publication).</w:t>
      </w:r>
      <w:r w:rsidR="00FA6520">
        <w:rPr>
          <w:rFonts w:cstheme="minorHAnsi"/>
          <w:iCs/>
          <w:noProof/>
          <w:sz w:val="20"/>
          <w:szCs w:val="20"/>
        </w:rPr>
        <w:t xml:space="preserve"> DOI: </w:t>
      </w:r>
      <w:hyperlink r:id="rId11" w:tgtFrame="_blank" w:tooltip="Persistent link using digital object identifier" w:history="1">
        <w:r w:rsidR="00FA6520" w:rsidRPr="00FA6520">
          <w:rPr>
            <w:rStyle w:val="Hyperlink"/>
            <w:rFonts w:cstheme="minorHAnsi"/>
            <w:iCs/>
            <w:noProof/>
            <w:sz w:val="20"/>
            <w:szCs w:val="20"/>
          </w:rPr>
          <w:t>https://doi.org/10.1016/j.drugpo.2019.02.008</w:t>
        </w:r>
      </w:hyperlink>
      <w:r w:rsidR="00FA6520">
        <w:rPr>
          <w:rFonts w:cstheme="minorHAnsi"/>
          <w:iCs/>
          <w:noProof/>
          <w:sz w:val="20"/>
          <w:szCs w:val="20"/>
        </w:rPr>
        <w:t xml:space="preserve"> </w:t>
      </w:r>
    </w:p>
    <w:p w14:paraId="0B1BC53F" w14:textId="77777777" w:rsidR="00C50A87" w:rsidRPr="00AA7A4D" w:rsidRDefault="00C50A87" w:rsidP="00C50A87">
      <w:pPr>
        <w:spacing w:after="0" w:line="240" w:lineRule="auto"/>
        <w:ind w:left="360"/>
        <w:contextualSpacing/>
        <w:rPr>
          <w:sz w:val="20"/>
          <w:szCs w:val="20"/>
        </w:rPr>
      </w:pPr>
    </w:p>
    <w:p w14:paraId="436AC1BA" w14:textId="77777777" w:rsidR="00C50A87" w:rsidRPr="00AA7A4D" w:rsidRDefault="00C50A87" w:rsidP="00C50A87">
      <w:pPr>
        <w:spacing w:after="0" w:line="240" w:lineRule="auto"/>
        <w:contextualSpacing/>
        <w:rPr>
          <w:sz w:val="20"/>
          <w:szCs w:val="20"/>
        </w:rPr>
      </w:pPr>
      <w:r w:rsidRPr="00EF6926">
        <w:rPr>
          <w:sz w:val="20"/>
          <w:szCs w:val="20"/>
        </w:rPr>
        <w:t>Latour</w:t>
      </w:r>
      <w:r w:rsidRPr="00AA7A4D">
        <w:rPr>
          <w:sz w:val="20"/>
          <w:szCs w:val="20"/>
        </w:rPr>
        <w:t>,</w:t>
      </w:r>
      <w:r w:rsidRPr="00EF6926">
        <w:rPr>
          <w:sz w:val="20"/>
          <w:szCs w:val="20"/>
        </w:rPr>
        <w:t xml:space="preserve"> B.</w:t>
      </w:r>
      <w:r w:rsidRPr="00AA7A4D">
        <w:rPr>
          <w:sz w:val="20"/>
          <w:szCs w:val="20"/>
        </w:rPr>
        <w:t xml:space="preserve"> (1987)</w:t>
      </w:r>
      <w:r w:rsidRPr="00EF6926">
        <w:rPr>
          <w:sz w:val="20"/>
          <w:szCs w:val="20"/>
        </w:rPr>
        <w:t xml:space="preserve"> </w:t>
      </w:r>
      <w:r w:rsidRPr="00EF6926">
        <w:rPr>
          <w:i/>
          <w:sz w:val="20"/>
          <w:szCs w:val="20"/>
        </w:rPr>
        <w:t>Science In Action: How To Follow Scientists and Engineers Through Society</w:t>
      </w:r>
      <w:r w:rsidRPr="00EF6926">
        <w:rPr>
          <w:sz w:val="20"/>
          <w:szCs w:val="20"/>
        </w:rPr>
        <w:t>, Milton Keynes: Open University Press.</w:t>
      </w:r>
    </w:p>
    <w:p w14:paraId="7196CD1E" w14:textId="77777777" w:rsidR="00C50A87" w:rsidRPr="00AA7A4D" w:rsidRDefault="00C50A87" w:rsidP="00C50A87">
      <w:pPr>
        <w:spacing w:after="0" w:line="240" w:lineRule="auto"/>
        <w:ind w:left="360"/>
        <w:rPr>
          <w:rFonts w:cs="Segoe UI"/>
          <w:sz w:val="20"/>
          <w:szCs w:val="20"/>
        </w:rPr>
      </w:pPr>
    </w:p>
    <w:p w14:paraId="4147DBDA" w14:textId="77777777" w:rsidR="00C50A87" w:rsidRPr="00AA7A4D" w:rsidRDefault="00C50A87" w:rsidP="00C50A87">
      <w:pPr>
        <w:spacing w:after="0" w:line="240" w:lineRule="auto"/>
        <w:contextualSpacing/>
        <w:rPr>
          <w:sz w:val="20"/>
          <w:szCs w:val="20"/>
        </w:rPr>
      </w:pPr>
      <w:r w:rsidRPr="00EF6926">
        <w:rPr>
          <w:sz w:val="20"/>
          <w:szCs w:val="20"/>
        </w:rPr>
        <w:t xml:space="preserve">Latour, B. </w:t>
      </w:r>
      <w:r w:rsidRPr="00AA7A4D">
        <w:rPr>
          <w:sz w:val="20"/>
          <w:szCs w:val="20"/>
        </w:rPr>
        <w:t xml:space="preserve">(2004) </w:t>
      </w:r>
      <w:r w:rsidRPr="00EF6926">
        <w:rPr>
          <w:sz w:val="20"/>
          <w:szCs w:val="20"/>
        </w:rPr>
        <w:t xml:space="preserve">Why has critique run out of steam? From matters of fact to matters of concern, </w:t>
      </w:r>
      <w:r w:rsidRPr="00EF6926">
        <w:rPr>
          <w:i/>
          <w:sz w:val="20"/>
          <w:szCs w:val="20"/>
        </w:rPr>
        <w:t>Critical Inquiry</w:t>
      </w:r>
      <w:r w:rsidRPr="00AA7A4D">
        <w:rPr>
          <w:sz w:val="20"/>
          <w:szCs w:val="20"/>
        </w:rPr>
        <w:t>,</w:t>
      </w:r>
      <w:r w:rsidRPr="00EF6926">
        <w:rPr>
          <w:sz w:val="20"/>
          <w:szCs w:val="20"/>
        </w:rPr>
        <w:t xml:space="preserve"> 30: 225-248.</w:t>
      </w:r>
    </w:p>
    <w:p w14:paraId="7CCA2005" w14:textId="77777777" w:rsidR="00C50A87" w:rsidRPr="00AA7A4D" w:rsidRDefault="00C50A87" w:rsidP="00C50A87">
      <w:pPr>
        <w:spacing w:after="0" w:line="240" w:lineRule="auto"/>
        <w:rPr>
          <w:rFonts w:cs="Segoe UI"/>
          <w:sz w:val="20"/>
          <w:szCs w:val="20"/>
        </w:rPr>
      </w:pPr>
    </w:p>
    <w:p w14:paraId="713B5A3F" w14:textId="77777777" w:rsidR="00C50A87" w:rsidRPr="00AA7A4D" w:rsidRDefault="00C50A87" w:rsidP="00C50A87">
      <w:pPr>
        <w:spacing w:after="0" w:line="240" w:lineRule="auto"/>
        <w:rPr>
          <w:rFonts w:cs="Segoe UI"/>
          <w:sz w:val="20"/>
          <w:szCs w:val="20"/>
          <w:lang w:val="en-AU"/>
        </w:rPr>
      </w:pPr>
      <w:r w:rsidRPr="00EF6926">
        <w:rPr>
          <w:rFonts w:cs="Segoe UI"/>
          <w:sz w:val="20"/>
          <w:szCs w:val="20"/>
          <w:lang w:val="en-AU"/>
        </w:rPr>
        <w:t>Latour</w:t>
      </w:r>
      <w:r w:rsidRPr="00AA7A4D">
        <w:rPr>
          <w:rFonts w:cs="Segoe UI"/>
          <w:sz w:val="20"/>
          <w:szCs w:val="20"/>
          <w:lang w:val="en-AU"/>
        </w:rPr>
        <w:t>,</w:t>
      </w:r>
      <w:r w:rsidRPr="00EF6926">
        <w:rPr>
          <w:rFonts w:cs="Segoe UI"/>
          <w:sz w:val="20"/>
          <w:szCs w:val="20"/>
          <w:lang w:val="en-AU"/>
        </w:rPr>
        <w:t xml:space="preserve"> B</w:t>
      </w:r>
      <w:r w:rsidRPr="00AA7A4D">
        <w:rPr>
          <w:rFonts w:cs="Segoe UI"/>
          <w:sz w:val="20"/>
          <w:szCs w:val="20"/>
          <w:lang w:val="en-AU"/>
        </w:rPr>
        <w:t>. and</w:t>
      </w:r>
      <w:r w:rsidRPr="00EF6926">
        <w:rPr>
          <w:rFonts w:cs="Segoe UI"/>
          <w:sz w:val="20"/>
          <w:szCs w:val="20"/>
          <w:lang w:val="en-AU"/>
        </w:rPr>
        <w:t xml:space="preserve"> Woolgar</w:t>
      </w:r>
      <w:r w:rsidRPr="00AA7A4D">
        <w:rPr>
          <w:rFonts w:cs="Segoe UI"/>
          <w:sz w:val="20"/>
          <w:szCs w:val="20"/>
          <w:lang w:val="en-AU"/>
        </w:rPr>
        <w:t>,</w:t>
      </w:r>
      <w:r w:rsidRPr="00EF6926">
        <w:rPr>
          <w:rFonts w:cs="Segoe UI"/>
          <w:sz w:val="20"/>
          <w:szCs w:val="20"/>
          <w:lang w:val="en-AU"/>
        </w:rPr>
        <w:t xml:space="preserve"> S.</w:t>
      </w:r>
      <w:r w:rsidRPr="00AA7A4D">
        <w:rPr>
          <w:rFonts w:cs="Segoe UI"/>
          <w:sz w:val="20"/>
          <w:szCs w:val="20"/>
          <w:lang w:val="en-AU"/>
        </w:rPr>
        <w:t xml:space="preserve"> (1986)</w:t>
      </w:r>
      <w:r w:rsidRPr="00EF6926">
        <w:rPr>
          <w:rFonts w:cs="Segoe UI"/>
          <w:sz w:val="20"/>
          <w:szCs w:val="20"/>
          <w:lang w:val="en-AU"/>
        </w:rPr>
        <w:t xml:space="preserve"> </w:t>
      </w:r>
      <w:r w:rsidRPr="00EF6926">
        <w:rPr>
          <w:rFonts w:cs="Segoe UI"/>
          <w:i/>
          <w:sz w:val="20"/>
          <w:szCs w:val="20"/>
          <w:lang w:val="en-AU"/>
        </w:rPr>
        <w:t>Laboratory Life: The Construction of Scientific Facts</w:t>
      </w:r>
      <w:r w:rsidRPr="00EF6926">
        <w:rPr>
          <w:rFonts w:cs="Segoe UI"/>
          <w:sz w:val="20"/>
          <w:szCs w:val="20"/>
          <w:lang w:val="en-AU"/>
        </w:rPr>
        <w:t>, Princeton: Princeton University of Press.</w:t>
      </w:r>
    </w:p>
    <w:p w14:paraId="0D021B9A" w14:textId="77777777" w:rsidR="00C50A87" w:rsidRPr="00EF6926" w:rsidRDefault="00C50A87" w:rsidP="00C50A87">
      <w:pPr>
        <w:spacing w:after="0" w:line="240" w:lineRule="auto"/>
        <w:ind w:left="360"/>
        <w:rPr>
          <w:rFonts w:cs="Segoe UI"/>
          <w:sz w:val="20"/>
          <w:szCs w:val="20"/>
        </w:rPr>
      </w:pPr>
    </w:p>
    <w:p w14:paraId="24E98809" w14:textId="77777777" w:rsidR="00C50A87" w:rsidRPr="00AA7A4D" w:rsidRDefault="00C50A87" w:rsidP="00C50A87">
      <w:pPr>
        <w:spacing w:after="0" w:line="240" w:lineRule="auto"/>
        <w:contextualSpacing/>
        <w:rPr>
          <w:rFonts w:cstheme="minorHAnsi"/>
          <w:noProof/>
          <w:sz w:val="20"/>
          <w:szCs w:val="20"/>
        </w:rPr>
      </w:pPr>
      <w:r w:rsidRPr="00EF6926">
        <w:rPr>
          <w:rFonts w:cstheme="minorHAnsi"/>
          <w:noProof/>
          <w:sz w:val="20"/>
          <w:szCs w:val="20"/>
        </w:rPr>
        <w:t>Law</w:t>
      </w:r>
      <w:r w:rsidRPr="00AA7A4D">
        <w:rPr>
          <w:rFonts w:cstheme="minorHAnsi"/>
          <w:noProof/>
          <w:sz w:val="20"/>
          <w:szCs w:val="20"/>
        </w:rPr>
        <w:t>,</w:t>
      </w:r>
      <w:r w:rsidRPr="00EF6926">
        <w:rPr>
          <w:rFonts w:cstheme="minorHAnsi"/>
          <w:noProof/>
          <w:sz w:val="20"/>
          <w:szCs w:val="20"/>
        </w:rPr>
        <w:t xml:space="preserve"> J.</w:t>
      </w:r>
      <w:r w:rsidRPr="00AA7A4D">
        <w:rPr>
          <w:rFonts w:cstheme="minorHAnsi"/>
          <w:noProof/>
          <w:sz w:val="20"/>
          <w:szCs w:val="20"/>
        </w:rPr>
        <w:t xml:space="preserve"> (2004)</w:t>
      </w:r>
      <w:r w:rsidRPr="00EF6926">
        <w:rPr>
          <w:rFonts w:cstheme="minorHAnsi"/>
          <w:noProof/>
          <w:sz w:val="20"/>
          <w:szCs w:val="20"/>
        </w:rPr>
        <w:t xml:space="preserve"> </w:t>
      </w:r>
      <w:r w:rsidRPr="00EF6926">
        <w:rPr>
          <w:rFonts w:cstheme="minorHAnsi"/>
          <w:i/>
          <w:noProof/>
          <w:sz w:val="20"/>
          <w:szCs w:val="20"/>
        </w:rPr>
        <w:t>After Method: Mess in Social Science Research,</w:t>
      </w:r>
      <w:r w:rsidRPr="00EF6926">
        <w:rPr>
          <w:rFonts w:cstheme="minorHAnsi"/>
          <w:noProof/>
          <w:sz w:val="20"/>
          <w:szCs w:val="20"/>
        </w:rPr>
        <w:t xml:space="preserve"> Oxon: Routledge.</w:t>
      </w:r>
    </w:p>
    <w:p w14:paraId="2E1497BD" w14:textId="77777777" w:rsidR="00C50A87" w:rsidRDefault="00C50A87" w:rsidP="00C50A87">
      <w:pPr>
        <w:spacing w:after="0" w:line="240" w:lineRule="auto"/>
        <w:jc w:val="both"/>
        <w:rPr>
          <w:rFonts w:cstheme="minorHAnsi"/>
          <w:noProof/>
          <w:sz w:val="20"/>
          <w:szCs w:val="20"/>
        </w:rPr>
      </w:pPr>
    </w:p>
    <w:p w14:paraId="670DF8A9" w14:textId="77777777" w:rsidR="00C50A87" w:rsidRPr="00EF6926" w:rsidRDefault="00C50A87" w:rsidP="00C50A87">
      <w:pPr>
        <w:spacing w:after="0" w:line="240" w:lineRule="auto"/>
        <w:jc w:val="both"/>
        <w:rPr>
          <w:sz w:val="20"/>
          <w:szCs w:val="20"/>
        </w:rPr>
      </w:pPr>
      <w:r w:rsidRPr="00EF6926">
        <w:rPr>
          <w:sz w:val="20"/>
          <w:szCs w:val="20"/>
        </w:rPr>
        <w:t xml:space="preserve">Law, J. (2009) Seeing Like a Survey. </w:t>
      </w:r>
      <w:r w:rsidRPr="00EF6926">
        <w:rPr>
          <w:i/>
          <w:sz w:val="20"/>
          <w:szCs w:val="20"/>
        </w:rPr>
        <w:t>Cultural Sociology, 3</w:t>
      </w:r>
      <w:r w:rsidRPr="00EF6926">
        <w:rPr>
          <w:sz w:val="20"/>
          <w:szCs w:val="20"/>
        </w:rPr>
        <w:t>(2), 239-256.</w:t>
      </w:r>
    </w:p>
    <w:p w14:paraId="1E0964C8" w14:textId="77777777" w:rsidR="00C50A87" w:rsidRPr="00AA7A4D" w:rsidRDefault="00C50A87" w:rsidP="00C50A87">
      <w:pPr>
        <w:spacing w:after="0" w:line="240" w:lineRule="auto"/>
        <w:ind w:left="360"/>
        <w:contextualSpacing/>
        <w:rPr>
          <w:rFonts w:cstheme="minorHAnsi"/>
          <w:noProof/>
          <w:sz w:val="20"/>
          <w:szCs w:val="20"/>
        </w:rPr>
      </w:pPr>
    </w:p>
    <w:p w14:paraId="696C0A05" w14:textId="05256B97" w:rsidR="00C50A87" w:rsidRPr="00AA7A4D" w:rsidRDefault="00C50A87" w:rsidP="00C50A87">
      <w:pPr>
        <w:spacing w:after="0" w:line="240" w:lineRule="auto"/>
        <w:contextualSpacing/>
        <w:rPr>
          <w:rFonts w:cstheme="minorHAnsi"/>
          <w:noProof/>
          <w:sz w:val="20"/>
          <w:szCs w:val="20"/>
        </w:rPr>
      </w:pPr>
      <w:r w:rsidRPr="00EF6926">
        <w:rPr>
          <w:rFonts w:cstheme="minorHAnsi"/>
          <w:noProof/>
          <w:sz w:val="20"/>
          <w:szCs w:val="20"/>
        </w:rPr>
        <w:lastRenderedPageBreak/>
        <w:t>Law</w:t>
      </w:r>
      <w:r w:rsidRPr="00AA7A4D">
        <w:rPr>
          <w:rFonts w:cstheme="minorHAnsi"/>
          <w:noProof/>
          <w:sz w:val="20"/>
          <w:szCs w:val="20"/>
        </w:rPr>
        <w:t>,</w:t>
      </w:r>
      <w:r w:rsidRPr="00EF6926">
        <w:rPr>
          <w:rFonts w:cstheme="minorHAnsi"/>
          <w:noProof/>
          <w:sz w:val="20"/>
          <w:szCs w:val="20"/>
        </w:rPr>
        <w:t xml:space="preserve"> J</w:t>
      </w:r>
      <w:r w:rsidRPr="00AA7A4D">
        <w:rPr>
          <w:rFonts w:cstheme="minorHAnsi"/>
          <w:noProof/>
          <w:sz w:val="20"/>
          <w:szCs w:val="20"/>
        </w:rPr>
        <w:t>.</w:t>
      </w:r>
      <w:r w:rsidRPr="00EF6926">
        <w:rPr>
          <w:rFonts w:cstheme="minorHAnsi"/>
          <w:noProof/>
          <w:sz w:val="20"/>
          <w:szCs w:val="20"/>
        </w:rPr>
        <w:t xml:space="preserve"> and Singleton</w:t>
      </w:r>
      <w:r w:rsidRPr="00AA7A4D">
        <w:rPr>
          <w:rFonts w:cstheme="minorHAnsi"/>
          <w:noProof/>
          <w:sz w:val="20"/>
          <w:szCs w:val="20"/>
        </w:rPr>
        <w:t>,</w:t>
      </w:r>
      <w:r w:rsidRPr="00EF6926">
        <w:rPr>
          <w:rFonts w:cstheme="minorHAnsi"/>
          <w:noProof/>
          <w:sz w:val="20"/>
          <w:szCs w:val="20"/>
        </w:rPr>
        <w:t xml:space="preserve"> V</w:t>
      </w:r>
      <w:r w:rsidRPr="00AA7A4D">
        <w:rPr>
          <w:rFonts w:cstheme="minorHAnsi"/>
          <w:noProof/>
          <w:sz w:val="20"/>
          <w:szCs w:val="20"/>
        </w:rPr>
        <w:t xml:space="preserve">. (2000) </w:t>
      </w:r>
      <w:r w:rsidRPr="00EF6926">
        <w:rPr>
          <w:rFonts w:cstheme="minorHAnsi"/>
          <w:noProof/>
          <w:sz w:val="20"/>
          <w:szCs w:val="20"/>
        </w:rPr>
        <w:t>Performing technology’s stories: On social constructivism, performance</w:t>
      </w:r>
      <w:r>
        <w:rPr>
          <w:rFonts w:cstheme="minorHAnsi"/>
          <w:noProof/>
          <w:sz w:val="20"/>
          <w:szCs w:val="20"/>
        </w:rPr>
        <w:t xml:space="preserve"> </w:t>
      </w:r>
      <w:r w:rsidRPr="00EF6926">
        <w:rPr>
          <w:rFonts w:cstheme="minorHAnsi"/>
          <w:noProof/>
          <w:sz w:val="20"/>
          <w:szCs w:val="20"/>
        </w:rPr>
        <w:t xml:space="preserve">and performativity, </w:t>
      </w:r>
      <w:r w:rsidRPr="00EF6926">
        <w:rPr>
          <w:rFonts w:cstheme="minorHAnsi"/>
          <w:i/>
          <w:noProof/>
          <w:sz w:val="20"/>
          <w:szCs w:val="20"/>
        </w:rPr>
        <w:t>Technology and Culture</w:t>
      </w:r>
      <w:r w:rsidRPr="00AA7A4D">
        <w:rPr>
          <w:rFonts w:cstheme="minorHAnsi"/>
          <w:noProof/>
          <w:sz w:val="20"/>
          <w:szCs w:val="20"/>
        </w:rPr>
        <w:t xml:space="preserve">, </w:t>
      </w:r>
      <w:r w:rsidRPr="00EF6926">
        <w:rPr>
          <w:rFonts w:cstheme="minorHAnsi"/>
          <w:noProof/>
          <w:sz w:val="20"/>
          <w:szCs w:val="20"/>
        </w:rPr>
        <w:t>41: 765-775.</w:t>
      </w:r>
    </w:p>
    <w:p w14:paraId="70C958F3" w14:textId="77777777" w:rsidR="00C50A87" w:rsidRPr="00AA7A4D" w:rsidRDefault="00C50A87" w:rsidP="00C50A87">
      <w:pPr>
        <w:spacing w:after="0" w:line="240" w:lineRule="auto"/>
        <w:ind w:left="360"/>
        <w:contextualSpacing/>
        <w:rPr>
          <w:rFonts w:cstheme="minorHAnsi"/>
          <w:noProof/>
          <w:sz w:val="20"/>
          <w:szCs w:val="20"/>
        </w:rPr>
      </w:pPr>
    </w:p>
    <w:p w14:paraId="77665B22" w14:textId="0F4280AA" w:rsidR="00C50A87" w:rsidRDefault="00C50A87" w:rsidP="00C50A87">
      <w:pPr>
        <w:spacing w:after="0" w:line="240" w:lineRule="auto"/>
        <w:contextualSpacing/>
        <w:rPr>
          <w:rFonts w:cstheme="minorHAnsi"/>
          <w:noProof/>
          <w:sz w:val="20"/>
          <w:szCs w:val="20"/>
        </w:rPr>
      </w:pPr>
      <w:r w:rsidRPr="00EF6926">
        <w:rPr>
          <w:rFonts w:cstheme="minorHAnsi"/>
          <w:noProof/>
          <w:sz w:val="20"/>
          <w:szCs w:val="20"/>
        </w:rPr>
        <w:t>Law</w:t>
      </w:r>
      <w:r w:rsidRPr="00AA7A4D">
        <w:rPr>
          <w:rFonts w:cstheme="minorHAnsi"/>
          <w:noProof/>
          <w:sz w:val="20"/>
          <w:szCs w:val="20"/>
        </w:rPr>
        <w:t>,</w:t>
      </w:r>
      <w:r w:rsidRPr="00EF6926">
        <w:rPr>
          <w:rFonts w:cstheme="minorHAnsi"/>
          <w:noProof/>
          <w:sz w:val="20"/>
          <w:szCs w:val="20"/>
        </w:rPr>
        <w:t xml:space="preserve"> J</w:t>
      </w:r>
      <w:r w:rsidRPr="00AA7A4D">
        <w:rPr>
          <w:rFonts w:cstheme="minorHAnsi"/>
          <w:noProof/>
          <w:sz w:val="20"/>
          <w:szCs w:val="20"/>
        </w:rPr>
        <w:t>.</w:t>
      </w:r>
      <w:r w:rsidRPr="00EF6926">
        <w:rPr>
          <w:rFonts w:cstheme="minorHAnsi"/>
          <w:noProof/>
          <w:sz w:val="20"/>
          <w:szCs w:val="20"/>
        </w:rPr>
        <w:t xml:space="preserve"> and Singleton</w:t>
      </w:r>
      <w:r w:rsidRPr="00AA7A4D">
        <w:rPr>
          <w:rFonts w:cstheme="minorHAnsi"/>
          <w:noProof/>
          <w:sz w:val="20"/>
          <w:szCs w:val="20"/>
        </w:rPr>
        <w:t>,</w:t>
      </w:r>
      <w:r w:rsidRPr="00EF6926">
        <w:rPr>
          <w:rFonts w:cstheme="minorHAnsi"/>
          <w:noProof/>
          <w:sz w:val="20"/>
          <w:szCs w:val="20"/>
        </w:rPr>
        <w:t xml:space="preserve"> V.</w:t>
      </w:r>
      <w:r w:rsidRPr="00AA7A4D">
        <w:rPr>
          <w:rFonts w:cstheme="minorHAnsi"/>
          <w:noProof/>
          <w:sz w:val="20"/>
          <w:szCs w:val="20"/>
        </w:rPr>
        <w:t xml:space="preserve"> (2005)</w:t>
      </w:r>
      <w:r w:rsidRPr="00EF6926">
        <w:rPr>
          <w:rFonts w:cstheme="minorHAnsi"/>
          <w:noProof/>
          <w:sz w:val="20"/>
          <w:szCs w:val="20"/>
        </w:rPr>
        <w:t xml:space="preserve"> Object lessons, </w:t>
      </w:r>
      <w:r w:rsidRPr="00EF6926">
        <w:rPr>
          <w:rFonts w:cstheme="minorHAnsi"/>
          <w:i/>
          <w:noProof/>
          <w:sz w:val="20"/>
          <w:szCs w:val="20"/>
        </w:rPr>
        <w:t>Organization</w:t>
      </w:r>
      <w:r w:rsidRPr="00EF6926">
        <w:rPr>
          <w:rFonts w:cstheme="minorHAnsi"/>
          <w:noProof/>
          <w:sz w:val="20"/>
          <w:szCs w:val="20"/>
        </w:rPr>
        <w:t>, 12: 331-355.</w:t>
      </w:r>
    </w:p>
    <w:p w14:paraId="054EAD9D" w14:textId="68E231FE" w:rsidR="009D1A23" w:rsidRDefault="009D1A23" w:rsidP="00C50A87">
      <w:pPr>
        <w:spacing w:after="0" w:line="240" w:lineRule="auto"/>
        <w:contextualSpacing/>
        <w:rPr>
          <w:rFonts w:cstheme="minorHAnsi"/>
          <w:noProof/>
          <w:sz w:val="20"/>
          <w:szCs w:val="20"/>
        </w:rPr>
      </w:pPr>
    </w:p>
    <w:p w14:paraId="48A4BFBB" w14:textId="65A569D6" w:rsidR="009D1A23" w:rsidRDefault="009D1A23" w:rsidP="00C50A87">
      <w:pPr>
        <w:spacing w:after="0" w:line="240" w:lineRule="auto"/>
        <w:contextualSpacing/>
        <w:rPr>
          <w:rFonts w:cstheme="minorHAnsi"/>
          <w:noProof/>
          <w:sz w:val="20"/>
          <w:szCs w:val="20"/>
        </w:rPr>
      </w:pPr>
      <w:r>
        <w:rPr>
          <w:rFonts w:cstheme="minorHAnsi"/>
          <w:noProof/>
          <w:sz w:val="20"/>
          <w:szCs w:val="20"/>
        </w:rPr>
        <w:t>Levin</w:t>
      </w:r>
      <w:r w:rsidR="005308E3">
        <w:rPr>
          <w:rFonts w:cstheme="minorHAnsi"/>
          <w:noProof/>
          <w:sz w:val="20"/>
          <w:szCs w:val="20"/>
        </w:rPr>
        <w:t xml:space="preserve">, A. (2001) The Cochrane Collaboration, </w:t>
      </w:r>
      <w:r w:rsidR="005308E3" w:rsidRPr="007A7094">
        <w:rPr>
          <w:rFonts w:cstheme="minorHAnsi"/>
          <w:i/>
          <w:noProof/>
          <w:sz w:val="20"/>
          <w:szCs w:val="20"/>
        </w:rPr>
        <w:t>Annals of Internal Medicine</w:t>
      </w:r>
      <w:r w:rsidR="005308E3">
        <w:rPr>
          <w:rFonts w:cstheme="minorHAnsi"/>
          <w:noProof/>
          <w:sz w:val="20"/>
          <w:szCs w:val="20"/>
        </w:rPr>
        <w:t>, 135: 308-312.</w:t>
      </w:r>
    </w:p>
    <w:p w14:paraId="2CC3271B" w14:textId="77777777" w:rsidR="00C50A87" w:rsidRPr="007A7094" w:rsidRDefault="00C50A87" w:rsidP="00C50A87">
      <w:pPr>
        <w:spacing w:after="0" w:line="240" w:lineRule="auto"/>
        <w:contextualSpacing/>
        <w:rPr>
          <w:rFonts w:cstheme="minorHAnsi"/>
          <w:noProof/>
          <w:sz w:val="20"/>
          <w:szCs w:val="20"/>
        </w:rPr>
      </w:pPr>
    </w:p>
    <w:p w14:paraId="0618A96F" w14:textId="77777777" w:rsidR="00FA492E" w:rsidRPr="007A7094" w:rsidRDefault="00FA492E" w:rsidP="00FA492E">
      <w:pPr>
        <w:spacing w:after="0" w:line="240" w:lineRule="auto"/>
        <w:jc w:val="both"/>
        <w:rPr>
          <w:sz w:val="20"/>
          <w:szCs w:val="20"/>
        </w:rPr>
      </w:pPr>
      <w:r w:rsidRPr="007A7094">
        <w:rPr>
          <w:sz w:val="20"/>
          <w:szCs w:val="20"/>
        </w:rPr>
        <w:t xml:space="preserve">Michael, M. (2017) </w:t>
      </w:r>
      <w:r w:rsidRPr="007A7094">
        <w:rPr>
          <w:i/>
          <w:sz w:val="20"/>
          <w:szCs w:val="20"/>
        </w:rPr>
        <w:t>Actor Network Theory</w:t>
      </w:r>
      <w:r w:rsidRPr="007A7094">
        <w:rPr>
          <w:sz w:val="20"/>
          <w:szCs w:val="20"/>
        </w:rPr>
        <w:t xml:space="preserve">, London: Sage.  </w:t>
      </w:r>
    </w:p>
    <w:p w14:paraId="62AB7661" w14:textId="77777777" w:rsidR="00862D7A" w:rsidRPr="007A7094" w:rsidRDefault="00862D7A" w:rsidP="00C50A87">
      <w:pPr>
        <w:spacing w:after="0" w:line="240" w:lineRule="auto"/>
        <w:rPr>
          <w:rFonts w:cs="Segoe UI"/>
          <w:sz w:val="20"/>
          <w:szCs w:val="20"/>
          <w:lang w:val="en-AU"/>
        </w:rPr>
      </w:pPr>
    </w:p>
    <w:p w14:paraId="0F257326" w14:textId="77777777" w:rsidR="00FA492E" w:rsidRPr="007A7094" w:rsidRDefault="00FA492E" w:rsidP="00FA492E">
      <w:pPr>
        <w:autoSpaceDE w:val="0"/>
        <w:autoSpaceDN w:val="0"/>
        <w:adjustRightInd w:val="0"/>
        <w:spacing w:after="0" w:line="240" w:lineRule="auto"/>
        <w:jc w:val="both"/>
        <w:rPr>
          <w:rFonts w:eastAsia="Calibri" w:cs="Arial"/>
          <w:color w:val="000000"/>
          <w:sz w:val="20"/>
          <w:szCs w:val="20"/>
          <w:lang w:eastAsia="en-GB"/>
        </w:rPr>
      </w:pPr>
      <w:r w:rsidRPr="007A7094">
        <w:rPr>
          <w:rFonts w:eastAsia="Calibri" w:cs="Arial"/>
          <w:color w:val="000000"/>
          <w:sz w:val="20"/>
          <w:szCs w:val="20"/>
          <w:lang w:eastAsia="en-GB"/>
        </w:rPr>
        <w:t xml:space="preserve">Moreira, T. (2007) Entangled evidence: Knowledge making in systematic reviews in healthcare, </w:t>
      </w:r>
      <w:r w:rsidRPr="007A7094">
        <w:rPr>
          <w:rFonts w:eastAsia="Calibri" w:cs="Arial"/>
          <w:i/>
          <w:color w:val="000000"/>
          <w:sz w:val="20"/>
          <w:szCs w:val="20"/>
          <w:lang w:eastAsia="en-GB"/>
        </w:rPr>
        <w:t>Sociology of Health and Illness</w:t>
      </w:r>
      <w:r w:rsidRPr="007A7094">
        <w:rPr>
          <w:rFonts w:eastAsia="Calibri" w:cs="Arial"/>
          <w:color w:val="000000"/>
          <w:sz w:val="20"/>
          <w:szCs w:val="20"/>
          <w:lang w:eastAsia="en-GB"/>
        </w:rPr>
        <w:t>, 29: 180-197.</w:t>
      </w:r>
    </w:p>
    <w:p w14:paraId="2ABF1F65" w14:textId="77777777" w:rsidR="00FA492E" w:rsidRPr="007A7094" w:rsidRDefault="00FA492E" w:rsidP="00FA492E">
      <w:pPr>
        <w:autoSpaceDE w:val="0"/>
        <w:autoSpaceDN w:val="0"/>
        <w:adjustRightInd w:val="0"/>
        <w:spacing w:after="0" w:line="240" w:lineRule="auto"/>
        <w:jc w:val="both"/>
        <w:rPr>
          <w:rFonts w:eastAsia="Calibri" w:cs="Arial"/>
          <w:color w:val="000000"/>
          <w:sz w:val="20"/>
          <w:szCs w:val="20"/>
          <w:lang w:eastAsia="en-GB"/>
        </w:rPr>
      </w:pPr>
    </w:p>
    <w:p w14:paraId="01242E14" w14:textId="77777777" w:rsidR="00FA492E" w:rsidRPr="007A7094" w:rsidRDefault="00FA492E" w:rsidP="00FA492E">
      <w:pPr>
        <w:autoSpaceDE w:val="0"/>
        <w:autoSpaceDN w:val="0"/>
        <w:adjustRightInd w:val="0"/>
        <w:spacing w:after="0" w:line="240" w:lineRule="auto"/>
        <w:jc w:val="both"/>
        <w:rPr>
          <w:rFonts w:eastAsia="Calibri" w:cs="Arial"/>
          <w:color w:val="000000"/>
          <w:sz w:val="20"/>
          <w:szCs w:val="20"/>
          <w:lang w:eastAsia="en-GB"/>
        </w:rPr>
      </w:pPr>
      <w:r w:rsidRPr="007A7094">
        <w:rPr>
          <w:rFonts w:eastAsia="Calibri" w:cs="Arial"/>
          <w:color w:val="000000"/>
          <w:sz w:val="20"/>
          <w:szCs w:val="20"/>
          <w:lang w:eastAsia="en-GB"/>
        </w:rPr>
        <w:t xml:space="preserve">Moreira, T. (2015) Unsettling standards: The biological age controversy, </w:t>
      </w:r>
      <w:r w:rsidRPr="007A7094">
        <w:rPr>
          <w:rFonts w:eastAsia="Calibri" w:cs="Arial"/>
          <w:i/>
          <w:color w:val="000000"/>
          <w:sz w:val="20"/>
          <w:szCs w:val="20"/>
          <w:lang w:eastAsia="en-GB"/>
        </w:rPr>
        <w:t>Sociological Quarterly</w:t>
      </w:r>
      <w:r w:rsidRPr="007A7094">
        <w:rPr>
          <w:rFonts w:eastAsia="Calibri" w:cs="Arial"/>
          <w:color w:val="000000"/>
          <w:sz w:val="20"/>
          <w:szCs w:val="20"/>
          <w:lang w:eastAsia="en-GB"/>
        </w:rPr>
        <w:t>, 56: 18-39.</w:t>
      </w:r>
    </w:p>
    <w:p w14:paraId="0D29D2B6" w14:textId="77777777" w:rsidR="00C85BE5" w:rsidRDefault="00C85BE5" w:rsidP="00C50A87">
      <w:pPr>
        <w:spacing w:after="0" w:line="240" w:lineRule="auto"/>
        <w:rPr>
          <w:rFonts w:cs="Segoe UI"/>
          <w:sz w:val="20"/>
          <w:szCs w:val="20"/>
          <w:lang w:val="en-AU"/>
        </w:rPr>
      </w:pPr>
    </w:p>
    <w:p w14:paraId="55C0051C" w14:textId="6912B154" w:rsidR="00C50A87" w:rsidRPr="00AA7A4D" w:rsidRDefault="00C50A87" w:rsidP="00C50A87">
      <w:pPr>
        <w:spacing w:after="0" w:line="240" w:lineRule="auto"/>
        <w:rPr>
          <w:rFonts w:cs="Segoe UI"/>
          <w:sz w:val="20"/>
          <w:szCs w:val="20"/>
          <w:lang w:val="en-AU"/>
        </w:rPr>
      </w:pPr>
      <w:r w:rsidRPr="00EF6926">
        <w:rPr>
          <w:rFonts w:cs="Segoe UI"/>
          <w:sz w:val="20"/>
          <w:szCs w:val="20"/>
          <w:lang w:val="en-AU"/>
        </w:rPr>
        <w:t>Mol</w:t>
      </w:r>
      <w:r>
        <w:rPr>
          <w:rFonts w:cs="Segoe UI"/>
          <w:sz w:val="20"/>
          <w:szCs w:val="20"/>
          <w:lang w:val="en-AU"/>
        </w:rPr>
        <w:t>,</w:t>
      </w:r>
      <w:r w:rsidRPr="00EF6926">
        <w:rPr>
          <w:rFonts w:cs="Segoe UI"/>
          <w:sz w:val="20"/>
          <w:szCs w:val="20"/>
          <w:lang w:val="en-AU"/>
        </w:rPr>
        <w:t xml:space="preserve"> A</w:t>
      </w:r>
      <w:r>
        <w:rPr>
          <w:rFonts w:cs="Segoe UI"/>
          <w:sz w:val="20"/>
          <w:szCs w:val="20"/>
          <w:lang w:val="en-AU"/>
        </w:rPr>
        <w:t xml:space="preserve">. </w:t>
      </w:r>
      <w:r w:rsidRPr="00EF6926">
        <w:rPr>
          <w:rFonts w:cs="Segoe UI"/>
          <w:sz w:val="20"/>
          <w:szCs w:val="20"/>
          <w:lang w:val="en-AU"/>
        </w:rPr>
        <w:t>M.</w:t>
      </w:r>
      <w:r>
        <w:rPr>
          <w:rFonts w:cs="Segoe UI"/>
          <w:sz w:val="20"/>
          <w:szCs w:val="20"/>
          <w:lang w:val="en-AU"/>
        </w:rPr>
        <w:t xml:space="preserve"> (2002)</w:t>
      </w:r>
      <w:r w:rsidRPr="00EF6926">
        <w:rPr>
          <w:rFonts w:cs="Segoe UI"/>
          <w:sz w:val="20"/>
          <w:szCs w:val="20"/>
          <w:lang w:val="en-AU"/>
        </w:rPr>
        <w:t xml:space="preserve"> </w:t>
      </w:r>
      <w:r w:rsidRPr="00EF6926">
        <w:rPr>
          <w:rFonts w:cs="Segoe UI"/>
          <w:i/>
          <w:sz w:val="20"/>
          <w:szCs w:val="20"/>
          <w:lang w:val="en-AU"/>
        </w:rPr>
        <w:t>The Body Multiple: Ontology in Medical Practice</w:t>
      </w:r>
      <w:r w:rsidRPr="00EF6926">
        <w:rPr>
          <w:rFonts w:cs="Segoe UI"/>
          <w:sz w:val="20"/>
          <w:szCs w:val="20"/>
          <w:lang w:val="en-AU"/>
        </w:rPr>
        <w:t>, London: Duke University Press.</w:t>
      </w:r>
    </w:p>
    <w:p w14:paraId="4290D5E5" w14:textId="77777777" w:rsidR="00C50A87" w:rsidRPr="00EF6926" w:rsidRDefault="00C50A87" w:rsidP="00C50A87">
      <w:pPr>
        <w:keepNext/>
        <w:keepLines/>
        <w:shd w:val="clear" w:color="auto" w:fill="FFFFFF"/>
        <w:spacing w:after="0" w:line="240" w:lineRule="auto"/>
        <w:textAlignment w:val="baseline"/>
        <w:outlineLvl w:val="1"/>
        <w:rPr>
          <w:rFonts w:eastAsiaTheme="majorEastAsia" w:cs="Helvetica"/>
          <w:sz w:val="20"/>
          <w:szCs w:val="20"/>
        </w:rPr>
      </w:pPr>
    </w:p>
    <w:p w14:paraId="496A7A0C" w14:textId="77777777" w:rsidR="00C50A87" w:rsidRPr="00AA7A4D" w:rsidRDefault="00C50A87" w:rsidP="00C50A87">
      <w:pPr>
        <w:spacing w:after="0" w:line="240" w:lineRule="auto"/>
        <w:contextualSpacing/>
        <w:rPr>
          <w:rFonts w:cs="Helvetica"/>
          <w:color w:val="333333"/>
          <w:sz w:val="20"/>
          <w:szCs w:val="20"/>
        </w:rPr>
      </w:pPr>
      <w:r w:rsidRPr="00EF6926">
        <w:rPr>
          <w:rFonts w:cs="Helvetica"/>
          <w:color w:val="333333"/>
          <w:sz w:val="20"/>
          <w:szCs w:val="20"/>
        </w:rPr>
        <w:t xml:space="preserve">Powderly WG, Naggie S, Kim AY, et al. </w:t>
      </w:r>
      <w:r w:rsidRPr="00AA7A4D">
        <w:rPr>
          <w:rFonts w:cs="Helvetica"/>
          <w:color w:val="333333"/>
          <w:sz w:val="20"/>
          <w:szCs w:val="20"/>
        </w:rPr>
        <w:t xml:space="preserve">(2017) </w:t>
      </w:r>
      <w:r w:rsidRPr="00EF6926">
        <w:rPr>
          <w:rFonts w:cs="Helvetica"/>
          <w:color w:val="333333"/>
          <w:sz w:val="20"/>
          <w:szCs w:val="20"/>
        </w:rPr>
        <w:t>IDSA/AASLD Response to Cochrane Review on Direct-Acting Antivirals for Hepatitis C</w:t>
      </w:r>
      <w:r w:rsidRPr="00AA7A4D">
        <w:rPr>
          <w:rFonts w:cs="Helvetica"/>
          <w:color w:val="333333"/>
          <w:sz w:val="20"/>
          <w:szCs w:val="20"/>
        </w:rPr>
        <w:t>,</w:t>
      </w:r>
      <w:r w:rsidRPr="00EF6926">
        <w:rPr>
          <w:rFonts w:cs="Helvetica"/>
          <w:color w:val="333333"/>
          <w:sz w:val="20"/>
          <w:szCs w:val="20"/>
        </w:rPr>
        <w:t xml:space="preserve"> </w:t>
      </w:r>
      <w:r w:rsidRPr="00EF6926">
        <w:rPr>
          <w:rFonts w:cs="Helvetica"/>
          <w:i/>
          <w:color w:val="333333"/>
          <w:sz w:val="20"/>
          <w:szCs w:val="20"/>
        </w:rPr>
        <w:t>Clin</w:t>
      </w:r>
      <w:r w:rsidRPr="00AA7A4D">
        <w:rPr>
          <w:rFonts w:cs="Helvetica"/>
          <w:i/>
          <w:color w:val="333333"/>
          <w:sz w:val="20"/>
          <w:szCs w:val="20"/>
        </w:rPr>
        <w:t>ical</w:t>
      </w:r>
      <w:r w:rsidRPr="00EF6926">
        <w:rPr>
          <w:rFonts w:cs="Helvetica"/>
          <w:i/>
          <w:color w:val="333333"/>
          <w:sz w:val="20"/>
          <w:szCs w:val="20"/>
        </w:rPr>
        <w:t xml:space="preserve"> Infect</w:t>
      </w:r>
      <w:r w:rsidRPr="00AA7A4D">
        <w:rPr>
          <w:rFonts w:cs="Helvetica"/>
          <w:i/>
          <w:color w:val="333333"/>
          <w:sz w:val="20"/>
          <w:szCs w:val="20"/>
        </w:rPr>
        <w:t>ious</w:t>
      </w:r>
      <w:r w:rsidRPr="00EF6926">
        <w:rPr>
          <w:rFonts w:cs="Helvetica"/>
          <w:i/>
          <w:color w:val="333333"/>
          <w:sz w:val="20"/>
          <w:szCs w:val="20"/>
        </w:rPr>
        <w:t xml:space="preserve"> Dis</w:t>
      </w:r>
      <w:r w:rsidRPr="00AA7A4D">
        <w:rPr>
          <w:rFonts w:cs="Helvetica"/>
          <w:color w:val="333333"/>
          <w:sz w:val="20"/>
          <w:szCs w:val="20"/>
        </w:rPr>
        <w:t xml:space="preserve">eases, </w:t>
      </w:r>
      <w:r w:rsidRPr="00EF6926">
        <w:rPr>
          <w:rFonts w:cs="Helvetica"/>
          <w:color w:val="333333"/>
          <w:sz w:val="20"/>
          <w:szCs w:val="20"/>
        </w:rPr>
        <w:t>65(11):1773-1775.</w:t>
      </w:r>
    </w:p>
    <w:p w14:paraId="14D8FF9F" w14:textId="77777777" w:rsidR="00C50A87" w:rsidRPr="00EF6926" w:rsidRDefault="00C50A87" w:rsidP="00C50A87">
      <w:pPr>
        <w:spacing w:after="0" w:line="240" w:lineRule="auto"/>
        <w:ind w:left="360"/>
        <w:contextualSpacing/>
        <w:rPr>
          <w:sz w:val="20"/>
          <w:szCs w:val="20"/>
        </w:rPr>
      </w:pPr>
    </w:p>
    <w:p w14:paraId="63D32165" w14:textId="77777777" w:rsidR="00C50A87" w:rsidRPr="00AA7A4D" w:rsidRDefault="00C50A87" w:rsidP="00C50A87">
      <w:pPr>
        <w:spacing w:after="0"/>
        <w:contextualSpacing/>
        <w:jc w:val="both"/>
        <w:rPr>
          <w:sz w:val="20"/>
          <w:szCs w:val="20"/>
        </w:rPr>
      </w:pPr>
      <w:r w:rsidRPr="00EF6926">
        <w:rPr>
          <w:sz w:val="20"/>
          <w:szCs w:val="20"/>
        </w:rPr>
        <w:t xml:space="preserve">Puig de la Bellacasa M. </w:t>
      </w:r>
      <w:r w:rsidRPr="00AA7A4D">
        <w:rPr>
          <w:sz w:val="20"/>
          <w:szCs w:val="20"/>
        </w:rPr>
        <w:t xml:space="preserve">(2011) </w:t>
      </w:r>
      <w:r w:rsidRPr="00EF6926">
        <w:rPr>
          <w:sz w:val="20"/>
          <w:szCs w:val="20"/>
        </w:rPr>
        <w:t xml:space="preserve">Matters of care in technoscience: Assembling neglected things, </w:t>
      </w:r>
      <w:r w:rsidRPr="00EF6926">
        <w:rPr>
          <w:i/>
          <w:sz w:val="20"/>
          <w:szCs w:val="20"/>
        </w:rPr>
        <w:t>Social Studies of Science</w:t>
      </w:r>
      <w:r w:rsidRPr="00EF6926">
        <w:rPr>
          <w:sz w:val="20"/>
          <w:szCs w:val="20"/>
        </w:rPr>
        <w:t>, 41: 85-106.</w:t>
      </w:r>
    </w:p>
    <w:p w14:paraId="35B50718" w14:textId="77777777" w:rsidR="00C50A87" w:rsidRPr="00AA7A4D" w:rsidRDefault="00C50A87" w:rsidP="00C50A87">
      <w:pPr>
        <w:spacing w:after="0"/>
        <w:ind w:left="360"/>
        <w:contextualSpacing/>
        <w:jc w:val="both"/>
        <w:rPr>
          <w:sz w:val="20"/>
          <w:szCs w:val="20"/>
        </w:rPr>
      </w:pPr>
    </w:p>
    <w:p w14:paraId="7CDDF0AB" w14:textId="77777777" w:rsidR="00C50A87" w:rsidRPr="00AA7A4D" w:rsidRDefault="00C50A87" w:rsidP="00C50A87">
      <w:pPr>
        <w:spacing w:after="0" w:line="240" w:lineRule="auto"/>
        <w:rPr>
          <w:sz w:val="20"/>
          <w:szCs w:val="20"/>
          <w:lang w:val="en-AU"/>
        </w:rPr>
      </w:pPr>
      <w:r w:rsidRPr="00EF6926">
        <w:rPr>
          <w:sz w:val="20"/>
          <w:szCs w:val="20"/>
          <w:lang w:val="en-AU"/>
        </w:rPr>
        <w:t>Race</w:t>
      </w:r>
      <w:r w:rsidRPr="00AA7A4D">
        <w:rPr>
          <w:sz w:val="20"/>
          <w:szCs w:val="20"/>
          <w:lang w:val="en-AU"/>
        </w:rPr>
        <w:t>,</w:t>
      </w:r>
      <w:r w:rsidRPr="00EF6926">
        <w:rPr>
          <w:sz w:val="20"/>
          <w:szCs w:val="20"/>
          <w:lang w:val="en-AU"/>
        </w:rPr>
        <w:t xml:space="preserve"> K. </w:t>
      </w:r>
      <w:r w:rsidRPr="00AA7A4D">
        <w:rPr>
          <w:sz w:val="20"/>
          <w:szCs w:val="20"/>
          <w:lang w:val="en-AU"/>
        </w:rPr>
        <w:t xml:space="preserve">(2018) </w:t>
      </w:r>
      <w:r w:rsidRPr="00EF6926">
        <w:rPr>
          <w:i/>
          <w:iCs/>
          <w:sz w:val="20"/>
          <w:szCs w:val="20"/>
          <w:lang w:val="en-AU"/>
        </w:rPr>
        <w:t>The Gay Science: Intimate Experiments with the Problem of HIV</w:t>
      </w:r>
      <w:r w:rsidRPr="00EF6926">
        <w:rPr>
          <w:sz w:val="20"/>
          <w:szCs w:val="20"/>
          <w:lang w:val="en-AU"/>
        </w:rPr>
        <w:t>. Oxon: Routledge.</w:t>
      </w:r>
    </w:p>
    <w:p w14:paraId="6966BEDD" w14:textId="77777777" w:rsidR="00C50A87" w:rsidRPr="00AA7A4D" w:rsidRDefault="00C50A87" w:rsidP="00C50A87">
      <w:pPr>
        <w:keepNext/>
        <w:keepLines/>
        <w:shd w:val="clear" w:color="auto" w:fill="FFFFFF"/>
        <w:spacing w:after="0" w:line="240" w:lineRule="auto"/>
        <w:ind w:left="360"/>
        <w:textAlignment w:val="baseline"/>
        <w:outlineLvl w:val="1"/>
        <w:rPr>
          <w:rFonts w:eastAsiaTheme="majorEastAsia" w:cs="Helvetica"/>
          <w:color w:val="333333"/>
          <w:sz w:val="20"/>
          <w:szCs w:val="20"/>
        </w:rPr>
      </w:pPr>
    </w:p>
    <w:p w14:paraId="25B5101C" w14:textId="77777777" w:rsidR="00C50A87" w:rsidRPr="007A7094" w:rsidRDefault="00C50A87" w:rsidP="00C50A87">
      <w:pPr>
        <w:keepNext/>
        <w:keepLines/>
        <w:shd w:val="clear" w:color="auto" w:fill="FFFFFF"/>
        <w:spacing w:after="0" w:line="240" w:lineRule="auto"/>
        <w:textAlignment w:val="baseline"/>
        <w:outlineLvl w:val="1"/>
        <w:rPr>
          <w:rFonts w:eastAsiaTheme="majorEastAsia" w:cs="Helvetica"/>
          <w:color w:val="333333"/>
          <w:sz w:val="20"/>
          <w:szCs w:val="20"/>
        </w:rPr>
      </w:pPr>
      <w:r w:rsidRPr="00EF6926">
        <w:rPr>
          <w:rFonts w:eastAsiaTheme="majorEastAsia" w:cs="Helvetica"/>
          <w:color w:val="333333"/>
          <w:sz w:val="20"/>
          <w:szCs w:val="20"/>
        </w:rPr>
        <w:t>Razavi</w:t>
      </w:r>
      <w:r w:rsidRPr="00AA7A4D">
        <w:rPr>
          <w:rFonts w:eastAsiaTheme="majorEastAsia" w:cs="Helvetica"/>
          <w:color w:val="333333"/>
          <w:sz w:val="20"/>
          <w:szCs w:val="20"/>
        </w:rPr>
        <w:t>,</w:t>
      </w:r>
      <w:r w:rsidRPr="00EF6926">
        <w:rPr>
          <w:rFonts w:eastAsiaTheme="majorEastAsia" w:cs="Helvetica"/>
          <w:color w:val="333333"/>
          <w:sz w:val="20"/>
          <w:szCs w:val="20"/>
        </w:rPr>
        <w:t xml:space="preserve"> H</w:t>
      </w:r>
      <w:r w:rsidRPr="00AA7A4D">
        <w:rPr>
          <w:rFonts w:eastAsiaTheme="majorEastAsia" w:cs="Helvetica"/>
          <w:color w:val="333333"/>
          <w:sz w:val="20"/>
          <w:szCs w:val="20"/>
        </w:rPr>
        <w:t>.</w:t>
      </w:r>
      <w:r w:rsidRPr="00EF6926">
        <w:rPr>
          <w:rFonts w:eastAsiaTheme="majorEastAsia" w:cs="Helvetica"/>
          <w:color w:val="333333"/>
          <w:sz w:val="20"/>
          <w:szCs w:val="20"/>
        </w:rPr>
        <w:t>, Robbins</w:t>
      </w:r>
      <w:r w:rsidRPr="00AA7A4D">
        <w:rPr>
          <w:rFonts w:eastAsiaTheme="majorEastAsia" w:cs="Helvetica"/>
          <w:color w:val="333333"/>
          <w:sz w:val="20"/>
          <w:szCs w:val="20"/>
        </w:rPr>
        <w:t>,</w:t>
      </w:r>
      <w:r w:rsidRPr="00EF6926">
        <w:rPr>
          <w:rFonts w:eastAsiaTheme="majorEastAsia" w:cs="Helvetica"/>
          <w:color w:val="333333"/>
          <w:sz w:val="20"/>
          <w:szCs w:val="20"/>
        </w:rPr>
        <w:t xml:space="preserve"> S</w:t>
      </w:r>
      <w:r w:rsidRPr="00AA7A4D">
        <w:rPr>
          <w:rFonts w:eastAsiaTheme="majorEastAsia" w:cs="Helvetica"/>
          <w:color w:val="333333"/>
          <w:sz w:val="20"/>
          <w:szCs w:val="20"/>
        </w:rPr>
        <w:t>.</w:t>
      </w:r>
      <w:r w:rsidRPr="00EF6926">
        <w:rPr>
          <w:rFonts w:eastAsiaTheme="majorEastAsia" w:cs="Helvetica"/>
          <w:color w:val="333333"/>
          <w:sz w:val="20"/>
          <w:szCs w:val="20"/>
        </w:rPr>
        <w:t>, Zeuzem</w:t>
      </w:r>
      <w:r w:rsidRPr="00AA7A4D">
        <w:rPr>
          <w:rFonts w:eastAsiaTheme="majorEastAsia" w:cs="Helvetica"/>
          <w:color w:val="333333"/>
          <w:sz w:val="20"/>
          <w:szCs w:val="20"/>
        </w:rPr>
        <w:t>,</w:t>
      </w:r>
      <w:r w:rsidRPr="00EF6926">
        <w:rPr>
          <w:rFonts w:eastAsiaTheme="majorEastAsia" w:cs="Helvetica"/>
          <w:color w:val="333333"/>
          <w:sz w:val="20"/>
          <w:szCs w:val="20"/>
        </w:rPr>
        <w:t xml:space="preserve"> S</w:t>
      </w:r>
      <w:r w:rsidRPr="00AA7A4D">
        <w:rPr>
          <w:rFonts w:eastAsiaTheme="majorEastAsia" w:cs="Helvetica"/>
          <w:color w:val="333333"/>
          <w:sz w:val="20"/>
          <w:szCs w:val="20"/>
        </w:rPr>
        <w:t>.</w:t>
      </w:r>
      <w:r w:rsidRPr="00EF6926">
        <w:rPr>
          <w:rFonts w:eastAsiaTheme="majorEastAsia" w:cs="Helvetica"/>
          <w:color w:val="333333"/>
          <w:sz w:val="20"/>
          <w:szCs w:val="20"/>
        </w:rPr>
        <w:t>, Negro</w:t>
      </w:r>
      <w:r w:rsidRPr="00AA7A4D">
        <w:rPr>
          <w:rFonts w:eastAsiaTheme="majorEastAsia" w:cs="Helvetica"/>
          <w:color w:val="333333"/>
          <w:sz w:val="20"/>
          <w:szCs w:val="20"/>
        </w:rPr>
        <w:t>,</w:t>
      </w:r>
      <w:r w:rsidRPr="00EF6926">
        <w:rPr>
          <w:rFonts w:eastAsiaTheme="majorEastAsia" w:cs="Helvetica"/>
          <w:color w:val="333333"/>
          <w:sz w:val="20"/>
          <w:szCs w:val="20"/>
        </w:rPr>
        <w:t xml:space="preserve"> F</w:t>
      </w:r>
      <w:r w:rsidRPr="00AA7A4D">
        <w:rPr>
          <w:rFonts w:eastAsiaTheme="majorEastAsia" w:cs="Helvetica"/>
          <w:color w:val="333333"/>
          <w:sz w:val="20"/>
          <w:szCs w:val="20"/>
        </w:rPr>
        <w:t>.</w:t>
      </w:r>
      <w:r w:rsidRPr="00EF6926">
        <w:rPr>
          <w:rFonts w:eastAsiaTheme="majorEastAsia" w:cs="Helvetica"/>
          <w:color w:val="333333"/>
          <w:sz w:val="20"/>
          <w:szCs w:val="20"/>
        </w:rPr>
        <w:t>, Buti</w:t>
      </w:r>
      <w:r w:rsidRPr="00AA7A4D">
        <w:rPr>
          <w:rFonts w:eastAsiaTheme="majorEastAsia" w:cs="Helvetica"/>
          <w:color w:val="333333"/>
          <w:sz w:val="20"/>
          <w:szCs w:val="20"/>
        </w:rPr>
        <w:t>,</w:t>
      </w:r>
      <w:r w:rsidRPr="00EF6926">
        <w:rPr>
          <w:rFonts w:eastAsiaTheme="majorEastAsia" w:cs="Helvetica"/>
          <w:color w:val="333333"/>
          <w:sz w:val="20"/>
          <w:szCs w:val="20"/>
        </w:rPr>
        <w:t xml:space="preserve"> M</w:t>
      </w:r>
      <w:r w:rsidRPr="00AA7A4D">
        <w:rPr>
          <w:rFonts w:eastAsiaTheme="majorEastAsia" w:cs="Helvetica"/>
          <w:color w:val="333333"/>
          <w:sz w:val="20"/>
          <w:szCs w:val="20"/>
        </w:rPr>
        <w:t>.</w:t>
      </w:r>
      <w:r w:rsidRPr="00EF6926">
        <w:rPr>
          <w:rFonts w:eastAsiaTheme="majorEastAsia" w:cs="Helvetica"/>
          <w:color w:val="333333"/>
          <w:sz w:val="20"/>
          <w:szCs w:val="20"/>
        </w:rPr>
        <w:t>, Duberg</w:t>
      </w:r>
      <w:r w:rsidRPr="00AA7A4D">
        <w:rPr>
          <w:rFonts w:eastAsiaTheme="majorEastAsia" w:cs="Helvetica"/>
          <w:color w:val="333333"/>
          <w:sz w:val="20"/>
          <w:szCs w:val="20"/>
        </w:rPr>
        <w:t>,</w:t>
      </w:r>
      <w:r w:rsidRPr="00EF6926">
        <w:rPr>
          <w:rFonts w:eastAsiaTheme="majorEastAsia" w:cs="Helvetica"/>
          <w:color w:val="333333"/>
          <w:sz w:val="20"/>
          <w:szCs w:val="20"/>
        </w:rPr>
        <w:t xml:space="preserve"> A-S et al. </w:t>
      </w:r>
      <w:r w:rsidRPr="00AA7A4D">
        <w:rPr>
          <w:rFonts w:eastAsiaTheme="majorEastAsia" w:cs="Helvetica"/>
          <w:color w:val="333333"/>
          <w:sz w:val="20"/>
          <w:szCs w:val="20"/>
        </w:rPr>
        <w:t xml:space="preserve">(2017) </w:t>
      </w:r>
      <w:r w:rsidRPr="00EF6926">
        <w:rPr>
          <w:rFonts w:eastAsiaTheme="majorEastAsia" w:cs="Helvetica"/>
          <w:color w:val="333333"/>
          <w:sz w:val="20"/>
          <w:szCs w:val="20"/>
        </w:rPr>
        <w:t xml:space="preserve">Hepatitis C virus prevalence and level of intervention required to achieve the WHO targets for elimination in the European Union by 2030: A modelling study, </w:t>
      </w:r>
      <w:r w:rsidRPr="00EF6926">
        <w:rPr>
          <w:rFonts w:eastAsiaTheme="majorEastAsia" w:cs="Helvetica"/>
          <w:i/>
          <w:color w:val="333333"/>
          <w:sz w:val="20"/>
          <w:szCs w:val="20"/>
        </w:rPr>
        <w:t>Lancet Gastroenterol Hepatol</w:t>
      </w:r>
      <w:r w:rsidRPr="00AA7A4D">
        <w:rPr>
          <w:rFonts w:eastAsiaTheme="majorEastAsia" w:cs="Helvetica"/>
          <w:i/>
          <w:color w:val="333333"/>
          <w:sz w:val="20"/>
          <w:szCs w:val="20"/>
        </w:rPr>
        <w:t>ogy</w:t>
      </w:r>
      <w:r w:rsidRPr="00EF6926">
        <w:rPr>
          <w:rFonts w:eastAsiaTheme="majorEastAsia" w:cs="Helvetica"/>
          <w:color w:val="333333"/>
          <w:sz w:val="20"/>
          <w:szCs w:val="20"/>
        </w:rPr>
        <w:t>, 2: 235-</w:t>
      </w:r>
      <w:r w:rsidRPr="007A7094">
        <w:rPr>
          <w:rFonts w:eastAsiaTheme="majorEastAsia" w:cs="Helvetica"/>
          <w:color w:val="333333"/>
          <w:sz w:val="20"/>
          <w:szCs w:val="20"/>
        </w:rPr>
        <w:t>236.</w:t>
      </w:r>
    </w:p>
    <w:p w14:paraId="2E37C443" w14:textId="77777777" w:rsidR="00C50A87" w:rsidRPr="007A7094" w:rsidRDefault="00C50A87" w:rsidP="00C50A87">
      <w:pPr>
        <w:keepNext/>
        <w:keepLines/>
        <w:shd w:val="clear" w:color="auto" w:fill="FFFFFF"/>
        <w:spacing w:after="0" w:line="240" w:lineRule="auto"/>
        <w:ind w:left="360"/>
        <w:textAlignment w:val="baseline"/>
        <w:outlineLvl w:val="1"/>
        <w:rPr>
          <w:rFonts w:eastAsiaTheme="majorEastAsia" w:cs="Helvetica"/>
          <w:color w:val="333333"/>
          <w:sz w:val="20"/>
          <w:szCs w:val="20"/>
        </w:rPr>
      </w:pPr>
    </w:p>
    <w:p w14:paraId="6D8813F7" w14:textId="77777777" w:rsidR="007353D3" w:rsidRPr="007A7094" w:rsidRDefault="007353D3" w:rsidP="007353D3">
      <w:pPr>
        <w:pStyle w:val="Default"/>
        <w:jc w:val="both"/>
        <w:rPr>
          <w:rFonts w:ascii="Calibri" w:hAnsi="Calibri"/>
          <w:sz w:val="20"/>
          <w:szCs w:val="20"/>
        </w:rPr>
      </w:pPr>
      <w:r w:rsidRPr="007A7094">
        <w:rPr>
          <w:rFonts w:ascii="Calibri" w:hAnsi="Calibri"/>
          <w:sz w:val="20"/>
          <w:szCs w:val="20"/>
        </w:rPr>
        <w:t xml:space="preserve">Rhodes T, Closson R, Guise A, Paparini S, Strathdee S. (2016) Towards ‘evidence-making intervention’ approaches in the social science of implementation science: The making of methadone in East Africa, </w:t>
      </w:r>
      <w:r w:rsidRPr="007A7094">
        <w:rPr>
          <w:rFonts w:ascii="Calibri" w:hAnsi="Calibri"/>
          <w:i/>
          <w:sz w:val="20"/>
          <w:szCs w:val="20"/>
        </w:rPr>
        <w:t>International Journal of Drug Policy</w:t>
      </w:r>
      <w:r w:rsidRPr="007A7094">
        <w:rPr>
          <w:rFonts w:ascii="Calibri" w:hAnsi="Calibri"/>
          <w:sz w:val="20"/>
          <w:szCs w:val="20"/>
        </w:rPr>
        <w:t>, 30: 17-26.</w:t>
      </w:r>
    </w:p>
    <w:p w14:paraId="668C16E3" w14:textId="77777777" w:rsidR="007353D3" w:rsidRPr="007A7094" w:rsidRDefault="007353D3" w:rsidP="007A7094">
      <w:pPr>
        <w:pStyle w:val="Default"/>
        <w:jc w:val="both"/>
        <w:rPr>
          <w:rFonts w:ascii="Calibri" w:hAnsi="Calibri"/>
          <w:sz w:val="20"/>
          <w:szCs w:val="20"/>
        </w:rPr>
      </w:pPr>
    </w:p>
    <w:p w14:paraId="101E0FFD" w14:textId="22064B86" w:rsidR="007353D3" w:rsidRPr="007A7094" w:rsidRDefault="007353D3" w:rsidP="007A7094">
      <w:pPr>
        <w:pStyle w:val="Default"/>
        <w:jc w:val="both"/>
        <w:rPr>
          <w:rFonts w:ascii="Calibri" w:hAnsi="Calibri"/>
          <w:sz w:val="20"/>
          <w:szCs w:val="20"/>
        </w:rPr>
      </w:pPr>
      <w:r w:rsidRPr="007A7094">
        <w:rPr>
          <w:rFonts w:ascii="Calibri" w:hAnsi="Calibri"/>
          <w:sz w:val="20"/>
          <w:szCs w:val="20"/>
        </w:rPr>
        <w:t xml:space="preserve">Rhodes T, (2018) The becoming of methadone in Kenya: How an intervention’s implementation constitutes recovery potential, </w:t>
      </w:r>
      <w:r w:rsidRPr="007A7094">
        <w:rPr>
          <w:rFonts w:ascii="Calibri" w:hAnsi="Calibri"/>
          <w:i/>
          <w:sz w:val="20"/>
          <w:szCs w:val="20"/>
        </w:rPr>
        <w:t>Social Science and Medicine</w:t>
      </w:r>
      <w:r w:rsidRPr="007A7094">
        <w:rPr>
          <w:rFonts w:ascii="Calibri" w:hAnsi="Calibri"/>
          <w:sz w:val="20"/>
          <w:szCs w:val="20"/>
        </w:rPr>
        <w:t>, 201: 71-79.</w:t>
      </w:r>
    </w:p>
    <w:p w14:paraId="3A6F97AF" w14:textId="77777777" w:rsidR="007353D3" w:rsidRPr="007A7094" w:rsidRDefault="007353D3" w:rsidP="007A7094">
      <w:pPr>
        <w:spacing w:after="0" w:line="240" w:lineRule="auto"/>
        <w:contextualSpacing/>
        <w:jc w:val="both"/>
        <w:rPr>
          <w:sz w:val="20"/>
          <w:szCs w:val="20"/>
        </w:rPr>
      </w:pPr>
    </w:p>
    <w:p w14:paraId="165DE534" w14:textId="67976688" w:rsidR="007353D3" w:rsidRDefault="007353D3" w:rsidP="007A7094">
      <w:pPr>
        <w:spacing w:after="0" w:line="240" w:lineRule="auto"/>
        <w:contextualSpacing/>
        <w:jc w:val="both"/>
        <w:rPr>
          <w:sz w:val="20"/>
          <w:szCs w:val="20"/>
        </w:rPr>
      </w:pPr>
      <w:r>
        <w:rPr>
          <w:sz w:val="20"/>
          <w:szCs w:val="20"/>
        </w:rPr>
        <w:t xml:space="preserve">Rhodes, T. and Lancaster, K. (2019a) Evidence-making interventions in health: A conceptual framing, </w:t>
      </w:r>
      <w:r w:rsidRPr="007A7094">
        <w:rPr>
          <w:i/>
          <w:sz w:val="20"/>
          <w:szCs w:val="20"/>
        </w:rPr>
        <w:t>Social Science and Medicine</w:t>
      </w:r>
      <w:r>
        <w:rPr>
          <w:sz w:val="20"/>
          <w:szCs w:val="20"/>
        </w:rPr>
        <w:t xml:space="preserve"> (under review)</w:t>
      </w:r>
    </w:p>
    <w:p w14:paraId="1639C858" w14:textId="23C10468" w:rsidR="007353D3" w:rsidRDefault="007353D3" w:rsidP="007A7094">
      <w:pPr>
        <w:spacing w:after="0" w:line="240" w:lineRule="auto"/>
        <w:contextualSpacing/>
        <w:jc w:val="both"/>
        <w:rPr>
          <w:sz w:val="20"/>
          <w:szCs w:val="20"/>
        </w:rPr>
      </w:pPr>
    </w:p>
    <w:p w14:paraId="3ED2E0B3" w14:textId="349F4BA3" w:rsidR="007353D3" w:rsidRDefault="007353D3" w:rsidP="007A7094">
      <w:pPr>
        <w:spacing w:after="0" w:line="240" w:lineRule="auto"/>
        <w:contextualSpacing/>
        <w:jc w:val="both"/>
        <w:rPr>
          <w:sz w:val="20"/>
          <w:szCs w:val="20"/>
        </w:rPr>
      </w:pPr>
      <w:r>
        <w:rPr>
          <w:sz w:val="20"/>
          <w:szCs w:val="20"/>
        </w:rPr>
        <w:t xml:space="preserve">Rhodes, T. and Lancaster, K. (2019b) Making-up viral elimination: Modelling, targets and the end of hepatitis C, </w:t>
      </w:r>
      <w:r w:rsidRPr="007A7094">
        <w:rPr>
          <w:i/>
          <w:sz w:val="20"/>
          <w:szCs w:val="20"/>
        </w:rPr>
        <w:t>International Society for the Study of Drug Policy Conference</w:t>
      </w:r>
      <w:r>
        <w:rPr>
          <w:sz w:val="20"/>
          <w:szCs w:val="20"/>
        </w:rPr>
        <w:t>, Paris.</w:t>
      </w:r>
    </w:p>
    <w:p w14:paraId="67F67902" w14:textId="7A9E415E" w:rsidR="007353D3" w:rsidRDefault="007353D3" w:rsidP="007A7094">
      <w:pPr>
        <w:spacing w:after="0" w:line="240" w:lineRule="auto"/>
        <w:contextualSpacing/>
        <w:jc w:val="both"/>
        <w:rPr>
          <w:sz w:val="20"/>
          <w:szCs w:val="20"/>
        </w:rPr>
      </w:pPr>
    </w:p>
    <w:p w14:paraId="2C70F9C2" w14:textId="1C33655D" w:rsidR="00C50A87" w:rsidRPr="00AA7A4D" w:rsidRDefault="00C50A87" w:rsidP="007A7094">
      <w:pPr>
        <w:spacing w:after="0" w:line="240" w:lineRule="auto"/>
        <w:contextualSpacing/>
        <w:jc w:val="both"/>
        <w:rPr>
          <w:sz w:val="20"/>
          <w:szCs w:val="20"/>
        </w:rPr>
      </w:pPr>
      <w:r w:rsidRPr="00EF6926">
        <w:rPr>
          <w:sz w:val="20"/>
          <w:szCs w:val="20"/>
        </w:rPr>
        <w:t>Rhodes</w:t>
      </w:r>
      <w:r w:rsidRPr="00AA7A4D">
        <w:rPr>
          <w:sz w:val="20"/>
          <w:szCs w:val="20"/>
        </w:rPr>
        <w:t>,</w:t>
      </w:r>
      <w:r w:rsidRPr="00EF6926">
        <w:rPr>
          <w:sz w:val="20"/>
          <w:szCs w:val="20"/>
        </w:rPr>
        <w:t xml:space="preserve"> T, Lancaster</w:t>
      </w:r>
      <w:r w:rsidRPr="00AA7A4D">
        <w:rPr>
          <w:sz w:val="20"/>
          <w:szCs w:val="20"/>
        </w:rPr>
        <w:t>,</w:t>
      </w:r>
      <w:r w:rsidRPr="00EF6926">
        <w:rPr>
          <w:sz w:val="20"/>
          <w:szCs w:val="20"/>
        </w:rPr>
        <w:t xml:space="preserve"> K</w:t>
      </w:r>
      <w:r w:rsidRPr="00AA7A4D">
        <w:rPr>
          <w:sz w:val="20"/>
          <w:szCs w:val="20"/>
        </w:rPr>
        <w:t>.</w:t>
      </w:r>
      <w:r w:rsidRPr="00EF6926">
        <w:rPr>
          <w:sz w:val="20"/>
          <w:szCs w:val="20"/>
        </w:rPr>
        <w:t>, Harris</w:t>
      </w:r>
      <w:r w:rsidRPr="00AA7A4D">
        <w:rPr>
          <w:sz w:val="20"/>
          <w:szCs w:val="20"/>
        </w:rPr>
        <w:t>,</w:t>
      </w:r>
      <w:r w:rsidRPr="00EF6926">
        <w:rPr>
          <w:sz w:val="20"/>
          <w:szCs w:val="20"/>
        </w:rPr>
        <w:t xml:space="preserve"> M</w:t>
      </w:r>
      <w:r w:rsidRPr="00AA7A4D">
        <w:rPr>
          <w:sz w:val="20"/>
          <w:szCs w:val="20"/>
        </w:rPr>
        <w:t xml:space="preserve">. and </w:t>
      </w:r>
      <w:r w:rsidRPr="00EF6926">
        <w:rPr>
          <w:sz w:val="20"/>
          <w:szCs w:val="20"/>
        </w:rPr>
        <w:t>Treloar</w:t>
      </w:r>
      <w:r w:rsidRPr="00AA7A4D">
        <w:rPr>
          <w:sz w:val="20"/>
          <w:szCs w:val="20"/>
        </w:rPr>
        <w:t>,</w:t>
      </w:r>
      <w:r w:rsidRPr="00EF6926">
        <w:rPr>
          <w:sz w:val="20"/>
          <w:szCs w:val="20"/>
        </w:rPr>
        <w:t xml:space="preserve"> C. </w:t>
      </w:r>
      <w:r w:rsidRPr="00AA7A4D">
        <w:rPr>
          <w:sz w:val="20"/>
          <w:szCs w:val="20"/>
        </w:rPr>
        <w:t>(201</w:t>
      </w:r>
      <w:r w:rsidR="009D1A23">
        <w:rPr>
          <w:sz w:val="20"/>
          <w:szCs w:val="20"/>
        </w:rPr>
        <w:t>9</w:t>
      </w:r>
      <w:r w:rsidRPr="00AA7A4D">
        <w:rPr>
          <w:sz w:val="20"/>
          <w:szCs w:val="20"/>
        </w:rPr>
        <w:t xml:space="preserve">) </w:t>
      </w:r>
      <w:r w:rsidRPr="00EF6926">
        <w:rPr>
          <w:sz w:val="20"/>
          <w:szCs w:val="20"/>
        </w:rPr>
        <w:t xml:space="preserve">Evidence-making controversies: The case of hepatitis C treatment and the promise of viral elimination, </w:t>
      </w:r>
      <w:r w:rsidRPr="00EF6926">
        <w:rPr>
          <w:i/>
          <w:sz w:val="20"/>
          <w:szCs w:val="20"/>
        </w:rPr>
        <w:t>Critical Public Health</w:t>
      </w:r>
      <w:r w:rsidRPr="00EF6926">
        <w:rPr>
          <w:sz w:val="20"/>
          <w:szCs w:val="20"/>
        </w:rPr>
        <w:t xml:space="preserve">, </w:t>
      </w:r>
      <w:r w:rsidR="009D1A23">
        <w:rPr>
          <w:rFonts w:cs="Arial"/>
          <w:color w:val="333333"/>
          <w:sz w:val="20"/>
          <w:szCs w:val="20"/>
          <w:shd w:val="clear" w:color="auto" w:fill="FFFFFF"/>
        </w:rPr>
        <w:t>29: 260-273</w:t>
      </w:r>
      <w:r w:rsidRPr="00EF6926">
        <w:rPr>
          <w:sz w:val="20"/>
          <w:szCs w:val="20"/>
        </w:rPr>
        <w:t>.</w:t>
      </w:r>
    </w:p>
    <w:p w14:paraId="052A62E5" w14:textId="77777777" w:rsidR="00C50A87" w:rsidRPr="00AA7A4D" w:rsidRDefault="00C50A87" w:rsidP="007A7094">
      <w:pPr>
        <w:spacing w:after="0" w:line="240" w:lineRule="auto"/>
        <w:ind w:left="360"/>
        <w:contextualSpacing/>
        <w:jc w:val="both"/>
        <w:rPr>
          <w:sz w:val="20"/>
          <w:szCs w:val="20"/>
        </w:rPr>
      </w:pPr>
    </w:p>
    <w:p w14:paraId="46208F62" w14:textId="77777777" w:rsidR="00C50A87" w:rsidRPr="00AA7A4D" w:rsidRDefault="00C50A87" w:rsidP="00C50A87">
      <w:pPr>
        <w:spacing w:after="0" w:line="240" w:lineRule="auto"/>
        <w:contextualSpacing/>
        <w:rPr>
          <w:rFonts w:cstheme="minorHAnsi"/>
          <w:noProof/>
          <w:sz w:val="20"/>
          <w:szCs w:val="20"/>
        </w:rPr>
      </w:pPr>
      <w:r w:rsidRPr="00EF6926">
        <w:rPr>
          <w:rFonts w:cstheme="minorHAnsi"/>
          <w:noProof/>
          <w:sz w:val="20"/>
          <w:szCs w:val="20"/>
        </w:rPr>
        <w:t xml:space="preserve">Simmons, B, Saleem J, Heath, K, Cooke GS, Hill A. </w:t>
      </w:r>
      <w:r w:rsidRPr="00AA7A4D">
        <w:rPr>
          <w:rFonts w:cstheme="minorHAnsi"/>
          <w:noProof/>
          <w:sz w:val="20"/>
          <w:szCs w:val="20"/>
        </w:rPr>
        <w:t xml:space="preserve">(2015) </w:t>
      </w:r>
      <w:r w:rsidRPr="00EF6926">
        <w:rPr>
          <w:rFonts w:cstheme="minorHAnsi"/>
          <w:noProof/>
          <w:sz w:val="20"/>
          <w:szCs w:val="20"/>
        </w:rPr>
        <w:t xml:space="preserve">Long-term treatment outcomes of patients infected with hepatiti C virus: A systematic review and meta-analysis of the survival benefit of achieving a sustained virological response, </w:t>
      </w:r>
      <w:r w:rsidRPr="00EF6926">
        <w:rPr>
          <w:rFonts w:cstheme="minorHAnsi"/>
          <w:i/>
          <w:noProof/>
          <w:sz w:val="20"/>
          <w:szCs w:val="20"/>
        </w:rPr>
        <w:t>Clinical Infectious Diseases</w:t>
      </w:r>
      <w:r w:rsidRPr="00EF6926">
        <w:rPr>
          <w:rFonts w:cstheme="minorHAnsi"/>
          <w:noProof/>
          <w:sz w:val="20"/>
          <w:szCs w:val="20"/>
        </w:rPr>
        <w:t>, 61: 730-740.</w:t>
      </w:r>
    </w:p>
    <w:p w14:paraId="6A29722C" w14:textId="77777777" w:rsidR="00C50A87" w:rsidRPr="00AA7A4D" w:rsidRDefault="00C50A87" w:rsidP="00C50A87">
      <w:pPr>
        <w:keepNext/>
        <w:keepLines/>
        <w:shd w:val="clear" w:color="auto" w:fill="FFFFFF"/>
        <w:spacing w:after="0" w:line="240" w:lineRule="auto"/>
        <w:textAlignment w:val="baseline"/>
        <w:outlineLvl w:val="1"/>
        <w:rPr>
          <w:rFonts w:eastAsiaTheme="majorEastAsia" w:cs="Helvetica"/>
          <w:sz w:val="20"/>
          <w:szCs w:val="20"/>
        </w:rPr>
      </w:pPr>
    </w:p>
    <w:p w14:paraId="530DFE70" w14:textId="77777777" w:rsidR="00C50A87" w:rsidRPr="00AA7A4D" w:rsidRDefault="00C50A87" w:rsidP="00C50A87">
      <w:pPr>
        <w:keepNext/>
        <w:keepLines/>
        <w:shd w:val="clear" w:color="auto" w:fill="FFFFFF"/>
        <w:spacing w:after="0" w:line="240" w:lineRule="auto"/>
        <w:textAlignment w:val="baseline"/>
        <w:outlineLvl w:val="1"/>
        <w:rPr>
          <w:rFonts w:eastAsiaTheme="majorEastAsia" w:cs="Helvetica"/>
          <w:sz w:val="20"/>
          <w:szCs w:val="20"/>
        </w:rPr>
      </w:pPr>
      <w:r w:rsidRPr="00EF6926">
        <w:rPr>
          <w:rFonts w:eastAsiaTheme="majorEastAsia" w:cs="Helvetica"/>
          <w:sz w:val="20"/>
          <w:szCs w:val="20"/>
        </w:rPr>
        <w:t>Stengers</w:t>
      </w:r>
      <w:r w:rsidRPr="00AA7A4D">
        <w:rPr>
          <w:rFonts w:eastAsiaTheme="majorEastAsia" w:cs="Helvetica"/>
          <w:sz w:val="20"/>
          <w:szCs w:val="20"/>
        </w:rPr>
        <w:t>,</w:t>
      </w:r>
      <w:r w:rsidRPr="00EF6926">
        <w:rPr>
          <w:rFonts w:eastAsiaTheme="majorEastAsia" w:cs="Helvetica"/>
          <w:sz w:val="20"/>
          <w:szCs w:val="20"/>
        </w:rPr>
        <w:t xml:space="preserve"> I.</w:t>
      </w:r>
      <w:r w:rsidRPr="00AA7A4D">
        <w:rPr>
          <w:rFonts w:eastAsiaTheme="majorEastAsia" w:cs="Helvetica"/>
          <w:sz w:val="20"/>
          <w:szCs w:val="20"/>
        </w:rPr>
        <w:t xml:space="preserve"> (2005)</w:t>
      </w:r>
      <w:r w:rsidRPr="00EF6926">
        <w:rPr>
          <w:rFonts w:eastAsiaTheme="majorEastAsia" w:cs="Helvetica"/>
          <w:sz w:val="20"/>
          <w:szCs w:val="20"/>
        </w:rPr>
        <w:t xml:space="preserve"> The cosmopolitical proposal. In Latour</w:t>
      </w:r>
      <w:r w:rsidRPr="00AA7A4D">
        <w:rPr>
          <w:rFonts w:eastAsiaTheme="majorEastAsia" w:cs="Helvetica"/>
          <w:sz w:val="20"/>
          <w:szCs w:val="20"/>
        </w:rPr>
        <w:t>,</w:t>
      </w:r>
      <w:r w:rsidRPr="00EF6926">
        <w:rPr>
          <w:rFonts w:eastAsiaTheme="majorEastAsia" w:cs="Helvetica"/>
          <w:sz w:val="20"/>
          <w:szCs w:val="20"/>
        </w:rPr>
        <w:t xml:space="preserve"> B</w:t>
      </w:r>
      <w:r w:rsidRPr="00AA7A4D">
        <w:rPr>
          <w:rFonts w:eastAsiaTheme="majorEastAsia" w:cs="Helvetica"/>
          <w:sz w:val="20"/>
          <w:szCs w:val="20"/>
        </w:rPr>
        <w:t>. and</w:t>
      </w:r>
      <w:r w:rsidRPr="00EF6926">
        <w:rPr>
          <w:rFonts w:eastAsiaTheme="majorEastAsia" w:cs="Helvetica"/>
          <w:sz w:val="20"/>
          <w:szCs w:val="20"/>
        </w:rPr>
        <w:t xml:space="preserve"> Weibel</w:t>
      </w:r>
      <w:r w:rsidRPr="00AA7A4D">
        <w:rPr>
          <w:rFonts w:eastAsiaTheme="majorEastAsia" w:cs="Helvetica"/>
          <w:sz w:val="20"/>
          <w:szCs w:val="20"/>
        </w:rPr>
        <w:t>,</w:t>
      </w:r>
      <w:r w:rsidRPr="00EF6926">
        <w:rPr>
          <w:rFonts w:eastAsiaTheme="majorEastAsia" w:cs="Helvetica"/>
          <w:sz w:val="20"/>
          <w:szCs w:val="20"/>
        </w:rPr>
        <w:t xml:space="preserve"> P. (Eds) </w:t>
      </w:r>
      <w:r w:rsidRPr="00EF6926">
        <w:rPr>
          <w:rFonts w:eastAsiaTheme="majorEastAsia" w:cs="Helvetica"/>
          <w:i/>
          <w:sz w:val="20"/>
          <w:szCs w:val="20"/>
        </w:rPr>
        <w:t>Making Things Public</w:t>
      </w:r>
      <w:r w:rsidRPr="00EF6926">
        <w:rPr>
          <w:rFonts w:eastAsiaTheme="majorEastAsia" w:cs="Helvetica"/>
          <w:sz w:val="20"/>
          <w:szCs w:val="20"/>
        </w:rPr>
        <w:t xml:space="preserve"> (pp. 994-1003), Cambridge, MA: MIT Press.</w:t>
      </w:r>
    </w:p>
    <w:p w14:paraId="5AE70393" w14:textId="77777777" w:rsidR="00C50A87" w:rsidRPr="00EF6926" w:rsidRDefault="00C50A87" w:rsidP="00C50A87">
      <w:pPr>
        <w:spacing w:after="0" w:line="240" w:lineRule="auto"/>
        <w:ind w:left="360"/>
        <w:contextualSpacing/>
        <w:rPr>
          <w:sz w:val="20"/>
          <w:szCs w:val="20"/>
        </w:rPr>
      </w:pPr>
    </w:p>
    <w:p w14:paraId="6B810607" w14:textId="77777777" w:rsidR="00C50A87" w:rsidRPr="00AA7A4D" w:rsidRDefault="00C50A87" w:rsidP="00C50A87">
      <w:pPr>
        <w:spacing w:after="0" w:line="240" w:lineRule="auto"/>
        <w:contextualSpacing/>
        <w:rPr>
          <w:sz w:val="20"/>
          <w:szCs w:val="20"/>
        </w:rPr>
      </w:pPr>
      <w:r w:rsidRPr="00EF6926">
        <w:rPr>
          <w:sz w:val="20"/>
          <w:szCs w:val="20"/>
        </w:rPr>
        <w:t>Stengers</w:t>
      </w:r>
      <w:r w:rsidRPr="00AA7A4D">
        <w:rPr>
          <w:sz w:val="20"/>
          <w:szCs w:val="20"/>
        </w:rPr>
        <w:t>,</w:t>
      </w:r>
      <w:r w:rsidRPr="00EF6926">
        <w:rPr>
          <w:sz w:val="20"/>
          <w:szCs w:val="20"/>
        </w:rPr>
        <w:t xml:space="preserve"> I.</w:t>
      </w:r>
      <w:r w:rsidRPr="00AA7A4D">
        <w:rPr>
          <w:sz w:val="20"/>
          <w:szCs w:val="20"/>
        </w:rPr>
        <w:t xml:space="preserve"> (2018)</w:t>
      </w:r>
      <w:r w:rsidRPr="00EF6926">
        <w:rPr>
          <w:sz w:val="20"/>
          <w:szCs w:val="20"/>
        </w:rPr>
        <w:t xml:space="preserve"> </w:t>
      </w:r>
      <w:r w:rsidRPr="00EF6926">
        <w:rPr>
          <w:i/>
          <w:sz w:val="20"/>
          <w:szCs w:val="20"/>
        </w:rPr>
        <w:t>Another Science is Possible</w:t>
      </w:r>
      <w:r w:rsidRPr="00EF6926">
        <w:rPr>
          <w:sz w:val="20"/>
          <w:szCs w:val="20"/>
        </w:rPr>
        <w:t>, Cambridge: Polity Press.</w:t>
      </w:r>
    </w:p>
    <w:p w14:paraId="4FD11C66" w14:textId="77777777" w:rsidR="00C50A87" w:rsidRPr="00EF6926" w:rsidRDefault="00C50A87" w:rsidP="00C50A87">
      <w:pPr>
        <w:spacing w:after="0" w:line="240" w:lineRule="auto"/>
        <w:ind w:left="360"/>
        <w:contextualSpacing/>
        <w:rPr>
          <w:sz w:val="20"/>
          <w:szCs w:val="20"/>
        </w:rPr>
      </w:pPr>
    </w:p>
    <w:p w14:paraId="243B5796" w14:textId="77777777" w:rsidR="00C50A87" w:rsidRPr="00EF6926" w:rsidRDefault="00C50A87" w:rsidP="00C50A87">
      <w:pPr>
        <w:spacing w:after="0" w:line="240" w:lineRule="auto"/>
        <w:rPr>
          <w:rFonts w:cs="Segoe UI"/>
          <w:sz w:val="20"/>
          <w:szCs w:val="20"/>
          <w:lang w:val="en-AU"/>
        </w:rPr>
      </w:pPr>
      <w:r w:rsidRPr="00EF6926">
        <w:rPr>
          <w:rFonts w:cs="Segoe UI"/>
          <w:sz w:val="20"/>
          <w:szCs w:val="20"/>
          <w:lang w:val="en-AU"/>
        </w:rPr>
        <w:t>Whatmore</w:t>
      </w:r>
      <w:r w:rsidRPr="00AA7A4D">
        <w:rPr>
          <w:rFonts w:cs="Segoe UI"/>
          <w:sz w:val="20"/>
          <w:szCs w:val="20"/>
          <w:lang w:val="en-AU"/>
        </w:rPr>
        <w:t>,</w:t>
      </w:r>
      <w:r w:rsidRPr="00EF6926">
        <w:rPr>
          <w:rFonts w:cs="Segoe UI"/>
          <w:sz w:val="20"/>
          <w:szCs w:val="20"/>
          <w:lang w:val="en-AU"/>
        </w:rPr>
        <w:t xml:space="preserve"> S</w:t>
      </w:r>
      <w:r w:rsidRPr="00AA7A4D">
        <w:rPr>
          <w:rFonts w:cs="Segoe UI"/>
          <w:sz w:val="20"/>
          <w:szCs w:val="20"/>
          <w:lang w:val="en-AU"/>
        </w:rPr>
        <w:t xml:space="preserve">. </w:t>
      </w:r>
      <w:r w:rsidRPr="00EF6926">
        <w:rPr>
          <w:rFonts w:cs="Segoe UI"/>
          <w:sz w:val="20"/>
          <w:szCs w:val="20"/>
          <w:lang w:val="en-AU"/>
        </w:rPr>
        <w:t>J.</w:t>
      </w:r>
      <w:r w:rsidRPr="00AA7A4D">
        <w:rPr>
          <w:rFonts w:cs="Segoe UI"/>
          <w:sz w:val="20"/>
          <w:szCs w:val="20"/>
          <w:lang w:val="en-AU"/>
        </w:rPr>
        <w:t xml:space="preserve"> (200</w:t>
      </w:r>
      <w:r>
        <w:rPr>
          <w:rFonts w:cs="Segoe UI"/>
          <w:sz w:val="20"/>
          <w:szCs w:val="20"/>
          <w:lang w:val="en-AU"/>
        </w:rPr>
        <w:t>9</w:t>
      </w:r>
      <w:r w:rsidRPr="00AA7A4D">
        <w:rPr>
          <w:rFonts w:cs="Segoe UI"/>
          <w:sz w:val="20"/>
          <w:szCs w:val="20"/>
          <w:lang w:val="en-AU"/>
        </w:rPr>
        <w:t>)</w:t>
      </w:r>
      <w:r w:rsidRPr="00EF6926">
        <w:rPr>
          <w:rFonts w:cs="Segoe UI"/>
          <w:sz w:val="20"/>
          <w:szCs w:val="20"/>
          <w:lang w:val="en-AU"/>
        </w:rPr>
        <w:t xml:space="preserve"> Mapping knowledge controversies, </w:t>
      </w:r>
      <w:r w:rsidRPr="00EF6926">
        <w:rPr>
          <w:rFonts w:cs="Segoe UI"/>
          <w:i/>
          <w:sz w:val="20"/>
          <w:szCs w:val="20"/>
          <w:lang w:val="en-AU"/>
        </w:rPr>
        <w:t>Progress in Human Geography</w:t>
      </w:r>
      <w:r w:rsidRPr="00EF6926">
        <w:rPr>
          <w:rFonts w:cs="Segoe UI"/>
          <w:sz w:val="20"/>
          <w:szCs w:val="20"/>
          <w:lang w:val="en-AU"/>
        </w:rPr>
        <w:t>,</w:t>
      </w:r>
      <w:r w:rsidRPr="00EF6926">
        <w:rPr>
          <w:rFonts w:cs="Segoe UI"/>
          <w:bCs/>
          <w:sz w:val="20"/>
          <w:szCs w:val="20"/>
          <w:lang w:val="en-AU"/>
        </w:rPr>
        <w:t>33:</w:t>
      </w:r>
      <w:r w:rsidRPr="00EF6926">
        <w:rPr>
          <w:rFonts w:cs="Segoe UI"/>
          <w:sz w:val="20"/>
          <w:szCs w:val="20"/>
          <w:lang w:val="en-AU"/>
        </w:rPr>
        <w:t xml:space="preserve"> 587-598. </w:t>
      </w:r>
    </w:p>
    <w:p w14:paraId="139BE9DD" w14:textId="77777777" w:rsidR="00C50A87" w:rsidRPr="00EF6926" w:rsidRDefault="00C50A87" w:rsidP="00C50A87">
      <w:pPr>
        <w:spacing w:after="0"/>
        <w:contextualSpacing/>
        <w:jc w:val="both"/>
        <w:rPr>
          <w:sz w:val="20"/>
          <w:szCs w:val="20"/>
        </w:rPr>
      </w:pPr>
    </w:p>
    <w:p w14:paraId="5F678AFD" w14:textId="77777777" w:rsidR="00C50A87" w:rsidRPr="00AA7A4D" w:rsidRDefault="00C50A87" w:rsidP="00C50A87">
      <w:pPr>
        <w:keepNext/>
        <w:keepLines/>
        <w:shd w:val="clear" w:color="auto" w:fill="FFFFFF"/>
        <w:spacing w:after="0" w:line="240" w:lineRule="auto"/>
        <w:textAlignment w:val="baseline"/>
        <w:outlineLvl w:val="1"/>
        <w:rPr>
          <w:rFonts w:eastAsiaTheme="majorEastAsia" w:cstheme="majorBidi"/>
          <w:sz w:val="20"/>
          <w:szCs w:val="20"/>
        </w:rPr>
      </w:pPr>
      <w:r w:rsidRPr="00EF6926">
        <w:rPr>
          <w:rFonts w:eastAsiaTheme="majorEastAsia" w:cstheme="majorBidi"/>
          <w:sz w:val="20"/>
          <w:szCs w:val="20"/>
        </w:rPr>
        <w:lastRenderedPageBreak/>
        <w:t>Wood</w:t>
      </w:r>
      <w:r w:rsidRPr="00AA7A4D">
        <w:rPr>
          <w:rFonts w:eastAsiaTheme="majorEastAsia" w:cstheme="majorBidi"/>
          <w:sz w:val="20"/>
          <w:szCs w:val="20"/>
        </w:rPr>
        <w:t>,</w:t>
      </w:r>
      <w:r w:rsidRPr="00EF6926">
        <w:rPr>
          <w:rFonts w:eastAsiaTheme="majorEastAsia" w:cstheme="majorBidi"/>
          <w:sz w:val="20"/>
          <w:szCs w:val="20"/>
        </w:rPr>
        <w:t xml:space="preserve"> M</w:t>
      </w:r>
      <w:r w:rsidRPr="00AA7A4D">
        <w:rPr>
          <w:rFonts w:eastAsiaTheme="majorEastAsia" w:cstheme="majorBidi"/>
          <w:sz w:val="20"/>
          <w:szCs w:val="20"/>
        </w:rPr>
        <w:t>.</w:t>
      </w:r>
      <w:r w:rsidRPr="00EF6926">
        <w:rPr>
          <w:rFonts w:eastAsiaTheme="majorEastAsia" w:cstheme="majorBidi"/>
          <w:sz w:val="20"/>
          <w:szCs w:val="20"/>
        </w:rPr>
        <w:t>, Ferlie</w:t>
      </w:r>
      <w:r w:rsidRPr="00AA7A4D">
        <w:rPr>
          <w:rFonts w:eastAsiaTheme="majorEastAsia" w:cstheme="majorBidi"/>
          <w:sz w:val="20"/>
          <w:szCs w:val="20"/>
        </w:rPr>
        <w:t>,</w:t>
      </w:r>
      <w:r w:rsidRPr="00EF6926">
        <w:rPr>
          <w:rFonts w:eastAsiaTheme="majorEastAsia" w:cstheme="majorBidi"/>
          <w:sz w:val="20"/>
          <w:szCs w:val="20"/>
        </w:rPr>
        <w:t xml:space="preserve"> E</w:t>
      </w:r>
      <w:r w:rsidRPr="00AA7A4D">
        <w:rPr>
          <w:rFonts w:eastAsiaTheme="majorEastAsia" w:cstheme="majorBidi"/>
          <w:sz w:val="20"/>
          <w:szCs w:val="20"/>
        </w:rPr>
        <w:t>. and</w:t>
      </w:r>
      <w:r w:rsidRPr="00EF6926">
        <w:rPr>
          <w:rFonts w:eastAsiaTheme="majorEastAsia" w:cstheme="majorBidi"/>
          <w:sz w:val="20"/>
          <w:szCs w:val="20"/>
        </w:rPr>
        <w:t xml:space="preserve"> Fitzgerald</w:t>
      </w:r>
      <w:r w:rsidRPr="00AA7A4D">
        <w:rPr>
          <w:rFonts w:eastAsiaTheme="majorEastAsia" w:cstheme="majorBidi"/>
          <w:sz w:val="20"/>
          <w:szCs w:val="20"/>
        </w:rPr>
        <w:t>,</w:t>
      </w:r>
      <w:r w:rsidRPr="00EF6926">
        <w:rPr>
          <w:rFonts w:eastAsiaTheme="majorEastAsia" w:cstheme="majorBidi"/>
          <w:sz w:val="20"/>
          <w:szCs w:val="20"/>
        </w:rPr>
        <w:t xml:space="preserve"> L.</w:t>
      </w:r>
      <w:r w:rsidRPr="00AA7A4D">
        <w:rPr>
          <w:rFonts w:eastAsiaTheme="majorEastAsia" w:cstheme="majorBidi"/>
          <w:sz w:val="20"/>
          <w:szCs w:val="20"/>
        </w:rPr>
        <w:t xml:space="preserve"> (1998)</w:t>
      </w:r>
      <w:r w:rsidRPr="00EF6926">
        <w:rPr>
          <w:rFonts w:eastAsiaTheme="majorEastAsia" w:cstheme="majorBidi"/>
          <w:sz w:val="20"/>
          <w:szCs w:val="20"/>
        </w:rPr>
        <w:t xml:space="preserve"> Achieving clinical behaviour change: A case of becoming indeterminate, </w:t>
      </w:r>
      <w:r w:rsidRPr="00EF6926">
        <w:rPr>
          <w:rFonts w:eastAsiaTheme="majorEastAsia" w:cstheme="majorBidi"/>
          <w:i/>
          <w:sz w:val="20"/>
          <w:szCs w:val="20"/>
        </w:rPr>
        <w:t>Social Science &amp; Medicine</w:t>
      </w:r>
      <w:r w:rsidRPr="00AA7A4D">
        <w:rPr>
          <w:rFonts w:eastAsiaTheme="majorEastAsia" w:cstheme="majorBidi"/>
          <w:sz w:val="20"/>
          <w:szCs w:val="20"/>
        </w:rPr>
        <w:t xml:space="preserve">, </w:t>
      </w:r>
      <w:r w:rsidRPr="00EF6926">
        <w:rPr>
          <w:rFonts w:eastAsiaTheme="majorEastAsia" w:cstheme="majorBidi"/>
          <w:sz w:val="20"/>
          <w:szCs w:val="20"/>
        </w:rPr>
        <w:t>47: 1729-1738.</w:t>
      </w:r>
    </w:p>
    <w:p w14:paraId="224C0599" w14:textId="77777777" w:rsidR="00C50A87" w:rsidRPr="00AA7A4D" w:rsidRDefault="00C50A87" w:rsidP="00C50A87">
      <w:pPr>
        <w:keepNext/>
        <w:keepLines/>
        <w:shd w:val="clear" w:color="auto" w:fill="FFFFFF"/>
        <w:spacing w:after="0" w:line="240" w:lineRule="auto"/>
        <w:ind w:left="360"/>
        <w:textAlignment w:val="baseline"/>
        <w:outlineLvl w:val="1"/>
        <w:rPr>
          <w:rFonts w:eastAsiaTheme="majorEastAsia" w:cstheme="majorBidi"/>
          <w:sz w:val="20"/>
          <w:szCs w:val="20"/>
        </w:rPr>
      </w:pPr>
    </w:p>
    <w:p w14:paraId="597F7175" w14:textId="77777777" w:rsidR="00C50A87" w:rsidRPr="00AA7A4D" w:rsidRDefault="00C50A87" w:rsidP="00C50A87">
      <w:pPr>
        <w:spacing w:after="0" w:line="240" w:lineRule="auto"/>
        <w:contextualSpacing/>
        <w:rPr>
          <w:rFonts w:cstheme="minorHAnsi"/>
          <w:noProof/>
          <w:sz w:val="20"/>
          <w:szCs w:val="20"/>
        </w:rPr>
      </w:pPr>
      <w:r w:rsidRPr="00EF6926">
        <w:rPr>
          <w:rFonts w:cstheme="minorHAnsi"/>
          <w:noProof/>
          <w:sz w:val="20"/>
          <w:szCs w:val="20"/>
        </w:rPr>
        <w:t>World Health Organization</w:t>
      </w:r>
      <w:r w:rsidRPr="00AA7A4D">
        <w:rPr>
          <w:rFonts w:cstheme="minorHAnsi"/>
          <w:noProof/>
          <w:sz w:val="20"/>
          <w:szCs w:val="20"/>
        </w:rPr>
        <w:t xml:space="preserve"> (2016a)</w:t>
      </w:r>
      <w:r w:rsidRPr="00EF6926">
        <w:rPr>
          <w:rFonts w:cstheme="minorHAnsi"/>
          <w:noProof/>
          <w:sz w:val="20"/>
          <w:szCs w:val="20"/>
        </w:rPr>
        <w:t xml:space="preserve"> </w:t>
      </w:r>
      <w:r w:rsidRPr="00EF6926">
        <w:rPr>
          <w:rFonts w:cstheme="minorHAnsi"/>
          <w:i/>
          <w:noProof/>
          <w:sz w:val="20"/>
          <w:szCs w:val="20"/>
        </w:rPr>
        <w:t>Global Health Sector Strategy on Viral Hepatitis 2016-2021: Towards Ending Viral Hepatitis</w:t>
      </w:r>
      <w:r w:rsidRPr="00EF6926">
        <w:rPr>
          <w:rFonts w:cstheme="minorHAnsi"/>
          <w:noProof/>
          <w:sz w:val="20"/>
          <w:szCs w:val="20"/>
        </w:rPr>
        <w:t>, Geneva: World Health Organization.</w:t>
      </w:r>
    </w:p>
    <w:p w14:paraId="09307C29" w14:textId="77777777" w:rsidR="00C50A87" w:rsidRPr="00EF6926" w:rsidRDefault="00C50A87" w:rsidP="00C50A87">
      <w:pPr>
        <w:spacing w:after="0" w:line="240" w:lineRule="auto"/>
        <w:ind w:left="360"/>
        <w:contextualSpacing/>
        <w:rPr>
          <w:rFonts w:cstheme="minorHAnsi"/>
          <w:noProof/>
          <w:sz w:val="20"/>
          <w:szCs w:val="20"/>
        </w:rPr>
      </w:pPr>
    </w:p>
    <w:p w14:paraId="2417DE87" w14:textId="77777777" w:rsidR="00C50A87" w:rsidRPr="00AA7A4D" w:rsidRDefault="00C50A87" w:rsidP="00C50A87">
      <w:pPr>
        <w:spacing w:after="0" w:line="240" w:lineRule="auto"/>
        <w:contextualSpacing/>
        <w:rPr>
          <w:rFonts w:cstheme="minorHAnsi"/>
          <w:noProof/>
          <w:sz w:val="20"/>
          <w:szCs w:val="20"/>
        </w:rPr>
      </w:pPr>
      <w:r w:rsidRPr="00EF6926">
        <w:rPr>
          <w:rFonts w:cstheme="minorHAnsi"/>
          <w:noProof/>
          <w:sz w:val="20"/>
          <w:szCs w:val="20"/>
        </w:rPr>
        <w:t>World Health Organization</w:t>
      </w:r>
      <w:r w:rsidRPr="00AA7A4D">
        <w:rPr>
          <w:rFonts w:cstheme="minorHAnsi"/>
          <w:noProof/>
          <w:sz w:val="20"/>
          <w:szCs w:val="20"/>
        </w:rPr>
        <w:t xml:space="preserve"> (2016b)</w:t>
      </w:r>
      <w:r w:rsidRPr="00EF6926">
        <w:rPr>
          <w:rFonts w:cstheme="minorHAnsi"/>
          <w:noProof/>
          <w:sz w:val="20"/>
          <w:szCs w:val="20"/>
        </w:rPr>
        <w:t xml:space="preserve"> </w:t>
      </w:r>
      <w:r w:rsidRPr="00EF6926">
        <w:rPr>
          <w:rFonts w:cstheme="minorHAnsi"/>
          <w:i/>
          <w:noProof/>
          <w:sz w:val="20"/>
          <w:szCs w:val="20"/>
        </w:rPr>
        <w:t>Combating Hepatitis B and C to Reach Elimination by 2030</w:t>
      </w:r>
      <w:r w:rsidRPr="00EF6926">
        <w:rPr>
          <w:rFonts w:cstheme="minorHAnsi"/>
          <w:noProof/>
          <w:sz w:val="20"/>
          <w:szCs w:val="20"/>
        </w:rPr>
        <w:t>, Geneva: World Health Organization.</w:t>
      </w:r>
    </w:p>
    <w:p w14:paraId="42C0AC45" w14:textId="77777777" w:rsidR="00C50A87" w:rsidRPr="00AA7A4D" w:rsidRDefault="00C50A87" w:rsidP="00C50A87">
      <w:pPr>
        <w:spacing w:after="0" w:line="240" w:lineRule="auto"/>
        <w:ind w:left="360"/>
        <w:contextualSpacing/>
        <w:rPr>
          <w:rFonts w:cstheme="minorHAnsi"/>
          <w:noProof/>
          <w:sz w:val="20"/>
          <w:szCs w:val="20"/>
        </w:rPr>
      </w:pPr>
    </w:p>
    <w:p w14:paraId="749DBAFD" w14:textId="77777777" w:rsidR="00C50A87" w:rsidRPr="00AA7A4D" w:rsidRDefault="00C50A87" w:rsidP="00C50A87">
      <w:pPr>
        <w:spacing w:after="0" w:line="240" w:lineRule="auto"/>
        <w:contextualSpacing/>
        <w:rPr>
          <w:rFonts w:cstheme="minorHAnsi"/>
          <w:sz w:val="20"/>
          <w:szCs w:val="20"/>
        </w:rPr>
      </w:pPr>
      <w:r w:rsidRPr="00EF6926">
        <w:rPr>
          <w:rFonts w:cstheme="minorHAnsi"/>
          <w:sz w:val="20"/>
          <w:szCs w:val="20"/>
        </w:rPr>
        <w:t xml:space="preserve">World Hepatitis Alliance (2017) An open letter to the Cochrane Collaboration, </w:t>
      </w:r>
      <w:r w:rsidRPr="00EF6926">
        <w:rPr>
          <w:rFonts w:cstheme="minorHAnsi"/>
          <w:i/>
          <w:sz w:val="20"/>
          <w:szCs w:val="20"/>
        </w:rPr>
        <w:t>Lancet Gastroenterology and Hepatology</w:t>
      </w:r>
      <w:r w:rsidRPr="00EF6926">
        <w:rPr>
          <w:rFonts w:cstheme="minorHAnsi"/>
          <w:sz w:val="20"/>
          <w:szCs w:val="20"/>
        </w:rPr>
        <w:t>, 8: 549.</w:t>
      </w:r>
    </w:p>
    <w:p w14:paraId="05D9CC33" w14:textId="77777777" w:rsidR="00601E34" w:rsidRPr="00BC4A38" w:rsidRDefault="00601E34" w:rsidP="006E43DE">
      <w:pPr>
        <w:spacing w:after="0" w:line="240" w:lineRule="auto"/>
        <w:jc w:val="both"/>
      </w:pPr>
    </w:p>
    <w:sectPr w:rsidR="00601E34" w:rsidRPr="00BC4A38" w:rsidSect="0041599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4F84A" w14:textId="77777777" w:rsidR="00DF52F0" w:rsidRDefault="00DF52F0" w:rsidP="00EB2C8F">
      <w:pPr>
        <w:spacing w:after="0" w:line="240" w:lineRule="auto"/>
      </w:pPr>
      <w:r>
        <w:separator/>
      </w:r>
    </w:p>
  </w:endnote>
  <w:endnote w:type="continuationSeparator" w:id="0">
    <w:p w14:paraId="2E90C8DE" w14:textId="77777777" w:rsidR="00DF52F0" w:rsidRDefault="00DF52F0" w:rsidP="00EB2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960554"/>
      <w:docPartObj>
        <w:docPartGallery w:val="Page Numbers (Bottom of Page)"/>
        <w:docPartUnique/>
      </w:docPartObj>
    </w:sdtPr>
    <w:sdtEndPr>
      <w:rPr>
        <w:noProof/>
      </w:rPr>
    </w:sdtEndPr>
    <w:sdtContent>
      <w:p w14:paraId="05B8DF80" w14:textId="3655C77D" w:rsidR="009D1A23" w:rsidRDefault="009D1A23">
        <w:pPr>
          <w:pStyle w:val="Footer"/>
          <w:jc w:val="center"/>
        </w:pPr>
        <w:r>
          <w:fldChar w:fldCharType="begin"/>
        </w:r>
        <w:r>
          <w:instrText xml:space="preserve"> PAGE   \* MERGEFORMAT </w:instrText>
        </w:r>
        <w:r>
          <w:fldChar w:fldCharType="separate"/>
        </w:r>
        <w:r w:rsidR="007A7094">
          <w:rPr>
            <w:noProof/>
          </w:rPr>
          <w:t>1</w:t>
        </w:r>
        <w:r>
          <w:rPr>
            <w:noProof/>
          </w:rPr>
          <w:fldChar w:fldCharType="end"/>
        </w:r>
      </w:p>
    </w:sdtContent>
  </w:sdt>
  <w:p w14:paraId="6F86B3DD" w14:textId="77777777" w:rsidR="009D1A23" w:rsidRDefault="009D1A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5D5C9" w14:textId="77777777" w:rsidR="00DF52F0" w:rsidRDefault="00DF52F0" w:rsidP="00EB2C8F">
      <w:pPr>
        <w:spacing w:after="0" w:line="240" w:lineRule="auto"/>
      </w:pPr>
      <w:r>
        <w:separator/>
      </w:r>
    </w:p>
  </w:footnote>
  <w:footnote w:type="continuationSeparator" w:id="0">
    <w:p w14:paraId="1DD7332D" w14:textId="77777777" w:rsidR="00DF52F0" w:rsidRDefault="00DF52F0" w:rsidP="00EB2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FAA"/>
    <w:multiLevelType w:val="hybridMultilevel"/>
    <w:tmpl w:val="558C6A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1584E"/>
    <w:multiLevelType w:val="hybridMultilevel"/>
    <w:tmpl w:val="E59E5A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15F1E"/>
    <w:multiLevelType w:val="hybridMultilevel"/>
    <w:tmpl w:val="09C65720"/>
    <w:lvl w:ilvl="0" w:tplc="0F8248B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603CEA"/>
    <w:multiLevelType w:val="hybridMultilevel"/>
    <w:tmpl w:val="1FE879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183E41"/>
    <w:multiLevelType w:val="hybridMultilevel"/>
    <w:tmpl w:val="3926B056"/>
    <w:lvl w:ilvl="0" w:tplc="C1C8BFD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374647"/>
    <w:multiLevelType w:val="hybridMultilevel"/>
    <w:tmpl w:val="571C243A"/>
    <w:lvl w:ilvl="0" w:tplc="0B0075DA">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2E0"/>
    <w:rsid w:val="00001DC2"/>
    <w:rsid w:val="00003099"/>
    <w:rsid w:val="0000350D"/>
    <w:rsid w:val="000044C4"/>
    <w:rsid w:val="000110C8"/>
    <w:rsid w:val="0001618A"/>
    <w:rsid w:val="000166F4"/>
    <w:rsid w:val="000167DE"/>
    <w:rsid w:val="00020D84"/>
    <w:rsid w:val="00024BCB"/>
    <w:rsid w:val="0002533B"/>
    <w:rsid w:val="000257F8"/>
    <w:rsid w:val="00030FE3"/>
    <w:rsid w:val="000332CD"/>
    <w:rsid w:val="00033ED2"/>
    <w:rsid w:val="00040660"/>
    <w:rsid w:val="00041945"/>
    <w:rsid w:val="000424A8"/>
    <w:rsid w:val="00042853"/>
    <w:rsid w:val="000437E6"/>
    <w:rsid w:val="000467E4"/>
    <w:rsid w:val="00052B3A"/>
    <w:rsid w:val="0005633A"/>
    <w:rsid w:val="00060003"/>
    <w:rsid w:val="00060DC6"/>
    <w:rsid w:val="0007277F"/>
    <w:rsid w:val="00073466"/>
    <w:rsid w:val="0007471D"/>
    <w:rsid w:val="00074D98"/>
    <w:rsid w:val="00075D65"/>
    <w:rsid w:val="00076991"/>
    <w:rsid w:val="000801BA"/>
    <w:rsid w:val="0008517F"/>
    <w:rsid w:val="00086F8D"/>
    <w:rsid w:val="00091313"/>
    <w:rsid w:val="000916AF"/>
    <w:rsid w:val="00096FF3"/>
    <w:rsid w:val="000A6FA6"/>
    <w:rsid w:val="000A7415"/>
    <w:rsid w:val="000B0219"/>
    <w:rsid w:val="000B51CB"/>
    <w:rsid w:val="000B5DEF"/>
    <w:rsid w:val="000B66BE"/>
    <w:rsid w:val="000B70CB"/>
    <w:rsid w:val="000C25D0"/>
    <w:rsid w:val="000C340A"/>
    <w:rsid w:val="000C3E83"/>
    <w:rsid w:val="000C46A4"/>
    <w:rsid w:val="000C4F4D"/>
    <w:rsid w:val="000D0EAE"/>
    <w:rsid w:val="000D39F5"/>
    <w:rsid w:val="000D627E"/>
    <w:rsid w:val="000D6365"/>
    <w:rsid w:val="000D6C6F"/>
    <w:rsid w:val="000D6CA1"/>
    <w:rsid w:val="000D7217"/>
    <w:rsid w:val="000E022A"/>
    <w:rsid w:val="000E0870"/>
    <w:rsid w:val="000E1964"/>
    <w:rsid w:val="000E28B7"/>
    <w:rsid w:val="000E2A3E"/>
    <w:rsid w:val="000E78EE"/>
    <w:rsid w:val="000F3BAE"/>
    <w:rsid w:val="000F4D7D"/>
    <w:rsid w:val="000F57BA"/>
    <w:rsid w:val="001011BA"/>
    <w:rsid w:val="00101606"/>
    <w:rsid w:val="00101929"/>
    <w:rsid w:val="00101E08"/>
    <w:rsid w:val="00102E45"/>
    <w:rsid w:val="00105F62"/>
    <w:rsid w:val="001065BE"/>
    <w:rsid w:val="001116F9"/>
    <w:rsid w:val="00111822"/>
    <w:rsid w:val="00120303"/>
    <w:rsid w:val="00121643"/>
    <w:rsid w:val="00122229"/>
    <w:rsid w:val="00125C08"/>
    <w:rsid w:val="00135BB6"/>
    <w:rsid w:val="00137076"/>
    <w:rsid w:val="00141DBE"/>
    <w:rsid w:val="00144F18"/>
    <w:rsid w:val="00146093"/>
    <w:rsid w:val="0015092A"/>
    <w:rsid w:val="00152204"/>
    <w:rsid w:val="00155B15"/>
    <w:rsid w:val="00155E3A"/>
    <w:rsid w:val="00156443"/>
    <w:rsid w:val="00162409"/>
    <w:rsid w:val="0017050F"/>
    <w:rsid w:val="0017201E"/>
    <w:rsid w:val="001745C4"/>
    <w:rsid w:val="00177995"/>
    <w:rsid w:val="00180815"/>
    <w:rsid w:val="00180B1A"/>
    <w:rsid w:val="0018218F"/>
    <w:rsid w:val="0018306D"/>
    <w:rsid w:val="00183A1B"/>
    <w:rsid w:val="001851B4"/>
    <w:rsid w:val="001908F4"/>
    <w:rsid w:val="0019192E"/>
    <w:rsid w:val="001921FA"/>
    <w:rsid w:val="001941A4"/>
    <w:rsid w:val="0019510C"/>
    <w:rsid w:val="0019519B"/>
    <w:rsid w:val="001A4FEC"/>
    <w:rsid w:val="001A7734"/>
    <w:rsid w:val="001B0C7F"/>
    <w:rsid w:val="001B181F"/>
    <w:rsid w:val="001B344F"/>
    <w:rsid w:val="001B35F9"/>
    <w:rsid w:val="001B43DD"/>
    <w:rsid w:val="001B5B0E"/>
    <w:rsid w:val="001C3209"/>
    <w:rsid w:val="001C458C"/>
    <w:rsid w:val="001C600D"/>
    <w:rsid w:val="001C6C74"/>
    <w:rsid w:val="001D00C3"/>
    <w:rsid w:val="001D00F2"/>
    <w:rsid w:val="001D0C46"/>
    <w:rsid w:val="001D1E28"/>
    <w:rsid w:val="001D37A4"/>
    <w:rsid w:val="001D599F"/>
    <w:rsid w:val="001D5B83"/>
    <w:rsid w:val="001E0964"/>
    <w:rsid w:val="001E2CFD"/>
    <w:rsid w:val="001E5108"/>
    <w:rsid w:val="001E5770"/>
    <w:rsid w:val="001E64EB"/>
    <w:rsid w:val="001E6A64"/>
    <w:rsid w:val="001F2DD8"/>
    <w:rsid w:val="001F3435"/>
    <w:rsid w:val="001F6A35"/>
    <w:rsid w:val="001F6E3B"/>
    <w:rsid w:val="001F6F06"/>
    <w:rsid w:val="001F7390"/>
    <w:rsid w:val="001F7BBE"/>
    <w:rsid w:val="00200A17"/>
    <w:rsid w:val="002020BB"/>
    <w:rsid w:val="00202372"/>
    <w:rsid w:val="00206D7B"/>
    <w:rsid w:val="00210FAE"/>
    <w:rsid w:val="002115B5"/>
    <w:rsid w:val="0021421B"/>
    <w:rsid w:val="00217E56"/>
    <w:rsid w:val="00226E7E"/>
    <w:rsid w:val="002322F6"/>
    <w:rsid w:val="002365F8"/>
    <w:rsid w:val="00240423"/>
    <w:rsid w:val="002414E4"/>
    <w:rsid w:val="00242CA5"/>
    <w:rsid w:val="00247FA2"/>
    <w:rsid w:val="00247FD3"/>
    <w:rsid w:val="00251886"/>
    <w:rsid w:val="0026040D"/>
    <w:rsid w:val="00261402"/>
    <w:rsid w:val="002636C1"/>
    <w:rsid w:val="00271681"/>
    <w:rsid w:val="0027530B"/>
    <w:rsid w:val="0028277D"/>
    <w:rsid w:val="00284478"/>
    <w:rsid w:val="002856CA"/>
    <w:rsid w:val="002860A4"/>
    <w:rsid w:val="00287744"/>
    <w:rsid w:val="00291276"/>
    <w:rsid w:val="00291442"/>
    <w:rsid w:val="00291B33"/>
    <w:rsid w:val="002A0306"/>
    <w:rsid w:val="002A1420"/>
    <w:rsid w:val="002B2095"/>
    <w:rsid w:val="002B3D5D"/>
    <w:rsid w:val="002B7743"/>
    <w:rsid w:val="002C0ACF"/>
    <w:rsid w:val="002C185D"/>
    <w:rsid w:val="002C2895"/>
    <w:rsid w:val="002C61D9"/>
    <w:rsid w:val="002C63E5"/>
    <w:rsid w:val="002D0D4C"/>
    <w:rsid w:val="002D1C05"/>
    <w:rsid w:val="002D2311"/>
    <w:rsid w:val="002D27E2"/>
    <w:rsid w:val="002D345E"/>
    <w:rsid w:val="002D3573"/>
    <w:rsid w:val="002D3AA7"/>
    <w:rsid w:val="002D44CD"/>
    <w:rsid w:val="002D5822"/>
    <w:rsid w:val="002D61E2"/>
    <w:rsid w:val="002D6AEF"/>
    <w:rsid w:val="002E419C"/>
    <w:rsid w:val="002E4B26"/>
    <w:rsid w:val="002F40F3"/>
    <w:rsid w:val="002F5C83"/>
    <w:rsid w:val="002F7087"/>
    <w:rsid w:val="002F7C70"/>
    <w:rsid w:val="003034E4"/>
    <w:rsid w:val="003034EE"/>
    <w:rsid w:val="00311D34"/>
    <w:rsid w:val="00312A78"/>
    <w:rsid w:val="00314CE8"/>
    <w:rsid w:val="00315749"/>
    <w:rsid w:val="003208F7"/>
    <w:rsid w:val="00321333"/>
    <w:rsid w:val="00322FEB"/>
    <w:rsid w:val="00323B35"/>
    <w:rsid w:val="00327EE3"/>
    <w:rsid w:val="003362B6"/>
    <w:rsid w:val="00337D8A"/>
    <w:rsid w:val="003414E3"/>
    <w:rsid w:val="003427D2"/>
    <w:rsid w:val="0034415B"/>
    <w:rsid w:val="00351B11"/>
    <w:rsid w:val="00352A4A"/>
    <w:rsid w:val="00353623"/>
    <w:rsid w:val="0035498A"/>
    <w:rsid w:val="0035512C"/>
    <w:rsid w:val="00355ECE"/>
    <w:rsid w:val="003629F2"/>
    <w:rsid w:val="0036406E"/>
    <w:rsid w:val="00365EFF"/>
    <w:rsid w:val="00367BAA"/>
    <w:rsid w:val="00370989"/>
    <w:rsid w:val="00370C8E"/>
    <w:rsid w:val="003711F3"/>
    <w:rsid w:val="00372C9A"/>
    <w:rsid w:val="00374024"/>
    <w:rsid w:val="0037535D"/>
    <w:rsid w:val="00382394"/>
    <w:rsid w:val="003904E6"/>
    <w:rsid w:val="00396277"/>
    <w:rsid w:val="003A1593"/>
    <w:rsid w:val="003A3E89"/>
    <w:rsid w:val="003A6307"/>
    <w:rsid w:val="003A6A29"/>
    <w:rsid w:val="003A7666"/>
    <w:rsid w:val="003B2654"/>
    <w:rsid w:val="003B4321"/>
    <w:rsid w:val="003C202B"/>
    <w:rsid w:val="003C2A3E"/>
    <w:rsid w:val="003C44B3"/>
    <w:rsid w:val="003C47B6"/>
    <w:rsid w:val="003C4A60"/>
    <w:rsid w:val="003C7382"/>
    <w:rsid w:val="003D2000"/>
    <w:rsid w:val="003D626C"/>
    <w:rsid w:val="003D6ABF"/>
    <w:rsid w:val="003E26F3"/>
    <w:rsid w:val="003E65B0"/>
    <w:rsid w:val="003E7710"/>
    <w:rsid w:val="003F1111"/>
    <w:rsid w:val="003F5645"/>
    <w:rsid w:val="00401ED7"/>
    <w:rsid w:val="00402BDA"/>
    <w:rsid w:val="00402EB1"/>
    <w:rsid w:val="00412F10"/>
    <w:rsid w:val="00413674"/>
    <w:rsid w:val="00415996"/>
    <w:rsid w:val="00420DB9"/>
    <w:rsid w:val="0043053F"/>
    <w:rsid w:val="00432086"/>
    <w:rsid w:val="00432D10"/>
    <w:rsid w:val="00432EAB"/>
    <w:rsid w:val="0043753C"/>
    <w:rsid w:val="00437D99"/>
    <w:rsid w:val="00440916"/>
    <w:rsid w:val="00441433"/>
    <w:rsid w:val="00441546"/>
    <w:rsid w:val="00441628"/>
    <w:rsid w:val="00446C1A"/>
    <w:rsid w:val="0045214E"/>
    <w:rsid w:val="0045395E"/>
    <w:rsid w:val="004549D3"/>
    <w:rsid w:val="004566B4"/>
    <w:rsid w:val="00457405"/>
    <w:rsid w:val="004610CB"/>
    <w:rsid w:val="0046368C"/>
    <w:rsid w:val="0046727F"/>
    <w:rsid w:val="00471E0A"/>
    <w:rsid w:val="00471E68"/>
    <w:rsid w:val="00475F90"/>
    <w:rsid w:val="00477F5C"/>
    <w:rsid w:val="00480A9B"/>
    <w:rsid w:val="00480E88"/>
    <w:rsid w:val="00481674"/>
    <w:rsid w:val="0048208A"/>
    <w:rsid w:val="00483AE9"/>
    <w:rsid w:val="00483D45"/>
    <w:rsid w:val="004841FF"/>
    <w:rsid w:val="00485C08"/>
    <w:rsid w:val="00485F40"/>
    <w:rsid w:val="004860E6"/>
    <w:rsid w:val="00486F4E"/>
    <w:rsid w:val="004A11C0"/>
    <w:rsid w:val="004A1213"/>
    <w:rsid w:val="004A2469"/>
    <w:rsid w:val="004A27A8"/>
    <w:rsid w:val="004A2AC1"/>
    <w:rsid w:val="004A69BA"/>
    <w:rsid w:val="004B01A5"/>
    <w:rsid w:val="004B099B"/>
    <w:rsid w:val="004B1101"/>
    <w:rsid w:val="004B1B9C"/>
    <w:rsid w:val="004B2F80"/>
    <w:rsid w:val="004B375D"/>
    <w:rsid w:val="004B39F9"/>
    <w:rsid w:val="004B3C95"/>
    <w:rsid w:val="004B3F7B"/>
    <w:rsid w:val="004B4615"/>
    <w:rsid w:val="004B4BB9"/>
    <w:rsid w:val="004B692F"/>
    <w:rsid w:val="004C1798"/>
    <w:rsid w:val="004C1A7E"/>
    <w:rsid w:val="004C1ADD"/>
    <w:rsid w:val="004C6309"/>
    <w:rsid w:val="004D1369"/>
    <w:rsid w:val="004D5D32"/>
    <w:rsid w:val="004E3C89"/>
    <w:rsid w:val="004E5691"/>
    <w:rsid w:val="004F15DB"/>
    <w:rsid w:val="004F5944"/>
    <w:rsid w:val="004F77FF"/>
    <w:rsid w:val="0050146B"/>
    <w:rsid w:val="005047B3"/>
    <w:rsid w:val="00505AC4"/>
    <w:rsid w:val="0051115A"/>
    <w:rsid w:val="00523BA6"/>
    <w:rsid w:val="00524A4B"/>
    <w:rsid w:val="00527481"/>
    <w:rsid w:val="005308E3"/>
    <w:rsid w:val="00533ADB"/>
    <w:rsid w:val="00534469"/>
    <w:rsid w:val="00536BAF"/>
    <w:rsid w:val="0054287F"/>
    <w:rsid w:val="005454F3"/>
    <w:rsid w:val="0055031E"/>
    <w:rsid w:val="00551261"/>
    <w:rsid w:val="00552A26"/>
    <w:rsid w:val="00556250"/>
    <w:rsid w:val="005579E7"/>
    <w:rsid w:val="00562730"/>
    <w:rsid w:val="0056315C"/>
    <w:rsid w:val="00571446"/>
    <w:rsid w:val="00574D54"/>
    <w:rsid w:val="00583BDC"/>
    <w:rsid w:val="00585612"/>
    <w:rsid w:val="00585F09"/>
    <w:rsid w:val="00586A9C"/>
    <w:rsid w:val="00586AC1"/>
    <w:rsid w:val="005919B5"/>
    <w:rsid w:val="00591F97"/>
    <w:rsid w:val="0059329C"/>
    <w:rsid w:val="00593539"/>
    <w:rsid w:val="0059563A"/>
    <w:rsid w:val="0059632D"/>
    <w:rsid w:val="005A2296"/>
    <w:rsid w:val="005A3870"/>
    <w:rsid w:val="005A42DF"/>
    <w:rsid w:val="005A50C4"/>
    <w:rsid w:val="005A65B6"/>
    <w:rsid w:val="005A72A3"/>
    <w:rsid w:val="005B2168"/>
    <w:rsid w:val="005B3CFA"/>
    <w:rsid w:val="005C2541"/>
    <w:rsid w:val="005C4792"/>
    <w:rsid w:val="005C4A50"/>
    <w:rsid w:val="005C7509"/>
    <w:rsid w:val="005D0860"/>
    <w:rsid w:val="005D27A1"/>
    <w:rsid w:val="005D4099"/>
    <w:rsid w:val="005D57E2"/>
    <w:rsid w:val="005D671A"/>
    <w:rsid w:val="005D7129"/>
    <w:rsid w:val="005D7FBD"/>
    <w:rsid w:val="005E24BB"/>
    <w:rsid w:val="005E3683"/>
    <w:rsid w:val="005E583C"/>
    <w:rsid w:val="005E6FB5"/>
    <w:rsid w:val="005E74F2"/>
    <w:rsid w:val="005F5439"/>
    <w:rsid w:val="005F553A"/>
    <w:rsid w:val="005F59CB"/>
    <w:rsid w:val="005F5F44"/>
    <w:rsid w:val="00601E34"/>
    <w:rsid w:val="00605FF6"/>
    <w:rsid w:val="00606D24"/>
    <w:rsid w:val="0061136E"/>
    <w:rsid w:val="00611675"/>
    <w:rsid w:val="00612EC4"/>
    <w:rsid w:val="00613A10"/>
    <w:rsid w:val="00613E1D"/>
    <w:rsid w:val="00616F7E"/>
    <w:rsid w:val="006254B3"/>
    <w:rsid w:val="0062709E"/>
    <w:rsid w:val="00631CB7"/>
    <w:rsid w:val="00633755"/>
    <w:rsid w:val="00635122"/>
    <w:rsid w:val="00636207"/>
    <w:rsid w:val="00636620"/>
    <w:rsid w:val="0064142F"/>
    <w:rsid w:val="00642C77"/>
    <w:rsid w:val="00643008"/>
    <w:rsid w:val="00643BE3"/>
    <w:rsid w:val="00643CEE"/>
    <w:rsid w:val="00652030"/>
    <w:rsid w:val="0065382B"/>
    <w:rsid w:val="006549EB"/>
    <w:rsid w:val="006566B8"/>
    <w:rsid w:val="00664B27"/>
    <w:rsid w:val="00672441"/>
    <w:rsid w:val="00680862"/>
    <w:rsid w:val="006821E7"/>
    <w:rsid w:val="0068302C"/>
    <w:rsid w:val="00685F54"/>
    <w:rsid w:val="00686228"/>
    <w:rsid w:val="00692019"/>
    <w:rsid w:val="0069233C"/>
    <w:rsid w:val="006A01A0"/>
    <w:rsid w:val="006A2E42"/>
    <w:rsid w:val="006A61E1"/>
    <w:rsid w:val="006A6B5A"/>
    <w:rsid w:val="006B2AB3"/>
    <w:rsid w:val="006B38D4"/>
    <w:rsid w:val="006B5714"/>
    <w:rsid w:val="006C2147"/>
    <w:rsid w:val="006C3B0C"/>
    <w:rsid w:val="006C4F7F"/>
    <w:rsid w:val="006C53C1"/>
    <w:rsid w:val="006C6AF0"/>
    <w:rsid w:val="006D2126"/>
    <w:rsid w:val="006D29E3"/>
    <w:rsid w:val="006D4A23"/>
    <w:rsid w:val="006D74AE"/>
    <w:rsid w:val="006E1912"/>
    <w:rsid w:val="006E43DE"/>
    <w:rsid w:val="006E513C"/>
    <w:rsid w:val="006F10C5"/>
    <w:rsid w:val="006F3A9E"/>
    <w:rsid w:val="006F4941"/>
    <w:rsid w:val="006F6CDA"/>
    <w:rsid w:val="0070061C"/>
    <w:rsid w:val="00703AA8"/>
    <w:rsid w:val="00703E50"/>
    <w:rsid w:val="00705977"/>
    <w:rsid w:val="00705AD2"/>
    <w:rsid w:val="00706517"/>
    <w:rsid w:val="00710923"/>
    <w:rsid w:val="00715159"/>
    <w:rsid w:val="00715353"/>
    <w:rsid w:val="00720D65"/>
    <w:rsid w:val="00722632"/>
    <w:rsid w:val="007266FB"/>
    <w:rsid w:val="00730929"/>
    <w:rsid w:val="007309CE"/>
    <w:rsid w:val="00730FE0"/>
    <w:rsid w:val="007327D3"/>
    <w:rsid w:val="00732855"/>
    <w:rsid w:val="00734B8A"/>
    <w:rsid w:val="00734E95"/>
    <w:rsid w:val="007353D3"/>
    <w:rsid w:val="007355FB"/>
    <w:rsid w:val="00737C8A"/>
    <w:rsid w:val="00741261"/>
    <w:rsid w:val="00741D6E"/>
    <w:rsid w:val="00744B14"/>
    <w:rsid w:val="0074599F"/>
    <w:rsid w:val="007471CF"/>
    <w:rsid w:val="00750A6E"/>
    <w:rsid w:val="00752498"/>
    <w:rsid w:val="00753363"/>
    <w:rsid w:val="00756F01"/>
    <w:rsid w:val="007572D6"/>
    <w:rsid w:val="007603ED"/>
    <w:rsid w:val="00760DCE"/>
    <w:rsid w:val="00761DA5"/>
    <w:rsid w:val="0076298B"/>
    <w:rsid w:val="00763BAB"/>
    <w:rsid w:val="007645F7"/>
    <w:rsid w:val="00767CD3"/>
    <w:rsid w:val="00773704"/>
    <w:rsid w:val="007776AE"/>
    <w:rsid w:val="00780FEC"/>
    <w:rsid w:val="007874C1"/>
    <w:rsid w:val="0079120B"/>
    <w:rsid w:val="00792D91"/>
    <w:rsid w:val="007939F1"/>
    <w:rsid w:val="00796EFC"/>
    <w:rsid w:val="007A2538"/>
    <w:rsid w:val="007A43DA"/>
    <w:rsid w:val="007A7094"/>
    <w:rsid w:val="007B1134"/>
    <w:rsid w:val="007B3EEC"/>
    <w:rsid w:val="007B518B"/>
    <w:rsid w:val="007C45D3"/>
    <w:rsid w:val="007C50D2"/>
    <w:rsid w:val="007C5355"/>
    <w:rsid w:val="007D0D76"/>
    <w:rsid w:val="007D12F4"/>
    <w:rsid w:val="007D368D"/>
    <w:rsid w:val="007D4219"/>
    <w:rsid w:val="007D59BD"/>
    <w:rsid w:val="007E3904"/>
    <w:rsid w:val="007E397A"/>
    <w:rsid w:val="007E6703"/>
    <w:rsid w:val="007E6E8F"/>
    <w:rsid w:val="007F0E98"/>
    <w:rsid w:val="007F1462"/>
    <w:rsid w:val="007F3633"/>
    <w:rsid w:val="007F4EC1"/>
    <w:rsid w:val="007F64AC"/>
    <w:rsid w:val="00804760"/>
    <w:rsid w:val="00805639"/>
    <w:rsid w:val="008059CE"/>
    <w:rsid w:val="00806827"/>
    <w:rsid w:val="008117D3"/>
    <w:rsid w:val="00812B4C"/>
    <w:rsid w:val="008165A6"/>
    <w:rsid w:val="00816780"/>
    <w:rsid w:val="00820B34"/>
    <w:rsid w:val="0082100B"/>
    <w:rsid w:val="0082596B"/>
    <w:rsid w:val="00831876"/>
    <w:rsid w:val="00833934"/>
    <w:rsid w:val="00833B79"/>
    <w:rsid w:val="00834371"/>
    <w:rsid w:val="008422D2"/>
    <w:rsid w:val="00846730"/>
    <w:rsid w:val="00846C2F"/>
    <w:rsid w:val="0084706F"/>
    <w:rsid w:val="00862D7A"/>
    <w:rsid w:val="008651C1"/>
    <w:rsid w:val="00865D3F"/>
    <w:rsid w:val="008714A7"/>
    <w:rsid w:val="00871D21"/>
    <w:rsid w:val="00873BA4"/>
    <w:rsid w:val="00877BFB"/>
    <w:rsid w:val="00883B5B"/>
    <w:rsid w:val="00883DBF"/>
    <w:rsid w:val="00890538"/>
    <w:rsid w:val="00892BFE"/>
    <w:rsid w:val="008935BB"/>
    <w:rsid w:val="008A6676"/>
    <w:rsid w:val="008B5511"/>
    <w:rsid w:val="008B5E41"/>
    <w:rsid w:val="008B7017"/>
    <w:rsid w:val="008B7DD0"/>
    <w:rsid w:val="008C6A91"/>
    <w:rsid w:val="008C7EE1"/>
    <w:rsid w:val="008D1943"/>
    <w:rsid w:val="008D3B0B"/>
    <w:rsid w:val="008D5458"/>
    <w:rsid w:val="008D7073"/>
    <w:rsid w:val="008D790D"/>
    <w:rsid w:val="008E09B4"/>
    <w:rsid w:val="008E62D5"/>
    <w:rsid w:val="008F0E86"/>
    <w:rsid w:val="008F2EA7"/>
    <w:rsid w:val="008F3BBD"/>
    <w:rsid w:val="008F4618"/>
    <w:rsid w:val="008F7622"/>
    <w:rsid w:val="008F7FAA"/>
    <w:rsid w:val="00911A63"/>
    <w:rsid w:val="00913BC1"/>
    <w:rsid w:val="00920A99"/>
    <w:rsid w:val="009247E4"/>
    <w:rsid w:val="00924814"/>
    <w:rsid w:val="009257C6"/>
    <w:rsid w:val="009262F1"/>
    <w:rsid w:val="0092693C"/>
    <w:rsid w:val="009271AB"/>
    <w:rsid w:val="009328D6"/>
    <w:rsid w:val="00935251"/>
    <w:rsid w:val="00936998"/>
    <w:rsid w:val="00942187"/>
    <w:rsid w:val="009456F3"/>
    <w:rsid w:val="00945758"/>
    <w:rsid w:val="00946E48"/>
    <w:rsid w:val="00946EEE"/>
    <w:rsid w:val="009516B1"/>
    <w:rsid w:val="00951E56"/>
    <w:rsid w:val="00953A89"/>
    <w:rsid w:val="0095507E"/>
    <w:rsid w:val="00957303"/>
    <w:rsid w:val="0096166E"/>
    <w:rsid w:val="00963DA2"/>
    <w:rsid w:val="00964AFE"/>
    <w:rsid w:val="0097483B"/>
    <w:rsid w:val="00975C22"/>
    <w:rsid w:val="009767F9"/>
    <w:rsid w:val="009800BF"/>
    <w:rsid w:val="00981B73"/>
    <w:rsid w:val="0098294C"/>
    <w:rsid w:val="00982BB6"/>
    <w:rsid w:val="00984874"/>
    <w:rsid w:val="0098615D"/>
    <w:rsid w:val="00986AFB"/>
    <w:rsid w:val="00990A77"/>
    <w:rsid w:val="00993118"/>
    <w:rsid w:val="00994282"/>
    <w:rsid w:val="00997B63"/>
    <w:rsid w:val="009A03CC"/>
    <w:rsid w:val="009A335C"/>
    <w:rsid w:val="009A342F"/>
    <w:rsid w:val="009A50E8"/>
    <w:rsid w:val="009A5E6E"/>
    <w:rsid w:val="009A65D4"/>
    <w:rsid w:val="009A6ABC"/>
    <w:rsid w:val="009B00F4"/>
    <w:rsid w:val="009B18AE"/>
    <w:rsid w:val="009B6091"/>
    <w:rsid w:val="009B66C1"/>
    <w:rsid w:val="009B79DA"/>
    <w:rsid w:val="009C1CA6"/>
    <w:rsid w:val="009C2AC5"/>
    <w:rsid w:val="009C410F"/>
    <w:rsid w:val="009D1A23"/>
    <w:rsid w:val="009D40E2"/>
    <w:rsid w:val="009D69AE"/>
    <w:rsid w:val="009D6C35"/>
    <w:rsid w:val="009D76FD"/>
    <w:rsid w:val="009D7E98"/>
    <w:rsid w:val="009E2213"/>
    <w:rsid w:val="009E5C6C"/>
    <w:rsid w:val="009E5F00"/>
    <w:rsid w:val="009E7A20"/>
    <w:rsid w:val="009F2BD5"/>
    <w:rsid w:val="009F43FC"/>
    <w:rsid w:val="009F525B"/>
    <w:rsid w:val="00A0045E"/>
    <w:rsid w:val="00A01D42"/>
    <w:rsid w:val="00A026C7"/>
    <w:rsid w:val="00A0301E"/>
    <w:rsid w:val="00A113BF"/>
    <w:rsid w:val="00A12023"/>
    <w:rsid w:val="00A12311"/>
    <w:rsid w:val="00A12425"/>
    <w:rsid w:val="00A14C3C"/>
    <w:rsid w:val="00A14E1D"/>
    <w:rsid w:val="00A16C06"/>
    <w:rsid w:val="00A16EB1"/>
    <w:rsid w:val="00A21D27"/>
    <w:rsid w:val="00A22368"/>
    <w:rsid w:val="00A267AB"/>
    <w:rsid w:val="00A26872"/>
    <w:rsid w:val="00A301F6"/>
    <w:rsid w:val="00A32728"/>
    <w:rsid w:val="00A354F8"/>
    <w:rsid w:val="00A36A11"/>
    <w:rsid w:val="00A41A29"/>
    <w:rsid w:val="00A41EEA"/>
    <w:rsid w:val="00A44A42"/>
    <w:rsid w:val="00A44DA0"/>
    <w:rsid w:val="00A45D47"/>
    <w:rsid w:val="00A478AE"/>
    <w:rsid w:val="00A47DC4"/>
    <w:rsid w:val="00A51CD5"/>
    <w:rsid w:val="00A55978"/>
    <w:rsid w:val="00A56F35"/>
    <w:rsid w:val="00A572D5"/>
    <w:rsid w:val="00A64749"/>
    <w:rsid w:val="00A77F96"/>
    <w:rsid w:val="00A9771C"/>
    <w:rsid w:val="00AA5156"/>
    <w:rsid w:val="00AB1610"/>
    <w:rsid w:val="00AB199D"/>
    <w:rsid w:val="00AB433F"/>
    <w:rsid w:val="00AC1E20"/>
    <w:rsid w:val="00AC1F86"/>
    <w:rsid w:val="00AD3731"/>
    <w:rsid w:val="00AD47AD"/>
    <w:rsid w:val="00AD5442"/>
    <w:rsid w:val="00AE1A73"/>
    <w:rsid w:val="00AE594C"/>
    <w:rsid w:val="00B03748"/>
    <w:rsid w:val="00B070AF"/>
    <w:rsid w:val="00B07F16"/>
    <w:rsid w:val="00B13944"/>
    <w:rsid w:val="00B15E85"/>
    <w:rsid w:val="00B2397B"/>
    <w:rsid w:val="00B246A1"/>
    <w:rsid w:val="00B27DD3"/>
    <w:rsid w:val="00B3031E"/>
    <w:rsid w:val="00B35EFA"/>
    <w:rsid w:val="00B379C5"/>
    <w:rsid w:val="00B40B4A"/>
    <w:rsid w:val="00B4312B"/>
    <w:rsid w:val="00B435AC"/>
    <w:rsid w:val="00B43BF6"/>
    <w:rsid w:val="00B44FC4"/>
    <w:rsid w:val="00B45509"/>
    <w:rsid w:val="00B50308"/>
    <w:rsid w:val="00B5034F"/>
    <w:rsid w:val="00B51301"/>
    <w:rsid w:val="00B51416"/>
    <w:rsid w:val="00B52AB7"/>
    <w:rsid w:val="00B61BF6"/>
    <w:rsid w:val="00B627B7"/>
    <w:rsid w:val="00B63EBF"/>
    <w:rsid w:val="00B6568C"/>
    <w:rsid w:val="00B66222"/>
    <w:rsid w:val="00B70EC4"/>
    <w:rsid w:val="00B71A02"/>
    <w:rsid w:val="00B73540"/>
    <w:rsid w:val="00B73A7A"/>
    <w:rsid w:val="00B7538C"/>
    <w:rsid w:val="00B8054D"/>
    <w:rsid w:val="00B83699"/>
    <w:rsid w:val="00B83795"/>
    <w:rsid w:val="00B94DDF"/>
    <w:rsid w:val="00B95615"/>
    <w:rsid w:val="00B96FD6"/>
    <w:rsid w:val="00B97732"/>
    <w:rsid w:val="00BA118A"/>
    <w:rsid w:val="00BA2F48"/>
    <w:rsid w:val="00BA591A"/>
    <w:rsid w:val="00BA6C15"/>
    <w:rsid w:val="00BA6D74"/>
    <w:rsid w:val="00BB0B0C"/>
    <w:rsid w:val="00BB6227"/>
    <w:rsid w:val="00BB66BC"/>
    <w:rsid w:val="00BC0A2E"/>
    <w:rsid w:val="00BC0F6F"/>
    <w:rsid w:val="00BC1554"/>
    <w:rsid w:val="00BC4A38"/>
    <w:rsid w:val="00BC51C1"/>
    <w:rsid w:val="00BC52DE"/>
    <w:rsid w:val="00BC67CE"/>
    <w:rsid w:val="00BD2BF3"/>
    <w:rsid w:val="00BD52E5"/>
    <w:rsid w:val="00BD5697"/>
    <w:rsid w:val="00BD7367"/>
    <w:rsid w:val="00BD73C6"/>
    <w:rsid w:val="00BD7D9A"/>
    <w:rsid w:val="00BE2291"/>
    <w:rsid w:val="00BE34BD"/>
    <w:rsid w:val="00BE537C"/>
    <w:rsid w:val="00BE68DC"/>
    <w:rsid w:val="00BF047C"/>
    <w:rsid w:val="00BF4BB7"/>
    <w:rsid w:val="00BF5056"/>
    <w:rsid w:val="00BF7E2F"/>
    <w:rsid w:val="00C02255"/>
    <w:rsid w:val="00C05CFF"/>
    <w:rsid w:val="00C060AE"/>
    <w:rsid w:val="00C063C3"/>
    <w:rsid w:val="00C0730D"/>
    <w:rsid w:val="00C10EE3"/>
    <w:rsid w:val="00C11164"/>
    <w:rsid w:val="00C12E44"/>
    <w:rsid w:val="00C148AD"/>
    <w:rsid w:val="00C17971"/>
    <w:rsid w:val="00C21D85"/>
    <w:rsid w:val="00C2407C"/>
    <w:rsid w:val="00C3050F"/>
    <w:rsid w:val="00C33CD0"/>
    <w:rsid w:val="00C36438"/>
    <w:rsid w:val="00C36DDA"/>
    <w:rsid w:val="00C37712"/>
    <w:rsid w:val="00C3796F"/>
    <w:rsid w:val="00C41022"/>
    <w:rsid w:val="00C41557"/>
    <w:rsid w:val="00C4544F"/>
    <w:rsid w:val="00C45733"/>
    <w:rsid w:val="00C50A87"/>
    <w:rsid w:val="00C560D7"/>
    <w:rsid w:val="00C613FA"/>
    <w:rsid w:val="00C64842"/>
    <w:rsid w:val="00C662E0"/>
    <w:rsid w:val="00C675AC"/>
    <w:rsid w:val="00C70830"/>
    <w:rsid w:val="00C755AF"/>
    <w:rsid w:val="00C75D89"/>
    <w:rsid w:val="00C77AB3"/>
    <w:rsid w:val="00C8138A"/>
    <w:rsid w:val="00C85BE5"/>
    <w:rsid w:val="00C93CD5"/>
    <w:rsid w:val="00C94BA4"/>
    <w:rsid w:val="00C953DF"/>
    <w:rsid w:val="00CA09E6"/>
    <w:rsid w:val="00CB1D1F"/>
    <w:rsid w:val="00CB1DD4"/>
    <w:rsid w:val="00CB377C"/>
    <w:rsid w:val="00CB44BE"/>
    <w:rsid w:val="00CC0230"/>
    <w:rsid w:val="00CC27B4"/>
    <w:rsid w:val="00CC55E9"/>
    <w:rsid w:val="00CC63F1"/>
    <w:rsid w:val="00CD178C"/>
    <w:rsid w:val="00CD2667"/>
    <w:rsid w:val="00CE041E"/>
    <w:rsid w:val="00CE0D6E"/>
    <w:rsid w:val="00CE41D9"/>
    <w:rsid w:val="00CE7313"/>
    <w:rsid w:val="00CF0221"/>
    <w:rsid w:val="00CF41CB"/>
    <w:rsid w:val="00CF5447"/>
    <w:rsid w:val="00CF5C44"/>
    <w:rsid w:val="00CF6F61"/>
    <w:rsid w:val="00CF774A"/>
    <w:rsid w:val="00D008B5"/>
    <w:rsid w:val="00D137D1"/>
    <w:rsid w:val="00D14447"/>
    <w:rsid w:val="00D14E57"/>
    <w:rsid w:val="00D207EA"/>
    <w:rsid w:val="00D25235"/>
    <w:rsid w:val="00D264DB"/>
    <w:rsid w:val="00D266FF"/>
    <w:rsid w:val="00D3024D"/>
    <w:rsid w:val="00D328FE"/>
    <w:rsid w:val="00D37494"/>
    <w:rsid w:val="00D403FC"/>
    <w:rsid w:val="00D446D1"/>
    <w:rsid w:val="00D45A41"/>
    <w:rsid w:val="00D46363"/>
    <w:rsid w:val="00D47722"/>
    <w:rsid w:val="00D53B34"/>
    <w:rsid w:val="00D56562"/>
    <w:rsid w:val="00D56CA9"/>
    <w:rsid w:val="00D63B21"/>
    <w:rsid w:val="00D63BCA"/>
    <w:rsid w:val="00D65406"/>
    <w:rsid w:val="00D65D97"/>
    <w:rsid w:val="00D72173"/>
    <w:rsid w:val="00D804BD"/>
    <w:rsid w:val="00D814AB"/>
    <w:rsid w:val="00D84697"/>
    <w:rsid w:val="00D85B1B"/>
    <w:rsid w:val="00D874C2"/>
    <w:rsid w:val="00D87CA9"/>
    <w:rsid w:val="00D90E78"/>
    <w:rsid w:val="00D91D87"/>
    <w:rsid w:val="00D923E2"/>
    <w:rsid w:val="00D96428"/>
    <w:rsid w:val="00D968C1"/>
    <w:rsid w:val="00D970BD"/>
    <w:rsid w:val="00DA61CA"/>
    <w:rsid w:val="00DA68E5"/>
    <w:rsid w:val="00DA71C2"/>
    <w:rsid w:val="00DB48C3"/>
    <w:rsid w:val="00DC30BA"/>
    <w:rsid w:val="00DC33B2"/>
    <w:rsid w:val="00DC4A53"/>
    <w:rsid w:val="00DD093D"/>
    <w:rsid w:val="00DD14EC"/>
    <w:rsid w:val="00DD2C23"/>
    <w:rsid w:val="00DD2CA5"/>
    <w:rsid w:val="00DE0E42"/>
    <w:rsid w:val="00DE1C43"/>
    <w:rsid w:val="00DE3F69"/>
    <w:rsid w:val="00DE504C"/>
    <w:rsid w:val="00DE5272"/>
    <w:rsid w:val="00DF2A9D"/>
    <w:rsid w:val="00DF327F"/>
    <w:rsid w:val="00DF3BBE"/>
    <w:rsid w:val="00DF52F0"/>
    <w:rsid w:val="00DF77FB"/>
    <w:rsid w:val="00E021D9"/>
    <w:rsid w:val="00E0306D"/>
    <w:rsid w:val="00E03551"/>
    <w:rsid w:val="00E04F7A"/>
    <w:rsid w:val="00E05FB2"/>
    <w:rsid w:val="00E1019E"/>
    <w:rsid w:val="00E127B1"/>
    <w:rsid w:val="00E161B5"/>
    <w:rsid w:val="00E17ED3"/>
    <w:rsid w:val="00E2086E"/>
    <w:rsid w:val="00E27765"/>
    <w:rsid w:val="00E30D0E"/>
    <w:rsid w:val="00E33B28"/>
    <w:rsid w:val="00E4096B"/>
    <w:rsid w:val="00E440FA"/>
    <w:rsid w:val="00E46172"/>
    <w:rsid w:val="00E46BAD"/>
    <w:rsid w:val="00E50043"/>
    <w:rsid w:val="00E5140B"/>
    <w:rsid w:val="00E51D01"/>
    <w:rsid w:val="00E525B9"/>
    <w:rsid w:val="00E55785"/>
    <w:rsid w:val="00E56A53"/>
    <w:rsid w:val="00E60244"/>
    <w:rsid w:val="00E60D8F"/>
    <w:rsid w:val="00E66264"/>
    <w:rsid w:val="00E70840"/>
    <w:rsid w:val="00E7362B"/>
    <w:rsid w:val="00E752F1"/>
    <w:rsid w:val="00E75F1D"/>
    <w:rsid w:val="00E82F6A"/>
    <w:rsid w:val="00E8499E"/>
    <w:rsid w:val="00E85D2E"/>
    <w:rsid w:val="00E909A7"/>
    <w:rsid w:val="00E91845"/>
    <w:rsid w:val="00E9274D"/>
    <w:rsid w:val="00E935BA"/>
    <w:rsid w:val="00E97B87"/>
    <w:rsid w:val="00E97FC2"/>
    <w:rsid w:val="00EA12A4"/>
    <w:rsid w:val="00EA7EC8"/>
    <w:rsid w:val="00EB2A36"/>
    <w:rsid w:val="00EB2C8F"/>
    <w:rsid w:val="00EB37E3"/>
    <w:rsid w:val="00EB3814"/>
    <w:rsid w:val="00EB5271"/>
    <w:rsid w:val="00EB56F9"/>
    <w:rsid w:val="00EB621F"/>
    <w:rsid w:val="00EC3B5B"/>
    <w:rsid w:val="00EC62AF"/>
    <w:rsid w:val="00ED19C1"/>
    <w:rsid w:val="00ED6811"/>
    <w:rsid w:val="00EE3B46"/>
    <w:rsid w:val="00EE68E6"/>
    <w:rsid w:val="00EF17FE"/>
    <w:rsid w:val="00EF1A93"/>
    <w:rsid w:val="00EF29C5"/>
    <w:rsid w:val="00EF418B"/>
    <w:rsid w:val="00EF46E5"/>
    <w:rsid w:val="00EF5780"/>
    <w:rsid w:val="00F00AF4"/>
    <w:rsid w:val="00F02586"/>
    <w:rsid w:val="00F115DE"/>
    <w:rsid w:val="00F1232D"/>
    <w:rsid w:val="00F136EF"/>
    <w:rsid w:val="00F21301"/>
    <w:rsid w:val="00F27232"/>
    <w:rsid w:val="00F345FD"/>
    <w:rsid w:val="00F36558"/>
    <w:rsid w:val="00F4325E"/>
    <w:rsid w:val="00F439DE"/>
    <w:rsid w:val="00F47F51"/>
    <w:rsid w:val="00F52ED2"/>
    <w:rsid w:val="00F53307"/>
    <w:rsid w:val="00F570D3"/>
    <w:rsid w:val="00F60C84"/>
    <w:rsid w:val="00F61CF2"/>
    <w:rsid w:val="00F62275"/>
    <w:rsid w:val="00F627B9"/>
    <w:rsid w:val="00F64DEF"/>
    <w:rsid w:val="00F6517F"/>
    <w:rsid w:val="00F716CB"/>
    <w:rsid w:val="00F71C94"/>
    <w:rsid w:val="00F74771"/>
    <w:rsid w:val="00F7533E"/>
    <w:rsid w:val="00F774AD"/>
    <w:rsid w:val="00F77A59"/>
    <w:rsid w:val="00F84A66"/>
    <w:rsid w:val="00F86ADC"/>
    <w:rsid w:val="00F90FB9"/>
    <w:rsid w:val="00F936DB"/>
    <w:rsid w:val="00F94AE4"/>
    <w:rsid w:val="00FA492E"/>
    <w:rsid w:val="00FA6520"/>
    <w:rsid w:val="00FA686F"/>
    <w:rsid w:val="00FA7049"/>
    <w:rsid w:val="00FB1A77"/>
    <w:rsid w:val="00FB224C"/>
    <w:rsid w:val="00FB3A9A"/>
    <w:rsid w:val="00FB5F0C"/>
    <w:rsid w:val="00FB6E53"/>
    <w:rsid w:val="00FC009B"/>
    <w:rsid w:val="00FD1498"/>
    <w:rsid w:val="00FD4DEA"/>
    <w:rsid w:val="00FD750A"/>
    <w:rsid w:val="00FE062E"/>
    <w:rsid w:val="00FE20DB"/>
    <w:rsid w:val="00FE26B6"/>
    <w:rsid w:val="00FE5988"/>
    <w:rsid w:val="00FE719F"/>
    <w:rsid w:val="00FF2A33"/>
    <w:rsid w:val="00FF3724"/>
    <w:rsid w:val="00FF6110"/>
    <w:rsid w:val="00FF7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FDA6"/>
  <w15:chartTrackingRefBased/>
  <w15:docId w15:val="{4745E995-930B-4FC0-93EE-EBA509B5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37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37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662E0"/>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StrongEmphasis">
    <w:name w:val="Strong Emphasis"/>
    <w:rsid w:val="00C662E0"/>
    <w:rPr>
      <w:b/>
      <w:bCs/>
    </w:rPr>
  </w:style>
  <w:style w:type="paragraph" w:styleId="ListParagraph">
    <w:name w:val="List Paragraph"/>
    <w:basedOn w:val="Normal"/>
    <w:uiPriority w:val="34"/>
    <w:qFormat/>
    <w:rsid w:val="00C662E0"/>
    <w:pPr>
      <w:ind w:left="720"/>
      <w:contextualSpacing/>
    </w:pPr>
  </w:style>
  <w:style w:type="paragraph" w:styleId="NormalWeb">
    <w:name w:val="Normal (Web)"/>
    <w:basedOn w:val="Normal"/>
    <w:uiPriority w:val="99"/>
    <w:unhideWhenUsed/>
    <w:rsid w:val="00C662E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Header">
    <w:name w:val="header"/>
    <w:basedOn w:val="Normal"/>
    <w:link w:val="HeaderChar"/>
    <w:uiPriority w:val="99"/>
    <w:unhideWhenUsed/>
    <w:rsid w:val="00EB2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C8F"/>
  </w:style>
  <w:style w:type="paragraph" w:styleId="Footer">
    <w:name w:val="footer"/>
    <w:basedOn w:val="Normal"/>
    <w:link w:val="FooterChar"/>
    <w:uiPriority w:val="99"/>
    <w:unhideWhenUsed/>
    <w:rsid w:val="00EB2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C8F"/>
  </w:style>
  <w:style w:type="character" w:styleId="CommentReference">
    <w:name w:val="annotation reference"/>
    <w:basedOn w:val="DefaultParagraphFont"/>
    <w:uiPriority w:val="99"/>
    <w:semiHidden/>
    <w:unhideWhenUsed/>
    <w:rsid w:val="00312A78"/>
    <w:rPr>
      <w:sz w:val="16"/>
      <w:szCs w:val="16"/>
    </w:rPr>
  </w:style>
  <w:style w:type="paragraph" w:styleId="CommentText">
    <w:name w:val="annotation text"/>
    <w:basedOn w:val="Normal"/>
    <w:link w:val="CommentTextChar"/>
    <w:uiPriority w:val="99"/>
    <w:unhideWhenUsed/>
    <w:rsid w:val="00312A78"/>
    <w:pPr>
      <w:spacing w:line="240" w:lineRule="auto"/>
    </w:pPr>
    <w:rPr>
      <w:sz w:val="20"/>
      <w:szCs w:val="20"/>
    </w:rPr>
  </w:style>
  <w:style w:type="character" w:customStyle="1" w:styleId="CommentTextChar">
    <w:name w:val="Comment Text Char"/>
    <w:basedOn w:val="DefaultParagraphFont"/>
    <w:link w:val="CommentText"/>
    <w:uiPriority w:val="99"/>
    <w:rsid w:val="00312A78"/>
    <w:rPr>
      <w:sz w:val="20"/>
      <w:szCs w:val="20"/>
    </w:rPr>
  </w:style>
  <w:style w:type="paragraph" w:styleId="CommentSubject">
    <w:name w:val="annotation subject"/>
    <w:basedOn w:val="CommentText"/>
    <w:next w:val="CommentText"/>
    <w:link w:val="CommentSubjectChar"/>
    <w:uiPriority w:val="99"/>
    <w:semiHidden/>
    <w:unhideWhenUsed/>
    <w:rsid w:val="00312A78"/>
    <w:rPr>
      <w:b/>
      <w:bCs/>
    </w:rPr>
  </w:style>
  <w:style w:type="character" w:customStyle="1" w:styleId="CommentSubjectChar">
    <w:name w:val="Comment Subject Char"/>
    <w:basedOn w:val="CommentTextChar"/>
    <w:link w:val="CommentSubject"/>
    <w:uiPriority w:val="99"/>
    <w:semiHidden/>
    <w:rsid w:val="00312A78"/>
    <w:rPr>
      <w:b/>
      <w:bCs/>
      <w:sz w:val="20"/>
      <w:szCs w:val="20"/>
    </w:rPr>
  </w:style>
  <w:style w:type="paragraph" w:styleId="BalloonText">
    <w:name w:val="Balloon Text"/>
    <w:basedOn w:val="Normal"/>
    <w:link w:val="BalloonTextChar"/>
    <w:uiPriority w:val="99"/>
    <w:semiHidden/>
    <w:unhideWhenUsed/>
    <w:rsid w:val="0031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A78"/>
    <w:rPr>
      <w:rFonts w:ascii="Segoe UI" w:hAnsi="Segoe UI" w:cs="Segoe UI"/>
      <w:sz w:val="18"/>
      <w:szCs w:val="18"/>
    </w:rPr>
  </w:style>
  <w:style w:type="character" w:customStyle="1" w:styleId="Heading1Char">
    <w:name w:val="Heading 1 Char"/>
    <w:basedOn w:val="DefaultParagraphFont"/>
    <w:link w:val="Heading1"/>
    <w:uiPriority w:val="9"/>
    <w:rsid w:val="00CB377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B377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B377C"/>
    <w:rPr>
      <w:color w:val="0563C1" w:themeColor="hyperlink"/>
      <w:u w:val="single"/>
    </w:rPr>
  </w:style>
  <w:style w:type="character" w:customStyle="1" w:styleId="UnresolvedMention1">
    <w:name w:val="Unresolved Mention1"/>
    <w:basedOn w:val="DefaultParagraphFont"/>
    <w:uiPriority w:val="99"/>
    <w:semiHidden/>
    <w:unhideWhenUsed/>
    <w:rsid w:val="00D46363"/>
    <w:rPr>
      <w:color w:val="808080"/>
      <w:shd w:val="clear" w:color="auto" w:fill="E6E6E6"/>
    </w:rPr>
  </w:style>
  <w:style w:type="character" w:styleId="FollowedHyperlink">
    <w:name w:val="FollowedHyperlink"/>
    <w:basedOn w:val="DefaultParagraphFont"/>
    <w:uiPriority w:val="99"/>
    <w:semiHidden/>
    <w:unhideWhenUsed/>
    <w:rsid w:val="00152204"/>
    <w:rPr>
      <w:color w:val="954F72" w:themeColor="followedHyperlink"/>
      <w:u w:val="single"/>
    </w:rPr>
  </w:style>
  <w:style w:type="character" w:styleId="LineNumber">
    <w:name w:val="line number"/>
    <w:basedOn w:val="DefaultParagraphFont"/>
    <w:uiPriority w:val="99"/>
    <w:semiHidden/>
    <w:unhideWhenUsed/>
    <w:rsid w:val="00883B5B"/>
  </w:style>
  <w:style w:type="paragraph" w:customStyle="1" w:styleId="EndNoteBibliography">
    <w:name w:val="EndNote Bibliography"/>
    <w:basedOn w:val="Normal"/>
    <w:link w:val="EndNoteBibliographyChar"/>
    <w:rsid w:val="00B27DD3"/>
    <w:pPr>
      <w:spacing w:after="0"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27DD3"/>
    <w:rPr>
      <w:rFonts w:ascii="Calibri" w:hAnsi="Calibri" w:cs="Calibri"/>
      <w:noProof/>
      <w:lang w:val="en-US"/>
    </w:rPr>
  </w:style>
  <w:style w:type="character" w:customStyle="1" w:styleId="UnresolvedMention">
    <w:name w:val="Unresolved Mention"/>
    <w:basedOn w:val="DefaultParagraphFont"/>
    <w:uiPriority w:val="99"/>
    <w:semiHidden/>
    <w:unhideWhenUsed/>
    <w:rsid w:val="00FA6520"/>
    <w:rPr>
      <w:color w:val="605E5C"/>
      <w:shd w:val="clear" w:color="auto" w:fill="E1DFDD"/>
    </w:rPr>
  </w:style>
  <w:style w:type="paragraph" w:customStyle="1" w:styleId="Default">
    <w:name w:val="Default"/>
    <w:rsid w:val="007353D3"/>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00174">
      <w:bodyDiv w:val="1"/>
      <w:marLeft w:val="0"/>
      <w:marRight w:val="0"/>
      <w:marTop w:val="0"/>
      <w:marBottom w:val="0"/>
      <w:divBdr>
        <w:top w:val="none" w:sz="0" w:space="0" w:color="auto"/>
        <w:left w:val="none" w:sz="0" w:space="0" w:color="auto"/>
        <w:bottom w:val="none" w:sz="0" w:space="0" w:color="auto"/>
        <w:right w:val="none" w:sz="0" w:space="0" w:color="auto"/>
      </w:divBdr>
    </w:div>
    <w:div w:id="500972123">
      <w:bodyDiv w:val="1"/>
      <w:marLeft w:val="0"/>
      <w:marRight w:val="0"/>
      <w:marTop w:val="0"/>
      <w:marBottom w:val="0"/>
      <w:divBdr>
        <w:top w:val="none" w:sz="0" w:space="0" w:color="auto"/>
        <w:left w:val="none" w:sz="0" w:space="0" w:color="auto"/>
        <w:bottom w:val="none" w:sz="0" w:space="0" w:color="auto"/>
        <w:right w:val="none" w:sz="0" w:space="0" w:color="auto"/>
      </w:divBdr>
    </w:div>
    <w:div w:id="1366978029">
      <w:bodyDiv w:val="1"/>
      <w:marLeft w:val="0"/>
      <w:marRight w:val="0"/>
      <w:marTop w:val="0"/>
      <w:marBottom w:val="0"/>
      <w:divBdr>
        <w:top w:val="none" w:sz="0" w:space="0" w:color="auto"/>
        <w:left w:val="none" w:sz="0" w:space="0" w:color="auto"/>
        <w:bottom w:val="none" w:sz="0" w:space="0" w:color="auto"/>
        <w:right w:val="none" w:sz="0" w:space="0" w:color="auto"/>
      </w:divBdr>
    </w:div>
    <w:div w:id="1833645915">
      <w:bodyDiv w:val="1"/>
      <w:marLeft w:val="0"/>
      <w:marRight w:val="0"/>
      <w:marTop w:val="0"/>
      <w:marBottom w:val="0"/>
      <w:divBdr>
        <w:top w:val="none" w:sz="0" w:space="0" w:color="auto"/>
        <w:left w:val="none" w:sz="0" w:space="0" w:color="auto"/>
        <w:bottom w:val="none" w:sz="0" w:space="0" w:color="auto"/>
        <w:right w:val="none" w:sz="0" w:space="0" w:color="auto"/>
      </w:divBdr>
    </w:div>
    <w:div w:id="199479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pa.eu/news/jul-2017/response-media-coverage-cochrane-study-daa-based-treatment-chronic-hepatitis-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drugpo.2019.02.008" TargetMode="External"/><Relationship Id="rId5" Type="http://schemas.openxmlformats.org/officeDocument/2006/relationships/footnotes" Target="footnotes.xml"/><Relationship Id="rId10" Type="http://schemas.openxmlformats.org/officeDocument/2006/relationships/hyperlink" Target="http://dx.doi.org/10.1136/bmjebm-2018-111072" TargetMode="External"/><Relationship Id="rId4" Type="http://schemas.openxmlformats.org/officeDocument/2006/relationships/webSettings" Target="webSettings.xml"/><Relationship Id="rId9" Type="http://schemas.openxmlformats.org/officeDocument/2006/relationships/hyperlink" Target="http://www.hepatologyassociation.com.au/public/23/system/newsAttachments/GESA%20Media%20Release%20HCV%20DAAs_15%20June%20201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8066</Words>
  <Characters>45981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Rhodes</dc:creator>
  <cp:keywords/>
  <dc:description/>
  <cp:lastModifiedBy>Tim Rhodes</cp:lastModifiedBy>
  <cp:revision>2</cp:revision>
  <cp:lastPrinted>2019-06-27T10:26:00Z</cp:lastPrinted>
  <dcterms:created xsi:type="dcterms:W3CDTF">2019-06-27T20:21:00Z</dcterms:created>
  <dcterms:modified xsi:type="dcterms:W3CDTF">2019-06-27T20:21:00Z</dcterms:modified>
</cp:coreProperties>
</file>