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AD" w:rsidRPr="00F822A1" w:rsidRDefault="009C2BAD" w:rsidP="00CA7A75">
      <w:pPr>
        <w:spacing w:line="360" w:lineRule="auto"/>
        <w:rPr>
          <w:rFonts w:ascii="Arial" w:hAnsi="Arial" w:cs="Arial"/>
          <w:b/>
          <w:sz w:val="24"/>
          <w:szCs w:val="24"/>
        </w:rPr>
      </w:pPr>
      <w:r w:rsidRPr="00F822A1">
        <w:rPr>
          <w:rFonts w:ascii="Arial" w:hAnsi="Arial" w:cs="Arial"/>
          <w:b/>
          <w:sz w:val="24"/>
          <w:szCs w:val="24"/>
        </w:rPr>
        <w:t xml:space="preserve">Blood pressure and risk of dementia and its subtypes: a historical cohort study with long-term follow up in 2.6 million people </w:t>
      </w:r>
    </w:p>
    <w:p w:rsidR="009C2BAD" w:rsidRPr="00F822A1" w:rsidRDefault="009C2BAD" w:rsidP="009C2BAD">
      <w:pPr>
        <w:spacing w:after="0" w:line="240" w:lineRule="auto"/>
        <w:rPr>
          <w:rFonts w:ascii="Arial" w:hAnsi="Arial" w:cs="Arial"/>
          <w:sz w:val="24"/>
          <w:szCs w:val="24"/>
        </w:rPr>
      </w:pPr>
      <w:r w:rsidRPr="00F822A1">
        <w:rPr>
          <w:rFonts w:ascii="Arial" w:hAnsi="Arial" w:cs="Arial"/>
          <w:sz w:val="24"/>
          <w:szCs w:val="24"/>
        </w:rPr>
        <w:t>John Gregson PhD</w:t>
      </w:r>
      <w:r w:rsidRPr="00F822A1">
        <w:rPr>
          <w:rFonts w:ascii="Arial" w:hAnsi="Arial" w:cs="Arial"/>
          <w:sz w:val="24"/>
          <w:szCs w:val="24"/>
          <w:vertAlign w:val="superscript"/>
        </w:rPr>
        <w:t>1</w:t>
      </w:r>
      <w:r w:rsidR="00E660C3">
        <w:rPr>
          <w:rFonts w:ascii="Arial" w:hAnsi="Arial" w:cs="Arial"/>
          <w:sz w:val="24"/>
          <w:szCs w:val="24"/>
        </w:rPr>
        <w:t>,</w:t>
      </w:r>
      <w:r w:rsidRPr="00F822A1">
        <w:rPr>
          <w:rFonts w:ascii="Arial" w:hAnsi="Arial" w:cs="Arial"/>
          <w:sz w:val="24"/>
          <w:szCs w:val="24"/>
        </w:rPr>
        <w:t>Nawab Qizilbash MD</w:t>
      </w:r>
      <w:r w:rsidRPr="00F822A1">
        <w:rPr>
          <w:rFonts w:ascii="Arial" w:hAnsi="Arial" w:cs="Arial"/>
          <w:sz w:val="24"/>
          <w:szCs w:val="24"/>
          <w:vertAlign w:val="superscript"/>
        </w:rPr>
        <w:t>1,2</w:t>
      </w:r>
      <w:r w:rsidR="00E660C3">
        <w:rPr>
          <w:rFonts w:ascii="Arial" w:hAnsi="Arial" w:cs="Arial"/>
          <w:sz w:val="24"/>
          <w:szCs w:val="24"/>
        </w:rPr>
        <w:t>,</w:t>
      </w:r>
      <w:r w:rsidRPr="00F822A1">
        <w:rPr>
          <w:rFonts w:ascii="Arial" w:hAnsi="Arial" w:cs="Arial"/>
          <w:sz w:val="24"/>
          <w:szCs w:val="24"/>
        </w:rPr>
        <w:t>Masao Iwagami MD</w:t>
      </w:r>
      <w:r w:rsidRPr="00F822A1">
        <w:rPr>
          <w:rFonts w:ascii="Arial" w:hAnsi="Arial" w:cs="Arial"/>
          <w:sz w:val="24"/>
          <w:szCs w:val="24"/>
          <w:vertAlign w:val="superscript"/>
        </w:rPr>
        <w:t>1</w:t>
      </w:r>
      <w:r w:rsidR="00824915">
        <w:rPr>
          <w:rFonts w:ascii="Arial" w:hAnsi="Arial" w:cs="Arial"/>
          <w:sz w:val="24"/>
          <w:szCs w:val="24"/>
          <w:vertAlign w:val="superscript"/>
        </w:rPr>
        <w:t>,3</w:t>
      </w:r>
      <w:r w:rsidR="00E660C3">
        <w:rPr>
          <w:rFonts w:ascii="Arial" w:hAnsi="Arial" w:cs="Arial"/>
          <w:sz w:val="24"/>
          <w:szCs w:val="24"/>
        </w:rPr>
        <w:t>,</w:t>
      </w:r>
      <w:r w:rsidRPr="00F822A1">
        <w:rPr>
          <w:rFonts w:ascii="Arial" w:hAnsi="Arial" w:cs="Arial"/>
          <w:sz w:val="24"/>
          <w:szCs w:val="24"/>
        </w:rPr>
        <w:t>Ian Douglas PhD</w:t>
      </w:r>
      <w:r w:rsidRPr="00F822A1">
        <w:rPr>
          <w:rFonts w:ascii="Arial" w:hAnsi="Arial" w:cs="Arial"/>
          <w:sz w:val="24"/>
          <w:szCs w:val="24"/>
          <w:vertAlign w:val="superscript"/>
        </w:rPr>
        <w:t>1</w:t>
      </w:r>
      <w:r w:rsidRPr="00F822A1">
        <w:rPr>
          <w:rFonts w:ascii="Arial" w:hAnsi="Arial" w:cs="Arial"/>
          <w:sz w:val="24"/>
          <w:szCs w:val="24"/>
        </w:rPr>
        <w:t xml:space="preserve">, Michelle Johnson </w:t>
      </w:r>
      <w:r w:rsidRPr="00E660C3">
        <w:rPr>
          <w:rFonts w:ascii="Arial" w:hAnsi="Arial" w:cs="Arial"/>
          <w:sz w:val="24"/>
          <w:szCs w:val="24"/>
        </w:rPr>
        <w:t>MSc</w:t>
      </w:r>
      <w:r w:rsidR="00E660C3" w:rsidRPr="00E660C3">
        <w:rPr>
          <w:rFonts w:ascii="Arial" w:hAnsi="Arial" w:cs="Arial"/>
          <w:sz w:val="24"/>
          <w:szCs w:val="24"/>
          <w:vertAlign w:val="superscript"/>
        </w:rPr>
        <w:t>2</w:t>
      </w:r>
      <w:r w:rsidR="00E660C3">
        <w:rPr>
          <w:rFonts w:ascii="Arial" w:hAnsi="Arial" w:cs="Arial"/>
          <w:sz w:val="24"/>
          <w:szCs w:val="24"/>
        </w:rPr>
        <w:t>,</w:t>
      </w:r>
      <w:r w:rsidRPr="00E660C3">
        <w:rPr>
          <w:rFonts w:ascii="Arial" w:hAnsi="Arial" w:cs="Arial"/>
          <w:sz w:val="24"/>
          <w:szCs w:val="24"/>
        </w:rPr>
        <w:t>Neil</w:t>
      </w:r>
      <w:r w:rsidRPr="00F822A1">
        <w:rPr>
          <w:rFonts w:ascii="Arial" w:hAnsi="Arial" w:cs="Arial"/>
          <w:sz w:val="24"/>
          <w:szCs w:val="24"/>
        </w:rPr>
        <w:t xml:space="preserve"> Pearce PhD</w:t>
      </w:r>
      <w:r w:rsidRPr="00F822A1">
        <w:rPr>
          <w:rFonts w:ascii="Arial" w:hAnsi="Arial" w:cs="Arial"/>
          <w:sz w:val="24"/>
          <w:szCs w:val="24"/>
          <w:vertAlign w:val="superscript"/>
        </w:rPr>
        <w:t>1</w:t>
      </w:r>
      <w:r w:rsidR="00E660C3">
        <w:rPr>
          <w:rFonts w:ascii="Arial" w:hAnsi="Arial" w:cs="Arial"/>
          <w:sz w:val="24"/>
          <w:szCs w:val="24"/>
        </w:rPr>
        <w:t>,</w:t>
      </w:r>
      <w:r w:rsidRPr="00F822A1">
        <w:rPr>
          <w:rFonts w:ascii="Arial" w:hAnsi="Arial" w:cs="Arial"/>
          <w:sz w:val="24"/>
          <w:szCs w:val="24"/>
        </w:rPr>
        <w:t>Stuart Pocock PhD</w:t>
      </w:r>
      <w:r w:rsidRPr="00F822A1">
        <w:rPr>
          <w:rFonts w:ascii="Arial" w:hAnsi="Arial" w:cs="Arial"/>
          <w:sz w:val="24"/>
          <w:szCs w:val="24"/>
          <w:vertAlign w:val="superscript"/>
        </w:rPr>
        <w:t>1</w:t>
      </w:r>
      <w:r w:rsidRPr="00F822A1">
        <w:rPr>
          <w:rFonts w:ascii="Arial" w:hAnsi="Arial" w:cs="Arial"/>
          <w:sz w:val="24"/>
          <w:szCs w:val="24"/>
        </w:rPr>
        <w:t xml:space="preserve"> </w:t>
      </w:r>
    </w:p>
    <w:p w:rsidR="009C2BAD" w:rsidRPr="00F822A1" w:rsidRDefault="009C2BAD" w:rsidP="009C2BAD">
      <w:pPr>
        <w:spacing w:after="0" w:line="240" w:lineRule="auto"/>
        <w:rPr>
          <w:rFonts w:ascii="Arial" w:hAnsi="Arial" w:cs="Arial"/>
          <w:sz w:val="24"/>
          <w:szCs w:val="24"/>
        </w:rPr>
      </w:pPr>
      <w:r w:rsidRPr="00F822A1">
        <w:rPr>
          <w:rFonts w:ascii="Arial" w:hAnsi="Arial" w:cs="Arial"/>
          <w:sz w:val="24"/>
          <w:szCs w:val="24"/>
          <w:vertAlign w:val="superscript"/>
        </w:rPr>
        <w:t>1</w:t>
      </w:r>
      <w:r w:rsidRPr="00F822A1">
        <w:rPr>
          <w:rFonts w:ascii="Arial" w:hAnsi="Arial" w:cs="Arial"/>
          <w:sz w:val="24"/>
          <w:szCs w:val="24"/>
        </w:rPr>
        <w:t>London School of Hygiene &amp; Tropical Medicine</w:t>
      </w:r>
    </w:p>
    <w:p w:rsidR="009C2BAD" w:rsidRPr="00F822A1" w:rsidRDefault="009C2BAD" w:rsidP="009C2BAD">
      <w:pPr>
        <w:spacing w:after="0" w:line="240" w:lineRule="auto"/>
        <w:rPr>
          <w:rFonts w:ascii="Arial" w:hAnsi="Arial" w:cs="Arial"/>
          <w:sz w:val="24"/>
          <w:szCs w:val="24"/>
        </w:rPr>
      </w:pPr>
      <w:r w:rsidRPr="00F822A1">
        <w:rPr>
          <w:rFonts w:ascii="Arial" w:hAnsi="Arial" w:cs="Arial"/>
          <w:sz w:val="24"/>
          <w:szCs w:val="24"/>
          <w:vertAlign w:val="superscript"/>
        </w:rPr>
        <w:t>2</w:t>
      </w:r>
      <w:r w:rsidRPr="00F822A1">
        <w:rPr>
          <w:rFonts w:ascii="Arial" w:hAnsi="Arial" w:cs="Arial"/>
          <w:sz w:val="24"/>
          <w:szCs w:val="24"/>
        </w:rPr>
        <w:t>OXON Epidemiology</w:t>
      </w:r>
    </w:p>
    <w:p w:rsidR="00824915" w:rsidRDefault="00824915" w:rsidP="00824915">
      <w:pPr>
        <w:pStyle w:val="NormalWeb"/>
        <w:rPr>
          <w:rFonts w:ascii="Calibri" w:hAnsi="Calibri"/>
          <w:color w:val="000000"/>
        </w:rPr>
      </w:pPr>
      <w:r w:rsidRPr="00A13F8B">
        <w:rPr>
          <w:rFonts w:ascii="Arial" w:hAnsi="Arial" w:cs="Arial"/>
          <w:vertAlign w:val="superscript"/>
        </w:rPr>
        <w:t>3</w:t>
      </w:r>
      <w:r w:rsidRPr="00A13F8B">
        <w:rPr>
          <w:rFonts w:ascii="Calibri" w:hAnsi="Calibri"/>
          <w:color w:val="000000"/>
          <w:vertAlign w:val="superscript"/>
        </w:rPr>
        <w:t xml:space="preserve"> </w:t>
      </w:r>
      <w:r>
        <w:rPr>
          <w:rFonts w:ascii="Calibri" w:hAnsi="Calibri"/>
          <w:color w:val="000000"/>
        </w:rPr>
        <w:t>University of Tsukuba, Japan</w:t>
      </w:r>
    </w:p>
    <w:p w:rsidR="009C2BAD" w:rsidRPr="00A13F8B" w:rsidRDefault="009C2BAD" w:rsidP="009C2BAD">
      <w:pPr>
        <w:rPr>
          <w:rFonts w:ascii="Arial" w:hAnsi="Arial" w:cs="Arial"/>
          <w:sz w:val="24"/>
          <w:szCs w:val="24"/>
          <w:vertAlign w:val="subscript"/>
        </w:rPr>
      </w:pPr>
    </w:p>
    <w:p w:rsidR="009C2BAD" w:rsidRPr="00F822A1" w:rsidRDefault="00A918B7" w:rsidP="009C2BAD">
      <w:pPr>
        <w:spacing w:after="0"/>
        <w:rPr>
          <w:rFonts w:ascii="Arial" w:hAnsi="Arial" w:cs="Arial"/>
          <w:sz w:val="24"/>
          <w:szCs w:val="24"/>
        </w:rPr>
      </w:pPr>
      <w:r w:rsidRPr="00F822A1">
        <w:rPr>
          <w:rFonts w:ascii="Arial" w:hAnsi="Arial" w:cs="Arial"/>
          <w:sz w:val="24"/>
          <w:szCs w:val="24"/>
        </w:rPr>
        <w:t>C</w:t>
      </w:r>
      <w:r w:rsidR="009C2BAD" w:rsidRPr="00F822A1">
        <w:rPr>
          <w:rFonts w:ascii="Arial" w:hAnsi="Arial" w:cs="Arial"/>
          <w:sz w:val="24"/>
          <w:szCs w:val="24"/>
        </w:rPr>
        <w:t>orresponding author:</w:t>
      </w:r>
    </w:p>
    <w:p w:rsidR="009C2BAD" w:rsidRPr="00F822A1" w:rsidRDefault="009C2BAD" w:rsidP="009C2BAD">
      <w:pPr>
        <w:spacing w:after="0" w:line="240" w:lineRule="auto"/>
        <w:rPr>
          <w:rFonts w:ascii="Arial" w:hAnsi="Arial" w:cs="Arial"/>
          <w:sz w:val="24"/>
          <w:szCs w:val="24"/>
        </w:rPr>
      </w:pPr>
      <w:r w:rsidRPr="00F822A1">
        <w:rPr>
          <w:rFonts w:ascii="Arial" w:hAnsi="Arial" w:cs="Arial"/>
          <w:sz w:val="24"/>
          <w:szCs w:val="24"/>
        </w:rPr>
        <w:t>John Gregson</w:t>
      </w:r>
    </w:p>
    <w:p w:rsidR="009C2BAD" w:rsidRPr="00F822A1" w:rsidRDefault="009C2BAD" w:rsidP="009C2BAD">
      <w:pPr>
        <w:spacing w:after="0" w:line="240" w:lineRule="auto"/>
        <w:rPr>
          <w:rFonts w:ascii="Arial" w:hAnsi="Arial" w:cs="Arial"/>
          <w:sz w:val="24"/>
          <w:szCs w:val="24"/>
        </w:rPr>
      </w:pPr>
      <w:r w:rsidRPr="00F822A1">
        <w:rPr>
          <w:rFonts w:ascii="Arial" w:hAnsi="Arial" w:cs="Arial"/>
          <w:sz w:val="24"/>
          <w:szCs w:val="24"/>
        </w:rPr>
        <w:t>Department of Medical Statistics</w:t>
      </w:r>
    </w:p>
    <w:p w:rsidR="009C2BAD" w:rsidRPr="00F822A1" w:rsidRDefault="002A08B0" w:rsidP="009C2BAD">
      <w:pPr>
        <w:spacing w:after="0"/>
        <w:rPr>
          <w:rFonts w:ascii="Arial" w:hAnsi="Arial" w:cs="Arial"/>
          <w:sz w:val="24"/>
          <w:szCs w:val="24"/>
        </w:rPr>
      </w:pPr>
      <w:r>
        <w:rPr>
          <w:rFonts w:ascii="Arial" w:hAnsi="Arial" w:cs="Arial"/>
          <w:sz w:val="24"/>
          <w:szCs w:val="24"/>
        </w:rPr>
        <w:t>LSHTM</w:t>
      </w:r>
    </w:p>
    <w:p w:rsidR="009C2BAD" w:rsidRPr="00F822A1" w:rsidRDefault="009C2BAD" w:rsidP="009C2BAD">
      <w:pPr>
        <w:spacing w:after="0"/>
        <w:rPr>
          <w:rFonts w:ascii="Arial" w:hAnsi="Arial" w:cs="Arial"/>
          <w:sz w:val="24"/>
          <w:szCs w:val="24"/>
        </w:rPr>
      </w:pPr>
      <w:r w:rsidRPr="00F822A1">
        <w:rPr>
          <w:rFonts w:ascii="Arial" w:hAnsi="Arial" w:cs="Arial"/>
          <w:sz w:val="24"/>
          <w:szCs w:val="24"/>
        </w:rPr>
        <w:t xml:space="preserve">Keppel Street </w:t>
      </w:r>
    </w:p>
    <w:p w:rsidR="009C2BAD" w:rsidRPr="00F822A1" w:rsidRDefault="009C2BAD" w:rsidP="009C2BAD">
      <w:pPr>
        <w:spacing w:after="0"/>
        <w:rPr>
          <w:rFonts w:ascii="Arial" w:hAnsi="Arial" w:cs="Arial"/>
          <w:sz w:val="24"/>
          <w:szCs w:val="24"/>
        </w:rPr>
      </w:pPr>
      <w:r w:rsidRPr="00F822A1">
        <w:rPr>
          <w:rFonts w:ascii="Arial" w:hAnsi="Arial" w:cs="Arial"/>
          <w:sz w:val="24"/>
          <w:szCs w:val="24"/>
        </w:rPr>
        <w:t>London</w:t>
      </w:r>
    </w:p>
    <w:p w:rsidR="009C2BAD" w:rsidRPr="00F822A1" w:rsidRDefault="009C2BAD" w:rsidP="009C2BAD">
      <w:pPr>
        <w:spacing w:after="0"/>
        <w:rPr>
          <w:rFonts w:ascii="Arial" w:hAnsi="Arial" w:cs="Arial"/>
          <w:sz w:val="24"/>
          <w:szCs w:val="24"/>
        </w:rPr>
      </w:pPr>
      <w:r w:rsidRPr="00F822A1">
        <w:rPr>
          <w:rFonts w:ascii="Arial" w:hAnsi="Arial" w:cs="Arial"/>
          <w:sz w:val="24"/>
          <w:szCs w:val="24"/>
        </w:rPr>
        <w:t>WC1E7HT</w:t>
      </w:r>
    </w:p>
    <w:p w:rsidR="009C2BAD" w:rsidRPr="00F822A1" w:rsidRDefault="006812F5" w:rsidP="009C2BAD">
      <w:pPr>
        <w:spacing w:after="0"/>
        <w:rPr>
          <w:rFonts w:ascii="Arial" w:hAnsi="Arial" w:cs="Arial"/>
          <w:sz w:val="24"/>
          <w:szCs w:val="24"/>
        </w:rPr>
      </w:pPr>
      <w:hyperlink r:id="rId8" w:history="1">
        <w:r w:rsidR="009C2BAD" w:rsidRPr="00F822A1">
          <w:rPr>
            <w:rStyle w:val="Hyperlink"/>
            <w:rFonts w:ascii="Arial" w:hAnsi="Arial" w:cs="Arial"/>
            <w:sz w:val="24"/>
            <w:szCs w:val="24"/>
          </w:rPr>
          <w:t>John.gregson@lshtm.ac.uk</w:t>
        </w:r>
      </w:hyperlink>
      <w:r w:rsidR="009C2BAD" w:rsidRPr="00F822A1">
        <w:rPr>
          <w:rFonts w:ascii="Arial" w:hAnsi="Arial" w:cs="Arial"/>
          <w:sz w:val="24"/>
          <w:szCs w:val="24"/>
        </w:rPr>
        <w:tab/>
      </w:r>
    </w:p>
    <w:p w:rsidR="009C2BAD" w:rsidRPr="00F822A1" w:rsidRDefault="009C2BAD" w:rsidP="009C2BAD">
      <w:pPr>
        <w:spacing w:after="0"/>
        <w:rPr>
          <w:rFonts w:ascii="Arial" w:hAnsi="Arial" w:cs="Arial"/>
          <w:sz w:val="24"/>
          <w:szCs w:val="24"/>
        </w:rPr>
      </w:pPr>
      <w:r w:rsidRPr="00F822A1">
        <w:rPr>
          <w:rFonts w:ascii="Arial" w:hAnsi="Arial" w:cs="Arial"/>
          <w:sz w:val="24"/>
          <w:szCs w:val="24"/>
        </w:rPr>
        <w:t>+44(0)2079272162</w:t>
      </w:r>
    </w:p>
    <w:p w:rsidR="009C2BAD" w:rsidRPr="00F822A1" w:rsidRDefault="009C2BAD" w:rsidP="009C2BAD">
      <w:pPr>
        <w:rPr>
          <w:rFonts w:ascii="Arial" w:hAnsi="Arial" w:cs="Arial"/>
          <w:sz w:val="24"/>
          <w:szCs w:val="24"/>
        </w:rPr>
      </w:pPr>
    </w:p>
    <w:p w:rsidR="00066D8A" w:rsidRPr="004A49B9" w:rsidRDefault="00066D8A" w:rsidP="004A49B9">
      <w:pPr>
        <w:spacing w:line="360" w:lineRule="auto"/>
        <w:rPr>
          <w:rFonts w:ascii="Arial" w:hAnsi="Arial" w:cs="Arial"/>
          <w:color w:val="1C1D1E"/>
          <w:sz w:val="24"/>
          <w:szCs w:val="24"/>
          <w:shd w:val="clear" w:color="auto" w:fill="FFFFFF"/>
        </w:rPr>
      </w:pPr>
      <w:r w:rsidRPr="004A49B9">
        <w:rPr>
          <w:rFonts w:ascii="Arial" w:hAnsi="Arial" w:cs="Arial"/>
          <w:color w:val="1C1D1E"/>
          <w:sz w:val="24"/>
          <w:szCs w:val="24"/>
          <w:shd w:val="clear" w:color="auto" w:fill="FFFFFF"/>
        </w:rPr>
        <w:t> </w:t>
      </w:r>
      <w:r w:rsidR="004A49B9" w:rsidRPr="004A49B9">
        <w:rPr>
          <w:rFonts w:ascii="Arial" w:hAnsi="Arial" w:cs="Arial"/>
          <w:color w:val="1C1D1E"/>
          <w:sz w:val="24"/>
          <w:szCs w:val="24"/>
          <w:shd w:val="clear" w:color="auto" w:fill="FFFFFF"/>
        </w:rPr>
        <w:t>Word count</w:t>
      </w:r>
      <w:r w:rsidR="0085182D">
        <w:rPr>
          <w:rFonts w:ascii="Arial" w:hAnsi="Arial" w:cs="Arial"/>
          <w:color w:val="1C1D1E"/>
          <w:sz w:val="24"/>
          <w:szCs w:val="24"/>
          <w:shd w:val="clear" w:color="auto" w:fill="FFFFFF"/>
        </w:rPr>
        <w:t xml:space="preserve">: </w:t>
      </w:r>
      <w:r w:rsidR="004A49B9" w:rsidRPr="004A49B9">
        <w:rPr>
          <w:rFonts w:ascii="Arial" w:hAnsi="Arial" w:cs="Arial"/>
          <w:color w:val="1C1D1E"/>
          <w:sz w:val="24"/>
          <w:szCs w:val="24"/>
          <w:shd w:val="clear" w:color="auto" w:fill="FFFFFF"/>
        </w:rPr>
        <w:t>34</w:t>
      </w:r>
      <w:r w:rsidR="00DD270F">
        <w:rPr>
          <w:rFonts w:ascii="Arial" w:hAnsi="Arial" w:cs="Arial"/>
          <w:color w:val="1C1D1E"/>
          <w:sz w:val="24"/>
          <w:szCs w:val="24"/>
          <w:shd w:val="clear" w:color="auto" w:fill="FFFFFF"/>
        </w:rPr>
        <w:t>58</w:t>
      </w:r>
    </w:p>
    <w:p w:rsidR="004A49B9" w:rsidRDefault="004A49B9" w:rsidP="004A49B9">
      <w:pPr>
        <w:spacing w:line="360" w:lineRule="auto"/>
        <w:rPr>
          <w:rFonts w:ascii="Open Sans" w:hAnsi="Open Sans" w:cs="Open Sans"/>
          <w:color w:val="1C1D1E"/>
          <w:sz w:val="21"/>
          <w:szCs w:val="21"/>
          <w:shd w:val="clear" w:color="auto" w:fill="FFFFFF"/>
        </w:rPr>
      </w:pPr>
    </w:p>
    <w:p w:rsidR="004A49B9" w:rsidRPr="00E7739F" w:rsidRDefault="00E46C96" w:rsidP="004A49B9">
      <w:pPr>
        <w:spacing w:line="480" w:lineRule="auto"/>
        <w:rPr>
          <w:rFonts w:ascii="Arial" w:hAnsi="Arial" w:cs="Arial"/>
          <w:sz w:val="24"/>
          <w:szCs w:val="24"/>
        </w:rPr>
      </w:pPr>
      <w:r>
        <w:rPr>
          <w:rFonts w:ascii="Arial" w:hAnsi="Arial" w:cs="Arial"/>
          <w:sz w:val="24"/>
          <w:szCs w:val="24"/>
        </w:rPr>
        <w:t>We</w:t>
      </w:r>
      <w:r w:rsidR="004A49B9">
        <w:rPr>
          <w:rFonts w:ascii="Arial" w:hAnsi="Arial" w:cs="Arial"/>
          <w:sz w:val="24"/>
          <w:szCs w:val="24"/>
        </w:rPr>
        <w:t xml:space="preserve"> report no conflicts of interest </w:t>
      </w:r>
    </w:p>
    <w:p w:rsidR="004A49B9" w:rsidRDefault="004A49B9" w:rsidP="004A49B9">
      <w:pPr>
        <w:spacing w:line="360" w:lineRule="auto"/>
        <w:rPr>
          <w:rFonts w:ascii="Arial" w:hAnsi="Arial" w:cs="Arial"/>
          <w:b/>
          <w:sz w:val="24"/>
          <w:szCs w:val="24"/>
        </w:rPr>
      </w:pPr>
    </w:p>
    <w:p w:rsidR="004A49B9" w:rsidRPr="00F822A1" w:rsidRDefault="004A49B9" w:rsidP="004A49B9">
      <w:pPr>
        <w:spacing w:line="360" w:lineRule="auto"/>
        <w:rPr>
          <w:rFonts w:ascii="Arial" w:hAnsi="Arial" w:cs="Arial"/>
          <w:b/>
          <w:sz w:val="24"/>
          <w:szCs w:val="24"/>
        </w:rPr>
        <w:sectPr w:rsidR="004A49B9" w:rsidRPr="00F822A1" w:rsidSect="006371EE">
          <w:footerReference w:type="default" r:id="rId9"/>
          <w:pgSz w:w="11906" w:h="16838"/>
          <w:pgMar w:top="1440" w:right="1440" w:bottom="1440" w:left="1440" w:header="708" w:footer="708" w:gutter="0"/>
          <w:cols w:space="708"/>
          <w:docGrid w:linePitch="360"/>
        </w:sectPr>
      </w:pPr>
      <w:r>
        <w:rPr>
          <w:rFonts w:ascii="Arial" w:hAnsi="Arial" w:cs="Arial"/>
          <w:b/>
          <w:sz w:val="24"/>
          <w:szCs w:val="24"/>
        </w:rPr>
        <w:t>Keywords: Dementia, hypertension, epidemiology, Alzheimer’s disease, vascular dementia</w:t>
      </w:r>
    </w:p>
    <w:p w:rsidR="00765247" w:rsidRPr="00F822A1" w:rsidRDefault="0033038D" w:rsidP="00A918B7">
      <w:pPr>
        <w:spacing w:line="480" w:lineRule="auto"/>
        <w:rPr>
          <w:rFonts w:ascii="Arial" w:hAnsi="Arial" w:cs="Arial"/>
          <w:b/>
          <w:sz w:val="24"/>
          <w:szCs w:val="24"/>
        </w:rPr>
      </w:pPr>
      <w:r w:rsidRPr="00F822A1">
        <w:rPr>
          <w:rFonts w:ascii="Arial" w:hAnsi="Arial" w:cs="Arial"/>
          <w:b/>
          <w:sz w:val="24"/>
          <w:szCs w:val="24"/>
        </w:rPr>
        <w:lastRenderedPageBreak/>
        <w:t>ABSTRACT</w:t>
      </w:r>
    </w:p>
    <w:p w:rsidR="00765247" w:rsidRPr="00F822A1" w:rsidRDefault="00765247" w:rsidP="00A918B7">
      <w:pPr>
        <w:spacing w:line="480" w:lineRule="auto"/>
        <w:rPr>
          <w:rFonts w:ascii="Arial" w:hAnsi="Arial" w:cs="Arial"/>
          <w:sz w:val="24"/>
          <w:szCs w:val="24"/>
        </w:rPr>
      </w:pPr>
      <w:r w:rsidRPr="00F822A1">
        <w:rPr>
          <w:rFonts w:ascii="Arial" w:hAnsi="Arial" w:cs="Arial"/>
          <w:b/>
          <w:sz w:val="24"/>
          <w:szCs w:val="24"/>
        </w:rPr>
        <w:t xml:space="preserve">Background: </w:t>
      </w:r>
      <w:r w:rsidRPr="00F822A1">
        <w:rPr>
          <w:rFonts w:ascii="Arial" w:hAnsi="Arial" w:cs="Arial"/>
          <w:sz w:val="24"/>
          <w:szCs w:val="24"/>
        </w:rPr>
        <w:t xml:space="preserve">Elevated blood pressure (BP) is prevalent, modifiable and has been </w:t>
      </w:r>
      <w:r w:rsidR="007C056E" w:rsidRPr="00F822A1">
        <w:rPr>
          <w:rFonts w:ascii="Arial" w:hAnsi="Arial" w:cs="Arial"/>
          <w:sz w:val="24"/>
          <w:szCs w:val="24"/>
        </w:rPr>
        <w:t xml:space="preserve">hypothesized </w:t>
      </w:r>
      <w:r w:rsidRPr="00F822A1">
        <w:rPr>
          <w:rFonts w:ascii="Arial" w:hAnsi="Arial" w:cs="Arial"/>
          <w:sz w:val="24"/>
          <w:szCs w:val="24"/>
        </w:rPr>
        <w:t xml:space="preserve">to lead to increased risk of dementia. </w:t>
      </w:r>
    </w:p>
    <w:p w:rsidR="00052BC6" w:rsidRPr="00F822A1" w:rsidRDefault="00052BC6" w:rsidP="00A918B7">
      <w:pPr>
        <w:spacing w:line="480" w:lineRule="auto"/>
        <w:rPr>
          <w:rFonts w:ascii="Arial" w:hAnsi="Arial" w:cs="Arial"/>
          <w:sz w:val="24"/>
          <w:szCs w:val="24"/>
        </w:rPr>
      </w:pPr>
      <w:r w:rsidRPr="00F822A1">
        <w:rPr>
          <w:rFonts w:ascii="Arial" w:hAnsi="Arial" w:cs="Arial"/>
          <w:b/>
          <w:sz w:val="24"/>
          <w:szCs w:val="24"/>
        </w:rPr>
        <w:t>Data</w:t>
      </w:r>
      <w:r w:rsidR="00765247" w:rsidRPr="00F822A1">
        <w:rPr>
          <w:rFonts w:ascii="Arial" w:hAnsi="Arial" w:cs="Arial"/>
          <w:b/>
          <w:sz w:val="24"/>
          <w:szCs w:val="24"/>
        </w:rPr>
        <w:t xml:space="preserve">: </w:t>
      </w:r>
      <w:r w:rsidR="00765247" w:rsidRPr="00F822A1">
        <w:rPr>
          <w:rFonts w:ascii="Arial" w:hAnsi="Arial" w:cs="Arial"/>
          <w:sz w:val="24"/>
          <w:szCs w:val="24"/>
        </w:rPr>
        <w:t xml:space="preserve">2,593,629 </w:t>
      </w:r>
      <w:r w:rsidR="008412E0" w:rsidRPr="00F822A1">
        <w:rPr>
          <w:rFonts w:ascii="Arial" w:hAnsi="Arial" w:cs="Arial"/>
          <w:sz w:val="24"/>
          <w:szCs w:val="24"/>
        </w:rPr>
        <w:t xml:space="preserve">people </w:t>
      </w:r>
      <w:r w:rsidR="00765247" w:rsidRPr="00F822A1">
        <w:rPr>
          <w:rFonts w:ascii="Arial" w:hAnsi="Arial" w:cs="Arial"/>
          <w:sz w:val="24"/>
          <w:szCs w:val="24"/>
        </w:rPr>
        <w:t>from the United Kingdom Clin</w:t>
      </w:r>
      <w:r w:rsidRPr="00F822A1">
        <w:rPr>
          <w:rFonts w:ascii="Arial" w:hAnsi="Arial" w:cs="Arial"/>
          <w:sz w:val="24"/>
          <w:szCs w:val="24"/>
        </w:rPr>
        <w:t xml:space="preserve">ical Practice Research Database, </w:t>
      </w:r>
      <w:r w:rsidR="00765247" w:rsidRPr="00F822A1">
        <w:rPr>
          <w:rFonts w:ascii="Arial" w:hAnsi="Arial" w:cs="Arial"/>
          <w:sz w:val="24"/>
          <w:szCs w:val="24"/>
        </w:rPr>
        <w:t xml:space="preserve">aged </w:t>
      </w:r>
      <w:r w:rsidRPr="00F822A1">
        <w:rPr>
          <w:rFonts w:ascii="Arial" w:hAnsi="Arial" w:cs="Arial"/>
          <w:sz w:val="24"/>
          <w:szCs w:val="24"/>
        </w:rPr>
        <w:t>≥</w:t>
      </w:r>
      <w:r w:rsidR="00765247" w:rsidRPr="00F822A1">
        <w:rPr>
          <w:rFonts w:ascii="Arial" w:hAnsi="Arial" w:cs="Arial"/>
          <w:sz w:val="24"/>
          <w:szCs w:val="24"/>
        </w:rPr>
        <w:t xml:space="preserve">40 years or older with a </w:t>
      </w:r>
      <w:r w:rsidR="00DD7F91" w:rsidRPr="00F822A1">
        <w:rPr>
          <w:rFonts w:ascii="Arial" w:hAnsi="Arial" w:cs="Arial"/>
          <w:sz w:val="24"/>
          <w:szCs w:val="24"/>
        </w:rPr>
        <w:t>BP</w:t>
      </w:r>
      <w:r w:rsidR="00765247" w:rsidRPr="00F822A1">
        <w:rPr>
          <w:rFonts w:ascii="Arial" w:hAnsi="Arial" w:cs="Arial"/>
          <w:sz w:val="24"/>
          <w:szCs w:val="24"/>
        </w:rPr>
        <w:t xml:space="preserve"> measurement between 1992 to 2011 and no prior record of dementia. </w:t>
      </w:r>
    </w:p>
    <w:p w:rsidR="00765247" w:rsidRPr="00F822A1" w:rsidRDefault="00052BC6" w:rsidP="00A918B7">
      <w:pPr>
        <w:spacing w:line="480" w:lineRule="auto"/>
        <w:rPr>
          <w:rFonts w:ascii="Arial" w:hAnsi="Arial" w:cs="Arial"/>
          <w:sz w:val="24"/>
          <w:szCs w:val="24"/>
        </w:rPr>
      </w:pPr>
      <w:r w:rsidRPr="00F822A1">
        <w:rPr>
          <w:rFonts w:ascii="Arial" w:hAnsi="Arial" w:cs="Arial"/>
          <w:b/>
          <w:sz w:val="24"/>
          <w:szCs w:val="24"/>
        </w:rPr>
        <w:t>Methods:</w:t>
      </w:r>
      <w:r w:rsidRPr="00F822A1">
        <w:rPr>
          <w:rFonts w:ascii="Arial" w:hAnsi="Arial" w:cs="Arial"/>
          <w:sz w:val="24"/>
          <w:szCs w:val="24"/>
        </w:rPr>
        <w:t xml:space="preserve"> </w:t>
      </w:r>
      <w:r w:rsidR="00765247" w:rsidRPr="00F822A1">
        <w:rPr>
          <w:rFonts w:ascii="Arial" w:hAnsi="Arial" w:cs="Arial"/>
          <w:sz w:val="24"/>
          <w:szCs w:val="24"/>
        </w:rPr>
        <w:t xml:space="preserve">We </w:t>
      </w:r>
      <w:r w:rsidRPr="00F822A1">
        <w:rPr>
          <w:rFonts w:ascii="Arial" w:hAnsi="Arial" w:cs="Arial"/>
          <w:sz w:val="24"/>
          <w:szCs w:val="24"/>
        </w:rPr>
        <w:t>used Poisson regression models to study</w:t>
      </w:r>
      <w:r w:rsidR="00765247" w:rsidRPr="00F822A1">
        <w:rPr>
          <w:rFonts w:ascii="Arial" w:hAnsi="Arial" w:cs="Arial"/>
          <w:sz w:val="24"/>
          <w:szCs w:val="24"/>
        </w:rPr>
        <w:t xml:space="preserve"> the association between </w:t>
      </w:r>
      <w:r w:rsidR="00DD7F91" w:rsidRPr="00F822A1">
        <w:rPr>
          <w:rFonts w:ascii="Arial" w:hAnsi="Arial" w:cs="Arial"/>
          <w:sz w:val="24"/>
          <w:szCs w:val="24"/>
        </w:rPr>
        <w:t>BP</w:t>
      </w:r>
      <w:r w:rsidR="00765247" w:rsidRPr="00F822A1">
        <w:rPr>
          <w:rFonts w:ascii="Arial" w:hAnsi="Arial" w:cs="Arial"/>
          <w:sz w:val="24"/>
          <w:szCs w:val="24"/>
        </w:rPr>
        <w:t xml:space="preserve"> and physician-diagnosed dementia</w:t>
      </w:r>
      <w:r w:rsidRPr="00F822A1">
        <w:rPr>
          <w:rFonts w:ascii="Arial" w:hAnsi="Arial" w:cs="Arial"/>
          <w:sz w:val="24"/>
          <w:szCs w:val="24"/>
        </w:rPr>
        <w:t xml:space="preserve">. </w:t>
      </w:r>
      <w:r w:rsidR="00765247" w:rsidRPr="00F822A1">
        <w:rPr>
          <w:rFonts w:ascii="Arial" w:hAnsi="Arial" w:cs="Arial"/>
          <w:sz w:val="24"/>
          <w:szCs w:val="24"/>
        </w:rPr>
        <w:t xml:space="preserve">BP is </w:t>
      </w:r>
      <w:r w:rsidR="007C056E" w:rsidRPr="00F822A1">
        <w:rPr>
          <w:rFonts w:ascii="Arial" w:hAnsi="Arial" w:cs="Arial"/>
          <w:sz w:val="24"/>
          <w:szCs w:val="24"/>
        </w:rPr>
        <w:t>believed to fall</w:t>
      </w:r>
      <w:r w:rsidR="00765247" w:rsidRPr="00F822A1">
        <w:rPr>
          <w:rFonts w:ascii="Arial" w:hAnsi="Arial" w:cs="Arial"/>
          <w:sz w:val="24"/>
          <w:szCs w:val="24"/>
        </w:rPr>
        <w:t xml:space="preserve"> during the prodromal phase of dementia development, </w:t>
      </w:r>
      <w:r w:rsidRPr="00F822A1">
        <w:rPr>
          <w:rFonts w:ascii="Arial" w:hAnsi="Arial" w:cs="Arial"/>
          <w:sz w:val="24"/>
          <w:szCs w:val="24"/>
        </w:rPr>
        <w:t xml:space="preserve">so </w:t>
      </w:r>
      <w:r w:rsidR="00765247" w:rsidRPr="00F822A1">
        <w:rPr>
          <w:rFonts w:ascii="Arial" w:hAnsi="Arial" w:cs="Arial"/>
          <w:sz w:val="24"/>
          <w:szCs w:val="24"/>
        </w:rPr>
        <w:t xml:space="preserve">we investigated associations by categories of time since BP measurement (&lt;5 years, 5-10 years, &gt;10 years), and by subtypes of dementia.  </w:t>
      </w:r>
    </w:p>
    <w:p w:rsidR="00765247" w:rsidRPr="00F822A1" w:rsidRDefault="00765247" w:rsidP="00A918B7">
      <w:pPr>
        <w:spacing w:line="480" w:lineRule="auto"/>
        <w:rPr>
          <w:rFonts w:ascii="Arial" w:hAnsi="Arial" w:cs="Arial"/>
          <w:sz w:val="24"/>
          <w:szCs w:val="24"/>
        </w:rPr>
      </w:pPr>
      <w:r w:rsidRPr="00F822A1">
        <w:rPr>
          <w:rFonts w:ascii="Arial" w:hAnsi="Arial" w:cs="Arial"/>
          <w:b/>
          <w:sz w:val="24"/>
          <w:szCs w:val="24"/>
        </w:rPr>
        <w:t xml:space="preserve">Results: </w:t>
      </w:r>
      <w:r w:rsidRPr="00F822A1">
        <w:rPr>
          <w:rFonts w:ascii="Arial" w:hAnsi="Arial" w:cs="Arial"/>
          <w:sz w:val="24"/>
          <w:szCs w:val="24"/>
        </w:rPr>
        <w:t>During a median follow up of 8.2 years, we observ</w:t>
      </w:r>
      <w:r w:rsidR="00052BC6" w:rsidRPr="00F822A1">
        <w:rPr>
          <w:rFonts w:ascii="Arial" w:hAnsi="Arial" w:cs="Arial"/>
          <w:sz w:val="24"/>
          <w:szCs w:val="24"/>
        </w:rPr>
        <w:t>ed 65618 cases of dementia: 49</w:t>
      </w:r>
      <w:r w:rsidRPr="00F822A1">
        <w:rPr>
          <w:rFonts w:ascii="Arial" w:hAnsi="Arial" w:cs="Arial"/>
          <w:sz w:val="24"/>
          <w:szCs w:val="24"/>
        </w:rPr>
        <w:t xml:space="preserve">161 </w:t>
      </w:r>
      <w:r w:rsidR="00052BC6" w:rsidRPr="00F822A1">
        <w:rPr>
          <w:rFonts w:ascii="Arial" w:hAnsi="Arial" w:cs="Arial"/>
          <w:sz w:val="24"/>
          <w:szCs w:val="24"/>
        </w:rPr>
        <w:t>Alzheimer’s, 13</w:t>
      </w:r>
      <w:r w:rsidRPr="00F822A1">
        <w:rPr>
          <w:rFonts w:ascii="Arial" w:hAnsi="Arial" w:cs="Arial"/>
          <w:sz w:val="24"/>
          <w:szCs w:val="24"/>
        </w:rPr>
        <w:t xml:space="preserve">816 </w:t>
      </w:r>
      <w:r w:rsidR="00052BC6" w:rsidRPr="00F822A1">
        <w:rPr>
          <w:rFonts w:ascii="Arial" w:hAnsi="Arial" w:cs="Arial"/>
          <w:sz w:val="24"/>
          <w:szCs w:val="24"/>
        </w:rPr>
        <w:t>vascular dementia, and 2</w:t>
      </w:r>
      <w:r w:rsidRPr="00F822A1">
        <w:rPr>
          <w:rFonts w:ascii="Arial" w:hAnsi="Arial" w:cs="Arial"/>
          <w:sz w:val="24"/>
          <w:szCs w:val="24"/>
        </w:rPr>
        <w:t xml:space="preserve">541 other subtypes. For each 10mmHg higher systolic BP, the </w:t>
      </w:r>
      <w:r w:rsidR="003D5DD1" w:rsidRPr="00F822A1">
        <w:rPr>
          <w:rFonts w:ascii="Arial" w:hAnsi="Arial" w:cs="Arial"/>
          <w:sz w:val="24"/>
          <w:szCs w:val="24"/>
        </w:rPr>
        <w:t xml:space="preserve">future </w:t>
      </w:r>
      <w:r w:rsidRPr="00F822A1">
        <w:rPr>
          <w:rFonts w:ascii="Arial" w:hAnsi="Arial" w:cs="Arial"/>
          <w:sz w:val="24"/>
          <w:szCs w:val="24"/>
        </w:rPr>
        <w:t xml:space="preserve">dementia </w:t>
      </w:r>
      <w:r w:rsidR="00950599" w:rsidRPr="00F822A1">
        <w:rPr>
          <w:rFonts w:ascii="Arial" w:hAnsi="Arial" w:cs="Arial"/>
          <w:sz w:val="24"/>
          <w:szCs w:val="24"/>
        </w:rPr>
        <w:t xml:space="preserve">risk </w:t>
      </w:r>
      <w:r w:rsidRPr="00F822A1">
        <w:rPr>
          <w:rFonts w:ascii="Arial" w:hAnsi="Arial" w:cs="Arial"/>
          <w:sz w:val="24"/>
          <w:szCs w:val="24"/>
        </w:rPr>
        <w:t>was 9.2% (</w:t>
      </w:r>
      <w:r w:rsidR="002318EF" w:rsidRPr="00F822A1">
        <w:rPr>
          <w:rFonts w:ascii="Arial" w:hAnsi="Arial" w:cs="Arial"/>
          <w:sz w:val="24"/>
          <w:szCs w:val="24"/>
        </w:rPr>
        <w:t xml:space="preserve">95% CI, </w:t>
      </w:r>
      <w:r w:rsidRPr="00F822A1">
        <w:rPr>
          <w:rFonts w:ascii="Arial" w:hAnsi="Arial" w:cs="Arial"/>
          <w:sz w:val="24"/>
          <w:szCs w:val="24"/>
        </w:rPr>
        <w:t>8.4%</w:t>
      </w:r>
      <w:r w:rsidR="000C5F00">
        <w:rPr>
          <w:rFonts w:ascii="Arial" w:hAnsi="Arial" w:cs="Arial"/>
          <w:sz w:val="24"/>
          <w:szCs w:val="24"/>
        </w:rPr>
        <w:t>-</w:t>
      </w:r>
      <w:r w:rsidRPr="00F822A1">
        <w:rPr>
          <w:rFonts w:ascii="Arial" w:hAnsi="Arial" w:cs="Arial"/>
          <w:sz w:val="24"/>
          <w:szCs w:val="24"/>
        </w:rPr>
        <w:t xml:space="preserve">10.0%) lower, but this association varied markedly by time since BP measurement. Short-term associations with dementia were </w:t>
      </w:r>
      <w:r w:rsidR="007C056E" w:rsidRPr="00F822A1">
        <w:rPr>
          <w:rFonts w:ascii="Arial" w:hAnsi="Arial" w:cs="Arial"/>
          <w:sz w:val="24"/>
          <w:szCs w:val="24"/>
        </w:rPr>
        <w:t xml:space="preserve">inverse </w:t>
      </w:r>
      <w:r w:rsidRPr="00F822A1">
        <w:rPr>
          <w:rFonts w:ascii="Arial" w:hAnsi="Arial" w:cs="Arial"/>
          <w:sz w:val="24"/>
          <w:szCs w:val="24"/>
        </w:rPr>
        <w:t>with a 15.8% (15.5%</w:t>
      </w:r>
      <w:r w:rsidR="000C5F00">
        <w:rPr>
          <w:rFonts w:ascii="Arial" w:hAnsi="Arial" w:cs="Arial"/>
          <w:sz w:val="24"/>
          <w:szCs w:val="24"/>
        </w:rPr>
        <w:t>-</w:t>
      </w:r>
      <w:r w:rsidRPr="00F822A1">
        <w:rPr>
          <w:rFonts w:ascii="Arial" w:hAnsi="Arial" w:cs="Arial"/>
          <w:sz w:val="24"/>
          <w:szCs w:val="24"/>
        </w:rPr>
        <w:t>17.0%) lower risk 0-5 years after BP measurement and a 5.8% (7.7%</w:t>
      </w:r>
      <w:r w:rsidR="000C5F00">
        <w:rPr>
          <w:rFonts w:ascii="Arial" w:hAnsi="Arial" w:cs="Arial"/>
          <w:sz w:val="24"/>
          <w:szCs w:val="24"/>
        </w:rPr>
        <w:t>-</w:t>
      </w:r>
      <w:r w:rsidRPr="00F822A1">
        <w:rPr>
          <w:rFonts w:ascii="Arial" w:hAnsi="Arial" w:cs="Arial"/>
          <w:sz w:val="24"/>
          <w:szCs w:val="24"/>
        </w:rPr>
        <w:t xml:space="preserve"> 4.4%) lower risk 5-10 years after BP measurement. During the period </w:t>
      </w:r>
      <w:r w:rsidR="00950599" w:rsidRPr="00F822A1">
        <w:rPr>
          <w:rFonts w:ascii="Arial" w:hAnsi="Arial" w:cs="Arial"/>
          <w:sz w:val="24"/>
          <w:szCs w:val="24"/>
        </w:rPr>
        <w:t>&gt;</w:t>
      </w:r>
      <w:r w:rsidRPr="00F822A1">
        <w:rPr>
          <w:rFonts w:ascii="Arial" w:hAnsi="Arial" w:cs="Arial"/>
          <w:sz w:val="24"/>
          <w:szCs w:val="24"/>
        </w:rPr>
        <w:t xml:space="preserve">10 years after BP </w:t>
      </w:r>
      <w:proofErr w:type="gramStart"/>
      <w:r w:rsidRPr="00F822A1">
        <w:rPr>
          <w:rFonts w:ascii="Arial" w:hAnsi="Arial" w:cs="Arial"/>
          <w:sz w:val="24"/>
          <w:szCs w:val="24"/>
        </w:rPr>
        <w:t>measurement</w:t>
      </w:r>
      <w:proofErr w:type="gramEnd"/>
      <w:r w:rsidR="007C056E" w:rsidRPr="00F822A1">
        <w:rPr>
          <w:rFonts w:ascii="Arial" w:hAnsi="Arial" w:cs="Arial"/>
          <w:sz w:val="24"/>
          <w:szCs w:val="24"/>
        </w:rPr>
        <w:t>,</w:t>
      </w:r>
      <w:r w:rsidRPr="00F822A1">
        <w:rPr>
          <w:rFonts w:ascii="Arial" w:hAnsi="Arial" w:cs="Arial"/>
          <w:sz w:val="24"/>
          <w:szCs w:val="24"/>
        </w:rPr>
        <w:t xml:space="preserve"> dementia </w:t>
      </w:r>
      <w:r w:rsidR="00950599" w:rsidRPr="00F822A1">
        <w:rPr>
          <w:rFonts w:ascii="Arial" w:hAnsi="Arial" w:cs="Arial"/>
          <w:sz w:val="24"/>
          <w:szCs w:val="24"/>
        </w:rPr>
        <w:t xml:space="preserve">risk </w:t>
      </w:r>
      <w:r w:rsidRPr="00F822A1">
        <w:rPr>
          <w:rFonts w:ascii="Arial" w:hAnsi="Arial" w:cs="Arial"/>
          <w:sz w:val="24"/>
          <w:szCs w:val="24"/>
        </w:rPr>
        <w:t>was only 1.6% (</w:t>
      </w:r>
      <w:r w:rsidR="007C056E" w:rsidRPr="00F822A1">
        <w:rPr>
          <w:rFonts w:ascii="Arial" w:hAnsi="Arial" w:cs="Arial"/>
          <w:sz w:val="24"/>
          <w:szCs w:val="24"/>
        </w:rPr>
        <w:t>0.1%</w:t>
      </w:r>
      <w:r w:rsidR="000C5F00">
        <w:rPr>
          <w:rFonts w:ascii="Arial" w:hAnsi="Arial" w:cs="Arial"/>
          <w:sz w:val="24"/>
          <w:szCs w:val="24"/>
        </w:rPr>
        <w:t>-</w:t>
      </w:r>
      <w:r w:rsidRPr="00F822A1">
        <w:rPr>
          <w:rFonts w:ascii="Arial" w:hAnsi="Arial" w:cs="Arial"/>
          <w:sz w:val="24"/>
          <w:szCs w:val="24"/>
        </w:rPr>
        <w:t>3.</w:t>
      </w:r>
      <w:r w:rsidR="00340A82">
        <w:rPr>
          <w:rFonts w:ascii="Arial" w:hAnsi="Arial" w:cs="Arial"/>
          <w:sz w:val="24"/>
          <w:szCs w:val="24"/>
        </w:rPr>
        <w:t>0%) lower, with a 4.3% (2.5%-</w:t>
      </w:r>
      <w:r w:rsidRPr="00F822A1">
        <w:rPr>
          <w:rFonts w:ascii="Arial" w:hAnsi="Arial" w:cs="Arial"/>
          <w:sz w:val="24"/>
          <w:szCs w:val="24"/>
        </w:rPr>
        <w:t>6.0%) lower risk of Alzheimer’s disease, and a 7.0% (3.8%</w:t>
      </w:r>
      <w:r w:rsidR="000C5F00">
        <w:rPr>
          <w:rFonts w:ascii="Arial" w:hAnsi="Arial" w:cs="Arial"/>
          <w:sz w:val="24"/>
          <w:szCs w:val="24"/>
        </w:rPr>
        <w:t>-</w:t>
      </w:r>
      <w:r w:rsidRPr="00F822A1">
        <w:rPr>
          <w:rFonts w:ascii="Arial" w:hAnsi="Arial" w:cs="Arial"/>
          <w:sz w:val="24"/>
          <w:szCs w:val="24"/>
        </w:rPr>
        <w:t xml:space="preserve">10.2%) higher risk of vascular dementia. </w:t>
      </w:r>
    </w:p>
    <w:p w:rsidR="00765247" w:rsidRPr="00F822A1" w:rsidRDefault="00765247" w:rsidP="00A918B7">
      <w:pPr>
        <w:spacing w:line="480" w:lineRule="auto"/>
        <w:rPr>
          <w:rFonts w:ascii="Arial" w:hAnsi="Arial" w:cs="Arial"/>
          <w:sz w:val="24"/>
          <w:szCs w:val="24"/>
        </w:rPr>
      </w:pPr>
      <w:r w:rsidRPr="00F822A1">
        <w:rPr>
          <w:rFonts w:ascii="Arial" w:hAnsi="Arial" w:cs="Arial"/>
          <w:b/>
          <w:sz w:val="24"/>
          <w:szCs w:val="24"/>
        </w:rPr>
        <w:lastRenderedPageBreak/>
        <w:t xml:space="preserve">Conclusions:  </w:t>
      </w:r>
      <w:r w:rsidRPr="00F822A1">
        <w:rPr>
          <w:rFonts w:ascii="Arial" w:hAnsi="Arial" w:cs="Arial"/>
          <w:sz w:val="24"/>
          <w:szCs w:val="24"/>
        </w:rPr>
        <w:t xml:space="preserve">Elevated BP is associated with decreased risk of dementia in the short-term, possibly due to reverse causation. </w:t>
      </w:r>
      <w:r w:rsidR="008D7721" w:rsidRPr="00F822A1">
        <w:rPr>
          <w:rFonts w:ascii="Arial" w:hAnsi="Arial" w:cs="Arial"/>
          <w:sz w:val="24"/>
          <w:szCs w:val="24"/>
        </w:rPr>
        <w:t>L</w:t>
      </w:r>
      <w:r w:rsidRPr="00F822A1">
        <w:rPr>
          <w:rFonts w:ascii="Arial" w:hAnsi="Arial" w:cs="Arial"/>
          <w:sz w:val="24"/>
          <w:szCs w:val="24"/>
        </w:rPr>
        <w:t>ong-term association</w:t>
      </w:r>
      <w:r w:rsidR="00052BC6" w:rsidRPr="00F822A1">
        <w:rPr>
          <w:rFonts w:ascii="Arial" w:hAnsi="Arial" w:cs="Arial"/>
          <w:sz w:val="24"/>
          <w:szCs w:val="24"/>
        </w:rPr>
        <w:t>s</w:t>
      </w:r>
      <w:r w:rsidRPr="00F822A1">
        <w:rPr>
          <w:rFonts w:ascii="Arial" w:hAnsi="Arial" w:cs="Arial"/>
          <w:sz w:val="24"/>
          <w:szCs w:val="24"/>
        </w:rPr>
        <w:t xml:space="preserve"> of </w:t>
      </w:r>
      <w:r w:rsidR="007D6AA9" w:rsidRPr="00F822A1">
        <w:rPr>
          <w:rFonts w:ascii="Arial" w:hAnsi="Arial" w:cs="Arial"/>
          <w:sz w:val="24"/>
          <w:szCs w:val="24"/>
        </w:rPr>
        <w:t>BP</w:t>
      </w:r>
      <w:r w:rsidRPr="00F822A1">
        <w:rPr>
          <w:rFonts w:ascii="Arial" w:hAnsi="Arial" w:cs="Arial"/>
          <w:sz w:val="24"/>
          <w:szCs w:val="24"/>
        </w:rPr>
        <w:t xml:space="preserve"> with dementia </w:t>
      </w:r>
      <w:r w:rsidR="008D7721" w:rsidRPr="00F822A1">
        <w:rPr>
          <w:rFonts w:ascii="Arial" w:hAnsi="Arial" w:cs="Arial"/>
          <w:sz w:val="24"/>
          <w:szCs w:val="24"/>
        </w:rPr>
        <w:t>are less marked</w:t>
      </w:r>
      <w:r w:rsidR="00950599" w:rsidRPr="00F822A1">
        <w:rPr>
          <w:rFonts w:ascii="Arial" w:hAnsi="Arial" w:cs="Arial"/>
          <w:sz w:val="24"/>
          <w:szCs w:val="24"/>
        </w:rPr>
        <w:t xml:space="preserve"> and differ by dementia subtype. </w:t>
      </w:r>
    </w:p>
    <w:p w:rsidR="00C15A21" w:rsidRPr="00F822A1" w:rsidRDefault="00C15A21" w:rsidP="00A918B7">
      <w:pPr>
        <w:spacing w:line="480" w:lineRule="auto"/>
        <w:rPr>
          <w:rFonts w:ascii="Arial" w:hAnsi="Arial" w:cs="Arial"/>
          <w:b/>
          <w:sz w:val="24"/>
          <w:szCs w:val="24"/>
        </w:rPr>
        <w:sectPr w:rsidR="00C15A21" w:rsidRPr="00F822A1" w:rsidSect="006371EE">
          <w:footerReference w:type="default" r:id="rId10"/>
          <w:pgSz w:w="11906" w:h="16838"/>
          <w:pgMar w:top="1440" w:right="1440" w:bottom="1440" w:left="1440" w:header="708" w:footer="708" w:gutter="0"/>
          <w:cols w:space="708"/>
          <w:docGrid w:linePitch="360"/>
        </w:sectPr>
      </w:pPr>
    </w:p>
    <w:p w:rsidR="00A324CD" w:rsidRPr="00F822A1" w:rsidRDefault="00A324CD" w:rsidP="00A918B7">
      <w:pPr>
        <w:spacing w:line="480" w:lineRule="auto"/>
        <w:rPr>
          <w:rFonts w:ascii="Arial" w:hAnsi="Arial" w:cs="Arial"/>
          <w:b/>
          <w:sz w:val="24"/>
          <w:szCs w:val="24"/>
        </w:rPr>
      </w:pPr>
      <w:r w:rsidRPr="00F822A1">
        <w:rPr>
          <w:rFonts w:ascii="Arial" w:hAnsi="Arial" w:cs="Arial"/>
          <w:b/>
          <w:sz w:val="24"/>
          <w:szCs w:val="24"/>
        </w:rPr>
        <w:lastRenderedPageBreak/>
        <w:t>INTRODUCTION</w:t>
      </w:r>
    </w:p>
    <w:p w:rsidR="00931035" w:rsidRPr="00F822A1" w:rsidRDefault="009B1CB5" w:rsidP="00A918B7">
      <w:pPr>
        <w:spacing w:line="480" w:lineRule="auto"/>
        <w:rPr>
          <w:rFonts w:ascii="Arial" w:hAnsi="Arial" w:cs="Arial"/>
          <w:sz w:val="24"/>
          <w:szCs w:val="24"/>
        </w:rPr>
      </w:pPr>
      <w:r w:rsidRPr="00F822A1">
        <w:rPr>
          <w:rFonts w:ascii="Arial" w:hAnsi="Arial" w:cs="Arial"/>
          <w:sz w:val="24"/>
          <w:szCs w:val="24"/>
        </w:rPr>
        <w:t xml:space="preserve">It has been </w:t>
      </w:r>
      <w:r w:rsidR="008D7721" w:rsidRPr="00F822A1">
        <w:rPr>
          <w:rFonts w:ascii="Arial" w:hAnsi="Arial" w:cs="Arial"/>
          <w:sz w:val="24"/>
          <w:szCs w:val="24"/>
        </w:rPr>
        <w:t xml:space="preserve">hypothesized </w:t>
      </w:r>
      <w:r w:rsidRPr="00F822A1">
        <w:rPr>
          <w:rFonts w:ascii="Arial" w:hAnsi="Arial" w:cs="Arial"/>
          <w:sz w:val="24"/>
          <w:szCs w:val="24"/>
        </w:rPr>
        <w:t xml:space="preserve">that elevated blood pressure (BP) may lead to increased risk of dementia, a condition </w:t>
      </w:r>
      <w:r w:rsidR="008E1DAC">
        <w:rPr>
          <w:rFonts w:ascii="Arial" w:hAnsi="Arial" w:cs="Arial"/>
          <w:sz w:val="24"/>
          <w:szCs w:val="24"/>
        </w:rPr>
        <w:t xml:space="preserve">expected to affect </w:t>
      </w:r>
      <w:r w:rsidR="008D14A1" w:rsidRPr="00F822A1">
        <w:rPr>
          <w:rFonts w:ascii="Arial" w:hAnsi="Arial" w:cs="Arial"/>
          <w:sz w:val="24"/>
          <w:szCs w:val="24"/>
        </w:rPr>
        <w:t>over 6</w:t>
      </w:r>
      <w:r w:rsidR="003972BA" w:rsidRPr="00F822A1">
        <w:rPr>
          <w:rFonts w:ascii="Arial" w:hAnsi="Arial" w:cs="Arial"/>
          <w:sz w:val="24"/>
          <w:szCs w:val="24"/>
        </w:rPr>
        <w:t>5 million people by 2030.</w:t>
      </w:r>
      <w:r w:rsidR="002A1F31" w:rsidRPr="00F822A1">
        <w:rPr>
          <w:rFonts w:ascii="Arial" w:hAnsi="Arial" w:cs="Arial"/>
          <w:sz w:val="24"/>
          <w:szCs w:val="24"/>
        </w:rPr>
        <w:fldChar w:fldCharType="begin" w:fldLock="1"/>
      </w:r>
      <w:r w:rsidR="00BE6874">
        <w:rPr>
          <w:rFonts w:ascii="Arial" w:hAnsi="Arial" w:cs="Arial"/>
          <w:sz w:val="24"/>
          <w:szCs w:val="24"/>
        </w:rPr>
        <w:instrText>ADDIN CSL_CITATION { "citationItems" : [ { "id" : "ITEM-1", "itemData" : { "DOI" : "10.1016/j.jalz.2012.11.007", "ISBN" : "1552-5279 (Electronic)\\r1552-5260 (Linking)", "ISSN" : "15525260", "PMID" : "23305823", "abstract" : "Background: The evidence base on the prevalence of dementia is expanding rapidly, particularly in countries with low and middle incomes. A reappraisal of global prevalence and numbers is due, given the significant implications for social and public policy and planning. Methods: In this study we provide a systematic review of the global literature on the prevalence of dementia (1980-2009) and metaanalysis to estimate the prevalence and numbers of those affected, aged \u226560 years in 21 Global Burden of Disease regions. Results: Age-standardized prevalence for those aged \u226560 years varied in a narrow band, 5%-7% in most world regions, with a higher prevalence in Latin America (8.5%), and a distinctively lower prevalence in the four sub-Saharan African regions (2%-4%). It was estimated that 35.6 million people lived with dementia worldwide in 2010, with numbers expected to almost double every 20 years, to 65.7 million in 2030 and 115.4 million in 2050. In 2010, 58% of all people with dementia lived in countries with low or middle incomes, with this proportion anticipated to rise to 63% in 2030 and 71% in 2050. Conclusion: The detailed estimates in this study constitute the best current basis for policymaking, planning, and allocation of health and welfare resources in dementia care. The age-specific prevalence of dementia varies little between world regions, and may converge further. Future projections of numbers of people with dementia may be modified substantially by preventive interventions (lowering incidence), improvements in treatment and care (prolonging survival), and disease-modifying interventions (preventing or slowing progression). All countries need to commission nationally representative surveys that are repeated regularly to monitor trends. \u00a9 2013 The Alzheimer's Association. All rights reserved.", "author" : [ { "dropping-particle" : "", "family" : "Prince", "given" : "Martin", "non-dropping-particle" : "", "parse-names" : false, "suffix" : "" }, { "dropping-particle" : "", "family" : "Bryce", "given" : "Renata", "non-dropping-particle" : "", "parse-names" : false, "suffix" : "" }, { "dropping-particle" : "", "family" : "Albanese", "given" : "Emiliano", "non-dropping-particle" : "", "parse-names" : false, "suffix" : "" }, { "dropping-particle" : "", "family" : "Wimo", "given" : "Anders", "non-dropping-particle" : "", "parse-names" : false, "suffix" : "" }, { "dropping-particle" : "", "family" : "Ribeiro", "given" : "Wagner", "non-dropping-particle" : "", "parse-names" : false, "suffix" : "" }, { "dropping-particle" : "", "family" : "Ferri", "given" : "Cleusa P.", "non-dropping-particle" : "", "parse-names" : false, "suffix" : "" } ], "container-title" : "Alzheimer's and Dementia", "id" : "ITEM-1", "issue" : "1", "issued" : { "date-parts" : [ [ "2013" ] ] }, "page" : "63-75", "title" : "The global prevalence of dementia: A systematic review and metaanalysis", "type" : "article", "volume" : "9" }, "uris" : [ "http://www.mendeley.com/documents/?uuid=49a95de6-df24-4eec-9aa7-8b354c184882" ] } ], "mendeley" : { "formattedCitation" : "(1)", "plainTextFormattedCitation" : "(1)", "previouslyFormattedCitation" : "(1)" }, "properties" : {  }, "schema" : "https://github.com/citation-style-language/schema/raw/master/csl-citation.json" }</w:instrText>
      </w:r>
      <w:r w:rsidR="002A1F31" w:rsidRPr="00F822A1">
        <w:rPr>
          <w:rFonts w:ascii="Arial" w:hAnsi="Arial" w:cs="Arial"/>
          <w:sz w:val="24"/>
          <w:szCs w:val="24"/>
        </w:rPr>
        <w:fldChar w:fldCharType="separate"/>
      </w:r>
      <w:r w:rsidR="00BE6874" w:rsidRPr="00BE6874">
        <w:rPr>
          <w:rFonts w:ascii="Arial" w:hAnsi="Arial" w:cs="Arial"/>
          <w:noProof/>
          <w:sz w:val="24"/>
          <w:szCs w:val="24"/>
        </w:rPr>
        <w:t>(1)</w:t>
      </w:r>
      <w:r w:rsidR="002A1F31" w:rsidRPr="00F822A1">
        <w:rPr>
          <w:rFonts w:ascii="Arial" w:hAnsi="Arial" w:cs="Arial"/>
          <w:sz w:val="24"/>
          <w:szCs w:val="24"/>
        </w:rPr>
        <w:fldChar w:fldCharType="end"/>
      </w:r>
      <w:r w:rsidR="003972BA" w:rsidRPr="00F822A1">
        <w:rPr>
          <w:rFonts w:ascii="Arial" w:hAnsi="Arial" w:cs="Arial"/>
          <w:sz w:val="24"/>
          <w:szCs w:val="24"/>
        </w:rPr>
        <w:t xml:space="preserve"> I</w:t>
      </w:r>
      <w:r w:rsidRPr="00F822A1">
        <w:rPr>
          <w:rFonts w:ascii="Arial" w:hAnsi="Arial" w:cs="Arial"/>
          <w:sz w:val="24"/>
          <w:szCs w:val="24"/>
        </w:rPr>
        <w:t>t is therefore important to understand the association between</w:t>
      </w:r>
      <w:r w:rsidR="00AD6E3B" w:rsidRPr="00F822A1">
        <w:rPr>
          <w:rFonts w:ascii="Arial" w:hAnsi="Arial" w:cs="Arial"/>
          <w:sz w:val="24"/>
          <w:szCs w:val="24"/>
        </w:rPr>
        <w:t xml:space="preserve"> BP</w:t>
      </w:r>
      <w:r w:rsidRPr="00F822A1">
        <w:rPr>
          <w:rFonts w:ascii="Arial" w:hAnsi="Arial" w:cs="Arial"/>
          <w:sz w:val="24"/>
          <w:szCs w:val="24"/>
        </w:rPr>
        <w:t xml:space="preserve"> and dementia, particularly given plausible links between the two conditions.</w:t>
      </w:r>
      <w:r w:rsidR="002A1F31" w:rsidRPr="00F822A1">
        <w:rPr>
          <w:rFonts w:ascii="Arial" w:hAnsi="Arial" w:cs="Arial"/>
          <w:sz w:val="24"/>
          <w:szCs w:val="24"/>
        </w:rPr>
        <w:fldChar w:fldCharType="begin" w:fldLock="1"/>
      </w:r>
      <w:r w:rsidR="00BE6874">
        <w:rPr>
          <w:rFonts w:ascii="Arial" w:hAnsi="Arial" w:cs="Arial"/>
          <w:sz w:val="24"/>
          <w:szCs w:val="24"/>
        </w:rPr>
        <w:instrText>ADDIN CSL_CITATION { "citationItems" : [ { "id" : "ITEM-1", "itemData" : { "PMID" : "11912110", "abstract" : "White matter lesions are frequently found on cerebral MRI scans of elderly people and are thought to be important in the pathogenesis of dementia. Hyper tension has been associated with the presence of white matter lesions but this has been investigated almost exclusively in cross-sectional studies. We studied prospectively the association of these lesions with the duration and treatment of hypertension. We randomly sampled 1077 subjects aged between 60 and 90 years from two prospective population-based studies. One-half of the study subjects had their blood pressure measured between 1975 and 1978 and the other half between 1990 and 1993. All subjects underwent 1.5 T MRI scanning; white matter lesions in the subcortical and periventricular regions were rated separately. Subjects with hypertension had increased rates of both types of white matter lesion. Duration of hypertension was associated with both periventricular and subcortical white matter lesions. This relationship was influenced strongly by age. For participants with &gt;20 years of hypertension and aged between 60 and 70 years at the time of follow-up, the relative risks for subcortical and periventricular white matter lesions were 24.3 [95% confidence interval (CI) 5.1-114.8] and 15.8 (95% CI 3.4-73.5), respectively, compared with normotensive subjects. Subjects with successfully treated hypertension had only moderately increased rates of subcortical white matter lesions and periventricular white matter lesions (relative risk 3.3, 95% CI 1.3-8.4 and 2.6, 95% CI 1.0-6.8, respectively) compared with normotensive subjects. For poorly controlled hypertensives, these relative risks were 8.4 (95% CI 3.1-22.6) and 5.8 (95% CI 2.1-16.0), respectively. In conclusion, we found a relationship between long-standing hypertension and the presence of white matter lesions. Our findings are consistent with the view that effective treatment may reduce the rates of both types of white matter lesion. Adequate treatment of hypertension may therefore prevent white matter lesions and the associated cognitive decline.", "author" : [ { "dropping-particle" : "", "family" : "Leeuw", "given" : "F-E.", "non-dropping-particle" : "de", "parse-names" : false, "suffix" : "" }, { "dropping-particle" : "", "family" : "Groot", "given" : "J C", "non-dropping-particle" : "de", "parse-names" : false, "suffix" : "" }, { "dropping-particle" : "", "family" : "Oudkerk", "given" : "M", "non-dropping-particle" : "", "parse-names" : false, "suffix" : "" }, { "dropping-particle" : "", "family" : "Witteman", "given" : "J C M", "non-dropping-particle" : "", "parse-names" : false, "suffix" : "" }, { "dropping-particle" : "", "family" : "Hofman", "given" : "A", "non-dropping-particle" : "", "parse-names" : false, "suffix" : "" }, { "dropping-particle" : "", "family" : "Gijn", "given" : "J", "non-dropping-particle" : "van", "parse-names" : false, "suffix" : "" }, { "dropping-particle" : "", "family" : "Breteler", "given" : "M M B", "non-dropping-particle" : "", "parse-names" : false, "suffix" : "" } ], "container-title" : "Brain", "id" : "ITEM-1", "issue" : "Pt 4", "issued" : { "date-parts" : [ [ "2002", "4" ] ] }, "page" : "765-772", "title" : "Hypertension and cerebral white matter lesions in a prospective cohort study.", "type" : "article-journal", "volume" : "125" }, "uris" : [ "http://www.mendeley.com/documents/?uuid=3ede6d4c-3b36-4ae5-9f92-66221867265b" ] } ], "mendeley" : { "formattedCitation" : "(2)", "plainTextFormattedCitation" : "(2)", "previouslyFormattedCitation" : "(2)" }, "properties" : {  }, "schema" : "https://github.com/citation-style-language/schema/raw/master/csl-citation.json" }</w:instrText>
      </w:r>
      <w:r w:rsidR="002A1F31" w:rsidRPr="00F822A1">
        <w:rPr>
          <w:rFonts w:ascii="Arial" w:hAnsi="Arial" w:cs="Arial"/>
          <w:sz w:val="24"/>
          <w:szCs w:val="24"/>
        </w:rPr>
        <w:fldChar w:fldCharType="separate"/>
      </w:r>
      <w:r w:rsidR="00BE6874" w:rsidRPr="00BE6874">
        <w:rPr>
          <w:rFonts w:ascii="Arial" w:hAnsi="Arial" w:cs="Arial"/>
          <w:noProof/>
          <w:sz w:val="24"/>
          <w:szCs w:val="24"/>
        </w:rPr>
        <w:t>(2)</w:t>
      </w:r>
      <w:r w:rsidR="002A1F31" w:rsidRPr="00F822A1">
        <w:rPr>
          <w:rFonts w:ascii="Arial" w:hAnsi="Arial" w:cs="Arial"/>
          <w:sz w:val="24"/>
          <w:szCs w:val="24"/>
        </w:rPr>
        <w:fldChar w:fldCharType="end"/>
      </w:r>
      <w:r w:rsidRPr="00F822A1">
        <w:rPr>
          <w:rFonts w:ascii="Arial" w:hAnsi="Arial" w:cs="Arial"/>
          <w:sz w:val="24"/>
          <w:szCs w:val="24"/>
        </w:rPr>
        <w:t xml:space="preserve"> </w:t>
      </w:r>
    </w:p>
    <w:p w:rsidR="00A95A2F" w:rsidRPr="00F822A1" w:rsidRDefault="00CB6A6A" w:rsidP="00A918B7">
      <w:pPr>
        <w:spacing w:line="480" w:lineRule="auto"/>
        <w:rPr>
          <w:rFonts w:ascii="Arial" w:hAnsi="Arial" w:cs="Arial"/>
          <w:sz w:val="24"/>
          <w:szCs w:val="24"/>
        </w:rPr>
      </w:pPr>
      <w:r>
        <w:rPr>
          <w:rFonts w:ascii="Arial" w:hAnsi="Arial" w:cs="Arial"/>
          <w:sz w:val="24"/>
          <w:szCs w:val="24"/>
        </w:rPr>
        <w:t>C</w:t>
      </w:r>
      <w:r w:rsidR="00693292" w:rsidRPr="00F822A1">
        <w:rPr>
          <w:rFonts w:ascii="Arial" w:hAnsi="Arial" w:cs="Arial"/>
          <w:sz w:val="24"/>
          <w:szCs w:val="24"/>
        </w:rPr>
        <w:t xml:space="preserve">onfusion </w:t>
      </w:r>
      <w:r w:rsidR="001F60C6">
        <w:rPr>
          <w:rFonts w:ascii="Arial" w:hAnsi="Arial" w:cs="Arial"/>
          <w:sz w:val="24"/>
          <w:szCs w:val="24"/>
        </w:rPr>
        <w:t xml:space="preserve">exists </w:t>
      </w:r>
      <w:r w:rsidR="00693292" w:rsidRPr="00F822A1">
        <w:rPr>
          <w:rFonts w:ascii="Arial" w:hAnsi="Arial" w:cs="Arial"/>
          <w:sz w:val="24"/>
          <w:szCs w:val="24"/>
        </w:rPr>
        <w:t>regarding</w:t>
      </w:r>
      <w:r w:rsidR="00E16730" w:rsidRPr="00F822A1">
        <w:rPr>
          <w:rFonts w:ascii="Arial" w:hAnsi="Arial" w:cs="Arial"/>
          <w:sz w:val="24"/>
          <w:szCs w:val="24"/>
        </w:rPr>
        <w:t xml:space="preserve"> the</w:t>
      </w:r>
      <w:r w:rsidR="00693292" w:rsidRPr="00F822A1">
        <w:rPr>
          <w:rFonts w:ascii="Arial" w:hAnsi="Arial" w:cs="Arial"/>
          <w:sz w:val="24"/>
          <w:szCs w:val="24"/>
        </w:rPr>
        <w:t xml:space="preserve"> association</w:t>
      </w:r>
      <w:r w:rsidR="002B44E8" w:rsidRPr="00F822A1">
        <w:rPr>
          <w:rFonts w:ascii="Arial" w:hAnsi="Arial" w:cs="Arial"/>
          <w:sz w:val="24"/>
          <w:szCs w:val="24"/>
        </w:rPr>
        <w:t>s</w:t>
      </w:r>
      <w:r w:rsidR="00693292" w:rsidRPr="00F822A1">
        <w:rPr>
          <w:rFonts w:ascii="Arial" w:hAnsi="Arial" w:cs="Arial"/>
          <w:sz w:val="24"/>
          <w:szCs w:val="24"/>
        </w:rPr>
        <w:t xml:space="preserve"> between BP </w:t>
      </w:r>
      <w:r w:rsidR="002B44E8" w:rsidRPr="00F822A1">
        <w:rPr>
          <w:rFonts w:ascii="Arial" w:hAnsi="Arial" w:cs="Arial"/>
          <w:sz w:val="24"/>
          <w:szCs w:val="24"/>
        </w:rPr>
        <w:t>and</w:t>
      </w:r>
      <w:r w:rsidR="00693292" w:rsidRPr="00F822A1">
        <w:rPr>
          <w:rFonts w:ascii="Arial" w:hAnsi="Arial" w:cs="Arial"/>
          <w:sz w:val="24"/>
          <w:szCs w:val="24"/>
        </w:rPr>
        <w:t xml:space="preserve"> dementia </w:t>
      </w:r>
      <w:r w:rsidR="002B44E8" w:rsidRPr="00F822A1">
        <w:rPr>
          <w:rFonts w:ascii="Arial" w:hAnsi="Arial" w:cs="Arial"/>
          <w:sz w:val="24"/>
          <w:szCs w:val="24"/>
        </w:rPr>
        <w:t>or</w:t>
      </w:r>
      <w:r w:rsidR="00693292" w:rsidRPr="00F822A1">
        <w:rPr>
          <w:rFonts w:ascii="Arial" w:hAnsi="Arial" w:cs="Arial"/>
          <w:sz w:val="24"/>
          <w:szCs w:val="24"/>
        </w:rPr>
        <w:t xml:space="preserve"> its subtypes. For example,</w:t>
      </w:r>
      <w:r w:rsidR="007F655A" w:rsidRPr="00F822A1">
        <w:rPr>
          <w:rFonts w:ascii="Arial" w:hAnsi="Arial" w:cs="Arial"/>
          <w:sz w:val="24"/>
          <w:szCs w:val="24"/>
        </w:rPr>
        <w:t xml:space="preserve"> a recent article listed mid-life </w:t>
      </w:r>
      <w:r w:rsidR="00693292" w:rsidRPr="00F822A1">
        <w:rPr>
          <w:rFonts w:ascii="Arial" w:hAnsi="Arial" w:cs="Arial"/>
          <w:sz w:val="24"/>
          <w:szCs w:val="24"/>
        </w:rPr>
        <w:t xml:space="preserve">hypertension </w:t>
      </w:r>
      <w:r w:rsidR="007F655A" w:rsidRPr="00F822A1">
        <w:rPr>
          <w:rFonts w:ascii="Arial" w:hAnsi="Arial" w:cs="Arial"/>
          <w:sz w:val="24"/>
          <w:szCs w:val="24"/>
        </w:rPr>
        <w:t xml:space="preserve">as one of seven potentially modifiable risk factors </w:t>
      </w:r>
      <w:r w:rsidR="00311858" w:rsidRPr="00F822A1">
        <w:rPr>
          <w:rFonts w:ascii="Arial" w:hAnsi="Arial" w:cs="Arial"/>
          <w:sz w:val="24"/>
          <w:szCs w:val="24"/>
        </w:rPr>
        <w:t xml:space="preserve">“with consistent evidence of </w:t>
      </w:r>
      <w:r w:rsidR="007F655A" w:rsidRPr="00F822A1">
        <w:rPr>
          <w:rFonts w:ascii="Arial" w:hAnsi="Arial" w:cs="Arial"/>
          <w:sz w:val="24"/>
          <w:szCs w:val="24"/>
        </w:rPr>
        <w:t xml:space="preserve">an </w:t>
      </w:r>
      <w:r w:rsidR="00311858" w:rsidRPr="00F822A1">
        <w:rPr>
          <w:rFonts w:ascii="Arial" w:hAnsi="Arial" w:cs="Arial"/>
          <w:sz w:val="24"/>
          <w:szCs w:val="24"/>
        </w:rPr>
        <w:t>association with Alzheimer’s disease</w:t>
      </w:r>
      <w:r w:rsidR="007216E5">
        <w:rPr>
          <w:rFonts w:ascii="Arial" w:hAnsi="Arial" w:cs="Arial"/>
          <w:sz w:val="24"/>
          <w:szCs w:val="24"/>
        </w:rPr>
        <w:t xml:space="preserve"> (AD)</w:t>
      </w:r>
      <w:r w:rsidR="00311858" w:rsidRPr="00F822A1">
        <w:rPr>
          <w:rFonts w:ascii="Arial" w:hAnsi="Arial" w:cs="Arial"/>
          <w:sz w:val="24"/>
          <w:szCs w:val="24"/>
        </w:rPr>
        <w:t>”</w:t>
      </w:r>
      <w:r w:rsidR="007F655A" w:rsidRPr="00F822A1">
        <w:rPr>
          <w:rFonts w:ascii="Arial" w:hAnsi="Arial" w:cs="Arial"/>
          <w:sz w:val="24"/>
          <w:szCs w:val="24"/>
        </w:rPr>
        <w:t xml:space="preserve">, </w:t>
      </w:r>
      <w:r w:rsidR="00311858" w:rsidRPr="00F822A1">
        <w:rPr>
          <w:rFonts w:ascii="Arial" w:hAnsi="Arial" w:cs="Arial"/>
          <w:sz w:val="24"/>
          <w:szCs w:val="24"/>
        </w:rPr>
        <w:t>estimat</w:t>
      </w:r>
      <w:r w:rsidR="001F60C6">
        <w:rPr>
          <w:rFonts w:ascii="Arial" w:hAnsi="Arial" w:cs="Arial"/>
          <w:sz w:val="24"/>
          <w:szCs w:val="24"/>
        </w:rPr>
        <w:t>ing</w:t>
      </w:r>
      <w:r w:rsidR="00311858" w:rsidRPr="00F822A1">
        <w:rPr>
          <w:rFonts w:ascii="Arial" w:hAnsi="Arial" w:cs="Arial"/>
          <w:sz w:val="24"/>
          <w:szCs w:val="24"/>
        </w:rPr>
        <w:t xml:space="preserve"> </w:t>
      </w:r>
      <w:r w:rsidR="007F655A" w:rsidRPr="00F822A1">
        <w:rPr>
          <w:rFonts w:ascii="Arial" w:hAnsi="Arial" w:cs="Arial"/>
          <w:sz w:val="24"/>
          <w:szCs w:val="24"/>
        </w:rPr>
        <w:t xml:space="preserve">mid-life hypertension to </w:t>
      </w:r>
      <w:r w:rsidR="00311858" w:rsidRPr="00F822A1">
        <w:rPr>
          <w:rFonts w:ascii="Arial" w:hAnsi="Arial" w:cs="Arial"/>
          <w:sz w:val="24"/>
          <w:szCs w:val="24"/>
        </w:rPr>
        <w:t xml:space="preserve">be responsible </w:t>
      </w:r>
      <w:r w:rsidR="007F655A" w:rsidRPr="00F822A1">
        <w:rPr>
          <w:rFonts w:ascii="Arial" w:hAnsi="Arial" w:cs="Arial"/>
          <w:sz w:val="24"/>
          <w:szCs w:val="24"/>
        </w:rPr>
        <w:t xml:space="preserve">for </w:t>
      </w:r>
      <w:r w:rsidR="00311858" w:rsidRPr="00F822A1">
        <w:rPr>
          <w:rFonts w:ascii="Arial" w:hAnsi="Arial" w:cs="Arial"/>
          <w:sz w:val="24"/>
          <w:szCs w:val="24"/>
        </w:rPr>
        <w:t xml:space="preserve">2% of </w:t>
      </w:r>
      <w:r w:rsidR="007216E5">
        <w:rPr>
          <w:rFonts w:ascii="Arial" w:hAnsi="Arial" w:cs="Arial"/>
          <w:sz w:val="24"/>
          <w:szCs w:val="24"/>
        </w:rPr>
        <w:t xml:space="preserve">AD </w:t>
      </w:r>
      <w:r w:rsidR="007F655A" w:rsidRPr="00F822A1">
        <w:rPr>
          <w:rFonts w:ascii="Arial" w:hAnsi="Arial" w:cs="Arial"/>
          <w:sz w:val="24"/>
          <w:szCs w:val="24"/>
        </w:rPr>
        <w:t>cases.</w:t>
      </w:r>
      <w:r w:rsidR="002A1F31" w:rsidRPr="00F822A1">
        <w:rPr>
          <w:rFonts w:ascii="Arial" w:hAnsi="Arial" w:cs="Arial"/>
          <w:sz w:val="24"/>
          <w:szCs w:val="24"/>
        </w:rPr>
        <w:fldChar w:fldCharType="begin" w:fldLock="1"/>
      </w:r>
      <w:r w:rsidR="00BE6874">
        <w:rPr>
          <w:rFonts w:ascii="Arial" w:hAnsi="Arial" w:cs="Arial"/>
          <w:sz w:val="24"/>
          <w:szCs w:val="24"/>
        </w:rPr>
        <w:instrText>ADDIN CSL_CITATION { "citationItems" : [ { "id" : "ITEM-1", "itemData" : { "DOI" : "10.1016/S1474-4422(14)70136-X", "PMID" : "25030513", "abstract" : "Recent estimates suggesting that over half of Alzheimer's disease burden worldwide might be attributed to potentially modifiable risk factors do not take into account risk-factor non-independence. We aimed to provide specific estimates of preventive potential by accounting for the association between risk factors.Using relative risks from existing meta-analyses, we estimated the population-attributable risk (PAR) of Alzheimer's disease worldwide and in the USA, Europe, and the UK for seven potentially modifiable risk factors that have consistent evidence of an association with the disease (diabetes, midlife hypertension, midlife obesity, physical inactivity, depression, smoking, and low educational attainment). The combined PAR associated with the risk factors was calculated using data from the Health Survey for England 2006 to estimate and adjust for the association between risk factors. The potential of risk factor reduction was assessed by examining the combined effect of relative reductions of 10% and 20% per decade for each of the seven risk factors on projections for Alzheimer's disease cases to 2050.Worldwide, the highest estimated PAR was for low educational attainment (19\ufffd1%, 95% CI 12\ufffd3-25\ufffd6). The highest estimated PAR was for physical inactivity in the USA (21\ufffd0%, 95% CI 5\ufffd8-36\ufffd6), Europe (20\ufffd3%, 5\ufffd6-35\ufffd6), and the UK (21\ufffd8%, 6\ufffd1-37\ufffd7). Assuming independence, the combined worldwide PAR for the seven risk factors was 49\ufffd4% (95% CI 25\ufffd7-68\ufffd4), which equates to 16\ufffd8 million attributable cases (95% CI 8\ufffd7-23\ufffd2 million) of 33\ufffd9 million cases. However, after adjustment for the association between the risk factors, the estimate reduced to 28\ufffd2% (95% CI 14\ufffd2-41\ufffd5), which equates to 9\ufffd6 million attributable cases (95% CI 4\ufffd8-14\ufffd1 million) of 33\ufffd9 million cases. Combined PAR estimates were about 30% for the USA, Europe, and the UK. Assuming a causal relation and intervention at the correct age for prevention, relative reductions of 10% per decade in the prevalence of each of the seven risk factors could reduce the prevalence of Alzheimer's disease in 2050 by 8\ufffd3% worldwide.After accounting for non-independence between risk factors, around a third of Alzheimer's diseases cases worldwide might be attributable to potentially modifiable risk factors. Alzheimer's disease incidence might be reduced through improved access to education and use of effective methods targeted at reducing the prevalence of vascular risk factors (eg, physical inactivity, smoking, \u2026", "author" : [ { "dropping-particle" : "", "family" : "Norton", "given" : "Sam", "non-dropping-particle" : "", "parse-names" : false, "suffix" : "" }, { "dropping-particle" : "", "family" : "Matthews", "given" : "Fiona E", "non-dropping-particle" : "", "parse-names" : false, "suffix" : "" }, { "dropping-particle" : "", "family" : "Barnes", "given" : "Deborah E", "non-dropping-particle" : "", "parse-names" : false, "suffix" : "" }, { "dropping-particle" : "", "family" : "Yaffe", "given" : "Kristine", "non-dropping-particle" : "", "parse-names" : false, "suffix" : "" }, { "dropping-particle" : "", "family" : "Brayne", "given" : "Carol", "non-dropping-particle" : "", "parse-names" : false, "suffix" : "" } ], "container-title" : "Lancet Neurol", "id" : "ITEM-1", "issue" : "8", "issued" : { "date-parts" : [ [ "2014", "8" ] ] }, "page" : "788-794", "title" : "Potential for primary prevention of Alzheimer's disease: an analysis of population-based data.", "type" : "article-journal", "volume" : "13" }, "uris" : [ "http://www.mendeley.com/documents/?uuid=1a636d96-7e7b-4b1f-9c8f-1d7bb7ff1489" ] }, { "id" : "ITEM-2", "itemData" : { "DOI" : "10.1016/S0140-6736(17)31363-6", "ISSN" : "1474547X", "PMID" : "28735855", "abstract" : "Executive summary Acting now on dementia prevention, intervention, and care will vastly improve living and dying for individuals with dementia and their families, and in doing so, will transform the future for society. Dementia is the greatest global challenge for health and social care in the 21st century. It occurs mainly in people older than 65 years, so increases in numbers and costs are driven, worldwide, by increased longevity resulting from the welcome reduction in people dying prematurely. The Lancet Commission on Dementia Prevention, Intervention, and Care met to consolidate the huge strides that have been made and the emerging knowledge as to what we should do to prevent and manage dementia. Globally, about 47 million people were living with dementia in 2015, and this number is projected to triple by 2050. Dementia affects the individuals with the condition, who gradually lose their abilities, as well as their relatives and other supporters, who have to cope with seeing a family member or friend become ill and decline, while responding to their needs, such as increasing dependency and changes in behaviour. Additionally, it affects the wider society because people with dementia also require health and social care. The 2015 global cost of dementia was estimated to be US$818 billion, and this figure will continue to increase as the number of people with dementia rises. Nearly 85% of costs are related to family and social, rather than medical, care. It might be that new medical care in the future, including public health measures, could replace and possibly reduce some of this cost. Dementia is by no means an inevitable consequence of reaching retirement age, or even of entering the ninth", "author" : [ { "dropping-particle" : "", "family" : "Livingston", "given" : "Gill", "non-dropping-particle" : "", "parse-names" : false, "suffix" : "" }, { "dropping-particle" : "", "family" : "Sommerlad", "given" : "Andrew", "non-dropping-particle" : "", "parse-names" : false, "suffix" : "" }, { "dropping-particle" : "", "family" : "Orgeta", "given" : "Vasiliki", "non-dropping-particle" : "", "parse-names" : false, "suffix" : "" }, { "dropping-particle" : "", "family" : "Costafreda", "given" : "Sergi G.", "non-dropping-particle" : "", "parse-names" : false, "suffix" : "" }, { "dropping-particle" : "", "family" : "Huntley", "given" : "Jonathan", "non-dropping-particle" : "", "parse-names" : false, "suffix" : "" }, { "dropping-particle" : "", "family" : "Ames", "given" : "David", "non-dropping-particle" : "", "parse-names" : false, "suffix" : "" }, { "dropping-particle" : "", "family" : "Ballard", "given" : "Clive", "non-dropping-particle" : "", "parse-names" : false, "suffix" : "" }, { "dropping-particle" : "", "family" : "Banerjee", "given" : "Sube", "non-dropping-particle" : "", "parse-names" : false, "suffix" : "" }, { "dropping-particle" : "", "family" : "Burns", "given" : "Alistair", "non-dropping-particle" : "", "parse-names" : false, "suffix" : "" }, { "dropping-particle" : "", "family" : "Cohen-Mansfield", "given" : "Jiska", "non-dropping-particle" : "", "parse-names" : false, "suffix" : "" }, { "dropping-particle" : "", "family" : "Cooper", "given" : "Claudia", "non-dropping-particle" : "", "parse-names" : false, "suffix" : "" }, { "dropping-particle" : "", "family" : "Fox", "given" : "Nick", "non-dropping-particle" : "", "parse-names" : false, "suffix" : "" }, { "dropping-particle" : "", "family" : "Gitlin", "given" : "Laura N.", "non-dropping-particle" : "", "parse-names" : false, "suffix" : "" }, { "dropping-particle" : "", "family" : "Howard", "given" : "Robert", "non-dropping-particle" : "", "parse-names" : false, "suffix" : "" }, { "dropping-particle" : "", "family" : "Kales", "given" : "Helen C.", "non-dropping-particle" : "", "parse-names" : false, "suffix" : "" }, { "dropping-particle" : "", "family" : "Larson", "given" : "Eric B.", "non-dropping-particle" : "", "parse-names" : false, "suffix" : "" }, { "dropping-particle" : "", "family" : "Ritchie", "given" : "Karen", "non-dropping-particle" : "", "parse-names" : false, "suffix" : "" }, { "dropping-particle" : "", "family" : "Rockwood", "given" : "Kenneth", "non-dropping-particle" : "", "parse-names" : false, "suffix" : "" }, { "dropping-particle" : "", "family" : "Sampson", "given" : "Elizabeth L.", "non-dropping-particle" : "", "parse-names" : false, "suffix" : "" }, { "dropping-particle" : "", "family" : "Samus", "given" : "Quincy", "non-dropping-particle" : "", "parse-names" : false, "suffix" : "" }, { "dropping-particle" : "", "family" : "Schneider", "given" : "Lon S.", "non-dropping-particle" : "", "parse-names" : false, "suffix" : "" }, { "dropping-particle" : "", "family" : "Selb\u00e6k", "given" : "Geir", "non-dropping-particle" : "", "parse-names" : false, "suffix" : "" }, { "dropping-particle" : "", "family" : "Teri", "given" : "Linda", "non-dropping-particle" : "", "parse-names" : false, "suffix" : "" }, { "dropping-particle" : "", "family" : "Mukadam", "given" : "Naaheed", "non-dropping-particle" : "", "parse-names" : false, "suffix" : "" } ], "container-title" : "The Lancet", "id" : "ITEM-2", "issued" : { "date-parts" : [ [ "2017" ] ] }, "title" : "Dementia prevention, intervention, and care", "type" : "article-journal" }, "uris" : [ "http://www.mendeley.com/documents/?uuid=0bab66bf-6432-4277-b727-289f40c9f819" ] } ], "mendeley" : { "formattedCitation" : "(3,4)", "plainTextFormattedCitation" : "(3,4)", "previouslyFormattedCitation" : "(3,4)" }, "properties" : {  }, "schema" : "https://github.com/citation-style-language/schema/raw/master/csl-citation.json" }</w:instrText>
      </w:r>
      <w:r w:rsidR="002A1F31" w:rsidRPr="00F822A1">
        <w:rPr>
          <w:rFonts w:ascii="Arial" w:hAnsi="Arial" w:cs="Arial"/>
          <w:sz w:val="24"/>
          <w:szCs w:val="24"/>
        </w:rPr>
        <w:fldChar w:fldCharType="separate"/>
      </w:r>
      <w:r w:rsidR="00BE6874" w:rsidRPr="00BE6874">
        <w:rPr>
          <w:rFonts w:ascii="Arial" w:hAnsi="Arial" w:cs="Arial"/>
          <w:noProof/>
          <w:sz w:val="24"/>
          <w:szCs w:val="24"/>
        </w:rPr>
        <w:t>(3,4)</w:t>
      </w:r>
      <w:r w:rsidR="002A1F31" w:rsidRPr="00F822A1">
        <w:rPr>
          <w:rFonts w:ascii="Arial" w:hAnsi="Arial" w:cs="Arial"/>
          <w:sz w:val="24"/>
          <w:szCs w:val="24"/>
        </w:rPr>
        <w:fldChar w:fldCharType="end"/>
      </w:r>
      <w:r w:rsidR="007F655A" w:rsidRPr="00F822A1">
        <w:rPr>
          <w:rFonts w:ascii="Arial" w:hAnsi="Arial" w:cs="Arial"/>
          <w:sz w:val="24"/>
          <w:szCs w:val="24"/>
        </w:rPr>
        <w:t xml:space="preserve"> </w:t>
      </w:r>
      <w:r w:rsidR="00C80C44" w:rsidRPr="00F822A1">
        <w:rPr>
          <w:rFonts w:ascii="Arial" w:hAnsi="Arial" w:cs="Arial"/>
          <w:sz w:val="24"/>
          <w:szCs w:val="24"/>
        </w:rPr>
        <w:t xml:space="preserve">In contrast, </w:t>
      </w:r>
      <w:r w:rsidR="00D65C52" w:rsidRPr="00F822A1">
        <w:rPr>
          <w:rFonts w:ascii="Arial" w:hAnsi="Arial" w:cs="Arial"/>
          <w:sz w:val="24"/>
          <w:szCs w:val="24"/>
        </w:rPr>
        <w:t>t</w:t>
      </w:r>
      <w:r w:rsidR="00632D2C" w:rsidRPr="00F822A1">
        <w:rPr>
          <w:rFonts w:ascii="Arial" w:hAnsi="Arial" w:cs="Arial"/>
          <w:sz w:val="24"/>
          <w:szCs w:val="24"/>
        </w:rPr>
        <w:t xml:space="preserve">he World Alzheimer’s report </w:t>
      </w:r>
      <w:r w:rsidR="00C80C44" w:rsidRPr="00F822A1">
        <w:rPr>
          <w:rFonts w:ascii="Arial" w:hAnsi="Arial" w:cs="Arial"/>
          <w:sz w:val="24"/>
          <w:szCs w:val="24"/>
        </w:rPr>
        <w:t xml:space="preserve">and a meta-analysis by the Alzheimer’s Research Forum </w:t>
      </w:r>
      <w:r w:rsidR="00D65C52" w:rsidRPr="00F822A1">
        <w:rPr>
          <w:rFonts w:ascii="Arial" w:hAnsi="Arial" w:cs="Arial"/>
          <w:sz w:val="24"/>
          <w:szCs w:val="24"/>
        </w:rPr>
        <w:t xml:space="preserve">concluded that the </w:t>
      </w:r>
      <w:r w:rsidR="00632D2C" w:rsidRPr="00F822A1">
        <w:rPr>
          <w:rFonts w:ascii="Arial" w:hAnsi="Arial" w:cs="Arial"/>
          <w:sz w:val="24"/>
          <w:szCs w:val="24"/>
        </w:rPr>
        <w:t xml:space="preserve">association of midlife hypertension </w:t>
      </w:r>
      <w:r w:rsidR="00BD1169">
        <w:rPr>
          <w:rFonts w:ascii="Arial" w:hAnsi="Arial" w:cs="Arial"/>
          <w:sz w:val="24"/>
          <w:szCs w:val="24"/>
        </w:rPr>
        <w:t xml:space="preserve">with dementia </w:t>
      </w:r>
      <w:r w:rsidR="00C72D78" w:rsidRPr="00F822A1">
        <w:rPr>
          <w:rFonts w:ascii="Arial" w:hAnsi="Arial" w:cs="Arial"/>
          <w:sz w:val="24"/>
          <w:szCs w:val="24"/>
        </w:rPr>
        <w:t>“</w:t>
      </w:r>
      <w:r w:rsidR="00C80C44" w:rsidRPr="00F822A1">
        <w:rPr>
          <w:rFonts w:ascii="Arial" w:hAnsi="Arial" w:cs="Arial"/>
          <w:sz w:val="24"/>
          <w:szCs w:val="24"/>
        </w:rPr>
        <w:t>ha</w:t>
      </w:r>
      <w:r w:rsidR="00D65C52" w:rsidRPr="00F822A1">
        <w:rPr>
          <w:rFonts w:ascii="Arial" w:hAnsi="Arial" w:cs="Arial"/>
          <w:sz w:val="24"/>
          <w:szCs w:val="24"/>
        </w:rPr>
        <w:t>s</w:t>
      </w:r>
      <w:r w:rsidR="00C80C44" w:rsidRPr="00F822A1">
        <w:rPr>
          <w:rFonts w:ascii="Arial" w:hAnsi="Arial" w:cs="Arial"/>
          <w:sz w:val="24"/>
          <w:szCs w:val="24"/>
        </w:rPr>
        <w:t xml:space="preserve"> </w:t>
      </w:r>
      <w:r w:rsidR="00632D2C" w:rsidRPr="00F822A1">
        <w:rPr>
          <w:rFonts w:ascii="Arial" w:hAnsi="Arial" w:cs="Arial"/>
          <w:sz w:val="24"/>
          <w:szCs w:val="24"/>
        </w:rPr>
        <w:t>not yet been convincingly demonstrated, and the size of possible effects has probably been over-estimated</w:t>
      </w:r>
      <w:r w:rsidR="00C72D78" w:rsidRPr="00F822A1">
        <w:rPr>
          <w:rFonts w:ascii="Arial" w:hAnsi="Arial" w:cs="Arial"/>
          <w:sz w:val="24"/>
          <w:szCs w:val="24"/>
        </w:rPr>
        <w:t>”</w:t>
      </w:r>
      <w:r w:rsidR="00632D2C" w:rsidRPr="00F822A1">
        <w:rPr>
          <w:rFonts w:ascii="Arial" w:hAnsi="Arial" w:cs="Arial"/>
          <w:sz w:val="24"/>
          <w:szCs w:val="24"/>
        </w:rPr>
        <w:t>.</w:t>
      </w:r>
      <w:r w:rsidR="002A1F31" w:rsidRPr="00F822A1">
        <w:rPr>
          <w:rFonts w:ascii="Arial" w:hAnsi="Arial" w:cs="Arial"/>
          <w:sz w:val="24"/>
          <w:szCs w:val="24"/>
        </w:rPr>
        <w:fldChar w:fldCharType="begin" w:fldLock="1"/>
      </w:r>
      <w:r w:rsidR="00BE6874">
        <w:rPr>
          <w:rFonts w:ascii="Arial" w:hAnsi="Arial" w:cs="Arial"/>
          <w:sz w:val="24"/>
          <w:szCs w:val="24"/>
        </w:rPr>
        <w:instrText>ADDIN CSL_CITATION { "citationItems" : [ { "id" : "ITEM-1", "itemData" : { "DOI" : "10.1097/EDE.0b013e31822708b5", "ISBN" : "1531-5487 (Electronic)\\r1044-3983 (Linking)", "ISSN" : "1044-3983", "PMID" : "21705906", "abstract" : "BACKGROUND: Many epidemiologic studies have considered the association between blood pressure (BP) and Alzheimer disease, yet the relationship remains poorly understood. METHODS: In parallel with work on the AlzRisk online database (www.alzrisk.org), we conducted a systematic review to identify all epidemiologic studies meeting prespecified criteria reporting on the association between hypertension, systolic BP, or diastolic BP and incident Alzheimer disease. When possible, we computed summary measures using random-effects models and explored potential heterogeneity related to age at BP assessment. RESULTS: Eighteen studies reporting on 19 populations met the eligibility criteria. We computed summary relative risks (RR(Sigma)) for 3 measures of BP: hypertension (RR(Sigma) = 0.97 [95% confidence interval = 0.80-1.16]); a 10-mm Hg increase in systolic BP (RR(Sigma) = 0.95 [0.91-1.00]); and a 10-mm Hg increase in diastolic BP (RR(Sigma) = 0.94 [0.85-1.04]). We were unable to compute summary estimates for the association between categories of systolic or diastolic BP and Alzheimer disease; however, there did not appear to be a consistent pattern across studies. After stratifying on age at BP assessment, we found a suggestion of an inverse association between late-life hypertension and Alzheimer disease and a suggestion of an adverse association between midlife diastolic hypertension and Alzheimer disease. CONCLUSIONS: Based on existing epidemiologic research, we cannot determine whether there is a causal association between BP and Alzheimer disease. Selection bias and reverse causation may account for the suggested inverse association between late-life hypertension on Alzheimer disease, but, given the expected direction of these biases, they are less likely to account for the suggestion that midlife hypertension increases risk. We advocate continuing systematic review; the AlzRisk database entry on this topic (www.alzrisk.org), which was completed in parallel with this work, will be updated as new studies are published.", "author" : [ { "dropping-particle" : "", "family" : "Power", "given" : "M C", "non-dropping-particle" : "", "parse-names" : false, "suffix" : "" }, { "dropping-particle" : "", "family" : "Weuve", "given" : "J", "non-dropping-particle" : "", "parse-names" : false, "suffix" : "" }, { "dropping-particle" : "", "family" : "Gagne", "given" : "J J", "non-dropping-particle" : "", "parse-names" : false, "suffix" : "" }, { "dropping-particle" : "", "family" : "McQueen", "given" : "M B", "non-dropping-particle" : "", "parse-names" : false, "suffix" : "" }, { "dropping-particle" : "", "family" : "Viswanathan", "given" : "A", "non-dropping-particle" : "", "parse-names" : false, "suffix" : "" }, { "dropping-particle" : "", "family" : "Blacker", "given" : "D", "non-dropping-particle" : "", "parse-names" : false, "suffix" : "" } ], "container-title" : "Epidemiology", "id" : "ITEM-1", "issue" : "5", "issued" : { "date-parts" : [ [ "2011" ] ] }, "page" : "646-659", "title" : "The association between blood pressure and incident Alzheimer disease: a systematic review and meta-analysis", "type" : "article-journal", "volume" : "22" }, "uris" : [ "http://www.mendeley.com/documents/?uuid=c9fd58b6-1cd8-4f3c-8599-cb7235240a88" ] }, { "id" : "ITEM-2", "itemData" : { "author" : [ { "dropping-particle" : "", "family" : "Prince", "given" : "M", "non-dropping-particle" : "", "parse-names" : false, "suffix" : "" }, { "dropping-particle" : "", "family" : "Albanese", "given" : "E", "non-dropping-particle" : "", "parse-names" : false, "suffix" : "" }, { "dropping-particle" : "", "family" : "Maelenn", "given" : "G", "non-dropping-particle" : "", "parse-names" : false, "suffix" : "" }, { "dropping-particle" : "", "family" : "Prina", "given" : "A M", "non-dropping-particle" : "", "parse-names" : false, "suffix" : "" } ], "id" : "ITEM-2", "issued" : { "date-parts" : [ [ "2014" ] ] }, "title" : "World Alzheimer Report 2014", "type" : "article-journal" }, "uris" : [ "http://www.mendeley.com/documents/?uuid=96d00e5f-98a4-4460-b2fa-16cce08466a4" ] } ], "mendeley" : { "formattedCitation" : "(5,6)", "plainTextFormattedCitation" : "(5,6)", "previouslyFormattedCitation" : "(5,6)" }, "properties" : {  }, "schema" : "https://github.com/citation-style-language/schema/raw/master/csl-citation.json" }</w:instrText>
      </w:r>
      <w:r w:rsidR="002A1F31" w:rsidRPr="00F822A1">
        <w:rPr>
          <w:rFonts w:ascii="Arial" w:hAnsi="Arial" w:cs="Arial"/>
          <w:sz w:val="24"/>
          <w:szCs w:val="24"/>
        </w:rPr>
        <w:fldChar w:fldCharType="separate"/>
      </w:r>
      <w:r w:rsidR="00BE6874" w:rsidRPr="00BE6874">
        <w:rPr>
          <w:rFonts w:ascii="Arial" w:hAnsi="Arial" w:cs="Arial"/>
          <w:noProof/>
          <w:sz w:val="24"/>
          <w:szCs w:val="24"/>
        </w:rPr>
        <w:t>(5,6)</w:t>
      </w:r>
      <w:r w:rsidR="002A1F31" w:rsidRPr="00F822A1">
        <w:rPr>
          <w:rFonts w:ascii="Arial" w:hAnsi="Arial" w:cs="Arial"/>
          <w:sz w:val="24"/>
          <w:szCs w:val="24"/>
        </w:rPr>
        <w:fldChar w:fldCharType="end"/>
      </w:r>
      <w:r w:rsidR="00632D2C" w:rsidRPr="00F822A1">
        <w:rPr>
          <w:rFonts w:ascii="Arial" w:hAnsi="Arial" w:cs="Arial"/>
          <w:sz w:val="24"/>
          <w:szCs w:val="24"/>
        </w:rPr>
        <w:t xml:space="preserve"> </w:t>
      </w:r>
      <w:r w:rsidR="00103DF9" w:rsidRPr="00F822A1">
        <w:rPr>
          <w:rFonts w:ascii="Arial" w:hAnsi="Arial" w:cs="Arial"/>
          <w:sz w:val="24"/>
          <w:szCs w:val="24"/>
        </w:rPr>
        <w:t xml:space="preserve">A </w:t>
      </w:r>
      <w:r w:rsidR="00A616B1">
        <w:rPr>
          <w:rFonts w:ascii="Arial" w:hAnsi="Arial" w:cs="Arial"/>
          <w:sz w:val="24"/>
          <w:szCs w:val="24"/>
        </w:rPr>
        <w:t>complicating factor is</w:t>
      </w:r>
      <w:r w:rsidR="00103DF9" w:rsidRPr="00F822A1">
        <w:rPr>
          <w:rFonts w:ascii="Arial" w:hAnsi="Arial" w:cs="Arial"/>
          <w:sz w:val="24"/>
          <w:szCs w:val="24"/>
        </w:rPr>
        <w:t xml:space="preserve"> that </w:t>
      </w:r>
      <w:r w:rsidR="00E16730" w:rsidRPr="00F822A1">
        <w:rPr>
          <w:rFonts w:ascii="Arial" w:hAnsi="Arial" w:cs="Arial"/>
          <w:sz w:val="24"/>
          <w:szCs w:val="24"/>
        </w:rPr>
        <w:t>the association</w:t>
      </w:r>
      <w:r w:rsidR="005560B8" w:rsidRPr="00F822A1">
        <w:rPr>
          <w:rFonts w:ascii="Arial" w:hAnsi="Arial" w:cs="Arial"/>
          <w:sz w:val="24"/>
          <w:szCs w:val="24"/>
        </w:rPr>
        <w:t xml:space="preserve"> between BP and </w:t>
      </w:r>
      <w:r w:rsidR="004B2CC5" w:rsidRPr="00F822A1">
        <w:rPr>
          <w:rFonts w:ascii="Arial" w:hAnsi="Arial" w:cs="Arial"/>
          <w:sz w:val="24"/>
          <w:szCs w:val="24"/>
        </w:rPr>
        <w:t xml:space="preserve">dementia </w:t>
      </w:r>
      <w:r w:rsidR="00103DF9" w:rsidRPr="00F822A1">
        <w:rPr>
          <w:rFonts w:ascii="Arial" w:hAnsi="Arial" w:cs="Arial"/>
          <w:sz w:val="24"/>
          <w:szCs w:val="24"/>
        </w:rPr>
        <w:t xml:space="preserve">risk </w:t>
      </w:r>
      <w:r w:rsidR="00E16730" w:rsidRPr="00F822A1">
        <w:rPr>
          <w:rFonts w:ascii="Arial" w:hAnsi="Arial" w:cs="Arial"/>
          <w:sz w:val="24"/>
          <w:szCs w:val="24"/>
        </w:rPr>
        <w:t>appear</w:t>
      </w:r>
      <w:r w:rsidR="00AD6E3B" w:rsidRPr="00F822A1">
        <w:rPr>
          <w:rFonts w:ascii="Arial" w:hAnsi="Arial" w:cs="Arial"/>
          <w:sz w:val="24"/>
          <w:szCs w:val="24"/>
        </w:rPr>
        <w:t>s</w:t>
      </w:r>
      <w:r w:rsidR="005560B8" w:rsidRPr="00F822A1">
        <w:rPr>
          <w:rFonts w:ascii="Arial" w:hAnsi="Arial" w:cs="Arial"/>
          <w:sz w:val="24"/>
          <w:szCs w:val="24"/>
        </w:rPr>
        <w:t xml:space="preserve"> to be different for vascular d</w:t>
      </w:r>
      <w:r w:rsidR="00E16730" w:rsidRPr="00F822A1">
        <w:rPr>
          <w:rFonts w:ascii="Arial" w:hAnsi="Arial" w:cs="Arial"/>
          <w:sz w:val="24"/>
          <w:szCs w:val="24"/>
        </w:rPr>
        <w:t xml:space="preserve">ementia and </w:t>
      </w:r>
      <w:r w:rsidR="007216E5">
        <w:rPr>
          <w:rFonts w:ascii="Arial" w:hAnsi="Arial" w:cs="Arial"/>
          <w:sz w:val="24"/>
          <w:szCs w:val="24"/>
        </w:rPr>
        <w:t>AD</w:t>
      </w:r>
      <w:r w:rsidR="00E16730" w:rsidRPr="00F822A1">
        <w:rPr>
          <w:rFonts w:ascii="Arial" w:hAnsi="Arial" w:cs="Arial"/>
          <w:sz w:val="24"/>
          <w:szCs w:val="24"/>
        </w:rPr>
        <w:t xml:space="preserve">, </w:t>
      </w:r>
      <w:r w:rsidR="00D65C52" w:rsidRPr="00F822A1">
        <w:rPr>
          <w:rFonts w:ascii="Arial" w:hAnsi="Arial" w:cs="Arial"/>
          <w:sz w:val="24"/>
          <w:szCs w:val="24"/>
        </w:rPr>
        <w:t xml:space="preserve">and </w:t>
      </w:r>
      <w:r w:rsidR="00103DF9" w:rsidRPr="00F822A1">
        <w:rPr>
          <w:rFonts w:ascii="Arial" w:hAnsi="Arial" w:cs="Arial"/>
          <w:sz w:val="24"/>
          <w:szCs w:val="24"/>
        </w:rPr>
        <w:t xml:space="preserve">may vary depending on </w:t>
      </w:r>
      <w:r w:rsidR="004B2CC5" w:rsidRPr="00F822A1">
        <w:rPr>
          <w:rFonts w:ascii="Arial" w:hAnsi="Arial" w:cs="Arial"/>
          <w:sz w:val="24"/>
          <w:szCs w:val="24"/>
        </w:rPr>
        <w:t xml:space="preserve">age-at-measurement and </w:t>
      </w:r>
      <w:r w:rsidR="00E16730" w:rsidRPr="00F822A1">
        <w:rPr>
          <w:rFonts w:ascii="Arial" w:hAnsi="Arial" w:cs="Arial"/>
          <w:sz w:val="24"/>
          <w:szCs w:val="24"/>
        </w:rPr>
        <w:t>time since measurement</w:t>
      </w:r>
      <w:r w:rsidR="00103DF9" w:rsidRPr="00F822A1">
        <w:rPr>
          <w:rFonts w:ascii="Arial" w:hAnsi="Arial" w:cs="Arial"/>
          <w:sz w:val="24"/>
          <w:szCs w:val="24"/>
        </w:rPr>
        <w:t>,</w:t>
      </w:r>
      <w:r w:rsidR="00523A77" w:rsidRPr="00F822A1">
        <w:rPr>
          <w:rFonts w:ascii="Arial" w:hAnsi="Arial" w:cs="Arial"/>
          <w:sz w:val="24"/>
          <w:szCs w:val="24"/>
        </w:rPr>
        <w:t xml:space="preserve"> thereby </w:t>
      </w:r>
      <w:r w:rsidR="001D49C1">
        <w:rPr>
          <w:rFonts w:ascii="Arial" w:hAnsi="Arial" w:cs="Arial"/>
          <w:sz w:val="24"/>
          <w:szCs w:val="24"/>
        </w:rPr>
        <w:t>hindering</w:t>
      </w:r>
      <w:r w:rsidR="001D49C1" w:rsidRPr="00F822A1">
        <w:rPr>
          <w:rFonts w:ascii="Arial" w:hAnsi="Arial" w:cs="Arial"/>
          <w:sz w:val="24"/>
          <w:szCs w:val="24"/>
        </w:rPr>
        <w:t xml:space="preserve"> </w:t>
      </w:r>
      <w:r w:rsidR="00523A77" w:rsidRPr="00F822A1">
        <w:rPr>
          <w:rFonts w:ascii="Arial" w:hAnsi="Arial" w:cs="Arial"/>
          <w:sz w:val="24"/>
          <w:szCs w:val="24"/>
        </w:rPr>
        <w:t>attempts to synthesise evide</w:t>
      </w:r>
      <w:r w:rsidR="0043179E" w:rsidRPr="00F822A1">
        <w:rPr>
          <w:rFonts w:ascii="Arial" w:hAnsi="Arial" w:cs="Arial"/>
          <w:sz w:val="24"/>
          <w:szCs w:val="24"/>
        </w:rPr>
        <w:t xml:space="preserve">nce </w:t>
      </w:r>
      <w:r>
        <w:rPr>
          <w:rFonts w:ascii="Arial" w:hAnsi="Arial" w:cs="Arial"/>
          <w:sz w:val="24"/>
          <w:szCs w:val="24"/>
        </w:rPr>
        <w:t xml:space="preserve">across </w:t>
      </w:r>
      <w:r w:rsidR="0043179E" w:rsidRPr="00F822A1">
        <w:rPr>
          <w:rFonts w:ascii="Arial" w:hAnsi="Arial" w:cs="Arial"/>
          <w:sz w:val="24"/>
          <w:szCs w:val="24"/>
        </w:rPr>
        <w:t>studies.</w:t>
      </w:r>
      <w:r w:rsidR="008F2E6D" w:rsidRPr="00F822A1">
        <w:rPr>
          <w:rFonts w:ascii="Arial" w:hAnsi="Arial" w:cs="Arial"/>
          <w:sz w:val="24"/>
          <w:szCs w:val="24"/>
        </w:rPr>
        <w:fldChar w:fldCharType="begin" w:fldLock="1"/>
      </w:r>
      <w:r w:rsidR="00BE6874">
        <w:rPr>
          <w:rFonts w:ascii="Arial" w:hAnsi="Arial" w:cs="Arial"/>
          <w:sz w:val="24"/>
          <w:szCs w:val="24"/>
        </w:rPr>
        <w:instrText>ADDIN CSL_CITATION { "citationItems" : [ { "id" : "ITEM-1", "itemData" : { "DOI" : "10.1097/EDE.0b013e31822708b5", "ISBN" : "1531-5487 (Electronic)\\r1044-3983 (Linking)", "ISSN" : "1044-3983", "PMID" : "21705906", "abstract" : "BACKGROUND: Many epidemiologic studies have considered the association between blood pressure (BP) and Alzheimer disease, yet the relationship remains poorly understood. METHODS: In parallel with work on the AlzRisk online database (www.alzrisk.org), we conducted a systematic review to identify all epidemiologic studies meeting prespecified criteria reporting on the association between hypertension, systolic BP, or diastolic BP and incident Alzheimer disease. When possible, we computed summary measures using random-effects models and explored potential heterogeneity related to age at BP assessment. RESULTS: Eighteen studies reporting on 19 populations met the eligibility criteria. We computed summary relative risks (RR(Sigma)) for 3 measures of BP: hypertension (RR(Sigma) = 0.97 [95% confidence interval = 0.80-1.16]); a 10-mm Hg increase in systolic BP (RR(Sigma) = 0.95 [0.91-1.00]); and a 10-mm Hg increase in diastolic BP (RR(Sigma) = 0.94 [0.85-1.04]). We were unable to compute summary estimates for the association between categories of systolic or diastolic BP and Alzheimer disease; however, there did not appear to be a consistent pattern across studies. After stratifying on age at BP assessment, we found a suggestion of an inverse association between late-life hypertension and Alzheimer disease and a suggestion of an adverse association between midlife diastolic hypertension and Alzheimer disease. CONCLUSIONS: Based on existing epidemiologic research, we cannot determine whether there is a causal association between BP and Alzheimer disease. Selection bias and reverse causation may account for the suggested inverse association between late-life hypertension on Alzheimer disease, but, given the expected direction of these biases, they are less likely to account for the suggestion that midlife hypertension increases risk. We advocate continuing systematic review; the AlzRisk database entry on this topic (www.alzrisk.org), which was completed in parallel with this work, will be updated as new studies are published.", "author" : [ { "dropping-particle" : "", "family" : "Power", "given" : "M C", "non-dropping-particle" : "", "parse-names" : false, "suffix" : "" }, { "dropping-particle" : "", "family" : "Weuve", "given" : "J", "non-dropping-particle" : "", "parse-names" : false, "suffix" : "" }, { "dropping-particle" : "", "family" : "Gagne", "given" : "J J", "non-dropping-particle" : "", "parse-names" : false, "suffix" : "" }, { "dropping-particle" : "", "family" : "McQueen", "given" : "M B", "non-dropping-particle" : "", "parse-names" : false, "suffix" : "" }, { "dropping-particle" : "", "family" : "Viswanathan", "given" : "A", "non-dropping-particle" : "", "parse-names" : false, "suffix" : "" }, { "dropping-particle" : "", "family" : "Blacker", "given" : "D", "non-dropping-particle" : "", "parse-names" : false, "suffix" : "" } ], "container-title" : "Epidemiology", "id" : "ITEM-1", "issue" : "5", "issued" : { "date-parts" : [ [ "2011" ] ] }, "page" : "646-659", "title" : "The association between blood pressure and incident Alzheimer disease: a systematic review and meta-analysis", "type" : "article-journal", "volume" : "22" }, "uris" : [ "http://www.mendeley.com/documents/?uuid=c9fd58b6-1cd8-4f3c-8599-cb7235240a88" ] }, { "id" : "ITEM-2", "itemData" : { "author" : [ { "dropping-particle" : "", "family" : "Prince", "given" : "M", "non-dropping-particle" : "", "parse-names" : false, "suffix" : "" }, { "dropping-particle" : "", "family" : "Albanese", "given" : "E", "non-dropping-particle" : "", "parse-names" : false, "suffix" : "" }, { "dropping-particle" : "", "family" : "Maelenn", "given" : "G", "non-dropping-particle" : "", "parse-names" : false, "suffix" : "" }, { "dropping-particle" : "", "family" : "Prina", "given" : "A M", "non-dropping-particle" : "", "parse-names" : false, "suffix" : "" } ], "id" : "ITEM-2", "issued" : { "date-parts" : [ [ "2014" ] ] }, "title" : "World Alzheimer Report 2014", "type" : "article-journal" }, "uris" : [ "http://www.mendeley.com/documents/?uuid=96d00e5f-98a4-4460-b2fa-16cce08466a4" ] } ], "mendeley" : { "formattedCitation" : "(5,6)", "plainTextFormattedCitation" : "(5,6)", "previouslyFormattedCitation" : "(5,6)" }, "properties" : {  }, "schema" : "https://github.com/citation-style-language/schema/raw/master/csl-citation.json" }</w:instrText>
      </w:r>
      <w:r w:rsidR="008F2E6D" w:rsidRPr="00F822A1">
        <w:rPr>
          <w:rFonts w:ascii="Arial" w:hAnsi="Arial" w:cs="Arial"/>
          <w:sz w:val="24"/>
          <w:szCs w:val="24"/>
        </w:rPr>
        <w:fldChar w:fldCharType="separate"/>
      </w:r>
      <w:r w:rsidR="00BE6874" w:rsidRPr="00BE6874">
        <w:rPr>
          <w:rFonts w:ascii="Arial" w:hAnsi="Arial" w:cs="Arial"/>
          <w:noProof/>
          <w:sz w:val="24"/>
          <w:szCs w:val="24"/>
        </w:rPr>
        <w:t>(5,6)</w:t>
      </w:r>
      <w:r w:rsidR="008F2E6D" w:rsidRPr="00F822A1">
        <w:rPr>
          <w:rFonts w:ascii="Arial" w:hAnsi="Arial" w:cs="Arial"/>
          <w:sz w:val="24"/>
          <w:szCs w:val="24"/>
        </w:rPr>
        <w:fldChar w:fldCharType="end"/>
      </w:r>
      <w:r w:rsidR="0043179E" w:rsidRPr="00F822A1">
        <w:rPr>
          <w:rFonts w:ascii="Arial" w:hAnsi="Arial" w:cs="Arial"/>
          <w:sz w:val="24"/>
          <w:szCs w:val="24"/>
        </w:rPr>
        <w:t xml:space="preserve"> </w:t>
      </w:r>
      <w:r w:rsidR="005804F0" w:rsidRPr="00F822A1">
        <w:rPr>
          <w:rFonts w:ascii="Arial" w:hAnsi="Arial" w:cs="Arial"/>
          <w:sz w:val="24"/>
          <w:szCs w:val="24"/>
        </w:rPr>
        <w:t xml:space="preserve">Additionally, </w:t>
      </w:r>
      <w:r>
        <w:rPr>
          <w:rFonts w:ascii="Arial" w:hAnsi="Arial" w:cs="Arial"/>
          <w:sz w:val="24"/>
          <w:szCs w:val="24"/>
        </w:rPr>
        <w:t xml:space="preserve">such </w:t>
      </w:r>
      <w:r w:rsidR="00523A77" w:rsidRPr="00F822A1">
        <w:rPr>
          <w:rFonts w:ascii="Arial" w:hAnsi="Arial" w:cs="Arial"/>
          <w:sz w:val="24"/>
          <w:szCs w:val="24"/>
        </w:rPr>
        <w:t xml:space="preserve">studies have often been small and </w:t>
      </w:r>
      <w:r w:rsidR="0066068B" w:rsidRPr="00F822A1">
        <w:rPr>
          <w:rFonts w:ascii="Arial" w:hAnsi="Arial" w:cs="Arial"/>
          <w:sz w:val="24"/>
          <w:szCs w:val="24"/>
        </w:rPr>
        <w:t xml:space="preserve">used inconsistent </w:t>
      </w:r>
      <w:r w:rsidR="00F4577C" w:rsidRPr="00F822A1">
        <w:rPr>
          <w:rFonts w:ascii="Arial" w:hAnsi="Arial" w:cs="Arial"/>
          <w:sz w:val="24"/>
          <w:szCs w:val="24"/>
        </w:rPr>
        <w:t xml:space="preserve">criteria to define </w:t>
      </w:r>
      <w:r w:rsidR="0066068B" w:rsidRPr="00F822A1">
        <w:rPr>
          <w:rFonts w:ascii="Arial" w:hAnsi="Arial" w:cs="Arial"/>
          <w:sz w:val="24"/>
          <w:szCs w:val="24"/>
        </w:rPr>
        <w:t xml:space="preserve">high </w:t>
      </w:r>
      <w:r w:rsidR="00F4577C" w:rsidRPr="00F822A1">
        <w:rPr>
          <w:rFonts w:ascii="Arial" w:hAnsi="Arial" w:cs="Arial"/>
          <w:sz w:val="24"/>
          <w:szCs w:val="24"/>
        </w:rPr>
        <w:t>BP.</w:t>
      </w:r>
      <w:r w:rsidR="008F2E6D" w:rsidRPr="00F822A1">
        <w:rPr>
          <w:rFonts w:ascii="Arial" w:hAnsi="Arial" w:cs="Arial"/>
          <w:sz w:val="24"/>
          <w:szCs w:val="24"/>
        </w:rPr>
        <w:fldChar w:fldCharType="begin" w:fldLock="1"/>
      </w:r>
      <w:r w:rsidR="00BE6874">
        <w:rPr>
          <w:rFonts w:ascii="Arial" w:hAnsi="Arial" w:cs="Arial"/>
          <w:sz w:val="24"/>
          <w:szCs w:val="24"/>
        </w:rPr>
        <w:instrText>ADDIN CSL_CITATION { "citationItems" : [ { "id" : "ITEM-1", "itemData" : { "DOI" : "10.1097/EDE.0b013e31822708b5", "ISBN" : "1531-5487 (Electronic)\\r1044-3983 (Linking)", "ISSN" : "1044-3983", "PMID" : "21705906", "abstract" : "BACKGROUND: Many epidemiologic studies have considered the association between blood pressure (BP) and Alzheimer disease, yet the relationship remains poorly understood. METHODS: In parallel with work on the AlzRisk online database (www.alzrisk.org), we conducted a systematic review to identify all epidemiologic studies meeting prespecified criteria reporting on the association between hypertension, systolic BP, or diastolic BP and incident Alzheimer disease. When possible, we computed summary measures using random-effects models and explored potential heterogeneity related to age at BP assessment. RESULTS: Eighteen studies reporting on 19 populations met the eligibility criteria. We computed summary relative risks (RR(Sigma)) for 3 measures of BP: hypertension (RR(Sigma) = 0.97 [95% confidence interval = 0.80-1.16]); a 10-mm Hg increase in systolic BP (RR(Sigma) = 0.95 [0.91-1.00]); and a 10-mm Hg increase in diastolic BP (RR(Sigma) = 0.94 [0.85-1.04]). We were unable to compute summary estimates for the association between categories of systolic or diastolic BP and Alzheimer disease; however, there did not appear to be a consistent pattern across studies. After stratifying on age at BP assessment, we found a suggestion of an inverse association between late-life hypertension and Alzheimer disease and a suggestion of an adverse association between midlife diastolic hypertension and Alzheimer disease. CONCLUSIONS: Based on existing epidemiologic research, we cannot determine whether there is a causal association between BP and Alzheimer disease. Selection bias and reverse causation may account for the suggested inverse association between late-life hypertension on Alzheimer disease, but, given the expected direction of these biases, they are less likely to account for the suggestion that midlife hypertension increases risk. We advocate continuing systematic review; the AlzRisk database entry on this topic (www.alzrisk.org), which was completed in parallel with this work, will be updated as new studies are published.", "author" : [ { "dropping-particle" : "", "family" : "Power", "given" : "M C", "non-dropping-particle" : "", "parse-names" : false, "suffix" : "" }, { "dropping-particle" : "", "family" : "Weuve", "given" : "J", "non-dropping-particle" : "", "parse-names" : false, "suffix" : "" }, { "dropping-particle" : "", "family" : "Gagne", "given" : "J J", "non-dropping-particle" : "", "parse-names" : false, "suffix" : "" }, { "dropping-particle" : "", "family" : "McQueen", "given" : "M B", "non-dropping-particle" : "", "parse-names" : false, "suffix" : "" }, { "dropping-particle" : "", "family" : "Viswanathan", "given" : "A", "non-dropping-particle" : "", "parse-names" : false, "suffix" : "" }, { "dropping-particle" : "", "family" : "Blacker", "given" : "D", "non-dropping-particle" : "", "parse-names" : false, "suffix" : "" } ], "container-title" : "Epidemiology", "id" : "ITEM-1", "issue" : "5", "issued" : { "date-parts" : [ [ "2011" ] ] }, "page" : "646-659", "title" : "The association between blood pressure and incident Alzheimer disease: a systematic review and meta-analysis", "type" : "article-journal", "volume" : "22" }, "uris" : [ "http://www.mendeley.com/documents/?uuid=c9fd58b6-1cd8-4f3c-8599-cb7235240a88" ] }, { "id" : "ITEM-2", "itemData" : { "author" : [ { "dropping-particle" : "", "family" : "Prince", "given" : "M", "non-dropping-particle" : "", "parse-names" : false, "suffix" : "" }, { "dropping-particle" : "", "family" : "Albanese", "given" : "E", "non-dropping-particle" : "", "parse-names" : false, "suffix" : "" }, { "dropping-particle" : "", "family" : "Maelenn", "given" : "G", "non-dropping-particle" : "", "parse-names" : false, "suffix" : "" }, { "dropping-particle" : "", "family" : "Prina", "given" : "A M", "non-dropping-particle" : "", "parse-names" : false, "suffix" : "" } ], "id" : "ITEM-2", "issued" : { "date-parts" : [ [ "2014" ] ] }, "title" : "World Alzheimer Report 2014", "type" : "article-journal" }, "uris" : [ "http://www.mendeley.com/documents/?uuid=96d00e5f-98a4-4460-b2fa-16cce08466a4" ] } ], "mendeley" : { "formattedCitation" : "(5,6)", "plainTextFormattedCitation" : "(5,6)", "previouslyFormattedCitation" : "(5,6)" }, "properties" : {  }, "schema" : "https://github.com/citation-style-language/schema/raw/master/csl-citation.json" }</w:instrText>
      </w:r>
      <w:r w:rsidR="008F2E6D" w:rsidRPr="00F822A1">
        <w:rPr>
          <w:rFonts w:ascii="Arial" w:hAnsi="Arial" w:cs="Arial"/>
          <w:sz w:val="24"/>
          <w:szCs w:val="24"/>
        </w:rPr>
        <w:fldChar w:fldCharType="separate"/>
      </w:r>
      <w:r w:rsidR="00BE6874" w:rsidRPr="00BE6874">
        <w:rPr>
          <w:rFonts w:ascii="Arial" w:hAnsi="Arial" w:cs="Arial"/>
          <w:noProof/>
          <w:sz w:val="24"/>
          <w:szCs w:val="24"/>
        </w:rPr>
        <w:t>(5,6)</w:t>
      </w:r>
      <w:r w:rsidR="008F2E6D" w:rsidRPr="00F822A1">
        <w:rPr>
          <w:rFonts w:ascii="Arial" w:hAnsi="Arial" w:cs="Arial"/>
          <w:sz w:val="24"/>
          <w:szCs w:val="24"/>
        </w:rPr>
        <w:fldChar w:fldCharType="end"/>
      </w:r>
      <w:r w:rsidR="009F3C98" w:rsidRPr="00F822A1">
        <w:rPr>
          <w:rFonts w:ascii="Arial" w:hAnsi="Arial" w:cs="Arial"/>
          <w:sz w:val="24"/>
          <w:szCs w:val="24"/>
        </w:rPr>
        <w:t xml:space="preserve"> </w:t>
      </w:r>
      <w:r w:rsidR="00523A77" w:rsidRPr="00F822A1">
        <w:rPr>
          <w:rFonts w:ascii="Arial" w:hAnsi="Arial" w:cs="Arial"/>
          <w:sz w:val="24"/>
          <w:szCs w:val="24"/>
        </w:rPr>
        <w:t xml:space="preserve"> </w:t>
      </w:r>
    </w:p>
    <w:p w:rsidR="00335E22" w:rsidRPr="00F822A1" w:rsidRDefault="0075695E" w:rsidP="00A918B7">
      <w:pPr>
        <w:spacing w:line="480" w:lineRule="auto"/>
        <w:rPr>
          <w:rFonts w:ascii="Arial" w:hAnsi="Arial" w:cs="Arial"/>
          <w:sz w:val="24"/>
          <w:szCs w:val="24"/>
        </w:rPr>
      </w:pPr>
      <w:r>
        <w:rPr>
          <w:rFonts w:ascii="Arial" w:hAnsi="Arial" w:cs="Arial"/>
          <w:sz w:val="24"/>
          <w:szCs w:val="24"/>
        </w:rPr>
        <w:t xml:space="preserve">Accordingly, </w:t>
      </w:r>
      <w:r w:rsidR="00290BAD" w:rsidRPr="00F822A1">
        <w:rPr>
          <w:rFonts w:ascii="Arial" w:hAnsi="Arial" w:cs="Arial"/>
          <w:sz w:val="24"/>
          <w:szCs w:val="24"/>
        </w:rPr>
        <w:t xml:space="preserve">we </w:t>
      </w:r>
      <w:r w:rsidR="0072346E" w:rsidRPr="00F822A1">
        <w:rPr>
          <w:rFonts w:ascii="Arial" w:hAnsi="Arial" w:cs="Arial"/>
          <w:sz w:val="24"/>
          <w:szCs w:val="24"/>
        </w:rPr>
        <w:t xml:space="preserve">analysed information from nearly </w:t>
      </w:r>
      <w:r w:rsidR="00EF0D50" w:rsidRPr="00F822A1">
        <w:rPr>
          <w:rFonts w:ascii="Arial" w:hAnsi="Arial" w:cs="Arial"/>
          <w:sz w:val="24"/>
          <w:szCs w:val="24"/>
        </w:rPr>
        <w:t xml:space="preserve">2.6 million </w:t>
      </w:r>
      <w:r w:rsidR="0072346E" w:rsidRPr="00F822A1">
        <w:rPr>
          <w:rFonts w:ascii="Arial" w:hAnsi="Arial" w:cs="Arial"/>
          <w:sz w:val="24"/>
          <w:szCs w:val="24"/>
        </w:rPr>
        <w:t xml:space="preserve">people </w:t>
      </w:r>
      <w:r w:rsidR="004B4D2D" w:rsidRPr="00F822A1">
        <w:rPr>
          <w:rFonts w:ascii="Arial" w:hAnsi="Arial" w:cs="Arial"/>
          <w:sz w:val="24"/>
          <w:szCs w:val="24"/>
        </w:rPr>
        <w:t xml:space="preserve">identified through </w:t>
      </w:r>
      <w:r w:rsidR="00EF0D50" w:rsidRPr="00F822A1">
        <w:rPr>
          <w:rFonts w:ascii="Arial" w:hAnsi="Arial" w:cs="Arial"/>
          <w:sz w:val="24"/>
          <w:szCs w:val="24"/>
        </w:rPr>
        <w:t>general practice records</w:t>
      </w:r>
      <w:r w:rsidR="0072346E" w:rsidRPr="00F822A1">
        <w:rPr>
          <w:rFonts w:ascii="Arial" w:hAnsi="Arial" w:cs="Arial"/>
          <w:sz w:val="24"/>
          <w:szCs w:val="24"/>
        </w:rPr>
        <w:t xml:space="preserve"> </w:t>
      </w:r>
      <w:r w:rsidR="008A5BF3">
        <w:rPr>
          <w:rFonts w:ascii="Arial" w:hAnsi="Arial" w:cs="Arial"/>
          <w:sz w:val="24"/>
          <w:szCs w:val="24"/>
        </w:rPr>
        <w:t>in order</w:t>
      </w:r>
      <w:r w:rsidR="0072346E" w:rsidRPr="00F822A1">
        <w:rPr>
          <w:rFonts w:ascii="Arial" w:hAnsi="Arial" w:cs="Arial"/>
          <w:sz w:val="24"/>
          <w:szCs w:val="24"/>
        </w:rPr>
        <w:t xml:space="preserve"> </w:t>
      </w:r>
      <w:r w:rsidR="004B4D2D" w:rsidRPr="00F822A1">
        <w:rPr>
          <w:rFonts w:ascii="Arial" w:hAnsi="Arial" w:cs="Arial"/>
          <w:sz w:val="24"/>
          <w:szCs w:val="24"/>
        </w:rPr>
        <w:t xml:space="preserve">to estimate the association </w:t>
      </w:r>
      <w:r w:rsidR="00C17C62" w:rsidRPr="00F822A1">
        <w:rPr>
          <w:rFonts w:ascii="Arial" w:hAnsi="Arial" w:cs="Arial"/>
          <w:sz w:val="24"/>
          <w:szCs w:val="24"/>
        </w:rPr>
        <w:t xml:space="preserve">of </w:t>
      </w:r>
      <w:r w:rsidR="002D3751" w:rsidRPr="00F822A1">
        <w:rPr>
          <w:rFonts w:ascii="Arial" w:hAnsi="Arial" w:cs="Arial"/>
          <w:sz w:val="24"/>
          <w:szCs w:val="24"/>
        </w:rPr>
        <w:t>BP</w:t>
      </w:r>
      <w:r w:rsidR="002B44E8" w:rsidRPr="00F822A1">
        <w:rPr>
          <w:rFonts w:ascii="Arial" w:hAnsi="Arial" w:cs="Arial"/>
          <w:sz w:val="24"/>
          <w:szCs w:val="24"/>
        </w:rPr>
        <w:t xml:space="preserve"> with risk of any dementia;</w:t>
      </w:r>
      <w:r w:rsidR="0072346E" w:rsidRPr="00F822A1">
        <w:rPr>
          <w:rFonts w:ascii="Arial" w:hAnsi="Arial" w:cs="Arial"/>
          <w:sz w:val="24"/>
          <w:szCs w:val="24"/>
        </w:rPr>
        <w:t xml:space="preserve"> and </w:t>
      </w:r>
      <w:r w:rsidR="00C17C62" w:rsidRPr="00F822A1">
        <w:rPr>
          <w:rFonts w:ascii="Arial" w:hAnsi="Arial" w:cs="Arial"/>
          <w:sz w:val="24"/>
          <w:szCs w:val="24"/>
        </w:rPr>
        <w:t>investigate</w:t>
      </w:r>
      <w:r w:rsidR="000B68A5">
        <w:rPr>
          <w:rFonts w:ascii="Arial" w:hAnsi="Arial" w:cs="Arial"/>
          <w:sz w:val="24"/>
          <w:szCs w:val="24"/>
        </w:rPr>
        <w:t>d</w:t>
      </w:r>
      <w:r w:rsidR="004B4D2D" w:rsidRPr="00F822A1">
        <w:rPr>
          <w:rFonts w:ascii="Arial" w:hAnsi="Arial" w:cs="Arial"/>
          <w:sz w:val="24"/>
          <w:szCs w:val="24"/>
        </w:rPr>
        <w:t xml:space="preserve"> </w:t>
      </w:r>
      <w:r w:rsidR="0072346E" w:rsidRPr="00F822A1">
        <w:rPr>
          <w:rFonts w:ascii="Arial" w:hAnsi="Arial" w:cs="Arial"/>
          <w:sz w:val="24"/>
          <w:szCs w:val="24"/>
        </w:rPr>
        <w:t>how these</w:t>
      </w:r>
      <w:r w:rsidR="004B4D2D" w:rsidRPr="00F822A1">
        <w:rPr>
          <w:rFonts w:ascii="Arial" w:hAnsi="Arial" w:cs="Arial"/>
          <w:sz w:val="24"/>
          <w:szCs w:val="24"/>
        </w:rPr>
        <w:t xml:space="preserve"> associations </w:t>
      </w:r>
      <w:r w:rsidR="00C17C62" w:rsidRPr="00F822A1">
        <w:rPr>
          <w:rFonts w:ascii="Arial" w:hAnsi="Arial" w:cs="Arial"/>
          <w:sz w:val="24"/>
          <w:szCs w:val="24"/>
        </w:rPr>
        <w:t xml:space="preserve">vary </w:t>
      </w:r>
      <w:r w:rsidR="001F4842" w:rsidRPr="00F822A1">
        <w:rPr>
          <w:rFonts w:ascii="Arial" w:hAnsi="Arial" w:cs="Arial"/>
          <w:sz w:val="24"/>
          <w:szCs w:val="24"/>
        </w:rPr>
        <w:t xml:space="preserve">with age </w:t>
      </w:r>
      <w:r w:rsidR="00791457" w:rsidRPr="00F822A1">
        <w:rPr>
          <w:rFonts w:ascii="Arial" w:hAnsi="Arial" w:cs="Arial"/>
          <w:sz w:val="24"/>
          <w:szCs w:val="24"/>
        </w:rPr>
        <w:t xml:space="preserve">and </w:t>
      </w:r>
      <w:r w:rsidR="0072346E" w:rsidRPr="00F822A1">
        <w:rPr>
          <w:rFonts w:ascii="Arial" w:hAnsi="Arial" w:cs="Arial"/>
          <w:sz w:val="24"/>
          <w:szCs w:val="24"/>
        </w:rPr>
        <w:t xml:space="preserve">between </w:t>
      </w:r>
      <w:r w:rsidR="008412E0" w:rsidRPr="00F822A1">
        <w:rPr>
          <w:rFonts w:ascii="Arial" w:hAnsi="Arial" w:cs="Arial"/>
          <w:sz w:val="24"/>
          <w:szCs w:val="24"/>
        </w:rPr>
        <w:t xml:space="preserve">the two major </w:t>
      </w:r>
      <w:r w:rsidR="00791457" w:rsidRPr="00F822A1">
        <w:rPr>
          <w:rFonts w:ascii="Arial" w:hAnsi="Arial" w:cs="Arial"/>
          <w:sz w:val="24"/>
          <w:szCs w:val="24"/>
        </w:rPr>
        <w:t xml:space="preserve">subtypes of dementia. </w:t>
      </w:r>
    </w:p>
    <w:p w:rsidR="00281353" w:rsidRPr="00F822A1" w:rsidRDefault="00281353" w:rsidP="00A918B7">
      <w:pPr>
        <w:spacing w:line="480" w:lineRule="auto"/>
        <w:rPr>
          <w:rFonts w:ascii="Arial" w:hAnsi="Arial" w:cs="Arial"/>
          <w:sz w:val="24"/>
          <w:szCs w:val="24"/>
        </w:rPr>
        <w:sectPr w:rsidR="00281353" w:rsidRPr="00F822A1" w:rsidSect="006371EE">
          <w:pgSz w:w="11906" w:h="16838"/>
          <w:pgMar w:top="1440" w:right="1440" w:bottom="1440" w:left="1440" w:header="708" w:footer="708" w:gutter="0"/>
          <w:cols w:space="708"/>
          <w:docGrid w:linePitch="360"/>
        </w:sectPr>
      </w:pPr>
    </w:p>
    <w:p w:rsidR="004470B5" w:rsidRPr="00F822A1" w:rsidRDefault="004470B5" w:rsidP="00A918B7">
      <w:pPr>
        <w:spacing w:line="480" w:lineRule="auto"/>
        <w:rPr>
          <w:rFonts w:ascii="Arial" w:hAnsi="Arial" w:cs="Arial"/>
          <w:b/>
          <w:sz w:val="24"/>
          <w:szCs w:val="24"/>
        </w:rPr>
      </w:pPr>
      <w:r w:rsidRPr="00F822A1">
        <w:rPr>
          <w:rFonts w:ascii="Arial" w:hAnsi="Arial" w:cs="Arial"/>
          <w:b/>
          <w:sz w:val="24"/>
          <w:szCs w:val="24"/>
        </w:rPr>
        <w:lastRenderedPageBreak/>
        <w:t>METHODS</w:t>
      </w:r>
    </w:p>
    <w:p w:rsidR="00B02A90" w:rsidRPr="00F822A1" w:rsidRDefault="00B02A90" w:rsidP="00A918B7">
      <w:pPr>
        <w:autoSpaceDE w:val="0"/>
        <w:autoSpaceDN w:val="0"/>
        <w:adjustRightInd w:val="0"/>
        <w:spacing w:after="0" w:line="480" w:lineRule="auto"/>
        <w:rPr>
          <w:rFonts w:ascii="Arial" w:eastAsia="ScalaLancetPro" w:hAnsi="Arial" w:cs="Arial"/>
          <w:sz w:val="24"/>
          <w:szCs w:val="24"/>
        </w:rPr>
      </w:pPr>
      <w:r w:rsidRPr="00F822A1">
        <w:rPr>
          <w:rFonts w:ascii="Arial" w:eastAsia="ScalaLancetPro" w:hAnsi="Arial" w:cs="Arial"/>
          <w:sz w:val="24"/>
          <w:szCs w:val="24"/>
        </w:rPr>
        <w:t xml:space="preserve">We </w:t>
      </w:r>
      <w:r w:rsidR="00E16730" w:rsidRPr="00F822A1">
        <w:rPr>
          <w:rFonts w:ascii="Arial" w:eastAsia="ScalaLancetPro" w:hAnsi="Arial" w:cs="Arial"/>
          <w:sz w:val="24"/>
          <w:szCs w:val="24"/>
        </w:rPr>
        <w:t>conducted</w:t>
      </w:r>
      <w:r w:rsidRPr="00F822A1">
        <w:rPr>
          <w:rFonts w:ascii="Arial" w:eastAsia="ScalaLancetPro" w:hAnsi="Arial" w:cs="Arial"/>
          <w:sz w:val="24"/>
          <w:szCs w:val="24"/>
        </w:rPr>
        <w:t xml:space="preserve"> a </w:t>
      </w:r>
      <w:r w:rsidR="00E16730" w:rsidRPr="00F822A1">
        <w:rPr>
          <w:rFonts w:ascii="Arial" w:eastAsia="ScalaLancetPro" w:hAnsi="Arial" w:cs="Arial"/>
          <w:sz w:val="24"/>
          <w:szCs w:val="24"/>
        </w:rPr>
        <w:t xml:space="preserve">historical </w:t>
      </w:r>
      <w:r w:rsidR="000F6330" w:rsidRPr="00F822A1">
        <w:rPr>
          <w:rFonts w:ascii="Arial" w:eastAsia="ScalaLancetPro" w:hAnsi="Arial" w:cs="Arial"/>
          <w:sz w:val="24"/>
          <w:szCs w:val="24"/>
        </w:rPr>
        <w:t>cohort study using routine United Kingdom</w:t>
      </w:r>
      <w:r w:rsidRPr="00F822A1">
        <w:rPr>
          <w:rFonts w:ascii="Arial" w:eastAsia="ScalaLancetPro" w:hAnsi="Arial" w:cs="Arial"/>
          <w:sz w:val="24"/>
          <w:szCs w:val="24"/>
        </w:rPr>
        <w:t xml:space="preserve"> primary care data from the Clinical Practice </w:t>
      </w:r>
      <w:r w:rsidR="000F6330" w:rsidRPr="00F822A1">
        <w:rPr>
          <w:rFonts w:ascii="Arial" w:eastAsia="ScalaLancetPro" w:hAnsi="Arial" w:cs="Arial"/>
          <w:sz w:val="24"/>
          <w:szCs w:val="24"/>
        </w:rPr>
        <w:t>R</w:t>
      </w:r>
      <w:r w:rsidR="00E91553" w:rsidRPr="00F822A1">
        <w:rPr>
          <w:rFonts w:ascii="Arial" w:eastAsia="ScalaLancetPro" w:hAnsi="Arial" w:cs="Arial"/>
          <w:sz w:val="24"/>
          <w:szCs w:val="24"/>
        </w:rPr>
        <w:t xml:space="preserve">esearch </w:t>
      </w:r>
      <w:r w:rsidRPr="00F822A1">
        <w:rPr>
          <w:rFonts w:ascii="Arial" w:eastAsia="ScalaLancetPro" w:hAnsi="Arial" w:cs="Arial"/>
          <w:sz w:val="24"/>
          <w:szCs w:val="24"/>
        </w:rPr>
        <w:t>Datalink (CP</w:t>
      </w:r>
      <w:r w:rsidR="00262F45" w:rsidRPr="00F822A1">
        <w:rPr>
          <w:rFonts w:ascii="Arial" w:eastAsia="ScalaLancetPro" w:hAnsi="Arial" w:cs="Arial"/>
          <w:sz w:val="24"/>
          <w:szCs w:val="24"/>
        </w:rPr>
        <w:t xml:space="preserve">RD). </w:t>
      </w:r>
      <w:r w:rsidR="00860C31">
        <w:rPr>
          <w:rFonts w:ascii="Arial" w:eastAsia="ScalaLancetPro" w:hAnsi="Arial" w:cs="Arial"/>
          <w:sz w:val="24"/>
          <w:szCs w:val="24"/>
        </w:rPr>
        <w:t>P</w:t>
      </w:r>
      <w:r w:rsidR="00262F45" w:rsidRPr="00F822A1">
        <w:rPr>
          <w:rFonts w:ascii="Arial" w:eastAsia="ScalaLancetPro" w:hAnsi="Arial" w:cs="Arial"/>
          <w:sz w:val="24"/>
          <w:szCs w:val="24"/>
        </w:rPr>
        <w:t xml:space="preserve">atient </w:t>
      </w:r>
      <w:r w:rsidRPr="00F822A1">
        <w:rPr>
          <w:rFonts w:ascii="Arial" w:eastAsia="ScalaLancetPro" w:hAnsi="Arial" w:cs="Arial"/>
          <w:sz w:val="24"/>
          <w:szCs w:val="24"/>
        </w:rPr>
        <w:t xml:space="preserve">information </w:t>
      </w:r>
      <w:r w:rsidR="00860C31">
        <w:rPr>
          <w:rFonts w:ascii="Arial" w:eastAsia="ScalaLancetPro" w:hAnsi="Arial" w:cs="Arial"/>
          <w:sz w:val="24"/>
          <w:szCs w:val="24"/>
        </w:rPr>
        <w:t xml:space="preserve">was </w:t>
      </w:r>
      <w:r w:rsidRPr="00F822A1">
        <w:rPr>
          <w:rFonts w:ascii="Arial" w:eastAsia="ScalaLancetPro" w:hAnsi="Arial" w:cs="Arial"/>
          <w:sz w:val="24"/>
          <w:szCs w:val="24"/>
        </w:rPr>
        <w:t xml:space="preserve">recorded during routine general practice, </w:t>
      </w:r>
      <w:r w:rsidR="00860C31">
        <w:rPr>
          <w:rFonts w:ascii="Arial" w:eastAsia="ScalaLancetPro" w:hAnsi="Arial" w:cs="Arial"/>
          <w:sz w:val="24"/>
          <w:szCs w:val="24"/>
        </w:rPr>
        <w:t>including</w:t>
      </w:r>
      <w:r w:rsidRPr="00F822A1">
        <w:rPr>
          <w:rFonts w:ascii="Arial" w:eastAsia="ScalaLancetPro" w:hAnsi="Arial" w:cs="Arial"/>
          <w:sz w:val="24"/>
          <w:szCs w:val="24"/>
        </w:rPr>
        <w:t xml:space="preserve"> diagnoses, prescriptions, physiological measurements, diagnostic tests, lifestyle information, and secondary care</w:t>
      </w:r>
      <w:r w:rsidR="00860C31">
        <w:rPr>
          <w:rFonts w:ascii="Arial" w:eastAsia="ScalaLancetPro" w:hAnsi="Arial" w:cs="Arial"/>
          <w:sz w:val="24"/>
          <w:szCs w:val="24"/>
        </w:rPr>
        <w:t xml:space="preserve"> referrals</w:t>
      </w:r>
      <w:r w:rsidRPr="00F822A1">
        <w:rPr>
          <w:rFonts w:ascii="Arial" w:eastAsia="ScalaLancetPro" w:hAnsi="Arial" w:cs="Arial"/>
          <w:sz w:val="24"/>
          <w:szCs w:val="24"/>
        </w:rPr>
        <w:t xml:space="preserve">. </w:t>
      </w:r>
      <w:r w:rsidR="00E16730" w:rsidRPr="00F822A1">
        <w:rPr>
          <w:rFonts w:ascii="Arial" w:eastAsia="ScalaLancetPro" w:hAnsi="Arial" w:cs="Arial"/>
          <w:sz w:val="24"/>
          <w:szCs w:val="24"/>
        </w:rPr>
        <w:t>The patients</w:t>
      </w:r>
      <w:r w:rsidRPr="00F822A1">
        <w:rPr>
          <w:rFonts w:ascii="Arial" w:eastAsia="ScalaLancetPro" w:hAnsi="Arial" w:cs="Arial"/>
          <w:sz w:val="24"/>
          <w:szCs w:val="24"/>
        </w:rPr>
        <w:t xml:space="preserve"> in CPRD represent around </w:t>
      </w:r>
      <w:r w:rsidR="00AD6E3B" w:rsidRPr="00F822A1">
        <w:rPr>
          <w:rFonts w:ascii="Arial" w:eastAsia="ScalaLancetPro" w:hAnsi="Arial" w:cs="Arial"/>
          <w:sz w:val="24"/>
          <w:szCs w:val="24"/>
        </w:rPr>
        <w:t>7</w:t>
      </w:r>
      <w:r w:rsidRPr="00F822A1">
        <w:rPr>
          <w:rFonts w:ascii="Arial" w:eastAsia="ScalaLancetPro" w:hAnsi="Arial" w:cs="Arial"/>
          <w:sz w:val="24"/>
          <w:szCs w:val="24"/>
        </w:rPr>
        <w:t xml:space="preserve">% of the UK </w:t>
      </w:r>
      <w:r w:rsidR="00E16730" w:rsidRPr="00F822A1">
        <w:rPr>
          <w:rFonts w:ascii="Arial" w:eastAsia="ScalaLancetPro" w:hAnsi="Arial" w:cs="Arial"/>
          <w:sz w:val="24"/>
          <w:szCs w:val="24"/>
        </w:rPr>
        <w:t>p</w:t>
      </w:r>
      <w:r w:rsidRPr="00F822A1">
        <w:rPr>
          <w:rFonts w:ascii="Arial" w:eastAsia="ScalaLancetPro" w:hAnsi="Arial" w:cs="Arial"/>
          <w:sz w:val="24"/>
          <w:szCs w:val="24"/>
        </w:rPr>
        <w:t xml:space="preserve">opulation. Data collection began in 1987 and we used data up to </w:t>
      </w:r>
      <w:r w:rsidR="006F2B3A" w:rsidRPr="00F822A1">
        <w:rPr>
          <w:rFonts w:ascii="Arial" w:eastAsia="ScalaLancetPro" w:hAnsi="Arial" w:cs="Arial"/>
          <w:sz w:val="24"/>
          <w:szCs w:val="24"/>
        </w:rPr>
        <w:t>December 2014</w:t>
      </w:r>
      <w:r w:rsidRPr="00F822A1">
        <w:rPr>
          <w:rFonts w:ascii="Arial" w:eastAsia="ScalaLancetPro" w:hAnsi="Arial" w:cs="Arial"/>
          <w:sz w:val="24"/>
          <w:szCs w:val="24"/>
        </w:rPr>
        <w:t>.</w:t>
      </w:r>
      <w:r w:rsidR="00AD33A0">
        <w:rPr>
          <w:rFonts w:ascii="Arial" w:eastAsia="ScalaLancetPro" w:hAnsi="Arial" w:cs="Arial"/>
          <w:sz w:val="24"/>
          <w:szCs w:val="24"/>
        </w:rPr>
        <w:t xml:space="preserve"> </w:t>
      </w:r>
    </w:p>
    <w:p w:rsidR="00B02A90" w:rsidRPr="00F822A1" w:rsidRDefault="00B02A90" w:rsidP="00A918B7">
      <w:pPr>
        <w:autoSpaceDE w:val="0"/>
        <w:autoSpaceDN w:val="0"/>
        <w:adjustRightInd w:val="0"/>
        <w:spacing w:after="0" w:line="480" w:lineRule="auto"/>
        <w:rPr>
          <w:rFonts w:ascii="Arial" w:eastAsia="ScalaLancetPro" w:hAnsi="Arial" w:cs="Arial"/>
          <w:sz w:val="24"/>
          <w:szCs w:val="24"/>
        </w:rPr>
      </w:pPr>
    </w:p>
    <w:p w:rsidR="00B02A90" w:rsidRPr="00F822A1" w:rsidRDefault="00B02A90" w:rsidP="00A918B7">
      <w:pPr>
        <w:autoSpaceDE w:val="0"/>
        <w:autoSpaceDN w:val="0"/>
        <w:adjustRightInd w:val="0"/>
        <w:spacing w:after="0" w:line="480" w:lineRule="auto"/>
        <w:rPr>
          <w:rFonts w:ascii="Arial" w:eastAsia="ScalaLancetPro" w:hAnsi="Arial" w:cs="Arial"/>
          <w:sz w:val="24"/>
          <w:szCs w:val="24"/>
        </w:rPr>
      </w:pPr>
      <w:r w:rsidRPr="00F822A1">
        <w:rPr>
          <w:rFonts w:ascii="Arial" w:eastAsia="ScalaLancetPro" w:hAnsi="Arial" w:cs="Arial"/>
          <w:sz w:val="24"/>
          <w:szCs w:val="24"/>
        </w:rPr>
        <w:t xml:space="preserve">The index </w:t>
      </w:r>
      <w:r w:rsidR="00DD7F91" w:rsidRPr="00F822A1">
        <w:rPr>
          <w:rFonts w:ascii="Arial" w:eastAsia="ScalaLancetPro" w:hAnsi="Arial" w:cs="Arial"/>
          <w:sz w:val="24"/>
          <w:szCs w:val="24"/>
        </w:rPr>
        <w:t>BP</w:t>
      </w:r>
      <w:r w:rsidRPr="00F822A1">
        <w:rPr>
          <w:rFonts w:ascii="Arial" w:eastAsia="ScalaLancetPro" w:hAnsi="Arial" w:cs="Arial"/>
          <w:sz w:val="24"/>
          <w:szCs w:val="24"/>
        </w:rPr>
        <w:t xml:space="preserve"> measurement was defined as the first measurement amongst patients aged 40 years or older between Jan 1, 1992, and Dec 31, </w:t>
      </w:r>
      <w:r w:rsidR="006F2B3A" w:rsidRPr="00F822A1">
        <w:rPr>
          <w:rFonts w:ascii="Arial" w:eastAsia="ScalaLancetPro" w:hAnsi="Arial" w:cs="Arial"/>
          <w:sz w:val="24"/>
          <w:szCs w:val="24"/>
        </w:rPr>
        <w:t>2011</w:t>
      </w:r>
      <w:r w:rsidR="00DB5C89" w:rsidRPr="00F822A1">
        <w:rPr>
          <w:rFonts w:ascii="Arial" w:eastAsia="ScalaLancetPro" w:hAnsi="Arial" w:cs="Arial"/>
          <w:sz w:val="24"/>
          <w:szCs w:val="24"/>
        </w:rPr>
        <w:t xml:space="preserve">, </w:t>
      </w:r>
      <w:r w:rsidR="00E46A84" w:rsidRPr="00F822A1">
        <w:rPr>
          <w:rFonts w:ascii="Arial" w:eastAsia="ScalaLancetPro" w:hAnsi="Arial" w:cs="Arial"/>
          <w:sz w:val="24"/>
          <w:szCs w:val="24"/>
        </w:rPr>
        <w:t xml:space="preserve">during </w:t>
      </w:r>
      <w:r w:rsidR="00E46A84" w:rsidRPr="00F822A1">
        <w:rPr>
          <w:rFonts w:ascii="Arial" w:hAnsi="Arial" w:cs="Arial"/>
          <w:sz w:val="24"/>
          <w:szCs w:val="24"/>
        </w:rPr>
        <w:t xml:space="preserve">a period at </w:t>
      </w:r>
      <w:r w:rsidR="00860C31">
        <w:rPr>
          <w:rFonts w:ascii="Arial" w:hAnsi="Arial" w:cs="Arial"/>
          <w:sz w:val="24"/>
          <w:szCs w:val="24"/>
        </w:rPr>
        <w:t xml:space="preserve">when </w:t>
      </w:r>
      <w:r w:rsidR="00DB5C89" w:rsidRPr="00F822A1">
        <w:rPr>
          <w:rFonts w:ascii="Arial" w:hAnsi="Arial" w:cs="Arial"/>
          <w:sz w:val="24"/>
          <w:szCs w:val="24"/>
        </w:rPr>
        <w:t xml:space="preserve">data </w:t>
      </w:r>
      <w:r w:rsidR="00860C31">
        <w:rPr>
          <w:rFonts w:ascii="Arial" w:hAnsi="Arial" w:cs="Arial"/>
          <w:sz w:val="24"/>
          <w:szCs w:val="24"/>
        </w:rPr>
        <w:t xml:space="preserve">was deemed </w:t>
      </w:r>
      <w:r w:rsidR="00DB5C89" w:rsidRPr="00F822A1">
        <w:rPr>
          <w:rFonts w:ascii="Arial" w:hAnsi="Arial" w:cs="Arial"/>
          <w:sz w:val="24"/>
          <w:szCs w:val="24"/>
        </w:rPr>
        <w:t>of research quality</w:t>
      </w:r>
      <w:r w:rsidRPr="00F822A1">
        <w:rPr>
          <w:rFonts w:ascii="Arial" w:eastAsia="ScalaLancetPro" w:hAnsi="Arial" w:cs="Arial"/>
          <w:sz w:val="24"/>
          <w:szCs w:val="24"/>
        </w:rPr>
        <w:t>.</w:t>
      </w:r>
      <w:r w:rsidR="006F2B3A" w:rsidRPr="00F822A1">
        <w:rPr>
          <w:rFonts w:ascii="Arial" w:eastAsia="ScalaLancetPro" w:hAnsi="Arial" w:cs="Arial"/>
          <w:sz w:val="24"/>
          <w:szCs w:val="24"/>
        </w:rPr>
        <w:t xml:space="preserve"> The index date was </w:t>
      </w:r>
      <w:r w:rsidRPr="00F822A1">
        <w:rPr>
          <w:rFonts w:ascii="Arial" w:eastAsia="ScalaLancetPro" w:hAnsi="Arial" w:cs="Arial"/>
          <w:sz w:val="24"/>
          <w:szCs w:val="24"/>
        </w:rPr>
        <w:t xml:space="preserve">defined as the date of index </w:t>
      </w:r>
      <w:r w:rsidR="00DD7F91" w:rsidRPr="00F822A1">
        <w:rPr>
          <w:rFonts w:ascii="Arial" w:eastAsia="ScalaLancetPro" w:hAnsi="Arial" w:cs="Arial"/>
          <w:sz w:val="24"/>
          <w:szCs w:val="24"/>
        </w:rPr>
        <w:t>BP</w:t>
      </w:r>
      <w:r w:rsidRPr="00F822A1">
        <w:rPr>
          <w:rFonts w:ascii="Arial" w:eastAsia="ScalaLancetPro" w:hAnsi="Arial" w:cs="Arial"/>
          <w:sz w:val="24"/>
          <w:szCs w:val="24"/>
        </w:rPr>
        <w:t xml:space="preserve"> measurement or 12 months after patient registration, whichever occurred later. We excluded the first 12 months after patient registration to avoid </w:t>
      </w:r>
      <w:r w:rsidR="000205DE" w:rsidRPr="00F822A1">
        <w:rPr>
          <w:rFonts w:ascii="Arial" w:eastAsia="ScalaLancetPro" w:hAnsi="Arial" w:cs="Arial"/>
          <w:sz w:val="24"/>
          <w:szCs w:val="24"/>
        </w:rPr>
        <w:t>including</w:t>
      </w:r>
      <w:r w:rsidRPr="00F822A1">
        <w:rPr>
          <w:rFonts w:ascii="Arial" w:eastAsia="ScalaLancetPro" w:hAnsi="Arial" w:cs="Arial"/>
          <w:sz w:val="24"/>
          <w:szCs w:val="24"/>
        </w:rPr>
        <w:t xml:space="preserve"> prevalent cases of dementia</w:t>
      </w:r>
      <w:r w:rsidR="00860C31">
        <w:rPr>
          <w:rFonts w:ascii="Arial" w:eastAsia="ScalaLancetPro" w:hAnsi="Arial" w:cs="Arial"/>
          <w:sz w:val="24"/>
          <w:szCs w:val="24"/>
        </w:rPr>
        <w:t>. G</w:t>
      </w:r>
      <w:r w:rsidR="00E16730" w:rsidRPr="00F822A1">
        <w:rPr>
          <w:rFonts w:ascii="Arial" w:eastAsia="ScalaLancetPro" w:hAnsi="Arial" w:cs="Arial"/>
          <w:sz w:val="24"/>
          <w:szCs w:val="24"/>
        </w:rPr>
        <w:t xml:space="preserve">eneral practices routinely record </w:t>
      </w:r>
      <w:r w:rsidR="00860C31">
        <w:rPr>
          <w:rFonts w:ascii="Arial" w:eastAsia="ScalaLancetPro" w:hAnsi="Arial" w:cs="Arial"/>
          <w:sz w:val="24"/>
          <w:szCs w:val="24"/>
        </w:rPr>
        <w:t xml:space="preserve">past </w:t>
      </w:r>
      <w:r w:rsidR="00E16730" w:rsidRPr="00F822A1">
        <w:rPr>
          <w:rFonts w:ascii="Arial" w:eastAsia="ScalaLancetPro" w:hAnsi="Arial" w:cs="Arial"/>
          <w:sz w:val="24"/>
          <w:szCs w:val="24"/>
        </w:rPr>
        <w:t xml:space="preserve">medical history shortly after </w:t>
      </w:r>
      <w:r w:rsidR="00860C31">
        <w:rPr>
          <w:rFonts w:ascii="Arial" w:eastAsia="ScalaLancetPro" w:hAnsi="Arial" w:cs="Arial"/>
          <w:sz w:val="24"/>
          <w:szCs w:val="24"/>
        </w:rPr>
        <w:t xml:space="preserve">a patient’s new </w:t>
      </w:r>
      <w:r w:rsidR="00E16730" w:rsidRPr="00F822A1">
        <w:rPr>
          <w:rFonts w:ascii="Arial" w:eastAsia="ScalaLancetPro" w:hAnsi="Arial" w:cs="Arial"/>
          <w:sz w:val="24"/>
          <w:szCs w:val="24"/>
        </w:rPr>
        <w:t>registration</w:t>
      </w:r>
      <w:r w:rsidRPr="00F822A1">
        <w:rPr>
          <w:rFonts w:ascii="Arial" w:eastAsia="ScalaLancetPro" w:hAnsi="Arial" w:cs="Arial"/>
          <w:sz w:val="24"/>
          <w:szCs w:val="24"/>
        </w:rPr>
        <w:t>.</w:t>
      </w:r>
      <w:r w:rsidR="002A1F31" w:rsidRPr="00F822A1">
        <w:rPr>
          <w:rFonts w:ascii="Arial" w:eastAsia="ScalaLancetPro" w:hAnsi="Arial" w:cs="Arial"/>
          <w:sz w:val="24"/>
          <w:szCs w:val="24"/>
        </w:rPr>
        <w:fldChar w:fldCharType="begin" w:fldLock="1"/>
      </w:r>
      <w:r w:rsidR="00BE6874">
        <w:rPr>
          <w:rFonts w:ascii="Arial" w:eastAsia="ScalaLancetPro" w:hAnsi="Arial" w:cs="Arial"/>
          <w:sz w:val="24"/>
          <w:szCs w:val="24"/>
        </w:rPr>
        <w:instrText>ADDIN CSL_CITATION { "citationItems" : [ { "id" : "ITEM-1", "itemData" : { "DOI" : "10.1002/pds.1115", "ISBN" : "1053-8569", "ISSN" : "10538569", "PMID" : "15898131", "abstract" : "BACKGROUND: The General Practice Research Database (GPRD) is widely used to study incidence rates. This study examines whether incidence rates are overestimated during the first year after registration, how long one needs to wait to obtain accurate incidence rates, and whether the time period of overestimation differs among disease types. METHODS: We measured incidence rates of nine acute, eight chronic, and eight neoplastic outcomes in 3-month intervals through month 36 after enrollment in GPRD. The incidence rates in months 13-36 were used to estimate baseline incidence rates for each diagnosis. RESULTS: For patients registering with practices that were already UTS, incidence rates were highest in the first 3 months after registration. In eight of nine acute diagnoses, the incidence rate was within 20% of baseline by months 4-6; and in seven of eight cancers, the incidence rate was within 20% of baseline by months 7-9. For chronic conditions, the incidence rate in months 10-12 differed from baseline by more than 20% for five of the eight outcomes, respectively. For patients registering prior to UTS, incidence rates during the first quarter were within 20% of baseline for all acute and cancer diagnoses and six of eight chronic diagnoses. CONCLUSIONS: Reported incidence rates are highest in the first 3 months after registration with an UTS practice and decline to baseline over the first year, more quickly for acute conditions than chronic conditions. For patients who registered prior to UTS, incidence rates are near the baseline level at the start of follow-up", "author" : [ { "dropping-particle" : "", "family" : "Lewis", "given" : "James D.", "non-dropping-particle" : "", "parse-names" : false, "suffix" : "" }, { "dropping-particle" : "", "family" : "Bilker", "given" : "Warren B.", "non-dropping-particle" : "", "parse-names" : false, "suffix" : "" }, { "dropping-particle" : "", "family" : "Weinstein", "given" : "Rachel B.", "non-dropping-particle" : "", "parse-names" : false, "suffix" : "" }, { "dropping-particle" : "", "family" : "Strom", "given" : "Brian L.", "non-dropping-particle" : "", "parse-names" : false, "suffix" : "" } ], "container-title" : "Pharmacoepidemiology and Drug Safety", "id" : "ITEM-1", "issue" : "7", "issued" : { "date-parts" : [ [ "2005" ] ] }, "page" : "443-451", "title" : "The relationship between time since registration and measured incidence rates in the General Practice Research Database", "type" : "article-journal", "volume" : "14" }, "uris" : [ "http://www.mendeley.com/documents/?uuid=bfe0bf14-c8bf-43cb-9fe4-2d507291df7c" ] } ], "mendeley" : { "formattedCitation" : "(7)", "plainTextFormattedCitation" : "(7)", "previouslyFormattedCitation" : "(7)" }, "properties" : {  }, "schema" : "https://github.com/citation-style-language/schema/raw/master/csl-citation.json" }</w:instrText>
      </w:r>
      <w:r w:rsidR="002A1F31" w:rsidRPr="00F822A1">
        <w:rPr>
          <w:rFonts w:ascii="Arial" w:eastAsia="ScalaLancetPro" w:hAnsi="Arial" w:cs="Arial"/>
          <w:sz w:val="24"/>
          <w:szCs w:val="24"/>
        </w:rPr>
        <w:fldChar w:fldCharType="separate"/>
      </w:r>
      <w:r w:rsidR="00BE6874" w:rsidRPr="00BE6874">
        <w:rPr>
          <w:rFonts w:ascii="Arial" w:eastAsia="ScalaLancetPro" w:hAnsi="Arial" w:cs="Arial"/>
          <w:noProof/>
          <w:sz w:val="24"/>
          <w:szCs w:val="24"/>
        </w:rPr>
        <w:t>(7)</w:t>
      </w:r>
      <w:r w:rsidR="002A1F31" w:rsidRPr="00F822A1">
        <w:rPr>
          <w:rFonts w:ascii="Arial" w:eastAsia="ScalaLancetPro" w:hAnsi="Arial" w:cs="Arial"/>
          <w:sz w:val="24"/>
          <w:szCs w:val="24"/>
        </w:rPr>
        <w:fldChar w:fldCharType="end"/>
      </w:r>
      <w:r w:rsidRPr="00F822A1">
        <w:rPr>
          <w:rFonts w:ascii="Arial" w:eastAsia="ScalaLancetPro" w:hAnsi="Arial" w:cs="Arial"/>
          <w:sz w:val="24"/>
          <w:szCs w:val="24"/>
        </w:rPr>
        <w:t xml:space="preserve"> Repeat </w:t>
      </w:r>
      <w:r w:rsidR="00DD7F91" w:rsidRPr="00F822A1">
        <w:rPr>
          <w:rFonts w:ascii="Arial" w:eastAsia="ScalaLancetPro" w:hAnsi="Arial" w:cs="Arial"/>
          <w:sz w:val="24"/>
          <w:szCs w:val="24"/>
        </w:rPr>
        <w:t>BP</w:t>
      </w:r>
      <w:r w:rsidRPr="00F822A1">
        <w:rPr>
          <w:rFonts w:ascii="Arial" w:eastAsia="ScalaLancetPro" w:hAnsi="Arial" w:cs="Arial"/>
          <w:sz w:val="24"/>
          <w:szCs w:val="24"/>
        </w:rPr>
        <w:t xml:space="preserve"> measurements taken after the index date</w:t>
      </w:r>
      <w:r w:rsidR="000205DE" w:rsidRPr="00F822A1">
        <w:rPr>
          <w:rFonts w:ascii="Arial" w:eastAsia="ScalaLancetPro" w:hAnsi="Arial" w:cs="Arial"/>
          <w:sz w:val="24"/>
          <w:szCs w:val="24"/>
        </w:rPr>
        <w:t>,</w:t>
      </w:r>
      <w:r w:rsidRPr="00F822A1">
        <w:rPr>
          <w:rFonts w:ascii="Arial" w:eastAsia="ScalaLancetPro" w:hAnsi="Arial" w:cs="Arial"/>
          <w:sz w:val="24"/>
          <w:szCs w:val="24"/>
        </w:rPr>
        <w:t xml:space="preserve"> but before</w:t>
      </w:r>
      <w:r w:rsidR="000205DE" w:rsidRPr="00F822A1">
        <w:rPr>
          <w:rFonts w:ascii="Arial" w:eastAsia="ScalaLancetPro" w:hAnsi="Arial" w:cs="Arial"/>
          <w:sz w:val="24"/>
          <w:szCs w:val="24"/>
        </w:rPr>
        <w:t xml:space="preserve"> dementia diagnosis or censoring,</w:t>
      </w:r>
      <w:r w:rsidRPr="00F822A1">
        <w:rPr>
          <w:rFonts w:ascii="Arial" w:eastAsia="ScalaLancetPro" w:hAnsi="Arial" w:cs="Arial"/>
          <w:sz w:val="24"/>
          <w:szCs w:val="24"/>
        </w:rPr>
        <w:t xml:space="preserve"> were </w:t>
      </w:r>
      <w:r w:rsidR="008B1450" w:rsidRPr="00F822A1">
        <w:rPr>
          <w:rFonts w:ascii="Arial" w:eastAsia="ScalaLancetPro" w:hAnsi="Arial" w:cs="Arial"/>
          <w:sz w:val="24"/>
          <w:szCs w:val="24"/>
        </w:rPr>
        <w:t xml:space="preserve">used to </w:t>
      </w:r>
      <w:r w:rsidRPr="00F822A1">
        <w:rPr>
          <w:rFonts w:ascii="Arial" w:eastAsia="ScalaLancetPro" w:hAnsi="Arial" w:cs="Arial"/>
          <w:sz w:val="24"/>
          <w:szCs w:val="24"/>
        </w:rPr>
        <w:t xml:space="preserve">adjust for </w:t>
      </w:r>
      <w:r w:rsidR="00DD7F91" w:rsidRPr="00F822A1">
        <w:rPr>
          <w:rFonts w:ascii="Arial" w:eastAsia="ScalaLancetPro" w:hAnsi="Arial" w:cs="Arial"/>
          <w:sz w:val="24"/>
          <w:szCs w:val="24"/>
        </w:rPr>
        <w:t>BP</w:t>
      </w:r>
      <w:r w:rsidRPr="00F822A1">
        <w:rPr>
          <w:rFonts w:ascii="Arial" w:eastAsia="ScalaLancetPro" w:hAnsi="Arial" w:cs="Arial"/>
          <w:sz w:val="24"/>
          <w:szCs w:val="24"/>
        </w:rPr>
        <w:t xml:space="preserve"> </w:t>
      </w:r>
      <w:r w:rsidR="00860C31" w:rsidRPr="00F822A1">
        <w:rPr>
          <w:rFonts w:ascii="Arial" w:eastAsia="ScalaLancetPro" w:hAnsi="Arial" w:cs="Arial"/>
          <w:sz w:val="24"/>
          <w:szCs w:val="24"/>
        </w:rPr>
        <w:t xml:space="preserve">variability </w:t>
      </w:r>
      <w:r w:rsidRPr="00F822A1">
        <w:rPr>
          <w:rFonts w:ascii="Arial" w:eastAsia="ScalaLancetPro" w:hAnsi="Arial" w:cs="Arial"/>
          <w:sz w:val="24"/>
          <w:szCs w:val="24"/>
        </w:rPr>
        <w:t>over time</w:t>
      </w:r>
      <w:r w:rsidR="00860C31">
        <w:rPr>
          <w:rFonts w:ascii="Arial" w:eastAsia="ScalaLancetPro" w:hAnsi="Arial" w:cs="Arial"/>
          <w:sz w:val="24"/>
          <w:szCs w:val="24"/>
        </w:rPr>
        <w:t xml:space="preserve">; see </w:t>
      </w:r>
      <w:r w:rsidRPr="00F822A1">
        <w:rPr>
          <w:rFonts w:ascii="Arial" w:eastAsia="ScalaLancetPro" w:hAnsi="Arial" w:cs="Arial"/>
          <w:sz w:val="24"/>
          <w:szCs w:val="24"/>
        </w:rPr>
        <w:t>Statistical Analysis section</w:t>
      </w:r>
      <w:r w:rsidR="00E91553" w:rsidRPr="00F822A1">
        <w:rPr>
          <w:rFonts w:ascii="Arial" w:eastAsia="ScalaLancetPro" w:hAnsi="Arial" w:cs="Arial"/>
          <w:sz w:val="24"/>
          <w:szCs w:val="24"/>
        </w:rPr>
        <w:t xml:space="preserve"> and Appendix</w:t>
      </w:r>
      <w:r w:rsidRPr="00F822A1">
        <w:rPr>
          <w:rFonts w:ascii="Arial" w:eastAsia="ScalaLancetPro" w:hAnsi="Arial" w:cs="Arial"/>
          <w:sz w:val="24"/>
          <w:szCs w:val="24"/>
        </w:rPr>
        <w:t xml:space="preserve">. </w:t>
      </w:r>
    </w:p>
    <w:p w:rsidR="00B02A90" w:rsidRPr="00F822A1" w:rsidRDefault="00B02A90" w:rsidP="00A918B7">
      <w:pPr>
        <w:autoSpaceDE w:val="0"/>
        <w:autoSpaceDN w:val="0"/>
        <w:adjustRightInd w:val="0"/>
        <w:spacing w:after="0" w:line="480" w:lineRule="auto"/>
        <w:rPr>
          <w:rFonts w:ascii="Arial" w:eastAsia="ScalaLancetPro" w:hAnsi="Arial" w:cs="Arial"/>
          <w:sz w:val="24"/>
          <w:szCs w:val="24"/>
        </w:rPr>
      </w:pPr>
    </w:p>
    <w:p w:rsidR="004470B5" w:rsidRDefault="00B02A90" w:rsidP="00A13F8B">
      <w:pPr>
        <w:autoSpaceDE w:val="0"/>
        <w:autoSpaceDN w:val="0"/>
        <w:adjustRightInd w:val="0"/>
        <w:spacing w:after="0" w:line="480" w:lineRule="auto"/>
        <w:rPr>
          <w:rFonts w:ascii="Arial" w:hAnsi="Arial" w:cs="Arial"/>
          <w:sz w:val="24"/>
          <w:szCs w:val="24"/>
        </w:rPr>
      </w:pPr>
      <w:r w:rsidRPr="00F822A1">
        <w:rPr>
          <w:rFonts w:ascii="Arial" w:eastAsia="ScalaLancetPro" w:hAnsi="Arial" w:cs="Arial"/>
          <w:sz w:val="24"/>
          <w:szCs w:val="24"/>
        </w:rPr>
        <w:t xml:space="preserve">People with dementia </w:t>
      </w:r>
      <w:r w:rsidR="001F0738" w:rsidRPr="00F822A1">
        <w:rPr>
          <w:rFonts w:ascii="Arial" w:eastAsia="ScalaLancetPro" w:hAnsi="Arial" w:cs="Arial"/>
          <w:sz w:val="24"/>
          <w:szCs w:val="24"/>
        </w:rPr>
        <w:t>record</w:t>
      </w:r>
      <w:r w:rsidR="001F0738">
        <w:rPr>
          <w:rFonts w:ascii="Arial" w:eastAsia="ScalaLancetPro" w:hAnsi="Arial" w:cs="Arial"/>
          <w:sz w:val="24"/>
          <w:szCs w:val="24"/>
        </w:rPr>
        <w:t>ed</w:t>
      </w:r>
      <w:r w:rsidR="001F0738" w:rsidRPr="00F822A1">
        <w:rPr>
          <w:rFonts w:ascii="Arial" w:eastAsia="ScalaLancetPro" w:hAnsi="Arial" w:cs="Arial"/>
          <w:sz w:val="24"/>
          <w:szCs w:val="24"/>
        </w:rPr>
        <w:t xml:space="preserve"> </w:t>
      </w:r>
      <w:r w:rsidRPr="00F822A1">
        <w:rPr>
          <w:rFonts w:ascii="Arial" w:eastAsia="ScalaLancetPro" w:hAnsi="Arial" w:cs="Arial"/>
          <w:sz w:val="24"/>
          <w:szCs w:val="24"/>
        </w:rPr>
        <w:t>before their index date were excluded. Follow-up was until the practice’s final CPRD data record</w:t>
      </w:r>
      <w:r w:rsidR="0057393D">
        <w:rPr>
          <w:rFonts w:ascii="Arial" w:eastAsia="ScalaLancetPro" w:hAnsi="Arial" w:cs="Arial"/>
          <w:sz w:val="24"/>
          <w:szCs w:val="24"/>
        </w:rPr>
        <w:t xml:space="preserve"> (i.e. </w:t>
      </w:r>
      <w:r w:rsidRPr="00F822A1">
        <w:rPr>
          <w:rFonts w:ascii="Arial" w:eastAsia="ScalaLancetPro" w:hAnsi="Arial" w:cs="Arial"/>
          <w:sz w:val="24"/>
          <w:szCs w:val="24"/>
        </w:rPr>
        <w:t>of death or leaving the practice), or the first record of dementia, whichever occurred first. Validation of CPRD</w:t>
      </w:r>
      <w:r w:rsidR="000205DE" w:rsidRPr="00F822A1">
        <w:rPr>
          <w:rFonts w:ascii="Arial" w:eastAsia="ScalaLancetPro" w:hAnsi="Arial" w:cs="Arial"/>
          <w:sz w:val="24"/>
          <w:szCs w:val="24"/>
        </w:rPr>
        <w:t xml:space="preserve"> data</w:t>
      </w:r>
      <w:r w:rsidRPr="00F822A1">
        <w:rPr>
          <w:rFonts w:ascii="Arial" w:eastAsia="ScalaLancetPro" w:hAnsi="Arial" w:cs="Arial"/>
          <w:sz w:val="24"/>
          <w:szCs w:val="24"/>
        </w:rPr>
        <w:t xml:space="preserve"> </w:t>
      </w:r>
      <w:r w:rsidR="0057393D">
        <w:rPr>
          <w:rFonts w:ascii="Arial" w:eastAsia="ScalaLancetPro" w:hAnsi="Arial" w:cs="Arial"/>
          <w:sz w:val="24"/>
          <w:szCs w:val="24"/>
        </w:rPr>
        <w:t xml:space="preserve">quality </w:t>
      </w:r>
      <w:r w:rsidRPr="00F822A1">
        <w:rPr>
          <w:rFonts w:ascii="Arial" w:eastAsia="ScalaLancetPro" w:hAnsi="Arial" w:cs="Arial"/>
          <w:sz w:val="24"/>
          <w:szCs w:val="24"/>
        </w:rPr>
        <w:t xml:space="preserve">has previously been done for many disorders, including </w:t>
      </w:r>
      <w:r w:rsidR="009523CE" w:rsidRPr="00F822A1">
        <w:rPr>
          <w:rFonts w:ascii="Arial" w:eastAsia="ScalaLancetPro" w:hAnsi="Arial" w:cs="Arial"/>
          <w:sz w:val="24"/>
          <w:szCs w:val="24"/>
        </w:rPr>
        <w:t>dementia: i</w:t>
      </w:r>
      <w:r w:rsidR="00312F65" w:rsidRPr="00F822A1">
        <w:rPr>
          <w:rFonts w:ascii="Arial" w:eastAsia="ScalaLancetPro" w:hAnsi="Arial" w:cs="Arial"/>
          <w:sz w:val="24"/>
          <w:szCs w:val="24"/>
        </w:rPr>
        <w:t xml:space="preserve">n a study of </w:t>
      </w:r>
      <w:r w:rsidR="007216E5">
        <w:rPr>
          <w:rFonts w:ascii="Arial" w:eastAsia="ScalaLancetPro" w:hAnsi="Arial" w:cs="Arial"/>
          <w:sz w:val="24"/>
          <w:szCs w:val="24"/>
        </w:rPr>
        <w:t>AD</w:t>
      </w:r>
      <w:r w:rsidR="00312F65" w:rsidRPr="00F822A1">
        <w:rPr>
          <w:rFonts w:ascii="Arial" w:eastAsia="ScalaLancetPro" w:hAnsi="Arial" w:cs="Arial"/>
          <w:sz w:val="24"/>
          <w:szCs w:val="24"/>
        </w:rPr>
        <w:t xml:space="preserve">, 84% of patient with a relevant read code were found to have probable or possible </w:t>
      </w:r>
      <w:r w:rsidR="007216E5">
        <w:rPr>
          <w:rFonts w:ascii="Arial" w:eastAsia="ScalaLancetPro" w:hAnsi="Arial" w:cs="Arial"/>
          <w:sz w:val="24"/>
          <w:szCs w:val="24"/>
        </w:rPr>
        <w:t>AD</w:t>
      </w:r>
      <w:r w:rsidR="00312F65" w:rsidRPr="00F822A1">
        <w:rPr>
          <w:rFonts w:ascii="Arial" w:eastAsia="ScalaLancetPro" w:hAnsi="Arial" w:cs="Arial"/>
          <w:sz w:val="24"/>
          <w:szCs w:val="24"/>
        </w:rPr>
        <w:t xml:space="preserve"> using </w:t>
      </w:r>
      <w:r w:rsidR="0057393D">
        <w:rPr>
          <w:rFonts w:ascii="Arial" w:eastAsia="ScalaLancetPro" w:hAnsi="Arial" w:cs="Arial"/>
          <w:sz w:val="24"/>
          <w:szCs w:val="24"/>
        </w:rPr>
        <w:t xml:space="preserve">a </w:t>
      </w:r>
      <w:r w:rsidR="00312F65" w:rsidRPr="00F822A1">
        <w:rPr>
          <w:rFonts w:ascii="Arial" w:eastAsia="ScalaLancetPro" w:hAnsi="Arial" w:cs="Arial"/>
          <w:sz w:val="24"/>
          <w:szCs w:val="24"/>
        </w:rPr>
        <w:t>manual review of patient records</w:t>
      </w:r>
      <w:r w:rsidRPr="00F822A1">
        <w:rPr>
          <w:rFonts w:ascii="Arial" w:eastAsia="ScalaLancetPro" w:hAnsi="Arial" w:cs="Arial"/>
          <w:sz w:val="24"/>
          <w:szCs w:val="24"/>
        </w:rPr>
        <w:t>.</w:t>
      </w:r>
      <w:r w:rsidR="002A1F31" w:rsidRPr="00F822A1">
        <w:rPr>
          <w:rFonts w:ascii="Arial" w:eastAsia="ScalaLancetPro" w:hAnsi="Arial" w:cs="Arial"/>
          <w:sz w:val="24"/>
          <w:szCs w:val="24"/>
        </w:rPr>
        <w:fldChar w:fldCharType="begin" w:fldLock="1"/>
      </w:r>
      <w:r w:rsidR="00BE6874">
        <w:rPr>
          <w:rFonts w:ascii="Arial" w:eastAsia="ScalaLancetPro" w:hAnsi="Arial" w:cs="Arial"/>
          <w:sz w:val="24"/>
          <w:szCs w:val="24"/>
        </w:rPr>
        <w:instrText>ADDIN CSL_CITATION { "citationItems" : [ { "id" : "ITEM-1", "itemData" : { "DOI" : "noc00173 [pii]", "ISBN" : "0003-9942 (Print)\\r0003-9942 (Linking)", "ISSN" : "0003-9942", "PMID" : "11255447", "abstract" : "BACKGROUND: Previous studies have examined the relation between postmenopausal estrogen replacement therapy (ERT) and the risk of Alzheimer disease (AD). The findings have been inconsistent, since some studies have been interpreted as showing a protective effect while others have reported no effect. OBJECTIVE: To determine whether exposure to ERT is associated with a reduced risk of AD. DESIGN: Population-based nested case-control study. SETTING: The United Kingdom-based General Practice Research Database. PATIENTS: The base cohort consisted of women who were recipients of ERT (n = 112 481) and a similar cohort of women who did not use estrogens (n = 108 925). The 2 cohorts were restricted to women born on or before January 1, 1950. From the 2 cohorts, we identified and verified 59 newly diagnosed cases of AD and 221 matched control subjects. MAIN OUTCOME MEASURE: Prior and current use of ERT in cases compared with controls. RESULTS: Among the 59 newly diagnosed cases of AD, 15 (25%) were current estrogen users, while among the controls, 53 (24%) were current users. The adjusted odds ratio comparing all current estrogen recipients with nonrecipients was 1.18 (95% confidence interval, 0.59-2.37). In estrogen users who took the drug for 5 years or longer compared with nonusers, the odds ratio was 1.05 (95% confidence interval, 0.32-3.44). Odds ratios were similar for estrogen recipients who received estrogens alone and recipients who received combined estrogen-progestin treatment. CONCLUSION: The use of ERT in women after the onset of menopause was not associated with a reduced risk of developing AD.", "author" : [ { "dropping-particle" : "", "family" : "Seshadri", "given" : "S", "non-dropping-particle" : "", "parse-names" : false, "suffix" : "" }, { "dropping-particle" : "", "family" : "Zornberg", "given" : "G L", "non-dropping-particle" : "", "parse-names" : false, "suffix" : "" }, { "dropping-particle" : "", "family" : "Derby", "given" : "L E", "non-dropping-particle" : "", "parse-names" : false, "suffix" : "" }, { "dropping-particle" : "", "family" : "Myers", "given" : "M W", "non-dropping-particle" : "", "parse-names" : false, "suffix" : "" }, { "dropping-particle" : "", "family" : "Jick", "given" : "H", "non-dropping-particle" : "", "parse-names" : false, "suffix" : "" }, { "dropping-particle" : "", "family" : "Drachman", "given" : "D A", "non-dropping-particle" : "", "parse-names" : false, "suffix" : "" } ], "container-title" : "Archives of neurology", "id" : "ITEM-1", "issue" : "3", "issued" : { "date-parts" : [ [ "2001" ] ] }, "page" : "435-40", "title" : "Postmenopausal estrogen replacement therapy and the risk of Alzheimer disease", "type" : "article-journal", "volume" : "58" }, "uris" : [ "http://www.mendeley.com/documents/?uuid=3f22c83b-4b73-4f94-9a66-c50941a46a4d" ] } ], "mendeley" : { "formattedCitation" : "(8)", "plainTextFormattedCitation" : "(8)", "previouslyFormattedCitation" : "(8)" }, "properties" : {  }, "schema" : "https://github.com/citation-style-language/schema/raw/master/csl-citation.json" }</w:instrText>
      </w:r>
      <w:r w:rsidR="002A1F31" w:rsidRPr="00F822A1">
        <w:rPr>
          <w:rFonts w:ascii="Arial" w:eastAsia="ScalaLancetPro" w:hAnsi="Arial" w:cs="Arial"/>
          <w:sz w:val="24"/>
          <w:szCs w:val="24"/>
        </w:rPr>
        <w:fldChar w:fldCharType="separate"/>
      </w:r>
      <w:r w:rsidR="00BE6874" w:rsidRPr="00BE6874">
        <w:rPr>
          <w:rFonts w:ascii="Arial" w:eastAsia="ScalaLancetPro" w:hAnsi="Arial" w:cs="Arial"/>
          <w:noProof/>
          <w:sz w:val="24"/>
          <w:szCs w:val="24"/>
        </w:rPr>
        <w:t>(8)</w:t>
      </w:r>
      <w:r w:rsidR="002A1F31" w:rsidRPr="00F822A1">
        <w:rPr>
          <w:rFonts w:ascii="Arial" w:eastAsia="ScalaLancetPro" w:hAnsi="Arial" w:cs="Arial"/>
          <w:sz w:val="24"/>
          <w:szCs w:val="24"/>
        </w:rPr>
        <w:fldChar w:fldCharType="end"/>
      </w:r>
      <w:r w:rsidRPr="00F822A1">
        <w:rPr>
          <w:rFonts w:ascii="Arial" w:eastAsia="ScalaLancetPro" w:hAnsi="Arial" w:cs="Arial"/>
          <w:sz w:val="24"/>
          <w:szCs w:val="24"/>
        </w:rPr>
        <w:t xml:space="preserve"> </w:t>
      </w:r>
      <w:r w:rsidR="0057393D">
        <w:rPr>
          <w:rFonts w:ascii="Arial" w:eastAsia="ScalaLancetPro" w:hAnsi="Arial" w:cs="Arial"/>
          <w:sz w:val="24"/>
          <w:szCs w:val="24"/>
        </w:rPr>
        <w:t xml:space="preserve">We </w:t>
      </w:r>
      <w:r w:rsidRPr="00F822A1">
        <w:rPr>
          <w:rFonts w:ascii="Arial" w:eastAsia="ScalaLancetPro" w:hAnsi="Arial" w:cs="Arial"/>
          <w:sz w:val="24"/>
          <w:szCs w:val="24"/>
        </w:rPr>
        <w:t>classified</w:t>
      </w:r>
      <w:r w:rsidR="0057393D">
        <w:rPr>
          <w:rFonts w:ascii="Arial" w:eastAsia="ScalaLancetPro" w:hAnsi="Arial" w:cs="Arial"/>
          <w:sz w:val="24"/>
          <w:szCs w:val="24"/>
        </w:rPr>
        <w:t xml:space="preserve"> a patient</w:t>
      </w:r>
      <w:r w:rsidRPr="00F822A1">
        <w:rPr>
          <w:rFonts w:ascii="Arial" w:eastAsia="ScalaLancetPro" w:hAnsi="Arial" w:cs="Arial"/>
          <w:sz w:val="24"/>
          <w:szCs w:val="24"/>
        </w:rPr>
        <w:t xml:space="preserve"> as </w:t>
      </w:r>
      <w:r w:rsidRPr="00F822A1">
        <w:rPr>
          <w:rFonts w:ascii="Arial" w:eastAsia="ScalaLancetPro" w:hAnsi="Arial" w:cs="Arial"/>
          <w:sz w:val="24"/>
          <w:szCs w:val="24"/>
        </w:rPr>
        <w:lastRenderedPageBreak/>
        <w:t xml:space="preserve">having dementia if any of the following terms were recorded during follow-up: dementia, Alzheimer, </w:t>
      </w:r>
      <w:proofErr w:type="spellStart"/>
      <w:r w:rsidRPr="00F822A1">
        <w:rPr>
          <w:rFonts w:ascii="Arial" w:eastAsia="ScalaLancetPro" w:hAnsi="Arial" w:cs="Arial"/>
          <w:sz w:val="24"/>
          <w:szCs w:val="24"/>
        </w:rPr>
        <w:t>Lewy</w:t>
      </w:r>
      <w:proofErr w:type="spellEnd"/>
      <w:r w:rsidRPr="00F822A1">
        <w:rPr>
          <w:rFonts w:ascii="Arial" w:eastAsia="ScalaLancetPro" w:hAnsi="Arial" w:cs="Arial"/>
          <w:sz w:val="24"/>
          <w:szCs w:val="24"/>
        </w:rPr>
        <w:t xml:space="preserve"> body disease, or Pick’s disease. Dementia recorded on a death certificate was also used to </w:t>
      </w:r>
      <w:r w:rsidR="008412E0" w:rsidRPr="00F822A1">
        <w:rPr>
          <w:rFonts w:ascii="Arial" w:eastAsia="ScalaLancetPro" w:hAnsi="Arial" w:cs="Arial"/>
          <w:sz w:val="24"/>
          <w:szCs w:val="24"/>
        </w:rPr>
        <w:t xml:space="preserve">identify and </w:t>
      </w:r>
      <w:r w:rsidRPr="00F822A1">
        <w:rPr>
          <w:rFonts w:ascii="Arial" w:eastAsia="ScalaLancetPro" w:hAnsi="Arial" w:cs="Arial"/>
          <w:sz w:val="24"/>
          <w:szCs w:val="24"/>
        </w:rPr>
        <w:t>classify patients with dementia.</w:t>
      </w:r>
      <w:r w:rsidR="0057393D">
        <w:rPr>
          <w:rFonts w:ascii="Arial" w:hAnsi="Arial" w:cs="Arial"/>
          <w:sz w:val="24"/>
          <w:szCs w:val="24"/>
        </w:rPr>
        <w:t xml:space="preserve"> W</w:t>
      </w:r>
      <w:r w:rsidR="004470B5" w:rsidRPr="00F822A1">
        <w:rPr>
          <w:rFonts w:ascii="Arial" w:hAnsi="Arial" w:cs="Arial"/>
          <w:sz w:val="24"/>
          <w:szCs w:val="24"/>
        </w:rPr>
        <w:t>e classified dementia into vascular dementia</w:t>
      </w:r>
      <w:r w:rsidR="004C7A94" w:rsidRPr="00F822A1">
        <w:rPr>
          <w:rFonts w:ascii="Arial" w:hAnsi="Arial" w:cs="Arial"/>
          <w:sz w:val="24"/>
          <w:szCs w:val="24"/>
        </w:rPr>
        <w:t xml:space="preserve">, </w:t>
      </w:r>
      <w:r w:rsidR="007216E5">
        <w:rPr>
          <w:rFonts w:ascii="Arial" w:hAnsi="Arial" w:cs="Arial"/>
          <w:sz w:val="24"/>
          <w:szCs w:val="24"/>
        </w:rPr>
        <w:t>AD</w:t>
      </w:r>
      <w:r w:rsidR="004470B5" w:rsidRPr="00F822A1">
        <w:rPr>
          <w:rFonts w:ascii="Arial" w:hAnsi="Arial" w:cs="Arial"/>
          <w:sz w:val="24"/>
          <w:szCs w:val="24"/>
        </w:rPr>
        <w:t>/</w:t>
      </w:r>
      <w:r w:rsidR="008412E0" w:rsidRPr="00F822A1">
        <w:rPr>
          <w:rFonts w:ascii="Arial" w:hAnsi="Arial" w:cs="Arial"/>
          <w:sz w:val="24"/>
          <w:szCs w:val="24"/>
        </w:rPr>
        <w:t>unspecified</w:t>
      </w:r>
      <w:r w:rsidR="004470B5" w:rsidRPr="00F822A1">
        <w:rPr>
          <w:rFonts w:ascii="Arial" w:hAnsi="Arial" w:cs="Arial"/>
          <w:sz w:val="24"/>
          <w:szCs w:val="24"/>
        </w:rPr>
        <w:t xml:space="preserve"> dementia</w:t>
      </w:r>
      <w:r w:rsidR="004C7A94" w:rsidRPr="00F822A1">
        <w:rPr>
          <w:rFonts w:ascii="Arial" w:hAnsi="Arial" w:cs="Arial"/>
          <w:sz w:val="24"/>
          <w:szCs w:val="24"/>
        </w:rPr>
        <w:t>, or</w:t>
      </w:r>
      <w:r w:rsidR="005074B6" w:rsidRPr="00F822A1">
        <w:rPr>
          <w:rFonts w:ascii="Arial" w:hAnsi="Arial" w:cs="Arial"/>
          <w:sz w:val="24"/>
          <w:szCs w:val="24"/>
        </w:rPr>
        <w:t xml:space="preserve"> other</w:t>
      </w:r>
      <w:r w:rsidR="008D7721" w:rsidRPr="00F822A1">
        <w:rPr>
          <w:rFonts w:ascii="Arial" w:hAnsi="Arial" w:cs="Arial"/>
          <w:sz w:val="24"/>
          <w:szCs w:val="24"/>
        </w:rPr>
        <w:t xml:space="preserve"> dementia</w:t>
      </w:r>
      <w:r w:rsidR="004470B5" w:rsidRPr="00F822A1">
        <w:rPr>
          <w:rFonts w:ascii="Arial" w:hAnsi="Arial" w:cs="Arial"/>
          <w:sz w:val="24"/>
          <w:szCs w:val="24"/>
        </w:rPr>
        <w:t xml:space="preserve">. We used </w:t>
      </w:r>
      <w:r w:rsidR="008D7721" w:rsidRPr="00F822A1">
        <w:rPr>
          <w:rFonts w:ascii="Arial" w:hAnsi="Arial" w:cs="Arial"/>
          <w:sz w:val="24"/>
          <w:szCs w:val="24"/>
        </w:rPr>
        <w:t>r</w:t>
      </w:r>
      <w:r w:rsidR="00DD7F91" w:rsidRPr="00F822A1">
        <w:rPr>
          <w:rFonts w:ascii="Arial" w:hAnsi="Arial" w:cs="Arial"/>
          <w:sz w:val="24"/>
          <w:szCs w:val="24"/>
        </w:rPr>
        <w:t xml:space="preserve">ead </w:t>
      </w:r>
      <w:r w:rsidR="004470B5" w:rsidRPr="00F822A1">
        <w:rPr>
          <w:rFonts w:ascii="Arial" w:hAnsi="Arial" w:cs="Arial"/>
          <w:sz w:val="24"/>
          <w:szCs w:val="24"/>
        </w:rPr>
        <w:t xml:space="preserve">codes from a previous study of vascular dementia </w:t>
      </w:r>
      <w:r w:rsidR="008B1450" w:rsidRPr="00F822A1">
        <w:rPr>
          <w:rFonts w:ascii="Arial" w:hAnsi="Arial" w:cs="Arial"/>
          <w:sz w:val="24"/>
          <w:szCs w:val="24"/>
        </w:rPr>
        <w:t xml:space="preserve">in CPRD </w:t>
      </w:r>
      <w:r w:rsidR="004470B5" w:rsidRPr="00F822A1">
        <w:rPr>
          <w:rFonts w:ascii="Arial" w:hAnsi="Arial" w:cs="Arial"/>
          <w:sz w:val="24"/>
          <w:szCs w:val="24"/>
        </w:rPr>
        <w:t xml:space="preserve">which classified patients as having vascular dementia if </w:t>
      </w:r>
      <w:r w:rsidR="004126A2" w:rsidRPr="00F822A1">
        <w:rPr>
          <w:rFonts w:ascii="Arial" w:hAnsi="Arial" w:cs="Arial"/>
          <w:sz w:val="24"/>
          <w:szCs w:val="24"/>
        </w:rPr>
        <w:t xml:space="preserve">a </w:t>
      </w:r>
      <w:r w:rsidR="004470B5" w:rsidRPr="00F822A1">
        <w:rPr>
          <w:rFonts w:ascii="Arial" w:hAnsi="Arial" w:cs="Arial"/>
          <w:sz w:val="24"/>
          <w:szCs w:val="24"/>
        </w:rPr>
        <w:t xml:space="preserve">vascular </w:t>
      </w:r>
      <w:r w:rsidR="004126A2" w:rsidRPr="00F822A1">
        <w:rPr>
          <w:rFonts w:ascii="Arial" w:hAnsi="Arial" w:cs="Arial"/>
          <w:sz w:val="24"/>
          <w:szCs w:val="24"/>
        </w:rPr>
        <w:t>aetiology was assigned to the dementia</w:t>
      </w:r>
      <w:r w:rsidR="002318EF" w:rsidRPr="00F822A1">
        <w:rPr>
          <w:rFonts w:ascii="Arial" w:hAnsi="Arial" w:cs="Arial"/>
          <w:sz w:val="24"/>
          <w:szCs w:val="24"/>
        </w:rPr>
        <w:t xml:space="preserve"> (Supplementary Table 1)</w:t>
      </w:r>
      <w:r w:rsidR="004470B5" w:rsidRPr="00F822A1">
        <w:rPr>
          <w:rFonts w:ascii="Arial" w:hAnsi="Arial" w:cs="Arial"/>
          <w:sz w:val="24"/>
          <w:szCs w:val="24"/>
        </w:rPr>
        <w:t>.</w:t>
      </w:r>
      <w:r w:rsidR="002A1F31" w:rsidRPr="00F822A1">
        <w:rPr>
          <w:rFonts w:ascii="Arial" w:hAnsi="Arial" w:cs="Arial"/>
          <w:sz w:val="24"/>
          <w:szCs w:val="24"/>
        </w:rPr>
        <w:fldChar w:fldCharType="begin" w:fldLock="1"/>
      </w:r>
      <w:r w:rsidR="00BE6874">
        <w:rPr>
          <w:rFonts w:ascii="Arial" w:hAnsi="Arial" w:cs="Arial"/>
          <w:sz w:val="24"/>
          <w:szCs w:val="24"/>
        </w:rPr>
        <w:instrText>ADDIN CSL_CITATION { "citationItems" : [ { "id" : "ITEM-1", "itemData" : { "DOI" : "10.1161/STROKEAHA.116.012658", "PMID" : "27165956", "abstract" : "Vascular dementia is the second most common form of dementia but reliable evidence on age-specific associations between blood pressure (BP) and risk of vascular dementia is limited and some studies have reported negative associations at older ages.In a cohort of 4.28 million individuals, free of known vascular disease and dementia and identified from linked electronic primary care health records in the United Kingdom (Clinical Practice Research Datalink), we related BP to time to physician-diagnosed vascular dementia. We further determined associations between BP and dementia in a prospective population-based cohort of incident transient ischemic attack and stroke (Oxford Vascular Study).For a median follow-up of 7.0 years, 11 114 initial presentations of vascular dementia were observed in the primary care cohort after exclusion of the first 4 years of follow-up. The association between usual systolic BP and risk of vascular dementia decreased with age (hazard ratio per 20 mm Hg higher systolic BP, 1.62; 95% confidence interval, 1.13-2.35 at 30-50 years; 1.26, 1.18-1.35 at 51-70 years; 0.97, 0.92-1.03 at 71-90 years; P trend=0.006). Usual systolic BP remained predictive of vascular dementia after accounting for effect mediation by stroke and transient ischemic attack. In the population-based cohort, prior systolic BP was predictive of 5-year risk of dementia with no evidence of negative association at older ages.BP is positively associated with risk of vascular dementia, irrespective of preceding transient ischemic attack or stroke. Previous reports of inverse associations in old age could not be confirmed.", "author" : [ { "dropping-particle" : "", "family" : "Emdin", "given" : "Connor A", "non-dropping-particle" : "", "parse-names" : false, "suffix" : "" }, { "dropping-particle" : "", "family" : "Rothwell", "given" : "Peter M", "non-dropping-particle" : "", "parse-names" : false, "suffix" : "" }, { "dropping-particle" : "", "family" : "Salimi-Khorshidi", "given" : "Gholamreza", "non-dropping-particle" : "", "parse-names" : false, "suffix" : "" }, { "dropping-particle" : "", "family" : "Kiran", "given" : "Amit", "non-dropping-particle" : "", "parse-names" : false, "suffix" : "" }, { "dropping-particle" : "", "family" : "Conrad", "given" : "Nathalie", "non-dropping-particle" : "", "parse-names" : false, "suffix" : "" }, { "dropping-particle" : "", "family" : "Callender", "given" : "Thomas", "non-dropping-particle" : "", "parse-names" : false, "suffix" : "" }, { "dropping-particle" : "", "family" : "Mehta", "given" : "Ziyah", "non-dropping-particle" : "", "parse-names" : false, "suffix" : "" }, { "dropping-particle" : "", "family" : "Pendlebury", "given" : "Sarah T", "non-dropping-particle" : "", "parse-names" : false, "suffix" : "" }, { "dropping-particle" : "", "family" : "Anderson", "given" : "Simon G", "non-dropping-particle" : "", "parse-names" : false, "suffix" : "" }, { "dropping-particle" : "", "family" : "Mohseni", "given" : "Hamid", "non-dropping-particle" : "", "parse-names" : false, "suffix" : "" }, { "dropping-particle" : "", "family" : "Woodward", "given" : "Mark", "non-dropping-particle" : "", "parse-names" : false, "suffix" : "" }, { "dropping-particle" : "", "family" : "Rahimi", "given" : "Kazem", "non-dropping-particle" : "", "parse-names" : false, "suffix" : "" } ], "container-title" : "Stroke", "id" : "ITEM-1", "issue" : "6", "issued" : { "date-parts" : [ [ "2016", "6" ] ] }, "page" : "1429-1435", "title" : "Blood Pressure and Risk of Vascular Dementia: Evidence From a Primary Care Registry and a Cohort Study of Transient Ischemic Attack and Stroke.", "type" : "article-journal", "volume" : "47" }, "uris" : [ "http://www.mendeley.com/documents/?uuid=3ab1cc04-8171-435e-8ec3-084328d2e593" ] } ], "mendeley" : { "formattedCitation" : "(9)", "plainTextFormattedCitation" : "(9)", "previouslyFormattedCitation" : "(9)" }, "properties" : {  }, "schema" : "https://github.com/citation-style-language/schema/raw/master/csl-citation.json" }</w:instrText>
      </w:r>
      <w:r w:rsidR="002A1F31" w:rsidRPr="00F822A1">
        <w:rPr>
          <w:rFonts w:ascii="Arial" w:hAnsi="Arial" w:cs="Arial"/>
          <w:sz w:val="24"/>
          <w:szCs w:val="24"/>
        </w:rPr>
        <w:fldChar w:fldCharType="separate"/>
      </w:r>
      <w:r w:rsidR="00BE6874" w:rsidRPr="00BE6874">
        <w:rPr>
          <w:rFonts w:ascii="Arial" w:hAnsi="Arial" w:cs="Arial"/>
          <w:noProof/>
          <w:sz w:val="24"/>
          <w:szCs w:val="24"/>
        </w:rPr>
        <w:t>(9)</w:t>
      </w:r>
      <w:r w:rsidR="002A1F31" w:rsidRPr="00F822A1">
        <w:rPr>
          <w:rFonts w:ascii="Arial" w:hAnsi="Arial" w:cs="Arial"/>
          <w:sz w:val="24"/>
          <w:szCs w:val="24"/>
        </w:rPr>
        <w:fldChar w:fldCharType="end"/>
      </w:r>
    </w:p>
    <w:p w:rsidR="0057393D" w:rsidRPr="00F822A1" w:rsidRDefault="0057393D" w:rsidP="00A13F8B">
      <w:pPr>
        <w:autoSpaceDE w:val="0"/>
        <w:autoSpaceDN w:val="0"/>
        <w:adjustRightInd w:val="0"/>
        <w:spacing w:after="0" w:line="480" w:lineRule="auto"/>
        <w:rPr>
          <w:rFonts w:ascii="Arial" w:hAnsi="Arial" w:cs="Arial"/>
          <w:sz w:val="24"/>
          <w:szCs w:val="24"/>
        </w:rPr>
      </w:pPr>
    </w:p>
    <w:p w:rsidR="00C41F11" w:rsidRDefault="008D7721" w:rsidP="00C41F11">
      <w:pPr>
        <w:pStyle w:val="NormalWeb"/>
        <w:spacing w:line="480" w:lineRule="auto"/>
        <w:rPr>
          <w:color w:val="000000"/>
        </w:rPr>
      </w:pPr>
      <w:r w:rsidRPr="00F822A1">
        <w:rPr>
          <w:rFonts w:ascii="Arial" w:hAnsi="Arial" w:cs="Arial"/>
        </w:rPr>
        <w:t xml:space="preserve">The study </w:t>
      </w:r>
      <w:r w:rsidR="003822FA">
        <w:rPr>
          <w:rFonts w:ascii="Arial" w:hAnsi="Arial" w:cs="Arial"/>
        </w:rPr>
        <w:t xml:space="preserve">protocol </w:t>
      </w:r>
      <w:r w:rsidRPr="00F822A1">
        <w:rPr>
          <w:rFonts w:ascii="Arial" w:hAnsi="Arial" w:cs="Arial"/>
        </w:rPr>
        <w:t xml:space="preserve">was approved by the Independent Scientific Advisory Committee </w:t>
      </w:r>
      <w:bookmarkStart w:id="0" w:name="_GoBack"/>
      <w:bookmarkEnd w:id="0"/>
      <w:r w:rsidRPr="00F822A1">
        <w:rPr>
          <w:rFonts w:ascii="Arial" w:hAnsi="Arial" w:cs="Arial"/>
        </w:rPr>
        <w:t>(ISAC) of the Medicines and Healthcare Products Regulatory Agency</w:t>
      </w:r>
      <w:r w:rsidR="003822FA">
        <w:rPr>
          <w:rFonts w:ascii="Arial" w:hAnsi="Arial" w:cs="Arial"/>
        </w:rPr>
        <w:t xml:space="preserve"> </w:t>
      </w:r>
      <w:r w:rsidR="00C41F11">
        <w:rPr>
          <w:rFonts w:ascii="Arial" w:hAnsi="Arial" w:cs="Arial"/>
        </w:rPr>
        <w:t xml:space="preserve">(MHRA) </w:t>
      </w:r>
      <w:r w:rsidR="003822FA">
        <w:rPr>
          <w:rFonts w:ascii="Arial" w:hAnsi="Arial" w:cs="Arial"/>
        </w:rPr>
        <w:t xml:space="preserve">and </w:t>
      </w:r>
      <w:r w:rsidRPr="00F822A1">
        <w:rPr>
          <w:rFonts w:ascii="Arial" w:hAnsi="Arial" w:cs="Arial"/>
        </w:rPr>
        <w:t xml:space="preserve">made available to journal reviewers. </w:t>
      </w:r>
      <w:r w:rsidR="00C41F11" w:rsidRPr="00C41F11">
        <w:rPr>
          <w:rFonts w:ascii="Arial" w:hAnsi="Arial" w:cs="Arial"/>
          <w:iCs/>
        </w:rPr>
        <w:t xml:space="preserve">CPRD operates a consent policy whereby GP practices opt-in to providing de-identified data to CPRD, GPs are then required to inform individual patients of their right to opt-out of data collection. CPRD obtains ethical approval from National Health Service Research Ethics Committees to do so </w:t>
      </w:r>
      <w:r w:rsidR="00C41F11" w:rsidRPr="00C41F11">
        <w:rPr>
          <w:rFonts w:ascii="Arial" w:hAnsi="Arial" w:cs="Arial"/>
        </w:rPr>
        <w:t>and to</w:t>
      </w:r>
      <w:r w:rsidR="00C41F11" w:rsidRPr="00C41F11">
        <w:rPr>
          <w:rFonts w:ascii="Arial" w:hAnsi="Arial" w:cs="Arial"/>
          <w:iCs/>
        </w:rPr>
        <w:t xml:space="preserve"> </w:t>
      </w:r>
      <w:r w:rsidR="00C41F11" w:rsidRPr="00C41F11">
        <w:rPr>
          <w:rFonts w:ascii="Arial" w:hAnsi="Arial" w:cs="Arial"/>
        </w:rPr>
        <w:t>supply patient data for public health research</w:t>
      </w:r>
      <w:r w:rsidR="00C41F11" w:rsidRPr="00C41F11">
        <w:rPr>
          <w:rFonts w:ascii="Arial" w:hAnsi="Arial" w:cs="Arial"/>
          <w:iCs/>
        </w:rPr>
        <w:t xml:space="preserve">, and is overseen by the </w:t>
      </w:r>
      <w:r w:rsidR="00C41F11" w:rsidRPr="00C41F11">
        <w:rPr>
          <w:rFonts w:ascii="Arial" w:hAnsi="Arial" w:cs="Arial"/>
          <w:iCs/>
        </w:rPr>
        <w:t>MHRA</w:t>
      </w:r>
    </w:p>
    <w:p w:rsidR="008B1450" w:rsidRPr="00F822A1" w:rsidRDefault="008B1450" w:rsidP="00A918B7">
      <w:pPr>
        <w:spacing w:line="480" w:lineRule="auto"/>
        <w:rPr>
          <w:rFonts w:ascii="Arial" w:hAnsi="Arial" w:cs="Arial"/>
          <w:b/>
          <w:sz w:val="24"/>
          <w:szCs w:val="24"/>
        </w:rPr>
      </w:pPr>
    </w:p>
    <w:p w:rsidR="004470B5" w:rsidRPr="00F822A1" w:rsidRDefault="004470B5" w:rsidP="00A918B7">
      <w:pPr>
        <w:spacing w:line="480" w:lineRule="auto"/>
        <w:rPr>
          <w:rFonts w:ascii="Arial" w:hAnsi="Arial" w:cs="Arial"/>
          <w:b/>
          <w:sz w:val="24"/>
          <w:szCs w:val="24"/>
        </w:rPr>
      </w:pPr>
      <w:r w:rsidRPr="00F822A1">
        <w:rPr>
          <w:rFonts w:ascii="Arial" w:hAnsi="Arial" w:cs="Arial"/>
          <w:b/>
          <w:sz w:val="24"/>
          <w:szCs w:val="24"/>
        </w:rPr>
        <w:t>Statistical analysis</w:t>
      </w:r>
    </w:p>
    <w:p w:rsidR="004470B5" w:rsidRPr="00F822A1" w:rsidRDefault="004470B5" w:rsidP="00A918B7">
      <w:pPr>
        <w:spacing w:line="480" w:lineRule="auto"/>
        <w:rPr>
          <w:rFonts w:ascii="Arial" w:hAnsi="Arial" w:cs="Arial"/>
          <w:sz w:val="24"/>
          <w:szCs w:val="24"/>
        </w:rPr>
      </w:pPr>
      <w:r w:rsidRPr="00F822A1">
        <w:rPr>
          <w:rFonts w:ascii="Arial" w:hAnsi="Arial" w:cs="Arial"/>
          <w:sz w:val="24"/>
          <w:szCs w:val="24"/>
        </w:rPr>
        <w:t xml:space="preserve">To relate </w:t>
      </w:r>
      <w:r w:rsidR="00DD7F91" w:rsidRPr="00F822A1">
        <w:rPr>
          <w:rFonts w:ascii="Arial" w:hAnsi="Arial" w:cs="Arial"/>
          <w:sz w:val="24"/>
          <w:szCs w:val="24"/>
        </w:rPr>
        <w:t xml:space="preserve">BP </w:t>
      </w:r>
      <w:r w:rsidRPr="00F822A1">
        <w:rPr>
          <w:rFonts w:ascii="Arial" w:hAnsi="Arial" w:cs="Arial"/>
          <w:sz w:val="24"/>
          <w:szCs w:val="24"/>
        </w:rPr>
        <w:t xml:space="preserve">to risk of dementia, we used Poisson regression models to </w:t>
      </w:r>
      <w:r w:rsidR="00ED74F2" w:rsidRPr="00F822A1">
        <w:rPr>
          <w:rFonts w:ascii="Arial" w:hAnsi="Arial" w:cs="Arial"/>
          <w:sz w:val="24"/>
          <w:szCs w:val="24"/>
        </w:rPr>
        <w:t>estimate</w:t>
      </w:r>
      <w:r w:rsidRPr="00F822A1">
        <w:rPr>
          <w:rFonts w:ascii="Arial" w:hAnsi="Arial" w:cs="Arial"/>
          <w:sz w:val="24"/>
          <w:szCs w:val="24"/>
        </w:rPr>
        <w:t xml:space="preserve"> incidence rates and rate ratios. </w:t>
      </w:r>
      <w:r w:rsidR="00D315B6">
        <w:rPr>
          <w:rFonts w:ascii="Arial" w:hAnsi="Arial" w:cs="Arial"/>
          <w:sz w:val="24"/>
          <w:szCs w:val="24"/>
        </w:rPr>
        <w:t>W</w:t>
      </w:r>
      <w:r w:rsidRPr="00F822A1">
        <w:rPr>
          <w:rFonts w:ascii="Arial" w:hAnsi="Arial" w:cs="Arial"/>
          <w:sz w:val="24"/>
          <w:szCs w:val="24"/>
        </w:rPr>
        <w:t xml:space="preserve">e adjusted </w:t>
      </w:r>
      <w:r w:rsidR="008B1450" w:rsidRPr="00F822A1">
        <w:rPr>
          <w:rFonts w:ascii="Arial" w:hAnsi="Arial" w:cs="Arial"/>
          <w:sz w:val="24"/>
          <w:szCs w:val="24"/>
        </w:rPr>
        <w:t xml:space="preserve">for age </w:t>
      </w:r>
      <w:r w:rsidRPr="00F822A1">
        <w:rPr>
          <w:rFonts w:ascii="Arial" w:hAnsi="Arial" w:cs="Arial"/>
          <w:sz w:val="24"/>
          <w:szCs w:val="24"/>
        </w:rPr>
        <w:t>(in 5-year bands)</w:t>
      </w:r>
      <w:r w:rsidR="00DD7F91" w:rsidRPr="00F822A1">
        <w:rPr>
          <w:rFonts w:ascii="Arial" w:hAnsi="Arial" w:cs="Arial"/>
          <w:sz w:val="24"/>
          <w:szCs w:val="24"/>
        </w:rPr>
        <w:t>,</w:t>
      </w:r>
      <w:r w:rsidRPr="00F822A1">
        <w:rPr>
          <w:rFonts w:ascii="Arial" w:hAnsi="Arial" w:cs="Arial"/>
          <w:sz w:val="24"/>
          <w:szCs w:val="24"/>
        </w:rPr>
        <w:t xml:space="preserve"> sex</w:t>
      </w:r>
      <w:r w:rsidR="008B1450" w:rsidRPr="00F822A1">
        <w:rPr>
          <w:rFonts w:ascii="Arial" w:hAnsi="Arial" w:cs="Arial"/>
          <w:sz w:val="24"/>
          <w:szCs w:val="24"/>
        </w:rPr>
        <w:t xml:space="preserve">, and </w:t>
      </w:r>
      <w:r w:rsidR="00D315B6">
        <w:rPr>
          <w:rFonts w:ascii="Arial" w:hAnsi="Arial" w:cs="Arial"/>
          <w:sz w:val="24"/>
          <w:szCs w:val="24"/>
        </w:rPr>
        <w:t xml:space="preserve">index </w:t>
      </w:r>
      <w:r w:rsidR="008B1450" w:rsidRPr="00F822A1">
        <w:rPr>
          <w:rFonts w:ascii="Arial" w:hAnsi="Arial" w:cs="Arial"/>
          <w:sz w:val="24"/>
          <w:szCs w:val="24"/>
        </w:rPr>
        <w:t xml:space="preserve">date. We </w:t>
      </w:r>
      <w:r w:rsidR="00ED74F2" w:rsidRPr="00F822A1">
        <w:rPr>
          <w:rFonts w:ascii="Arial" w:hAnsi="Arial" w:cs="Arial"/>
          <w:sz w:val="24"/>
          <w:szCs w:val="24"/>
        </w:rPr>
        <w:t xml:space="preserve">updated age at risk </w:t>
      </w:r>
      <w:r w:rsidRPr="00F822A1">
        <w:rPr>
          <w:rFonts w:ascii="Arial" w:hAnsi="Arial" w:cs="Arial"/>
          <w:sz w:val="24"/>
          <w:szCs w:val="24"/>
        </w:rPr>
        <w:t>as people moved through the age catego</w:t>
      </w:r>
      <w:r w:rsidR="008B1450" w:rsidRPr="00F822A1">
        <w:rPr>
          <w:rFonts w:ascii="Arial" w:hAnsi="Arial" w:cs="Arial"/>
          <w:sz w:val="24"/>
          <w:szCs w:val="24"/>
        </w:rPr>
        <w:t>ries</w:t>
      </w:r>
      <w:r w:rsidRPr="00F822A1">
        <w:rPr>
          <w:rFonts w:ascii="Arial" w:hAnsi="Arial" w:cs="Arial"/>
          <w:sz w:val="24"/>
          <w:szCs w:val="24"/>
        </w:rPr>
        <w:t xml:space="preserve">.  </w:t>
      </w:r>
      <w:r w:rsidR="008B1450" w:rsidRPr="00F822A1">
        <w:rPr>
          <w:rFonts w:ascii="Arial" w:hAnsi="Arial" w:cs="Arial"/>
          <w:sz w:val="24"/>
          <w:szCs w:val="24"/>
        </w:rPr>
        <w:t xml:space="preserve">In sensitivity analyses, we further adjusted rate ratios for </w:t>
      </w:r>
      <w:r w:rsidRPr="00F822A1">
        <w:rPr>
          <w:rFonts w:ascii="Arial" w:hAnsi="Arial" w:cs="Arial"/>
          <w:sz w:val="24"/>
          <w:szCs w:val="24"/>
        </w:rPr>
        <w:t xml:space="preserve">the following covariates at the time of </w:t>
      </w:r>
      <w:r w:rsidR="00DD7F91" w:rsidRPr="00F822A1">
        <w:rPr>
          <w:rFonts w:ascii="Arial" w:hAnsi="Arial" w:cs="Arial"/>
          <w:sz w:val="24"/>
          <w:szCs w:val="24"/>
        </w:rPr>
        <w:t>BP</w:t>
      </w:r>
      <w:r w:rsidRPr="00F822A1">
        <w:rPr>
          <w:rFonts w:ascii="Arial" w:hAnsi="Arial" w:cs="Arial"/>
          <w:sz w:val="24"/>
          <w:szCs w:val="24"/>
        </w:rPr>
        <w:t xml:space="preserve"> measurement:  </w:t>
      </w:r>
      <w:r w:rsidR="008B1450" w:rsidRPr="00F822A1">
        <w:rPr>
          <w:rFonts w:ascii="Arial" w:hAnsi="Arial" w:cs="Arial"/>
          <w:sz w:val="24"/>
          <w:szCs w:val="24"/>
        </w:rPr>
        <w:t xml:space="preserve">body mass index; </w:t>
      </w:r>
      <w:r w:rsidRPr="00F822A1">
        <w:rPr>
          <w:rFonts w:ascii="Arial" w:hAnsi="Arial" w:cs="Arial"/>
          <w:sz w:val="24"/>
          <w:szCs w:val="24"/>
        </w:rPr>
        <w:t>previ</w:t>
      </w:r>
      <w:r w:rsidR="008B1450" w:rsidRPr="00F822A1">
        <w:rPr>
          <w:rFonts w:ascii="Arial" w:hAnsi="Arial" w:cs="Arial"/>
          <w:sz w:val="24"/>
          <w:szCs w:val="24"/>
        </w:rPr>
        <w:t>ous stroke; atrial fibrillation;</w:t>
      </w:r>
      <w:r w:rsidRPr="00F822A1">
        <w:rPr>
          <w:rFonts w:ascii="Arial" w:hAnsi="Arial" w:cs="Arial"/>
          <w:sz w:val="24"/>
          <w:szCs w:val="24"/>
        </w:rPr>
        <w:t xml:space="preserve"> chronic obstructive pul</w:t>
      </w:r>
      <w:r w:rsidR="008B1450" w:rsidRPr="00F822A1">
        <w:rPr>
          <w:rFonts w:ascii="Arial" w:hAnsi="Arial" w:cs="Arial"/>
          <w:sz w:val="24"/>
          <w:szCs w:val="24"/>
        </w:rPr>
        <w:t>monary disease or heart failure;</w:t>
      </w:r>
      <w:r w:rsidRPr="00F822A1">
        <w:rPr>
          <w:rFonts w:ascii="Arial" w:hAnsi="Arial" w:cs="Arial"/>
          <w:sz w:val="24"/>
          <w:szCs w:val="24"/>
        </w:rPr>
        <w:t xml:space="preserve"> </w:t>
      </w:r>
      <w:r w:rsidR="00D315B6" w:rsidRPr="00F822A1">
        <w:rPr>
          <w:rFonts w:ascii="Arial" w:hAnsi="Arial" w:cs="Arial"/>
          <w:sz w:val="24"/>
          <w:szCs w:val="24"/>
        </w:rPr>
        <w:t xml:space="preserve">prior </w:t>
      </w:r>
      <w:r w:rsidRPr="00F822A1">
        <w:rPr>
          <w:rFonts w:ascii="Arial" w:hAnsi="Arial" w:cs="Arial"/>
          <w:sz w:val="24"/>
          <w:szCs w:val="24"/>
        </w:rPr>
        <w:t>use of anti</w:t>
      </w:r>
      <w:r w:rsidR="007A3F6E" w:rsidRPr="00F822A1">
        <w:rPr>
          <w:rFonts w:ascii="Arial" w:hAnsi="Arial" w:cs="Arial"/>
          <w:sz w:val="24"/>
          <w:szCs w:val="24"/>
        </w:rPr>
        <w:t>-</w:t>
      </w:r>
      <w:proofErr w:type="spellStart"/>
      <w:r w:rsidRPr="00F822A1">
        <w:rPr>
          <w:rFonts w:ascii="Arial" w:hAnsi="Arial" w:cs="Arial"/>
          <w:sz w:val="24"/>
          <w:szCs w:val="24"/>
        </w:rPr>
        <w:t>hypertensives</w:t>
      </w:r>
      <w:proofErr w:type="spellEnd"/>
      <w:r w:rsidRPr="00F822A1">
        <w:rPr>
          <w:rFonts w:ascii="Arial" w:hAnsi="Arial" w:cs="Arial"/>
          <w:sz w:val="24"/>
          <w:szCs w:val="24"/>
        </w:rPr>
        <w:t xml:space="preserve"> or sta</w:t>
      </w:r>
      <w:r w:rsidR="008B1450" w:rsidRPr="00F822A1">
        <w:rPr>
          <w:rFonts w:ascii="Arial" w:hAnsi="Arial" w:cs="Arial"/>
          <w:sz w:val="24"/>
          <w:szCs w:val="24"/>
        </w:rPr>
        <w:t>tins within 12 months;</w:t>
      </w:r>
      <w:r w:rsidRPr="00F822A1">
        <w:rPr>
          <w:rFonts w:ascii="Arial" w:hAnsi="Arial" w:cs="Arial"/>
          <w:sz w:val="24"/>
          <w:szCs w:val="24"/>
        </w:rPr>
        <w:t xml:space="preserve"> history of diabetes or evidenc</w:t>
      </w:r>
      <w:r w:rsidR="008B1450" w:rsidRPr="00F822A1">
        <w:rPr>
          <w:rFonts w:ascii="Arial" w:hAnsi="Arial" w:cs="Arial"/>
          <w:sz w:val="24"/>
          <w:szCs w:val="24"/>
        </w:rPr>
        <w:t xml:space="preserve">e of prior </w:t>
      </w:r>
      <w:r w:rsidR="008B1450" w:rsidRPr="00F822A1">
        <w:rPr>
          <w:rFonts w:ascii="Arial" w:hAnsi="Arial" w:cs="Arial"/>
          <w:sz w:val="24"/>
          <w:szCs w:val="24"/>
        </w:rPr>
        <w:lastRenderedPageBreak/>
        <w:t xml:space="preserve">diabetic medications; smoking status; and </w:t>
      </w:r>
      <w:r w:rsidR="00600B44">
        <w:rPr>
          <w:rFonts w:ascii="Arial" w:hAnsi="Arial" w:cs="Arial"/>
          <w:sz w:val="24"/>
          <w:szCs w:val="24"/>
        </w:rPr>
        <w:t>a</w:t>
      </w:r>
      <w:r w:rsidR="008B1450" w:rsidRPr="00F822A1">
        <w:rPr>
          <w:rFonts w:ascii="Arial" w:hAnsi="Arial" w:cs="Arial"/>
          <w:sz w:val="24"/>
          <w:szCs w:val="24"/>
        </w:rPr>
        <w:t>lcohol consumption</w:t>
      </w:r>
      <w:r w:rsidRPr="00F822A1">
        <w:rPr>
          <w:rFonts w:ascii="Arial" w:hAnsi="Arial" w:cs="Arial"/>
          <w:sz w:val="24"/>
          <w:szCs w:val="24"/>
        </w:rPr>
        <w:t xml:space="preserve">. We </w:t>
      </w:r>
      <w:r w:rsidR="000D36B7" w:rsidRPr="00F822A1">
        <w:rPr>
          <w:rFonts w:ascii="Arial" w:hAnsi="Arial" w:cs="Arial"/>
          <w:sz w:val="24"/>
          <w:szCs w:val="24"/>
        </w:rPr>
        <w:t xml:space="preserve">primarily related systolic BP </w:t>
      </w:r>
      <w:r w:rsidRPr="00F822A1">
        <w:rPr>
          <w:rFonts w:ascii="Arial" w:hAnsi="Arial" w:cs="Arial"/>
          <w:sz w:val="24"/>
          <w:szCs w:val="24"/>
        </w:rPr>
        <w:t xml:space="preserve">to dementia, but </w:t>
      </w:r>
      <w:r w:rsidR="00ED74F2" w:rsidRPr="00F822A1">
        <w:rPr>
          <w:rFonts w:ascii="Arial" w:hAnsi="Arial" w:cs="Arial"/>
          <w:sz w:val="24"/>
          <w:szCs w:val="24"/>
        </w:rPr>
        <w:t xml:space="preserve">also </w:t>
      </w:r>
      <w:r w:rsidR="000D36B7" w:rsidRPr="00F822A1">
        <w:rPr>
          <w:rFonts w:ascii="Arial" w:hAnsi="Arial" w:cs="Arial"/>
          <w:sz w:val="24"/>
          <w:szCs w:val="24"/>
        </w:rPr>
        <w:t>considered diastolic BP.</w:t>
      </w:r>
      <w:r w:rsidRPr="00F822A1">
        <w:rPr>
          <w:rFonts w:ascii="Arial" w:hAnsi="Arial" w:cs="Arial"/>
          <w:sz w:val="24"/>
          <w:szCs w:val="24"/>
        </w:rPr>
        <w:t xml:space="preserve"> </w:t>
      </w:r>
    </w:p>
    <w:p w:rsidR="008B1450" w:rsidRPr="00F822A1" w:rsidRDefault="000D36B7" w:rsidP="00A918B7">
      <w:pPr>
        <w:spacing w:line="480" w:lineRule="auto"/>
        <w:rPr>
          <w:rFonts w:ascii="Arial" w:hAnsi="Arial" w:cs="Arial"/>
          <w:sz w:val="24"/>
          <w:szCs w:val="24"/>
        </w:rPr>
      </w:pPr>
      <w:r w:rsidRPr="00F822A1">
        <w:rPr>
          <w:rFonts w:ascii="Arial" w:hAnsi="Arial" w:cs="Arial"/>
          <w:sz w:val="24"/>
          <w:szCs w:val="24"/>
        </w:rPr>
        <w:t xml:space="preserve">Previous research suggests that </w:t>
      </w:r>
      <w:r w:rsidR="00DD7F91" w:rsidRPr="00F822A1">
        <w:rPr>
          <w:rFonts w:ascii="Arial" w:hAnsi="Arial" w:cs="Arial"/>
          <w:sz w:val="24"/>
          <w:szCs w:val="24"/>
        </w:rPr>
        <w:t>BP</w:t>
      </w:r>
      <w:r w:rsidRPr="00F822A1">
        <w:rPr>
          <w:rFonts w:ascii="Arial" w:hAnsi="Arial" w:cs="Arial"/>
          <w:sz w:val="24"/>
          <w:szCs w:val="24"/>
        </w:rPr>
        <w:t xml:space="preserve"> may drop during the prodromal phase of dementia </w:t>
      </w:r>
      <w:r w:rsidR="00D315B6">
        <w:rPr>
          <w:rFonts w:ascii="Arial" w:hAnsi="Arial" w:cs="Arial"/>
          <w:sz w:val="24"/>
          <w:szCs w:val="24"/>
        </w:rPr>
        <w:t>its risk</w:t>
      </w:r>
      <w:r w:rsidRPr="00F822A1">
        <w:rPr>
          <w:rFonts w:ascii="Arial" w:hAnsi="Arial" w:cs="Arial"/>
          <w:sz w:val="24"/>
          <w:szCs w:val="24"/>
        </w:rPr>
        <w:t xml:space="preserve"> associations </w:t>
      </w:r>
      <w:r w:rsidR="00D315B6">
        <w:rPr>
          <w:rFonts w:ascii="Arial" w:hAnsi="Arial" w:cs="Arial"/>
          <w:sz w:val="24"/>
          <w:szCs w:val="24"/>
        </w:rPr>
        <w:t>may vary with age</w:t>
      </w:r>
      <w:r w:rsidRPr="00F822A1">
        <w:rPr>
          <w:rFonts w:ascii="Arial" w:hAnsi="Arial" w:cs="Arial"/>
          <w:sz w:val="24"/>
          <w:szCs w:val="24"/>
        </w:rPr>
        <w:t>.</w:t>
      </w:r>
      <w:r w:rsidR="002A1F31" w:rsidRPr="00F822A1">
        <w:rPr>
          <w:rFonts w:ascii="Arial" w:hAnsi="Arial" w:cs="Arial"/>
          <w:sz w:val="24"/>
          <w:szCs w:val="24"/>
        </w:rPr>
        <w:fldChar w:fldCharType="begin" w:fldLock="1"/>
      </w:r>
      <w:r w:rsidR="00BE6874">
        <w:rPr>
          <w:rFonts w:ascii="Arial" w:hAnsi="Arial" w:cs="Arial"/>
          <w:sz w:val="24"/>
          <w:szCs w:val="24"/>
        </w:rPr>
        <w:instrText>ADDIN CSL_CITATION { "citationItems" : [ { "id" : "ITEM-1", "itemData" : { "DOI" : "10.1097/EDE.0b013e31822708b5", "ISBN" : "1531-5487 (Electronic)\\r1044-3983 (Linking)", "ISSN" : "1044-3983", "PMID" : "21705906", "abstract" : "BACKGROUND: Many epidemiologic studies have considered the association between blood pressure (BP) and Alzheimer disease, yet the relationship remains poorly understood. METHODS: In parallel with work on the AlzRisk online database (www.alzrisk.org), we conducted a systematic review to identify all epidemiologic studies meeting prespecified criteria reporting on the association between hypertension, systolic BP, or diastolic BP and incident Alzheimer disease. When possible, we computed summary measures using random-effects models and explored potential heterogeneity related to age at BP assessment. RESULTS: Eighteen studies reporting on 19 populations met the eligibility criteria. We computed summary relative risks (RR(Sigma)) for 3 measures of BP: hypertension (RR(Sigma) = 0.97 [95% confidence interval = 0.80-1.16]); a 10-mm Hg increase in systolic BP (RR(Sigma) = 0.95 [0.91-1.00]); and a 10-mm Hg increase in diastolic BP (RR(Sigma) = 0.94 [0.85-1.04]). We were unable to compute summary estimates for the association between categories of systolic or diastolic BP and Alzheimer disease; however, there did not appear to be a consistent pattern across studies. After stratifying on age at BP assessment, we found a suggestion of an inverse association between late-life hypertension and Alzheimer disease and a suggestion of an adverse association between midlife diastolic hypertension and Alzheimer disease. CONCLUSIONS: Based on existing epidemiologic research, we cannot determine whether there is a causal association between BP and Alzheimer disease. Selection bias and reverse causation may account for the suggested inverse association between late-life hypertension on Alzheimer disease, but, given the expected direction of these biases, they are less likely to account for the suggestion that midlife hypertension increases risk. We advocate continuing systematic review; the AlzRisk database entry on this topic (www.alzrisk.org), which was completed in parallel with this work, will be updated as new studies are published.", "author" : [ { "dropping-particle" : "", "family" : "Power", "given" : "M C", "non-dropping-particle" : "", "parse-names" : false, "suffix" : "" }, { "dropping-particle" : "", "family" : "Weuve", "given" : "J", "non-dropping-particle" : "", "parse-names" : false, "suffix" : "" }, { "dropping-particle" : "", "family" : "Gagne", "given" : "J J", "non-dropping-particle" : "", "parse-names" : false, "suffix" : "" }, { "dropping-particle" : "", "family" : "McQueen", "given" : "M B", "non-dropping-particle" : "", "parse-names" : false, "suffix" : "" }, { "dropping-particle" : "", "family" : "Viswanathan", "given" : "A", "non-dropping-particle" : "", "parse-names" : false, "suffix" : "" }, { "dropping-particle" : "", "family" : "Blacker", "given" : "D", "non-dropping-particle" : "", "parse-names" : false, "suffix" : "" } ], "container-title" : "Epidemiology", "id" : "ITEM-1", "issue" : "5", "issued" : { "date-parts" : [ [ "2011" ] ] }, "page" : "646-659", "title" : "The association between blood pressure and incident Alzheimer disease: a systematic review and meta-analysis", "type" : "article-journal", "volume" : "22" }, "uris" : [ "http://www.mendeley.com/documents/?uuid=c9fd58b6-1cd8-4f3c-8599-cb7235240a88" ] }, { "id" : "ITEM-2", "itemData" : { "author" : [ { "dropping-particle" : "", "family" : "Prince", "given" : "M", "non-dropping-particle" : "", "parse-names" : false, "suffix" : "" }, { "dropping-particle" : "", "family" : "Albanese", "given" : "E", "non-dropping-particle" : "", "parse-names" : false, "suffix" : "" }, { "dropping-particle" : "", "family" : "Maelenn", "given" : "G", "non-dropping-particle" : "", "parse-names" : false, "suffix" : "" }, { "dropping-particle" : "", "family" : "Prina", "given" : "A M", "non-dropping-particle" : "", "parse-names" : false, "suffix" : "" } ], "id" : "ITEM-2", "issued" : { "date-parts" : [ [ "2014" ] ] }, "title" : "World Alzheimer Report 2014", "type" : "article-journal" }, "uris" : [ "http://www.mendeley.com/documents/?uuid=96d00e5f-98a4-4460-b2fa-16cce08466a4" ] } ], "mendeley" : { "formattedCitation" : "(5,6)", "plainTextFormattedCitation" : "(5,6)", "previouslyFormattedCitation" : "(5,6)" }, "properties" : {  }, "schema" : "https://github.com/citation-style-language/schema/raw/master/csl-citation.json" }</w:instrText>
      </w:r>
      <w:r w:rsidR="002A1F31" w:rsidRPr="00F822A1">
        <w:rPr>
          <w:rFonts w:ascii="Arial" w:hAnsi="Arial" w:cs="Arial"/>
          <w:sz w:val="24"/>
          <w:szCs w:val="24"/>
        </w:rPr>
        <w:fldChar w:fldCharType="separate"/>
      </w:r>
      <w:r w:rsidR="00BE6874" w:rsidRPr="00BE6874">
        <w:rPr>
          <w:rFonts w:ascii="Arial" w:hAnsi="Arial" w:cs="Arial"/>
          <w:noProof/>
          <w:sz w:val="24"/>
          <w:szCs w:val="24"/>
        </w:rPr>
        <w:t>(5,6)</w:t>
      </w:r>
      <w:r w:rsidR="002A1F31" w:rsidRPr="00F822A1">
        <w:rPr>
          <w:rFonts w:ascii="Arial" w:hAnsi="Arial" w:cs="Arial"/>
          <w:sz w:val="24"/>
          <w:szCs w:val="24"/>
        </w:rPr>
        <w:fldChar w:fldCharType="end"/>
      </w:r>
      <w:r w:rsidRPr="00F822A1">
        <w:rPr>
          <w:rFonts w:ascii="Arial" w:hAnsi="Arial" w:cs="Arial"/>
          <w:sz w:val="24"/>
          <w:szCs w:val="24"/>
        </w:rPr>
        <w:t xml:space="preserve"> Therefore, </w:t>
      </w:r>
      <w:r w:rsidR="008B1450" w:rsidRPr="00F822A1">
        <w:rPr>
          <w:rFonts w:ascii="Arial" w:hAnsi="Arial" w:cs="Arial"/>
          <w:sz w:val="24"/>
          <w:szCs w:val="24"/>
        </w:rPr>
        <w:t xml:space="preserve">we  split follow up into </w:t>
      </w:r>
      <w:r w:rsidR="008D7721" w:rsidRPr="00F822A1">
        <w:rPr>
          <w:rFonts w:ascii="Arial" w:hAnsi="Arial" w:cs="Arial"/>
          <w:sz w:val="24"/>
          <w:szCs w:val="24"/>
        </w:rPr>
        <w:t>three</w:t>
      </w:r>
      <w:r w:rsidR="008B1450" w:rsidRPr="00F822A1">
        <w:rPr>
          <w:rFonts w:ascii="Arial" w:hAnsi="Arial" w:cs="Arial"/>
          <w:sz w:val="24"/>
          <w:szCs w:val="24"/>
        </w:rPr>
        <w:t xml:space="preserve"> intervals (</w:t>
      </w:r>
      <w:r w:rsidR="004470B5" w:rsidRPr="00F822A1">
        <w:rPr>
          <w:rFonts w:ascii="Arial" w:hAnsi="Arial" w:cs="Arial"/>
          <w:sz w:val="24"/>
          <w:szCs w:val="24"/>
        </w:rPr>
        <w:t>0-5</w:t>
      </w:r>
      <w:r w:rsidR="002366E1" w:rsidRPr="00F822A1">
        <w:rPr>
          <w:rFonts w:ascii="Arial" w:hAnsi="Arial" w:cs="Arial"/>
          <w:sz w:val="24"/>
          <w:szCs w:val="24"/>
        </w:rPr>
        <w:t xml:space="preserve"> years, 5-10 years, 10+ years)</w:t>
      </w:r>
      <w:r w:rsidR="004F3F74" w:rsidRPr="00F822A1">
        <w:rPr>
          <w:rFonts w:ascii="Arial" w:hAnsi="Arial" w:cs="Arial"/>
          <w:sz w:val="24"/>
          <w:szCs w:val="24"/>
        </w:rPr>
        <w:t xml:space="preserve"> and age-at-risk into three</w:t>
      </w:r>
      <w:r w:rsidR="008B1450" w:rsidRPr="00F822A1">
        <w:rPr>
          <w:rFonts w:ascii="Arial" w:hAnsi="Arial" w:cs="Arial"/>
          <w:sz w:val="24"/>
          <w:szCs w:val="24"/>
        </w:rPr>
        <w:t xml:space="preserve"> intervals (&lt;70,70-84,85+)</w:t>
      </w:r>
      <w:r w:rsidRPr="00F822A1">
        <w:rPr>
          <w:rFonts w:ascii="Arial" w:hAnsi="Arial" w:cs="Arial"/>
          <w:sz w:val="24"/>
          <w:szCs w:val="24"/>
        </w:rPr>
        <w:t xml:space="preserve"> and </w:t>
      </w:r>
      <w:r w:rsidR="008B1450" w:rsidRPr="00F822A1">
        <w:rPr>
          <w:rFonts w:ascii="Arial" w:hAnsi="Arial" w:cs="Arial"/>
          <w:sz w:val="24"/>
          <w:szCs w:val="24"/>
        </w:rPr>
        <w:t>fitted separate Poisson regressi</w:t>
      </w:r>
      <w:r w:rsidR="004F3F74" w:rsidRPr="00F822A1">
        <w:rPr>
          <w:rFonts w:ascii="Arial" w:hAnsi="Arial" w:cs="Arial"/>
          <w:sz w:val="24"/>
          <w:szCs w:val="24"/>
        </w:rPr>
        <w:t>on model</w:t>
      </w:r>
      <w:r w:rsidR="00ED74F2" w:rsidRPr="00F822A1">
        <w:rPr>
          <w:rFonts w:ascii="Arial" w:hAnsi="Arial" w:cs="Arial"/>
          <w:sz w:val="24"/>
          <w:szCs w:val="24"/>
        </w:rPr>
        <w:t>s</w:t>
      </w:r>
      <w:r w:rsidR="004F3F74" w:rsidRPr="00F822A1">
        <w:rPr>
          <w:rFonts w:ascii="Arial" w:hAnsi="Arial" w:cs="Arial"/>
          <w:sz w:val="24"/>
          <w:szCs w:val="24"/>
        </w:rPr>
        <w:t xml:space="preserve"> in each of the </w:t>
      </w:r>
      <w:r w:rsidR="00ED74F2" w:rsidRPr="00F822A1">
        <w:rPr>
          <w:rFonts w:ascii="Arial" w:hAnsi="Arial" w:cs="Arial"/>
          <w:sz w:val="24"/>
          <w:szCs w:val="24"/>
        </w:rPr>
        <w:t xml:space="preserve">resulting </w:t>
      </w:r>
      <w:r w:rsidR="004F3F74" w:rsidRPr="00F822A1">
        <w:rPr>
          <w:rFonts w:ascii="Arial" w:hAnsi="Arial" w:cs="Arial"/>
          <w:sz w:val="24"/>
          <w:szCs w:val="24"/>
        </w:rPr>
        <w:t>nine categories</w:t>
      </w:r>
      <w:r w:rsidR="002366E1" w:rsidRPr="00F822A1">
        <w:rPr>
          <w:rFonts w:ascii="Arial" w:hAnsi="Arial" w:cs="Arial"/>
          <w:sz w:val="24"/>
          <w:szCs w:val="24"/>
        </w:rPr>
        <w:t>.</w:t>
      </w:r>
      <w:r w:rsidR="008B1450" w:rsidRPr="00F822A1">
        <w:rPr>
          <w:rFonts w:ascii="Arial" w:hAnsi="Arial" w:cs="Arial"/>
          <w:sz w:val="24"/>
          <w:szCs w:val="24"/>
        </w:rPr>
        <w:t xml:space="preserve"> Since </w:t>
      </w:r>
      <w:r w:rsidR="00DD7F91" w:rsidRPr="00F822A1">
        <w:rPr>
          <w:rFonts w:ascii="Arial" w:hAnsi="Arial" w:cs="Arial"/>
          <w:sz w:val="24"/>
          <w:szCs w:val="24"/>
        </w:rPr>
        <w:t>BP</w:t>
      </w:r>
      <w:r w:rsidR="008B1450" w:rsidRPr="00F822A1">
        <w:rPr>
          <w:rFonts w:ascii="Arial" w:hAnsi="Arial" w:cs="Arial"/>
          <w:sz w:val="24"/>
          <w:szCs w:val="24"/>
        </w:rPr>
        <w:t xml:space="preserve"> is </w:t>
      </w:r>
      <w:r w:rsidRPr="00F822A1">
        <w:rPr>
          <w:rFonts w:ascii="Arial" w:hAnsi="Arial" w:cs="Arial"/>
          <w:sz w:val="24"/>
          <w:szCs w:val="24"/>
        </w:rPr>
        <w:t xml:space="preserve">known to be </w:t>
      </w:r>
      <w:r w:rsidR="008B1450" w:rsidRPr="00F822A1">
        <w:rPr>
          <w:rFonts w:ascii="Arial" w:hAnsi="Arial" w:cs="Arial"/>
          <w:sz w:val="24"/>
          <w:szCs w:val="24"/>
        </w:rPr>
        <w:t>highly variable over time</w:t>
      </w:r>
      <w:r w:rsidRPr="00F822A1">
        <w:rPr>
          <w:rFonts w:ascii="Arial" w:hAnsi="Arial" w:cs="Arial"/>
          <w:sz w:val="24"/>
          <w:szCs w:val="24"/>
        </w:rPr>
        <w:t>,</w:t>
      </w:r>
      <w:r w:rsidR="008B1450" w:rsidRPr="00F822A1">
        <w:rPr>
          <w:rFonts w:ascii="Arial" w:hAnsi="Arial" w:cs="Arial"/>
          <w:sz w:val="24"/>
          <w:szCs w:val="24"/>
        </w:rPr>
        <w:t xml:space="preserve"> we </w:t>
      </w:r>
      <w:r w:rsidR="008B1450" w:rsidRPr="00F822A1">
        <w:rPr>
          <w:rFonts w:ascii="Arial" w:hAnsi="Arial" w:cs="Arial"/>
          <w:bCs/>
          <w:sz w:val="24"/>
          <w:szCs w:val="24"/>
        </w:rPr>
        <w:t xml:space="preserve">corrected for regression dilution bias using serial measurements of </w:t>
      </w:r>
      <w:r w:rsidR="00DD7F91" w:rsidRPr="00F822A1">
        <w:rPr>
          <w:rFonts w:ascii="Arial" w:hAnsi="Arial" w:cs="Arial"/>
          <w:bCs/>
          <w:sz w:val="24"/>
          <w:szCs w:val="24"/>
        </w:rPr>
        <w:t>BP</w:t>
      </w:r>
      <w:r w:rsidR="008B1450" w:rsidRPr="00F822A1">
        <w:rPr>
          <w:rFonts w:ascii="Arial" w:hAnsi="Arial" w:cs="Arial"/>
          <w:bCs/>
          <w:sz w:val="24"/>
          <w:szCs w:val="24"/>
        </w:rPr>
        <w:t xml:space="preserve"> (Supplementary Appendix; regression dilution ratio 0.42).</w:t>
      </w:r>
      <w:r w:rsidR="004F3F74" w:rsidRPr="00F822A1">
        <w:rPr>
          <w:rFonts w:ascii="Arial" w:hAnsi="Arial" w:cs="Arial"/>
          <w:bCs/>
          <w:sz w:val="24"/>
          <w:szCs w:val="24"/>
        </w:rPr>
        <w:t xml:space="preserve"> </w:t>
      </w:r>
    </w:p>
    <w:p w:rsidR="004470B5" w:rsidRDefault="004F3F74" w:rsidP="00A918B7">
      <w:pPr>
        <w:spacing w:line="480" w:lineRule="auto"/>
        <w:rPr>
          <w:rFonts w:ascii="Arial" w:hAnsi="Arial" w:cs="Arial"/>
          <w:sz w:val="24"/>
          <w:szCs w:val="24"/>
        </w:rPr>
      </w:pPr>
      <w:r w:rsidRPr="00F822A1">
        <w:rPr>
          <w:rFonts w:ascii="Arial" w:hAnsi="Arial" w:cs="Arial"/>
          <w:sz w:val="24"/>
          <w:szCs w:val="24"/>
        </w:rPr>
        <w:t xml:space="preserve">To assess the reliability of </w:t>
      </w:r>
      <w:r w:rsidR="00DD7F91" w:rsidRPr="00F822A1">
        <w:rPr>
          <w:rFonts w:ascii="Arial" w:hAnsi="Arial" w:cs="Arial"/>
          <w:sz w:val="24"/>
          <w:szCs w:val="24"/>
        </w:rPr>
        <w:t>BP</w:t>
      </w:r>
      <w:r w:rsidRPr="00F822A1">
        <w:rPr>
          <w:rFonts w:ascii="Arial" w:hAnsi="Arial" w:cs="Arial"/>
          <w:sz w:val="24"/>
          <w:szCs w:val="24"/>
        </w:rPr>
        <w:t xml:space="preserve"> measurements, we conducted </w:t>
      </w:r>
      <w:r w:rsidR="0095750A" w:rsidRPr="00F822A1">
        <w:rPr>
          <w:rFonts w:ascii="Arial" w:hAnsi="Arial" w:cs="Arial"/>
          <w:sz w:val="24"/>
          <w:szCs w:val="24"/>
        </w:rPr>
        <w:t>analyses relating</w:t>
      </w:r>
      <w:r w:rsidR="008D7721" w:rsidRPr="00F822A1">
        <w:rPr>
          <w:rFonts w:ascii="Arial" w:hAnsi="Arial" w:cs="Arial"/>
          <w:sz w:val="24"/>
          <w:szCs w:val="24"/>
        </w:rPr>
        <w:t xml:space="preserve"> systolic BP</w:t>
      </w:r>
      <w:r w:rsidR="0095750A" w:rsidRPr="00F822A1">
        <w:rPr>
          <w:rFonts w:ascii="Arial" w:hAnsi="Arial" w:cs="Arial"/>
          <w:sz w:val="24"/>
          <w:szCs w:val="24"/>
        </w:rPr>
        <w:t xml:space="preserve"> to </w:t>
      </w:r>
      <w:r w:rsidRPr="00F822A1">
        <w:rPr>
          <w:rFonts w:ascii="Arial" w:hAnsi="Arial" w:cs="Arial"/>
          <w:sz w:val="24"/>
          <w:szCs w:val="24"/>
        </w:rPr>
        <w:t xml:space="preserve">stroke, </w:t>
      </w:r>
      <w:r w:rsidR="000D36B7" w:rsidRPr="00F822A1">
        <w:rPr>
          <w:rFonts w:ascii="Arial" w:hAnsi="Arial" w:cs="Arial"/>
          <w:sz w:val="24"/>
          <w:szCs w:val="24"/>
        </w:rPr>
        <w:t>for which</w:t>
      </w:r>
      <w:r w:rsidR="0095750A" w:rsidRPr="00F822A1">
        <w:rPr>
          <w:rFonts w:ascii="Arial" w:hAnsi="Arial" w:cs="Arial"/>
          <w:sz w:val="24"/>
          <w:szCs w:val="24"/>
        </w:rPr>
        <w:t xml:space="preserve"> strong positive</w:t>
      </w:r>
      <w:r w:rsidR="000D36B7" w:rsidRPr="00F822A1">
        <w:rPr>
          <w:rFonts w:ascii="Arial" w:hAnsi="Arial" w:cs="Arial"/>
          <w:sz w:val="24"/>
          <w:szCs w:val="24"/>
        </w:rPr>
        <w:t xml:space="preserve"> </w:t>
      </w:r>
      <w:r w:rsidRPr="00F822A1">
        <w:rPr>
          <w:rFonts w:ascii="Arial" w:hAnsi="Arial" w:cs="Arial"/>
          <w:sz w:val="24"/>
          <w:szCs w:val="24"/>
        </w:rPr>
        <w:t xml:space="preserve">associations </w:t>
      </w:r>
      <w:r w:rsidR="001818A8">
        <w:rPr>
          <w:rFonts w:ascii="Arial" w:hAnsi="Arial" w:cs="Arial"/>
          <w:sz w:val="24"/>
          <w:szCs w:val="24"/>
        </w:rPr>
        <w:t>are well known</w:t>
      </w:r>
      <w:r w:rsidRPr="00F822A1">
        <w:rPr>
          <w:rFonts w:ascii="Arial" w:hAnsi="Arial" w:cs="Arial"/>
          <w:sz w:val="24"/>
          <w:szCs w:val="24"/>
        </w:rPr>
        <w:t>.</w:t>
      </w:r>
      <w:r w:rsidR="002A1F31" w:rsidRPr="00F822A1">
        <w:rPr>
          <w:rFonts w:ascii="Arial" w:hAnsi="Arial" w:cs="Arial"/>
          <w:sz w:val="24"/>
          <w:szCs w:val="24"/>
        </w:rPr>
        <w:fldChar w:fldCharType="begin" w:fldLock="1"/>
      </w:r>
      <w:r w:rsidR="00BE6874">
        <w:rPr>
          <w:rFonts w:ascii="Arial" w:hAnsi="Arial" w:cs="Arial"/>
          <w:sz w:val="24"/>
          <w:szCs w:val="24"/>
        </w:rPr>
        <w:instrText>ADDIN CSL_CITATION { "citationItems" : [ { "id" : "ITEM-1", "itemData" : { "DOI" : "10.1016/S0140-6736(07)61778-4", "PMID" : "18061058", "abstract" : "Age, sex, and blood pressure could modify the associations of total cholesterol (and its main two fractions, HDL and LDL cholesterol) with vascular mortality. This meta-analysis combined prospective studies of vascular mortality that recorded both blood pressure and total cholesterol at baseline, to determine the joint relevance of these two risk factors.Information was obtained from 61 prospective observational studies, mostly in western Europe or North America, consisting of almost 900,000 adults without previous disease and with baseline measurements of total cholesterol and blood pressure. During nearly 12 million person years at risk between the ages of 40 and 89 years, there were more than 55,000 vascular deaths (34,000 ischaemic heart disease [IHD], 12,000 stroke, 10,000 other). Information about HDL cholesterol was available for 150,000 participants, among whom there were 5000 vascular deaths (3000 IHD, 1000 stroke, 1000 other). Reported associations are with usual cholesterol levels (ie, corrected for the regression dilution bias).1 mmol/L lower total cholesterol was associated with about a half (hazard ratio 0.44 [95% CI 0.42-0.48]), a third (0.66 [0.65-0.68]), and a sixth (0.83 [0.81-0.85]) lower IHD mortality in both sexes at ages 40-49, 50-69, and 70-89 years, respectively, throughout the main range of cholesterol in most developed countries, with no apparent threshold. The proportional risk reduction decreased with increasing blood pressure, since the absolute effects of cholesterol and blood pressure were approximately additive. Of various simple indices involving HDL cholesterol, the ratio total/HDL cholesterol was the strongest predictor of IHD mortality (40% more informative than non-HDL cholesterol and more than twice as informative as total cholesterol). Total cholesterol was weakly positively related to ischaemic and total stroke mortality in early middle age (40-59 years), but this finding could be largely or wholly accounted for by the association of cholesterol with blood pressure. Moreover, a positive relation was seen only in middle age and only in those with below-average blood pressure; at older ages (70-89 years) and, particularly, for those with systolic blood pressure over about 145 mm Hg, total cholesterol was negatively related to haemorrhagic and total stroke mortality. The results for other vascular mortality were intermediate between those for IHD and stroke.Total cholesterol was positively associated with IHD mortali\u2026", "author" : [ { "dropping-particle" : "", "family" : "Prospective Studies Collaboration", "given" : "", "non-dropping-particle" : "", "parse-names" : false, "suffix" : "" }, { "dropping-particle" : "", "family" : "Lewington", "given" : "Sarah", "non-dropping-particle" : "", "parse-names" : false, "suffix" : "" }, { "dropping-particle" : "", "family" : "Whitlock", "given" : "Gary", "non-dropping-particle" : "", "parse-names" : false, "suffix" : "" }, { "dropping-particle" : "", "family" : "Clarke", "given" : "Robert", "non-dropping-particle" : "", "parse-names" : false, "suffix" : "" }, { "dropping-particle" : "", "family" : "Sherliker", "given" : "Paul", "non-dropping-particle" : "", "parse-names" : false, "suffix" : "" }, { "dropping-particle" : "", "family" : "Emberson", "given" : "Jonathan", "non-dropping-particle" : "", "parse-names" : false, "suffix" : "" }, { "dropping-particle" : "", "family" : "Halsey", "given" : "Jim", "non-dropping-particle" : "", "parse-names" : false, "suffix" : "" }, { "dropping-particle" : "", "family" : "Qizilbash", "given" : "Nawab", "non-dropping-particle" : "", "parse-names" : false, "suffix" : "" }, { "dropping-particle" : "", "family" : "Peto", "given" : "Richard", "non-dropping-particle" : "", "parse-names" : false, "suffix" : "" }, { "dropping-particle" : "", "family" : "Collins", "given" : "Rory", "non-dropping-particle" : "", "parse-names" : false, "suffix" : "" } ], "container-title" : "Lancet", "id" : "ITEM-1", "issue" : "9602", "issued" : { "date-parts" : [ [ "2007", "12" ] ] }, "page" : "1829-1839", "title" : "Blood cholesterol and vascular mortality by age, sex, and blood pressure: a meta-analysis of individual data from 61 prospective studies with 55,000 vascular deaths.", "type" : "article-journal", "volume" : "370" }, "uris" : [ "http://www.mendeley.com/documents/?uuid=96671da7-2a52-4c94-8c91-467ec50644e1" ] } ], "mendeley" : { "formattedCitation" : "(10)", "plainTextFormattedCitation" : "(10)", "previouslyFormattedCitation" : "(10)" }, "properties" : {  }, "schema" : "https://github.com/citation-style-language/schema/raw/master/csl-citation.json" }</w:instrText>
      </w:r>
      <w:r w:rsidR="002A1F31" w:rsidRPr="00F822A1">
        <w:rPr>
          <w:rFonts w:ascii="Arial" w:hAnsi="Arial" w:cs="Arial"/>
          <w:sz w:val="24"/>
          <w:szCs w:val="24"/>
        </w:rPr>
        <w:fldChar w:fldCharType="separate"/>
      </w:r>
      <w:r w:rsidR="00BE6874" w:rsidRPr="00BE6874">
        <w:rPr>
          <w:rFonts w:ascii="Arial" w:hAnsi="Arial" w:cs="Arial"/>
          <w:noProof/>
          <w:sz w:val="24"/>
          <w:szCs w:val="24"/>
        </w:rPr>
        <w:t>(10)</w:t>
      </w:r>
      <w:r w:rsidR="002A1F31" w:rsidRPr="00F822A1">
        <w:rPr>
          <w:rFonts w:ascii="Arial" w:hAnsi="Arial" w:cs="Arial"/>
          <w:sz w:val="24"/>
          <w:szCs w:val="24"/>
        </w:rPr>
        <w:fldChar w:fldCharType="end"/>
      </w:r>
      <w:r w:rsidRPr="00F822A1">
        <w:rPr>
          <w:rFonts w:ascii="Arial" w:hAnsi="Arial" w:cs="Arial"/>
          <w:sz w:val="24"/>
          <w:szCs w:val="24"/>
        </w:rPr>
        <w:t xml:space="preserve"> S</w:t>
      </w:r>
      <w:r w:rsidR="004470B5" w:rsidRPr="00F822A1">
        <w:rPr>
          <w:rFonts w:ascii="Arial" w:hAnsi="Arial" w:cs="Arial"/>
          <w:sz w:val="24"/>
          <w:szCs w:val="24"/>
        </w:rPr>
        <w:t xml:space="preserve">tudies which assess disorders that are strongly associated with increasing age can be prone to bias due </w:t>
      </w:r>
      <w:r w:rsidR="001818A8">
        <w:rPr>
          <w:rFonts w:ascii="Arial" w:hAnsi="Arial" w:cs="Arial"/>
          <w:sz w:val="24"/>
          <w:szCs w:val="24"/>
        </w:rPr>
        <w:t>the competing risk of death</w:t>
      </w:r>
      <w:r w:rsidR="004470B5" w:rsidRPr="00F822A1">
        <w:rPr>
          <w:rFonts w:ascii="Arial" w:hAnsi="Arial" w:cs="Arial"/>
          <w:sz w:val="24"/>
          <w:szCs w:val="24"/>
        </w:rPr>
        <w:t>.</w:t>
      </w:r>
      <w:r w:rsidR="002A1F31" w:rsidRPr="00F822A1">
        <w:rPr>
          <w:rFonts w:ascii="Arial" w:hAnsi="Arial" w:cs="Arial"/>
          <w:sz w:val="24"/>
          <w:szCs w:val="24"/>
        </w:rPr>
        <w:fldChar w:fldCharType="begin" w:fldLock="1"/>
      </w:r>
      <w:r w:rsidR="00BE6874">
        <w:rPr>
          <w:rFonts w:ascii="Arial" w:hAnsi="Arial" w:cs="Arial"/>
          <w:sz w:val="24"/>
          <w:szCs w:val="24"/>
        </w:rPr>
        <w:instrText>ADDIN CSL_CITATION { "citationItems" : [ { "id" : "ITEM-1", "itemData" : { "DOI" : "10.1097/EDE.0000000000000621", "ISSN" : "1044-3983", "author" : [ { "dropping-particle" : "", "family" : "Stensrud", "given" : "Mats Julius", "non-dropping-particle" : "", "parse-names" : false, "suffix" : "" }, { "dropping-particle" : "", "family" : "Valberg", "given" : "Morten", "non-dropping-particle" : "", "parse-names" : false, "suffix" : "" }, { "dropping-particle" : "", "family" : "R\u00f8ysland", "given" : "Kjetil", "non-dropping-particle" : "", "parse-names" : false, "suffix" : "" }, { "dropping-particle" : "", "family" : "Aalen", "given" : "Odd O.", "non-dropping-particle" : "", "parse-names" : false, "suffix" : "" } ], "container-title" : "Epidemiology", "id" : "ITEM-1", "issue" : "3", "issued" : { "date-parts" : [ [ "2017", "5" ] ] }, "page" : "379-386", "title" : "Exploring Selection Bias by Causal Frailty Models", "type" : "article-journal", "volume" : "28" }, "uris" : [ "http://www.mendeley.com/documents/?uuid=3d49c86a-ef46-384d-8c66-41af9a01dc14" ] } ], "mendeley" : { "formattedCitation" : "(11)", "plainTextFormattedCitation" : "(11)", "previouslyFormattedCitation" : "(11)" }, "properties" : {  }, "schema" : "https://github.com/citation-style-language/schema/raw/master/csl-citation.json" }</w:instrText>
      </w:r>
      <w:r w:rsidR="002A1F31" w:rsidRPr="00F822A1">
        <w:rPr>
          <w:rFonts w:ascii="Arial" w:hAnsi="Arial" w:cs="Arial"/>
          <w:sz w:val="24"/>
          <w:szCs w:val="24"/>
        </w:rPr>
        <w:fldChar w:fldCharType="separate"/>
      </w:r>
      <w:r w:rsidR="00BE6874" w:rsidRPr="00BE6874">
        <w:rPr>
          <w:rFonts w:ascii="Arial" w:hAnsi="Arial" w:cs="Arial"/>
          <w:noProof/>
          <w:sz w:val="24"/>
          <w:szCs w:val="24"/>
        </w:rPr>
        <w:t>(11)</w:t>
      </w:r>
      <w:r w:rsidR="002A1F31" w:rsidRPr="00F822A1">
        <w:rPr>
          <w:rFonts w:ascii="Arial" w:hAnsi="Arial" w:cs="Arial"/>
          <w:sz w:val="24"/>
          <w:szCs w:val="24"/>
        </w:rPr>
        <w:fldChar w:fldCharType="end"/>
      </w:r>
      <w:r w:rsidR="004470B5" w:rsidRPr="00F822A1">
        <w:rPr>
          <w:rFonts w:ascii="Arial" w:hAnsi="Arial" w:cs="Arial"/>
          <w:sz w:val="24"/>
          <w:szCs w:val="24"/>
        </w:rPr>
        <w:t xml:space="preserve"> To assess the likely impact of such </w:t>
      </w:r>
      <w:r w:rsidR="001818A8">
        <w:rPr>
          <w:rFonts w:ascii="Arial" w:hAnsi="Arial" w:cs="Arial"/>
          <w:sz w:val="24"/>
          <w:szCs w:val="24"/>
        </w:rPr>
        <w:t xml:space="preserve">“joint-frailty” linking dementia risk and mortality risk, we </w:t>
      </w:r>
      <w:r w:rsidR="000D36B7" w:rsidRPr="00F822A1">
        <w:rPr>
          <w:rFonts w:ascii="Arial" w:hAnsi="Arial" w:cs="Arial"/>
          <w:sz w:val="24"/>
          <w:szCs w:val="24"/>
        </w:rPr>
        <w:t>conducted a simulation study</w:t>
      </w:r>
      <w:r w:rsidR="0095750A" w:rsidRPr="00F822A1">
        <w:rPr>
          <w:rFonts w:ascii="Arial" w:hAnsi="Arial" w:cs="Arial"/>
          <w:sz w:val="24"/>
          <w:szCs w:val="24"/>
        </w:rPr>
        <w:t xml:space="preserve"> to investigate the </w:t>
      </w:r>
      <w:r w:rsidR="001818A8">
        <w:rPr>
          <w:rFonts w:ascii="Arial" w:hAnsi="Arial" w:cs="Arial"/>
          <w:sz w:val="24"/>
          <w:szCs w:val="24"/>
        </w:rPr>
        <w:t xml:space="preserve">potential bias this might cause </w:t>
      </w:r>
      <w:r w:rsidR="0075695E">
        <w:rPr>
          <w:rFonts w:ascii="Arial" w:hAnsi="Arial" w:cs="Arial"/>
          <w:sz w:val="24"/>
          <w:szCs w:val="24"/>
        </w:rPr>
        <w:t>(</w:t>
      </w:r>
      <w:r w:rsidR="004470B5" w:rsidRPr="00F822A1">
        <w:rPr>
          <w:rFonts w:ascii="Arial" w:hAnsi="Arial" w:cs="Arial"/>
          <w:sz w:val="24"/>
          <w:szCs w:val="24"/>
        </w:rPr>
        <w:t>Supplementary Appendix</w:t>
      </w:r>
      <w:r w:rsidR="0075695E">
        <w:rPr>
          <w:rFonts w:ascii="Arial" w:hAnsi="Arial" w:cs="Arial"/>
          <w:sz w:val="24"/>
          <w:szCs w:val="24"/>
        </w:rPr>
        <w:t>)</w:t>
      </w:r>
      <w:r w:rsidR="004470B5" w:rsidRPr="00F822A1">
        <w:rPr>
          <w:rFonts w:ascii="Arial" w:hAnsi="Arial" w:cs="Arial"/>
          <w:sz w:val="24"/>
          <w:szCs w:val="24"/>
        </w:rPr>
        <w:t xml:space="preserve">. </w:t>
      </w:r>
    </w:p>
    <w:p w:rsidR="009368F8" w:rsidRDefault="009368F8" w:rsidP="00C2735C">
      <w:pPr>
        <w:spacing w:line="480" w:lineRule="auto"/>
        <w:rPr>
          <w:rFonts w:ascii="Arial" w:hAnsi="Arial" w:cs="Arial"/>
          <w:b/>
          <w:sz w:val="24"/>
          <w:szCs w:val="24"/>
        </w:rPr>
        <w:sectPr w:rsidR="009368F8" w:rsidSect="006371EE">
          <w:pgSz w:w="11906" w:h="16838"/>
          <w:pgMar w:top="1440" w:right="1440" w:bottom="1440" w:left="1440" w:header="708" w:footer="708" w:gutter="0"/>
          <w:cols w:space="708"/>
          <w:docGrid w:linePitch="360"/>
        </w:sectPr>
      </w:pPr>
    </w:p>
    <w:p w:rsidR="004470B5" w:rsidRPr="00F822A1" w:rsidRDefault="004470B5" w:rsidP="00A918B7">
      <w:pPr>
        <w:spacing w:line="480" w:lineRule="auto"/>
        <w:rPr>
          <w:rFonts w:ascii="Arial" w:hAnsi="Arial" w:cs="Arial"/>
          <w:b/>
          <w:sz w:val="24"/>
          <w:szCs w:val="24"/>
        </w:rPr>
      </w:pPr>
      <w:r w:rsidRPr="00F822A1">
        <w:rPr>
          <w:rFonts w:ascii="Arial" w:hAnsi="Arial" w:cs="Arial"/>
          <w:b/>
          <w:sz w:val="24"/>
          <w:szCs w:val="24"/>
        </w:rPr>
        <w:lastRenderedPageBreak/>
        <w:t>RESULTS</w:t>
      </w:r>
    </w:p>
    <w:p w:rsidR="004470B5" w:rsidRPr="00F822A1" w:rsidRDefault="004470B5" w:rsidP="00A918B7">
      <w:pPr>
        <w:spacing w:line="480" w:lineRule="auto"/>
        <w:rPr>
          <w:rFonts w:ascii="Arial" w:hAnsi="Arial" w:cs="Arial"/>
          <w:sz w:val="24"/>
          <w:szCs w:val="24"/>
        </w:rPr>
      </w:pPr>
      <w:r w:rsidRPr="00F822A1">
        <w:rPr>
          <w:rFonts w:ascii="Arial" w:hAnsi="Arial" w:cs="Arial"/>
          <w:sz w:val="24"/>
          <w:szCs w:val="24"/>
        </w:rPr>
        <w:t xml:space="preserve">Of 6,622,747 individuals in CPRD aged at least 40 years between 1992 and 2010, a total of 2,593,629 patients had </w:t>
      </w:r>
      <w:r w:rsidR="00DD7F91" w:rsidRPr="00F822A1">
        <w:rPr>
          <w:rFonts w:ascii="Arial" w:hAnsi="Arial" w:cs="Arial"/>
          <w:sz w:val="24"/>
          <w:szCs w:val="24"/>
        </w:rPr>
        <w:t>one or more BP</w:t>
      </w:r>
      <w:r w:rsidRPr="00F822A1">
        <w:rPr>
          <w:rFonts w:ascii="Arial" w:hAnsi="Arial" w:cs="Arial"/>
          <w:sz w:val="24"/>
          <w:szCs w:val="24"/>
        </w:rPr>
        <w:t xml:space="preserve"> measurement</w:t>
      </w:r>
      <w:r w:rsidR="00DD7F91" w:rsidRPr="00F822A1">
        <w:rPr>
          <w:rFonts w:ascii="Arial" w:hAnsi="Arial" w:cs="Arial"/>
          <w:sz w:val="24"/>
          <w:szCs w:val="24"/>
        </w:rPr>
        <w:t>s</w:t>
      </w:r>
      <w:r w:rsidRPr="00F822A1">
        <w:rPr>
          <w:rFonts w:ascii="Arial" w:hAnsi="Arial" w:cs="Arial"/>
          <w:sz w:val="24"/>
          <w:szCs w:val="24"/>
        </w:rPr>
        <w:t xml:space="preserve">, at least 12 months of follow-up after date of </w:t>
      </w:r>
      <w:r w:rsidR="00C22A1B" w:rsidRPr="00F822A1">
        <w:rPr>
          <w:rFonts w:ascii="Arial" w:hAnsi="Arial" w:cs="Arial"/>
          <w:sz w:val="24"/>
          <w:szCs w:val="24"/>
        </w:rPr>
        <w:t xml:space="preserve">general practice </w:t>
      </w:r>
      <w:r w:rsidRPr="00F822A1">
        <w:rPr>
          <w:rFonts w:ascii="Arial" w:hAnsi="Arial" w:cs="Arial"/>
          <w:sz w:val="24"/>
          <w:szCs w:val="24"/>
        </w:rPr>
        <w:t xml:space="preserve">registration, and no prior history of dementia (Figure 1).  </w:t>
      </w:r>
      <w:r w:rsidR="00682795">
        <w:rPr>
          <w:rFonts w:ascii="Arial" w:hAnsi="Arial" w:cs="Arial"/>
          <w:sz w:val="24"/>
          <w:szCs w:val="24"/>
        </w:rPr>
        <w:t>T</w:t>
      </w:r>
      <w:r w:rsidRPr="00F822A1">
        <w:rPr>
          <w:rFonts w:ascii="Arial" w:hAnsi="Arial" w:cs="Arial"/>
          <w:sz w:val="24"/>
          <w:szCs w:val="24"/>
        </w:rPr>
        <w:t xml:space="preserve">he median age at baseline was </w:t>
      </w:r>
      <w:r w:rsidR="006F2B3A" w:rsidRPr="00F822A1">
        <w:rPr>
          <w:rFonts w:ascii="Arial" w:hAnsi="Arial" w:cs="Arial"/>
          <w:sz w:val="24"/>
          <w:szCs w:val="24"/>
        </w:rPr>
        <w:t>54</w:t>
      </w:r>
      <w:r w:rsidRPr="00F822A1">
        <w:rPr>
          <w:rFonts w:ascii="Arial" w:hAnsi="Arial" w:cs="Arial"/>
          <w:sz w:val="24"/>
          <w:szCs w:val="24"/>
        </w:rPr>
        <w:t xml:space="preserve"> years, </w:t>
      </w:r>
      <w:r w:rsidR="006F2B3A" w:rsidRPr="00F822A1">
        <w:rPr>
          <w:rFonts w:ascii="Arial" w:hAnsi="Arial" w:cs="Arial"/>
          <w:sz w:val="24"/>
          <w:szCs w:val="24"/>
        </w:rPr>
        <w:t>54.1</w:t>
      </w:r>
      <w:r w:rsidRPr="00F822A1">
        <w:rPr>
          <w:rFonts w:ascii="Arial" w:hAnsi="Arial" w:cs="Arial"/>
          <w:sz w:val="24"/>
          <w:szCs w:val="24"/>
        </w:rPr>
        <w:t xml:space="preserve">% were female and the median follow up was </w:t>
      </w:r>
      <w:r w:rsidR="006F2B3A" w:rsidRPr="00F822A1">
        <w:rPr>
          <w:rFonts w:ascii="Arial" w:hAnsi="Arial" w:cs="Arial"/>
          <w:sz w:val="24"/>
          <w:szCs w:val="24"/>
        </w:rPr>
        <w:t>8.2 years (interquartile range (IQR): 4.4</w:t>
      </w:r>
      <w:r w:rsidR="001619FB">
        <w:rPr>
          <w:rFonts w:ascii="Arial" w:hAnsi="Arial" w:cs="Arial"/>
          <w:sz w:val="24"/>
          <w:szCs w:val="24"/>
        </w:rPr>
        <w:t>-</w:t>
      </w:r>
      <w:r w:rsidR="006F2B3A" w:rsidRPr="00F822A1">
        <w:rPr>
          <w:rFonts w:ascii="Arial" w:hAnsi="Arial" w:cs="Arial"/>
          <w:sz w:val="24"/>
          <w:szCs w:val="24"/>
        </w:rPr>
        <w:t xml:space="preserve">12.4) </w:t>
      </w:r>
      <w:r w:rsidRPr="00F822A1">
        <w:rPr>
          <w:rFonts w:ascii="Arial" w:hAnsi="Arial" w:cs="Arial"/>
          <w:sz w:val="24"/>
          <w:szCs w:val="24"/>
        </w:rPr>
        <w:t>(</w:t>
      </w:r>
      <w:r w:rsidRPr="00F822A1">
        <w:rPr>
          <w:rFonts w:ascii="Arial" w:hAnsi="Arial" w:cs="Arial"/>
          <w:b/>
          <w:sz w:val="24"/>
          <w:szCs w:val="24"/>
        </w:rPr>
        <w:t>Table 1)</w:t>
      </w:r>
      <w:r w:rsidRPr="00F822A1">
        <w:rPr>
          <w:rFonts w:ascii="Arial" w:hAnsi="Arial" w:cs="Arial"/>
          <w:sz w:val="24"/>
          <w:szCs w:val="24"/>
        </w:rPr>
        <w:t xml:space="preserve">. The median systolic </w:t>
      </w:r>
      <w:r w:rsidR="00C22A1B" w:rsidRPr="00F822A1">
        <w:rPr>
          <w:rFonts w:ascii="Arial" w:hAnsi="Arial" w:cs="Arial"/>
          <w:sz w:val="24"/>
          <w:szCs w:val="24"/>
        </w:rPr>
        <w:t>BP</w:t>
      </w:r>
      <w:r w:rsidRPr="00F822A1">
        <w:rPr>
          <w:rFonts w:ascii="Arial" w:hAnsi="Arial" w:cs="Arial"/>
          <w:sz w:val="24"/>
          <w:szCs w:val="24"/>
        </w:rPr>
        <w:t xml:space="preserve"> was </w:t>
      </w:r>
      <w:r w:rsidR="006F2B3A" w:rsidRPr="00F822A1">
        <w:rPr>
          <w:rFonts w:ascii="Arial" w:hAnsi="Arial" w:cs="Arial"/>
          <w:sz w:val="24"/>
          <w:szCs w:val="24"/>
        </w:rPr>
        <w:t>136 (IQR: 120</w:t>
      </w:r>
      <w:r w:rsidR="001619FB">
        <w:rPr>
          <w:rFonts w:ascii="Arial" w:hAnsi="Arial" w:cs="Arial"/>
          <w:sz w:val="24"/>
          <w:szCs w:val="24"/>
        </w:rPr>
        <w:t>-</w:t>
      </w:r>
      <w:r w:rsidR="006F2B3A" w:rsidRPr="00F822A1">
        <w:rPr>
          <w:rFonts w:ascii="Arial" w:hAnsi="Arial" w:cs="Arial"/>
          <w:sz w:val="24"/>
          <w:szCs w:val="24"/>
        </w:rPr>
        <w:t>150)</w:t>
      </w:r>
      <w:r w:rsidR="00266F4C" w:rsidRPr="00F822A1">
        <w:rPr>
          <w:rFonts w:ascii="Arial" w:hAnsi="Arial" w:cs="Arial"/>
          <w:sz w:val="24"/>
          <w:szCs w:val="24"/>
        </w:rPr>
        <w:t xml:space="preserve"> mmHg</w:t>
      </w:r>
      <w:r w:rsidRPr="00F822A1">
        <w:rPr>
          <w:rFonts w:ascii="Arial" w:hAnsi="Arial" w:cs="Arial"/>
          <w:sz w:val="24"/>
          <w:szCs w:val="24"/>
        </w:rPr>
        <w:t xml:space="preserve">, and the median diastolic </w:t>
      </w:r>
      <w:r w:rsidR="00C22A1B" w:rsidRPr="00F822A1">
        <w:rPr>
          <w:rFonts w:ascii="Arial" w:hAnsi="Arial" w:cs="Arial"/>
          <w:sz w:val="24"/>
          <w:szCs w:val="24"/>
        </w:rPr>
        <w:t>BP</w:t>
      </w:r>
      <w:r w:rsidRPr="00F822A1">
        <w:rPr>
          <w:rFonts w:ascii="Arial" w:hAnsi="Arial" w:cs="Arial"/>
          <w:sz w:val="24"/>
          <w:szCs w:val="24"/>
        </w:rPr>
        <w:t xml:space="preserve"> was </w:t>
      </w:r>
      <w:r w:rsidR="006F2B3A" w:rsidRPr="00F822A1">
        <w:rPr>
          <w:rFonts w:ascii="Arial" w:hAnsi="Arial" w:cs="Arial"/>
          <w:sz w:val="24"/>
          <w:szCs w:val="24"/>
        </w:rPr>
        <w:t>80 (IQR: 74</w:t>
      </w:r>
      <w:r w:rsidR="001619FB">
        <w:rPr>
          <w:rFonts w:ascii="Arial" w:hAnsi="Arial" w:cs="Arial"/>
          <w:sz w:val="24"/>
          <w:szCs w:val="24"/>
        </w:rPr>
        <w:t>-</w:t>
      </w:r>
      <w:r w:rsidR="006F2B3A" w:rsidRPr="00F822A1">
        <w:rPr>
          <w:rFonts w:ascii="Arial" w:hAnsi="Arial" w:cs="Arial"/>
          <w:sz w:val="24"/>
          <w:szCs w:val="24"/>
        </w:rPr>
        <w:t>90)</w:t>
      </w:r>
      <w:r w:rsidRPr="00F822A1">
        <w:rPr>
          <w:rFonts w:ascii="Arial" w:hAnsi="Arial" w:cs="Arial"/>
          <w:sz w:val="24"/>
          <w:szCs w:val="24"/>
        </w:rPr>
        <w:t xml:space="preserve"> mmHg. Increasing </w:t>
      </w:r>
      <w:r w:rsidR="00C22A1B" w:rsidRPr="00F822A1">
        <w:rPr>
          <w:rFonts w:ascii="Arial" w:hAnsi="Arial" w:cs="Arial"/>
          <w:sz w:val="24"/>
          <w:szCs w:val="24"/>
        </w:rPr>
        <w:t>BP</w:t>
      </w:r>
      <w:r w:rsidRPr="00F822A1">
        <w:rPr>
          <w:rFonts w:ascii="Arial" w:hAnsi="Arial" w:cs="Arial"/>
          <w:sz w:val="24"/>
          <w:szCs w:val="24"/>
        </w:rPr>
        <w:t xml:space="preserve"> was associated with increasing age and obesity. </w:t>
      </w:r>
    </w:p>
    <w:p w:rsidR="004470B5" w:rsidRPr="00F822A1" w:rsidRDefault="004470B5" w:rsidP="00A918B7">
      <w:pPr>
        <w:spacing w:line="480" w:lineRule="auto"/>
        <w:rPr>
          <w:rFonts w:ascii="Arial" w:hAnsi="Arial" w:cs="Arial"/>
          <w:sz w:val="24"/>
          <w:szCs w:val="24"/>
        </w:rPr>
      </w:pPr>
      <w:r w:rsidRPr="00F822A1">
        <w:rPr>
          <w:rFonts w:ascii="Arial" w:hAnsi="Arial" w:cs="Arial"/>
          <w:sz w:val="24"/>
          <w:szCs w:val="24"/>
        </w:rPr>
        <w:t xml:space="preserve">During follow up, there were 65,518 </w:t>
      </w:r>
      <w:r w:rsidR="00C22A1B" w:rsidRPr="00F822A1">
        <w:rPr>
          <w:rFonts w:ascii="Arial" w:hAnsi="Arial" w:cs="Arial"/>
          <w:sz w:val="24"/>
          <w:szCs w:val="24"/>
        </w:rPr>
        <w:t>in</w:t>
      </w:r>
      <w:r w:rsidR="00266F4C" w:rsidRPr="00F822A1">
        <w:rPr>
          <w:rFonts w:ascii="Arial" w:hAnsi="Arial" w:cs="Arial"/>
          <w:sz w:val="24"/>
          <w:szCs w:val="24"/>
        </w:rPr>
        <w:t>cident</w:t>
      </w:r>
      <w:r w:rsidR="00C22A1B" w:rsidRPr="00F822A1">
        <w:rPr>
          <w:rFonts w:ascii="Arial" w:hAnsi="Arial" w:cs="Arial"/>
          <w:sz w:val="24"/>
          <w:szCs w:val="24"/>
        </w:rPr>
        <w:t xml:space="preserve"> </w:t>
      </w:r>
      <w:r w:rsidRPr="00F822A1">
        <w:rPr>
          <w:rFonts w:ascii="Arial" w:hAnsi="Arial" w:cs="Arial"/>
          <w:sz w:val="24"/>
          <w:szCs w:val="24"/>
        </w:rPr>
        <w:t>cases of dementia</w:t>
      </w:r>
      <w:r w:rsidR="006F2B3A" w:rsidRPr="00F822A1">
        <w:rPr>
          <w:rFonts w:ascii="Arial" w:hAnsi="Arial" w:cs="Arial"/>
          <w:sz w:val="24"/>
          <w:szCs w:val="24"/>
        </w:rPr>
        <w:t xml:space="preserve"> </w:t>
      </w:r>
      <w:r w:rsidR="005C3F76">
        <w:rPr>
          <w:rFonts w:ascii="Arial" w:hAnsi="Arial" w:cs="Arial"/>
          <w:sz w:val="24"/>
          <w:szCs w:val="24"/>
        </w:rPr>
        <w:t>(</w:t>
      </w:r>
      <w:r w:rsidR="00126BB6" w:rsidRPr="00F822A1">
        <w:rPr>
          <w:rFonts w:ascii="Arial" w:hAnsi="Arial" w:cs="Arial"/>
          <w:sz w:val="24"/>
          <w:szCs w:val="24"/>
        </w:rPr>
        <w:t xml:space="preserve">incidence </w:t>
      </w:r>
      <w:r w:rsidR="005C3F76">
        <w:rPr>
          <w:rFonts w:ascii="Arial" w:hAnsi="Arial" w:cs="Arial"/>
          <w:sz w:val="24"/>
          <w:szCs w:val="24"/>
        </w:rPr>
        <w:t xml:space="preserve">rate: </w:t>
      </w:r>
      <w:r w:rsidR="006F2B3A" w:rsidRPr="00F822A1">
        <w:rPr>
          <w:rFonts w:ascii="Arial" w:hAnsi="Arial" w:cs="Arial"/>
          <w:sz w:val="24"/>
          <w:szCs w:val="24"/>
        </w:rPr>
        <w:t>2.9 per 1000 person years</w:t>
      </w:r>
      <w:r w:rsidR="005C3F76">
        <w:rPr>
          <w:rFonts w:ascii="Arial" w:hAnsi="Arial" w:cs="Arial"/>
          <w:sz w:val="24"/>
          <w:szCs w:val="24"/>
        </w:rPr>
        <w:t>)</w:t>
      </w:r>
      <w:r w:rsidR="00126BB6" w:rsidRPr="00F822A1">
        <w:rPr>
          <w:rFonts w:ascii="Arial" w:hAnsi="Arial" w:cs="Arial"/>
          <w:sz w:val="24"/>
          <w:szCs w:val="24"/>
        </w:rPr>
        <w:t>;</w:t>
      </w:r>
      <w:r w:rsidRPr="00F822A1">
        <w:rPr>
          <w:rFonts w:ascii="Arial" w:hAnsi="Arial" w:cs="Arial"/>
          <w:sz w:val="24"/>
          <w:szCs w:val="24"/>
        </w:rPr>
        <w:t xml:space="preserve"> of </w:t>
      </w:r>
      <w:r w:rsidR="004C7A94" w:rsidRPr="00F822A1">
        <w:rPr>
          <w:rFonts w:ascii="Arial" w:hAnsi="Arial" w:cs="Arial"/>
          <w:sz w:val="24"/>
          <w:szCs w:val="24"/>
        </w:rPr>
        <w:t xml:space="preserve">which </w:t>
      </w:r>
      <w:r w:rsidRPr="00F822A1">
        <w:rPr>
          <w:rFonts w:ascii="Arial" w:hAnsi="Arial" w:cs="Arial"/>
          <w:sz w:val="24"/>
          <w:szCs w:val="24"/>
        </w:rPr>
        <w:t>49,161 (</w:t>
      </w:r>
      <w:r w:rsidR="006F2B3A" w:rsidRPr="00F822A1">
        <w:rPr>
          <w:rFonts w:ascii="Arial" w:hAnsi="Arial" w:cs="Arial"/>
          <w:sz w:val="24"/>
          <w:szCs w:val="24"/>
        </w:rPr>
        <w:t>75.0%</w:t>
      </w:r>
      <w:r w:rsidRPr="00F822A1">
        <w:rPr>
          <w:rFonts w:ascii="Arial" w:hAnsi="Arial" w:cs="Arial"/>
          <w:sz w:val="24"/>
          <w:szCs w:val="24"/>
        </w:rPr>
        <w:t xml:space="preserve"> of cases) </w:t>
      </w:r>
      <w:r w:rsidR="00126BB6" w:rsidRPr="00F822A1">
        <w:rPr>
          <w:rFonts w:ascii="Arial" w:hAnsi="Arial" w:cs="Arial"/>
          <w:sz w:val="24"/>
          <w:szCs w:val="24"/>
        </w:rPr>
        <w:t xml:space="preserve">were </w:t>
      </w:r>
      <w:r w:rsidR="007216E5">
        <w:rPr>
          <w:rFonts w:ascii="Arial" w:hAnsi="Arial" w:cs="Arial"/>
          <w:sz w:val="24"/>
          <w:szCs w:val="24"/>
        </w:rPr>
        <w:t>AD</w:t>
      </w:r>
      <w:r w:rsidRPr="00F822A1">
        <w:rPr>
          <w:rFonts w:ascii="Arial" w:hAnsi="Arial" w:cs="Arial"/>
          <w:sz w:val="24"/>
          <w:szCs w:val="24"/>
        </w:rPr>
        <w:t>, 13,816 (</w:t>
      </w:r>
      <w:r w:rsidR="006F2B3A" w:rsidRPr="00F822A1">
        <w:rPr>
          <w:rFonts w:ascii="Arial" w:hAnsi="Arial" w:cs="Arial"/>
          <w:sz w:val="24"/>
          <w:szCs w:val="24"/>
        </w:rPr>
        <w:t>21.1%</w:t>
      </w:r>
      <w:r w:rsidRPr="00F822A1">
        <w:rPr>
          <w:rFonts w:ascii="Arial" w:hAnsi="Arial" w:cs="Arial"/>
          <w:sz w:val="24"/>
          <w:szCs w:val="24"/>
        </w:rPr>
        <w:t xml:space="preserve">) </w:t>
      </w:r>
      <w:r w:rsidR="004C7A94" w:rsidRPr="00F822A1">
        <w:rPr>
          <w:rFonts w:ascii="Arial" w:hAnsi="Arial" w:cs="Arial"/>
          <w:sz w:val="24"/>
          <w:szCs w:val="24"/>
        </w:rPr>
        <w:t xml:space="preserve">were </w:t>
      </w:r>
      <w:r w:rsidRPr="00F822A1">
        <w:rPr>
          <w:rFonts w:ascii="Arial" w:hAnsi="Arial" w:cs="Arial"/>
          <w:sz w:val="24"/>
          <w:szCs w:val="24"/>
        </w:rPr>
        <w:t xml:space="preserve">vascular dementia, and </w:t>
      </w:r>
      <w:r w:rsidR="00266F4C" w:rsidRPr="00F822A1">
        <w:rPr>
          <w:rFonts w:ascii="Arial" w:hAnsi="Arial" w:cs="Arial"/>
          <w:sz w:val="24"/>
          <w:szCs w:val="24"/>
        </w:rPr>
        <w:t>2,541</w:t>
      </w:r>
      <w:r w:rsidRPr="00F822A1">
        <w:rPr>
          <w:rFonts w:ascii="Arial" w:hAnsi="Arial" w:cs="Arial"/>
          <w:sz w:val="24"/>
          <w:szCs w:val="24"/>
        </w:rPr>
        <w:t xml:space="preserve"> (</w:t>
      </w:r>
      <w:r w:rsidR="006F2B3A" w:rsidRPr="00F822A1">
        <w:rPr>
          <w:rFonts w:ascii="Arial" w:hAnsi="Arial" w:cs="Arial"/>
          <w:sz w:val="24"/>
          <w:szCs w:val="24"/>
        </w:rPr>
        <w:t xml:space="preserve">3.9%) </w:t>
      </w:r>
      <w:r w:rsidR="00126BB6" w:rsidRPr="00F822A1">
        <w:rPr>
          <w:rFonts w:ascii="Arial" w:hAnsi="Arial" w:cs="Arial"/>
          <w:sz w:val="24"/>
          <w:szCs w:val="24"/>
        </w:rPr>
        <w:t xml:space="preserve">were </w:t>
      </w:r>
      <w:r w:rsidRPr="00F822A1">
        <w:rPr>
          <w:rFonts w:ascii="Arial" w:hAnsi="Arial" w:cs="Arial"/>
          <w:sz w:val="24"/>
          <w:szCs w:val="24"/>
        </w:rPr>
        <w:t>other rare subtypes of dementia</w:t>
      </w:r>
      <w:r w:rsidR="00A72118" w:rsidRPr="00F822A1">
        <w:rPr>
          <w:rFonts w:ascii="Arial" w:hAnsi="Arial" w:cs="Arial"/>
          <w:sz w:val="24"/>
          <w:szCs w:val="24"/>
        </w:rPr>
        <w:t xml:space="preserve"> (</w:t>
      </w:r>
      <w:r w:rsidR="00A72118" w:rsidRPr="00F822A1">
        <w:rPr>
          <w:rFonts w:ascii="Arial" w:hAnsi="Arial" w:cs="Arial"/>
          <w:b/>
          <w:sz w:val="24"/>
          <w:szCs w:val="24"/>
        </w:rPr>
        <w:t>Table 2</w:t>
      </w:r>
      <w:r w:rsidR="00DE50B3" w:rsidRPr="00F822A1">
        <w:rPr>
          <w:rFonts w:ascii="Arial" w:hAnsi="Arial" w:cs="Arial"/>
          <w:b/>
          <w:sz w:val="24"/>
          <w:szCs w:val="24"/>
        </w:rPr>
        <w:t>, Supplementary Table 1</w:t>
      </w:r>
      <w:r w:rsidR="00A72118" w:rsidRPr="00F822A1">
        <w:rPr>
          <w:rFonts w:ascii="Arial" w:hAnsi="Arial" w:cs="Arial"/>
          <w:sz w:val="24"/>
          <w:szCs w:val="24"/>
        </w:rPr>
        <w:t>)</w:t>
      </w:r>
      <w:r w:rsidRPr="00F822A1">
        <w:rPr>
          <w:rFonts w:ascii="Arial" w:hAnsi="Arial" w:cs="Arial"/>
          <w:sz w:val="24"/>
          <w:szCs w:val="24"/>
        </w:rPr>
        <w:t xml:space="preserve">. Dementia and its subtypes were </w:t>
      </w:r>
      <w:r w:rsidR="00DE50B3" w:rsidRPr="00F822A1">
        <w:rPr>
          <w:rFonts w:ascii="Arial" w:hAnsi="Arial" w:cs="Arial"/>
          <w:sz w:val="24"/>
          <w:szCs w:val="24"/>
        </w:rPr>
        <w:t xml:space="preserve">very </w:t>
      </w:r>
      <w:r w:rsidRPr="00F822A1">
        <w:rPr>
          <w:rFonts w:ascii="Arial" w:hAnsi="Arial" w:cs="Arial"/>
          <w:sz w:val="24"/>
          <w:szCs w:val="24"/>
        </w:rPr>
        <w:t>strongl</w:t>
      </w:r>
      <w:r w:rsidR="00A72118" w:rsidRPr="00F822A1">
        <w:rPr>
          <w:rFonts w:ascii="Arial" w:hAnsi="Arial" w:cs="Arial"/>
          <w:sz w:val="24"/>
          <w:szCs w:val="24"/>
        </w:rPr>
        <w:t xml:space="preserve">y </w:t>
      </w:r>
      <w:r w:rsidR="00DE50B3" w:rsidRPr="00F822A1">
        <w:rPr>
          <w:rFonts w:ascii="Arial" w:hAnsi="Arial" w:cs="Arial"/>
          <w:sz w:val="24"/>
          <w:szCs w:val="24"/>
        </w:rPr>
        <w:t>associated</w:t>
      </w:r>
      <w:r w:rsidR="00A72118" w:rsidRPr="00F822A1">
        <w:rPr>
          <w:rFonts w:ascii="Arial" w:hAnsi="Arial" w:cs="Arial"/>
          <w:sz w:val="24"/>
          <w:szCs w:val="24"/>
        </w:rPr>
        <w:t xml:space="preserve"> with increasing age</w:t>
      </w:r>
      <w:r w:rsidRPr="00F822A1">
        <w:rPr>
          <w:rFonts w:ascii="Arial" w:hAnsi="Arial" w:cs="Arial"/>
          <w:sz w:val="24"/>
          <w:szCs w:val="24"/>
        </w:rPr>
        <w:t>.</w:t>
      </w:r>
    </w:p>
    <w:p w:rsidR="009103C9" w:rsidRPr="00F822A1" w:rsidRDefault="00126BB6" w:rsidP="00A918B7">
      <w:pPr>
        <w:spacing w:line="480" w:lineRule="auto"/>
        <w:rPr>
          <w:rFonts w:ascii="Arial" w:hAnsi="Arial" w:cs="Arial"/>
          <w:sz w:val="24"/>
          <w:szCs w:val="24"/>
        </w:rPr>
      </w:pPr>
      <w:r w:rsidRPr="00F822A1">
        <w:rPr>
          <w:rFonts w:ascii="Arial" w:hAnsi="Arial" w:cs="Arial"/>
          <w:sz w:val="24"/>
          <w:szCs w:val="24"/>
        </w:rPr>
        <w:t>A</w:t>
      </w:r>
      <w:r w:rsidR="002A2E59" w:rsidRPr="00F822A1">
        <w:rPr>
          <w:rFonts w:ascii="Arial" w:hAnsi="Arial" w:cs="Arial"/>
          <w:sz w:val="24"/>
          <w:szCs w:val="24"/>
        </w:rPr>
        <w:t xml:space="preserve">ge- and sex-adjusted standardized rates of dementia were lower amongst individuals with higher </w:t>
      </w:r>
      <w:r w:rsidR="00C22A1B" w:rsidRPr="00F822A1">
        <w:rPr>
          <w:rFonts w:ascii="Arial" w:hAnsi="Arial" w:cs="Arial"/>
          <w:sz w:val="24"/>
          <w:szCs w:val="24"/>
        </w:rPr>
        <w:t xml:space="preserve">systolic BP </w:t>
      </w:r>
      <w:r w:rsidR="009103C9" w:rsidRPr="00F822A1">
        <w:rPr>
          <w:rFonts w:ascii="Arial" w:hAnsi="Arial" w:cs="Arial"/>
          <w:sz w:val="24"/>
          <w:szCs w:val="24"/>
        </w:rPr>
        <w:t>(</w:t>
      </w:r>
      <w:r w:rsidR="009103C9" w:rsidRPr="00F822A1">
        <w:rPr>
          <w:rFonts w:ascii="Arial" w:hAnsi="Arial" w:cs="Arial"/>
          <w:b/>
          <w:sz w:val="24"/>
          <w:szCs w:val="24"/>
        </w:rPr>
        <w:t>Supplementary Figure 1</w:t>
      </w:r>
      <w:r w:rsidR="002A2E59" w:rsidRPr="00F822A1">
        <w:rPr>
          <w:rFonts w:ascii="Arial" w:hAnsi="Arial" w:cs="Arial"/>
          <w:sz w:val="24"/>
          <w:szCs w:val="24"/>
        </w:rPr>
        <w:t xml:space="preserve">). However, </w:t>
      </w:r>
      <w:r w:rsidR="00A72118" w:rsidRPr="00F822A1">
        <w:rPr>
          <w:rFonts w:ascii="Arial" w:hAnsi="Arial" w:cs="Arial"/>
          <w:sz w:val="24"/>
          <w:szCs w:val="24"/>
        </w:rPr>
        <w:t xml:space="preserve">dementia subtype, </w:t>
      </w:r>
      <w:r w:rsidR="002A2E59" w:rsidRPr="00F822A1">
        <w:rPr>
          <w:rFonts w:ascii="Arial" w:hAnsi="Arial" w:cs="Arial"/>
          <w:sz w:val="24"/>
          <w:szCs w:val="24"/>
        </w:rPr>
        <w:t xml:space="preserve">age-at-risk, and time since baseline BP measurement all </w:t>
      </w:r>
      <w:r w:rsidR="009103C9" w:rsidRPr="00F822A1">
        <w:rPr>
          <w:rFonts w:ascii="Arial" w:hAnsi="Arial" w:cs="Arial"/>
          <w:sz w:val="24"/>
          <w:szCs w:val="24"/>
        </w:rPr>
        <w:t>influenced</w:t>
      </w:r>
      <w:r w:rsidR="002A2E59" w:rsidRPr="00F822A1">
        <w:rPr>
          <w:rFonts w:ascii="Arial" w:hAnsi="Arial" w:cs="Arial"/>
          <w:sz w:val="24"/>
          <w:szCs w:val="24"/>
        </w:rPr>
        <w:t xml:space="preserve"> associations with dementia risk</w:t>
      </w:r>
      <w:r w:rsidR="009103C9" w:rsidRPr="00F822A1">
        <w:rPr>
          <w:rFonts w:ascii="Arial" w:hAnsi="Arial" w:cs="Arial"/>
          <w:sz w:val="24"/>
          <w:szCs w:val="24"/>
        </w:rPr>
        <w:t xml:space="preserve">. </w:t>
      </w:r>
    </w:p>
    <w:p w:rsidR="002366E1" w:rsidRPr="00F822A1" w:rsidRDefault="002366E1" w:rsidP="00A918B7">
      <w:pPr>
        <w:spacing w:line="480" w:lineRule="auto"/>
        <w:rPr>
          <w:rFonts w:ascii="Arial" w:hAnsi="Arial" w:cs="Arial"/>
          <w:sz w:val="24"/>
          <w:szCs w:val="24"/>
        </w:rPr>
      </w:pPr>
      <w:r w:rsidRPr="00F822A1">
        <w:rPr>
          <w:rFonts w:ascii="Arial" w:hAnsi="Arial" w:cs="Arial"/>
          <w:sz w:val="24"/>
          <w:szCs w:val="24"/>
        </w:rPr>
        <w:t xml:space="preserve">During the first 5 years following </w:t>
      </w:r>
      <w:r w:rsidR="00266F4C" w:rsidRPr="00F822A1">
        <w:rPr>
          <w:rFonts w:ascii="Arial" w:hAnsi="Arial" w:cs="Arial"/>
          <w:sz w:val="24"/>
          <w:szCs w:val="24"/>
        </w:rPr>
        <w:t>the in</w:t>
      </w:r>
      <w:r w:rsidR="00881E65" w:rsidRPr="00F822A1">
        <w:rPr>
          <w:rFonts w:ascii="Arial" w:hAnsi="Arial" w:cs="Arial"/>
          <w:sz w:val="24"/>
          <w:szCs w:val="24"/>
        </w:rPr>
        <w:t>dex</w:t>
      </w:r>
      <w:r w:rsidR="00266F4C" w:rsidRPr="00F822A1">
        <w:rPr>
          <w:rFonts w:ascii="Arial" w:hAnsi="Arial" w:cs="Arial"/>
          <w:sz w:val="24"/>
          <w:szCs w:val="24"/>
        </w:rPr>
        <w:t xml:space="preserve"> </w:t>
      </w:r>
      <w:r w:rsidR="00C22A1B" w:rsidRPr="00F822A1">
        <w:rPr>
          <w:rFonts w:ascii="Arial" w:hAnsi="Arial" w:cs="Arial"/>
          <w:sz w:val="24"/>
          <w:szCs w:val="24"/>
        </w:rPr>
        <w:t>BP</w:t>
      </w:r>
      <w:r w:rsidRPr="00F822A1">
        <w:rPr>
          <w:rFonts w:ascii="Arial" w:hAnsi="Arial" w:cs="Arial"/>
          <w:sz w:val="24"/>
          <w:szCs w:val="24"/>
        </w:rPr>
        <w:t xml:space="preserve"> measurement, </w:t>
      </w:r>
      <w:r w:rsidR="00C22A1B" w:rsidRPr="00F822A1">
        <w:rPr>
          <w:rFonts w:ascii="Arial" w:hAnsi="Arial" w:cs="Arial"/>
          <w:sz w:val="24"/>
          <w:szCs w:val="24"/>
        </w:rPr>
        <w:t xml:space="preserve">systolic </w:t>
      </w:r>
      <w:r w:rsidRPr="00F822A1">
        <w:rPr>
          <w:rFonts w:ascii="Arial" w:hAnsi="Arial" w:cs="Arial"/>
          <w:sz w:val="24"/>
          <w:szCs w:val="24"/>
        </w:rPr>
        <w:t xml:space="preserve">BP </w:t>
      </w:r>
      <w:r w:rsidR="00A72118" w:rsidRPr="00F822A1">
        <w:rPr>
          <w:rFonts w:ascii="Arial" w:hAnsi="Arial" w:cs="Arial"/>
          <w:sz w:val="24"/>
          <w:szCs w:val="24"/>
        </w:rPr>
        <w:t>w</w:t>
      </w:r>
      <w:r w:rsidRPr="00F822A1">
        <w:rPr>
          <w:rFonts w:ascii="Arial" w:hAnsi="Arial" w:cs="Arial"/>
          <w:sz w:val="24"/>
          <w:szCs w:val="24"/>
        </w:rPr>
        <w:t xml:space="preserve">as moderately </w:t>
      </w:r>
      <w:r w:rsidR="00A72118" w:rsidRPr="00F822A1">
        <w:rPr>
          <w:rFonts w:ascii="Arial" w:hAnsi="Arial" w:cs="Arial"/>
          <w:sz w:val="24"/>
          <w:szCs w:val="24"/>
        </w:rPr>
        <w:t xml:space="preserve">inversely </w:t>
      </w:r>
      <w:r w:rsidRPr="00F822A1">
        <w:rPr>
          <w:rFonts w:ascii="Arial" w:hAnsi="Arial" w:cs="Arial"/>
          <w:sz w:val="24"/>
          <w:szCs w:val="24"/>
        </w:rPr>
        <w:t>associated with dementia risk (</w:t>
      </w:r>
      <w:r w:rsidR="007A3F6E" w:rsidRPr="00F822A1">
        <w:rPr>
          <w:rFonts w:ascii="Arial" w:hAnsi="Arial" w:cs="Arial"/>
          <w:sz w:val="24"/>
          <w:szCs w:val="24"/>
        </w:rPr>
        <w:t>rate ratio [RR]</w:t>
      </w:r>
      <w:r w:rsidRPr="00F822A1">
        <w:rPr>
          <w:rFonts w:ascii="Arial" w:hAnsi="Arial" w:cs="Arial"/>
          <w:sz w:val="24"/>
          <w:szCs w:val="24"/>
        </w:rPr>
        <w:t xml:space="preserve"> per 10mmHg higher </w:t>
      </w:r>
      <w:r w:rsidR="00986140" w:rsidRPr="00F822A1">
        <w:rPr>
          <w:rFonts w:ascii="Arial" w:hAnsi="Arial" w:cs="Arial"/>
          <w:sz w:val="24"/>
          <w:szCs w:val="24"/>
        </w:rPr>
        <w:t>long-term average</w:t>
      </w:r>
      <w:r w:rsidRPr="00F822A1">
        <w:rPr>
          <w:rFonts w:ascii="Arial" w:hAnsi="Arial" w:cs="Arial"/>
          <w:sz w:val="24"/>
          <w:szCs w:val="24"/>
        </w:rPr>
        <w:t xml:space="preserve"> </w:t>
      </w:r>
      <w:r w:rsidR="00C22A1B" w:rsidRPr="00F822A1">
        <w:rPr>
          <w:rFonts w:ascii="Arial" w:hAnsi="Arial" w:cs="Arial"/>
          <w:sz w:val="24"/>
          <w:szCs w:val="24"/>
        </w:rPr>
        <w:t xml:space="preserve">systolic </w:t>
      </w:r>
      <w:r w:rsidRPr="00F822A1">
        <w:rPr>
          <w:rFonts w:ascii="Arial" w:hAnsi="Arial" w:cs="Arial"/>
          <w:sz w:val="24"/>
          <w:szCs w:val="24"/>
        </w:rPr>
        <w:t>BP: 0.</w:t>
      </w:r>
      <w:r w:rsidR="00DE50B3" w:rsidRPr="00F822A1">
        <w:rPr>
          <w:rFonts w:ascii="Arial" w:hAnsi="Arial" w:cs="Arial"/>
          <w:sz w:val="24"/>
          <w:szCs w:val="24"/>
        </w:rPr>
        <w:t>842</w:t>
      </w:r>
      <w:r w:rsidRPr="00F822A1">
        <w:rPr>
          <w:rFonts w:ascii="Arial" w:hAnsi="Arial" w:cs="Arial"/>
          <w:sz w:val="24"/>
          <w:szCs w:val="24"/>
        </w:rPr>
        <w:t xml:space="preserve">, 95% CI </w:t>
      </w:r>
      <w:r w:rsidR="00DE50B3" w:rsidRPr="00F822A1">
        <w:rPr>
          <w:rFonts w:ascii="Arial" w:hAnsi="Arial" w:cs="Arial"/>
          <w:sz w:val="24"/>
          <w:szCs w:val="24"/>
        </w:rPr>
        <w:t>0.830</w:t>
      </w:r>
      <w:r w:rsidR="001619FB">
        <w:rPr>
          <w:rFonts w:ascii="Arial" w:hAnsi="Arial" w:cs="Arial"/>
          <w:sz w:val="24"/>
          <w:szCs w:val="24"/>
        </w:rPr>
        <w:t>-0.</w:t>
      </w:r>
      <w:r w:rsidR="00DE50B3" w:rsidRPr="00F822A1">
        <w:rPr>
          <w:rFonts w:ascii="Arial" w:hAnsi="Arial" w:cs="Arial"/>
          <w:sz w:val="24"/>
          <w:szCs w:val="24"/>
        </w:rPr>
        <w:t>855</w:t>
      </w:r>
      <w:r w:rsidRPr="00F822A1">
        <w:rPr>
          <w:rFonts w:ascii="Arial" w:hAnsi="Arial" w:cs="Arial"/>
          <w:sz w:val="24"/>
          <w:szCs w:val="24"/>
        </w:rPr>
        <w:t>), with similar associations across all age groups (</w:t>
      </w:r>
      <w:r w:rsidR="00A570BC" w:rsidRPr="00F822A1">
        <w:rPr>
          <w:rFonts w:ascii="Arial" w:hAnsi="Arial" w:cs="Arial"/>
          <w:b/>
          <w:sz w:val="24"/>
          <w:szCs w:val="24"/>
        </w:rPr>
        <w:t xml:space="preserve">Figure 2A, </w:t>
      </w:r>
      <w:r w:rsidRPr="00F822A1">
        <w:rPr>
          <w:rFonts w:ascii="Arial" w:hAnsi="Arial" w:cs="Arial"/>
          <w:b/>
          <w:sz w:val="24"/>
          <w:szCs w:val="24"/>
        </w:rPr>
        <w:t>Table 3</w:t>
      </w:r>
      <w:r w:rsidRPr="00F822A1">
        <w:rPr>
          <w:rFonts w:ascii="Arial" w:hAnsi="Arial" w:cs="Arial"/>
          <w:sz w:val="24"/>
          <w:szCs w:val="24"/>
        </w:rPr>
        <w:t xml:space="preserve">).  </w:t>
      </w:r>
      <w:r w:rsidR="00C22A1B" w:rsidRPr="00F822A1">
        <w:rPr>
          <w:rFonts w:ascii="Arial" w:hAnsi="Arial" w:cs="Arial"/>
          <w:sz w:val="24"/>
          <w:szCs w:val="24"/>
        </w:rPr>
        <w:t xml:space="preserve">Systolic BP </w:t>
      </w:r>
      <w:r w:rsidRPr="00F822A1">
        <w:rPr>
          <w:rFonts w:ascii="Arial" w:hAnsi="Arial" w:cs="Arial"/>
          <w:sz w:val="24"/>
          <w:szCs w:val="24"/>
        </w:rPr>
        <w:t xml:space="preserve">was more strongly negatively associated with </w:t>
      </w:r>
      <w:r w:rsidR="007216E5">
        <w:rPr>
          <w:rFonts w:ascii="Arial" w:hAnsi="Arial" w:cs="Arial"/>
          <w:sz w:val="24"/>
          <w:szCs w:val="24"/>
        </w:rPr>
        <w:t xml:space="preserve">AD </w:t>
      </w:r>
      <w:r w:rsidRPr="00F822A1">
        <w:rPr>
          <w:rFonts w:ascii="Arial" w:hAnsi="Arial" w:cs="Arial"/>
          <w:sz w:val="24"/>
          <w:szCs w:val="24"/>
        </w:rPr>
        <w:t>(</w:t>
      </w:r>
      <w:r w:rsidR="001619FB">
        <w:rPr>
          <w:rFonts w:ascii="Arial" w:hAnsi="Arial" w:cs="Arial"/>
          <w:sz w:val="24"/>
          <w:szCs w:val="24"/>
        </w:rPr>
        <w:t>RR</w:t>
      </w:r>
      <w:proofErr w:type="gramStart"/>
      <w:r w:rsidR="001619FB">
        <w:rPr>
          <w:rFonts w:ascii="Arial" w:hAnsi="Arial" w:cs="Arial"/>
          <w:sz w:val="24"/>
          <w:szCs w:val="24"/>
        </w:rPr>
        <w:t>:</w:t>
      </w:r>
      <w:r w:rsidRPr="00F822A1">
        <w:rPr>
          <w:rFonts w:ascii="Arial" w:hAnsi="Arial" w:cs="Arial"/>
          <w:sz w:val="24"/>
          <w:szCs w:val="24"/>
        </w:rPr>
        <w:t>0</w:t>
      </w:r>
      <w:r w:rsidR="00DE50B3" w:rsidRPr="00F822A1">
        <w:rPr>
          <w:rFonts w:ascii="Arial" w:hAnsi="Arial" w:cs="Arial"/>
          <w:sz w:val="24"/>
          <w:szCs w:val="24"/>
        </w:rPr>
        <w:t>.834</w:t>
      </w:r>
      <w:proofErr w:type="gramEnd"/>
      <w:r w:rsidR="00DE50B3" w:rsidRPr="00F822A1">
        <w:rPr>
          <w:rFonts w:ascii="Arial" w:hAnsi="Arial" w:cs="Arial"/>
          <w:sz w:val="24"/>
          <w:szCs w:val="24"/>
        </w:rPr>
        <w:t>, 0.821</w:t>
      </w:r>
      <w:r w:rsidR="001619FB">
        <w:rPr>
          <w:rFonts w:ascii="Arial" w:hAnsi="Arial" w:cs="Arial"/>
          <w:sz w:val="24"/>
          <w:szCs w:val="24"/>
        </w:rPr>
        <w:t>-0.</w:t>
      </w:r>
      <w:r w:rsidR="00DE50B3" w:rsidRPr="00F822A1">
        <w:rPr>
          <w:rFonts w:ascii="Arial" w:hAnsi="Arial" w:cs="Arial"/>
          <w:sz w:val="24"/>
          <w:szCs w:val="24"/>
        </w:rPr>
        <w:t>848</w:t>
      </w:r>
      <w:r w:rsidRPr="00F822A1">
        <w:rPr>
          <w:rFonts w:ascii="Arial" w:hAnsi="Arial" w:cs="Arial"/>
          <w:sz w:val="24"/>
          <w:szCs w:val="24"/>
        </w:rPr>
        <w:t>) than vascular dementia (</w:t>
      </w:r>
      <w:r w:rsidR="001619FB">
        <w:rPr>
          <w:rFonts w:ascii="Arial" w:hAnsi="Arial" w:cs="Arial"/>
          <w:sz w:val="24"/>
          <w:szCs w:val="24"/>
        </w:rPr>
        <w:t>RR:</w:t>
      </w:r>
      <w:r w:rsidR="00DE50B3" w:rsidRPr="00F822A1">
        <w:rPr>
          <w:rFonts w:ascii="Arial" w:hAnsi="Arial" w:cs="Arial"/>
          <w:sz w:val="24"/>
          <w:szCs w:val="24"/>
        </w:rPr>
        <w:t>0.903, 0.872</w:t>
      </w:r>
      <w:r w:rsidR="001619FB">
        <w:rPr>
          <w:rFonts w:ascii="Arial" w:hAnsi="Arial" w:cs="Arial"/>
          <w:sz w:val="24"/>
          <w:szCs w:val="24"/>
        </w:rPr>
        <w:t>-0.</w:t>
      </w:r>
      <w:r w:rsidR="00DE50B3" w:rsidRPr="00F822A1">
        <w:rPr>
          <w:rFonts w:ascii="Arial" w:hAnsi="Arial" w:cs="Arial"/>
          <w:sz w:val="24"/>
          <w:szCs w:val="24"/>
        </w:rPr>
        <w:t>935</w:t>
      </w:r>
      <w:r w:rsidRPr="00F822A1">
        <w:rPr>
          <w:rFonts w:ascii="Arial" w:hAnsi="Arial" w:cs="Arial"/>
          <w:sz w:val="24"/>
          <w:szCs w:val="24"/>
        </w:rPr>
        <w:t xml:space="preserve">), </w:t>
      </w:r>
      <w:r w:rsidR="00A570BC" w:rsidRPr="00F822A1">
        <w:rPr>
          <w:rFonts w:ascii="Arial" w:hAnsi="Arial" w:cs="Arial"/>
          <w:sz w:val="24"/>
          <w:szCs w:val="24"/>
        </w:rPr>
        <w:t>(</w:t>
      </w:r>
      <w:r w:rsidR="00D04464" w:rsidRPr="00F822A1">
        <w:rPr>
          <w:rFonts w:ascii="Arial" w:hAnsi="Arial" w:cs="Arial"/>
          <w:b/>
          <w:sz w:val="24"/>
          <w:szCs w:val="24"/>
        </w:rPr>
        <w:t>Figure 2D &amp; 2G</w:t>
      </w:r>
      <w:r w:rsidR="00A570BC" w:rsidRPr="00F822A1">
        <w:rPr>
          <w:rFonts w:ascii="Arial" w:hAnsi="Arial" w:cs="Arial"/>
          <w:b/>
          <w:sz w:val="24"/>
          <w:szCs w:val="24"/>
        </w:rPr>
        <w:t>, Table 3</w:t>
      </w:r>
      <w:r w:rsidR="00126BB6" w:rsidRPr="00F822A1">
        <w:rPr>
          <w:rFonts w:ascii="Arial" w:hAnsi="Arial" w:cs="Arial"/>
          <w:b/>
          <w:sz w:val="24"/>
          <w:szCs w:val="24"/>
        </w:rPr>
        <w:t xml:space="preserve"> left column</w:t>
      </w:r>
      <w:r w:rsidR="00A570BC" w:rsidRPr="00F822A1">
        <w:rPr>
          <w:rFonts w:ascii="Arial" w:hAnsi="Arial" w:cs="Arial"/>
          <w:b/>
          <w:sz w:val="24"/>
          <w:szCs w:val="24"/>
        </w:rPr>
        <w:t>)</w:t>
      </w:r>
      <w:r w:rsidRPr="00F822A1">
        <w:rPr>
          <w:rFonts w:ascii="Arial" w:hAnsi="Arial" w:cs="Arial"/>
          <w:sz w:val="24"/>
          <w:szCs w:val="24"/>
        </w:rPr>
        <w:t xml:space="preserve">. </w:t>
      </w:r>
    </w:p>
    <w:p w:rsidR="002366E1" w:rsidRPr="00F822A1" w:rsidRDefault="002366E1" w:rsidP="00A918B7">
      <w:pPr>
        <w:spacing w:line="480" w:lineRule="auto"/>
        <w:rPr>
          <w:rFonts w:ascii="Arial" w:hAnsi="Arial" w:cs="Arial"/>
          <w:sz w:val="24"/>
          <w:szCs w:val="24"/>
        </w:rPr>
      </w:pPr>
      <w:r w:rsidRPr="00F822A1">
        <w:rPr>
          <w:rFonts w:ascii="Arial" w:hAnsi="Arial" w:cs="Arial"/>
          <w:sz w:val="24"/>
          <w:szCs w:val="24"/>
        </w:rPr>
        <w:lastRenderedPageBreak/>
        <w:t xml:space="preserve">During 5-10 years after </w:t>
      </w:r>
      <w:r w:rsidR="00126BB6" w:rsidRPr="00F822A1">
        <w:rPr>
          <w:rFonts w:ascii="Arial" w:hAnsi="Arial" w:cs="Arial"/>
          <w:sz w:val="24"/>
          <w:szCs w:val="24"/>
        </w:rPr>
        <w:t>BP measurement</w:t>
      </w:r>
      <w:r w:rsidRPr="00F822A1">
        <w:rPr>
          <w:rFonts w:ascii="Arial" w:hAnsi="Arial" w:cs="Arial"/>
          <w:sz w:val="24"/>
          <w:szCs w:val="24"/>
        </w:rPr>
        <w:t>, the negative association of</w:t>
      </w:r>
      <w:r w:rsidR="00C22A1B" w:rsidRPr="00F822A1">
        <w:rPr>
          <w:rFonts w:ascii="Arial" w:hAnsi="Arial" w:cs="Arial"/>
          <w:sz w:val="24"/>
          <w:szCs w:val="24"/>
        </w:rPr>
        <w:t xml:space="preserve"> systolic </w:t>
      </w:r>
      <w:r w:rsidRPr="00F822A1">
        <w:rPr>
          <w:rFonts w:ascii="Arial" w:hAnsi="Arial" w:cs="Arial"/>
          <w:sz w:val="24"/>
          <w:szCs w:val="24"/>
        </w:rPr>
        <w:t>BP with d</w:t>
      </w:r>
      <w:r w:rsidR="00DE50B3" w:rsidRPr="00F822A1">
        <w:rPr>
          <w:rFonts w:ascii="Arial" w:hAnsi="Arial" w:cs="Arial"/>
          <w:sz w:val="24"/>
          <w:szCs w:val="24"/>
        </w:rPr>
        <w:t>ementia was less marked (RR 0.942</w:t>
      </w:r>
      <w:r w:rsidRPr="00F822A1">
        <w:rPr>
          <w:rFonts w:ascii="Arial" w:hAnsi="Arial" w:cs="Arial"/>
          <w:sz w:val="24"/>
          <w:szCs w:val="24"/>
        </w:rPr>
        <w:t>, 95% CI</w:t>
      </w:r>
      <w:r w:rsidR="00DE50B3" w:rsidRPr="00F822A1">
        <w:rPr>
          <w:rFonts w:ascii="Arial" w:hAnsi="Arial" w:cs="Arial"/>
          <w:sz w:val="24"/>
          <w:szCs w:val="24"/>
        </w:rPr>
        <w:t xml:space="preserve"> 0.927</w:t>
      </w:r>
      <w:r w:rsidR="001619FB">
        <w:rPr>
          <w:rFonts w:ascii="Arial" w:hAnsi="Arial" w:cs="Arial"/>
          <w:sz w:val="24"/>
          <w:szCs w:val="24"/>
        </w:rPr>
        <w:t>-0.</w:t>
      </w:r>
      <w:r w:rsidR="00DE50B3" w:rsidRPr="00F822A1">
        <w:rPr>
          <w:rFonts w:ascii="Arial" w:hAnsi="Arial" w:cs="Arial"/>
          <w:sz w:val="24"/>
          <w:szCs w:val="24"/>
        </w:rPr>
        <w:t>956</w:t>
      </w:r>
      <w:r w:rsidRPr="00F822A1">
        <w:rPr>
          <w:rFonts w:ascii="Arial" w:hAnsi="Arial" w:cs="Arial"/>
          <w:sz w:val="24"/>
          <w:szCs w:val="24"/>
        </w:rPr>
        <w:t>)</w:t>
      </w:r>
      <w:r w:rsidR="00A570BC" w:rsidRPr="00F822A1">
        <w:rPr>
          <w:rFonts w:ascii="Arial" w:hAnsi="Arial" w:cs="Arial"/>
          <w:sz w:val="24"/>
          <w:szCs w:val="24"/>
        </w:rPr>
        <w:t xml:space="preserve"> than during the first 5 years (</w:t>
      </w:r>
      <w:r w:rsidR="00A570BC" w:rsidRPr="00F822A1">
        <w:rPr>
          <w:rFonts w:ascii="Arial" w:hAnsi="Arial" w:cs="Arial"/>
          <w:b/>
          <w:sz w:val="24"/>
          <w:szCs w:val="24"/>
        </w:rPr>
        <w:t>Figure 2B, Table 3</w:t>
      </w:r>
      <w:r w:rsidR="00126BB6" w:rsidRPr="00F822A1">
        <w:rPr>
          <w:rFonts w:ascii="Arial" w:hAnsi="Arial" w:cs="Arial"/>
          <w:b/>
          <w:sz w:val="24"/>
          <w:szCs w:val="24"/>
        </w:rPr>
        <w:t xml:space="preserve"> middle column</w:t>
      </w:r>
      <w:r w:rsidR="00A570BC" w:rsidRPr="00F822A1">
        <w:rPr>
          <w:rFonts w:ascii="Arial" w:hAnsi="Arial" w:cs="Arial"/>
          <w:b/>
          <w:sz w:val="24"/>
          <w:szCs w:val="24"/>
        </w:rPr>
        <w:t>)</w:t>
      </w:r>
      <w:r w:rsidRPr="00F822A1">
        <w:rPr>
          <w:rFonts w:ascii="Arial" w:hAnsi="Arial" w:cs="Arial"/>
          <w:sz w:val="24"/>
          <w:szCs w:val="24"/>
        </w:rPr>
        <w:t xml:space="preserve">. </w:t>
      </w:r>
      <w:r w:rsidR="00C22A1B" w:rsidRPr="00F822A1">
        <w:rPr>
          <w:rFonts w:ascii="Arial" w:hAnsi="Arial" w:cs="Arial"/>
          <w:sz w:val="24"/>
          <w:szCs w:val="24"/>
        </w:rPr>
        <w:t xml:space="preserve">Systolic BP </w:t>
      </w:r>
      <w:r w:rsidR="00A570BC" w:rsidRPr="00F822A1">
        <w:rPr>
          <w:rFonts w:ascii="Arial" w:hAnsi="Arial" w:cs="Arial"/>
          <w:sz w:val="24"/>
          <w:szCs w:val="24"/>
        </w:rPr>
        <w:t xml:space="preserve">was </w:t>
      </w:r>
      <w:r w:rsidRPr="00F822A1">
        <w:rPr>
          <w:rFonts w:ascii="Arial" w:hAnsi="Arial" w:cs="Arial"/>
          <w:sz w:val="24"/>
          <w:szCs w:val="24"/>
        </w:rPr>
        <w:t xml:space="preserve">negatively associated with </w:t>
      </w:r>
      <w:r w:rsidR="007216E5">
        <w:rPr>
          <w:rFonts w:ascii="Arial" w:hAnsi="Arial" w:cs="Arial"/>
          <w:sz w:val="24"/>
          <w:szCs w:val="24"/>
        </w:rPr>
        <w:t xml:space="preserve">AD </w:t>
      </w:r>
      <w:r w:rsidRPr="00F822A1">
        <w:rPr>
          <w:rFonts w:ascii="Arial" w:hAnsi="Arial" w:cs="Arial"/>
          <w:sz w:val="24"/>
          <w:szCs w:val="24"/>
        </w:rPr>
        <w:t xml:space="preserve">during this </w:t>
      </w:r>
      <w:r w:rsidR="0035146E" w:rsidRPr="00F822A1">
        <w:rPr>
          <w:rFonts w:ascii="Arial" w:hAnsi="Arial" w:cs="Arial"/>
          <w:sz w:val="24"/>
          <w:szCs w:val="24"/>
        </w:rPr>
        <w:t>period</w:t>
      </w:r>
      <w:r w:rsidR="00DE50B3" w:rsidRPr="00F822A1">
        <w:rPr>
          <w:rFonts w:ascii="Arial" w:hAnsi="Arial" w:cs="Arial"/>
          <w:sz w:val="24"/>
          <w:szCs w:val="24"/>
        </w:rPr>
        <w:t xml:space="preserve"> (RR 0.937</w:t>
      </w:r>
      <w:r w:rsidRPr="00F822A1">
        <w:rPr>
          <w:rFonts w:ascii="Arial" w:hAnsi="Arial" w:cs="Arial"/>
          <w:sz w:val="24"/>
          <w:szCs w:val="24"/>
        </w:rPr>
        <w:t>, 95% CI 0.</w:t>
      </w:r>
      <w:r w:rsidR="00DE50B3" w:rsidRPr="00F822A1">
        <w:rPr>
          <w:rFonts w:ascii="Arial" w:hAnsi="Arial" w:cs="Arial"/>
          <w:sz w:val="24"/>
          <w:szCs w:val="24"/>
        </w:rPr>
        <w:t>921</w:t>
      </w:r>
      <w:r w:rsidR="001619FB">
        <w:rPr>
          <w:rFonts w:ascii="Arial" w:hAnsi="Arial" w:cs="Arial"/>
          <w:sz w:val="24"/>
          <w:szCs w:val="24"/>
        </w:rPr>
        <w:t>-0.</w:t>
      </w:r>
      <w:r w:rsidR="00DE50B3" w:rsidRPr="00F822A1">
        <w:rPr>
          <w:rFonts w:ascii="Arial" w:hAnsi="Arial" w:cs="Arial"/>
          <w:sz w:val="24"/>
          <w:szCs w:val="24"/>
        </w:rPr>
        <w:t>954</w:t>
      </w:r>
      <w:r w:rsidRPr="00F822A1">
        <w:rPr>
          <w:rFonts w:ascii="Arial" w:hAnsi="Arial" w:cs="Arial"/>
          <w:sz w:val="24"/>
          <w:szCs w:val="24"/>
        </w:rPr>
        <w:t xml:space="preserve">), </w:t>
      </w:r>
      <w:r w:rsidR="00A570BC" w:rsidRPr="00F822A1">
        <w:rPr>
          <w:rFonts w:ascii="Arial" w:hAnsi="Arial" w:cs="Arial"/>
          <w:sz w:val="24"/>
          <w:szCs w:val="24"/>
        </w:rPr>
        <w:t xml:space="preserve">but </w:t>
      </w:r>
      <w:r w:rsidRPr="00F822A1">
        <w:rPr>
          <w:rFonts w:ascii="Arial" w:hAnsi="Arial" w:cs="Arial"/>
          <w:sz w:val="24"/>
          <w:szCs w:val="24"/>
        </w:rPr>
        <w:t xml:space="preserve">the </w:t>
      </w:r>
      <w:r w:rsidR="0035146E" w:rsidRPr="00F822A1">
        <w:rPr>
          <w:rFonts w:ascii="Arial" w:hAnsi="Arial" w:cs="Arial"/>
          <w:sz w:val="24"/>
          <w:szCs w:val="24"/>
        </w:rPr>
        <w:t xml:space="preserve">inverse </w:t>
      </w:r>
      <w:r w:rsidRPr="00F822A1">
        <w:rPr>
          <w:rFonts w:ascii="Arial" w:hAnsi="Arial" w:cs="Arial"/>
          <w:sz w:val="24"/>
          <w:szCs w:val="24"/>
        </w:rPr>
        <w:t xml:space="preserve">association with vascular dementia </w:t>
      </w:r>
      <w:r w:rsidR="00DE50B3" w:rsidRPr="00F822A1">
        <w:rPr>
          <w:rFonts w:ascii="Arial" w:hAnsi="Arial" w:cs="Arial"/>
          <w:sz w:val="24"/>
          <w:szCs w:val="24"/>
        </w:rPr>
        <w:t>was non-</w:t>
      </w:r>
      <w:r w:rsidRPr="00F822A1">
        <w:rPr>
          <w:rFonts w:ascii="Arial" w:hAnsi="Arial" w:cs="Arial"/>
          <w:sz w:val="24"/>
          <w:szCs w:val="24"/>
        </w:rPr>
        <w:t>significant (RR 0.</w:t>
      </w:r>
      <w:r w:rsidR="00DE50B3" w:rsidRPr="00F822A1">
        <w:rPr>
          <w:rFonts w:ascii="Arial" w:hAnsi="Arial" w:cs="Arial"/>
          <w:sz w:val="24"/>
          <w:szCs w:val="24"/>
        </w:rPr>
        <w:t>979</w:t>
      </w:r>
      <w:r w:rsidRPr="00F822A1">
        <w:rPr>
          <w:rFonts w:ascii="Arial" w:hAnsi="Arial" w:cs="Arial"/>
          <w:sz w:val="24"/>
          <w:szCs w:val="24"/>
        </w:rPr>
        <w:t>, 95% CI 0.</w:t>
      </w:r>
      <w:r w:rsidR="00DE50B3" w:rsidRPr="00F822A1">
        <w:rPr>
          <w:rFonts w:ascii="Arial" w:hAnsi="Arial" w:cs="Arial"/>
          <w:sz w:val="24"/>
          <w:szCs w:val="24"/>
        </w:rPr>
        <w:t>948</w:t>
      </w:r>
      <w:r w:rsidR="001619FB">
        <w:rPr>
          <w:rFonts w:ascii="Arial" w:hAnsi="Arial" w:cs="Arial"/>
          <w:sz w:val="24"/>
          <w:szCs w:val="24"/>
        </w:rPr>
        <w:t>-1.</w:t>
      </w:r>
      <w:r w:rsidR="00DE50B3" w:rsidRPr="00F822A1">
        <w:rPr>
          <w:rFonts w:ascii="Arial" w:hAnsi="Arial" w:cs="Arial"/>
          <w:sz w:val="24"/>
          <w:szCs w:val="24"/>
        </w:rPr>
        <w:t>011</w:t>
      </w:r>
      <w:r w:rsidRPr="00F822A1">
        <w:rPr>
          <w:rFonts w:ascii="Arial" w:hAnsi="Arial" w:cs="Arial"/>
          <w:sz w:val="24"/>
          <w:szCs w:val="24"/>
        </w:rPr>
        <w:t>)</w:t>
      </w:r>
      <w:r w:rsidR="00A570BC" w:rsidRPr="00F822A1">
        <w:rPr>
          <w:rFonts w:ascii="Arial" w:hAnsi="Arial" w:cs="Arial"/>
          <w:sz w:val="24"/>
          <w:szCs w:val="24"/>
        </w:rPr>
        <w:t xml:space="preserve"> (</w:t>
      </w:r>
      <w:r w:rsidR="00D04464" w:rsidRPr="00F822A1">
        <w:rPr>
          <w:rFonts w:ascii="Arial" w:hAnsi="Arial" w:cs="Arial"/>
          <w:b/>
          <w:sz w:val="24"/>
          <w:szCs w:val="24"/>
        </w:rPr>
        <w:t xml:space="preserve">Figures </w:t>
      </w:r>
      <w:r w:rsidR="004C7A94" w:rsidRPr="00F822A1">
        <w:rPr>
          <w:rFonts w:ascii="Arial" w:hAnsi="Arial" w:cs="Arial"/>
          <w:b/>
          <w:sz w:val="24"/>
          <w:szCs w:val="24"/>
        </w:rPr>
        <w:t>2</w:t>
      </w:r>
      <w:r w:rsidR="00D04464" w:rsidRPr="00F822A1">
        <w:rPr>
          <w:rFonts w:ascii="Arial" w:hAnsi="Arial" w:cs="Arial"/>
          <w:b/>
          <w:sz w:val="24"/>
          <w:szCs w:val="24"/>
        </w:rPr>
        <w:t xml:space="preserve">E &amp; </w:t>
      </w:r>
      <w:r w:rsidR="004C7A94" w:rsidRPr="00F822A1">
        <w:rPr>
          <w:rFonts w:ascii="Arial" w:hAnsi="Arial" w:cs="Arial"/>
          <w:b/>
          <w:sz w:val="24"/>
          <w:szCs w:val="24"/>
        </w:rPr>
        <w:t>2</w:t>
      </w:r>
      <w:r w:rsidR="00D04464" w:rsidRPr="00F822A1">
        <w:rPr>
          <w:rFonts w:ascii="Arial" w:hAnsi="Arial" w:cs="Arial"/>
          <w:b/>
          <w:sz w:val="24"/>
          <w:szCs w:val="24"/>
        </w:rPr>
        <w:t>H</w:t>
      </w:r>
      <w:r w:rsidR="00A570BC" w:rsidRPr="00F822A1">
        <w:rPr>
          <w:rFonts w:ascii="Arial" w:hAnsi="Arial" w:cs="Arial"/>
          <w:b/>
          <w:sz w:val="24"/>
          <w:szCs w:val="24"/>
        </w:rPr>
        <w:t>)</w:t>
      </w:r>
      <w:r w:rsidRPr="00F822A1">
        <w:rPr>
          <w:rFonts w:ascii="Arial" w:hAnsi="Arial" w:cs="Arial"/>
          <w:sz w:val="24"/>
          <w:szCs w:val="24"/>
        </w:rPr>
        <w:t xml:space="preserve">. </w:t>
      </w:r>
    </w:p>
    <w:p w:rsidR="002366E1" w:rsidRPr="00F822A1" w:rsidRDefault="002366E1" w:rsidP="00A918B7">
      <w:pPr>
        <w:spacing w:after="0" w:line="480" w:lineRule="auto"/>
        <w:rPr>
          <w:rFonts w:ascii="Arial" w:hAnsi="Arial" w:cs="Arial"/>
          <w:sz w:val="24"/>
          <w:szCs w:val="24"/>
        </w:rPr>
      </w:pPr>
      <w:r w:rsidRPr="00F822A1">
        <w:rPr>
          <w:rFonts w:ascii="Arial" w:hAnsi="Arial" w:cs="Arial"/>
          <w:sz w:val="24"/>
          <w:szCs w:val="24"/>
        </w:rPr>
        <w:t xml:space="preserve">When considering dementia risk more than 10 years after </w:t>
      </w:r>
      <w:r w:rsidR="00F20E93" w:rsidRPr="00F822A1">
        <w:rPr>
          <w:rFonts w:ascii="Arial" w:hAnsi="Arial" w:cs="Arial"/>
          <w:sz w:val="24"/>
          <w:szCs w:val="24"/>
        </w:rPr>
        <w:t>BP measurement</w:t>
      </w:r>
      <w:r w:rsidRPr="00F822A1">
        <w:rPr>
          <w:rFonts w:ascii="Arial" w:hAnsi="Arial" w:cs="Arial"/>
          <w:sz w:val="24"/>
          <w:szCs w:val="24"/>
        </w:rPr>
        <w:t>, there was only a</w:t>
      </w:r>
      <w:r w:rsidR="00A72118" w:rsidRPr="00F822A1">
        <w:rPr>
          <w:rFonts w:ascii="Arial" w:hAnsi="Arial" w:cs="Arial"/>
          <w:sz w:val="24"/>
          <w:szCs w:val="24"/>
        </w:rPr>
        <w:t xml:space="preserve"> very weak association with </w:t>
      </w:r>
      <w:r w:rsidR="00C22A1B" w:rsidRPr="00F822A1">
        <w:rPr>
          <w:rFonts w:ascii="Arial" w:hAnsi="Arial" w:cs="Arial"/>
          <w:sz w:val="24"/>
          <w:szCs w:val="24"/>
        </w:rPr>
        <w:t xml:space="preserve">systolic BP </w:t>
      </w:r>
      <w:r w:rsidR="00DE50B3" w:rsidRPr="00F822A1">
        <w:rPr>
          <w:rFonts w:ascii="Arial" w:hAnsi="Arial" w:cs="Arial"/>
          <w:sz w:val="24"/>
          <w:szCs w:val="24"/>
        </w:rPr>
        <w:t xml:space="preserve">(RR </w:t>
      </w:r>
      <w:r w:rsidR="00E573D6" w:rsidRPr="00F822A1">
        <w:rPr>
          <w:rFonts w:ascii="Arial" w:hAnsi="Arial" w:cs="Arial"/>
          <w:sz w:val="24"/>
          <w:szCs w:val="24"/>
        </w:rPr>
        <w:t>0.984, 0.970</w:t>
      </w:r>
      <w:r w:rsidR="001619FB">
        <w:rPr>
          <w:rFonts w:ascii="Arial" w:hAnsi="Arial" w:cs="Arial"/>
          <w:sz w:val="24"/>
          <w:szCs w:val="24"/>
        </w:rPr>
        <w:t>-0.</w:t>
      </w:r>
      <w:r w:rsidR="00E573D6" w:rsidRPr="00F822A1">
        <w:rPr>
          <w:rFonts w:ascii="Arial" w:hAnsi="Arial" w:cs="Arial"/>
          <w:sz w:val="24"/>
          <w:szCs w:val="24"/>
        </w:rPr>
        <w:t>999)</w:t>
      </w:r>
      <w:r w:rsidR="00F80FAB" w:rsidRPr="00F822A1">
        <w:rPr>
          <w:rFonts w:ascii="Arial" w:hAnsi="Arial" w:cs="Arial"/>
          <w:sz w:val="24"/>
          <w:szCs w:val="24"/>
        </w:rPr>
        <w:t xml:space="preserve">, but </w:t>
      </w:r>
      <w:r w:rsidR="00E902B2" w:rsidRPr="00F822A1">
        <w:rPr>
          <w:rFonts w:ascii="Arial" w:hAnsi="Arial" w:cs="Arial"/>
          <w:sz w:val="24"/>
          <w:szCs w:val="24"/>
        </w:rPr>
        <w:t>there was clear evidence that the association varied by age at index measurement</w:t>
      </w:r>
      <w:r w:rsidR="00F80FAB" w:rsidRPr="00F822A1">
        <w:rPr>
          <w:rFonts w:ascii="Arial" w:hAnsi="Arial" w:cs="Arial"/>
          <w:sz w:val="24"/>
          <w:szCs w:val="24"/>
        </w:rPr>
        <w:t xml:space="preserve"> (p for interaction with age &lt;0.0001)</w:t>
      </w:r>
      <w:r w:rsidR="00E902B2" w:rsidRPr="00F822A1">
        <w:rPr>
          <w:rFonts w:ascii="Arial" w:hAnsi="Arial" w:cs="Arial"/>
          <w:sz w:val="24"/>
          <w:szCs w:val="24"/>
        </w:rPr>
        <w:t>. T</w:t>
      </w:r>
      <w:r w:rsidRPr="00F822A1">
        <w:rPr>
          <w:rFonts w:ascii="Arial" w:hAnsi="Arial" w:cs="Arial"/>
          <w:sz w:val="24"/>
          <w:szCs w:val="24"/>
        </w:rPr>
        <w:t xml:space="preserve">here </w:t>
      </w:r>
      <w:r w:rsidR="00E902B2" w:rsidRPr="00F822A1">
        <w:rPr>
          <w:rFonts w:ascii="Arial" w:hAnsi="Arial" w:cs="Arial"/>
          <w:sz w:val="24"/>
          <w:szCs w:val="24"/>
        </w:rPr>
        <w:t>was a</w:t>
      </w:r>
      <w:r w:rsidRPr="00F822A1">
        <w:rPr>
          <w:rFonts w:ascii="Arial" w:hAnsi="Arial" w:cs="Arial"/>
          <w:sz w:val="24"/>
          <w:szCs w:val="24"/>
        </w:rPr>
        <w:t xml:space="preserve"> weak positive association with dementia amongst individuals aged &lt;70 </w:t>
      </w:r>
      <w:r w:rsidR="00A52023" w:rsidRPr="00F822A1">
        <w:rPr>
          <w:rFonts w:ascii="Arial" w:hAnsi="Arial" w:cs="Arial"/>
          <w:sz w:val="24"/>
          <w:szCs w:val="24"/>
        </w:rPr>
        <w:t>(</w:t>
      </w:r>
      <w:r w:rsidR="001619FB">
        <w:rPr>
          <w:rFonts w:ascii="Arial" w:hAnsi="Arial" w:cs="Arial"/>
          <w:sz w:val="24"/>
          <w:szCs w:val="24"/>
        </w:rPr>
        <w:t>RR</w:t>
      </w:r>
      <w:proofErr w:type="gramStart"/>
      <w:r w:rsidR="001619FB">
        <w:rPr>
          <w:rFonts w:ascii="Arial" w:hAnsi="Arial" w:cs="Arial"/>
          <w:sz w:val="24"/>
          <w:szCs w:val="24"/>
        </w:rPr>
        <w:t>:</w:t>
      </w:r>
      <w:r w:rsidR="00A52023" w:rsidRPr="00F822A1">
        <w:rPr>
          <w:rFonts w:ascii="Arial" w:eastAsia="Times New Roman" w:hAnsi="Arial" w:cs="Arial"/>
          <w:sz w:val="24"/>
          <w:szCs w:val="24"/>
          <w:lang w:eastAsia="en-GB"/>
        </w:rPr>
        <w:t>1.067</w:t>
      </w:r>
      <w:proofErr w:type="gramEnd"/>
      <w:r w:rsidR="00A52023" w:rsidRPr="00F822A1">
        <w:rPr>
          <w:rFonts w:ascii="Arial" w:eastAsia="Times New Roman" w:hAnsi="Arial" w:cs="Arial"/>
          <w:sz w:val="24"/>
          <w:szCs w:val="24"/>
          <w:lang w:eastAsia="en-GB"/>
        </w:rPr>
        <w:t>, 95% CI 1.003</w:t>
      </w:r>
      <w:r w:rsidR="001619FB">
        <w:rPr>
          <w:rFonts w:ascii="Arial" w:eastAsia="Times New Roman" w:hAnsi="Arial" w:cs="Arial"/>
          <w:sz w:val="24"/>
          <w:szCs w:val="24"/>
          <w:lang w:eastAsia="en-GB"/>
        </w:rPr>
        <w:t>-1.</w:t>
      </w:r>
      <w:r w:rsidR="00A52023" w:rsidRPr="00F822A1">
        <w:rPr>
          <w:rFonts w:ascii="Arial" w:eastAsia="Times New Roman" w:hAnsi="Arial" w:cs="Arial"/>
          <w:sz w:val="24"/>
          <w:szCs w:val="24"/>
          <w:lang w:eastAsia="en-GB"/>
        </w:rPr>
        <w:t>134)</w:t>
      </w:r>
      <w:r w:rsidRPr="00F822A1">
        <w:rPr>
          <w:rFonts w:ascii="Arial" w:hAnsi="Arial" w:cs="Arial"/>
          <w:sz w:val="24"/>
          <w:szCs w:val="24"/>
        </w:rPr>
        <w:t xml:space="preserve">, </w:t>
      </w:r>
      <w:r w:rsidR="00E902B2" w:rsidRPr="00F822A1">
        <w:rPr>
          <w:rFonts w:ascii="Arial" w:hAnsi="Arial" w:cs="Arial"/>
          <w:sz w:val="24"/>
          <w:szCs w:val="24"/>
        </w:rPr>
        <w:t xml:space="preserve">but </w:t>
      </w:r>
      <w:r w:rsidR="00F20E93" w:rsidRPr="00F822A1">
        <w:rPr>
          <w:rFonts w:ascii="Arial" w:hAnsi="Arial" w:cs="Arial"/>
          <w:sz w:val="24"/>
          <w:szCs w:val="24"/>
        </w:rPr>
        <w:t xml:space="preserve">this was not the case amongst older patients </w:t>
      </w:r>
      <w:r w:rsidR="00E902B2" w:rsidRPr="00F822A1">
        <w:rPr>
          <w:rFonts w:ascii="Arial" w:hAnsi="Arial" w:cs="Arial"/>
          <w:sz w:val="24"/>
          <w:szCs w:val="24"/>
        </w:rPr>
        <w:t>in whom</w:t>
      </w:r>
      <w:r w:rsidR="00F20E93" w:rsidRPr="00F822A1">
        <w:rPr>
          <w:rFonts w:ascii="Arial" w:hAnsi="Arial" w:cs="Arial"/>
          <w:sz w:val="24"/>
          <w:szCs w:val="24"/>
        </w:rPr>
        <w:t xml:space="preserve"> more cases of dementia occur. The </w:t>
      </w:r>
      <w:r w:rsidR="00A52023" w:rsidRPr="00F822A1">
        <w:rPr>
          <w:rFonts w:ascii="Arial" w:hAnsi="Arial" w:cs="Arial"/>
          <w:sz w:val="24"/>
          <w:szCs w:val="24"/>
        </w:rPr>
        <w:t xml:space="preserve">association amongst </w:t>
      </w:r>
      <w:r w:rsidR="00E573D6" w:rsidRPr="00F822A1">
        <w:rPr>
          <w:rFonts w:ascii="Arial" w:hAnsi="Arial" w:cs="Arial"/>
          <w:sz w:val="24"/>
          <w:szCs w:val="24"/>
        </w:rPr>
        <w:t xml:space="preserve">people </w:t>
      </w:r>
      <w:r w:rsidR="00A52023" w:rsidRPr="00F822A1">
        <w:rPr>
          <w:rFonts w:ascii="Arial" w:hAnsi="Arial" w:cs="Arial"/>
          <w:sz w:val="24"/>
          <w:szCs w:val="24"/>
        </w:rPr>
        <w:t xml:space="preserve">aged </w:t>
      </w:r>
      <w:r w:rsidR="00E573D6" w:rsidRPr="00F822A1">
        <w:rPr>
          <w:rFonts w:ascii="Arial" w:hAnsi="Arial" w:cs="Arial"/>
          <w:sz w:val="24"/>
          <w:szCs w:val="24"/>
        </w:rPr>
        <w:t>70-84 (</w:t>
      </w:r>
      <w:r w:rsidR="001619FB">
        <w:rPr>
          <w:rFonts w:ascii="Arial" w:hAnsi="Arial" w:cs="Arial"/>
          <w:sz w:val="24"/>
          <w:szCs w:val="24"/>
        </w:rPr>
        <w:t>RR</w:t>
      </w:r>
      <w:proofErr w:type="gramStart"/>
      <w:r w:rsidR="001619FB">
        <w:rPr>
          <w:rFonts w:ascii="Arial" w:hAnsi="Arial" w:cs="Arial"/>
          <w:sz w:val="24"/>
          <w:szCs w:val="24"/>
        </w:rPr>
        <w:t>:</w:t>
      </w:r>
      <w:r w:rsidR="00E573D6" w:rsidRPr="00F822A1">
        <w:rPr>
          <w:rFonts w:ascii="Arial" w:hAnsi="Arial" w:cs="Arial"/>
          <w:sz w:val="24"/>
          <w:szCs w:val="24"/>
        </w:rPr>
        <w:t>0.995</w:t>
      </w:r>
      <w:proofErr w:type="gramEnd"/>
      <w:r w:rsidR="00E00C7D" w:rsidRPr="00F822A1">
        <w:rPr>
          <w:rFonts w:ascii="Arial" w:hAnsi="Arial" w:cs="Arial"/>
          <w:sz w:val="24"/>
          <w:szCs w:val="24"/>
        </w:rPr>
        <w:t>,</w:t>
      </w:r>
      <w:r w:rsidR="00E573D6" w:rsidRPr="00F822A1">
        <w:rPr>
          <w:rFonts w:ascii="Arial" w:hAnsi="Arial" w:cs="Arial"/>
          <w:sz w:val="24"/>
          <w:szCs w:val="24"/>
        </w:rPr>
        <w:t xml:space="preserve"> 0.975</w:t>
      </w:r>
      <w:r w:rsidR="001619FB">
        <w:rPr>
          <w:rFonts w:ascii="Arial" w:hAnsi="Arial" w:cs="Arial"/>
          <w:sz w:val="24"/>
          <w:szCs w:val="24"/>
        </w:rPr>
        <w:t>-1.</w:t>
      </w:r>
      <w:r w:rsidR="00E573D6" w:rsidRPr="00F822A1">
        <w:rPr>
          <w:rFonts w:ascii="Arial" w:hAnsi="Arial" w:cs="Arial"/>
          <w:sz w:val="24"/>
          <w:szCs w:val="24"/>
        </w:rPr>
        <w:t xml:space="preserve">015) </w:t>
      </w:r>
      <w:r w:rsidR="00F20E93" w:rsidRPr="00F822A1">
        <w:rPr>
          <w:rFonts w:ascii="Arial" w:hAnsi="Arial" w:cs="Arial"/>
          <w:sz w:val="24"/>
          <w:szCs w:val="24"/>
        </w:rPr>
        <w:t xml:space="preserve">was non-significant and amongst those aged </w:t>
      </w:r>
      <w:r w:rsidR="00E573D6" w:rsidRPr="00F822A1">
        <w:rPr>
          <w:rFonts w:ascii="Arial" w:hAnsi="Arial" w:cs="Arial"/>
          <w:sz w:val="24"/>
          <w:szCs w:val="24"/>
        </w:rPr>
        <w:t xml:space="preserve">or </w:t>
      </w:r>
      <w:r w:rsidR="00A52023" w:rsidRPr="00F822A1">
        <w:rPr>
          <w:rFonts w:ascii="Arial" w:hAnsi="Arial" w:cs="Arial"/>
          <w:sz w:val="24"/>
          <w:szCs w:val="24"/>
        </w:rPr>
        <w:t>85 or older</w:t>
      </w:r>
      <w:r w:rsidR="00F20E93" w:rsidRPr="00F822A1">
        <w:rPr>
          <w:rFonts w:ascii="Arial" w:hAnsi="Arial" w:cs="Arial"/>
          <w:sz w:val="24"/>
          <w:szCs w:val="24"/>
        </w:rPr>
        <w:t xml:space="preserve"> it was negative</w:t>
      </w:r>
      <w:r w:rsidR="00A52023" w:rsidRPr="00F822A1">
        <w:rPr>
          <w:rFonts w:ascii="Arial" w:eastAsia="Times New Roman" w:hAnsi="Arial" w:cs="Arial"/>
          <w:sz w:val="24"/>
          <w:szCs w:val="24"/>
          <w:lang w:eastAsia="en-GB"/>
        </w:rPr>
        <w:t xml:space="preserve"> </w:t>
      </w:r>
      <w:r w:rsidR="00E573D6" w:rsidRPr="00F822A1">
        <w:rPr>
          <w:rFonts w:ascii="Arial" w:eastAsia="Times New Roman" w:hAnsi="Arial" w:cs="Arial"/>
          <w:sz w:val="24"/>
          <w:szCs w:val="24"/>
          <w:lang w:eastAsia="en-GB"/>
        </w:rPr>
        <w:t xml:space="preserve">(RR 0.951, </w:t>
      </w:r>
      <w:r w:rsidR="00A52023" w:rsidRPr="00F822A1">
        <w:rPr>
          <w:rFonts w:ascii="Arial" w:eastAsia="Times New Roman" w:hAnsi="Arial" w:cs="Arial"/>
          <w:sz w:val="24"/>
          <w:szCs w:val="24"/>
          <w:lang w:eastAsia="en-GB"/>
        </w:rPr>
        <w:t>95% CI 0.931</w:t>
      </w:r>
      <w:r w:rsidR="001619FB">
        <w:rPr>
          <w:rFonts w:ascii="Arial" w:eastAsia="Times New Roman" w:hAnsi="Arial" w:cs="Arial"/>
          <w:sz w:val="24"/>
          <w:szCs w:val="24"/>
          <w:lang w:eastAsia="en-GB"/>
        </w:rPr>
        <w:t>-0.</w:t>
      </w:r>
      <w:r w:rsidR="00A52023" w:rsidRPr="00F822A1">
        <w:rPr>
          <w:rFonts w:ascii="Arial" w:eastAsia="Times New Roman" w:hAnsi="Arial" w:cs="Arial"/>
          <w:sz w:val="24"/>
          <w:szCs w:val="24"/>
          <w:lang w:eastAsia="en-GB"/>
        </w:rPr>
        <w:t>979)</w:t>
      </w:r>
      <w:r w:rsidR="001354BA" w:rsidRPr="00F822A1">
        <w:rPr>
          <w:rFonts w:ascii="Arial" w:eastAsia="Times New Roman" w:hAnsi="Arial" w:cs="Arial"/>
          <w:sz w:val="24"/>
          <w:szCs w:val="24"/>
          <w:lang w:eastAsia="en-GB"/>
        </w:rPr>
        <w:t>(</w:t>
      </w:r>
      <w:r w:rsidR="001354BA" w:rsidRPr="00F822A1">
        <w:rPr>
          <w:rFonts w:ascii="Arial" w:eastAsia="Times New Roman" w:hAnsi="Arial" w:cs="Arial"/>
          <w:b/>
          <w:sz w:val="24"/>
          <w:szCs w:val="24"/>
          <w:lang w:eastAsia="en-GB"/>
        </w:rPr>
        <w:t>Figure 2C</w:t>
      </w:r>
      <w:r w:rsidR="00E660C3">
        <w:rPr>
          <w:rFonts w:ascii="Arial" w:eastAsia="Times New Roman" w:hAnsi="Arial" w:cs="Arial"/>
          <w:b/>
          <w:sz w:val="24"/>
          <w:szCs w:val="24"/>
          <w:lang w:eastAsia="en-GB"/>
        </w:rPr>
        <w:t>,</w:t>
      </w:r>
      <w:r w:rsidR="00E00C7D" w:rsidRPr="00F822A1">
        <w:rPr>
          <w:rFonts w:ascii="Arial" w:eastAsia="Times New Roman" w:hAnsi="Arial" w:cs="Arial"/>
          <w:b/>
          <w:sz w:val="24"/>
          <w:szCs w:val="24"/>
          <w:lang w:eastAsia="en-GB"/>
        </w:rPr>
        <w:t>Table 3</w:t>
      </w:r>
      <w:r w:rsidR="001354BA" w:rsidRPr="00F822A1">
        <w:rPr>
          <w:rFonts w:ascii="Arial" w:eastAsia="Times New Roman" w:hAnsi="Arial" w:cs="Arial"/>
          <w:sz w:val="24"/>
          <w:szCs w:val="24"/>
          <w:lang w:eastAsia="en-GB"/>
        </w:rPr>
        <w:t>)</w:t>
      </w:r>
      <w:r w:rsidR="00A52023" w:rsidRPr="00F822A1">
        <w:rPr>
          <w:rFonts w:ascii="Arial" w:eastAsia="Times New Roman" w:hAnsi="Arial" w:cs="Arial"/>
          <w:sz w:val="24"/>
          <w:szCs w:val="24"/>
          <w:lang w:eastAsia="en-GB"/>
        </w:rPr>
        <w:t xml:space="preserve">. </w:t>
      </w:r>
      <w:r w:rsidR="00E573D6" w:rsidRPr="00F822A1">
        <w:rPr>
          <w:rFonts w:ascii="Arial" w:eastAsia="Times New Roman" w:hAnsi="Arial" w:cs="Arial"/>
          <w:sz w:val="24"/>
          <w:szCs w:val="24"/>
          <w:lang w:eastAsia="en-GB"/>
        </w:rPr>
        <w:t xml:space="preserve">Differences </w:t>
      </w:r>
      <w:r w:rsidR="00A52023" w:rsidRPr="00F822A1">
        <w:rPr>
          <w:rFonts w:ascii="Arial" w:eastAsia="Times New Roman" w:hAnsi="Arial" w:cs="Arial"/>
          <w:sz w:val="24"/>
          <w:szCs w:val="24"/>
          <w:lang w:eastAsia="en-GB"/>
        </w:rPr>
        <w:t xml:space="preserve">in the association of </w:t>
      </w:r>
      <w:r w:rsidR="00C22A1B" w:rsidRPr="00F822A1">
        <w:rPr>
          <w:rFonts w:ascii="Arial" w:eastAsia="Times New Roman" w:hAnsi="Arial" w:cs="Arial"/>
          <w:sz w:val="24"/>
          <w:szCs w:val="24"/>
          <w:lang w:eastAsia="en-GB"/>
        </w:rPr>
        <w:t xml:space="preserve">systolic BP </w:t>
      </w:r>
      <w:r w:rsidR="00A52023" w:rsidRPr="00F822A1">
        <w:rPr>
          <w:rFonts w:ascii="Arial" w:eastAsia="Times New Roman" w:hAnsi="Arial" w:cs="Arial"/>
          <w:sz w:val="24"/>
          <w:szCs w:val="24"/>
          <w:lang w:eastAsia="en-GB"/>
        </w:rPr>
        <w:t xml:space="preserve">with dementia risk across age groups was less marked for </w:t>
      </w:r>
      <w:r w:rsidR="007216E5">
        <w:rPr>
          <w:rFonts w:ascii="Arial" w:eastAsia="Times New Roman" w:hAnsi="Arial" w:cs="Arial"/>
          <w:sz w:val="24"/>
          <w:szCs w:val="24"/>
          <w:lang w:eastAsia="en-GB"/>
        </w:rPr>
        <w:t>AD</w:t>
      </w:r>
      <w:r w:rsidR="00A52023" w:rsidRPr="00F822A1">
        <w:rPr>
          <w:rFonts w:ascii="Arial" w:eastAsia="Times New Roman" w:hAnsi="Arial" w:cs="Arial"/>
          <w:sz w:val="24"/>
          <w:szCs w:val="24"/>
          <w:lang w:eastAsia="en-GB"/>
        </w:rPr>
        <w:t xml:space="preserve">, which was weakly </w:t>
      </w:r>
      <w:r w:rsidR="00AC6AA7" w:rsidRPr="00F822A1">
        <w:rPr>
          <w:rFonts w:ascii="Arial" w:eastAsia="Times New Roman" w:hAnsi="Arial" w:cs="Arial"/>
          <w:sz w:val="24"/>
          <w:szCs w:val="24"/>
          <w:lang w:eastAsia="en-GB"/>
        </w:rPr>
        <w:t xml:space="preserve">inversely </w:t>
      </w:r>
      <w:r w:rsidR="00A52023" w:rsidRPr="00F822A1">
        <w:rPr>
          <w:rFonts w:ascii="Arial" w:eastAsia="Times New Roman" w:hAnsi="Arial" w:cs="Arial"/>
          <w:sz w:val="24"/>
          <w:szCs w:val="24"/>
          <w:lang w:eastAsia="en-GB"/>
        </w:rPr>
        <w:t xml:space="preserve">associated with </w:t>
      </w:r>
      <w:r w:rsidR="00C22A1B" w:rsidRPr="00F822A1">
        <w:rPr>
          <w:rFonts w:ascii="Arial" w:eastAsia="Times New Roman" w:hAnsi="Arial" w:cs="Arial"/>
          <w:sz w:val="24"/>
          <w:szCs w:val="24"/>
          <w:lang w:eastAsia="en-GB"/>
        </w:rPr>
        <w:t xml:space="preserve">systolic BP </w:t>
      </w:r>
      <w:r w:rsidR="00E573D6" w:rsidRPr="00F822A1">
        <w:rPr>
          <w:rFonts w:ascii="Arial" w:hAnsi="Arial" w:cs="Arial"/>
          <w:sz w:val="24"/>
          <w:szCs w:val="24"/>
        </w:rPr>
        <w:t>(</w:t>
      </w:r>
      <w:r w:rsidR="001619FB">
        <w:rPr>
          <w:rFonts w:ascii="Arial" w:hAnsi="Arial" w:cs="Arial"/>
          <w:sz w:val="24"/>
          <w:szCs w:val="24"/>
        </w:rPr>
        <w:t>RR:</w:t>
      </w:r>
      <w:r w:rsidR="00E573D6" w:rsidRPr="00F822A1">
        <w:rPr>
          <w:rFonts w:ascii="Arial" w:hAnsi="Arial" w:cs="Arial"/>
          <w:sz w:val="24"/>
          <w:szCs w:val="24"/>
        </w:rPr>
        <w:t>0.957, 0.940</w:t>
      </w:r>
      <w:r w:rsidR="001619FB">
        <w:rPr>
          <w:rFonts w:ascii="Arial" w:hAnsi="Arial" w:cs="Arial"/>
          <w:sz w:val="24"/>
          <w:szCs w:val="24"/>
        </w:rPr>
        <w:t>-0.</w:t>
      </w:r>
      <w:r w:rsidR="00E573D6" w:rsidRPr="00F822A1">
        <w:rPr>
          <w:rFonts w:ascii="Arial" w:hAnsi="Arial" w:cs="Arial"/>
          <w:sz w:val="24"/>
          <w:szCs w:val="24"/>
        </w:rPr>
        <w:t>975)</w:t>
      </w:r>
      <w:r w:rsidR="00A52023" w:rsidRPr="00F822A1">
        <w:rPr>
          <w:rFonts w:ascii="Arial" w:eastAsia="Times New Roman" w:hAnsi="Arial" w:cs="Arial"/>
          <w:sz w:val="24"/>
          <w:szCs w:val="24"/>
          <w:lang w:eastAsia="en-GB"/>
        </w:rPr>
        <w:t>, with broadly similar associations across age groups</w:t>
      </w:r>
      <w:r w:rsidR="00E00C7D" w:rsidRPr="00F822A1">
        <w:rPr>
          <w:rFonts w:ascii="Arial" w:eastAsia="Times New Roman" w:hAnsi="Arial" w:cs="Arial"/>
          <w:sz w:val="24"/>
          <w:szCs w:val="24"/>
          <w:lang w:eastAsia="en-GB"/>
        </w:rPr>
        <w:t xml:space="preserve"> (</w:t>
      </w:r>
      <w:r w:rsidR="00E00C7D" w:rsidRPr="00F822A1">
        <w:rPr>
          <w:rFonts w:ascii="Arial" w:eastAsia="Times New Roman" w:hAnsi="Arial" w:cs="Arial"/>
          <w:b/>
          <w:sz w:val="24"/>
          <w:szCs w:val="24"/>
          <w:lang w:eastAsia="en-GB"/>
        </w:rPr>
        <w:t>Figure 2F,Table 3</w:t>
      </w:r>
      <w:r w:rsidR="00E00C7D" w:rsidRPr="00F822A1">
        <w:rPr>
          <w:rFonts w:ascii="Arial" w:eastAsia="Times New Roman" w:hAnsi="Arial" w:cs="Arial"/>
          <w:sz w:val="24"/>
          <w:szCs w:val="24"/>
          <w:lang w:eastAsia="en-GB"/>
        </w:rPr>
        <w:t>)</w:t>
      </w:r>
      <w:r w:rsidR="00A52023" w:rsidRPr="00F822A1">
        <w:rPr>
          <w:rFonts w:ascii="Arial" w:eastAsia="Times New Roman" w:hAnsi="Arial" w:cs="Arial"/>
          <w:sz w:val="24"/>
          <w:szCs w:val="24"/>
          <w:lang w:eastAsia="en-GB"/>
        </w:rPr>
        <w:t xml:space="preserve">. </w:t>
      </w:r>
      <w:r w:rsidR="00AC6AA7" w:rsidRPr="00F822A1">
        <w:rPr>
          <w:rFonts w:ascii="Arial" w:eastAsia="Times New Roman" w:hAnsi="Arial" w:cs="Arial"/>
          <w:sz w:val="24"/>
          <w:szCs w:val="24"/>
          <w:lang w:eastAsia="en-GB"/>
        </w:rPr>
        <w:t>T</w:t>
      </w:r>
      <w:r w:rsidR="00A52023" w:rsidRPr="00F822A1">
        <w:rPr>
          <w:rFonts w:ascii="Arial" w:eastAsia="Times New Roman" w:hAnsi="Arial" w:cs="Arial"/>
          <w:sz w:val="24"/>
          <w:szCs w:val="24"/>
          <w:lang w:eastAsia="en-GB"/>
        </w:rPr>
        <w:t xml:space="preserve">he association with vascular dementia </w:t>
      </w:r>
      <w:r w:rsidR="00AC6AA7" w:rsidRPr="00F822A1">
        <w:rPr>
          <w:rFonts w:ascii="Arial" w:eastAsia="Times New Roman" w:hAnsi="Arial" w:cs="Arial"/>
          <w:sz w:val="24"/>
          <w:szCs w:val="24"/>
          <w:lang w:eastAsia="en-GB"/>
        </w:rPr>
        <w:t>was</w:t>
      </w:r>
      <w:r w:rsidR="00A52023" w:rsidRPr="00F822A1">
        <w:rPr>
          <w:rFonts w:ascii="Arial" w:eastAsia="Times New Roman" w:hAnsi="Arial" w:cs="Arial"/>
          <w:sz w:val="24"/>
          <w:szCs w:val="24"/>
          <w:lang w:eastAsia="en-GB"/>
        </w:rPr>
        <w:t xml:space="preserve"> age-dependent </w:t>
      </w:r>
      <w:r w:rsidR="00E00C7D" w:rsidRPr="00F822A1">
        <w:rPr>
          <w:rFonts w:ascii="Arial" w:eastAsia="Times New Roman" w:hAnsi="Arial" w:cs="Arial"/>
          <w:sz w:val="24"/>
          <w:szCs w:val="24"/>
          <w:lang w:eastAsia="en-GB"/>
        </w:rPr>
        <w:t>(</w:t>
      </w:r>
      <w:r w:rsidR="00AC6AA7" w:rsidRPr="00F822A1">
        <w:rPr>
          <w:rFonts w:ascii="Arial" w:eastAsia="Times New Roman" w:hAnsi="Arial" w:cs="Arial"/>
          <w:sz w:val="24"/>
          <w:szCs w:val="24"/>
          <w:lang w:eastAsia="en-GB"/>
        </w:rPr>
        <w:t xml:space="preserve">p for interaction &lt;0.0001, </w:t>
      </w:r>
      <w:r w:rsidR="00E00C7D" w:rsidRPr="00F822A1">
        <w:rPr>
          <w:rFonts w:ascii="Arial" w:eastAsia="Times New Roman" w:hAnsi="Arial" w:cs="Arial"/>
          <w:b/>
          <w:sz w:val="24"/>
          <w:szCs w:val="24"/>
          <w:lang w:eastAsia="en-GB"/>
        </w:rPr>
        <w:t>Figure 2I</w:t>
      </w:r>
      <w:proofErr w:type="gramStart"/>
      <w:r w:rsidR="00E00C7D" w:rsidRPr="00F822A1">
        <w:rPr>
          <w:rFonts w:ascii="Arial" w:eastAsia="Times New Roman" w:hAnsi="Arial" w:cs="Arial"/>
          <w:b/>
          <w:sz w:val="24"/>
          <w:szCs w:val="24"/>
          <w:lang w:eastAsia="en-GB"/>
        </w:rPr>
        <w:t>,Table</w:t>
      </w:r>
      <w:proofErr w:type="gramEnd"/>
      <w:r w:rsidR="00E00C7D" w:rsidRPr="00F822A1">
        <w:rPr>
          <w:rFonts w:ascii="Arial" w:eastAsia="Times New Roman" w:hAnsi="Arial" w:cs="Arial"/>
          <w:b/>
          <w:sz w:val="24"/>
          <w:szCs w:val="24"/>
          <w:lang w:eastAsia="en-GB"/>
        </w:rPr>
        <w:t xml:space="preserve"> </w:t>
      </w:r>
      <w:r w:rsidR="004F72A6" w:rsidRPr="00F822A1">
        <w:rPr>
          <w:rFonts w:ascii="Arial" w:eastAsia="Times New Roman" w:hAnsi="Arial" w:cs="Arial"/>
          <w:b/>
          <w:sz w:val="24"/>
          <w:szCs w:val="24"/>
          <w:lang w:eastAsia="en-GB"/>
        </w:rPr>
        <w:t>3</w:t>
      </w:r>
      <w:r w:rsidR="00E00C7D" w:rsidRPr="00F822A1">
        <w:rPr>
          <w:rFonts w:ascii="Arial" w:eastAsia="Times New Roman" w:hAnsi="Arial" w:cs="Arial"/>
          <w:sz w:val="24"/>
          <w:szCs w:val="24"/>
          <w:lang w:eastAsia="en-GB"/>
        </w:rPr>
        <w:t>)</w:t>
      </w:r>
      <w:r w:rsidR="00E902B2" w:rsidRPr="00F822A1">
        <w:rPr>
          <w:rFonts w:ascii="Arial" w:eastAsia="Times New Roman" w:hAnsi="Arial" w:cs="Arial"/>
          <w:sz w:val="24"/>
          <w:szCs w:val="24"/>
          <w:lang w:eastAsia="en-GB"/>
        </w:rPr>
        <w:t>. There was a</w:t>
      </w:r>
      <w:r w:rsidR="00E00C7D" w:rsidRPr="00F822A1">
        <w:rPr>
          <w:rFonts w:ascii="Arial" w:eastAsia="Times New Roman" w:hAnsi="Arial" w:cs="Arial"/>
          <w:sz w:val="24"/>
          <w:szCs w:val="24"/>
          <w:lang w:eastAsia="en-GB"/>
        </w:rPr>
        <w:t xml:space="preserve"> moderate positive association amongst </w:t>
      </w:r>
      <w:r w:rsidR="00F04BA7" w:rsidRPr="00F822A1">
        <w:rPr>
          <w:rFonts w:ascii="Arial" w:eastAsia="Times New Roman" w:hAnsi="Arial" w:cs="Arial"/>
          <w:sz w:val="24"/>
          <w:szCs w:val="24"/>
          <w:lang w:eastAsia="en-GB"/>
        </w:rPr>
        <w:t xml:space="preserve">people </w:t>
      </w:r>
      <w:r w:rsidR="00E00C7D" w:rsidRPr="00F822A1">
        <w:rPr>
          <w:rFonts w:ascii="Arial" w:eastAsia="Times New Roman" w:hAnsi="Arial" w:cs="Arial"/>
          <w:sz w:val="24"/>
          <w:szCs w:val="24"/>
          <w:lang w:eastAsia="en-GB"/>
        </w:rPr>
        <w:t>aged &lt;70 (</w:t>
      </w:r>
      <w:r w:rsidR="001619FB">
        <w:rPr>
          <w:rFonts w:ascii="Arial" w:eastAsia="Times New Roman" w:hAnsi="Arial" w:cs="Arial"/>
          <w:sz w:val="24"/>
          <w:szCs w:val="24"/>
          <w:lang w:eastAsia="en-GB"/>
        </w:rPr>
        <w:t>RR</w:t>
      </w:r>
      <w:proofErr w:type="gramStart"/>
      <w:r w:rsidR="001619FB">
        <w:rPr>
          <w:rFonts w:ascii="Arial" w:eastAsia="Times New Roman" w:hAnsi="Arial" w:cs="Arial"/>
          <w:sz w:val="24"/>
          <w:szCs w:val="24"/>
          <w:lang w:eastAsia="en-GB"/>
        </w:rPr>
        <w:t>:</w:t>
      </w:r>
      <w:r w:rsidR="00E00C7D" w:rsidRPr="00F822A1">
        <w:rPr>
          <w:rFonts w:ascii="Arial" w:eastAsia="Times New Roman" w:hAnsi="Arial" w:cs="Arial"/>
          <w:sz w:val="24"/>
          <w:szCs w:val="24"/>
          <w:lang w:eastAsia="en-GB"/>
        </w:rPr>
        <w:t>1.269</w:t>
      </w:r>
      <w:proofErr w:type="gramEnd"/>
      <w:r w:rsidR="00E00C7D" w:rsidRPr="00F822A1">
        <w:rPr>
          <w:rFonts w:ascii="Arial" w:eastAsia="Times New Roman" w:hAnsi="Arial" w:cs="Arial"/>
          <w:sz w:val="24"/>
          <w:szCs w:val="24"/>
          <w:lang w:eastAsia="en-GB"/>
        </w:rPr>
        <w:t>, 1.120-1.438)</w:t>
      </w:r>
      <w:r w:rsidR="00E902B2" w:rsidRPr="00F822A1">
        <w:rPr>
          <w:rFonts w:ascii="Arial" w:eastAsia="Times New Roman" w:hAnsi="Arial" w:cs="Arial"/>
          <w:sz w:val="24"/>
          <w:szCs w:val="24"/>
          <w:lang w:eastAsia="en-GB"/>
        </w:rPr>
        <w:t>; a weaker positive association in those aged 70-85+</w:t>
      </w:r>
      <w:r w:rsidR="00E00C7D" w:rsidRPr="00F822A1">
        <w:rPr>
          <w:rFonts w:ascii="Arial" w:eastAsia="Times New Roman" w:hAnsi="Arial" w:cs="Arial"/>
          <w:sz w:val="24"/>
          <w:szCs w:val="24"/>
          <w:lang w:eastAsia="en-GB"/>
        </w:rPr>
        <w:t xml:space="preserve"> </w:t>
      </w:r>
      <w:r w:rsidR="00E902B2" w:rsidRPr="00F822A1">
        <w:rPr>
          <w:rFonts w:ascii="Arial" w:eastAsia="Times New Roman" w:hAnsi="Arial" w:cs="Arial"/>
          <w:sz w:val="24"/>
          <w:szCs w:val="24"/>
          <w:lang w:eastAsia="en-GB"/>
        </w:rPr>
        <w:t>(</w:t>
      </w:r>
      <w:r w:rsidR="001619FB">
        <w:rPr>
          <w:rFonts w:ascii="Arial" w:eastAsia="Times New Roman" w:hAnsi="Arial" w:cs="Arial"/>
          <w:sz w:val="24"/>
          <w:szCs w:val="24"/>
          <w:lang w:eastAsia="en-GB"/>
        </w:rPr>
        <w:t>RR:</w:t>
      </w:r>
      <w:r w:rsidR="00E902B2" w:rsidRPr="00F822A1">
        <w:rPr>
          <w:rFonts w:ascii="Arial" w:eastAsia="Times New Roman" w:hAnsi="Arial" w:cs="Arial"/>
          <w:sz w:val="24"/>
          <w:szCs w:val="24"/>
          <w:lang w:eastAsia="en-GB"/>
        </w:rPr>
        <w:t xml:space="preserve">1.095, 1.052-1.139); and </w:t>
      </w:r>
      <w:r w:rsidR="00F04BA7" w:rsidRPr="00F822A1">
        <w:rPr>
          <w:rFonts w:ascii="Arial" w:eastAsia="Times New Roman" w:hAnsi="Arial" w:cs="Arial"/>
          <w:sz w:val="24"/>
          <w:szCs w:val="24"/>
          <w:lang w:eastAsia="en-GB"/>
        </w:rPr>
        <w:t xml:space="preserve">no </w:t>
      </w:r>
      <w:r w:rsidR="00E00C7D" w:rsidRPr="00F822A1">
        <w:rPr>
          <w:rFonts w:ascii="Arial" w:eastAsia="Times New Roman" w:hAnsi="Arial" w:cs="Arial"/>
          <w:sz w:val="24"/>
          <w:szCs w:val="24"/>
          <w:lang w:eastAsia="en-GB"/>
        </w:rPr>
        <w:t xml:space="preserve">association in </w:t>
      </w:r>
      <w:r w:rsidR="00F04BA7" w:rsidRPr="00F822A1">
        <w:rPr>
          <w:rFonts w:ascii="Arial" w:eastAsia="Times New Roman" w:hAnsi="Arial" w:cs="Arial"/>
          <w:sz w:val="24"/>
          <w:szCs w:val="24"/>
          <w:lang w:eastAsia="en-GB"/>
        </w:rPr>
        <w:t xml:space="preserve">those </w:t>
      </w:r>
      <w:r w:rsidR="00E00C7D" w:rsidRPr="00F822A1">
        <w:rPr>
          <w:rFonts w:ascii="Arial" w:eastAsia="Times New Roman" w:hAnsi="Arial" w:cs="Arial"/>
          <w:sz w:val="24"/>
          <w:szCs w:val="24"/>
          <w:lang w:eastAsia="en-GB"/>
        </w:rPr>
        <w:t>aged 85 or older (</w:t>
      </w:r>
      <w:r w:rsidR="001619FB">
        <w:rPr>
          <w:rFonts w:ascii="Arial" w:eastAsia="Times New Roman" w:hAnsi="Arial" w:cs="Arial"/>
          <w:sz w:val="24"/>
          <w:szCs w:val="24"/>
          <w:lang w:eastAsia="en-GB"/>
        </w:rPr>
        <w:t>RR:</w:t>
      </w:r>
      <w:r w:rsidR="00E00C7D" w:rsidRPr="00F822A1">
        <w:rPr>
          <w:rFonts w:ascii="Arial" w:eastAsia="Times New Roman" w:hAnsi="Arial" w:cs="Arial"/>
          <w:sz w:val="24"/>
          <w:szCs w:val="24"/>
          <w:lang w:eastAsia="en-GB"/>
        </w:rPr>
        <w:t>1.005, 0.956-1.057).</w:t>
      </w:r>
      <w:r w:rsidR="00A52023" w:rsidRPr="00F822A1">
        <w:rPr>
          <w:rFonts w:ascii="Arial" w:eastAsia="Times New Roman" w:hAnsi="Arial" w:cs="Arial"/>
          <w:sz w:val="24"/>
          <w:szCs w:val="24"/>
          <w:lang w:eastAsia="en-GB"/>
        </w:rPr>
        <w:t xml:space="preserve"> </w:t>
      </w:r>
      <w:r w:rsidR="00D546A6">
        <w:rPr>
          <w:rFonts w:ascii="Arial" w:eastAsia="Times New Roman" w:hAnsi="Arial" w:cs="Arial"/>
          <w:sz w:val="24"/>
          <w:szCs w:val="24"/>
          <w:lang w:eastAsia="en-GB"/>
        </w:rPr>
        <w:t xml:space="preserve">Across all of our analyses, there was no clear evidence of a threshold between the association between BP and dementia (Figure 2). </w:t>
      </w:r>
    </w:p>
    <w:p w:rsidR="00A918B7" w:rsidRPr="00F822A1" w:rsidRDefault="00A570BC" w:rsidP="00A918B7">
      <w:pPr>
        <w:spacing w:line="480" w:lineRule="auto"/>
        <w:rPr>
          <w:rFonts w:ascii="Arial" w:hAnsi="Arial" w:cs="Arial"/>
          <w:sz w:val="24"/>
          <w:szCs w:val="24"/>
        </w:rPr>
      </w:pPr>
      <w:r w:rsidRPr="00F822A1">
        <w:rPr>
          <w:rFonts w:ascii="Arial" w:hAnsi="Arial" w:cs="Arial"/>
          <w:sz w:val="24"/>
          <w:szCs w:val="24"/>
        </w:rPr>
        <w:lastRenderedPageBreak/>
        <w:t xml:space="preserve">We conducted a range of sensitivity analyses to </w:t>
      </w:r>
      <w:r w:rsidR="0052377A" w:rsidRPr="00F822A1">
        <w:rPr>
          <w:rFonts w:ascii="Arial" w:hAnsi="Arial" w:cs="Arial"/>
          <w:sz w:val="24"/>
          <w:szCs w:val="24"/>
        </w:rPr>
        <w:t>assess</w:t>
      </w:r>
      <w:r w:rsidR="00CE5878" w:rsidRPr="00F822A1">
        <w:rPr>
          <w:rFonts w:ascii="Arial" w:hAnsi="Arial" w:cs="Arial"/>
          <w:sz w:val="24"/>
          <w:szCs w:val="24"/>
        </w:rPr>
        <w:t xml:space="preserve"> the</w:t>
      </w:r>
      <w:r w:rsidR="007A3F6E" w:rsidRPr="00F822A1">
        <w:rPr>
          <w:rFonts w:ascii="Arial" w:hAnsi="Arial" w:cs="Arial"/>
          <w:sz w:val="24"/>
          <w:szCs w:val="24"/>
        </w:rPr>
        <w:t xml:space="preserve"> reliability of </w:t>
      </w:r>
      <w:r w:rsidR="003445BC" w:rsidRPr="00F822A1">
        <w:rPr>
          <w:rFonts w:ascii="Arial" w:hAnsi="Arial" w:cs="Arial"/>
          <w:sz w:val="24"/>
          <w:szCs w:val="24"/>
        </w:rPr>
        <w:t xml:space="preserve">our </w:t>
      </w:r>
      <w:r w:rsidR="008420E2">
        <w:rPr>
          <w:rFonts w:ascii="Arial" w:hAnsi="Arial" w:cs="Arial"/>
          <w:sz w:val="24"/>
          <w:szCs w:val="24"/>
        </w:rPr>
        <w:t xml:space="preserve">findings. </w:t>
      </w:r>
      <w:r w:rsidR="00782702" w:rsidRPr="00F822A1">
        <w:rPr>
          <w:rFonts w:ascii="Arial" w:hAnsi="Arial" w:cs="Arial"/>
          <w:sz w:val="24"/>
          <w:szCs w:val="24"/>
        </w:rPr>
        <w:t xml:space="preserve">We found </w:t>
      </w:r>
      <w:r w:rsidR="007A3F6E" w:rsidRPr="00F822A1">
        <w:rPr>
          <w:rFonts w:ascii="Arial" w:hAnsi="Arial" w:cs="Arial"/>
          <w:sz w:val="24"/>
          <w:szCs w:val="24"/>
        </w:rPr>
        <w:t xml:space="preserve">associations of diastolic BP with dementia followed very similar trends as associations with </w:t>
      </w:r>
      <w:r w:rsidR="00C22A1B" w:rsidRPr="00F822A1">
        <w:rPr>
          <w:rFonts w:ascii="Arial" w:hAnsi="Arial" w:cs="Arial"/>
          <w:sz w:val="24"/>
          <w:szCs w:val="24"/>
        </w:rPr>
        <w:t xml:space="preserve">systolic BP </w:t>
      </w:r>
      <w:r w:rsidR="007A3F6E" w:rsidRPr="00F822A1">
        <w:rPr>
          <w:rFonts w:ascii="Arial" w:hAnsi="Arial" w:cs="Arial"/>
          <w:sz w:val="24"/>
          <w:szCs w:val="24"/>
        </w:rPr>
        <w:t>(</w:t>
      </w:r>
      <w:r w:rsidR="007A3F6E" w:rsidRPr="00F822A1">
        <w:rPr>
          <w:rFonts w:ascii="Arial" w:hAnsi="Arial" w:cs="Arial"/>
          <w:b/>
          <w:sz w:val="24"/>
          <w:szCs w:val="24"/>
        </w:rPr>
        <w:t>Supplementary Table 2</w:t>
      </w:r>
      <w:r w:rsidR="00483F74" w:rsidRPr="00F822A1">
        <w:rPr>
          <w:rFonts w:ascii="Arial" w:hAnsi="Arial" w:cs="Arial"/>
          <w:b/>
          <w:sz w:val="24"/>
          <w:szCs w:val="24"/>
        </w:rPr>
        <w:t>, Supplementary Figure2</w:t>
      </w:r>
      <w:r w:rsidR="007A3F6E" w:rsidRPr="00F822A1">
        <w:rPr>
          <w:rFonts w:ascii="Arial" w:hAnsi="Arial" w:cs="Arial"/>
          <w:b/>
          <w:sz w:val="24"/>
          <w:szCs w:val="24"/>
        </w:rPr>
        <w:t>)</w:t>
      </w:r>
      <w:r w:rsidR="00483F74" w:rsidRPr="00F822A1">
        <w:rPr>
          <w:rFonts w:ascii="Arial" w:hAnsi="Arial" w:cs="Arial"/>
          <w:sz w:val="24"/>
          <w:szCs w:val="24"/>
        </w:rPr>
        <w:t xml:space="preserve">. </w:t>
      </w:r>
      <w:r w:rsidR="008420E2">
        <w:rPr>
          <w:rFonts w:ascii="Arial" w:hAnsi="Arial" w:cs="Arial"/>
          <w:sz w:val="24"/>
          <w:szCs w:val="24"/>
        </w:rPr>
        <w:t>A</w:t>
      </w:r>
      <w:r w:rsidR="00FB7B47">
        <w:rPr>
          <w:rFonts w:ascii="Arial" w:hAnsi="Arial" w:cs="Arial"/>
          <w:sz w:val="24"/>
          <w:szCs w:val="24"/>
        </w:rPr>
        <w:t>ssociations were similar upon restriction to patients not on anti-</w:t>
      </w:r>
      <w:proofErr w:type="spellStart"/>
      <w:r w:rsidR="00FB7B47">
        <w:rPr>
          <w:rFonts w:ascii="Arial" w:hAnsi="Arial" w:cs="Arial"/>
          <w:sz w:val="24"/>
          <w:szCs w:val="24"/>
        </w:rPr>
        <w:t>hypertensives</w:t>
      </w:r>
      <w:proofErr w:type="spellEnd"/>
      <w:r w:rsidR="00FB7B47">
        <w:rPr>
          <w:rFonts w:ascii="Arial" w:hAnsi="Arial" w:cs="Arial"/>
          <w:sz w:val="24"/>
          <w:szCs w:val="24"/>
        </w:rPr>
        <w:t xml:space="preserve"> </w:t>
      </w:r>
      <w:r w:rsidR="007052B4">
        <w:rPr>
          <w:rFonts w:ascii="Arial" w:hAnsi="Arial" w:cs="Arial"/>
          <w:sz w:val="24"/>
          <w:szCs w:val="24"/>
        </w:rPr>
        <w:t xml:space="preserve">at baseline </w:t>
      </w:r>
      <w:r w:rsidR="00FB7B47">
        <w:rPr>
          <w:rFonts w:ascii="Arial" w:hAnsi="Arial" w:cs="Arial"/>
          <w:sz w:val="24"/>
          <w:szCs w:val="24"/>
        </w:rPr>
        <w:t xml:space="preserve">(data not shown). </w:t>
      </w:r>
      <w:r w:rsidR="00483F74" w:rsidRPr="00F822A1">
        <w:rPr>
          <w:rFonts w:ascii="Arial" w:hAnsi="Arial" w:cs="Arial"/>
          <w:sz w:val="24"/>
          <w:szCs w:val="24"/>
        </w:rPr>
        <w:t xml:space="preserve">We compared the associations of </w:t>
      </w:r>
      <w:r w:rsidR="00C22A1B" w:rsidRPr="00F822A1">
        <w:rPr>
          <w:rFonts w:ascii="Arial" w:hAnsi="Arial" w:cs="Arial"/>
          <w:sz w:val="24"/>
          <w:szCs w:val="24"/>
        </w:rPr>
        <w:t xml:space="preserve">systolic BP </w:t>
      </w:r>
      <w:r w:rsidR="00483F74" w:rsidRPr="00F822A1">
        <w:rPr>
          <w:rFonts w:ascii="Arial" w:hAnsi="Arial" w:cs="Arial"/>
          <w:sz w:val="24"/>
          <w:szCs w:val="24"/>
        </w:rPr>
        <w:t>with dementia at 10-12.5 years, 12.5-15 years, and &gt;15 years since the index measurement</w:t>
      </w:r>
      <w:r w:rsidR="008420E2">
        <w:rPr>
          <w:rFonts w:ascii="Arial" w:hAnsi="Arial" w:cs="Arial"/>
          <w:sz w:val="24"/>
          <w:szCs w:val="24"/>
        </w:rPr>
        <w:t>.</w:t>
      </w:r>
      <w:r w:rsidR="00483F74" w:rsidRPr="00F822A1">
        <w:rPr>
          <w:rFonts w:ascii="Arial" w:hAnsi="Arial" w:cs="Arial"/>
          <w:sz w:val="24"/>
          <w:szCs w:val="24"/>
        </w:rPr>
        <w:t xml:space="preserve"> (</w:t>
      </w:r>
      <w:r w:rsidR="00483F74" w:rsidRPr="00F822A1">
        <w:rPr>
          <w:rFonts w:ascii="Arial" w:hAnsi="Arial" w:cs="Arial"/>
          <w:b/>
          <w:sz w:val="24"/>
          <w:szCs w:val="24"/>
        </w:rPr>
        <w:t>Supplementary Table 4</w:t>
      </w:r>
      <w:r w:rsidR="00483F74" w:rsidRPr="00F822A1">
        <w:rPr>
          <w:rFonts w:ascii="Arial" w:hAnsi="Arial" w:cs="Arial"/>
          <w:sz w:val="24"/>
          <w:szCs w:val="24"/>
        </w:rPr>
        <w:t xml:space="preserve">). </w:t>
      </w:r>
      <w:r w:rsidR="008420E2">
        <w:rPr>
          <w:rFonts w:ascii="Arial" w:hAnsi="Arial" w:cs="Arial"/>
          <w:sz w:val="24"/>
          <w:szCs w:val="24"/>
        </w:rPr>
        <w:t>W</w:t>
      </w:r>
      <w:r w:rsidR="00483F74" w:rsidRPr="00F822A1">
        <w:rPr>
          <w:rFonts w:ascii="Arial" w:hAnsi="Arial" w:cs="Arial"/>
          <w:sz w:val="24"/>
          <w:szCs w:val="24"/>
        </w:rPr>
        <w:t xml:space="preserve">e found that associations during these periods were </w:t>
      </w:r>
      <w:r w:rsidR="008420E2">
        <w:rPr>
          <w:rFonts w:ascii="Arial" w:hAnsi="Arial" w:cs="Arial"/>
          <w:sz w:val="24"/>
          <w:szCs w:val="24"/>
        </w:rPr>
        <w:t>broadly similar</w:t>
      </w:r>
      <w:r w:rsidR="00483F74" w:rsidRPr="00F822A1">
        <w:rPr>
          <w:rFonts w:ascii="Arial" w:hAnsi="Arial" w:cs="Arial"/>
          <w:sz w:val="24"/>
          <w:szCs w:val="24"/>
        </w:rPr>
        <w:t xml:space="preserve">, suggesting a 10-year gap between BP measurement and assessment of dementia risk may be sufficient to exclude reverse-causality as a major cause of bias. </w:t>
      </w:r>
      <w:r w:rsidR="007A3F6E" w:rsidRPr="00F822A1">
        <w:rPr>
          <w:rFonts w:ascii="Arial" w:hAnsi="Arial" w:cs="Arial"/>
          <w:sz w:val="24"/>
          <w:szCs w:val="24"/>
        </w:rPr>
        <w:t xml:space="preserve"> </w:t>
      </w:r>
      <w:r w:rsidR="00483F74" w:rsidRPr="00F822A1">
        <w:rPr>
          <w:rFonts w:ascii="Arial" w:hAnsi="Arial" w:cs="Arial"/>
          <w:sz w:val="24"/>
          <w:szCs w:val="24"/>
        </w:rPr>
        <w:t xml:space="preserve">We found </w:t>
      </w:r>
      <w:r w:rsidR="00CF680E">
        <w:rPr>
          <w:rFonts w:ascii="Arial" w:hAnsi="Arial" w:cs="Arial"/>
          <w:sz w:val="24"/>
          <w:szCs w:val="24"/>
        </w:rPr>
        <w:t xml:space="preserve">a </w:t>
      </w:r>
      <w:r w:rsidR="007A3F6E" w:rsidRPr="00F822A1">
        <w:rPr>
          <w:rFonts w:ascii="Arial" w:hAnsi="Arial" w:cs="Arial"/>
          <w:sz w:val="24"/>
          <w:szCs w:val="24"/>
        </w:rPr>
        <w:t xml:space="preserve">strong positive association of </w:t>
      </w:r>
      <w:r w:rsidR="00C22A1B" w:rsidRPr="00F822A1">
        <w:rPr>
          <w:rFonts w:ascii="Arial" w:hAnsi="Arial" w:cs="Arial"/>
          <w:sz w:val="24"/>
          <w:szCs w:val="24"/>
        </w:rPr>
        <w:t xml:space="preserve">systolic BP </w:t>
      </w:r>
      <w:r w:rsidR="007A3F6E" w:rsidRPr="00F822A1">
        <w:rPr>
          <w:rFonts w:ascii="Arial" w:hAnsi="Arial" w:cs="Arial"/>
          <w:sz w:val="24"/>
          <w:szCs w:val="24"/>
        </w:rPr>
        <w:t>with stroke (</w:t>
      </w:r>
      <w:r w:rsidR="007A3F6E" w:rsidRPr="00F822A1">
        <w:rPr>
          <w:rFonts w:ascii="Arial" w:hAnsi="Arial" w:cs="Arial"/>
          <w:b/>
          <w:sz w:val="24"/>
          <w:szCs w:val="24"/>
        </w:rPr>
        <w:t>Supplementary Figure 3</w:t>
      </w:r>
      <w:proofErr w:type="gramStart"/>
      <w:r w:rsidR="00483F74" w:rsidRPr="00F822A1">
        <w:rPr>
          <w:rFonts w:ascii="Arial" w:hAnsi="Arial" w:cs="Arial"/>
          <w:b/>
          <w:sz w:val="24"/>
          <w:szCs w:val="24"/>
        </w:rPr>
        <w:t>,Supplementary</w:t>
      </w:r>
      <w:proofErr w:type="gramEnd"/>
      <w:r w:rsidR="00483F74" w:rsidRPr="00F822A1">
        <w:rPr>
          <w:rFonts w:ascii="Arial" w:hAnsi="Arial" w:cs="Arial"/>
          <w:b/>
          <w:sz w:val="24"/>
          <w:szCs w:val="24"/>
        </w:rPr>
        <w:t xml:space="preserve"> Table 5</w:t>
      </w:r>
      <w:r w:rsidR="007A3F6E" w:rsidRPr="00F822A1">
        <w:rPr>
          <w:rFonts w:ascii="Arial" w:hAnsi="Arial" w:cs="Arial"/>
          <w:b/>
          <w:sz w:val="24"/>
          <w:szCs w:val="24"/>
        </w:rPr>
        <w:t>)</w:t>
      </w:r>
      <w:r w:rsidR="007A3F6E" w:rsidRPr="00F822A1">
        <w:rPr>
          <w:rFonts w:ascii="Arial" w:hAnsi="Arial" w:cs="Arial"/>
          <w:sz w:val="24"/>
          <w:szCs w:val="24"/>
        </w:rPr>
        <w:t xml:space="preserve">, suggesting that </w:t>
      </w:r>
      <w:r w:rsidR="00C22A1B" w:rsidRPr="00F822A1">
        <w:rPr>
          <w:rFonts w:ascii="Arial" w:hAnsi="Arial" w:cs="Arial"/>
          <w:sz w:val="24"/>
          <w:szCs w:val="24"/>
        </w:rPr>
        <w:t>BP</w:t>
      </w:r>
      <w:r w:rsidR="007A3F6E" w:rsidRPr="00F822A1">
        <w:rPr>
          <w:rFonts w:ascii="Arial" w:hAnsi="Arial" w:cs="Arial"/>
          <w:sz w:val="24"/>
          <w:szCs w:val="24"/>
        </w:rPr>
        <w:t xml:space="preserve"> measurements </w:t>
      </w:r>
      <w:r w:rsidR="008420E2">
        <w:rPr>
          <w:rFonts w:ascii="Arial" w:hAnsi="Arial" w:cs="Arial"/>
          <w:sz w:val="24"/>
          <w:szCs w:val="24"/>
        </w:rPr>
        <w:t xml:space="preserve">were </w:t>
      </w:r>
      <w:r w:rsidR="007A3F6E" w:rsidRPr="00F822A1">
        <w:rPr>
          <w:rFonts w:ascii="Arial" w:hAnsi="Arial" w:cs="Arial"/>
          <w:sz w:val="24"/>
          <w:szCs w:val="24"/>
        </w:rPr>
        <w:t>reliable.</w:t>
      </w:r>
      <w:r w:rsidR="0095750A" w:rsidRPr="00F822A1">
        <w:rPr>
          <w:rFonts w:ascii="Arial" w:hAnsi="Arial" w:cs="Arial"/>
          <w:sz w:val="24"/>
          <w:szCs w:val="24"/>
        </w:rPr>
        <w:t xml:space="preserve"> </w:t>
      </w:r>
      <w:r w:rsidR="008420E2">
        <w:rPr>
          <w:rFonts w:ascii="Arial" w:hAnsi="Arial" w:cs="Arial"/>
          <w:sz w:val="24"/>
          <w:szCs w:val="24"/>
        </w:rPr>
        <w:t>I</w:t>
      </w:r>
      <w:r w:rsidR="002970C7">
        <w:rPr>
          <w:rFonts w:ascii="Arial" w:hAnsi="Arial" w:cs="Arial"/>
          <w:iCs/>
          <w:sz w:val="24"/>
          <w:szCs w:val="24"/>
        </w:rPr>
        <w:t xml:space="preserve">n </w:t>
      </w:r>
      <w:r w:rsidR="008420E2">
        <w:rPr>
          <w:rFonts w:ascii="Arial" w:hAnsi="Arial" w:cs="Arial"/>
          <w:iCs/>
          <w:sz w:val="24"/>
          <w:szCs w:val="24"/>
        </w:rPr>
        <w:t xml:space="preserve">analyses focussing on midlife dementia, we restricted to more than </w:t>
      </w:r>
      <w:r w:rsidR="00C51095">
        <w:rPr>
          <w:rFonts w:ascii="Arial" w:hAnsi="Arial" w:cs="Arial"/>
          <w:iCs/>
          <w:sz w:val="24"/>
          <w:szCs w:val="24"/>
        </w:rPr>
        <w:t xml:space="preserve">10 years since BP measurement </w:t>
      </w:r>
      <w:r w:rsidR="008420E2">
        <w:rPr>
          <w:rFonts w:ascii="Arial" w:hAnsi="Arial" w:cs="Arial"/>
          <w:iCs/>
          <w:sz w:val="24"/>
          <w:szCs w:val="24"/>
        </w:rPr>
        <w:t xml:space="preserve">and </w:t>
      </w:r>
      <w:r w:rsidR="00C51095">
        <w:rPr>
          <w:rFonts w:ascii="Arial" w:hAnsi="Arial" w:cs="Arial"/>
          <w:iCs/>
          <w:sz w:val="24"/>
          <w:szCs w:val="24"/>
        </w:rPr>
        <w:t xml:space="preserve">people </w:t>
      </w:r>
      <w:r w:rsidR="00CB4A14">
        <w:rPr>
          <w:rFonts w:ascii="Arial" w:hAnsi="Arial" w:cs="Arial"/>
          <w:iCs/>
          <w:sz w:val="24"/>
          <w:szCs w:val="24"/>
        </w:rPr>
        <w:t>aged under 65</w:t>
      </w:r>
      <w:r w:rsidR="008420E2">
        <w:rPr>
          <w:rFonts w:ascii="Arial" w:hAnsi="Arial" w:cs="Arial"/>
          <w:iCs/>
          <w:sz w:val="24"/>
          <w:szCs w:val="24"/>
        </w:rPr>
        <w:t xml:space="preserve"> </w:t>
      </w:r>
      <w:r w:rsidR="008420E2" w:rsidRPr="002970C7">
        <w:rPr>
          <w:rFonts w:ascii="Arial" w:hAnsi="Arial" w:cs="Arial"/>
          <w:iCs/>
          <w:sz w:val="24"/>
          <w:szCs w:val="24"/>
        </w:rPr>
        <w:t>(</w:t>
      </w:r>
      <w:r w:rsidR="008420E2" w:rsidRPr="00A13F8B">
        <w:rPr>
          <w:rFonts w:ascii="Arial" w:hAnsi="Arial" w:cs="Arial"/>
          <w:b/>
          <w:iCs/>
          <w:sz w:val="24"/>
          <w:szCs w:val="24"/>
        </w:rPr>
        <w:t>Supplementary Table 6</w:t>
      </w:r>
      <w:r w:rsidR="008420E2" w:rsidRPr="002970C7">
        <w:rPr>
          <w:rFonts w:ascii="Arial" w:hAnsi="Arial" w:cs="Arial"/>
          <w:iCs/>
          <w:sz w:val="24"/>
          <w:szCs w:val="24"/>
        </w:rPr>
        <w:t>)</w:t>
      </w:r>
      <w:r w:rsidR="008420E2">
        <w:rPr>
          <w:rFonts w:ascii="Arial" w:hAnsi="Arial" w:cs="Arial"/>
          <w:iCs/>
          <w:sz w:val="24"/>
          <w:szCs w:val="24"/>
        </w:rPr>
        <w:t xml:space="preserve">. Associations of BP with AD or overall dementia were similar, although we noted that the positive association with vascular dementia was somewhat stronger. </w:t>
      </w:r>
      <w:r w:rsidR="008A1D83" w:rsidRPr="00F822A1">
        <w:rPr>
          <w:rFonts w:ascii="Arial" w:hAnsi="Arial" w:cs="Arial"/>
          <w:sz w:val="24"/>
          <w:szCs w:val="24"/>
        </w:rPr>
        <w:t xml:space="preserve">To assess the </w:t>
      </w:r>
      <w:r w:rsidR="008A1D83">
        <w:rPr>
          <w:rFonts w:ascii="Arial" w:hAnsi="Arial" w:cs="Arial"/>
          <w:sz w:val="24"/>
          <w:szCs w:val="24"/>
        </w:rPr>
        <w:t>potential bias that could be caused by “joint-frailty” linking dementia risk and mortality risk, w</w:t>
      </w:r>
      <w:r w:rsidR="00C66777" w:rsidRPr="00F822A1">
        <w:rPr>
          <w:rFonts w:ascii="Arial" w:hAnsi="Arial" w:cs="Arial"/>
          <w:sz w:val="24"/>
          <w:szCs w:val="24"/>
        </w:rPr>
        <w:t>e conducted a simulation study</w:t>
      </w:r>
      <w:r w:rsidR="008A1D83">
        <w:rPr>
          <w:rFonts w:ascii="Arial" w:hAnsi="Arial" w:cs="Arial"/>
          <w:sz w:val="24"/>
          <w:szCs w:val="24"/>
        </w:rPr>
        <w:t xml:space="preserve"> (</w:t>
      </w:r>
      <w:r w:rsidR="008A1D83" w:rsidRPr="00F822A1">
        <w:rPr>
          <w:rFonts w:ascii="Arial" w:hAnsi="Arial" w:cs="Arial"/>
          <w:b/>
          <w:sz w:val="24"/>
          <w:szCs w:val="24"/>
        </w:rPr>
        <w:t>Supplementary Appendix</w:t>
      </w:r>
      <w:r w:rsidR="008A1D83" w:rsidRPr="00F822A1">
        <w:rPr>
          <w:rFonts w:ascii="Arial" w:hAnsi="Arial" w:cs="Arial"/>
          <w:sz w:val="24"/>
          <w:szCs w:val="24"/>
        </w:rPr>
        <w:t>).</w:t>
      </w:r>
      <w:r w:rsidR="008A1D83">
        <w:rPr>
          <w:rFonts w:ascii="Arial" w:hAnsi="Arial" w:cs="Arial"/>
          <w:sz w:val="24"/>
          <w:szCs w:val="24"/>
        </w:rPr>
        <w:t xml:space="preserve"> A</w:t>
      </w:r>
      <w:r w:rsidR="00C66777" w:rsidRPr="00F822A1">
        <w:rPr>
          <w:rFonts w:ascii="Arial" w:hAnsi="Arial" w:cs="Arial"/>
          <w:sz w:val="24"/>
          <w:szCs w:val="24"/>
        </w:rPr>
        <w:t xml:space="preserve">ny bias caused by </w:t>
      </w:r>
      <w:r w:rsidR="009E5986" w:rsidRPr="00F822A1">
        <w:rPr>
          <w:rFonts w:ascii="Arial" w:hAnsi="Arial" w:cs="Arial"/>
          <w:sz w:val="24"/>
          <w:szCs w:val="24"/>
        </w:rPr>
        <w:t xml:space="preserve">joint frailty would </w:t>
      </w:r>
      <w:r w:rsidR="008A1D83">
        <w:rPr>
          <w:rFonts w:ascii="Arial" w:hAnsi="Arial" w:cs="Arial"/>
          <w:sz w:val="24"/>
          <w:szCs w:val="24"/>
        </w:rPr>
        <w:t xml:space="preserve">likely </w:t>
      </w:r>
      <w:r w:rsidR="009E5986" w:rsidRPr="00F822A1">
        <w:rPr>
          <w:rFonts w:ascii="Arial" w:hAnsi="Arial" w:cs="Arial"/>
          <w:sz w:val="24"/>
          <w:szCs w:val="24"/>
        </w:rPr>
        <w:t xml:space="preserve">be </w:t>
      </w:r>
      <w:r w:rsidR="00DA2213" w:rsidRPr="00F822A1">
        <w:rPr>
          <w:rFonts w:ascii="Arial" w:hAnsi="Arial" w:cs="Arial"/>
          <w:sz w:val="24"/>
          <w:szCs w:val="24"/>
        </w:rPr>
        <w:t xml:space="preserve">weak in patients </w:t>
      </w:r>
      <w:r w:rsidR="00A43578" w:rsidRPr="00F822A1">
        <w:rPr>
          <w:rFonts w:ascii="Arial" w:hAnsi="Arial" w:cs="Arial"/>
          <w:sz w:val="24"/>
          <w:szCs w:val="24"/>
        </w:rPr>
        <w:t xml:space="preserve">aged </w:t>
      </w:r>
      <w:r w:rsidR="00DA2213" w:rsidRPr="00F822A1">
        <w:rPr>
          <w:rFonts w:ascii="Arial" w:hAnsi="Arial" w:cs="Arial"/>
          <w:sz w:val="24"/>
          <w:szCs w:val="24"/>
        </w:rPr>
        <w:t>under 70</w:t>
      </w:r>
      <w:r w:rsidR="00C66777" w:rsidRPr="00F822A1">
        <w:rPr>
          <w:rFonts w:ascii="Arial" w:hAnsi="Arial" w:cs="Arial"/>
          <w:sz w:val="24"/>
          <w:szCs w:val="24"/>
        </w:rPr>
        <w:t xml:space="preserve"> </w:t>
      </w:r>
      <w:r w:rsidR="009E5986" w:rsidRPr="00F822A1">
        <w:rPr>
          <w:rFonts w:ascii="Arial" w:hAnsi="Arial" w:cs="Arial"/>
          <w:sz w:val="24"/>
          <w:szCs w:val="24"/>
        </w:rPr>
        <w:t xml:space="preserve">years, </w:t>
      </w:r>
      <w:r w:rsidR="008A1D83">
        <w:rPr>
          <w:rFonts w:ascii="Arial" w:hAnsi="Arial" w:cs="Arial"/>
          <w:sz w:val="24"/>
          <w:szCs w:val="24"/>
        </w:rPr>
        <w:t xml:space="preserve">and </w:t>
      </w:r>
      <w:r w:rsidR="009E5986" w:rsidRPr="00F822A1">
        <w:rPr>
          <w:rFonts w:ascii="Arial" w:hAnsi="Arial" w:cs="Arial"/>
          <w:sz w:val="24"/>
          <w:szCs w:val="24"/>
        </w:rPr>
        <w:t xml:space="preserve">moderate in patients aged 70-85 years or </w:t>
      </w:r>
      <w:r w:rsidR="00C66777" w:rsidRPr="00F822A1">
        <w:rPr>
          <w:rFonts w:ascii="Arial" w:hAnsi="Arial" w:cs="Arial"/>
          <w:sz w:val="24"/>
          <w:szCs w:val="24"/>
        </w:rPr>
        <w:t>over 85</w:t>
      </w:r>
      <w:r w:rsidR="009E5986" w:rsidRPr="00F822A1">
        <w:rPr>
          <w:rFonts w:ascii="Arial" w:hAnsi="Arial" w:cs="Arial"/>
          <w:sz w:val="24"/>
          <w:szCs w:val="24"/>
        </w:rPr>
        <w:t xml:space="preserve"> years</w:t>
      </w:r>
      <w:r w:rsidR="00C66777" w:rsidRPr="00F822A1">
        <w:rPr>
          <w:rFonts w:ascii="Arial" w:hAnsi="Arial" w:cs="Arial"/>
          <w:sz w:val="24"/>
          <w:szCs w:val="24"/>
        </w:rPr>
        <w:t xml:space="preserve">. </w:t>
      </w:r>
      <w:r w:rsidR="00655B70" w:rsidRPr="00F822A1">
        <w:rPr>
          <w:rFonts w:ascii="Arial" w:hAnsi="Arial" w:cs="Arial"/>
          <w:sz w:val="24"/>
          <w:szCs w:val="24"/>
        </w:rPr>
        <w:t xml:space="preserve">In the </w:t>
      </w:r>
      <w:r w:rsidR="00761C99" w:rsidRPr="00F822A1">
        <w:rPr>
          <w:rFonts w:ascii="Arial" w:hAnsi="Arial" w:cs="Arial"/>
          <w:sz w:val="24"/>
          <w:szCs w:val="24"/>
        </w:rPr>
        <w:t>simulation</w:t>
      </w:r>
      <w:r w:rsidR="00655B70" w:rsidRPr="00F822A1">
        <w:rPr>
          <w:rFonts w:ascii="Arial" w:hAnsi="Arial" w:cs="Arial"/>
          <w:sz w:val="24"/>
          <w:szCs w:val="24"/>
        </w:rPr>
        <w:t xml:space="preserve"> with the </w:t>
      </w:r>
      <w:r w:rsidR="00A43578" w:rsidRPr="00F822A1">
        <w:rPr>
          <w:rFonts w:ascii="Arial" w:hAnsi="Arial" w:cs="Arial"/>
          <w:sz w:val="24"/>
          <w:szCs w:val="24"/>
        </w:rPr>
        <w:t>strong</w:t>
      </w:r>
      <w:r w:rsidR="00655B70" w:rsidRPr="00F822A1">
        <w:rPr>
          <w:rFonts w:ascii="Arial" w:hAnsi="Arial" w:cs="Arial"/>
          <w:sz w:val="24"/>
          <w:szCs w:val="24"/>
        </w:rPr>
        <w:t>est</w:t>
      </w:r>
      <w:r w:rsidR="00A43578" w:rsidRPr="00F822A1">
        <w:rPr>
          <w:rFonts w:ascii="Arial" w:hAnsi="Arial" w:cs="Arial"/>
          <w:sz w:val="24"/>
          <w:szCs w:val="24"/>
        </w:rPr>
        <w:t xml:space="preserve"> </w:t>
      </w:r>
      <w:r w:rsidR="008A1D83">
        <w:rPr>
          <w:rFonts w:ascii="Arial" w:hAnsi="Arial" w:cs="Arial"/>
          <w:sz w:val="24"/>
          <w:szCs w:val="24"/>
        </w:rPr>
        <w:t xml:space="preserve">joint-frailty, </w:t>
      </w:r>
      <w:r w:rsidR="00811B40" w:rsidRPr="00F822A1">
        <w:rPr>
          <w:rFonts w:ascii="Arial" w:hAnsi="Arial" w:cs="Arial"/>
          <w:sz w:val="24"/>
          <w:szCs w:val="24"/>
        </w:rPr>
        <w:t xml:space="preserve">we </w:t>
      </w:r>
      <w:r w:rsidR="00FC1AA8" w:rsidRPr="00F822A1">
        <w:rPr>
          <w:rFonts w:ascii="Arial" w:hAnsi="Arial" w:cs="Arial"/>
          <w:sz w:val="24"/>
          <w:szCs w:val="24"/>
        </w:rPr>
        <w:t xml:space="preserve">estimated that </w:t>
      </w:r>
      <w:r w:rsidR="00761C99" w:rsidRPr="00F822A1">
        <w:rPr>
          <w:rFonts w:ascii="Arial" w:hAnsi="Arial" w:cs="Arial"/>
          <w:sz w:val="24"/>
          <w:szCs w:val="24"/>
        </w:rPr>
        <w:t>with</w:t>
      </w:r>
      <w:r w:rsidR="0055002A" w:rsidRPr="00F822A1">
        <w:rPr>
          <w:rFonts w:ascii="Arial" w:hAnsi="Arial" w:cs="Arial"/>
          <w:sz w:val="24"/>
          <w:szCs w:val="24"/>
        </w:rPr>
        <w:t xml:space="preserve"> no real effect of </w:t>
      </w:r>
      <w:r w:rsidR="00C22A1B" w:rsidRPr="00F822A1">
        <w:rPr>
          <w:rFonts w:ascii="Arial" w:hAnsi="Arial" w:cs="Arial"/>
          <w:sz w:val="24"/>
          <w:szCs w:val="24"/>
        </w:rPr>
        <w:t xml:space="preserve">systolic </w:t>
      </w:r>
      <w:r w:rsidR="0055002A" w:rsidRPr="00F822A1">
        <w:rPr>
          <w:rFonts w:ascii="Arial" w:hAnsi="Arial" w:cs="Arial"/>
          <w:sz w:val="24"/>
          <w:szCs w:val="24"/>
        </w:rPr>
        <w:t xml:space="preserve">BP on dementia (i.e. RR=1), bias </w:t>
      </w:r>
      <w:r w:rsidR="008A1D83">
        <w:rPr>
          <w:rFonts w:ascii="Arial" w:hAnsi="Arial" w:cs="Arial"/>
          <w:sz w:val="24"/>
          <w:szCs w:val="24"/>
        </w:rPr>
        <w:t xml:space="preserve">caused </w:t>
      </w:r>
      <w:r w:rsidR="00761C99" w:rsidRPr="00F822A1">
        <w:rPr>
          <w:rFonts w:ascii="Arial" w:hAnsi="Arial" w:cs="Arial"/>
          <w:sz w:val="24"/>
          <w:szCs w:val="24"/>
        </w:rPr>
        <w:t xml:space="preserve">by </w:t>
      </w:r>
      <w:r w:rsidR="00655B70" w:rsidRPr="00F822A1">
        <w:rPr>
          <w:rFonts w:ascii="Arial" w:hAnsi="Arial" w:cs="Arial"/>
          <w:sz w:val="24"/>
          <w:szCs w:val="24"/>
        </w:rPr>
        <w:t xml:space="preserve">joint frailty </w:t>
      </w:r>
      <w:r w:rsidR="0055002A" w:rsidRPr="00F822A1">
        <w:rPr>
          <w:rFonts w:ascii="Arial" w:hAnsi="Arial" w:cs="Arial"/>
          <w:sz w:val="24"/>
          <w:szCs w:val="24"/>
        </w:rPr>
        <w:t xml:space="preserve">would </w:t>
      </w:r>
      <w:r w:rsidR="008A1D83">
        <w:rPr>
          <w:rFonts w:ascii="Arial" w:hAnsi="Arial" w:cs="Arial"/>
          <w:sz w:val="24"/>
          <w:szCs w:val="24"/>
        </w:rPr>
        <w:t xml:space="preserve">result in </w:t>
      </w:r>
      <w:r w:rsidR="0055002A" w:rsidRPr="00F822A1">
        <w:rPr>
          <w:rFonts w:ascii="Arial" w:hAnsi="Arial" w:cs="Arial"/>
          <w:sz w:val="24"/>
          <w:szCs w:val="24"/>
        </w:rPr>
        <w:t>observe</w:t>
      </w:r>
      <w:r w:rsidR="008A1D83">
        <w:rPr>
          <w:rFonts w:ascii="Arial" w:hAnsi="Arial" w:cs="Arial"/>
          <w:sz w:val="24"/>
          <w:szCs w:val="24"/>
        </w:rPr>
        <w:t>d</w:t>
      </w:r>
      <w:r w:rsidR="0055002A" w:rsidRPr="00F822A1">
        <w:rPr>
          <w:rFonts w:ascii="Arial" w:hAnsi="Arial" w:cs="Arial"/>
          <w:sz w:val="24"/>
          <w:szCs w:val="24"/>
        </w:rPr>
        <w:t xml:space="preserve"> </w:t>
      </w:r>
      <w:r w:rsidR="00811B40" w:rsidRPr="00F822A1">
        <w:rPr>
          <w:rFonts w:ascii="Arial" w:hAnsi="Arial" w:cs="Arial"/>
          <w:sz w:val="24"/>
          <w:szCs w:val="24"/>
        </w:rPr>
        <w:t>RR</w:t>
      </w:r>
      <w:r w:rsidR="0055002A" w:rsidRPr="00F822A1">
        <w:rPr>
          <w:rFonts w:ascii="Arial" w:hAnsi="Arial" w:cs="Arial"/>
          <w:sz w:val="24"/>
          <w:szCs w:val="24"/>
        </w:rPr>
        <w:t>s</w:t>
      </w:r>
      <w:r w:rsidR="00CD15CB" w:rsidRPr="00F822A1">
        <w:rPr>
          <w:rFonts w:ascii="Arial" w:hAnsi="Arial" w:cs="Arial"/>
          <w:sz w:val="24"/>
          <w:szCs w:val="24"/>
        </w:rPr>
        <w:t xml:space="preserve"> </w:t>
      </w:r>
      <w:r w:rsidR="008A1D83">
        <w:rPr>
          <w:rFonts w:ascii="Arial" w:hAnsi="Arial" w:cs="Arial"/>
          <w:sz w:val="24"/>
          <w:szCs w:val="24"/>
        </w:rPr>
        <w:t>(</w:t>
      </w:r>
      <w:r w:rsidR="00CD15CB" w:rsidRPr="00F822A1">
        <w:rPr>
          <w:rFonts w:ascii="Arial" w:hAnsi="Arial" w:cs="Arial"/>
          <w:sz w:val="24"/>
          <w:szCs w:val="24"/>
        </w:rPr>
        <w:t>per 10mmHg higher</w:t>
      </w:r>
      <w:r w:rsidR="008A1D83">
        <w:rPr>
          <w:rFonts w:ascii="Arial" w:hAnsi="Arial" w:cs="Arial"/>
          <w:sz w:val="24"/>
          <w:szCs w:val="24"/>
        </w:rPr>
        <w:t>)</w:t>
      </w:r>
      <w:r w:rsidR="00CD15CB" w:rsidRPr="00F822A1">
        <w:rPr>
          <w:rFonts w:ascii="Arial" w:hAnsi="Arial" w:cs="Arial"/>
          <w:sz w:val="24"/>
          <w:szCs w:val="24"/>
        </w:rPr>
        <w:t xml:space="preserve"> of</w:t>
      </w:r>
      <w:r w:rsidR="008A1D83">
        <w:rPr>
          <w:rFonts w:ascii="Arial" w:hAnsi="Arial" w:cs="Arial"/>
          <w:sz w:val="24"/>
          <w:szCs w:val="24"/>
        </w:rPr>
        <w:t xml:space="preserve"> </w:t>
      </w:r>
      <w:r w:rsidR="004066B8" w:rsidRPr="00F822A1">
        <w:rPr>
          <w:rFonts w:ascii="Arial" w:hAnsi="Arial" w:cs="Arial"/>
          <w:sz w:val="24"/>
          <w:szCs w:val="24"/>
        </w:rPr>
        <w:t>0.9</w:t>
      </w:r>
      <w:r w:rsidR="00761C99" w:rsidRPr="00F822A1">
        <w:rPr>
          <w:rFonts w:ascii="Arial" w:hAnsi="Arial" w:cs="Arial"/>
          <w:sz w:val="24"/>
          <w:szCs w:val="24"/>
        </w:rPr>
        <w:t>6</w:t>
      </w:r>
      <w:r w:rsidR="00811B40" w:rsidRPr="00F822A1">
        <w:rPr>
          <w:rFonts w:ascii="Arial" w:hAnsi="Arial" w:cs="Arial"/>
          <w:sz w:val="24"/>
          <w:szCs w:val="24"/>
        </w:rPr>
        <w:t xml:space="preserve"> in patients under 70</w:t>
      </w:r>
      <w:r w:rsidR="003E2155" w:rsidRPr="00F822A1">
        <w:rPr>
          <w:rFonts w:ascii="Arial" w:hAnsi="Arial" w:cs="Arial"/>
          <w:sz w:val="24"/>
          <w:szCs w:val="24"/>
        </w:rPr>
        <w:t xml:space="preserve">, </w:t>
      </w:r>
      <w:r w:rsidR="00655B70" w:rsidRPr="00F822A1">
        <w:rPr>
          <w:rFonts w:ascii="Arial" w:hAnsi="Arial" w:cs="Arial"/>
          <w:sz w:val="24"/>
          <w:szCs w:val="24"/>
        </w:rPr>
        <w:t>0.93</w:t>
      </w:r>
      <w:r w:rsidR="00811B40" w:rsidRPr="00F822A1">
        <w:rPr>
          <w:rFonts w:ascii="Arial" w:hAnsi="Arial" w:cs="Arial"/>
          <w:sz w:val="24"/>
          <w:szCs w:val="24"/>
        </w:rPr>
        <w:t xml:space="preserve"> in patients aged 70-85</w:t>
      </w:r>
      <w:r w:rsidR="003E2155" w:rsidRPr="00F822A1">
        <w:rPr>
          <w:rFonts w:ascii="Arial" w:hAnsi="Arial" w:cs="Arial"/>
          <w:sz w:val="24"/>
          <w:szCs w:val="24"/>
        </w:rPr>
        <w:t xml:space="preserve">, </w:t>
      </w:r>
      <w:r w:rsidR="0052430A" w:rsidRPr="00F822A1">
        <w:rPr>
          <w:rFonts w:ascii="Arial" w:hAnsi="Arial" w:cs="Arial"/>
          <w:sz w:val="24"/>
          <w:szCs w:val="24"/>
        </w:rPr>
        <w:t xml:space="preserve">and </w:t>
      </w:r>
      <w:r w:rsidR="00811B40" w:rsidRPr="00F822A1">
        <w:rPr>
          <w:rFonts w:ascii="Arial" w:hAnsi="Arial" w:cs="Arial"/>
          <w:sz w:val="24"/>
          <w:szCs w:val="24"/>
        </w:rPr>
        <w:t xml:space="preserve">0.92 in patients aged over 85. </w:t>
      </w:r>
    </w:p>
    <w:p w:rsidR="00377193" w:rsidRDefault="00377193" w:rsidP="00A918B7">
      <w:pPr>
        <w:spacing w:line="480" w:lineRule="auto"/>
        <w:rPr>
          <w:rFonts w:ascii="Arial" w:hAnsi="Arial" w:cs="Arial"/>
          <w:b/>
          <w:sz w:val="24"/>
          <w:szCs w:val="24"/>
        </w:rPr>
        <w:sectPr w:rsidR="00377193" w:rsidSect="006371EE">
          <w:pgSz w:w="11906" w:h="16838"/>
          <w:pgMar w:top="1440" w:right="1440" w:bottom="1440" w:left="1440" w:header="708" w:footer="708" w:gutter="0"/>
          <w:cols w:space="708"/>
          <w:docGrid w:linePitch="360"/>
        </w:sectPr>
      </w:pPr>
    </w:p>
    <w:p w:rsidR="00A324CD" w:rsidRPr="00F822A1" w:rsidRDefault="00A324CD" w:rsidP="00A918B7">
      <w:pPr>
        <w:spacing w:line="480" w:lineRule="auto"/>
        <w:rPr>
          <w:rFonts w:ascii="Arial" w:hAnsi="Arial" w:cs="Arial"/>
          <w:b/>
          <w:sz w:val="24"/>
          <w:szCs w:val="24"/>
        </w:rPr>
      </w:pPr>
      <w:r w:rsidRPr="00F822A1">
        <w:rPr>
          <w:rFonts w:ascii="Arial" w:hAnsi="Arial" w:cs="Arial"/>
          <w:b/>
          <w:sz w:val="24"/>
          <w:szCs w:val="24"/>
        </w:rPr>
        <w:lastRenderedPageBreak/>
        <w:t>DISCUSSION</w:t>
      </w:r>
    </w:p>
    <w:p w:rsidR="00CB2169" w:rsidRPr="00F822A1" w:rsidRDefault="003E49C8" w:rsidP="00A918B7">
      <w:pPr>
        <w:spacing w:line="480" w:lineRule="auto"/>
        <w:rPr>
          <w:rFonts w:ascii="Arial" w:hAnsi="Arial" w:cs="Arial"/>
          <w:sz w:val="24"/>
          <w:szCs w:val="24"/>
        </w:rPr>
      </w:pPr>
      <w:r>
        <w:rPr>
          <w:rFonts w:ascii="Arial" w:hAnsi="Arial" w:cs="Arial"/>
          <w:sz w:val="24"/>
          <w:szCs w:val="24"/>
        </w:rPr>
        <w:t>We</w:t>
      </w:r>
      <w:r w:rsidR="00821E8F" w:rsidRPr="00F822A1">
        <w:rPr>
          <w:rFonts w:ascii="Arial" w:hAnsi="Arial" w:cs="Arial"/>
          <w:sz w:val="24"/>
          <w:szCs w:val="24"/>
        </w:rPr>
        <w:t xml:space="preserve"> found that increased </w:t>
      </w:r>
      <w:r w:rsidR="00CB2169" w:rsidRPr="00F822A1">
        <w:rPr>
          <w:rFonts w:ascii="Arial" w:hAnsi="Arial" w:cs="Arial"/>
          <w:sz w:val="24"/>
          <w:szCs w:val="24"/>
        </w:rPr>
        <w:t xml:space="preserve">BP </w:t>
      </w:r>
      <w:r w:rsidR="00821E8F" w:rsidRPr="00F822A1">
        <w:rPr>
          <w:rFonts w:ascii="Arial" w:hAnsi="Arial" w:cs="Arial"/>
          <w:sz w:val="24"/>
          <w:szCs w:val="24"/>
        </w:rPr>
        <w:t>was moderately inversely associated with dementia during the first 10 years following</w:t>
      </w:r>
      <w:r w:rsidR="00881E65" w:rsidRPr="00F822A1">
        <w:rPr>
          <w:rFonts w:ascii="Arial" w:hAnsi="Arial" w:cs="Arial"/>
          <w:sz w:val="24"/>
          <w:szCs w:val="24"/>
        </w:rPr>
        <w:t xml:space="preserve"> the initial</w:t>
      </w:r>
      <w:r w:rsidR="00821E8F" w:rsidRPr="00F822A1">
        <w:rPr>
          <w:rFonts w:ascii="Arial" w:hAnsi="Arial" w:cs="Arial"/>
          <w:sz w:val="24"/>
          <w:szCs w:val="24"/>
        </w:rPr>
        <w:t xml:space="preserve"> measurement, and weakly or not associated with dementia risk thereafter.</w:t>
      </w:r>
      <w:r w:rsidR="00CB2169" w:rsidRPr="00F822A1">
        <w:rPr>
          <w:rFonts w:ascii="Arial" w:hAnsi="Arial" w:cs="Arial"/>
          <w:sz w:val="24"/>
          <w:szCs w:val="24"/>
        </w:rPr>
        <w:t xml:space="preserve"> </w:t>
      </w:r>
      <w:r w:rsidR="00CF7AA4">
        <w:rPr>
          <w:rFonts w:ascii="Arial" w:hAnsi="Arial" w:cs="Arial"/>
          <w:sz w:val="24"/>
          <w:szCs w:val="24"/>
        </w:rPr>
        <w:t>A</w:t>
      </w:r>
      <w:r w:rsidR="00CB2169" w:rsidRPr="00F822A1">
        <w:rPr>
          <w:rFonts w:ascii="Arial" w:hAnsi="Arial" w:cs="Arial"/>
          <w:sz w:val="24"/>
          <w:szCs w:val="24"/>
        </w:rPr>
        <w:t xml:space="preserve"> </w:t>
      </w:r>
      <w:r w:rsidR="001534F4" w:rsidRPr="00F822A1">
        <w:rPr>
          <w:rFonts w:ascii="Arial" w:hAnsi="Arial" w:cs="Arial"/>
          <w:sz w:val="24"/>
          <w:szCs w:val="24"/>
        </w:rPr>
        <w:t xml:space="preserve">fall </w:t>
      </w:r>
      <w:r w:rsidR="00CB2169" w:rsidRPr="00F822A1">
        <w:rPr>
          <w:rFonts w:ascii="Arial" w:hAnsi="Arial" w:cs="Arial"/>
          <w:sz w:val="24"/>
          <w:szCs w:val="24"/>
        </w:rPr>
        <w:t xml:space="preserve">in </w:t>
      </w:r>
      <w:r w:rsidR="00113A7C" w:rsidRPr="00F822A1">
        <w:rPr>
          <w:rFonts w:ascii="Arial" w:hAnsi="Arial" w:cs="Arial"/>
          <w:sz w:val="24"/>
          <w:szCs w:val="24"/>
        </w:rPr>
        <w:t>BP</w:t>
      </w:r>
      <w:r w:rsidR="00CB2169" w:rsidRPr="00F822A1">
        <w:rPr>
          <w:rFonts w:ascii="Arial" w:hAnsi="Arial" w:cs="Arial"/>
          <w:sz w:val="24"/>
          <w:szCs w:val="24"/>
        </w:rPr>
        <w:t xml:space="preserve"> is known to occur prior to clinical diagnosis of dementia,</w:t>
      </w:r>
      <w:r w:rsidR="002A1F31" w:rsidRPr="00F822A1">
        <w:rPr>
          <w:rFonts w:ascii="Arial" w:hAnsi="Arial" w:cs="Arial"/>
          <w:sz w:val="24"/>
          <w:szCs w:val="24"/>
        </w:rPr>
        <w:fldChar w:fldCharType="begin" w:fldLock="1"/>
      </w:r>
      <w:r w:rsidR="00BE6874">
        <w:rPr>
          <w:rFonts w:ascii="Arial" w:hAnsi="Arial" w:cs="Arial"/>
          <w:sz w:val="24"/>
          <w:szCs w:val="24"/>
        </w:rPr>
        <w:instrText>ADDIN CSL_CITATION { "citationItems" : [ { "id" : "ITEM-1", "itemData" : { "DOI" : "10.1161/01.STR.0000133128.42462.ef", "ISBN" : "0039-2499", "ISSN" : "00392499", "PMID" : "15232128", "abstract" : "BACKGROUND AND PURPOSE: Low blood pressure has been related to an increased risk of dementia. We sought to verify blood pressure variations before and after a dementia diagnosis and to relate blood pressure decline to subsequent Alzheimer disease and dementia. METHODS: A community dementia-free cohort aged &gt; or =75 years (n=947) underwent follow-up examinations twice over a period of 6 years to detect dementia cases (Diagnostic and Statistical Manual of Mental Disorders, 3rd edition, revised [DSM-III-R] criteria, n=304). Blood pressure variation before and after dementia diagnosis was verified with linear mixed-effects models. Using the dementia-free cohort identified at first follow-up (n=719), the association between blood pressure decline from baseline to first follow-up and subsequent risk of dementia was examined. RESULTS: Blood pressure markedly decreased over 3 years before dementia diagnosis and afterward, whereas no substantial decline was present 3 to 6 years before the diagnosis. However, among subjects with baseline systolic pressure &lt;160 mm Hg, systolic pressure decline &gt; or =15 mm Hg occurring 3 to 6 years before diagnosis was associated with relative risks (95% CI) of 3.1 (1.3 to 7.0) for Alzheimer disease and 3.1 (1.5 to 6.3) for dementia. There was a dose-response relationship between systolic pressure decline and dementia risk in subjects with vascular disease. CONCLUSIONS: Blood pressure starts to decrease only 3 years before dementia diagnosis and continues to decline afterward. A greater decline in systolic pressure occurring 3 to 6 years before diagnosis is associated with an increased risk of dementia only in older people with already low blood pressure or affected by vascular disorders.", "author" : [ { "dropping-particle" : "", "family" : "Qiu", "given" : "Chengxuan", "non-dropping-particle" : "", "parse-names" : false, "suffix" : "" }, { "dropping-particle" : "", "family" : "Strauss", "given" : "Eva", "non-dropping-particle" : "Von", "parse-names" : false, "suffix" : "" }, { "dropping-particle" : "", "family" : "Winblad", "given" : "Bengt", "non-dropping-particle" : "", "parse-names" : false, "suffix" : "" }, { "dropping-particle" : "", "family" : "Fratiglioni", "given" : "Laura", "non-dropping-particle" : "", "parse-names" : false, "suffix" : "" } ], "container-title" : "Stroke", "id" : "ITEM-1", "issue" : "8", "issued" : { "date-parts" : [ [ "2004" ] ] }, "page" : "1810-1815", "title" : "Decline in blood pressure over time and risk of dementia: A longitudinal study from the Kungsholmen project", "type" : "article-journal", "volume" : "35" }, "uris" : [ "http://www.mendeley.com/documents/?uuid=444434e5-99b4-4b6c-b18d-10beef8c10b4" ] } ], "mendeley" : { "formattedCitation" : "(12)", "plainTextFormattedCitation" : "(12)", "previouslyFormattedCitation" : "(12)" }, "properties" : {  }, "schema" : "https://github.com/citation-style-language/schema/raw/master/csl-citation.json" }</w:instrText>
      </w:r>
      <w:r w:rsidR="002A1F31" w:rsidRPr="00F822A1">
        <w:rPr>
          <w:rFonts w:ascii="Arial" w:hAnsi="Arial" w:cs="Arial"/>
          <w:sz w:val="24"/>
          <w:szCs w:val="24"/>
        </w:rPr>
        <w:fldChar w:fldCharType="separate"/>
      </w:r>
      <w:r w:rsidR="00BE6874" w:rsidRPr="00BE6874">
        <w:rPr>
          <w:rFonts w:ascii="Arial" w:hAnsi="Arial" w:cs="Arial"/>
          <w:noProof/>
          <w:sz w:val="24"/>
          <w:szCs w:val="24"/>
        </w:rPr>
        <w:t>(12)</w:t>
      </w:r>
      <w:r w:rsidR="002A1F31" w:rsidRPr="00F822A1">
        <w:rPr>
          <w:rFonts w:ascii="Arial" w:hAnsi="Arial" w:cs="Arial"/>
          <w:sz w:val="24"/>
          <w:szCs w:val="24"/>
        </w:rPr>
        <w:fldChar w:fldCharType="end"/>
      </w:r>
      <w:r w:rsidR="00CB2169" w:rsidRPr="00F822A1">
        <w:rPr>
          <w:rFonts w:ascii="Arial" w:hAnsi="Arial" w:cs="Arial"/>
          <w:sz w:val="24"/>
          <w:szCs w:val="24"/>
        </w:rPr>
        <w:t xml:space="preserve"> </w:t>
      </w:r>
      <w:r w:rsidR="00CF7AA4">
        <w:rPr>
          <w:rFonts w:ascii="Arial" w:hAnsi="Arial" w:cs="Arial"/>
          <w:sz w:val="24"/>
          <w:szCs w:val="24"/>
        </w:rPr>
        <w:t xml:space="preserve">hence </w:t>
      </w:r>
      <w:r w:rsidR="00CB2169" w:rsidRPr="00F822A1">
        <w:rPr>
          <w:rFonts w:ascii="Arial" w:hAnsi="Arial" w:cs="Arial"/>
          <w:sz w:val="24"/>
          <w:szCs w:val="24"/>
        </w:rPr>
        <w:t xml:space="preserve">the inverse associations during the first 10 years are </w:t>
      </w:r>
      <w:r w:rsidR="00CF7AA4">
        <w:rPr>
          <w:rFonts w:ascii="Arial" w:hAnsi="Arial" w:cs="Arial"/>
          <w:sz w:val="24"/>
          <w:szCs w:val="24"/>
        </w:rPr>
        <w:t>probably due to reverse-causation</w:t>
      </w:r>
      <w:r w:rsidR="00CB2169" w:rsidRPr="00F822A1">
        <w:rPr>
          <w:rFonts w:ascii="Arial" w:hAnsi="Arial" w:cs="Arial"/>
          <w:sz w:val="24"/>
          <w:szCs w:val="24"/>
        </w:rPr>
        <w:t>, and</w:t>
      </w:r>
      <w:r w:rsidR="000B68A5">
        <w:rPr>
          <w:rFonts w:ascii="Arial" w:hAnsi="Arial" w:cs="Arial"/>
          <w:sz w:val="24"/>
          <w:szCs w:val="24"/>
        </w:rPr>
        <w:t xml:space="preserve"> the</w:t>
      </w:r>
      <w:r w:rsidR="00CB2169" w:rsidRPr="00F822A1">
        <w:rPr>
          <w:rFonts w:ascii="Arial" w:hAnsi="Arial" w:cs="Arial"/>
          <w:sz w:val="24"/>
          <w:szCs w:val="24"/>
        </w:rPr>
        <w:t xml:space="preserve"> weak</w:t>
      </w:r>
      <w:r w:rsidR="000B68A5">
        <w:rPr>
          <w:rFonts w:ascii="Arial" w:hAnsi="Arial" w:cs="Arial"/>
          <w:sz w:val="24"/>
          <w:szCs w:val="24"/>
        </w:rPr>
        <w:t>er</w:t>
      </w:r>
      <w:r w:rsidR="00CB2169" w:rsidRPr="00F822A1">
        <w:rPr>
          <w:rFonts w:ascii="Arial" w:hAnsi="Arial" w:cs="Arial"/>
          <w:sz w:val="24"/>
          <w:szCs w:val="24"/>
        </w:rPr>
        <w:t xml:space="preserve"> associations observed </w:t>
      </w:r>
      <w:r w:rsidR="000B68A5">
        <w:rPr>
          <w:rFonts w:ascii="Arial" w:hAnsi="Arial" w:cs="Arial"/>
          <w:sz w:val="24"/>
          <w:szCs w:val="24"/>
        </w:rPr>
        <w:t>beyond</w:t>
      </w:r>
      <w:r w:rsidR="00CB2169" w:rsidRPr="00F822A1">
        <w:rPr>
          <w:rFonts w:ascii="Arial" w:hAnsi="Arial" w:cs="Arial"/>
          <w:sz w:val="24"/>
          <w:szCs w:val="24"/>
        </w:rPr>
        <w:t xml:space="preserve"> 10 years after measurement </w:t>
      </w:r>
      <w:r w:rsidR="0045312B">
        <w:rPr>
          <w:rFonts w:ascii="Arial" w:hAnsi="Arial" w:cs="Arial"/>
          <w:sz w:val="24"/>
          <w:szCs w:val="24"/>
        </w:rPr>
        <w:t xml:space="preserve">may be </w:t>
      </w:r>
      <w:r w:rsidR="00CB2169" w:rsidRPr="00F822A1">
        <w:rPr>
          <w:rFonts w:ascii="Arial" w:hAnsi="Arial" w:cs="Arial"/>
          <w:sz w:val="24"/>
          <w:szCs w:val="24"/>
        </w:rPr>
        <w:t>more reliable.</w:t>
      </w:r>
      <w:r w:rsidR="00235EC3" w:rsidRPr="00F822A1">
        <w:rPr>
          <w:rFonts w:ascii="Arial" w:hAnsi="Arial" w:cs="Arial"/>
          <w:sz w:val="24"/>
          <w:szCs w:val="24"/>
        </w:rPr>
        <w:t xml:space="preserve"> </w:t>
      </w:r>
      <w:r w:rsidR="00753026">
        <w:rPr>
          <w:rFonts w:ascii="Arial" w:hAnsi="Arial" w:cs="Arial"/>
          <w:sz w:val="24"/>
          <w:szCs w:val="24"/>
        </w:rPr>
        <w:t xml:space="preserve">The association between dementia is also known to vary by age, with a </w:t>
      </w:r>
      <w:r w:rsidR="0009637F">
        <w:rPr>
          <w:rFonts w:ascii="Arial" w:hAnsi="Arial" w:cs="Arial"/>
          <w:sz w:val="24"/>
          <w:szCs w:val="24"/>
        </w:rPr>
        <w:t>previous study</w:t>
      </w:r>
      <w:r w:rsidR="00D11071">
        <w:rPr>
          <w:rFonts w:ascii="Arial" w:hAnsi="Arial" w:cs="Arial"/>
          <w:sz w:val="24"/>
          <w:szCs w:val="24"/>
        </w:rPr>
        <w:t xml:space="preserve"> </w:t>
      </w:r>
      <w:r w:rsidR="00753026">
        <w:rPr>
          <w:rFonts w:ascii="Arial" w:hAnsi="Arial" w:cs="Arial"/>
          <w:sz w:val="24"/>
          <w:szCs w:val="24"/>
        </w:rPr>
        <w:t>reporting</w:t>
      </w:r>
      <w:r w:rsidR="00D11071">
        <w:rPr>
          <w:rFonts w:ascii="Arial" w:hAnsi="Arial" w:cs="Arial"/>
          <w:sz w:val="24"/>
          <w:szCs w:val="24"/>
        </w:rPr>
        <w:t xml:space="preserve"> that BP measurements taken </w:t>
      </w:r>
      <w:r w:rsidR="0009637F">
        <w:rPr>
          <w:rFonts w:ascii="Arial" w:hAnsi="Arial" w:cs="Arial"/>
          <w:sz w:val="24"/>
          <w:szCs w:val="24"/>
        </w:rPr>
        <w:t xml:space="preserve">in midlife, but not later life, </w:t>
      </w:r>
      <w:r w:rsidR="00D11071">
        <w:rPr>
          <w:rFonts w:ascii="Arial" w:hAnsi="Arial" w:cs="Arial"/>
          <w:sz w:val="24"/>
          <w:szCs w:val="24"/>
        </w:rPr>
        <w:t xml:space="preserve">are associated with increased risk of </w:t>
      </w:r>
      <w:r w:rsidR="0009637F">
        <w:rPr>
          <w:rFonts w:ascii="Arial" w:hAnsi="Arial" w:cs="Arial"/>
          <w:sz w:val="24"/>
          <w:szCs w:val="24"/>
        </w:rPr>
        <w:t>dementia.</w:t>
      </w:r>
      <w:r w:rsidR="0009637F">
        <w:rPr>
          <w:rFonts w:ascii="Arial" w:hAnsi="Arial" w:cs="Arial"/>
          <w:sz w:val="24"/>
          <w:szCs w:val="24"/>
        </w:rPr>
        <w:fldChar w:fldCharType="begin" w:fldLock="1"/>
      </w:r>
      <w:r w:rsidR="0009637F">
        <w:rPr>
          <w:rFonts w:ascii="Arial" w:hAnsi="Arial" w:cs="Arial"/>
          <w:sz w:val="24"/>
          <w:szCs w:val="24"/>
        </w:rPr>
        <w:instrText>ADDIN CSL_CITATION { "citationItems" : [ { "id" : "ITEM-1", "itemData" : { "DOI" : "10.1093/eurheartj/ehy288", "author" : [ { "dropping-particle" : "", "family" : "Abell", "given" : "Jessica G", "non-dropping-particle" : "", "parse-names" : false, "suffix" : "" }, { "dropping-particle" : "", "family" : "Kivima", "given" : "Mika", "non-dropping-particle" : "", "parse-names" : false, "suffix" : "" }, { "dropping-particle" : "", "family" : "Dugravot", "given" : "Aline", "non-dropping-particle" : "", "parse-names" : false, "suffix" : "" }, { "dropping-particle" : "", "family" : "Tabak", "given" : "Adam G", "non-dropping-particle" : "", "parse-names" : false, "suffix" : "" }, { "dropping-particle" : "", "family" : "Fayosse", "given" : "Aurore", "non-dropping-particle" : "", "parse-names" : false, "suffix" : "" }, { "dropping-particle" : "", "family" : "Shipley", "given" : "Martin", "non-dropping-particle" : "", "parse-names" : false, "suffix" : "" } ], "container-title" : "European heart journal", "id" : "ITEM-1", "issue" : "33", "issued" : { "date-parts" : [ [ "2018" ] ] }, "page" : "3119\u20133125", "title" : "Association between systolic blood pressure and dementia in the Whitehall II cohort study : role of age, duration, and threshold used to define hypertension", "type" : "article-journal", "volume" : "39" }, "uris" : [ "http://www.mendeley.com/documents/?uuid=88475924-c18f-409b-8770-461ecbb1efb4" ] } ], "mendeley" : { "formattedCitation" : "(13)", "plainTextFormattedCitation" : "(13)", "previouslyFormattedCitation" : "(13)" }, "properties" : {  }, "schema" : "https://github.com/citation-style-language/schema/raw/master/csl-citation.json" }</w:instrText>
      </w:r>
      <w:r w:rsidR="0009637F">
        <w:rPr>
          <w:rFonts w:ascii="Arial" w:hAnsi="Arial" w:cs="Arial"/>
          <w:sz w:val="24"/>
          <w:szCs w:val="24"/>
        </w:rPr>
        <w:fldChar w:fldCharType="separate"/>
      </w:r>
      <w:r w:rsidR="0009637F" w:rsidRPr="00BE6874">
        <w:rPr>
          <w:rFonts w:ascii="Arial" w:hAnsi="Arial" w:cs="Arial"/>
          <w:noProof/>
          <w:sz w:val="24"/>
          <w:szCs w:val="24"/>
        </w:rPr>
        <w:t>(13)</w:t>
      </w:r>
      <w:r w:rsidR="0009637F">
        <w:rPr>
          <w:rFonts w:ascii="Arial" w:hAnsi="Arial" w:cs="Arial"/>
          <w:sz w:val="24"/>
          <w:szCs w:val="24"/>
        </w:rPr>
        <w:fldChar w:fldCharType="end"/>
      </w:r>
      <w:r w:rsidR="0009637F">
        <w:rPr>
          <w:rFonts w:ascii="Arial" w:hAnsi="Arial" w:cs="Arial"/>
          <w:sz w:val="24"/>
          <w:szCs w:val="24"/>
        </w:rPr>
        <w:t xml:space="preserve">  H</w:t>
      </w:r>
      <w:r w:rsidR="00D11071">
        <w:rPr>
          <w:rFonts w:ascii="Arial" w:hAnsi="Arial" w:cs="Arial"/>
          <w:sz w:val="24"/>
          <w:szCs w:val="24"/>
        </w:rPr>
        <w:t xml:space="preserve">owever, similar analyses in our dataset suggest </w:t>
      </w:r>
      <w:r w:rsidR="0009637F">
        <w:rPr>
          <w:rFonts w:ascii="Arial" w:hAnsi="Arial" w:cs="Arial"/>
          <w:sz w:val="24"/>
          <w:szCs w:val="24"/>
        </w:rPr>
        <w:t>midlife BP is at most weakly associated with dementia ris</w:t>
      </w:r>
      <w:r w:rsidR="00753026">
        <w:rPr>
          <w:rFonts w:ascii="Arial" w:hAnsi="Arial" w:cs="Arial"/>
          <w:sz w:val="24"/>
          <w:szCs w:val="24"/>
        </w:rPr>
        <w:t>k</w:t>
      </w:r>
      <w:r w:rsidR="00D11071">
        <w:rPr>
          <w:rFonts w:ascii="Arial" w:hAnsi="Arial" w:cs="Arial"/>
          <w:sz w:val="24"/>
          <w:szCs w:val="24"/>
        </w:rPr>
        <w:t xml:space="preserve">. </w:t>
      </w:r>
    </w:p>
    <w:p w:rsidR="00902E41" w:rsidRPr="00F822A1" w:rsidRDefault="000B68A5" w:rsidP="00A918B7">
      <w:pPr>
        <w:spacing w:line="480" w:lineRule="auto"/>
        <w:rPr>
          <w:rFonts w:ascii="Arial" w:hAnsi="Arial" w:cs="Arial"/>
          <w:sz w:val="24"/>
          <w:szCs w:val="24"/>
        </w:rPr>
      </w:pPr>
      <w:r>
        <w:rPr>
          <w:rFonts w:ascii="Arial" w:hAnsi="Arial" w:cs="Arial"/>
          <w:sz w:val="24"/>
          <w:szCs w:val="24"/>
        </w:rPr>
        <w:t xml:space="preserve">Specifically, we find that </w:t>
      </w:r>
      <w:r w:rsidR="006A56EF" w:rsidRPr="00F822A1">
        <w:rPr>
          <w:rFonts w:ascii="Arial" w:hAnsi="Arial" w:cs="Arial"/>
          <w:sz w:val="24"/>
          <w:szCs w:val="24"/>
        </w:rPr>
        <w:t>BP</w:t>
      </w:r>
      <w:r w:rsidR="007A4DE3" w:rsidRPr="00F822A1">
        <w:rPr>
          <w:rFonts w:ascii="Arial" w:hAnsi="Arial" w:cs="Arial"/>
          <w:sz w:val="24"/>
          <w:szCs w:val="24"/>
        </w:rPr>
        <w:t xml:space="preserve"> was not positively associated with the </w:t>
      </w:r>
      <w:r w:rsidR="00A31A8F" w:rsidRPr="00F822A1">
        <w:rPr>
          <w:rFonts w:ascii="Arial" w:hAnsi="Arial" w:cs="Arial"/>
          <w:sz w:val="24"/>
          <w:szCs w:val="24"/>
        </w:rPr>
        <w:t xml:space="preserve">risk of </w:t>
      </w:r>
      <w:r w:rsidR="007216E5">
        <w:rPr>
          <w:rFonts w:ascii="Arial" w:hAnsi="Arial" w:cs="Arial"/>
          <w:sz w:val="24"/>
          <w:szCs w:val="24"/>
        </w:rPr>
        <w:t>AD</w:t>
      </w:r>
      <w:r w:rsidR="00A31A8F" w:rsidRPr="00F822A1">
        <w:rPr>
          <w:rFonts w:ascii="Arial" w:hAnsi="Arial" w:cs="Arial"/>
          <w:sz w:val="24"/>
          <w:szCs w:val="24"/>
        </w:rPr>
        <w:t xml:space="preserve"> </w:t>
      </w:r>
      <w:r w:rsidR="00E976D4" w:rsidRPr="00F822A1">
        <w:rPr>
          <w:rFonts w:ascii="Arial" w:hAnsi="Arial" w:cs="Arial"/>
          <w:sz w:val="24"/>
          <w:szCs w:val="24"/>
        </w:rPr>
        <w:t xml:space="preserve">amongst </w:t>
      </w:r>
      <w:r>
        <w:rPr>
          <w:rFonts w:ascii="Arial" w:hAnsi="Arial" w:cs="Arial"/>
          <w:sz w:val="24"/>
          <w:szCs w:val="24"/>
        </w:rPr>
        <w:t xml:space="preserve">at any </w:t>
      </w:r>
      <w:r w:rsidR="00E976D4" w:rsidRPr="00F822A1">
        <w:rPr>
          <w:rFonts w:ascii="Arial" w:hAnsi="Arial" w:cs="Arial"/>
          <w:sz w:val="24"/>
          <w:szCs w:val="24"/>
        </w:rPr>
        <w:t xml:space="preserve">age, </w:t>
      </w:r>
      <w:r w:rsidR="007A4DE3" w:rsidRPr="00F822A1">
        <w:rPr>
          <w:rFonts w:ascii="Arial" w:hAnsi="Arial" w:cs="Arial"/>
          <w:sz w:val="24"/>
          <w:szCs w:val="24"/>
        </w:rPr>
        <w:t xml:space="preserve">regardless of </w:t>
      </w:r>
      <w:r>
        <w:rPr>
          <w:rFonts w:ascii="Arial" w:hAnsi="Arial" w:cs="Arial"/>
          <w:sz w:val="24"/>
          <w:szCs w:val="24"/>
        </w:rPr>
        <w:t xml:space="preserve">time </w:t>
      </w:r>
      <w:r w:rsidR="007A4DE3" w:rsidRPr="00F822A1">
        <w:rPr>
          <w:rFonts w:ascii="Arial" w:hAnsi="Arial" w:cs="Arial"/>
          <w:sz w:val="24"/>
          <w:szCs w:val="24"/>
        </w:rPr>
        <w:t xml:space="preserve">since index </w:t>
      </w:r>
      <w:r w:rsidR="00C22A1B" w:rsidRPr="00F822A1">
        <w:rPr>
          <w:rFonts w:ascii="Arial" w:hAnsi="Arial" w:cs="Arial"/>
          <w:sz w:val="24"/>
          <w:szCs w:val="24"/>
        </w:rPr>
        <w:t>BP</w:t>
      </w:r>
      <w:r w:rsidR="007A4DE3" w:rsidRPr="00F822A1">
        <w:rPr>
          <w:rFonts w:ascii="Arial" w:hAnsi="Arial" w:cs="Arial"/>
          <w:sz w:val="24"/>
          <w:szCs w:val="24"/>
        </w:rPr>
        <w:t xml:space="preserve"> measurement.</w:t>
      </w:r>
      <w:r w:rsidR="00CB2169" w:rsidRPr="00F822A1">
        <w:rPr>
          <w:rFonts w:ascii="Arial" w:hAnsi="Arial" w:cs="Arial"/>
          <w:sz w:val="24"/>
          <w:szCs w:val="24"/>
        </w:rPr>
        <w:t xml:space="preserve"> </w:t>
      </w:r>
      <w:r>
        <w:rPr>
          <w:rFonts w:ascii="Arial" w:hAnsi="Arial" w:cs="Arial"/>
          <w:sz w:val="24"/>
          <w:szCs w:val="24"/>
        </w:rPr>
        <w:t xml:space="preserve">Hence it seems implausible that </w:t>
      </w:r>
      <w:r w:rsidR="00BC7680" w:rsidRPr="00F822A1">
        <w:rPr>
          <w:rFonts w:ascii="Arial" w:hAnsi="Arial" w:cs="Arial"/>
          <w:sz w:val="24"/>
          <w:szCs w:val="24"/>
        </w:rPr>
        <w:t xml:space="preserve">lowering </w:t>
      </w:r>
      <w:r w:rsidR="00C22A1B" w:rsidRPr="00F822A1">
        <w:rPr>
          <w:rFonts w:ascii="Arial" w:hAnsi="Arial" w:cs="Arial"/>
          <w:sz w:val="24"/>
          <w:szCs w:val="24"/>
        </w:rPr>
        <w:t>BP</w:t>
      </w:r>
      <w:r w:rsidR="00017E96" w:rsidRPr="00F822A1">
        <w:rPr>
          <w:rFonts w:ascii="Arial" w:hAnsi="Arial" w:cs="Arial"/>
          <w:sz w:val="24"/>
          <w:szCs w:val="24"/>
        </w:rPr>
        <w:t xml:space="preserve"> </w:t>
      </w:r>
      <w:r>
        <w:rPr>
          <w:rFonts w:ascii="Arial" w:hAnsi="Arial" w:cs="Arial"/>
          <w:sz w:val="24"/>
          <w:szCs w:val="24"/>
        </w:rPr>
        <w:t xml:space="preserve">would reduce the risk of AD, which accounts for the bulk of dementia cases. </w:t>
      </w:r>
      <w:r w:rsidR="00ED4CB1" w:rsidRPr="00F822A1">
        <w:rPr>
          <w:rFonts w:ascii="Arial" w:hAnsi="Arial" w:cs="Arial"/>
          <w:sz w:val="24"/>
          <w:szCs w:val="24"/>
        </w:rPr>
        <w:t xml:space="preserve">A previous meta-analysis of </w:t>
      </w:r>
      <w:r w:rsidR="00F90D13" w:rsidRPr="00F822A1">
        <w:rPr>
          <w:rFonts w:ascii="Arial" w:hAnsi="Arial" w:cs="Arial"/>
          <w:sz w:val="24"/>
          <w:szCs w:val="24"/>
        </w:rPr>
        <w:t>BP</w:t>
      </w:r>
      <w:r w:rsidR="00ED4CB1" w:rsidRPr="00F822A1">
        <w:rPr>
          <w:rFonts w:ascii="Arial" w:hAnsi="Arial" w:cs="Arial"/>
          <w:sz w:val="24"/>
          <w:szCs w:val="24"/>
        </w:rPr>
        <w:t xml:space="preserve"> with </w:t>
      </w:r>
      <w:r w:rsidR="007216E5">
        <w:rPr>
          <w:rFonts w:ascii="Arial" w:hAnsi="Arial" w:cs="Arial"/>
          <w:sz w:val="24"/>
          <w:szCs w:val="24"/>
        </w:rPr>
        <w:t>AD</w:t>
      </w:r>
      <w:r w:rsidR="00ED4CB1" w:rsidRPr="00F822A1">
        <w:rPr>
          <w:rFonts w:ascii="Arial" w:hAnsi="Arial" w:cs="Arial"/>
          <w:sz w:val="24"/>
          <w:szCs w:val="24"/>
        </w:rPr>
        <w:t xml:space="preserve"> risk </w:t>
      </w:r>
      <w:r w:rsidR="001534F4" w:rsidRPr="00F822A1">
        <w:rPr>
          <w:rFonts w:ascii="Arial" w:hAnsi="Arial" w:cs="Arial"/>
          <w:sz w:val="24"/>
          <w:szCs w:val="24"/>
        </w:rPr>
        <w:t>reported</w:t>
      </w:r>
      <w:r w:rsidR="00ED4CB1" w:rsidRPr="00F822A1">
        <w:rPr>
          <w:rFonts w:ascii="Arial" w:hAnsi="Arial" w:cs="Arial"/>
          <w:sz w:val="24"/>
          <w:szCs w:val="24"/>
        </w:rPr>
        <w:t xml:space="preserve"> </w:t>
      </w:r>
      <w:r>
        <w:rPr>
          <w:rFonts w:ascii="Arial" w:hAnsi="Arial" w:cs="Arial"/>
          <w:sz w:val="24"/>
          <w:szCs w:val="24"/>
        </w:rPr>
        <w:t>little or no</w:t>
      </w:r>
      <w:r w:rsidR="0043179E" w:rsidRPr="00F822A1">
        <w:rPr>
          <w:rFonts w:ascii="Arial" w:hAnsi="Arial" w:cs="Arial"/>
          <w:sz w:val="24"/>
          <w:szCs w:val="24"/>
        </w:rPr>
        <w:t xml:space="preserve"> </w:t>
      </w:r>
      <w:r w:rsidR="00ED4CB1" w:rsidRPr="00F822A1">
        <w:rPr>
          <w:rFonts w:ascii="Arial" w:hAnsi="Arial" w:cs="Arial"/>
          <w:sz w:val="24"/>
          <w:szCs w:val="24"/>
        </w:rPr>
        <w:t>association between BP and dementia risk</w:t>
      </w:r>
      <w:r w:rsidR="009517C0">
        <w:rPr>
          <w:rFonts w:ascii="Arial" w:hAnsi="Arial" w:cs="Arial"/>
          <w:sz w:val="24"/>
          <w:szCs w:val="24"/>
        </w:rPr>
        <w:t>.</w:t>
      </w:r>
      <w:r w:rsidR="009517C0" w:rsidRPr="00F822A1">
        <w:rPr>
          <w:rFonts w:ascii="Arial" w:hAnsi="Arial" w:cs="Arial"/>
          <w:sz w:val="24"/>
          <w:szCs w:val="24"/>
        </w:rPr>
        <w:fldChar w:fldCharType="begin" w:fldLock="1"/>
      </w:r>
      <w:r w:rsidR="009517C0">
        <w:rPr>
          <w:rFonts w:ascii="Arial" w:hAnsi="Arial" w:cs="Arial"/>
          <w:sz w:val="24"/>
          <w:szCs w:val="24"/>
        </w:rPr>
        <w:instrText>ADDIN CSL_CITATION { "citationItems" : [ { "id" : "ITEM-1", "itemData" : { "DOI" : "10.1097/EDE.0b013e31822708b5", "ISBN" : "1531-5487 (Electronic)\\r1044-3983 (Linking)", "ISSN" : "1044-3983", "PMID" : "21705906", "abstract" : "BACKGROUND: Many epidemiologic studies have considered the association between blood pressure (BP) and Alzheimer disease, yet the relationship remains poorly understood. METHODS: In parallel with work on the AlzRisk online database (www.alzrisk.org), we conducted a systematic review to identify all epidemiologic studies meeting prespecified criteria reporting on the association between hypertension, systolic BP, or diastolic BP and incident Alzheimer disease. When possible, we computed summary measures using random-effects models and explored potential heterogeneity related to age at BP assessment. RESULTS: Eighteen studies reporting on 19 populations met the eligibility criteria. We computed summary relative risks (RR(Sigma)) for 3 measures of BP: hypertension (RR(Sigma) = 0.97 [95% confidence interval = 0.80-1.16]); a 10-mm Hg increase in systolic BP (RR(Sigma) = 0.95 [0.91-1.00]); and a 10-mm Hg increase in diastolic BP (RR(Sigma) = 0.94 [0.85-1.04]). We were unable to compute summary estimates for the association between categories of systolic or diastolic BP and Alzheimer disease; however, there did not appear to be a consistent pattern across studies. After stratifying on age at BP assessment, we found a suggestion of an inverse association between late-life hypertension and Alzheimer disease and a suggestion of an adverse association between midlife diastolic hypertension and Alzheimer disease. CONCLUSIONS: Based on existing epidemiologic research, we cannot determine whether there is a causal association between BP and Alzheimer disease. Selection bias and reverse causation may account for the suggested inverse association between late-life hypertension on Alzheimer disease, but, given the expected direction of these biases, they are less likely to account for the suggestion that midlife hypertension increases risk. We advocate continuing systematic review; the AlzRisk database entry on this topic (www.alzrisk.org), which was completed in parallel with this work, will be updated as new studies are published.", "author" : [ { "dropping-particle" : "", "family" : "Power", "given" : "M C", "non-dropping-particle" : "", "parse-names" : false, "suffix" : "" }, { "dropping-particle" : "", "family" : "Weuve", "given" : "J", "non-dropping-particle" : "", "parse-names" : false, "suffix" : "" }, { "dropping-particle" : "", "family" : "Gagne", "given" : "J J", "non-dropping-particle" : "", "parse-names" : false, "suffix" : "" }, { "dropping-particle" : "", "family" : "McQueen", "given" : "M B", "non-dropping-particle" : "", "parse-names" : false, "suffix" : "" }, { "dropping-particle" : "", "family" : "Viswanathan", "given" : "A", "non-dropping-particle" : "", "parse-names" : false, "suffix" : "" }, { "dropping-particle" : "", "family" : "Blacker", "given" : "D", "non-dropping-particle" : "", "parse-names" : false, "suffix" : "" } ], "container-title" : "Epidemiology", "id" : "ITEM-1", "issue" : "5", "issued" : { "date-parts" : [ [ "2011" ] ] }, "page" : "646-659", "title" : "The association between blood pressure and incident Alzheimer disease: a systematic review and meta-analysis", "type" : "article-journal", "volume" : "22" }, "uris" : [ "http://www.mendeley.com/documents/?uuid=c9fd58b6-1cd8-4f3c-8599-cb7235240a88" ] } ], "mendeley" : { "formattedCitation" : "(5)", "plainTextFormattedCitation" : "(5)", "previouslyFormattedCitation" : "(5)" }, "properties" : {  }, "schema" : "https://github.com/citation-style-language/schema/raw/master/csl-citation.json" }</w:instrText>
      </w:r>
      <w:r w:rsidR="009517C0" w:rsidRPr="00F822A1">
        <w:rPr>
          <w:rFonts w:ascii="Arial" w:hAnsi="Arial" w:cs="Arial"/>
          <w:sz w:val="24"/>
          <w:szCs w:val="24"/>
        </w:rPr>
        <w:fldChar w:fldCharType="separate"/>
      </w:r>
      <w:r w:rsidR="009517C0" w:rsidRPr="00BE6874">
        <w:rPr>
          <w:rFonts w:ascii="Arial" w:hAnsi="Arial" w:cs="Arial"/>
          <w:noProof/>
          <w:sz w:val="24"/>
          <w:szCs w:val="24"/>
        </w:rPr>
        <w:t>(5)</w:t>
      </w:r>
      <w:r w:rsidR="009517C0" w:rsidRPr="00F822A1">
        <w:rPr>
          <w:rFonts w:ascii="Arial" w:hAnsi="Arial" w:cs="Arial"/>
          <w:sz w:val="24"/>
          <w:szCs w:val="24"/>
        </w:rPr>
        <w:fldChar w:fldCharType="end"/>
      </w:r>
      <w:r w:rsidR="00ED4CB1" w:rsidRPr="00F822A1">
        <w:rPr>
          <w:rFonts w:ascii="Arial" w:hAnsi="Arial" w:cs="Arial"/>
          <w:sz w:val="24"/>
          <w:szCs w:val="24"/>
        </w:rPr>
        <w:t xml:space="preserve"> </w:t>
      </w:r>
      <w:r w:rsidR="009517C0">
        <w:rPr>
          <w:rFonts w:ascii="Arial" w:hAnsi="Arial" w:cs="Arial"/>
          <w:sz w:val="24"/>
          <w:szCs w:val="24"/>
        </w:rPr>
        <w:t>A</w:t>
      </w:r>
      <w:r w:rsidR="00ED4CB1" w:rsidRPr="00F822A1">
        <w:rPr>
          <w:rFonts w:ascii="Arial" w:hAnsi="Arial" w:cs="Arial"/>
          <w:sz w:val="24"/>
          <w:szCs w:val="24"/>
        </w:rPr>
        <w:t>lthough other</w:t>
      </w:r>
      <w:r>
        <w:rPr>
          <w:rFonts w:ascii="Arial" w:hAnsi="Arial" w:cs="Arial"/>
          <w:sz w:val="24"/>
          <w:szCs w:val="24"/>
        </w:rPr>
        <w:t>s</w:t>
      </w:r>
      <w:r w:rsidR="00ED4CB1" w:rsidRPr="00F822A1">
        <w:rPr>
          <w:rFonts w:ascii="Arial" w:hAnsi="Arial" w:cs="Arial"/>
          <w:sz w:val="24"/>
          <w:szCs w:val="24"/>
        </w:rPr>
        <w:t xml:space="preserve"> have </w:t>
      </w:r>
      <w:r w:rsidR="001534F4" w:rsidRPr="00F822A1">
        <w:rPr>
          <w:rFonts w:ascii="Arial" w:hAnsi="Arial" w:cs="Arial"/>
          <w:sz w:val="24"/>
          <w:szCs w:val="24"/>
        </w:rPr>
        <w:t xml:space="preserve">reported </w:t>
      </w:r>
      <w:r w:rsidR="00ED4CB1" w:rsidRPr="00F822A1">
        <w:rPr>
          <w:rFonts w:ascii="Arial" w:hAnsi="Arial" w:cs="Arial"/>
          <w:sz w:val="24"/>
          <w:szCs w:val="24"/>
        </w:rPr>
        <w:t>positive associations</w:t>
      </w:r>
      <w:r w:rsidR="009517C0">
        <w:rPr>
          <w:rFonts w:ascii="Arial" w:hAnsi="Arial" w:cs="Arial"/>
          <w:sz w:val="24"/>
          <w:szCs w:val="24"/>
        </w:rPr>
        <w:t>, a</w:t>
      </w:r>
      <w:r w:rsidR="00327846" w:rsidRPr="00F822A1">
        <w:rPr>
          <w:rFonts w:ascii="Arial" w:hAnsi="Arial" w:cs="Arial"/>
          <w:sz w:val="24"/>
          <w:szCs w:val="24"/>
        </w:rPr>
        <w:t xml:space="preserve"> large </w:t>
      </w:r>
      <w:r w:rsidR="00F21F37" w:rsidRPr="00F822A1">
        <w:rPr>
          <w:rFonts w:ascii="Arial" w:hAnsi="Arial" w:cs="Arial"/>
          <w:sz w:val="24"/>
          <w:szCs w:val="24"/>
        </w:rPr>
        <w:t xml:space="preserve">genetic </w:t>
      </w:r>
      <w:r>
        <w:rPr>
          <w:rFonts w:ascii="Arial" w:hAnsi="Arial" w:cs="Arial"/>
          <w:sz w:val="24"/>
          <w:szCs w:val="24"/>
        </w:rPr>
        <w:t xml:space="preserve">study </w:t>
      </w:r>
      <w:r w:rsidR="006D0E8F">
        <w:rPr>
          <w:rFonts w:ascii="Arial" w:hAnsi="Arial" w:cs="Arial"/>
          <w:sz w:val="24"/>
          <w:szCs w:val="24"/>
        </w:rPr>
        <w:t xml:space="preserve">including </w:t>
      </w:r>
      <w:r w:rsidR="00E244DC" w:rsidRPr="00F822A1">
        <w:rPr>
          <w:rFonts w:ascii="Arial" w:hAnsi="Arial" w:cs="Arial"/>
          <w:sz w:val="24"/>
          <w:szCs w:val="24"/>
        </w:rPr>
        <w:t xml:space="preserve">over 17,000 </w:t>
      </w:r>
      <w:r w:rsidR="007216E5">
        <w:rPr>
          <w:rFonts w:ascii="Arial" w:hAnsi="Arial" w:cs="Arial"/>
          <w:sz w:val="24"/>
          <w:szCs w:val="24"/>
        </w:rPr>
        <w:t>AD</w:t>
      </w:r>
      <w:r w:rsidR="00F21F37" w:rsidRPr="00F822A1">
        <w:rPr>
          <w:rFonts w:ascii="Arial" w:hAnsi="Arial" w:cs="Arial"/>
          <w:sz w:val="24"/>
          <w:szCs w:val="24"/>
        </w:rPr>
        <w:t xml:space="preserve"> </w:t>
      </w:r>
      <w:r w:rsidR="00E244DC" w:rsidRPr="00F822A1">
        <w:rPr>
          <w:rFonts w:ascii="Arial" w:hAnsi="Arial" w:cs="Arial"/>
          <w:sz w:val="24"/>
          <w:szCs w:val="24"/>
        </w:rPr>
        <w:t xml:space="preserve">patients </w:t>
      </w:r>
      <w:r>
        <w:rPr>
          <w:rFonts w:ascii="Arial" w:hAnsi="Arial" w:cs="Arial"/>
          <w:sz w:val="24"/>
          <w:szCs w:val="24"/>
        </w:rPr>
        <w:t xml:space="preserve">and 34,000 age matched controls </w:t>
      </w:r>
      <w:r w:rsidR="00E244DC" w:rsidRPr="00F822A1">
        <w:rPr>
          <w:rFonts w:ascii="Arial" w:hAnsi="Arial" w:cs="Arial"/>
          <w:sz w:val="24"/>
          <w:szCs w:val="24"/>
        </w:rPr>
        <w:t xml:space="preserve">reported </w:t>
      </w:r>
      <w:r>
        <w:rPr>
          <w:rFonts w:ascii="Arial" w:hAnsi="Arial" w:cs="Arial"/>
          <w:sz w:val="24"/>
          <w:szCs w:val="24"/>
        </w:rPr>
        <w:t xml:space="preserve">that people with genetic variants which increase </w:t>
      </w:r>
      <w:r w:rsidR="00C22A1B" w:rsidRPr="00F822A1">
        <w:rPr>
          <w:rFonts w:ascii="Arial" w:hAnsi="Arial" w:cs="Arial"/>
          <w:sz w:val="24"/>
          <w:szCs w:val="24"/>
        </w:rPr>
        <w:t>BP</w:t>
      </w:r>
      <w:r w:rsidR="00327846" w:rsidRPr="00F822A1">
        <w:rPr>
          <w:rFonts w:ascii="Arial" w:hAnsi="Arial" w:cs="Arial"/>
          <w:sz w:val="24"/>
          <w:szCs w:val="24"/>
        </w:rPr>
        <w:t xml:space="preserve"> </w:t>
      </w:r>
      <w:r>
        <w:rPr>
          <w:rFonts w:ascii="Arial" w:hAnsi="Arial" w:cs="Arial"/>
          <w:sz w:val="24"/>
          <w:szCs w:val="24"/>
        </w:rPr>
        <w:t xml:space="preserve">were at lower risk of </w:t>
      </w:r>
      <w:r w:rsidR="007216E5">
        <w:rPr>
          <w:rFonts w:ascii="Arial" w:hAnsi="Arial" w:cs="Arial"/>
          <w:sz w:val="24"/>
          <w:szCs w:val="24"/>
        </w:rPr>
        <w:t>AD</w:t>
      </w:r>
      <w:r w:rsidR="00A6763A" w:rsidRPr="00F822A1">
        <w:rPr>
          <w:rFonts w:ascii="Arial" w:hAnsi="Arial" w:cs="Arial"/>
          <w:sz w:val="24"/>
          <w:szCs w:val="24"/>
        </w:rPr>
        <w:t>.</w:t>
      </w:r>
      <w:r w:rsidR="002A1F31" w:rsidRPr="00F822A1">
        <w:rPr>
          <w:rFonts w:ascii="Arial" w:hAnsi="Arial" w:cs="Arial"/>
          <w:sz w:val="24"/>
          <w:szCs w:val="24"/>
        </w:rPr>
        <w:fldChar w:fldCharType="begin" w:fldLock="1"/>
      </w:r>
      <w:r w:rsidR="003516B3">
        <w:rPr>
          <w:rFonts w:ascii="Arial" w:hAnsi="Arial" w:cs="Arial"/>
          <w:sz w:val="24"/>
          <w:szCs w:val="24"/>
        </w:rPr>
        <w:instrText>ADDIN CSL_CITATION { "citationItems" : [ { "id" : "ITEM-1", "itemData" : { "DOI" : "10.1371/journal.pmed.1001841", "PMID" : "26079503", "abstract" : "Potentially modifiable risk factors including obesity, diabetes, hypertension, and smoking are associated with Alzheimer disease (AD) and represent promising targets for intervention. However, the causality of these associations is unclear. We sought to assess the causal nature of these associations using Mendelian randomization (MR).We used SNPs associated with each risk factor as instrumental variables in MR analyses. We considered type 2 diabetes (T2D, NSNPs = 49), fasting glucose (NSNPs = 36), insulin resistance (NSNPs = 10), body mass index (BMI, NSNPs = 32), total cholesterol (NSNPs = 73), HDL-cholesterol (NSNPs = 71), LDL-cholesterol (NSNPs = 57), triglycerides (NSNPs = 39), systolic blood pressure (SBP, NSNPs = 24), smoking initiation (NSNPs = 1), smoking quantity (NSNPs = 3), university completion (NSNPs = 2), and years of education (NSNPs = 1). We calculated MR estimates of associations between each exposure and AD risk using an inverse-variance weighted approach, with summary statistics of SNP-AD associations from the International Genomics of Alzheimer's Project, comprising a total of 17,008 individuals with AD and 37,154 cognitively normal elderly controls. We found that genetically predicted higher SBP was associated with lower AD risk (odds ratio [OR] per standard deviation [15.4 mm Hg] of SBP [95% CI]: 0.75 [0.62-0.91]; p = 3.4 \ufffd 10(-3)). Genetically predicted higher SBP was also associated with a higher probability of taking antihypertensive medication (p = 6.7 \ufffd 10(-8)). Genetically predicted smoking quantity was associated with lower AD risk (OR per ten cigarettes per day [95% CI]: 0.67 [0.51-0.89]; p = 6.5 \ufffd 10(-3)), although we were unable to stratify by smoking history; genetically predicted smoking initiation was not associated with AD risk (OR = 0.70 [0.37, 1.33]; p = 0.28). We saw no evidence of causal associations between glycemic traits, T2D, BMI, or educational attainment and risk of AD (all p &gt; 0.1). Potential limitations of this study include the small proportion of intermediate trait variance explained by genetic variants and other implicit limitations of MR analyses.Inherited lifetime exposure to higher SBP is associated with lower AD risk. These findings suggest that higher blood pressure--or some environmental exposure associated with higher blood pressure, such as use of antihypertensive medications--may reduce AD risk.", "author" : [ { "dropping-particle" : "", "family" : "\u00d8stergaard", "given" : "S\u00f8ren D", "non-dropping-particle" : "", "parse-names" : false, "suffix" : "" }, { "dropping-particle" : "", "family" : "Mukherjee", "given" : "Shubhabrata", "non-dropping-particle" : "", "parse-names" : false, "suffix" : "" }, { "dropping-particle" : "", "family" : "Sharp", "given" : "Stephen J", "non-dropping-particle" : "", "parse-names" : false, "suffix" : "" }, { "dropping-particle" : "", "family" : "Proitsi", "given" : "Petroula", "non-dropping-particle" : "", "parse-names" : false, "suffix" : "" }, { "dropping-particle" : "", "family" : "Lotta", "given" : "Luca A", "non-dropping-particle" : "", "parse-names" : false, "suffix" : "" }, { "dropping-particle" : "", "family" : "Day", "given" : "Felix", "non-dropping-particle" : "", "parse-names" : false, "suffix" : "" }, { "dropping-particle" : "", "family" : "Perry", "given" : "John R B", "non-dropping-particle" : "", "parse-names" : false, "suffix" : "" }, { "dropping-particle" : "", "family" : "Boehme", "given" : "Kevin L", "non-dropping-particle" : "", "parse-names" : false, "suffix" : "" }, { "dropping-particle" : "", "family" : "Walter", "given" : "Stefan", "non-dropping-particle" : "", "parse-names" : false, "suffix" : "" }, { "dropping-particle" : "", "family" : "Kauwe", "given" : "John S", "non-dropping-particle" : "", "parse-names" : false, "suffix" : "" }, { "dropping-particle" : "", "family" : "Gibbons", "given" : "Laura E", "non-dropping-particle" : "", "parse-names" : false, "suffix" : "" }, { "dropping-particle" : "", "family" : "Consortium,", "given" : "Alzheimer\\textquoterights Disease Genetics", "non-dropping-particle" : "", "parse-names" : false, "suffix" : "" }, { "dropping-particle" : "", "family" : "Consortium,", "given" : "G E R A D1", "non-dropping-particle" : "", "parse-names" : false, "suffix" : "" }, { "dropping-particle" : "", "family" : "Consortium,", "given" : "E P I C-InterAct", "non-dropping-particle" : "", "parse-names" : false, "suffix" : "" }, { "dropping-particle" : "", "family" : "Larson", "given" : "Eric B", "non-dropping-particle" : "", "parse-names" : false, "suffix" : "" }, { "dropping-particle" : "", "family" : "Powell", "given" : "John F", "non-dropping-particle" : "", "parse-names" : false, "suffix" : "" }, { "dropping-particle" : "", "family" : "Langenberg", "given" : "Claudia", "non-dropping-particle" : "", "parse-names" : false, "suffix" : "" }, { "dropping-particle" : "", "family" : "Crane", "given" : "Paul K", "non-dropping-particle" : "", "parse-names" : false, "suffix" : "" }, { "dropping-particle" : "", "family" : "Wareham", "given" : "Nicholas J", "non-dropping-particle" : "", "parse-names" : false, "suffix" : "" }, { "dropping-particle" : "", "family" : "Scott", "given" : "Robert A", "non-dropping-particle" : "", "parse-names" : false, "suffix" : "" } ], "container-title" : "PLoS Med", "id" : "ITEM-1", "issue" : "6", "issued" : { "date-parts" : [ [ "2015", "6" ] ] }, "page" : "e1001841; discussion e1001841", "title" : "Associations between Potentially Modifiable Risk Factors and Alzheimer Disease: A Mendelian Randomization Study.", "type" : "article-journal", "volume" : "12" }, "uris" : [ "http://www.mendeley.com/documents/?uuid=1bb5b3c8-10a3-4c41-9e48-32142cd95db0" ] } ], "mendeley" : { "formattedCitation" : "(14)", "plainTextFormattedCitation" : "(14)", "previouslyFormattedCitation" : "(14)" }, "properties" : {  }, "schema" : "https://github.com/citation-style-language/schema/raw/master/csl-citation.json" }</w:instrText>
      </w:r>
      <w:r w:rsidR="002A1F31" w:rsidRPr="00F822A1">
        <w:rPr>
          <w:rFonts w:ascii="Arial" w:hAnsi="Arial" w:cs="Arial"/>
          <w:sz w:val="24"/>
          <w:szCs w:val="24"/>
        </w:rPr>
        <w:fldChar w:fldCharType="separate"/>
      </w:r>
      <w:r w:rsidR="00620034" w:rsidRPr="00620034">
        <w:rPr>
          <w:rFonts w:ascii="Arial" w:hAnsi="Arial" w:cs="Arial"/>
          <w:noProof/>
          <w:sz w:val="24"/>
          <w:szCs w:val="24"/>
        </w:rPr>
        <w:t>(14)</w:t>
      </w:r>
      <w:r w:rsidR="002A1F31" w:rsidRPr="00F822A1">
        <w:rPr>
          <w:rFonts w:ascii="Arial" w:hAnsi="Arial" w:cs="Arial"/>
          <w:sz w:val="24"/>
          <w:szCs w:val="24"/>
        </w:rPr>
        <w:fldChar w:fldCharType="end"/>
      </w:r>
      <w:r w:rsidR="00A6763A" w:rsidRPr="00F822A1">
        <w:rPr>
          <w:rFonts w:ascii="Arial" w:hAnsi="Arial" w:cs="Arial"/>
          <w:sz w:val="24"/>
          <w:szCs w:val="24"/>
        </w:rPr>
        <w:t xml:space="preserve"> </w:t>
      </w:r>
      <w:r w:rsidR="0045312B">
        <w:rPr>
          <w:rFonts w:ascii="Arial" w:hAnsi="Arial" w:cs="Arial"/>
          <w:sz w:val="24"/>
          <w:szCs w:val="24"/>
        </w:rPr>
        <w:t>T</w:t>
      </w:r>
      <w:r w:rsidR="002B413E" w:rsidRPr="00F822A1">
        <w:rPr>
          <w:rFonts w:ascii="Arial" w:hAnsi="Arial" w:cs="Arial"/>
          <w:sz w:val="24"/>
          <w:szCs w:val="24"/>
        </w:rPr>
        <w:t>he</w:t>
      </w:r>
      <w:r w:rsidR="001230A3" w:rsidRPr="00F822A1">
        <w:rPr>
          <w:rFonts w:ascii="Arial" w:hAnsi="Arial" w:cs="Arial"/>
          <w:sz w:val="24"/>
          <w:szCs w:val="24"/>
        </w:rPr>
        <w:t xml:space="preserve"> </w:t>
      </w:r>
      <w:r>
        <w:rPr>
          <w:rFonts w:ascii="Arial" w:hAnsi="Arial" w:cs="Arial"/>
          <w:sz w:val="24"/>
          <w:szCs w:val="24"/>
        </w:rPr>
        <w:t xml:space="preserve">weak </w:t>
      </w:r>
      <w:r w:rsidR="00712B20" w:rsidRPr="00F822A1">
        <w:rPr>
          <w:rFonts w:ascii="Arial" w:hAnsi="Arial" w:cs="Arial"/>
          <w:sz w:val="24"/>
          <w:szCs w:val="24"/>
        </w:rPr>
        <w:t xml:space="preserve">inverse association </w:t>
      </w:r>
      <w:r w:rsidR="002B413E" w:rsidRPr="00F822A1">
        <w:rPr>
          <w:rFonts w:ascii="Arial" w:hAnsi="Arial" w:cs="Arial"/>
          <w:sz w:val="24"/>
          <w:szCs w:val="24"/>
        </w:rPr>
        <w:t xml:space="preserve">in our study </w:t>
      </w:r>
      <w:r w:rsidR="00712B20" w:rsidRPr="00F822A1">
        <w:rPr>
          <w:rFonts w:ascii="Arial" w:hAnsi="Arial" w:cs="Arial"/>
          <w:sz w:val="24"/>
          <w:szCs w:val="24"/>
        </w:rPr>
        <w:t xml:space="preserve">could </w:t>
      </w:r>
      <w:r w:rsidR="001230A3" w:rsidRPr="00F822A1">
        <w:rPr>
          <w:rFonts w:ascii="Arial" w:hAnsi="Arial" w:cs="Arial"/>
          <w:sz w:val="24"/>
          <w:szCs w:val="24"/>
        </w:rPr>
        <w:t>reflect a causal assoc</w:t>
      </w:r>
      <w:r w:rsidR="00A43578" w:rsidRPr="00F822A1">
        <w:rPr>
          <w:rFonts w:ascii="Arial" w:hAnsi="Arial" w:cs="Arial"/>
          <w:sz w:val="24"/>
          <w:szCs w:val="24"/>
        </w:rPr>
        <w:t xml:space="preserve">iation, </w:t>
      </w:r>
      <w:r w:rsidR="001230A3" w:rsidRPr="00F822A1">
        <w:rPr>
          <w:rFonts w:ascii="Arial" w:hAnsi="Arial" w:cs="Arial"/>
          <w:sz w:val="24"/>
          <w:szCs w:val="24"/>
        </w:rPr>
        <w:t xml:space="preserve">for example via </w:t>
      </w:r>
      <w:r w:rsidR="00712B20" w:rsidRPr="00F822A1">
        <w:rPr>
          <w:rFonts w:ascii="Arial" w:hAnsi="Arial" w:cs="Arial"/>
          <w:sz w:val="24"/>
          <w:szCs w:val="24"/>
        </w:rPr>
        <w:t xml:space="preserve">cerebral </w:t>
      </w:r>
      <w:proofErr w:type="spellStart"/>
      <w:r w:rsidR="00712B20" w:rsidRPr="00F822A1">
        <w:rPr>
          <w:rFonts w:ascii="Arial" w:hAnsi="Arial" w:cs="Arial"/>
          <w:sz w:val="24"/>
          <w:szCs w:val="24"/>
        </w:rPr>
        <w:t>hypo</w:t>
      </w:r>
      <w:r w:rsidR="00C22A1B" w:rsidRPr="00F822A1">
        <w:rPr>
          <w:rFonts w:ascii="Arial" w:hAnsi="Arial" w:cs="Arial"/>
          <w:sz w:val="24"/>
          <w:szCs w:val="24"/>
        </w:rPr>
        <w:t>per</w:t>
      </w:r>
      <w:r w:rsidR="00712B20" w:rsidRPr="00F822A1">
        <w:rPr>
          <w:rFonts w:ascii="Arial" w:hAnsi="Arial" w:cs="Arial"/>
          <w:sz w:val="24"/>
          <w:szCs w:val="24"/>
        </w:rPr>
        <w:t>fusion</w:t>
      </w:r>
      <w:proofErr w:type="spellEnd"/>
      <w:r w:rsidR="00712B20" w:rsidRPr="00F822A1">
        <w:rPr>
          <w:rFonts w:ascii="Arial" w:hAnsi="Arial" w:cs="Arial"/>
          <w:sz w:val="24"/>
          <w:szCs w:val="24"/>
        </w:rPr>
        <w:t xml:space="preserve"> </w:t>
      </w:r>
      <w:r w:rsidR="001230A3" w:rsidRPr="00F822A1">
        <w:rPr>
          <w:rFonts w:ascii="Arial" w:hAnsi="Arial" w:cs="Arial"/>
          <w:sz w:val="24"/>
          <w:szCs w:val="24"/>
        </w:rPr>
        <w:t xml:space="preserve">in </w:t>
      </w:r>
      <w:r w:rsidR="00712B20" w:rsidRPr="00F822A1">
        <w:rPr>
          <w:rFonts w:ascii="Arial" w:hAnsi="Arial" w:cs="Arial"/>
          <w:sz w:val="24"/>
          <w:szCs w:val="24"/>
        </w:rPr>
        <w:t xml:space="preserve">elderly </w:t>
      </w:r>
      <w:r w:rsidR="001230A3" w:rsidRPr="00F822A1">
        <w:rPr>
          <w:rFonts w:ascii="Arial" w:hAnsi="Arial" w:cs="Arial"/>
          <w:sz w:val="24"/>
          <w:szCs w:val="24"/>
        </w:rPr>
        <w:t xml:space="preserve">people with low </w:t>
      </w:r>
      <w:r w:rsidR="00C22A1B" w:rsidRPr="00F822A1">
        <w:rPr>
          <w:rFonts w:ascii="Arial" w:hAnsi="Arial" w:cs="Arial"/>
          <w:sz w:val="24"/>
          <w:szCs w:val="24"/>
        </w:rPr>
        <w:t xml:space="preserve">BP </w:t>
      </w:r>
      <w:r w:rsidR="002A1F31" w:rsidRPr="00F822A1">
        <w:rPr>
          <w:rFonts w:ascii="Arial" w:hAnsi="Arial" w:cs="Arial"/>
          <w:sz w:val="24"/>
          <w:szCs w:val="24"/>
        </w:rPr>
        <w:fldChar w:fldCharType="begin" w:fldLock="1"/>
      </w:r>
      <w:r w:rsidR="003516B3">
        <w:rPr>
          <w:rFonts w:ascii="Arial" w:hAnsi="Arial" w:cs="Arial"/>
          <w:sz w:val="24"/>
          <w:szCs w:val="24"/>
        </w:rPr>
        <w:instrText>ADDIN CSL_CITATION { "citationItems" : [ { "id" : "ITEM-1", "itemData" : { "DOI" : "10.1002/ana.20493", "ISBN" : "0364-5134", "ISSN" : "03645134", "PMID" : "15929050", "abstract" : "Cerebral blood flow (CBF) velocity is decreased in patients with Alzheimer's disease. It is being debated whether this reflects diminished demand because of advanced neurodegeneration or that cerebral hypoperfusion contributes to dementia. We examined the relation of CBF velocity as measured with transcranial Doppler with dementia and markers of incipient dementia (ie, cognitive decline and hippocampal and amygdalar atrophy on magnetic resonance imaging) in 1,730 participants of the Rotterdam Study aged 55 years and older. Cognitive decline in the 6.5 years preceding CBF velocity measurement was assessed with repeated Mini-Mental State Examinations in nondemented subjects (n = 1,716). Hippocampal and amygdalar volumes were assessed in a subset of 170 nondemented subjects. Subjects with greater CBF velocity were less likely to have dementia. Furthermore, in nondemented subjects, greater CBF velocity was related to significantly less cognitive decline over the preceding period (odds ratio per standard deviation increase in mean CBF 0.74 [95% confidence interval, 0.58-0.98]) and larger hippocampal and amygdalar volumes. A low CBF is associated with dementia, but also with markers of incipient dementia. Although we cannot exclude that this is caused by preclinical neurodegeneration leading to hypoperfusion, it does suggest that cerebral hypoperfusion precedes and possibly contributes to onset of clinical dementia.", "author" : [ { "dropping-particle" : "", "family" : "Ruitenberg", "given" : "Annemieke", "non-dropping-particle" : "", "parse-names" : false, "suffix" : "" }, { "dropping-particle" : "", "family" : "Heijer", "given" : "Tom", "non-dropping-particle" : "Den", "parse-names" : false, "suffix" : "" }, { "dropping-particle" : "", "family" : "Bakker", "given" : "Stef L M", "non-dropping-particle" : "", "parse-names" : false, "suffix" : "" }, { "dropping-particle" : "", "family" : "Swieten", "given" : "John C.", "non-dropping-particle" : "Van", "parse-names" : false, "suffix" : "" }, { "dropping-particle" : "", "family" : "Koudstaal", "given" : "Peter J.", "non-dropping-particle" : "", "parse-names" : false, "suffix" : "" }, { "dropping-particle" : "", "family" : "Hofman", "given" : "Albert", "non-dropping-particle" : "", "parse-names" : false, "suffix" : "" }, { "dropping-particle" : "", "family" : "Breteler", "given" : "Monique M B", "non-dropping-particle" : "", "parse-names" : false, "suffix" : "" } ], "container-title" : "Annals of Neurology", "id" : "ITEM-1", "issue" : "6", "issued" : { "date-parts" : [ [ "2005" ] ] }, "page" : "789-794", "title" : "Cerebral hypoperfusion and clinical onset of dementia: The Rotterdam Study", "type" : "article-journal", "volume" : "57" }, "uris" : [ "http://www.mendeley.com/documents/?uuid=d413bbdd-8ca5-4d29-afe1-d2e22f18629a" ] } ], "mendeley" : { "formattedCitation" : "(15)", "plainTextFormattedCitation" : "(15)", "previouslyFormattedCitation" : "(15)" }, "properties" : {  }, "schema" : "https://github.com/citation-style-language/schema/raw/master/csl-citation.json" }</w:instrText>
      </w:r>
      <w:r w:rsidR="002A1F31" w:rsidRPr="00F822A1">
        <w:rPr>
          <w:rFonts w:ascii="Arial" w:hAnsi="Arial" w:cs="Arial"/>
          <w:sz w:val="24"/>
          <w:szCs w:val="24"/>
        </w:rPr>
        <w:fldChar w:fldCharType="separate"/>
      </w:r>
      <w:r w:rsidR="00620034" w:rsidRPr="00620034">
        <w:rPr>
          <w:rFonts w:ascii="Arial" w:hAnsi="Arial" w:cs="Arial"/>
          <w:noProof/>
          <w:sz w:val="24"/>
          <w:szCs w:val="24"/>
        </w:rPr>
        <w:t>(15)</w:t>
      </w:r>
      <w:r w:rsidR="002A1F31" w:rsidRPr="00F822A1">
        <w:rPr>
          <w:rFonts w:ascii="Arial" w:hAnsi="Arial" w:cs="Arial"/>
          <w:sz w:val="24"/>
          <w:szCs w:val="24"/>
        </w:rPr>
        <w:fldChar w:fldCharType="end"/>
      </w:r>
      <w:r>
        <w:rPr>
          <w:rFonts w:ascii="Arial" w:hAnsi="Arial" w:cs="Arial"/>
          <w:sz w:val="24"/>
          <w:szCs w:val="24"/>
        </w:rPr>
        <w:t>, but requires</w:t>
      </w:r>
      <w:r w:rsidR="00067A21" w:rsidRPr="00F822A1">
        <w:rPr>
          <w:rFonts w:ascii="Arial" w:hAnsi="Arial" w:cs="Arial"/>
          <w:sz w:val="24"/>
          <w:szCs w:val="24"/>
        </w:rPr>
        <w:t xml:space="preserve"> cautious</w:t>
      </w:r>
      <w:r>
        <w:rPr>
          <w:rFonts w:ascii="Arial" w:hAnsi="Arial" w:cs="Arial"/>
          <w:sz w:val="24"/>
          <w:szCs w:val="24"/>
        </w:rPr>
        <w:t xml:space="preserve"> interpretation; it could be an </w:t>
      </w:r>
      <w:r w:rsidR="006C6BEB" w:rsidRPr="00F822A1">
        <w:rPr>
          <w:rFonts w:ascii="Arial" w:hAnsi="Arial" w:cs="Arial"/>
          <w:sz w:val="24"/>
          <w:szCs w:val="24"/>
        </w:rPr>
        <w:t xml:space="preserve">artefact </w:t>
      </w:r>
      <w:r>
        <w:rPr>
          <w:rFonts w:ascii="Arial" w:hAnsi="Arial" w:cs="Arial"/>
          <w:sz w:val="24"/>
          <w:szCs w:val="24"/>
        </w:rPr>
        <w:t xml:space="preserve">resulting from </w:t>
      </w:r>
      <w:r w:rsidR="006C6BEB" w:rsidRPr="00F822A1">
        <w:rPr>
          <w:rFonts w:ascii="Arial" w:hAnsi="Arial" w:cs="Arial"/>
          <w:sz w:val="24"/>
          <w:szCs w:val="24"/>
        </w:rPr>
        <w:t xml:space="preserve">a moderate co-dependency </w:t>
      </w:r>
      <w:r w:rsidR="00590216" w:rsidRPr="00F822A1">
        <w:rPr>
          <w:rFonts w:ascii="Arial" w:hAnsi="Arial" w:cs="Arial"/>
          <w:sz w:val="24"/>
          <w:szCs w:val="24"/>
        </w:rPr>
        <w:t xml:space="preserve">(or “joint frailty”) </w:t>
      </w:r>
      <w:r w:rsidR="006C6BEB" w:rsidRPr="00F822A1">
        <w:rPr>
          <w:rFonts w:ascii="Arial" w:hAnsi="Arial" w:cs="Arial"/>
          <w:sz w:val="24"/>
          <w:szCs w:val="24"/>
        </w:rPr>
        <w:t>between dementia and death</w:t>
      </w:r>
      <w:r w:rsidR="0092427B" w:rsidRPr="00F822A1">
        <w:rPr>
          <w:rFonts w:ascii="Arial" w:hAnsi="Arial" w:cs="Arial"/>
          <w:sz w:val="24"/>
          <w:szCs w:val="24"/>
        </w:rPr>
        <w:t xml:space="preserve">. </w:t>
      </w:r>
      <w:r w:rsidR="00D83E8D" w:rsidRPr="00F822A1">
        <w:rPr>
          <w:rFonts w:ascii="Arial" w:hAnsi="Arial" w:cs="Arial"/>
          <w:sz w:val="24"/>
          <w:szCs w:val="24"/>
        </w:rPr>
        <w:t xml:space="preserve"> </w:t>
      </w:r>
      <w:r w:rsidR="00182ABD" w:rsidRPr="00F822A1">
        <w:rPr>
          <w:rFonts w:ascii="Arial" w:hAnsi="Arial" w:cs="Arial"/>
          <w:sz w:val="24"/>
          <w:szCs w:val="24"/>
        </w:rPr>
        <w:t>O</w:t>
      </w:r>
      <w:r w:rsidR="00D83E8D" w:rsidRPr="00F822A1">
        <w:rPr>
          <w:rFonts w:ascii="Arial" w:hAnsi="Arial" w:cs="Arial"/>
          <w:sz w:val="24"/>
          <w:szCs w:val="24"/>
        </w:rPr>
        <w:t xml:space="preserve">ur findings </w:t>
      </w:r>
      <w:r w:rsidR="00D36048" w:rsidRPr="00F822A1">
        <w:rPr>
          <w:rFonts w:ascii="Arial" w:hAnsi="Arial" w:cs="Arial"/>
          <w:sz w:val="24"/>
          <w:szCs w:val="24"/>
        </w:rPr>
        <w:t>do</w:t>
      </w:r>
      <w:r w:rsidR="00182ABD" w:rsidRPr="00F822A1">
        <w:rPr>
          <w:rFonts w:ascii="Arial" w:hAnsi="Arial" w:cs="Arial"/>
          <w:sz w:val="24"/>
          <w:szCs w:val="24"/>
        </w:rPr>
        <w:t xml:space="preserve">, however, </w:t>
      </w:r>
      <w:r w:rsidR="00D36048" w:rsidRPr="00F822A1">
        <w:rPr>
          <w:rFonts w:ascii="Arial" w:hAnsi="Arial" w:cs="Arial"/>
          <w:sz w:val="24"/>
          <w:szCs w:val="24"/>
        </w:rPr>
        <w:t xml:space="preserve"> </w:t>
      </w:r>
      <w:r w:rsidR="00D83E8D" w:rsidRPr="00F822A1">
        <w:rPr>
          <w:rFonts w:ascii="Arial" w:hAnsi="Arial" w:cs="Arial"/>
          <w:sz w:val="24"/>
          <w:szCs w:val="24"/>
        </w:rPr>
        <w:t xml:space="preserve">suggest that </w:t>
      </w:r>
      <w:r w:rsidR="008B101C" w:rsidRPr="00F822A1">
        <w:rPr>
          <w:rFonts w:ascii="Arial" w:hAnsi="Arial" w:cs="Arial"/>
          <w:sz w:val="24"/>
          <w:szCs w:val="24"/>
        </w:rPr>
        <w:t xml:space="preserve">claims that managing </w:t>
      </w:r>
      <w:r w:rsidR="00C22A1B" w:rsidRPr="00F822A1">
        <w:rPr>
          <w:rFonts w:ascii="Arial" w:hAnsi="Arial" w:cs="Arial"/>
          <w:sz w:val="24"/>
          <w:szCs w:val="24"/>
        </w:rPr>
        <w:t>BP</w:t>
      </w:r>
      <w:r w:rsidR="008B101C" w:rsidRPr="00F822A1">
        <w:rPr>
          <w:rFonts w:ascii="Arial" w:hAnsi="Arial" w:cs="Arial"/>
          <w:sz w:val="24"/>
          <w:szCs w:val="24"/>
        </w:rPr>
        <w:t xml:space="preserve"> could </w:t>
      </w:r>
      <w:r w:rsidR="00C03CC7">
        <w:rPr>
          <w:rFonts w:ascii="Arial" w:hAnsi="Arial" w:cs="Arial"/>
          <w:sz w:val="24"/>
          <w:szCs w:val="24"/>
        </w:rPr>
        <w:t xml:space="preserve">reduce risk of </w:t>
      </w:r>
      <w:r w:rsidR="007216E5">
        <w:rPr>
          <w:rFonts w:ascii="Arial" w:hAnsi="Arial" w:cs="Arial"/>
          <w:sz w:val="24"/>
          <w:szCs w:val="24"/>
        </w:rPr>
        <w:t>AD</w:t>
      </w:r>
      <w:r w:rsidR="008B101C" w:rsidRPr="00F822A1">
        <w:rPr>
          <w:rFonts w:ascii="Arial" w:hAnsi="Arial" w:cs="Arial"/>
          <w:sz w:val="24"/>
          <w:szCs w:val="24"/>
        </w:rPr>
        <w:t xml:space="preserve"> may </w:t>
      </w:r>
      <w:r w:rsidR="00C03CC7">
        <w:rPr>
          <w:rFonts w:ascii="Arial" w:hAnsi="Arial" w:cs="Arial"/>
          <w:sz w:val="24"/>
          <w:szCs w:val="24"/>
        </w:rPr>
        <w:t>inappropriate</w:t>
      </w:r>
      <w:r w:rsidR="008B101C" w:rsidRPr="00F822A1">
        <w:rPr>
          <w:rFonts w:ascii="Arial" w:hAnsi="Arial" w:cs="Arial"/>
          <w:sz w:val="24"/>
          <w:szCs w:val="24"/>
        </w:rPr>
        <w:t>.</w:t>
      </w:r>
      <w:r w:rsidR="002A1F31" w:rsidRPr="00F822A1">
        <w:rPr>
          <w:rFonts w:ascii="Arial" w:hAnsi="Arial" w:cs="Arial"/>
          <w:sz w:val="24"/>
          <w:szCs w:val="24"/>
        </w:rPr>
        <w:fldChar w:fldCharType="begin" w:fldLock="1"/>
      </w:r>
      <w:r w:rsidR="00BE6874">
        <w:rPr>
          <w:rFonts w:ascii="Arial" w:hAnsi="Arial" w:cs="Arial"/>
          <w:sz w:val="24"/>
          <w:szCs w:val="24"/>
        </w:rPr>
        <w:instrText>ADDIN CSL_CITATION { "citationItems" : [ { "id" : "ITEM-1", "itemData" : { "DOI" : "10.1016/S0140-6736(17)31363-6", "ISSN" : "1474547X", "PMID" : "28735855", "abstract" : "Executive summary Acting now on dementia prevention, intervention, and care will vastly improve living and dying for individuals with dementia and their families, and in doing so, will transform the future for society. Dementia is the greatest global challenge for health and social care in the 21st century. It occurs mainly in people older than 65 years, so increases in numbers and costs are driven, worldwide, by increased longevity resulting from the welcome reduction in people dying prematurely. The Lancet Commission on Dementia Prevention, Intervention, and Care met to consolidate the huge strides that have been made and the emerging knowledge as to what we should do to prevent and manage dementia. Globally, about 47 million people were living with dementia in 2015, and this number is projected to triple by 2050. Dementia affects the individuals with the condition, who gradually lose their abilities, as well as their relatives and other supporters, who have to cope with seeing a family member or friend become ill and decline, while responding to their needs, such as increasing dependency and changes in behaviour. Additionally, it affects the wider society because people with dementia also require health and social care. The 2015 global cost of dementia was estimated to be US$818 billion, and this figure will continue to increase as the number of people with dementia rises. Nearly 85% of costs are related to family and social, rather than medical, care. It might be that new medical care in the future, including public health measures, could replace and possibly reduce some of this cost. Dementia is by no means an inevitable consequence of reaching retirement age, or even of entering the ninth", "author" : [ { "dropping-particle" : "", "family" : "Livingston", "given" : "Gill", "non-dropping-particle" : "", "parse-names" : false, "suffix" : "" }, { "dropping-particle" : "", "family" : "Sommerlad", "given" : "Andrew", "non-dropping-particle" : "", "parse-names" : false, "suffix" : "" }, { "dropping-particle" : "", "family" : "Orgeta", "given" : "Vasiliki", "non-dropping-particle" : "", "parse-names" : false, "suffix" : "" }, { "dropping-particle" : "", "family" : "Costafreda", "given" : "Sergi G.", "non-dropping-particle" : "", "parse-names" : false, "suffix" : "" }, { "dropping-particle" : "", "family" : "Huntley", "given" : "Jonathan", "non-dropping-particle" : "", "parse-names" : false, "suffix" : "" }, { "dropping-particle" : "", "family" : "Ames", "given" : "David", "non-dropping-particle" : "", "parse-names" : false, "suffix" : "" }, { "dropping-particle" : "", "family" : "Ballard", "given" : "Clive", "non-dropping-particle" : "", "parse-names" : false, "suffix" : "" }, { "dropping-particle" : "", "family" : "Banerjee", "given" : "Sube", "non-dropping-particle" : "", "parse-names" : false, "suffix" : "" }, { "dropping-particle" : "", "family" : "Burns", "given" : "Alistair", "non-dropping-particle" : "", "parse-names" : false, "suffix" : "" }, { "dropping-particle" : "", "family" : "Cohen-Mansfield", "given" : "Jiska", "non-dropping-particle" : "", "parse-names" : false, "suffix" : "" }, { "dropping-particle" : "", "family" : "Cooper", "given" : "Claudia", "non-dropping-particle" : "", "parse-names" : false, "suffix" : "" }, { "dropping-particle" : "", "family" : "Fox", "given" : "Nick", "non-dropping-particle" : "", "parse-names" : false, "suffix" : "" }, { "dropping-particle" : "", "family" : "Gitlin", "given" : "Laura N.", "non-dropping-particle" : "", "parse-names" : false, "suffix" : "" }, { "dropping-particle" : "", "family" : "Howard", "given" : "Robert", "non-dropping-particle" : "", "parse-names" : false, "suffix" : "" }, { "dropping-particle" : "", "family" : "Kales", "given" : "Helen C.", "non-dropping-particle" : "", "parse-names" : false, "suffix" : "" }, { "dropping-particle" : "", "family" : "Larson", "given" : "Eric B.", "non-dropping-particle" : "", "parse-names" : false, "suffix" : "" }, { "dropping-particle" : "", "family" : "Ritchie", "given" : "Karen", "non-dropping-particle" : "", "parse-names" : false, "suffix" : "" }, { "dropping-particle" : "", "family" : "Rockwood", "given" : "Kenneth", "non-dropping-particle" : "", "parse-names" : false, "suffix" : "" }, { "dropping-particle" : "", "family" : "Sampson", "given" : "Elizabeth L.", "non-dropping-particle" : "", "parse-names" : false, "suffix" : "" }, { "dropping-particle" : "", "family" : "Samus", "given" : "Quincy", "non-dropping-particle" : "", "parse-names" : false, "suffix" : "" }, { "dropping-particle" : "", "family" : "Schneider", "given" : "Lon S.", "non-dropping-particle" : "", "parse-names" : false, "suffix" : "" }, { "dropping-particle" : "", "family" : "Selb\u00e6k", "given" : "Geir", "non-dropping-particle" : "", "parse-names" : false, "suffix" : "" }, { "dropping-particle" : "", "family" : "Teri", "given" : "Linda", "non-dropping-particle" : "", "parse-names" : false, "suffix" : "" }, { "dropping-particle" : "", "family" : "Mukadam", "given" : "Naaheed", "non-dropping-particle" : "", "parse-names" : false, "suffix" : "" } ], "container-title" : "The Lancet", "id" : "ITEM-1", "issued" : { "date-parts" : [ [ "2017" ] ] }, "title" : "Dementia prevention, intervention, and care", "type" : "article-journal" }, "uris" : [ "http://www.mendeley.com/documents/?uuid=0bab66bf-6432-4277-b727-289f40c9f819" ] }, { "id" : "ITEM-2", "itemData" : { "DOI" : "10.1016/S1474-4422(14)70136-X", "PMID" : "25030513", "abstract" : "Recent estimates suggesting that over half of Alzheimer's disease burden worldwide might be attributed to potentially modifiable risk factors do not take into account risk-factor non-independence. We aimed to provide specific estimates of preventive potential by accounting for the association between risk factors.Using relative risks from existing meta-analyses, we estimated the population-attributable risk (PAR) of Alzheimer's disease worldwide and in the USA, Europe, and the UK for seven potentially modifiable risk factors that have consistent evidence of an association with the disease (diabetes, midlife hypertension, midlife obesity, physical inactivity, depression, smoking, and low educational attainment). The combined PAR associated with the risk factors was calculated using data from the Health Survey for England 2006 to estimate and adjust for the association between risk factors. The potential of risk factor reduction was assessed by examining the combined effect of relative reductions of 10% and 20% per decade for each of the seven risk factors on projections for Alzheimer's disease cases to 2050.Worldwide, the highest estimated PAR was for low educational attainment (19\ufffd1%, 95% CI 12\ufffd3-25\ufffd6). The highest estimated PAR was for physical inactivity in the USA (21\ufffd0%, 95% CI 5\ufffd8-36\ufffd6), Europe (20\ufffd3%, 5\ufffd6-35\ufffd6), and the UK (21\ufffd8%, 6\ufffd1-37\ufffd7). Assuming independence, the combined worldwide PAR for the seven risk factors was 49\ufffd4% (95% CI 25\ufffd7-68\ufffd4), which equates to 16\ufffd8 million attributable cases (95% CI 8\ufffd7-23\ufffd2 million) of 33\ufffd9 million cases. However, after adjustment for the association between the risk factors, the estimate reduced to 28\ufffd2% (95% CI 14\ufffd2-41\ufffd5), which equates to 9\ufffd6 million attributable cases (95% CI 4\ufffd8-14\ufffd1 million) of 33\ufffd9 million cases. Combined PAR estimates were about 30% for the USA, Europe, and the UK. Assuming a causal relation and intervention at the correct age for prevention, relative reductions of 10% per decade in the prevalence of each of the seven risk factors could reduce the prevalence of Alzheimer's disease in 2050 by 8\ufffd3% worldwide.After accounting for non-independence between risk factors, around a third of Alzheimer's diseases cases worldwide might be attributable to potentially modifiable risk factors. Alzheimer's disease incidence might be reduced through improved access to education and use of effective methods targeted at reducing the prevalence of vascular risk factors (eg, physical inactivity, smoking, \u2026", "author" : [ { "dropping-particle" : "", "family" : "Norton", "given" : "Sam", "non-dropping-particle" : "", "parse-names" : false, "suffix" : "" }, { "dropping-particle" : "", "family" : "Matthews", "given" : "Fiona E", "non-dropping-particle" : "", "parse-names" : false, "suffix" : "" }, { "dropping-particle" : "", "family" : "Barnes", "given" : "Deborah E", "non-dropping-particle" : "", "parse-names" : false, "suffix" : "" }, { "dropping-particle" : "", "family" : "Yaffe", "given" : "Kristine", "non-dropping-particle" : "", "parse-names" : false, "suffix" : "" }, { "dropping-particle" : "", "family" : "Brayne", "given" : "Carol", "non-dropping-particle" : "", "parse-names" : false, "suffix" : "" } ], "container-title" : "Lancet Neurol", "id" : "ITEM-2", "issue" : "8", "issued" : { "date-parts" : [ [ "2014", "8" ] ] }, "page" : "788-794", "title" : "Potential for primary prevention of Alzheimer's disease: an analysis of population-based data.", "type" : "article-journal", "volume" : "13" }, "uris" : [ "http://www.mendeley.com/documents/?uuid=1a636d96-7e7b-4b1f-9c8f-1d7bb7ff1489" ] } ], "mendeley" : { "formattedCitation" : "(3,4)", "plainTextFormattedCitation" : "(3,4)", "previouslyFormattedCitation" : "(3,4)" }, "properties" : {  }, "schema" : "https://github.com/citation-style-language/schema/raw/master/csl-citation.json" }</w:instrText>
      </w:r>
      <w:r w:rsidR="002A1F31" w:rsidRPr="00F822A1">
        <w:rPr>
          <w:rFonts w:ascii="Arial" w:hAnsi="Arial" w:cs="Arial"/>
          <w:sz w:val="24"/>
          <w:szCs w:val="24"/>
        </w:rPr>
        <w:fldChar w:fldCharType="separate"/>
      </w:r>
      <w:r w:rsidR="00BE6874" w:rsidRPr="00BE6874">
        <w:rPr>
          <w:rFonts w:ascii="Arial" w:hAnsi="Arial" w:cs="Arial"/>
          <w:noProof/>
          <w:sz w:val="24"/>
          <w:szCs w:val="24"/>
        </w:rPr>
        <w:t>(3,4)</w:t>
      </w:r>
      <w:r w:rsidR="002A1F31" w:rsidRPr="00F822A1">
        <w:rPr>
          <w:rFonts w:ascii="Arial" w:hAnsi="Arial" w:cs="Arial"/>
          <w:sz w:val="24"/>
          <w:szCs w:val="24"/>
        </w:rPr>
        <w:fldChar w:fldCharType="end"/>
      </w:r>
      <w:r w:rsidR="008B101C" w:rsidRPr="00F822A1">
        <w:rPr>
          <w:rFonts w:ascii="Arial" w:hAnsi="Arial" w:cs="Arial"/>
          <w:sz w:val="24"/>
          <w:szCs w:val="24"/>
        </w:rPr>
        <w:t xml:space="preserve"> </w:t>
      </w:r>
    </w:p>
    <w:p w:rsidR="00067A21" w:rsidRPr="00F822A1" w:rsidRDefault="00465E6D" w:rsidP="00A918B7">
      <w:pPr>
        <w:spacing w:line="480" w:lineRule="auto"/>
        <w:rPr>
          <w:rFonts w:ascii="Arial" w:hAnsi="Arial" w:cs="Arial"/>
          <w:sz w:val="24"/>
          <w:szCs w:val="24"/>
        </w:rPr>
      </w:pPr>
      <w:r>
        <w:rPr>
          <w:rFonts w:ascii="Arial" w:hAnsi="Arial" w:cs="Arial"/>
          <w:sz w:val="24"/>
          <w:szCs w:val="24"/>
        </w:rPr>
        <w:lastRenderedPageBreak/>
        <w:t>C</w:t>
      </w:r>
      <w:r w:rsidRPr="00F822A1">
        <w:rPr>
          <w:rFonts w:ascii="Arial" w:hAnsi="Arial" w:cs="Arial"/>
          <w:sz w:val="24"/>
          <w:szCs w:val="24"/>
        </w:rPr>
        <w:t xml:space="preserve">onsistent with </w:t>
      </w:r>
      <w:r>
        <w:rPr>
          <w:rFonts w:ascii="Arial" w:hAnsi="Arial" w:cs="Arial"/>
          <w:sz w:val="24"/>
          <w:szCs w:val="24"/>
        </w:rPr>
        <w:t>previous studies</w:t>
      </w:r>
      <w:r w:rsidR="00654F0E">
        <w:rPr>
          <w:rFonts w:ascii="Arial" w:hAnsi="Arial" w:cs="Arial"/>
          <w:sz w:val="24"/>
          <w:szCs w:val="24"/>
        </w:rPr>
        <w:t xml:space="preserve">, </w:t>
      </w:r>
      <w:r w:rsidR="00902E41" w:rsidRPr="00F822A1">
        <w:rPr>
          <w:rFonts w:ascii="Arial" w:hAnsi="Arial" w:cs="Arial"/>
          <w:sz w:val="24"/>
          <w:szCs w:val="24"/>
        </w:rPr>
        <w:t>we report</w:t>
      </w:r>
      <w:r w:rsidR="00016418" w:rsidRPr="00F822A1">
        <w:rPr>
          <w:rFonts w:ascii="Arial" w:hAnsi="Arial" w:cs="Arial"/>
          <w:sz w:val="24"/>
          <w:szCs w:val="24"/>
        </w:rPr>
        <w:t xml:space="preserve"> a</w:t>
      </w:r>
      <w:r w:rsidR="00902E41" w:rsidRPr="00F822A1">
        <w:rPr>
          <w:rFonts w:ascii="Arial" w:hAnsi="Arial" w:cs="Arial"/>
          <w:sz w:val="24"/>
          <w:szCs w:val="24"/>
        </w:rPr>
        <w:t xml:space="preserve"> positive</w:t>
      </w:r>
      <w:r w:rsidR="0010738F" w:rsidRPr="00F822A1">
        <w:rPr>
          <w:rFonts w:ascii="Arial" w:hAnsi="Arial" w:cs="Arial"/>
          <w:sz w:val="24"/>
          <w:szCs w:val="24"/>
        </w:rPr>
        <w:t xml:space="preserve"> long-term</w:t>
      </w:r>
      <w:r w:rsidR="00902E41" w:rsidRPr="00F822A1">
        <w:rPr>
          <w:rFonts w:ascii="Arial" w:hAnsi="Arial" w:cs="Arial"/>
          <w:sz w:val="24"/>
          <w:szCs w:val="24"/>
        </w:rPr>
        <w:t xml:space="preserve"> </w:t>
      </w:r>
      <w:r w:rsidR="00171578" w:rsidRPr="00F822A1">
        <w:rPr>
          <w:rFonts w:ascii="Arial" w:hAnsi="Arial" w:cs="Arial"/>
          <w:sz w:val="24"/>
          <w:szCs w:val="24"/>
        </w:rPr>
        <w:t xml:space="preserve">association between </w:t>
      </w:r>
      <w:r w:rsidR="00C22A1B" w:rsidRPr="00F822A1">
        <w:rPr>
          <w:rFonts w:ascii="Arial" w:hAnsi="Arial" w:cs="Arial"/>
          <w:sz w:val="24"/>
          <w:szCs w:val="24"/>
        </w:rPr>
        <w:t>BP</w:t>
      </w:r>
      <w:r w:rsidR="00171578" w:rsidRPr="00F822A1">
        <w:rPr>
          <w:rFonts w:ascii="Arial" w:hAnsi="Arial" w:cs="Arial"/>
          <w:sz w:val="24"/>
          <w:szCs w:val="24"/>
        </w:rPr>
        <w:t xml:space="preserve"> and</w:t>
      </w:r>
      <w:r w:rsidR="00C03CC7">
        <w:rPr>
          <w:rFonts w:ascii="Arial" w:hAnsi="Arial" w:cs="Arial"/>
          <w:sz w:val="24"/>
          <w:szCs w:val="24"/>
        </w:rPr>
        <w:t xml:space="preserve"> risk of</w:t>
      </w:r>
      <w:r w:rsidR="00171578" w:rsidRPr="00F822A1">
        <w:rPr>
          <w:rFonts w:ascii="Arial" w:hAnsi="Arial" w:cs="Arial"/>
          <w:sz w:val="24"/>
          <w:szCs w:val="24"/>
        </w:rPr>
        <w:t xml:space="preserve"> vascular dementia </w:t>
      </w:r>
      <w:r w:rsidR="00C86F8D" w:rsidRPr="00F822A1">
        <w:rPr>
          <w:rFonts w:ascii="Arial" w:hAnsi="Arial" w:cs="Arial"/>
          <w:sz w:val="24"/>
          <w:szCs w:val="24"/>
        </w:rPr>
        <w:t xml:space="preserve">amongst people aged </w:t>
      </w:r>
      <w:r w:rsidR="009B6353">
        <w:rPr>
          <w:rFonts w:ascii="Arial" w:hAnsi="Arial" w:cs="Arial"/>
          <w:sz w:val="24"/>
          <w:szCs w:val="24"/>
        </w:rPr>
        <w:t>under</w:t>
      </w:r>
      <w:r w:rsidR="00C86F8D" w:rsidRPr="00F822A1">
        <w:rPr>
          <w:rFonts w:ascii="Arial" w:hAnsi="Arial" w:cs="Arial"/>
          <w:sz w:val="24"/>
          <w:szCs w:val="24"/>
        </w:rPr>
        <w:t xml:space="preserve"> 85.</w:t>
      </w:r>
      <w:r w:rsidR="002A1F31" w:rsidRPr="00F822A1">
        <w:rPr>
          <w:rFonts w:ascii="Arial" w:hAnsi="Arial" w:cs="Arial"/>
          <w:sz w:val="24"/>
          <w:szCs w:val="24"/>
        </w:rPr>
        <w:fldChar w:fldCharType="begin" w:fldLock="1"/>
      </w:r>
      <w:r w:rsidR="00BE6874">
        <w:rPr>
          <w:rFonts w:ascii="Arial" w:hAnsi="Arial" w:cs="Arial"/>
          <w:sz w:val="24"/>
          <w:szCs w:val="24"/>
        </w:rPr>
        <w:instrText>ADDIN CSL_CITATION { "citationItems" : [ { "id" : "ITEM-1", "itemData" : { "DOI" : "10.1161/STROKEAHA.116.012658", "PMID" : "27165956", "abstract" : "Vascular dementia is the second most common form of dementia but reliable evidence on age-specific associations between blood pressure (BP) and risk of vascular dementia is limited and some studies have reported negative associations at older ages.In a cohort of 4.28 million individuals, free of known vascular disease and dementia and identified from linked electronic primary care health records in the United Kingdom (Clinical Practice Research Datalink), we related BP to time to physician-diagnosed vascular dementia. We further determined associations between BP and dementia in a prospective population-based cohort of incident transient ischemic attack and stroke (Oxford Vascular Study).For a median follow-up of 7.0 years, 11 114 initial presentations of vascular dementia were observed in the primary care cohort after exclusion of the first 4 years of follow-up. The association between usual systolic BP and risk of vascular dementia decreased with age (hazard ratio per 20 mm Hg higher systolic BP, 1.62; 95% confidence interval, 1.13-2.35 at 30-50 years; 1.26, 1.18-1.35 at 51-70 years; 0.97, 0.92-1.03 at 71-90 years; P trend=0.006). Usual systolic BP remained predictive of vascular dementia after accounting for effect mediation by stroke and transient ischemic attack. In the population-based cohort, prior systolic BP was predictive of 5-year risk of dementia with no evidence of negative association at older ages.BP is positively associated with risk of vascular dementia, irrespective of preceding transient ischemic attack or stroke. Previous reports of inverse associations in old age could not be confirmed.", "author" : [ { "dropping-particle" : "", "family" : "Emdin", "given" : "Connor A", "non-dropping-particle" : "", "parse-names" : false, "suffix" : "" }, { "dropping-particle" : "", "family" : "Rothwell", "given" : "Peter M", "non-dropping-particle" : "", "parse-names" : false, "suffix" : "" }, { "dropping-particle" : "", "family" : "Salimi-Khorshidi", "given" : "Gholamreza", "non-dropping-particle" : "", "parse-names" : false, "suffix" : "" }, { "dropping-particle" : "", "family" : "Kiran", "given" : "Amit", "non-dropping-particle" : "", "parse-names" : false, "suffix" : "" }, { "dropping-particle" : "", "family" : "Conrad", "given" : "Nathalie", "non-dropping-particle" : "", "parse-names" : false, "suffix" : "" }, { "dropping-particle" : "", "family" : "Callender", "given" : "Thomas", "non-dropping-particle" : "", "parse-names" : false, "suffix" : "" }, { "dropping-particle" : "", "family" : "Mehta", "given" : "Ziyah", "non-dropping-particle" : "", "parse-names" : false, "suffix" : "" }, { "dropping-particle" : "", "family" : "Pendlebury", "given" : "Sarah T", "non-dropping-particle" : "", "parse-names" : false, "suffix" : "" }, { "dropping-particle" : "", "family" : "Anderson", "given" : "Simon G", "non-dropping-particle" : "", "parse-names" : false, "suffix" : "" }, { "dropping-particle" : "", "family" : "Mohseni", "given" : "Hamid", "non-dropping-particle" : "", "parse-names" : false, "suffix" : "" }, { "dropping-particle" : "", "family" : "Woodward", "given" : "Mark", "non-dropping-particle" : "", "parse-names" : false, "suffix" : "" }, { "dropping-particle" : "", "family" : "Rahimi", "given" : "Kazem", "non-dropping-particle" : "", "parse-names" : false, "suffix" : "" } ], "container-title" : "Stroke", "id" : "ITEM-1", "issue" : "6", "issued" : { "date-parts" : [ [ "2016", "6" ] ] }, "page" : "1429-1435", "title" : "Blood Pressure and Risk of Vascular Dementia: Evidence From a Primary Care Registry and a Cohort Study of Transient Ischemic Attack and Stroke.", "type" : "article-journal", "volume" : "47" }, "uris" : [ "http://www.mendeley.com/documents/?uuid=3ab1cc04-8171-435e-8ec3-084328d2e593" ] } ], "mendeley" : { "formattedCitation" : "(9)", "plainTextFormattedCitation" : "(9)", "previouslyFormattedCitation" : "(9)" }, "properties" : {  }, "schema" : "https://github.com/citation-style-language/schema/raw/master/csl-citation.json" }</w:instrText>
      </w:r>
      <w:r w:rsidR="002A1F31" w:rsidRPr="00F822A1">
        <w:rPr>
          <w:rFonts w:ascii="Arial" w:hAnsi="Arial" w:cs="Arial"/>
          <w:sz w:val="24"/>
          <w:szCs w:val="24"/>
        </w:rPr>
        <w:fldChar w:fldCharType="separate"/>
      </w:r>
      <w:r w:rsidR="00BE6874" w:rsidRPr="00BE6874">
        <w:rPr>
          <w:rFonts w:ascii="Arial" w:hAnsi="Arial" w:cs="Arial"/>
          <w:noProof/>
          <w:sz w:val="24"/>
          <w:szCs w:val="24"/>
        </w:rPr>
        <w:t>(9)</w:t>
      </w:r>
      <w:r w:rsidR="002A1F31" w:rsidRPr="00F822A1">
        <w:rPr>
          <w:rFonts w:ascii="Arial" w:hAnsi="Arial" w:cs="Arial"/>
          <w:sz w:val="24"/>
          <w:szCs w:val="24"/>
        </w:rPr>
        <w:fldChar w:fldCharType="end"/>
      </w:r>
      <w:r w:rsidR="00217A6A" w:rsidRPr="00F822A1">
        <w:rPr>
          <w:rFonts w:ascii="Arial" w:hAnsi="Arial" w:cs="Arial"/>
          <w:sz w:val="24"/>
          <w:szCs w:val="24"/>
        </w:rPr>
        <w:t xml:space="preserve"> </w:t>
      </w:r>
      <w:r w:rsidR="00C03CC7">
        <w:rPr>
          <w:rFonts w:ascii="Arial" w:hAnsi="Arial" w:cs="Arial"/>
          <w:sz w:val="24"/>
          <w:szCs w:val="24"/>
        </w:rPr>
        <w:t>Vascular dementia is common following stroke, and so one explanation for this association is via increased stroke risk in people with higher BP. A</w:t>
      </w:r>
      <w:r w:rsidR="001C7948" w:rsidRPr="00F822A1">
        <w:rPr>
          <w:rFonts w:ascii="Arial" w:hAnsi="Arial" w:cs="Arial"/>
          <w:sz w:val="24"/>
          <w:szCs w:val="24"/>
        </w:rPr>
        <w:t xml:space="preserve"> previous </w:t>
      </w:r>
      <w:r w:rsidR="00A473D7" w:rsidRPr="00F822A1">
        <w:rPr>
          <w:rFonts w:ascii="Arial" w:hAnsi="Arial" w:cs="Arial"/>
          <w:sz w:val="24"/>
          <w:szCs w:val="24"/>
        </w:rPr>
        <w:t xml:space="preserve">study </w:t>
      </w:r>
      <w:r w:rsidR="00C03CC7">
        <w:rPr>
          <w:rFonts w:ascii="Arial" w:hAnsi="Arial" w:cs="Arial"/>
          <w:sz w:val="24"/>
          <w:szCs w:val="24"/>
        </w:rPr>
        <w:t xml:space="preserve">in CPRD </w:t>
      </w:r>
      <w:r w:rsidR="00A473D7" w:rsidRPr="00F822A1">
        <w:rPr>
          <w:rFonts w:ascii="Arial" w:hAnsi="Arial" w:cs="Arial"/>
          <w:sz w:val="24"/>
          <w:szCs w:val="24"/>
        </w:rPr>
        <w:t xml:space="preserve">estimated </w:t>
      </w:r>
      <w:r w:rsidR="001C7948" w:rsidRPr="00F822A1">
        <w:rPr>
          <w:rFonts w:ascii="Arial" w:hAnsi="Arial" w:cs="Arial"/>
          <w:sz w:val="24"/>
          <w:szCs w:val="24"/>
        </w:rPr>
        <w:t xml:space="preserve">this pathway </w:t>
      </w:r>
      <w:r>
        <w:rPr>
          <w:rFonts w:ascii="Arial" w:hAnsi="Arial" w:cs="Arial"/>
          <w:sz w:val="24"/>
          <w:szCs w:val="24"/>
        </w:rPr>
        <w:t xml:space="preserve">to be </w:t>
      </w:r>
      <w:r w:rsidR="001C7948" w:rsidRPr="00F822A1">
        <w:rPr>
          <w:rFonts w:ascii="Arial" w:hAnsi="Arial" w:cs="Arial"/>
          <w:sz w:val="24"/>
          <w:szCs w:val="24"/>
        </w:rPr>
        <w:t xml:space="preserve">responsible for </w:t>
      </w:r>
      <w:r>
        <w:rPr>
          <w:rFonts w:ascii="Arial" w:hAnsi="Arial" w:cs="Arial"/>
          <w:sz w:val="24"/>
          <w:szCs w:val="24"/>
        </w:rPr>
        <w:t xml:space="preserve">roughly one-third of </w:t>
      </w:r>
      <w:r w:rsidR="00D47471" w:rsidRPr="00F822A1">
        <w:rPr>
          <w:rFonts w:ascii="Arial" w:hAnsi="Arial" w:cs="Arial"/>
          <w:sz w:val="24"/>
          <w:szCs w:val="24"/>
        </w:rPr>
        <w:t xml:space="preserve">excess cases of </w:t>
      </w:r>
      <w:r w:rsidR="007C798A" w:rsidRPr="00F822A1">
        <w:rPr>
          <w:rFonts w:ascii="Arial" w:hAnsi="Arial" w:cs="Arial"/>
          <w:sz w:val="24"/>
          <w:szCs w:val="24"/>
        </w:rPr>
        <w:t xml:space="preserve">vascular </w:t>
      </w:r>
      <w:r w:rsidR="00D47471" w:rsidRPr="00F822A1">
        <w:rPr>
          <w:rFonts w:ascii="Arial" w:hAnsi="Arial" w:cs="Arial"/>
          <w:sz w:val="24"/>
          <w:szCs w:val="24"/>
        </w:rPr>
        <w:t xml:space="preserve">dementia seen in patients with high </w:t>
      </w:r>
      <w:r w:rsidR="00C22A1B" w:rsidRPr="00F822A1">
        <w:rPr>
          <w:rFonts w:ascii="Arial" w:hAnsi="Arial" w:cs="Arial"/>
          <w:sz w:val="24"/>
          <w:szCs w:val="24"/>
        </w:rPr>
        <w:t>BP</w:t>
      </w:r>
      <w:r w:rsidR="00D47471" w:rsidRPr="00F822A1">
        <w:rPr>
          <w:rFonts w:ascii="Arial" w:hAnsi="Arial" w:cs="Arial"/>
          <w:sz w:val="24"/>
          <w:szCs w:val="24"/>
        </w:rPr>
        <w:t>.</w:t>
      </w:r>
      <w:r w:rsidR="002A1F31" w:rsidRPr="00F822A1">
        <w:rPr>
          <w:rFonts w:ascii="Arial" w:hAnsi="Arial" w:cs="Arial"/>
          <w:sz w:val="24"/>
          <w:szCs w:val="24"/>
        </w:rPr>
        <w:fldChar w:fldCharType="begin" w:fldLock="1"/>
      </w:r>
      <w:r w:rsidR="00BE6874">
        <w:rPr>
          <w:rFonts w:ascii="Arial" w:hAnsi="Arial" w:cs="Arial"/>
          <w:sz w:val="24"/>
          <w:szCs w:val="24"/>
        </w:rPr>
        <w:instrText>ADDIN CSL_CITATION { "citationItems" : [ { "id" : "ITEM-1", "itemData" : { "DOI" : "10.1161/STROKEAHA.116.012658", "PMID" : "27165956", "abstract" : "Vascular dementia is the second most common form of dementia but reliable evidence on age-specific associations between blood pressure (BP) and risk of vascular dementia is limited and some studies have reported negative associations at older ages.In a cohort of 4.28 million individuals, free of known vascular disease and dementia and identified from linked electronic primary care health records in the United Kingdom (Clinical Practice Research Datalink), we related BP to time to physician-diagnosed vascular dementia. We further determined associations between BP and dementia in a prospective population-based cohort of incident transient ischemic attack and stroke (Oxford Vascular Study).For a median follow-up of 7.0 years, 11 114 initial presentations of vascular dementia were observed in the primary care cohort after exclusion of the first 4 years of follow-up. The association between usual systolic BP and risk of vascular dementia decreased with age (hazard ratio per 20 mm Hg higher systolic BP, 1.62; 95% confidence interval, 1.13-2.35 at 30-50 years; 1.26, 1.18-1.35 at 51-70 years; 0.97, 0.92-1.03 at 71-90 years; P trend=0.006). Usual systolic BP remained predictive of vascular dementia after accounting for effect mediation by stroke and transient ischemic attack. In the population-based cohort, prior systolic BP was predictive of 5-year risk of dementia with no evidence of negative association at older ages.BP is positively associated with risk of vascular dementia, irrespective of preceding transient ischemic attack or stroke. Previous reports of inverse associations in old age could not be confirmed.", "author" : [ { "dropping-particle" : "", "family" : "Emdin", "given" : "Connor A", "non-dropping-particle" : "", "parse-names" : false, "suffix" : "" }, { "dropping-particle" : "", "family" : "Rothwell", "given" : "Peter M", "non-dropping-particle" : "", "parse-names" : false, "suffix" : "" }, { "dropping-particle" : "", "family" : "Salimi-Khorshidi", "given" : "Gholamreza", "non-dropping-particle" : "", "parse-names" : false, "suffix" : "" }, { "dropping-particle" : "", "family" : "Kiran", "given" : "Amit", "non-dropping-particle" : "", "parse-names" : false, "suffix" : "" }, { "dropping-particle" : "", "family" : "Conrad", "given" : "Nathalie", "non-dropping-particle" : "", "parse-names" : false, "suffix" : "" }, { "dropping-particle" : "", "family" : "Callender", "given" : "Thomas", "non-dropping-particle" : "", "parse-names" : false, "suffix" : "" }, { "dropping-particle" : "", "family" : "Mehta", "given" : "Ziyah", "non-dropping-particle" : "", "parse-names" : false, "suffix" : "" }, { "dropping-particle" : "", "family" : "Pendlebury", "given" : "Sarah T", "non-dropping-particle" : "", "parse-names" : false, "suffix" : "" }, { "dropping-particle" : "", "family" : "Anderson", "given" : "Simon G", "non-dropping-particle" : "", "parse-names" : false, "suffix" : "" }, { "dropping-particle" : "", "family" : "Mohseni", "given" : "Hamid", "non-dropping-particle" : "", "parse-names" : false, "suffix" : "" }, { "dropping-particle" : "", "family" : "Woodward", "given" : "Mark", "non-dropping-particle" : "", "parse-names" : false, "suffix" : "" }, { "dropping-particle" : "", "family" : "Rahimi", "given" : "Kazem", "non-dropping-particle" : "", "parse-names" : false, "suffix" : "" } ], "container-title" : "Stroke", "id" : "ITEM-1", "issue" : "6", "issued" : { "date-parts" : [ [ "2016", "6" ] ] }, "page" : "1429-1435", "title" : "Blood Pressure and Risk of Vascular Dementia: Evidence From a Primary Care Registry and a Cohort Study of Transient Ischemic Attack and Stroke.", "type" : "article-journal", "volume" : "47" }, "uris" : [ "http://www.mendeley.com/documents/?uuid=3ab1cc04-8171-435e-8ec3-084328d2e593" ] } ], "mendeley" : { "formattedCitation" : "(9)", "plainTextFormattedCitation" : "(9)", "previouslyFormattedCitation" : "(9)" }, "properties" : {  }, "schema" : "https://github.com/citation-style-language/schema/raw/master/csl-citation.json" }</w:instrText>
      </w:r>
      <w:r w:rsidR="002A1F31" w:rsidRPr="00F822A1">
        <w:rPr>
          <w:rFonts w:ascii="Arial" w:hAnsi="Arial" w:cs="Arial"/>
          <w:sz w:val="24"/>
          <w:szCs w:val="24"/>
        </w:rPr>
        <w:fldChar w:fldCharType="separate"/>
      </w:r>
      <w:r w:rsidR="00BE6874" w:rsidRPr="00BE6874">
        <w:rPr>
          <w:rFonts w:ascii="Arial" w:hAnsi="Arial" w:cs="Arial"/>
          <w:noProof/>
          <w:sz w:val="24"/>
          <w:szCs w:val="24"/>
        </w:rPr>
        <w:t>(9)</w:t>
      </w:r>
      <w:r w:rsidR="002A1F31" w:rsidRPr="00F822A1">
        <w:rPr>
          <w:rFonts w:ascii="Arial" w:hAnsi="Arial" w:cs="Arial"/>
          <w:sz w:val="24"/>
          <w:szCs w:val="24"/>
        </w:rPr>
        <w:fldChar w:fldCharType="end"/>
      </w:r>
      <w:r w:rsidR="00D06CAB" w:rsidRPr="00F822A1">
        <w:rPr>
          <w:rFonts w:ascii="Arial" w:hAnsi="Arial" w:cs="Arial"/>
          <w:sz w:val="24"/>
          <w:szCs w:val="24"/>
        </w:rPr>
        <w:t xml:space="preserve"> </w:t>
      </w:r>
    </w:p>
    <w:p w:rsidR="00C04934" w:rsidRPr="00F822A1" w:rsidRDefault="00295BFC" w:rsidP="00A918B7">
      <w:pPr>
        <w:spacing w:line="480" w:lineRule="auto"/>
        <w:rPr>
          <w:rFonts w:ascii="Arial" w:hAnsi="Arial" w:cs="Arial"/>
          <w:sz w:val="24"/>
          <w:szCs w:val="24"/>
        </w:rPr>
      </w:pPr>
      <w:r>
        <w:rPr>
          <w:rFonts w:ascii="Arial" w:hAnsi="Arial" w:cs="Arial"/>
          <w:sz w:val="24"/>
          <w:szCs w:val="24"/>
        </w:rPr>
        <w:t>Thus, BP reduction may decrease risk of vascular dementia, but have a limited effect on overall dementia risk.</w:t>
      </w:r>
      <w:r w:rsidR="002A1F31" w:rsidRPr="00F822A1">
        <w:rPr>
          <w:rFonts w:ascii="Arial" w:hAnsi="Arial" w:cs="Arial"/>
          <w:sz w:val="24"/>
          <w:szCs w:val="24"/>
        </w:rPr>
        <w:fldChar w:fldCharType="begin" w:fldLock="1"/>
      </w:r>
      <w:r w:rsidR="00BE6874">
        <w:rPr>
          <w:rFonts w:ascii="Arial" w:hAnsi="Arial" w:cs="Arial"/>
          <w:sz w:val="24"/>
          <w:szCs w:val="24"/>
        </w:rPr>
        <w:instrText>ADDIN CSL_CITATION { "citationItems" : [ { "id" : "ITEM-1", "itemData" : { "DOI" : "10.1016/S1474-4422(14)70136-X", "PMID" : "25030513", "abstract" : "Recent estimates suggesting that over half of Alzheimer's disease burden worldwide might be attributed to potentially modifiable risk factors do not take into account risk-factor non-independence. We aimed to provide specific estimates of preventive potential by accounting for the association between risk factors.Using relative risks from existing meta-analyses, we estimated the population-attributable risk (PAR) of Alzheimer's disease worldwide and in the USA, Europe, and the UK for seven potentially modifiable risk factors that have consistent evidence of an association with the disease (diabetes, midlife hypertension, midlife obesity, physical inactivity, depression, smoking, and low educational attainment). The combined PAR associated with the risk factors was calculated using data from the Health Survey for England 2006 to estimate and adjust for the association between risk factors. The potential of risk factor reduction was assessed by examining the combined effect of relative reductions of 10% and 20% per decade for each of the seven risk factors on projections for Alzheimer's disease cases to 2050.Worldwide, the highest estimated PAR was for low educational attainment (19\ufffd1%, 95% CI 12\ufffd3-25\ufffd6). The highest estimated PAR was for physical inactivity in the USA (21\ufffd0%, 95% CI 5\ufffd8-36\ufffd6), Europe (20\ufffd3%, 5\ufffd6-35\ufffd6), and the UK (21\ufffd8%, 6\ufffd1-37\ufffd7). Assuming independence, the combined worldwide PAR for the seven risk factors was 49\ufffd4% (95% CI 25\ufffd7-68\ufffd4), which equates to 16\ufffd8 million attributable cases (95% CI 8\ufffd7-23\ufffd2 million) of 33\ufffd9 million cases. However, after adjustment for the association between the risk factors, the estimate reduced to 28\ufffd2% (95% CI 14\ufffd2-41\ufffd5), which equates to 9\ufffd6 million attributable cases (95% CI 4\ufffd8-14\ufffd1 million) of 33\ufffd9 million cases. Combined PAR estimates were about 30% for the USA, Europe, and the UK. Assuming a causal relation and intervention at the correct age for prevention, relative reductions of 10% per decade in the prevalence of each of the seven risk factors could reduce the prevalence of Alzheimer's disease in 2050 by 8\ufffd3% worldwide.After accounting for non-independence between risk factors, around a third of Alzheimer's diseases cases worldwide might be attributable to potentially modifiable risk factors. Alzheimer's disease incidence might be reduced through improved access to education and use of effective methods targeted at reducing the prevalence of vascular risk factors (eg, physical inactivity, smoking, \u2026", "author" : [ { "dropping-particle" : "", "family" : "Norton", "given" : "Sam", "non-dropping-particle" : "", "parse-names" : false, "suffix" : "" }, { "dropping-particle" : "", "family" : "Matthews", "given" : "Fiona E", "non-dropping-particle" : "", "parse-names" : false, "suffix" : "" }, { "dropping-particle" : "", "family" : "Barnes", "given" : "Deborah E", "non-dropping-particle" : "", "parse-names" : false, "suffix" : "" }, { "dropping-particle" : "", "family" : "Yaffe", "given" : "Kristine", "non-dropping-particle" : "", "parse-names" : false, "suffix" : "" }, { "dropping-particle" : "", "family" : "Brayne", "given" : "Carol", "non-dropping-particle" : "", "parse-names" : false, "suffix" : "" } ], "container-title" : "Lancet Neurol", "id" : "ITEM-1", "issue" : "8", "issued" : { "date-parts" : [ [ "2014", "8" ] ] }, "page" : "788-794", "title" : "Potential for primary prevention of Alzheimer's disease: an analysis of population-based data.", "type" : "article-journal", "volume" : "13" }, "uris" : [ "http://www.mendeley.com/documents/?uuid=1a636d96-7e7b-4b1f-9c8f-1d7bb7ff1489" ] } ], "mendeley" : { "formattedCitation" : "(3)", "plainTextFormattedCitation" : "(3)", "previouslyFormattedCitation" : "(3)" }, "properties" : {  }, "schema" : "https://github.com/citation-style-language/schema/raw/master/csl-citation.json" }</w:instrText>
      </w:r>
      <w:r w:rsidR="002A1F31" w:rsidRPr="00F822A1">
        <w:rPr>
          <w:rFonts w:ascii="Arial" w:hAnsi="Arial" w:cs="Arial"/>
          <w:sz w:val="24"/>
          <w:szCs w:val="24"/>
        </w:rPr>
        <w:fldChar w:fldCharType="separate"/>
      </w:r>
      <w:r w:rsidR="00BE6874" w:rsidRPr="00BE6874">
        <w:rPr>
          <w:rFonts w:ascii="Arial" w:hAnsi="Arial" w:cs="Arial"/>
          <w:noProof/>
          <w:sz w:val="24"/>
          <w:szCs w:val="24"/>
        </w:rPr>
        <w:t>(3)</w:t>
      </w:r>
      <w:r w:rsidR="002A1F31" w:rsidRPr="00F822A1">
        <w:rPr>
          <w:rFonts w:ascii="Arial" w:hAnsi="Arial" w:cs="Arial"/>
          <w:sz w:val="24"/>
          <w:szCs w:val="24"/>
        </w:rPr>
        <w:fldChar w:fldCharType="end"/>
      </w:r>
      <w:r w:rsidR="00094D58" w:rsidRPr="00F822A1">
        <w:rPr>
          <w:rFonts w:ascii="Arial" w:hAnsi="Arial" w:cs="Arial"/>
          <w:sz w:val="24"/>
          <w:szCs w:val="24"/>
        </w:rPr>
        <w:t xml:space="preserve"> </w:t>
      </w:r>
      <w:r w:rsidR="00A1670A" w:rsidRPr="00F822A1">
        <w:rPr>
          <w:rFonts w:ascii="Arial" w:hAnsi="Arial" w:cs="Arial"/>
          <w:sz w:val="24"/>
          <w:szCs w:val="24"/>
        </w:rPr>
        <w:t xml:space="preserve">Several randomised trials </w:t>
      </w:r>
      <w:r>
        <w:rPr>
          <w:rFonts w:ascii="Arial" w:hAnsi="Arial" w:cs="Arial"/>
          <w:sz w:val="24"/>
          <w:szCs w:val="24"/>
        </w:rPr>
        <w:t xml:space="preserve">have studied the effect of </w:t>
      </w:r>
      <w:r w:rsidR="00A1670A" w:rsidRPr="00F822A1">
        <w:rPr>
          <w:rFonts w:ascii="Arial" w:hAnsi="Arial" w:cs="Arial"/>
          <w:sz w:val="24"/>
          <w:szCs w:val="24"/>
        </w:rPr>
        <w:t xml:space="preserve">anti-hypertensive therapies </w:t>
      </w:r>
      <w:r>
        <w:rPr>
          <w:rFonts w:ascii="Arial" w:hAnsi="Arial" w:cs="Arial"/>
          <w:sz w:val="24"/>
          <w:szCs w:val="24"/>
        </w:rPr>
        <w:t xml:space="preserve">on </w:t>
      </w:r>
      <w:r w:rsidR="00A1670A" w:rsidRPr="00F822A1">
        <w:rPr>
          <w:rFonts w:ascii="Arial" w:hAnsi="Arial" w:cs="Arial"/>
          <w:sz w:val="24"/>
          <w:szCs w:val="24"/>
        </w:rPr>
        <w:t>dementia risk</w:t>
      </w:r>
      <w:r w:rsidR="00B10CDE" w:rsidRPr="00F822A1">
        <w:rPr>
          <w:rFonts w:ascii="Arial" w:hAnsi="Arial" w:cs="Arial"/>
          <w:sz w:val="24"/>
          <w:szCs w:val="24"/>
        </w:rPr>
        <w:t>, but their findings are inconclusive</w:t>
      </w:r>
      <w:r w:rsidR="001D0CB9" w:rsidRPr="00F822A1">
        <w:rPr>
          <w:rFonts w:ascii="Arial" w:hAnsi="Arial" w:cs="Arial"/>
          <w:sz w:val="24"/>
          <w:szCs w:val="24"/>
        </w:rPr>
        <w:t xml:space="preserve">. </w:t>
      </w:r>
      <w:proofErr w:type="spellStart"/>
      <w:r w:rsidR="001D0CB9" w:rsidRPr="00F822A1">
        <w:rPr>
          <w:rFonts w:ascii="Arial" w:hAnsi="Arial" w:cs="Arial"/>
          <w:sz w:val="24"/>
          <w:szCs w:val="24"/>
        </w:rPr>
        <w:t>Syst-Eur</w:t>
      </w:r>
      <w:proofErr w:type="spellEnd"/>
      <w:r w:rsidR="001D0CB9" w:rsidRPr="00F822A1">
        <w:rPr>
          <w:rFonts w:ascii="Arial" w:hAnsi="Arial" w:cs="Arial"/>
          <w:sz w:val="24"/>
          <w:szCs w:val="24"/>
        </w:rPr>
        <w:t xml:space="preserve"> trial</w:t>
      </w:r>
      <w:r w:rsidR="006F7D64" w:rsidRPr="00F822A1">
        <w:rPr>
          <w:rFonts w:ascii="Arial" w:hAnsi="Arial" w:cs="Arial"/>
          <w:sz w:val="24"/>
          <w:szCs w:val="24"/>
        </w:rPr>
        <w:t xml:space="preserve"> </w:t>
      </w:r>
      <w:r w:rsidR="000F4347" w:rsidRPr="00F822A1">
        <w:rPr>
          <w:rFonts w:ascii="Arial" w:hAnsi="Arial" w:cs="Arial"/>
          <w:sz w:val="24"/>
          <w:szCs w:val="24"/>
        </w:rPr>
        <w:t>reported a significant reduction in dementia risk</w:t>
      </w:r>
      <w:r w:rsidR="00B10CDE" w:rsidRPr="00F822A1">
        <w:rPr>
          <w:rFonts w:ascii="Arial" w:hAnsi="Arial" w:cs="Arial"/>
          <w:sz w:val="24"/>
          <w:szCs w:val="24"/>
        </w:rPr>
        <w:t xml:space="preserve"> with </w:t>
      </w:r>
      <w:r w:rsidR="004F3ED4" w:rsidRPr="00F822A1">
        <w:rPr>
          <w:rFonts w:ascii="Arial" w:hAnsi="Arial" w:cs="Arial"/>
          <w:sz w:val="24"/>
          <w:szCs w:val="24"/>
        </w:rPr>
        <w:t>anti-</w:t>
      </w:r>
      <w:proofErr w:type="spellStart"/>
      <w:r w:rsidR="004F3ED4" w:rsidRPr="00F822A1">
        <w:rPr>
          <w:rFonts w:ascii="Arial" w:hAnsi="Arial" w:cs="Arial"/>
          <w:sz w:val="24"/>
          <w:szCs w:val="24"/>
        </w:rPr>
        <w:t>hypertensives</w:t>
      </w:r>
      <w:proofErr w:type="spellEnd"/>
      <w:r w:rsidR="004F3ED4" w:rsidRPr="00F822A1">
        <w:rPr>
          <w:rFonts w:ascii="Arial" w:hAnsi="Arial" w:cs="Arial"/>
          <w:sz w:val="24"/>
          <w:szCs w:val="24"/>
        </w:rPr>
        <w:t xml:space="preserve"> in elderly patients,</w:t>
      </w:r>
      <w:r w:rsidR="006F7D64" w:rsidRPr="00F822A1">
        <w:rPr>
          <w:rFonts w:ascii="Arial" w:hAnsi="Arial" w:cs="Arial"/>
          <w:sz w:val="24"/>
          <w:szCs w:val="24"/>
        </w:rPr>
        <w:t xml:space="preserve"> </w:t>
      </w:r>
      <w:r w:rsidR="00013D86">
        <w:rPr>
          <w:rFonts w:ascii="Arial" w:hAnsi="Arial" w:cs="Arial"/>
          <w:sz w:val="24"/>
          <w:szCs w:val="24"/>
        </w:rPr>
        <w:t xml:space="preserve">but </w:t>
      </w:r>
      <w:r w:rsidR="006F7D64" w:rsidRPr="00F822A1">
        <w:rPr>
          <w:rFonts w:ascii="Arial" w:hAnsi="Arial" w:cs="Arial"/>
          <w:sz w:val="24"/>
          <w:szCs w:val="24"/>
        </w:rPr>
        <w:t>was a</w:t>
      </w:r>
      <w:r>
        <w:rPr>
          <w:rFonts w:ascii="Arial" w:hAnsi="Arial" w:cs="Arial"/>
          <w:sz w:val="24"/>
          <w:szCs w:val="24"/>
        </w:rPr>
        <w:t xml:space="preserve">n exploratory analysis and </w:t>
      </w:r>
      <w:r w:rsidR="00013D86">
        <w:rPr>
          <w:rFonts w:ascii="Arial" w:hAnsi="Arial" w:cs="Arial"/>
          <w:sz w:val="24"/>
          <w:szCs w:val="24"/>
        </w:rPr>
        <w:t xml:space="preserve">so </w:t>
      </w:r>
      <w:r w:rsidR="00B10CDE" w:rsidRPr="00F822A1">
        <w:rPr>
          <w:rFonts w:ascii="Arial" w:hAnsi="Arial" w:cs="Arial"/>
          <w:sz w:val="24"/>
          <w:szCs w:val="24"/>
        </w:rPr>
        <w:t>should be treated with caution</w:t>
      </w:r>
      <w:r w:rsidR="006F7D64" w:rsidRPr="00F822A1">
        <w:rPr>
          <w:rFonts w:ascii="Arial" w:hAnsi="Arial" w:cs="Arial"/>
          <w:sz w:val="24"/>
          <w:szCs w:val="24"/>
        </w:rPr>
        <w:t>.</w:t>
      </w:r>
      <w:r w:rsidR="002A1F31" w:rsidRPr="00F822A1">
        <w:rPr>
          <w:rFonts w:ascii="Arial" w:hAnsi="Arial" w:cs="Arial"/>
          <w:sz w:val="24"/>
          <w:szCs w:val="24"/>
        </w:rPr>
        <w:fldChar w:fldCharType="begin" w:fldLock="1"/>
      </w:r>
      <w:r w:rsidR="003516B3">
        <w:rPr>
          <w:rFonts w:ascii="Arial" w:hAnsi="Arial" w:cs="Arial"/>
          <w:sz w:val="24"/>
          <w:szCs w:val="24"/>
        </w:rPr>
        <w:instrText>ADDIN CSL_CITATION { "citationItems" : [ { "id" : "ITEM-1", "itemData" : { "DOI" : "10.1016/S0140-6736(98)03086-4", "ISBN" : "0140-6736 (Print)\\r0140-6736 (Linking)", "ISSN" : "01406736", "PMID" : "9802273", "abstract" : "Background. Systolic hypertension increases the risk of dementia in elderly people. The vascular dementia project, set up in the framework of the double-blind placebo-controlled Systolic Hypertension in Europe (Syst-Eur) trial, investigated whether antihypertensive drug treatment could reduce the incidence of dementia. Methods. Eligible patients had no dementia, were at least 60 years old, and had a blood pressure when seated of 160-219 mmHg systolic and below 95 mmHg diastolic. Active treatment consisted of nitrendipine (10-40 mg/day) with the possible addition of enalapril (5-20 mg/day), hydrochlorothiazide (12.5-25 mg/day), or both drugs, titrated or combined to reduce the systolic blood pressure by at least 20 mmHg to reach a value below 150 mmHg. Cognitive function was assessed by the mini mental state examination (MMSE). If the MMSE score was 23 or less, diagnostic tests for dementia were done (DSM-III-R criteria). The cause of dementia was established by the modified ischaemic score with brain imaging or the Hachinski score. Findings. Median follow-up by intention to treat was 2.0 years. Compared with placebo (n = 1180), active treatment (n = 1238) reduced the incidence of dementia by 50% from 7.7 to 3.8 cases per 1000 patient-years (21 vs 11 patients, p = 0.05). The median MMSE score at randomisation was 29 in both treatment groups. At the last available assessment, systolic and diastolic blood pressure were, respectively, 8.3 mmHg and 3.8 mmHg lower (p &lt; 0.001) in the active-treatment group, but on average the MMSE scores did not change in either group. In the control patients, however, the MMSE decreased (p = 0.04) with decreasing diastolic blood pressure, whereas in the active-treatment group MMSE scores improved slightly (p = 0.01) with greated reduction in diastolic blood pressure (p = 0.002 for between-group difference). Interpretation. In elderly people with isolated systolic hypertension, antihypertensive treatment was associated with a lower incidence of dementia. If 1000 hypertensive patients were treated with antihypertensive drugs for 5 years 19 cases of dementia might be prevented.", "author" : [ { "dropping-particle" : "", "family" : "Forette", "given" : "Fran??oise", "non-dropping-particle" : "", "parse-names" : false, "suffix" : "" }, { "dropping-particle" : "", "family" : "Seux", "given" : "Marie Laure", "non-dropping-particle" : "", "parse-names" : false, "suffix" : "" }, { "dropping-particle" : "", "family" : "Staessen", "given" : "Jan A.", "non-dropping-particle" : "", "parse-names" : false, "suffix" : "" }, { "dropping-particle" : "", "family" : "Thijs", "given" : "Lutgarde", "non-dropping-particle" : "", "parse-names" : false, "suffix" : "" }, { "dropping-particle" : "", "family" : "Birkenh??ger", "given" : "Willem H.", "non-dropping-particle" : "", "parse-names" : false, "suffix" : "" }, { "dropping-particle" : "", "family" : "Babarskiene", "given" : "Marija Ruta", "non-dropping-particle" : "", "parse-names" : false, "suffix" : "" }, { "dropping-particle" : "", "family" : "Babeanu", "given" : "Speranta", "non-dropping-particle" : "", "parse-names" : false, "suffix" : "" }, { "dropping-particle" : "", "family" : "Bossini", "given" : "Alfredo", "non-dropping-particle" : "", "parse-names" : false, "suffix" : "" }, { "dropping-particle" : "", "family" : "Gil-Extremera", "given" : "Blas", "non-dropping-particle" : "", "parse-names" : false, "suffix" : "" }, { "dropping-particle" : "", "family" : "Girerd", "given" : "Xavier", "non-dropping-particle" : "", "parse-names" : false, "suffix" : "" }, { "dropping-particle" : "", "family" : "Laks", "given" : "Tovio", "non-dropping-particle" : "", "parse-names" : false, "suffix" : "" }, { "dropping-particle" : "", "family" : "Lilov", "given" : "Emil", "non-dropping-particle" : "", "parse-names" : false, "suffix" : "" }, { "dropping-particle" : "", "family" : "Moisseyev", "given" : "Valentine", "non-dropping-particle" : "", "parse-names" : false, "suffix" : "" }, { "dropping-particle" : "", "family" : "Tuomilehto", "given" : "Jaakko", "non-dropping-particle" : "", "parse-names" : false, "suffix" : "" }, { "dropping-particle" : "", "family" : "Vanhanen", "given" : "Hannu", "non-dropping-particle" : "", "parse-names" : false, "suffix" : "" }, { "dropping-particle" : "", "family" : "Webster", "given" : "John", "non-dropping-particle" : "", "parse-names" : false, "suffix" : "" }, { "dropping-particle" : "", "family" : "Yodfat", "given" : "Yair", "non-dropping-particle" : "", "parse-names" : false, "suffix" : "" }, { "dropping-particle" : "", "family" : "Fagard", "given" : "Robert", "non-dropping-particle" : "", "parse-names" : false, "suffix" : "" } ], "container-title" : "Lancet", "id" : "ITEM-1", "issue" : "9137", "issued" : { "date-parts" : [ [ "1998" ] ] }, "page" : "1347-1351", "title" : "Prevention of dementia in randomised double-blind placebo-controlled Systolic Hypertension in Europe (Syst-Eur) trial", "type" : "article-journal", "volume" : "352" }, "uris" : [ "http://www.mendeley.com/documents/?uuid=53fd85ff-1575-4e4d-b992-de70e5812210" ] } ], "mendeley" : { "formattedCitation" : "(16)", "plainTextFormattedCitation" : "(16)", "previouslyFormattedCitation" : "(16)" }, "properties" : {  }, "schema" : "https://github.com/citation-style-language/schema/raw/master/csl-citation.json" }</w:instrText>
      </w:r>
      <w:r w:rsidR="002A1F31" w:rsidRPr="00F822A1">
        <w:rPr>
          <w:rFonts w:ascii="Arial" w:hAnsi="Arial" w:cs="Arial"/>
          <w:sz w:val="24"/>
          <w:szCs w:val="24"/>
        </w:rPr>
        <w:fldChar w:fldCharType="separate"/>
      </w:r>
      <w:r w:rsidR="00620034" w:rsidRPr="00620034">
        <w:rPr>
          <w:rFonts w:ascii="Arial" w:hAnsi="Arial" w:cs="Arial"/>
          <w:noProof/>
          <w:sz w:val="24"/>
          <w:szCs w:val="24"/>
        </w:rPr>
        <w:t>(16)</w:t>
      </w:r>
      <w:r w:rsidR="002A1F31" w:rsidRPr="00F822A1">
        <w:rPr>
          <w:rFonts w:ascii="Arial" w:hAnsi="Arial" w:cs="Arial"/>
          <w:sz w:val="24"/>
          <w:szCs w:val="24"/>
        </w:rPr>
        <w:fldChar w:fldCharType="end"/>
      </w:r>
      <w:r w:rsidR="006F7D64" w:rsidRPr="00F822A1">
        <w:rPr>
          <w:rFonts w:ascii="Arial" w:hAnsi="Arial" w:cs="Arial"/>
          <w:sz w:val="24"/>
          <w:szCs w:val="24"/>
        </w:rPr>
        <w:t xml:space="preserve"> </w:t>
      </w:r>
      <w:r w:rsidR="00A43578" w:rsidRPr="00F822A1">
        <w:rPr>
          <w:rFonts w:ascii="Arial" w:hAnsi="Arial" w:cs="Arial"/>
          <w:sz w:val="24"/>
          <w:szCs w:val="24"/>
        </w:rPr>
        <w:t xml:space="preserve"> </w:t>
      </w:r>
      <w:r w:rsidR="00F82C24" w:rsidRPr="00F822A1">
        <w:rPr>
          <w:rFonts w:ascii="Arial" w:hAnsi="Arial" w:cs="Arial"/>
          <w:sz w:val="24"/>
          <w:szCs w:val="24"/>
        </w:rPr>
        <w:t xml:space="preserve">Several other trials </w:t>
      </w:r>
      <w:r>
        <w:rPr>
          <w:rFonts w:ascii="Arial" w:hAnsi="Arial" w:cs="Arial"/>
          <w:sz w:val="24"/>
          <w:szCs w:val="24"/>
        </w:rPr>
        <w:t xml:space="preserve">did not demonstrate a significant </w:t>
      </w:r>
      <w:r w:rsidR="000F4347" w:rsidRPr="00F822A1">
        <w:rPr>
          <w:rFonts w:ascii="Arial" w:hAnsi="Arial" w:cs="Arial"/>
          <w:sz w:val="24"/>
          <w:szCs w:val="24"/>
        </w:rPr>
        <w:t>reduction</w:t>
      </w:r>
      <w:r w:rsidR="00F82C24" w:rsidRPr="00F822A1">
        <w:rPr>
          <w:rFonts w:ascii="Arial" w:hAnsi="Arial" w:cs="Arial"/>
          <w:sz w:val="24"/>
          <w:szCs w:val="24"/>
        </w:rPr>
        <w:t>.</w:t>
      </w:r>
      <w:r w:rsidR="009B6353">
        <w:rPr>
          <w:rFonts w:ascii="Arial" w:hAnsi="Arial" w:cs="Arial"/>
          <w:sz w:val="24"/>
          <w:szCs w:val="24"/>
        </w:rPr>
        <w:fldChar w:fldCharType="begin" w:fldLock="1"/>
      </w:r>
      <w:r w:rsidR="00D12B64">
        <w:rPr>
          <w:rFonts w:ascii="Arial" w:hAnsi="Arial" w:cs="Arial"/>
          <w:sz w:val="24"/>
          <w:szCs w:val="24"/>
        </w:rPr>
        <w:instrText>ADDIN CSL_CITATION { "citationItems" : [ { "id" : "ITEM-1", "itemData" : { "DOI" : "10.1016/S1474-4422(08)70143-1", "ISBN" : "1474-4422", "ISSN" : "14744422", "PMID" : "18614402", "abstract" : "Background: Observational epidemiological studies have shown a positive association between hypertension and risk of incident dementia; however, the effects of antihypertensive therapy on cognitive function in controlled trials have been conflicting, and meta-analyses of the trials have not provided clear evidence of whether antihypertensive treatment reduces dementia incidence. The Hypertension in the Very Elderly trial (HYVET) was designed to assess the risks and benefits of treatment of hypertension in elderly patients and included an assessment of cognitive function. Methods: Patients with hypertension (systolic pressure 160-200 mm Hg; diastolic pressure &lt;110 mm Hg) who were aged 80 years or older were enrolled in this double-blind, placebo-controlled trial. Participants were randomly assigned to receive 1??5 mg slow release indapamide, with the option of 2-4 mg perindopril, or placebo. The target systolic blood pressure was 150 mm Hg; the target diastolic blood pressure was 80 mm Hg. Participants had no clinical diagnosis of dementia at baseline, and cognitive function was assessed at baseline and annually with the mini-mental state examination (MMSE). Possible cases of incident dementia (a fall in the MMSE score to &lt;24 points or a drop of three points in 1 year) were assessed by standard diagnostic criteria and expert review. The trial was stopped in 2007 at the second interim analysis after treatment resulted in a reduction in stroke and total mortality. Analysis was by intention to treat. The trial is registered with ClinicalTrials.gov, number NCT00122811. Findings: 3336 HYVET participants had at least one follow-up assessment (mean 2??2 years) and were included: 1687 participants were randomly assigned to the treatment group and 1649 to the placebo group. Only five reports of adverse effects were attributed to the medication: three in the placebo group and two in the treatment group. The mean decrease in systolic blood pressure between the treatment and placebo groups at 2 years was systolic -15 mm Hg, p&lt;0??0001; and diastolic -5??9 mm Hg, p&lt;0??0001. There were 263 incident cases of dementia. The rates of incident dementia were 38 per 1000 patient-years in the placebo group and 33 per 1000 patient-years in the treatment group. There was no significant difference between treatment and placebo groups (hazard ratio [HR] 0??86, 95% CI 0??67-1??09); however, when these data were combined in a meta-analysis with other placebo-controlled trials of ant\u2026", "author" : [ { "dropping-particle" : "", "family" : "Peters", "given" : "Ruth", "non-dropping-particle" : "", "parse-names" : false, "suffix" : "" }, { "dropping-particle" : "", "family" : "Beckett", "given" : "Nigel", "non-dropping-particle" : "", "parse-names" : false, "suffix" : "" }, { "dropping-particle" : "", "family" : "Forette", "given" : "Francoise", "non-dropping-particle" : "", "parse-names" : false, "suffix" : "" }, { "dropping-particle" : "", "family" : "Tuomilehto", "given" : "Jaakko", "non-dropping-particle" : "", "parse-names" : false, "suffix" : "" }, { "dropping-particle" : "", "family" : "Clarke", "given" : "Robert", "non-dropping-particle" : "", "parse-names" : false, "suffix" : "" }, { "dropping-particle" : "", "family" : "Ritchie", "given" : "Craig", "non-dropping-particle" : "", "parse-names" : false, "suffix" : "" }, { "dropping-particle" : "", "family" : "Waldman", "given" : "Adam", "non-dropping-particle" : "", "parse-names" : false, "suffix" : "" }, { "dropping-particle" : "", "family" : "Walton", "given" : "Ivan", "non-dropping-particle" : "", "parse-names" : false, "suffix" : "" }, { "dropping-particle" : "", "family" : "Poulter", "given" : "Ruth", "non-dropping-particle" : "", "parse-names" : false, "suffix" : "" }, { "dropping-particle" : "", "family" : "Ma", "given" : "Shuping", "non-dropping-particle" : "", "parse-names" : false, "suffix" : "" }, { "dropping-particle" : "", "family" : "Comsa", "given" : "Marius", "non-dropping-particle" : "", "parse-names" : false, "suffix" : "" }, { "dropping-particle" : "", "family" : "Burch", "given" : "Lisa", "non-dropping-particle" : "", "parse-names" : false, "suffix" : "" }, { "dropping-particle" : "", "family" : "Fletcher", "given" : "Astrid", "non-dropping-particle" : "", "parse-names" : false, "suffix" : "" }, { "dropping-particle" : "", "family" : "Bulpitt", "given" : "Christopher", "non-dropping-particle" : "", "parse-names" : false, "suffix" : "" } ], "container-title" : "The Lancet Neurology", "id" : "ITEM-1", "issue" : "8", "issued" : { "date-parts" : [ [ "2008" ] ] }, "page" : "683-689", "title" : "Incident dementia and blood pressure lowering in the Hypertension in the Very Elderly Trial cognitive function assessment (HYVET-COG): a double-blind, placebo controlled trial", "type" : "article-journal", "volume" : "7" }, "uris" : [ "http://www.mendeley.com/documents/?uuid=23917944-b14c-4bca-81a1-66956d6e0439" ] }, { "id" : "ITEM-2", "itemData" : { "DOI" : "10.1002/14651858.CD004034.pub3", "ISBN" : "1469-493X", "ISSN" : "1469493X", "PMID" : "19821318", "abstract" : "BACKGROUND: This is an update of a previous review (McGuinness 2006).Hypertension and cognitive impairment are prevalent in older people. Hypertension is a direct risk factor for vascular dementia (VaD) and recent studies have suggested hypertension impacts upon prevalence of Alzheimer's disease (AD). Therefore does treatment of hypertension prevent cognitive decline? OBJECTIVES: To assess the effects of blood pressure lowering treatments for the prevention of dementia and cognitive decline in patients with hypertension but no history of cerebrovascular disease. SEARCH STRATEGY: The Specialized Register of the Cochrane Dementia and Cognitive Improvement Group, The Cochrane Library, MEDLINE, EMBASE, PsycINFO, CINAHL, LILACS as well as many trials databases and grey literature sources were searched on 13 February 2008 using the terms: hypertens$ OR anti-hypertens$. SELECTION CRITERIA: Randomized, double-blind, placebo controlled trials in which pharmacological or non-pharmacological interventions to lower blood pressure were given for at least six months. DATA COLLECTION AND ANALYSIS: Two independent reviewers assessed trial quality and extracted data. The following outcomes were assessed: incidence of dementia, cognitive change from baseline, blood pressure level, incidence and severity of side effects and quality of life. MAIN RESULTS: Four trials including 15,936 hypertensive subjects were identified. Average age was 75.4 years. Mean blood pressure at entry across the studies was 171/86 mmHg. The combined result of the four trials reporting incidence of dementia indicated no significant difference between treatment and placebo (236/7767 versus 259/7660, Odds Ratio (OR) = 0.89, 95% CI 0.74, 1.07) and there was considerable heterogeneity between the trials. The combined results from the three trials reporting change in Mini Mental State Examination (MMSE) did not indicate a benefit from treatment (Weighted Mean Difference (WMD) = 0.42, 95% CI 0.30, 0.53). Both systolic and diastolic blood pressure levels were reduced significantly in the three trials assessing this outcome (WMD = -10.22, 95% CI -10.78, -9.66 for systolic blood pressure, WMD = -4.28, 95% CI -4.58, -3.98 for diastolic blood pressure). Three trials reported adverse effects requiring discontinuation of treatment and the combined results indicated no significant difference (OR = 1.01, 95% CI 0.92, 1.11). When analysed separately, however, more patients on placebo in Syst Eur 1997 were likely \u2026", "author" : [ { "dropping-particle" : "", "family" : "McGuinness", "given" : "Bernadette", "non-dropping-particle" : "", "parse-names" : false, "suffix" : "" }, { "dropping-particle" : "", "family" : "Todd", "given" : "Stephen", "non-dropping-particle" : "", "parse-names" : false, "suffix" : "" }, { "dropping-particle" : "", "family" : "Passmore", "given" : "Peter", "non-dropping-particle" : "", "parse-names" : false, "suffix" : "" }, { "dropping-particle" : "", "family" : "Bullock", "given" : "Roger", "non-dropping-particle" : "", "parse-names" : false, "suffix" : "" } ], "container-title" : "Cochrane Database of Systematic Reviews", "id" : "ITEM-2", "issue" : "4", "issued" : { "date-parts" : [ [ "2009" ] ] }, "title" : "Blood pressure lowering in patients without prior cerebrovascular disease for prevention of cognitive impairment and dementia", "type" : "article" }, "uris" : [ "http://www.mendeley.com/documents/?uuid=43b91762-21d6-461b-9bd0-16a3ce5ce4f5" ] } ], "mendeley" : { "formattedCitation" : "(17,18)", "plainTextFormattedCitation" : "(17,18)", "previouslyFormattedCitation" : "(17,18)" }, "properties" : {  }, "schema" : "https://github.com/citation-style-language/schema/raw/master/csl-citation.json" }</w:instrText>
      </w:r>
      <w:r w:rsidR="009B6353">
        <w:rPr>
          <w:rFonts w:ascii="Arial" w:hAnsi="Arial" w:cs="Arial"/>
          <w:sz w:val="24"/>
          <w:szCs w:val="24"/>
        </w:rPr>
        <w:fldChar w:fldCharType="separate"/>
      </w:r>
      <w:r w:rsidR="009B6353" w:rsidRPr="009B6353">
        <w:rPr>
          <w:rFonts w:ascii="Arial" w:hAnsi="Arial" w:cs="Arial"/>
          <w:noProof/>
          <w:sz w:val="24"/>
          <w:szCs w:val="24"/>
        </w:rPr>
        <w:t>(17,18)</w:t>
      </w:r>
      <w:r w:rsidR="009B6353">
        <w:rPr>
          <w:rFonts w:ascii="Arial" w:hAnsi="Arial" w:cs="Arial"/>
          <w:sz w:val="24"/>
          <w:szCs w:val="24"/>
        </w:rPr>
        <w:fldChar w:fldCharType="end"/>
      </w:r>
    </w:p>
    <w:p w:rsidR="00F108F9" w:rsidRPr="00F822A1" w:rsidRDefault="00F108F9" w:rsidP="00A918B7">
      <w:pPr>
        <w:spacing w:line="480" w:lineRule="auto"/>
        <w:rPr>
          <w:rFonts w:ascii="Arial" w:hAnsi="Arial" w:cs="Arial"/>
          <w:sz w:val="24"/>
          <w:szCs w:val="24"/>
        </w:rPr>
      </w:pPr>
      <w:r w:rsidRPr="00F822A1">
        <w:rPr>
          <w:rFonts w:ascii="Arial" w:hAnsi="Arial" w:cs="Arial"/>
          <w:sz w:val="24"/>
          <w:szCs w:val="24"/>
        </w:rPr>
        <w:t xml:space="preserve">Our study </w:t>
      </w:r>
      <w:r w:rsidR="008D52A1" w:rsidRPr="00F822A1">
        <w:rPr>
          <w:rFonts w:ascii="Arial" w:hAnsi="Arial" w:cs="Arial"/>
          <w:sz w:val="24"/>
          <w:szCs w:val="24"/>
        </w:rPr>
        <w:t xml:space="preserve">is the largest to investigate the association between </w:t>
      </w:r>
      <w:r w:rsidR="007749F4" w:rsidRPr="00F822A1">
        <w:rPr>
          <w:rFonts w:ascii="Arial" w:hAnsi="Arial" w:cs="Arial"/>
          <w:sz w:val="24"/>
          <w:szCs w:val="24"/>
        </w:rPr>
        <w:t>BP</w:t>
      </w:r>
      <w:r w:rsidR="008D52A1" w:rsidRPr="00F822A1">
        <w:rPr>
          <w:rFonts w:ascii="Arial" w:hAnsi="Arial" w:cs="Arial"/>
          <w:sz w:val="24"/>
          <w:szCs w:val="24"/>
        </w:rPr>
        <w:t xml:space="preserve"> and dementia, and included over </w:t>
      </w:r>
      <w:r w:rsidR="00BB6796" w:rsidRPr="00F822A1">
        <w:rPr>
          <w:rFonts w:ascii="Arial" w:hAnsi="Arial" w:cs="Arial"/>
          <w:sz w:val="24"/>
          <w:szCs w:val="24"/>
        </w:rPr>
        <w:t>65</w:t>
      </w:r>
      <w:r w:rsidR="008D52A1" w:rsidRPr="00F822A1">
        <w:rPr>
          <w:rFonts w:ascii="Arial" w:hAnsi="Arial" w:cs="Arial"/>
          <w:sz w:val="24"/>
          <w:szCs w:val="24"/>
        </w:rPr>
        <w:t>,000 dementia cases</w:t>
      </w:r>
      <w:r w:rsidR="00295BFC">
        <w:rPr>
          <w:rFonts w:ascii="Arial" w:hAnsi="Arial" w:cs="Arial"/>
          <w:sz w:val="24"/>
          <w:szCs w:val="24"/>
        </w:rPr>
        <w:t xml:space="preserve"> amongst 2.6 million people</w:t>
      </w:r>
      <w:r w:rsidR="008D52A1" w:rsidRPr="00F822A1">
        <w:rPr>
          <w:rFonts w:ascii="Arial" w:hAnsi="Arial" w:cs="Arial"/>
          <w:sz w:val="24"/>
          <w:szCs w:val="24"/>
        </w:rPr>
        <w:t xml:space="preserve">. </w:t>
      </w:r>
      <w:r w:rsidR="00ED0A7C">
        <w:rPr>
          <w:rFonts w:ascii="Arial" w:hAnsi="Arial" w:cs="Arial"/>
          <w:sz w:val="24"/>
          <w:szCs w:val="24"/>
        </w:rPr>
        <w:t>P</w:t>
      </w:r>
      <w:r w:rsidR="00987C5F" w:rsidRPr="00F822A1">
        <w:rPr>
          <w:rFonts w:ascii="Arial" w:hAnsi="Arial" w:cs="Arial"/>
          <w:sz w:val="24"/>
          <w:szCs w:val="24"/>
        </w:rPr>
        <w:t xml:space="preserve">revious </w:t>
      </w:r>
      <w:r w:rsidR="00295BFC">
        <w:rPr>
          <w:rFonts w:ascii="Arial" w:hAnsi="Arial" w:cs="Arial"/>
          <w:sz w:val="24"/>
          <w:szCs w:val="24"/>
        </w:rPr>
        <w:t xml:space="preserve">studies </w:t>
      </w:r>
      <w:r w:rsidR="009B6353">
        <w:rPr>
          <w:rFonts w:ascii="Arial" w:hAnsi="Arial" w:cs="Arial"/>
          <w:sz w:val="24"/>
          <w:szCs w:val="24"/>
        </w:rPr>
        <w:t xml:space="preserve">have been </w:t>
      </w:r>
      <w:r w:rsidR="002B4C0E" w:rsidRPr="00F822A1">
        <w:rPr>
          <w:rFonts w:ascii="Arial" w:hAnsi="Arial" w:cs="Arial"/>
          <w:sz w:val="24"/>
          <w:szCs w:val="24"/>
        </w:rPr>
        <w:t>hampered by selective reporting, inconsistent cut-offs for hypertension</w:t>
      </w:r>
      <w:r w:rsidR="00B82ED4" w:rsidRPr="00F822A1">
        <w:rPr>
          <w:rFonts w:ascii="Arial" w:hAnsi="Arial" w:cs="Arial"/>
          <w:sz w:val="24"/>
          <w:szCs w:val="24"/>
        </w:rPr>
        <w:t xml:space="preserve">, </w:t>
      </w:r>
      <w:r w:rsidR="00ED0A7C">
        <w:rPr>
          <w:rFonts w:ascii="Arial" w:hAnsi="Arial" w:cs="Arial"/>
          <w:sz w:val="24"/>
          <w:szCs w:val="24"/>
        </w:rPr>
        <w:t xml:space="preserve">varying age ranges, </w:t>
      </w:r>
      <w:r w:rsidR="002B4C0E" w:rsidRPr="00F822A1">
        <w:rPr>
          <w:rFonts w:ascii="Arial" w:hAnsi="Arial" w:cs="Arial"/>
          <w:sz w:val="24"/>
          <w:szCs w:val="24"/>
        </w:rPr>
        <w:t>and varying definitions of dementia</w:t>
      </w:r>
      <w:r w:rsidR="00C6253B" w:rsidRPr="00F822A1">
        <w:rPr>
          <w:rFonts w:ascii="Arial" w:hAnsi="Arial" w:cs="Arial"/>
          <w:sz w:val="24"/>
          <w:szCs w:val="24"/>
        </w:rPr>
        <w:t>.</w:t>
      </w:r>
      <w:r w:rsidR="008F2E6D" w:rsidRPr="00F822A1">
        <w:rPr>
          <w:rFonts w:ascii="Arial" w:hAnsi="Arial" w:cs="Arial"/>
          <w:sz w:val="24"/>
          <w:szCs w:val="24"/>
        </w:rPr>
        <w:fldChar w:fldCharType="begin" w:fldLock="1"/>
      </w:r>
      <w:r w:rsidR="00BE6874">
        <w:rPr>
          <w:rFonts w:ascii="Arial" w:hAnsi="Arial" w:cs="Arial"/>
          <w:sz w:val="24"/>
          <w:szCs w:val="24"/>
        </w:rPr>
        <w:instrText>ADDIN CSL_CITATION { "citationItems" : [ { "id" : "ITEM-1", "itemData" : { "DOI" : "10.1097/EDE.0b013e31822708b5", "ISBN" : "1531-5487 (Electronic)\\r1044-3983 (Linking)", "ISSN" : "1044-3983", "PMID" : "21705906", "abstract" : "BACKGROUND: Many epidemiologic studies have considered the association between blood pressure (BP) and Alzheimer disease, yet the relationship remains poorly understood. METHODS: In parallel with work on the AlzRisk online database (www.alzrisk.org), we conducted a systematic review to identify all epidemiologic studies meeting prespecified criteria reporting on the association between hypertension, systolic BP, or diastolic BP and incident Alzheimer disease. When possible, we computed summary measures using random-effects models and explored potential heterogeneity related to age at BP assessment. RESULTS: Eighteen studies reporting on 19 populations met the eligibility criteria. We computed summary relative risks (RR(Sigma)) for 3 measures of BP: hypertension (RR(Sigma) = 0.97 [95% confidence interval = 0.80-1.16]); a 10-mm Hg increase in systolic BP (RR(Sigma) = 0.95 [0.91-1.00]); and a 10-mm Hg increase in diastolic BP (RR(Sigma) = 0.94 [0.85-1.04]). We were unable to compute summary estimates for the association between categories of systolic or diastolic BP and Alzheimer disease; however, there did not appear to be a consistent pattern across studies. After stratifying on age at BP assessment, we found a suggestion of an inverse association between late-life hypertension and Alzheimer disease and a suggestion of an adverse association between midlife diastolic hypertension and Alzheimer disease. CONCLUSIONS: Based on existing epidemiologic research, we cannot determine whether there is a causal association between BP and Alzheimer disease. Selection bias and reverse causation may account for the suggested inverse association between late-life hypertension on Alzheimer disease, but, given the expected direction of these biases, they are less likely to account for the suggestion that midlife hypertension increases risk. We advocate continuing systematic review; the AlzRisk database entry on this topic (www.alzrisk.org), which was completed in parallel with this work, will be updated as new studies are published.", "author" : [ { "dropping-particle" : "", "family" : "Power", "given" : "M C", "non-dropping-particle" : "", "parse-names" : false, "suffix" : "" }, { "dropping-particle" : "", "family" : "Weuve", "given" : "J", "non-dropping-particle" : "", "parse-names" : false, "suffix" : "" }, { "dropping-particle" : "", "family" : "Gagne", "given" : "J J", "non-dropping-particle" : "", "parse-names" : false, "suffix" : "" }, { "dropping-particle" : "", "family" : "McQueen", "given" : "M B", "non-dropping-particle" : "", "parse-names" : false, "suffix" : "" }, { "dropping-particle" : "", "family" : "Viswanathan", "given" : "A", "non-dropping-particle" : "", "parse-names" : false, "suffix" : "" }, { "dropping-particle" : "", "family" : "Blacker", "given" : "D", "non-dropping-particle" : "", "parse-names" : false, "suffix" : "" } ], "container-title" : "Epidemiology", "id" : "ITEM-1", "issue" : "5", "issued" : { "date-parts" : [ [ "2011" ] ] }, "page" : "646-659", "title" : "The association between blood pressure and incident Alzheimer disease: a systematic review and meta-analysis", "type" : "article-journal", "volume" : "22" }, "uris" : [ "http://www.mendeley.com/documents/?uuid=c9fd58b6-1cd8-4f3c-8599-cb7235240a88" ] }, { "id" : "ITEM-2", "itemData" : { "author" : [ { "dropping-particle" : "", "family" : "Prince", "given" : "M", "non-dropping-particle" : "", "parse-names" : false, "suffix" : "" }, { "dropping-particle" : "", "family" : "Albanese", "given" : "E", "non-dropping-particle" : "", "parse-names" : false, "suffix" : "" }, { "dropping-particle" : "", "family" : "Maelenn", "given" : "G", "non-dropping-particle" : "", "parse-names" : false, "suffix" : "" }, { "dropping-particle" : "", "family" : "Prina", "given" : "A M", "non-dropping-particle" : "", "parse-names" : false, "suffix" : "" } ], "id" : "ITEM-2", "issued" : { "date-parts" : [ [ "2014" ] ] }, "title" : "World Alzheimer Report 2014", "type" : "article-journal" }, "uris" : [ "http://www.mendeley.com/documents/?uuid=96d00e5f-98a4-4460-b2fa-16cce08466a4" ] } ], "mendeley" : { "formattedCitation" : "(5,6)", "plainTextFormattedCitation" : "(5,6)", "previouslyFormattedCitation" : "(5,6)" }, "properties" : {  }, "schema" : "https://github.com/citation-style-language/schema/raw/master/csl-citation.json" }</w:instrText>
      </w:r>
      <w:r w:rsidR="008F2E6D" w:rsidRPr="00F822A1">
        <w:rPr>
          <w:rFonts w:ascii="Arial" w:hAnsi="Arial" w:cs="Arial"/>
          <w:sz w:val="24"/>
          <w:szCs w:val="24"/>
        </w:rPr>
        <w:fldChar w:fldCharType="separate"/>
      </w:r>
      <w:r w:rsidR="00BE6874" w:rsidRPr="00BE6874">
        <w:rPr>
          <w:rFonts w:ascii="Arial" w:hAnsi="Arial" w:cs="Arial"/>
          <w:noProof/>
          <w:sz w:val="24"/>
          <w:szCs w:val="24"/>
        </w:rPr>
        <w:t>(5,6)</w:t>
      </w:r>
      <w:r w:rsidR="008F2E6D" w:rsidRPr="00F822A1">
        <w:rPr>
          <w:rFonts w:ascii="Arial" w:hAnsi="Arial" w:cs="Arial"/>
          <w:sz w:val="24"/>
          <w:szCs w:val="24"/>
        </w:rPr>
        <w:fldChar w:fldCharType="end"/>
      </w:r>
      <w:r w:rsidR="00D11071">
        <w:rPr>
          <w:rFonts w:ascii="Arial" w:hAnsi="Arial" w:cs="Arial"/>
          <w:sz w:val="24"/>
          <w:szCs w:val="24"/>
        </w:rPr>
        <w:t xml:space="preserve"> </w:t>
      </w:r>
      <w:proofErr w:type="gramStart"/>
      <w:r w:rsidR="00295BFC">
        <w:rPr>
          <w:rFonts w:ascii="Arial" w:hAnsi="Arial" w:cs="Arial"/>
          <w:sz w:val="24"/>
          <w:szCs w:val="24"/>
        </w:rPr>
        <w:t>The</w:t>
      </w:r>
      <w:proofErr w:type="gramEnd"/>
      <w:r w:rsidR="00295BFC">
        <w:rPr>
          <w:rFonts w:ascii="Arial" w:hAnsi="Arial" w:cs="Arial"/>
          <w:sz w:val="24"/>
          <w:szCs w:val="24"/>
        </w:rPr>
        <w:t xml:space="preserve"> large sample allowed us to</w:t>
      </w:r>
      <w:r w:rsidR="006E2F06" w:rsidRPr="00F822A1">
        <w:rPr>
          <w:rFonts w:ascii="Arial" w:hAnsi="Arial" w:cs="Arial"/>
          <w:sz w:val="24"/>
          <w:szCs w:val="24"/>
        </w:rPr>
        <w:t xml:space="preserve"> </w:t>
      </w:r>
      <w:r w:rsidR="00D11071">
        <w:rPr>
          <w:rFonts w:ascii="Arial" w:hAnsi="Arial" w:cs="Arial"/>
          <w:sz w:val="24"/>
          <w:szCs w:val="24"/>
        </w:rPr>
        <w:t xml:space="preserve">investigate </w:t>
      </w:r>
      <w:r w:rsidR="00C6253B" w:rsidRPr="00F822A1">
        <w:rPr>
          <w:rFonts w:ascii="Arial" w:hAnsi="Arial" w:cs="Arial"/>
          <w:sz w:val="24"/>
          <w:szCs w:val="24"/>
        </w:rPr>
        <w:t xml:space="preserve">how </w:t>
      </w:r>
      <w:r w:rsidR="00295BFC">
        <w:rPr>
          <w:rFonts w:ascii="Arial" w:hAnsi="Arial" w:cs="Arial"/>
          <w:sz w:val="24"/>
          <w:szCs w:val="24"/>
        </w:rPr>
        <w:t xml:space="preserve">this </w:t>
      </w:r>
      <w:r w:rsidR="009B6353">
        <w:rPr>
          <w:rFonts w:ascii="Arial" w:hAnsi="Arial" w:cs="Arial"/>
          <w:sz w:val="24"/>
          <w:szCs w:val="24"/>
        </w:rPr>
        <w:t>relationship</w:t>
      </w:r>
      <w:r w:rsidR="00C6253B" w:rsidRPr="00F822A1">
        <w:rPr>
          <w:rFonts w:ascii="Arial" w:hAnsi="Arial" w:cs="Arial"/>
          <w:sz w:val="24"/>
          <w:szCs w:val="24"/>
        </w:rPr>
        <w:t xml:space="preserve"> </w:t>
      </w:r>
      <w:r w:rsidR="00987C5F" w:rsidRPr="00F822A1">
        <w:rPr>
          <w:rFonts w:ascii="Arial" w:hAnsi="Arial" w:cs="Arial"/>
          <w:sz w:val="24"/>
          <w:szCs w:val="24"/>
        </w:rPr>
        <w:t xml:space="preserve">varies </w:t>
      </w:r>
      <w:r w:rsidR="006E2F06" w:rsidRPr="00F822A1">
        <w:rPr>
          <w:rFonts w:ascii="Arial" w:hAnsi="Arial" w:cs="Arial"/>
          <w:sz w:val="24"/>
          <w:szCs w:val="24"/>
        </w:rPr>
        <w:t xml:space="preserve">according to </w:t>
      </w:r>
      <w:r w:rsidR="00987C5F" w:rsidRPr="00F822A1">
        <w:rPr>
          <w:rFonts w:ascii="Arial" w:hAnsi="Arial" w:cs="Arial"/>
          <w:sz w:val="24"/>
          <w:szCs w:val="24"/>
        </w:rPr>
        <w:t>age</w:t>
      </w:r>
      <w:r w:rsidR="00113648" w:rsidRPr="00F822A1">
        <w:rPr>
          <w:rFonts w:ascii="Arial" w:hAnsi="Arial" w:cs="Arial"/>
          <w:sz w:val="24"/>
          <w:szCs w:val="24"/>
        </w:rPr>
        <w:t xml:space="preserve">, latency periods, </w:t>
      </w:r>
      <w:r w:rsidR="006E2F06" w:rsidRPr="00F822A1">
        <w:rPr>
          <w:rFonts w:ascii="Arial" w:hAnsi="Arial" w:cs="Arial"/>
          <w:sz w:val="24"/>
          <w:szCs w:val="24"/>
        </w:rPr>
        <w:t xml:space="preserve">and </w:t>
      </w:r>
      <w:r w:rsidR="00C66890" w:rsidRPr="00F822A1">
        <w:rPr>
          <w:rFonts w:ascii="Arial" w:hAnsi="Arial" w:cs="Arial"/>
          <w:sz w:val="24"/>
          <w:szCs w:val="24"/>
        </w:rPr>
        <w:t>subtype</w:t>
      </w:r>
      <w:r w:rsidR="006E2F06" w:rsidRPr="00F822A1">
        <w:rPr>
          <w:rFonts w:ascii="Arial" w:hAnsi="Arial" w:cs="Arial"/>
          <w:sz w:val="24"/>
          <w:szCs w:val="24"/>
        </w:rPr>
        <w:t xml:space="preserve"> of dementia</w:t>
      </w:r>
      <w:r w:rsidR="00206256">
        <w:rPr>
          <w:rFonts w:ascii="Arial" w:hAnsi="Arial" w:cs="Arial"/>
          <w:sz w:val="24"/>
          <w:szCs w:val="24"/>
        </w:rPr>
        <w:t xml:space="preserve">. We also </w:t>
      </w:r>
      <w:r w:rsidR="00ED0A7C">
        <w:rPr>
          <w:rFonts w:ascii="Arial" w:hAnsi="Arial" w:cs="Arial"/>
          <w:sz w:val="24"/>
          <w:szCs w:val="24"/>
        </w:rPr>
        <w:t>demonstrate</w:t>
      </w:r>
      <w:r w:rsidR="00206256">
        <w:rPr>
          <w:rFonts w:ascii="Arial" w:hAnsi="Arial" w:cs="Arial"/>
          <w:sz w:val="24"/>
          <w:szCs w:val="24"/>
        </w:rPr>
        <w:t>d</w:t>
      </w:r>
      <w:r w:rsidR="00ED0A7C">
        <w:rPr>
          <w:rFonts w:ascii="Arial" w:hAnsi="Arial" w:cs="Arial"/>
          <w:sz w:val="24"/>
          <w:szCs w:val="24"/>
        </w:rPr>
        <w:t xml:space="preserve"> </w:t>
      </w:r>
      <w:r w:rsidR="0094106D" w:rsidRPr="00F822A1">
        <w:rPr>
          <w:rFonts w:ascii="Arial" w:hAnsi="Arial" w:cs="Arial"/>
          <w:sz w:val="24"/>
          <w:szCs w:val="24"/>
        </w:rPr>
        <w:t xml:space="preserve">the lack of any clear threshold in the relationship between </w:t>
      </w:r>
      <w:r w:rsidR="007749F4" w:rsidRPr="00F822A1">
        <w:rPr>
          <w:rFonts w:ascii="Arial" w:hAnsi="Arial" w:cs="Arial"/>
          <w:sz w:val="24"/>
          <w:szCs w:val="24"/>
        </w:rPr>
        <w:t>BP</w:t>
      </w:r>
      <w:r w:rsidR="0094106D" w:rsidRPr="00F822A1">
        <w:rPr>
          <w:rFonts w:ascii="Arial" w:hAnsi="Arial" w:cs="Arial"/>
          <w:sz w:val="24"/>
          <w:szCs w:val="24"/>
        </w:rPr>
        <w:t xml:space="preserve"> and dementia. </w:t>
      </w:r>
      <w:r w:rsidR="00C816D8" w:rsidRPr="00F822A1">
        <w:rPr>
          <w:rFonts w:ascii="Arial" w:hAnsi="Arial" w:cs="Arial"/>
          <w:sz w:val="24"/>
          <w:szCs w:val="24"/>
        </w:rPr>
        <w:t xml:space="preserve">Repeat </w:t>
      </w:r>
      <w:r w:rsidR="007749F4" w:rsidRPr="00F822A1">
        <w:rPr>
          <w:rFonts w:ascii="Arial" w:hAnsi="Arial" w:cs="Arial"/>
          <w:sz w:val="24"/>
          <w:szCs w:val="24"/>
        </w:rPr>
        <w:t xml:space="preserve">BP </w:t>
      </w:r>
      <w:r w:rsidR="00C816D8" w:rsidRPr="00F822A1">
        <w:rPr>
          <w:rFonts w:ascii="Arial" w:hAnsi="Arial" w:cs="Arial"/>
          <w:sz w:val="24"/>
          <w:szCs w:val="24"/>
        </w:rPr>
        <w:t xml:space="preserve">measurements allowed us to adjust for regression dilution bias </w:t>
      </w:r>
      <w:r w:rsidR="002258F6" w:rsidRPr="00F822A1">
        <w:rPr>
          <w:rFonts w:ascii="Arial" w:hAnsi="Arial" w:cs="Arial"/>
          <w:sz w:val="24"/>
          <w:szCs w:val="24"/>
        </w:rPr>
        <w:t xml:space="preserve">thereby avoiding under-estimation of associations </w:t>
      </w:r>
      <w:r w:rsidR="00953A82">
        <w:rPr>
          <w:rFonts w:ascii="Arial" w:hAnsi="Arial" w:cs="Arial"/>
          <w:sz w:val="24"/>
          <w:szCs w:val="24"/>
        </w:rPr>
        <w:t>with</w:t>
      </w:r>
      <w:r w:rsidR="002258F6" w:rsidRPr="00F822A1">
        <w:rPr>
          <w:rFonts w:ascii="Arial" w:hAnsi="Arial" w:cs="Arial"/>
          <w:sz w:val="24"/>
          <w:szCs w:val="24"/>
        </w:rPr>
        <w:t xml:space="preserve"> dementia. </w:t>
      </w:r>
    </w:p>
    <w:p w:rsidR="00745E4B" w:rsidRPr="00745E4B" w:rsidRDefault="008E1130" w:rsidP="00745E4B">
      <w:pPr>
        <w:spacing w:line="480" w:lineRule="auto"/>
        <w:rPr>
          <w:rFonts w:ascii="Arial" w:hAnsi="Arial" w:cs="Arial"/>
          <w:sz w:val="24"/>
          <w:szCs w:val="24"/>
        </w:rPr>
      </w:pPr>
      <w:r w:rsidRPr="00F822A1">
        <w:rPr>
          <w:rFonts w:ascii="Arial" w:hAnsi="Arial" w:cs="Arial"/>
          <w:sz w:val="24"/>
          <w:szCs w:val="24"/>
        </w:rPr>
        <w:t xml:space="preserve">Our study has limitations. </w:t>
      </w:r>
      <w:r w:rsidR="00A6032E">
        <w:rPr>
          <w:rFonts w:ascii="Arial" w:hAnsi="Arial" w:cs="Arial"/>
          <w:sz w:val="24"/>
          <w:szCs w:val="24"/>
        </w:rPr>
        <w:t xml:space="preserve">Cases of dementia were identified using </w:t>
      </w:r>
      <w:r w:rsidRPr="00F822A1">
        <w:rPr>
          <w:rFonts w:ascii="Arial" w:hAnsi="Arial" w:cs="Arial"/>
          <w:sz w:val="24"/>
          <w:szCs w:val="24"/>
        </w:rPr>
        <w:t>routine clinical records, in which</w:t>
      </w:r>
      <w:r w:rsidR="00295BFC">
        <w:rPr>
          <w:rFonts w:ascii="Arial" w:hAnsi="Arial" w:cs="Arial"/>
          <w:sz w:val="24"/>
          <w:szCs w:val="24"/>
        </w:rPr>
        <w:t xml:space="preserve"> some </w:t>
      </w:r>
      <w:r w:rsidRPr="00F822A1">
        <w:rPr>
          <w:rFonts w:ascii="Arial" w:hAnsi="Arial" w:cs="Arial"/>
          <w:sz w:val="24"/>
          <w:szCs w:val="24"/>
        </w:rPr>
        <w:t xml:space="preserve">people </w:t>
      </w:r>
      <w:r w:rsidR="00295BFC">
        <w:rPr>
          <w:rFonts w:ascii="Arial" w:hAnsi="Arial" w:cs="Arial"/>
          <w:sz w:val="24"/>
          <w:szCs w:val="24"/>
        </w:rPr>
        <w:t xml:space="preserve">may have </w:t>
      </w:r>
      <w:r w:rsidRPr="00F822A1">
        <w:rPr>
          <w:rFonts w:ascii="Arial" w:hAnsi="Arial" w:cs="Arial"/>
          <w:sz w:val="24"/>
          <w:szCs w:val="24"/>
        </w:rPr>
        <w:t xml:space="preserve">transferred out of practice prior </w:t>
      </w:r>
      <w:r w:rsidR="00295BFC">
        <w:rPr>
          <w:rFonts w:ascii="Arial" w:hAnsi="Arial" w:cs="Arial"/>
          <w:sz w:val="24"/>
          <w:szCs w:val="24"/>
        </w:rPr>
        <w:t xml:space="preserve">to its clinical </w:t>
      </w:r>
      <w:r w:rsidRPr="00F822A1">
        <w:rPr>
          <w:rFonts w:ascii="Arial" w:hAnsi="Arial" w:cs="Arial"/>
          <w:sz w:val="24"/>
          <w:szCs w:val="24"/>
        </w:rPr>
        <w:t xml:space="preserve">diagnosis. </w:t>
      </w:r>
      <w:r w:rsidR="00A6032E">
        <w:rPr>
          <w:rFonts w:ascii="Arial" w:hAnsi="Arial" w:cs="Arial"/>
          <w:sz w:val="24"/>
          <w:szCs w:val="24"/>
        </w:rPr>
        <w:t>P</w:t>
      </w:r>
      <w:r w:rsidR="0061422E" w:rsidRPr="00F822A1">
        <w:rPr>
          <w:rFonts w:ascii="Arial" w:hAnsi="Arial" w:cs="Arial"/>
          <w:sz w:val="24"/>
          <w:szCs w:val="24"/>
        </w:rPr>
        <w:t>atients with low</w:t>
      </w:r>
      <w:r w:rsidRPr="00F822A1">
        <w:rPr>
          <w:rFonts w:ascii="Arial" w:hAnsi="Arial" w:cs="Arial"/>
          <w:sz w:val="24"/>
          <w:szCs w:val="24"/>
        </w:rPr>
        <w:t xml:space="preserve"> blood pressure</w:t>
      </w:r>
      <w:r w:rsidR="00A6032E">
        <w:rPr>
          <w:rFonts w:ascii="Arial" w:hAnsi="Arial" w:cs="Arial"/>
          <w:sz w:val="24"/>
          <w:szCs w:val="24"/>
        </w:rPr>
        <w:t xml:space="preserve"> were transferred out of practice </w:t>
      </w:r>
      <w:r w:rsidR="00A6032E">
        <w:rPr>
          <w:rFonts w:ascii="Arial" w:hAnsi="Arial" w:cs="Arial"/>
          <w:sz w:val="24"/>
          <w:szCs w:val="24"/>
        </w:rPr>
        <w:lastRenderedPageBreak/>
        <w:t xml:space="preserve">slightly more often, so we would expect that </w:t>
      </w:r>
      <w:r w:rsidR="00577B68" w:rsidRPr="00F822A1">
        <w:rPr>
          <w:rFonts w:ascii="Arial" w:hAnsi="Arial" w:cs="Arial"/>
          <w:sz w:val="24"/>
          <w:szCs w:val="24"/>
        </w:rPr>
        <w:t xml:space="preserve">our analyses </w:t>
      </w:r>
      <w:r w:rsidR="00EB474A">
        <w:rPr>
          <w:rFonts w:ascii="Arial" w:hAnsi="Arial" w:cs="Arial"/>
          <w:sz w:val="24"/>
          <w:szCs w:val="24"/>
        </w:rPr>
        <w:t>may</w:t>
      </w:r>
      <w:r w:rsidR="00A6032E">
        <w:rPr>
          <w:rFonts w:ascii="Arial" w:hAnsi="Arial" w:cs="Arial"/>
          <w:sz w:val="24"/>
          <w:szCs w:val="24"/>
        </w:rPr>
        <w:t xml:space="preserve"> </w:t>
      </w:r>
      <w:r w:rsidR="00577B68" w:rsidRPr="00F822A1">
        <w:rPr>
          <w:rFonts w:ascii="Arial" w:hAnsi="Arial" w:cs="Arial"/>
          <w:sz w:val="24"/>
          <w:szCs w:val="24"/>
        </w:rPr>
        <w:t xml:space="preserve">tend to slightly over-estimate positive associations </w:t>
      </w:r>
      <w:r w:rsidR="00C744A4" w:rsidRPr="00F822A1">
        <w:rPr>
          <w:rFonts w:ascii="Arial" w:hAnsi="Arial" w:cs="Arial"/>
          <w:sz w:val="24"/>
          <w:szCs w:val="24"/>
        </w:rPr>
        <w:t xml:space="preserve">of BP </w:t>
      </w:r>
      <w:r w:rsidR="00577B68" w:rsidRPr="00F822A1">
        <w:rPr>
          <w:rFonts w:ascii="Arial" w:hAnsi="Arial" w:cs="Arial"/>
          <w:sz w:val="24"/>
          <w:szCs w:val="24"/>
        </w:rPr>
        <w:t>with dementia, or under-estimate negative associations</w:t>
      </w:r>
      <w:r w:rsidR="00092398" w:rsidRPr="00F822A1">
        <w:rPr>
          <w:rFonts w:ascii="Arial" w:hAnsi="Arial" w:cs="Arial"/>
          <w:sz w:val="24"/>
          <w:szCs w:val="24"/>
        </w:rPr>
        <w:t>.</w:t>
      </w:r>
      <w:r w:rsidR="008B6F31" w:rsidRPr="00F822A1">
        <w:rPr>
          <w:rFonts w:ascii="Arial" w:hAnsi="Arial" w:cs="Arial"/>
          <w:sz w:val="24"/>
          <w:szCs w:val="24"/>
        </w:rPr>
        <w:t xml:space="preserve"> </w:t>
      </w:r>
      <w:r w:rsidR="00D92614">
        <w:rPr>
          <w:rFonts w:ascii="Arial" w:hAnsi="Arial" w:cs="Arial"/>
          <w:sz w:val="24"/>
          <w:szCs w:val="24"/>
        </w:rPr>
        <w:t>O</w:t>
      </w:r>
      <w:r w:rsidR="008B6F31" w:rsidRPr="00F822A1">
        <w:rPr>
          <w:rFonts w:ascii="Arial" w:hAnsi="Arial" w:cs="Arial"/>
          <w:sz w:val="24"/>
          <w:szCs w:val="24"/>
        </w:rPr>
        <w:t xml:space="preserve">nly 39% of potentially eligible people </w:t>
      </w:r>
      <w:r w:rsidR="00D92614">
        <w:rPr>
          <w:rFonts w:ascii="Arial" w:hAnsi="Arial" w:cs="Arial"/>
          <w:sz w:val="24"/>
          <w:szCs w:val="24"/>
        </w:rPr>
        <w:t xml:space="preserve">had </w:t>
      </w:r>
      <w:r w:rsidR="008B6F31" w:rsidRPr="00F822A1">
        <w:rPr>
          <w:rFonts w:ascii="Arial" w:hAnsi="Arial" w:cs="Arial"/>
          <w:sz w:val="24"/>
          <w:szCs w:val="24"/>
        </w:rPr>
        <w:t>both an eligible blood pressure measurement and 12 months of prior data</w:t>
      </w:r>
      <w:r w:rsidR="00983101" w:rsidRPr="00F822A1">
        <w:rPr>
          <w:rFonts w:ascii="Arial" w:hAnsi="Arial" w:cs="Arial"/>
          <w:sz w:val="24"/>
          <w:szCs w:val="24"/>
        </w:rPr>
        <w:t xml:space="preserve">. This </w:t>
      </w:r>
      <w:r w:rsidR="008B6F31" w:rsidRPr="00F822A1">
        <w:rPr>
          <w:rFonts w:ascii="Arial" w:hAnsi="Arial" w:cs="Arial"/>
          <w:sz w:val="24"/>
          <w:szCs w:val="24"/>
        </w:rPr>
        <w:t xml:space="preserve">could have led to </w:t>
      </w:r>
      <w:r w:rsidR="00983101" w:rsidRPr="00F822A1">
        <w:rPr>
          <w:rFonts w:ascii="Arial" w:hAnsi="Arial" w:cs="Arial"/>
          <w:sz w:val="24"/>
          <w:szCs w:val="24"/>
        </w:rPr>
        <w:t xml:space="preserve">some </w:t>
      </w:r>
      <w:r w:rsidR="008B6F31" w:rsidRPr="00F822A1">
        <w:rPr>
          <w:rFonts w:ascii="Arial" w:hAnsi="Arial" w:cs="Arial"/>
          <w:sz w:val="24"/>
          <w:szCs w:val="24"/>
        </w:rPr>
        <w:t>selection bias</w:t>
      </w:r>
      <w:r w:rsidR="00983101" w:rsidRPr="00F822A1">
        <w:rPr>
          <w:rFonts w:ascii="Arial" w:hAnsi="Arial" w:cs="Arial"/>
          <w:sz w:val="24"/>
          <w:szCs w:val="24"/>
        </w:rPr>
        <w:t xml:space="preserve">, although it is </w:t>
      </w:r>
      <w:r w:rsidR="00A1473F">
        <w:rPr>
          <w:rFonts w:ascii="Arial" w:hAnsi="Arial" w:cs="Arial"/>
          <w:sz w:val="24"/>
          <w:szCs w:val="24"/>
        </w:rPr>
        <w:t xml:space="preserve">unclear </w:t>
      </w:r>
      <w:r w:rsidR="00983101" w:rsidRPr="00F822A1">
        <w:rPr>
          <w:rFonts w:ascii="Arial" w:hAnsi="Arial" w:cs="Arial"/>
          <w:sz w:val="24"/>
          <w:szCs w:val="24"/>
        </w:rPr>
        <w:t>why the association of blood pressure with dementia would differ amongst patients not meeting these inclusion criteria.</w:t>
      </w:r>
      <w:r w:rsidR="00745E4B">
        <w:rPr>
          <w:rFonts w:ascii="Arial" w:hAnsi="Arial" w:cs="Arial"/>
          <w:sz w:val="24"/>
          <w:szCs w:val="24"/>
        </w:rPr>
        <w:t xml:space="preserve"> </w:t>
      </w:r>
      <w:r w:rsidR="00642C1B">
        <w:rPr>
          <w:rFonts w:ascii="Arial" w:hAnsi="Arial" w:cs="Arial"/>
          <w:iCs/>
          <w:sz w:val="24"/>
          <w:szCs w:val="24"/>
        </w:rPr>
        <w:t>Our analysis spanned</w:t>
      </w:r>
      <w:r w:rsidR="00745E4B" w:rsidRPr="00745E4B">
        <w:rPr>
          <w:rFonts w:ascii="Arial" w:hAnsi="Arial" w:cs="Arial"/>
          <w:iCs/>
          <w:sz w:val="24"/>
          <w:szCs w:val="24"/>
        </w:rPr>
        <w:t xml:space="preserve"> </w:t>
      </w:r>
      <w:r w:rsidR="00CF680E">
        <w:rPr>
          <w:rFonts w:ascii="Arial" w:hAnsi="Arial" w:cs="Arial"/>
          <w:iCs/>
          <w:sz w:val="24"/>
          <w:szCs w:val="24"/>
        </w:rPr>
        <w:t xml:space="preserve">over </w:t>
      </w:r>
      <w:r w:rsidR="00745E4B" w:rsidRPr="00745E4B">
        <w:rPr>
          <w:rFonts w:ascii="Arial" w:hAnsi="Arial" w:cs="Arial"/>
          <w:iCs/>
          <w:sz w:val="24"/>
          <w:szCs w:val="24"/>
        </w:rPr>
        <w:t>20 c</w:t>
      </w:r>
      <w:r w:rsidR="00745E4B">
        <w:rPr>
          <w:rFonts w:ascii="Arial" w:hAnsi="Arial" w:cs="Arial"/>
          <w:iCs/>
          <w:sz w:val="24"/>
          <w:szCs w:val="24"/>
        </w:rPr>
        <w:t>alendar years</w:t>
      </w:r>
      <w:r w:rsidR="00642C1B">
        <w:rPr>
          <w:rFonts w:ascii="Arial" w:hAnsi="Arial" w:cs="Arial"/>
          <w:iCs/>
          <w:sz w:val="24"/>
          <w:szCs w:val="24"/>
        </w:rPr>
        <w:t xml:space="preserve">, </w:t>
      </w:r>
      <w:r w:rsidR="00745E4B" w:rsidRPr="00745E4B">
        <w:rPr>
          <w:rFonts w:ascii="Arial" w:hAnsi="Arial" w:cs="Arial"/>
          <w:iCs/>
          <w:sz w:val="24"/>
          <w:szCs w:val="24"/>
        </w:rPr>
        <w:t xml:space="preserve">during which increased awareness of dementia led to </w:t>
      </w:r>
      <w:r w:rsidR="00CF680E">
        <w:rPr>
          <w:rFonts w:ascii="Arial" w:hAnsi="Arial" w:cs="Arial"/>
          <w:iCs/>
          <w:sz w:val="24"/>
          <w:szCs w:val="24"/>
        </w:rPr>
        <w:t xml:space="preserve">more frequent </w:t>
      </w:r>
      <w:r w:rsidR="00745E4B" w:rsidRPr="00745E4B">
        <w:rPr>
          <w:rFonts w:ascii="Arial" w:hAnsi="Arial" w:cs="Arial"/>
          <w:iCs/>
          <w:sz w:val="24"/>
          <w:szCs w:val="24"/>
        </w:rPr>
        <w:t>dementia diagnoses. However,</w:t>
      </w:r>
      <w:r w:rsidR="00600B44">
        <w:rPr>
          <w:rFonts w:ascii="Arial" w:hAnsi="Arial" w:cs="Arial"/>
          <w:iCs/>
          <w:sz w:val="24"/>
          <w:szCs w:val="24"/>
        </w:rPr>
        <w:t xml:space="preserve"> </w:t>
      </w:r>
      <w:r w:rsidR="00CF680E">
        <w:rPr>
          <w:rFonts w:ascii="Arial" w:hAnsi="Arial" w:cs="Arial"/>
          <w:iCs/>
          <w:sz w:val="24"/>
          <w:szCs w:val="24"/>
        </w:rPr>
        <w:t xml:space="preserve">because </w:t>
      </w:r>
      <w:r w:rsidR="00745E4B" w:rsidRPr="00745E4B">
        <w:rPr>
          <w:rFonts w:ascii="Arial" w:hAnsi="Arial" w:cs="Arial"/>
          <w:iCs/>
          <w:sz w:val="24"/>
          <w:szCs w:val="24"/>
        </w:rPr>
        <w:t xml:space="preserve">BP was not strongly related </w:t>
      </w:r>
      <w:r w:rsidR="00745E4B">
        <w:rPr>
          <w:rFonts w:ascii="Arial" w:hAnsi="Arial" w:cs="Arial"/>
          <w:iCs/>
          <w:sz w:val="24"/>
          <w:szCs w:val="24"/>
        </w:rPr>
        <w:t xml:space="preserve">to calendar year of measurement, inclusion of data across several decades is unlikely to importantly bias our results. </w:t>
      </w:r>
    </w:p>
    <w:p w:rsidR="000F48B2" w:rsidRPr="00F822A1" w:rsidRDefault="00983101" w:rsidP="00A918B7">
      <w:pPr>
        <w:spacing w:line="480" w:lineRule="auto"/>
        <w:rPr>
          <w:rFonts w:ascii="Arial" w:hAnsi="Arial" w:cs="Arial"/>
          <w:sz w:val="24"/>
          <w:szCs w:val="24"/>
        </w:rPr>
      </w:pPr>
      <w:r w:rsidRPr="00F822A1">
        <w:rPr>
          <w:rFonts w:ascii="Arial" w:hAnsi="Arial" w:cs="Arial"/>
          <w:sz w:val="24"/>
          <w:szCs w:val="24"/>
        </w:rPr>
        <w:t xml:space="preserve"> </w:t>
      </w:r>
      <w:r w:rsidR="00713091" w:rsidRPr="00F822A1">
        <w:rPr>
          <w:rFonts w:ascii="Arial" w:hAnsi="Arial" w:cs="Arial"/>
          <w:sz w:val="24"/>
          <w:szCs w:val="24"/>
        </w:rPr>
        <w:t xml:space="preserve">We </w:t>
      </w:r>
      <w:r w:rsidR="004B4FE5">
        <w:rPr>
          <w:rFonts w:ascii="Arial" w:hAnsi="Arial" w:cs="Arial"/>
          <w:sz w:val="24"/>
          <w:szCs w:val="24"/>
        </w:rPr>
        <w:t>could only</w:t>
      </w:r>
      <w:r w:rsidR="00713091" w:rsidRPr="00F822A1">
        <w:rPr>
          <w:rFonts w:ascii="Arial" w:hAnsi="Arial" w:cs="Arial"/>
          <w:sz w:val="24"/>
          <w:szCs w:val="24"/>
        </w:rPr>
        <w:t xml:space="preserve"> </w:t>
      </w:r>
      <w:r w:rsidR="00CB4B9C" w:rsidRPr="00F822A1">
        <w:rPr>
          <w:rFonts w:ascii="Arial" w:hAnsi="Arial" w:cs="Arial"/>
          <w:sz w:val="24"/>
          <w:szCs w:val="24"/>
        </w:rPr>
        <w:t>adjust for a smal</w:t>
      </w:r>
      <w:r w:rsidR="00F64317" w:rsidRPr="00F822A1">
        <w:rPr>
          <w:rFonts w:ascii="Arial" w:hAnsi="Arial" w:cs="Arial"/>
          <w:sz w:val="24"/>
          <w:szCs w:val="24"/>
        </w:rPr>
        <w:t>l set of potential confounders.</w:t>
      </w:r>
      <w:r w:rsidR="0016218E" w:rsidRPr="00F822A1">
        <w:rPr>
          <w:rFonts w:ascii="Arial" w:hAnsi="Arial" w:cs="Arial"/>
          <w:sz w:val="24"/>
          <w:szCs w:val="24"/>
        </w:rPr>
        <w:t xml:space="preserve"> </w:t>
      </w:r>
      <w:r w:rsidR="000E5D30">
        <w:rPr>
          <w:rFonts w:ascii="Arial" w:hAnsi="Arial" w:cs="Arial"/>
          <w:sz w:val="24"/>
          <w:szCs w:val="24"/>
        </w:rPr>
        <w:t xml:space="preserve">But the </w:t>
      </w:r>
      <w:r w:rsidR="004C22A0" w:rsidRPr="00F822A1">
        <w:rPr>
          <w:rFonts w:ascii="Arial" w:hAnsi="Arial" w:cs="Arial"/>
          <w:sz w:val="24"/>
          <w:szCs w:val="24"/>
        </w:rPr>
        <w:t xml:space="preserve">three </w:t>
      </w:r>
      <w:r w:rsidR="000E5D30">
        <w:rPr>
          <w:rFonts w:ascii="Arial" w:hAnsi="Arial" w:cs="Arial"/>
          <w:sz w:val="24"/>
          <w:szCs w:val="24"/>
        </w:rPr>
        <w:t xml:space="preserve">most </w:t>
      </w:r>
      <w:r w:rsidR="00B820B8" w:rsidRPr="00F822A1">
        <w:rPr>
          <w:rFonts w:ascii="Arial" w:hAnsi="Arial" w:cs="Arial"/>
          <w:sz w:val="24"/>
          <w:szCs w:val="24"/>
        </w:rPr>
        <w:t xml:space="preserve">common risk factors </w:t>
      </w:r>
      <w:r w:rsidR="000E5D30">
        <w:rPr>
          <w:rFonts w:ascii="Arial" w:hAnsi="Arial" w:cs="Arial"/>
          <w:sz w:val="24"/>
          <w:szCs w:val="24"/>
        </w:rPr>
        <w:t>strongly associated with dementia are age and</w:t>
      </w:r>
      <w:r w:rsidR="00642C1B">
        <w:rPr>
          <w:rFonts w:ascii="Arial" w:hAnsi="Arial" w:cs="Arial"/>
          <w:sz w:val="24"/>
          <w:szCs w:val="24"/>
        </w:rPr>
        <w:t xml:space="preserve"> socio-economic s</w:t>
      </w:r>
      <w:r w:rsidR="000E5D30">
        <w:rPr>
          <w:rFonts w:ascii="Arial" w:hAnsi="Arial" w:cs="Arial"/>
          <w:sz w:val="24"/>
          <w:szCs w:val="24"/>
        </w:rPr>
        <w:t>tatus-which we adjusted for-and v</w:t>
      </w:r>
      <w:r w:rsidR="00CA3875" w:rsidRPr="00F822A1">
        <w:rPr>
          <w:rFonts w:ascii="Arial" w:hAnsi="Arial" w:cs="Arial"/>
          <w:sz w:val="24"/>
          <w:szCs w:val="24"/>
        </w:rPr>
        <w:t>ariation in the APOE gene</w:t>
      </w:r>
      <w:r w:rsidR="000E5D30">
        <w:rPr>
          <w:rFonts w:ascii="Arial" w:hAnsi="Arial" w:cs="Arial"/>
          <w:sz w:val="24"/>
          <w:szCs w:val="24"/>
        </w:rPr>
        <w:t xml:space="preserve">, </w:t>
      </w:r>
      <w:r w:rsidR="00F64317" w:rsidRPr="00F822A1">
        <w:rPr>
          <w:rFonts w:ascii="Arial" w:hAnsi="Arial" w:cs="Arial"/>
          <w:sz w:val="24"/>
          <w:szCs w:val="24"/>
        </w:rPr>
        <w:t xml:space="preserve">which is unrelated to </w:t>
      </w:r>
      <w:r w:rsidR="007749F4" w:rsidRPr="00F822A1">
        <w:rPr>
          <w:rFonts w:ascii="Arial" w:hAnsi="Arial" w:cs="Arial"/>
          <w:sz w:val="24"/>
          <w:szCs w:val="24"/>
        </w:rPr>
        <w:t>BP</w:t>
      </w:r>
      <w:r w:rsidR="00F64317" w:rsidRPr="00F822A1">
        <w:rPr>
          <w:rFonts w:ascii="Arial" w:hAnsi="Arial" w:cs="Arial"/>
          <w:sz w:val="24"/>
          <w:szCs w:val="24"/>
        </w:rPr>
        <w:t>.</w:t>
      </w:r>
      <w:r w:rsidR="002A1F31" w:rsidRPr="00F822A1">
        <w:rPr>
          <w:rFonts w:ascii="Arial" w:hAnsi="Arial" w:cs="Arial"/>
          <w:sz w:val="24"/>
          <w:szCs w:val="24"/>
        </w:rPr>
        <w:fldChar w:fldCharType="begin" w:fldLock="1"/>
      </w:r>
      <w:r w:rsidR="003516B3">
        <w:rPr>
          <w:rFonts w:ascii="Arial" w:hAnsi="Arial" w:cs="Arial"/>
          <w:sz w:val="24"/>
          <w:szCs w:val="24"/>
        </w:rPr>
        <w:instrText>ADDIN CSL_CITATION { "citationItems" : [ { "id" : "ITEM-1", "itemData" : { "DOI" : "10.1212/WNL.54.2.397", "ISBN" : "0028-3878", "ISSN" : "0028-3878", "PMID" : "10668701", "abstract" : "OBJECTIVE The effect of APOE on dementia may be mediated through dyslipidemia and atherogenesis through its effect on cholesterol metabolism. The authors investigated this possibility among aged survivors from the UK Medical Research Council Trial of the Treatment of Hypertension in Older Adults. DESIGN A total of 370 of 657 survivors from an initial cohort of 1,088 recruited into the trial between 1983 and 1985 were traced in 1994 and agreed to be screened for dementia. Blood samples were analyzed for APOE genotype and serum fibrinogen. Cholesterol level, smoking behavior, blood pressure, body mass index, and EKG recordings had been measured at recruitment 10 to 12 years earlier. Odds ratios (ORs) for the association between APOE epsilon4/* and both AD and dementia were estimated and adjusted incrementally for the effect of age and premorbid intelligence, cholesterol, other risk factors for vascular disease, and EKG evidence of cardiovascular disease. RESULTS The authors diagnosed 24 cases of National Institute of Neurological and Communicative Disorders and Stroke AD from 41 cases of dementia. The crude OR for the association between APOE epsilon4/* and AD was 3.40 (95% CI 1.30 to 8.91). APOE genotype was associated with serum cholesterol level, and there was a nonsignificant trend for an association with smoking behavior. After adjusting for these and all other vascular risk factors and vascular disease variables listed earlier, the OR for the association between APOE epsilon4/* and AD increased to 4.81 (1.60 to 14.4). CONCLUSION Presence of APOE epsilon4/* seems to increase the risk for dementia and AD independently of its effect on dyslipidemia and atherogenesis.", "author" : [ { "dropping-particle" : "", "family" : "Prince", "given" : "M", "non-dropping-particle" : "", "parse-names" : false, "suffix" : "" }, { "dropping-particle" : "", "family" : "Lovestone", "given" : "S", "non-dropping-particle" : "", "parse-names" : false, "suffix" : "" }, { "dropping-particle" : "", "family" : "Cervilla", "given" : "J", "non-dropping-particle" : "", "parse-names" : false, "suffix" : "" }, { "dropping-particle" : "", "family" : "Joels", "given" : "S", "non-dropping-particle" : "", "parse-names" : false, "suffix" : "" }, { "dropping-particle" : "", "family" : "Powell", "given" : "J", "non-dropping-particle" : "", "parse-names" : false, "suffix" : "" }, { "dropping-particle" : "", "family" : "Russ", "given" : "C", "non-dropping-particle" : "", "parse-names" : false, "suffix" : "" }, { "dropping-particle" : "", "family" : "Mann", "given" : "A", "non-dropping-particle" : "", "parse-names" : false, "suffix" : "" } ], "container-title" : "Neurology", "id" : "ITEM-1", "issue" : "2", "issued" : { "date-parts" : [ [ "2000" ] ] }, "page" : "397-402", "title" : "The association between APOE and dementia does not seem to be mediated by vascular factors.", "type" : "article-journal", "volume" : "54" }, "uris" : [ "http://www.mendeley.com/documents/?uuid=32fff662-e6b3-45cd-bcd1-502fbe568b4d" ] } ], "mendeley" : { "formattedCitation" : "(19)", "plainTextFormattedCitation" : "(19)", "previouslyFormattedCitation" : "(19)" }, "properties" : {  }, "schema" : "https://github.com/citation-style-language/schema/raw/master/csl-citation.json" }</w:instrText>
      </w:r>
      <w:r w:rsidR="002A1F31" w:rsidRPr="00F822A1">
        <w:rPr>
          <w:rFonts w:ascii="Arial" w:hAnsi="Arial" w:cs="Arial"/>
          <w:sz w:val="24"/>
          <w:szCs w:val="24"/>
        </w:rPr>
        <w:fldChar w:fldCharType="separate"/>
      </w:r>
      <w:r w:rsidR="00620034" w:rsidRPr="00620034">
        <w:rPr>
          <w:rFonts w:ascii="Arial" w:hAnsi="Arial" w:cs="Arial"/>
          <w:noProof/>
          <w:sz w:val="24"/>
          <w:szCs w:val="24"/>
        </w:rPr>
        <w:t>(19)</w:t>
      </w:r>
      <w:r w:rsidR="002A1F31" w:rsidRPr="00F822A1">
        <w:rPr>
          <w:rFonts w:ascii="Arial" w:hAnsi="Arial" w:cs="Arial"/>
          <w:sz w:val="24"/>
          <w:szCs w:val="24"/>
        </w:rPr>
        <w:fldChar w:fldCharType="end"/>
      </w:r>
      <w:r w:rsidR="00F64317" w:rsidRPr="00F822A1">
        <w:rPr>
          <w:rFonts w:ascii="Arial" w:hAnsi="Arial" w:cs="Arial"/>
          <w:sz w:val="24"/>
          <w:szCs w:val="24"/>
        </w:rPr>
        <w:t xml:space="preserve"> </w:t>
      </w:r>
      <w:r w:rsidR="004B4FE5">
        <w:rPr>
          <w:rFonts w:ascii="Arial" w:hAnsi="Arial" w:cs="Arial"/>
          <w:sz w:val="24"/>
          <w:szCs w:val="24"/>
        </w:rPr>
        <w:t>R</w:t>
      </w:r>
      <w:r w:rsidR="000E5D30">
        <w:rPr>
          <w:rFonts w:ascii="Arial" w:hAnsi="Arial" w:cs="Arial"/>
          <w:sz w:val="24"/>
          <w:szCs w:val="24"/>
        </w:rPr>
        <w:t xml:space="preserve">esidual </w:t>
      </w:r>
      <w:r w:rsidR="00F64317" w:rsidRPr="00F822A1">
        <w:rPr>
          <w:rFonts w:ascii="Arial" w:hAnsi="Arial" w:cs="Arial"/>
          <w:sz w:val="24"/>
          <w:szCs w:val="24"/>
        </w:rPr>
        <w:t xml:space="preserve">confounding </w:t>
      </w:r>
      <w:r w:rsidR="00704C78" w:rsidRPr="00F822A1">
        <w:rPr>
          <w:rFonts w:ascii="Arial" w:hAnsi="Arial" w:cs="Arial"/>
          <w:sz w:val="24"/>
          <w:szCs w:val="24"/>
        </w:rPr>
        <w:t xml:space="preserve">could </w:t>
      </w:r>
      <w:r w:rsidR="000E5D30">
        <w:rPr>
          <w:rFonts w:ascii="Arial" w:hAnsi="Arial" w:cs="Arial"/>
          <w:sz w:val="24"/>
          <w:szCs w:val="24"/>
        </w:rPr>
        <w:t xml:space="preserve">explain </w:t>
      </w:r>
      <w:r w:rsidR="00F64317" w:rsidRPr="00F822A1">
        <w:rPr>
          <w:rFonts w:ascii="Arial" w:hAnsi="Arial" w:cs="Arial"/>
          <w:sz w:val="24"/>
          <w:szCs w:val="24"/>
        </w:rPr>
        <w:t xml:space="preserve">our weak </w:t>
      </w:r>
      <w:r w:rsidR="009517C0">
        <w:rPr>
          <w:rFonts w:ascii="Arial" w:hAnsi="Arial" w:cs="Arial"/>
          <w:sz w:val="24"/>
          <w:szCs w:val="24"/>
        </w:rPr>
        <w:t>inverse</w:t>
      </w:r>
      <w:r w:rsidR="009517C0" w:rsidRPr="00F822A1">
        <w:rPr>
          <w:rFonts w:ascii="Arial" w:hAnsi="Arial" w:cs="Arial"/>
          <w:sz w:val="24"/>
          <w:szCs w:val="24"/>
        </w:rPr>
        <w:t xml:space="preserve"> </w:t>
      </w:r>
      <w:r w:rsidR="00F64317" w:rsidRPr="00F822A1">
        <w:rPr>
          <w:rFonts w:ascii="Arial" w:hAnsi="Arial" w:cs="Arial"/>
          <w:sz w:val="24"/>
          <w:szCs w:val="24"/>
        </w:rPr>
        <w:t xml:space="preserve">association </w:t>
      </w:r>
      <w:r w:rsidR="00704C78" w:rsidRPr="00F822A1">
        <w:rPr>
          <w:rFonts w:ascii="Arial" w:hAnsi="Arial" w:cs="Arial"/>
          <w:sz w:val="24"/>
          <w:szCs w:val="24"/>
        </w:rPr>
        <w:t xml:space="preserve">between </w:t>
      </w:r>
      <w:r w:rsidR="00F64317" w:rsidRPr="00F822A1">
        <w:rPr>
          <w:rFonts w:ascii="Arial" w:hAnsi="Arial" w:cs="Arial"/>
          <w:sz w:val="24"/>
          <w:szCs w:val="24"/>
        </w:rPr>
        <w:t xml:space="preserve">BP with </w:t>
      </w:r>
      <w:r w:rsidR="007216E5">
        <w:rPr>
          <w:rFonts w:ascii="Arial" w:hAnsi="Arial" w:cs="Arial"/>
          <w:sz w:val="24"/>
          <w:szCs w:val="24"/>
        </w:rPr>
        <w:t>AD</w:t>
      </w:r>
      <w:r w:rsidR="00F64317" w:rsidRPr="00F822A1">
        <w:rPr>
          <w:rFonts w:ascii="Arial" w:hAnsi="Arial" w:cs="Arial"/>
          <w:sz w:val="24"/>
          <w:szCs w:val="24"/>
        </w:rPr>
        <w:t>,</w:t>
      </w:r>
      <w:r w:rsidR="004B4FE5">
        <w:rPr>
          <w:rFonts w:ascii="Arial" w:hAnsi="Arial" w:cs="Arial"/>
          <w:sz w:val="24"/>
          <w:szCs w:val="24"/>
        </w:rPr>
        <w:t xml:space="preserve"> but</w:t>
      </w:r>
      <w:r w:rsidR="00F64317" w:rsidRPr="00F822A1">
        <w:rPr>
          <w:rFonts w:ascii="Arial" w:hAnsi="Arial" w:cs="Arial"/>
          <w:sz w:val="24"/>
          <w:szCs w:val="24"/>
        </w:rPr>
        <w:t xml:space="preserve"> </w:t>
      </w:r>
      <w:r w:rsidR="00704C78" w:rsidRPr="00F822A1">
        <w:rPr>
          <w:rFonts w:ascii="Arial" w:hAnsi="Arial" w:cs="Arial"/>
          <w:sz w:val="24"/>
          <w:szCs w:val="24"/>
        </w:rPr>
        <w:t xml:space="preserve">it </w:t>
      </w:r>
      <w:r w:rsidR="00445CF4" w:rsidRPr="00F822A1">
        <w:rPr>
          <w:rFonts w:ascii="Arial" w:hAnsi="Arial" w:cs="Arial"/>
          <w:sz w:val="24"/>
          <w:szCs w:val="24"/>
        </w:rPr>
        <w:t>can</w:t>
      </w:r>
      <w:r w:rsidR="00704C78" w:rsidRPr="00F822A1">
        <w:rPr>
          <w:rFonts w:ascii="Arial" w:hAnsi="Arial" w:cs="Arial"/>
          <w:sz w:val="24"/>
          <w:szCs w:val="24"/>
        </w:rPr>
        <w:t xml:space="preserve">not explain </w:t>
      </w:r>
      <w:r w:rsidR="009517C0">
        <w:rPr>
          <w:rFonts w:ascii="Arial" w:hAnsi="Arial" w:cs="Arial"/>
          <w:sz w:val="24"/>
          <w:szCs w:val="24"/>
        </w:rPr>
        <w:t>inverse</w:t>
      </w:r>
      <w:r w:rsidR="009517C0" w:rsidRPr="00F822A1">
        <w:rPr>
          <w:rFonts w:ascii="Arial" w:hAnsi="Arial" w:cs="Arial"/>
          <w:sz w:val="24"/>
          <w:szCs w:val="24"/>
        </w:rPr>
        <w:t xml:space="preserve"> </w:t>
      </w:r>
      <w:r w:rsidR="008E23B4" w:rsidRPr="00F822A1">
        <w:rPr>
          <w:rFonts w:ascii="Arial" w:hAnsi="Arial" w:cs="Arial"/>
          <w:sz w:val="24"/>
          <w:szCs w:val="24"/>
        </w:rPr>
        <w:t xml:space="preserve">associations observed in </w:t>
      </w:r>
      <w:r w:rsidR="00704C78" w:rsidRPr="00F822A1">
        <w:rPr>
          <w:rFonts w:ascii="Arial" w:hAnsi="Arial" w:cs="Arial"/>
          <w:sz w:val="24"/>
          <w:szCs w:val="24"/>
        </w:rPr>
        <w:t>a recent</w:t>
      </w:r>
      <w:r w:rsidR="00521D55" w:rsidRPr="00F822A1">
        <w:rPr>
          <w:rFonts w:ascii="Arial" w:hAnsi="Arial" w:cs="Arial"/>
          <w:sz w:val="24"/>
          <w:szCs w:val="24"/>
        </w:rPr>
        <w:t xml:space="preserve"> large</w:t>
      </w:r>
      <w:r w:rsidR="00704C78" w:rsidRPr="00F822A1">
        <w:rPr>
          <w:rFonts w:ascii="Arial" w:hAnsi="Arial" w:cs="Arial"/>
          <w:sz w:val="24"/>
          <w:szCs w:val="24"/>
        </w:rPr>
        <w:t xml:space="preserve"> genetic study</w:t>
      </w:r>
      <w:r w:rsidR="00F64317" w:rsidRPr="00F822A1">
        <w:rPr>
          <w:rFonts w:ascii="Arial" w:hAnsi="Arial" w:cs="Arial"/>
          <w:sz w:val="24"/>
          <w:szCs w:val="24"/>
        </w:rPr>
        <w:t>, which should be free from confounding by design.</w:t>
      </w:r>
      <w:r w:rsidR="002A1F31" w:rsidRPr="00F822A1">
        <w:rPr>
          <w:rFonts w:ascii="Arial" w:hAnsi="Arial" w:cs="Arial"/>
          <w:sz w:val="24"/>
          <w:szCs w:val="24"/>
        </w:rPr>
        <w:fldChar w:fldCharType="begin" w:fldLock="1"/>
      </w:r>
      <w:r w:rsidR="003516B3">
        <w:rPr>
          <w:rFonts w:ascii="Arial" w:hAnsi="Arial" w:cs="Arial"/>
          <w:sz w:val="24"/>
          <w:szCs w:val="24"/>
        </w:rPr>
        <w:instrText>ADDIN CSL_CITATION { "citationItems" : [ { "id" : "ITEM-1", "itemData" : { "DOI" : "10.1371/journal.pmed.1001841", "PMID" : "26079503", "abstract" : "Potentially modifiable risk factors including obesity, diabetes, hypertension, and smoking are associated with Alzheimer disease (AD) and represent promising targets for intervention. However, the causality of these associations is unclear. We sought to assess the causal nature of these associations using Mendelian randomization (MR).We used SNPs associated with each risk factor as instrumental variables in MR analyses. We considered type 2 diabetes (T2D, NSNPs = 49), fasting glucose (NSNPs = 36), insulin resistance (NSNPs = 10), body mass index (BMI, NSNPs = 32), total cholesterol (NSNPs = 73), HDL-cholesterol (NSNPs = 71), LDL-cholesterol (NSNPs = 57), triglycerides (NSNPs = 39), systolic blood pressure (SBP, NSNPs = 24), smoking initiation (NSNPs = 1), smoking quantity (NSNPs = 3), university completion (NSNPs = 2), and years of education (NSNPs = 1). We calculated MR estimates of associations between each exposure and AD risk using an inverse-variance weighted approach, with summary statistics of SNP-AD associations from the International Genomics of Alzheimer's Project, comprising a total of 17,008 individuals with AD and 37,154 cognitively normal elderly controls. We found that genetically predicted higher SBP was associated with lower AD risk (odds ratio [OR] per standard deviation [15.4 mm Hg] of SBP [95% CI]: 0.75 [0.62-0.91]; p = 3.4 \ufffd 10(-3)). Genetically predicted higher SBP was also associated with a higher probability of taking antihypertensive medication (p = 6.7 \ufffd 10(-8)). Genetically predicted smoking quantity was associated with lower AD risk (OR per ten cigarettes per day [95% CI]: 0.67 [0.51-0.89]; p = 6.5 \ufffd 10(-3)), although we were unable to stratify by smoking history; genetically predicted smoking initiation was not associated with AD risk (OR = 0.70 [0.37, 1.33]; p = 0.28). We saw no evidence of causal associations between glycemic traits, T2D, BMI, or educational attainment and risk of AD (all p &gt; 0.1). Potential limitations of this study include the small proportion of intermediate trait variance explained by genetic variants and other implicit limitations of MR analyses.Inherited lifetime exposure to higher SBP is associated with lower AD risk. These findings suggest that higher blood pressure--or some environmental exposure associated with higher blood pressure, such as use of antihypertensive medications--may reduce AD risk.", "author" : [ { "dropping-particle" : "", "family" : "\u00d8stergaard", "given" : "S\u00f8ren D", "non-dropping-particle" : "", "parse-names" : false, "suffix" : "" }, { "dropping-particle" : "", "family" : "Mukherjee", "given" : "Shubhabrata", "non-dropping-particle" : "", "parse-names" : false, "suffix" : "" }, { "dropping-particle" : "", "family" : "Sharp", "given" : "Stephen J", "non-dropping-particle" : "", "parse-names" : false, "suffix" : "" }, { "dropping-particle" : "", "family" : "Proitsi", "given" : "Petroula", "non-dropping-particle" : "", "parse-names" : false, "suffix" : "" }, { "dropping-particle" : "", "family" : "Lotta", "given" : "Luca A", "non-dropping-particle" : "", "parse-names" : false, "suffix" : "" }, { "dropping-particle" : "", "family" : "Day", "given" : "Felix", "non-dropping-particle" : "", "parse-names" : false, "suffix" : "" }, { "dropping-particle" : "", "family" : "Perry", "given" : "John R B", "non-dropping-particle" : "", "parse-names" : false, "suffix" : "" }, { "dropping-particle" : "", "family" : "Boehme", "given" : "Kevin L", "non-dropping-particle" : "", "parse-names" : false, "suffix" : "" }, { "dropping-particle" : "", "family" : "Walter", "given" : "Stefan", "non-dropping-particle" : "", "parse-names" : false, "suffix" : "" }, { "dropping-particle" : "", "family" : "Kauwe", "given" : "John S", "non-dropping-particle" : "", "parse-names" : false, "suffix" : "" }, { "dropping-particle" : "", "family" : "Gibbons", "given" : "Laura E", "non-dropping-particle" : "", "parse-names" : false, "suffix" : "" }, { "dropping-particle" : "", "family" : "Consortium,", "given" : "Alzheimer\\textquoterights Disease Genetics", "non-dropping-particle" : "", "parse-names" : false, "suffix" : "" }, { "dropping-particle" : "", "family" : "Consortium,", "given" : "G E R A D1", "non-dropping-particle" : "", "parse-names" : false, "suffix" : "" }, { "dropping-particle" : "", "family" : "Consortium,", "given" : "E P I C-InterAct", "non-dropping-particle" : "", "parse-names" : false, "suffix" : "" }, { "dropping-particle" : "", "family" : "Larson", "given" : "Eric B", "non-dropping-particle" : "", "parse-names" : false, "suffix" : "" }, { "dropping-particle" : "", "family" : "Powell", "given" : "John F", "non-dropping-particle" : "", "parse-names" : false, "suffix" : "" }, { "dropping-particle" : "", "family" : "Langenberg", "given" : "Claudia", "non-dropping-particle" : "", "parse-names" : false, "suffix" : "" }, { "dropping-particle" : "", "family" : "Crane", "given" : "Paul K", "non-dropping-particle" : "", "parse-names" : false, "suffix" : "" }, { "dropping-particle" : "", "family" : "Wareham", "given" : "Nicholas J", "non-dropping-particle" : "", "parse-names" : false, "suffix" : "" }, { "dropping-particle" : "", "family" : "Scott", "given" : "Robert A", "non-dropping-particle" : "", "parse-names" : false, "suffix" : "" } ], "container-title" : "PLoS Med", "id" : "ITEM-1", "issue" : "6", "issued" : { "date-parts" : [ [ "2015", "6" ] ] }, "page" : "e1001841; discussion e1001841", "title" : "Associations between Potentially Modifiable Risk Factors and Alzheimer Disease: A Mendelian Randomization Study.", "type" : "article-journal", "volume" : "12" }, "uris" : [ "http://www.mendeley.com/documents/?uuid=1bb5b3c8-10a3-4c41-9e48-32142cd95db0" ] } ], "mendeley" : { "formattedCitation" : "(14)", "plainTextFormattedCitation" : "(14)", "previouslyFormattedCitation" : "(14)" }, "properties" : {  }, "schema" : "https://github.com/citation-style-language/schema/raw/master/csl-citation.json" }</w:instrText>
      </w:r>
      <w:r w:rsidR="002A1F31" w:rsidRPr="00F822A1">
        <w:rPr>
          <w:rFonts w:ascii="Arial" w:hAnsi="Arial" w:cs="Arial"/>
          <w:sz w:val="24"/>
          <w:szCs w:val="24"/>
        </w:rPr>
        <w:fldChar w:fldCharType="separate"/>
      </w:r>
      <w:r w:rsidR="00620034" w:rsidRPr="00620034">
        <w:rPr>
          <w:rFonts w:ascii="Arial" w:hAnsi="Arial" w:cs="Arial"/>
          <w:noProof/>
          <w:sz w:val="24"/>
          <w:szCs w:val="24"/>
        </w:rPr>
        <w:t>(14)</w:t>
      </w:r>
      <w:r w:rsidR="002A1F31" w:rsidRPr="00F822A1">
        <w:rPr>
          <w:rFonts w:ascii="Arial" w:hAnsi="Arial" w:cs="Arial"/>
          <w:sz w:val="24"/>
          <w:szCs w:val="24"/>
        </w:rPr>
        <w:fldChar w:fldCharType="end"/>
      </w:r>
      <w:r w:rsidR="00F64317" w:rsidRPr="00F822A1">
        <w:rPr>
          <w:rFonts w:ascii="Arial" w:hAnsi="Arial" w:cs="Arial"/>
          <w:sz w:val="24"/>
          <w:szCs w:val="24"/>
        </w:rPr>
        <w:t xml:space="preserve"> </w:t>
      </w:r>
      <w:r w:rsidR="000E5D30">
        <w:rPr>
          <w:rFonts w:ascii="Arial" w:hAnsi="Arial" w:cs="Arial"/>
          <w:sz w:val="24"/>
          <w:szCs w:val="24"/>
        </w:rPr>
        <w:t>A</w:t>
      </w:r>
      <w:r w:rsidR="000164CA" w:rsidRPr="00F822A1">
        <w:rPr>
          <w:rFonts w:ascii="Arial" w:hAnsi="Arial" w:cs="Arial"/>
          <w:sz w:val="24"/>
          <w:szCs w:val="24"/>
        </w:rPr>
        <w:t xml:space="preserve">ssociations could be biased by the competing risk of death if patients at high risk of death and dementia die earlier when they have high </w:t>
      </w:r>
      <w:r w:rsidR="007749F4" w:rsidRPr="00F822A1">
        <w:rPr>
          <w:rFonts w:ascii="Arial" w:hAnsi="Arial" w:cs="Arial"/>
          <w:sz w:val="24"/>
          <w:szCs w:val="24"/>
        </w:rPr>
        <w:t>BP</w:t>
      </w:r>
      <w:r w:rsidR="000164CA" w:rsidRPr="00F822A1">
        <w:rPr>
          <w:rFonts w:ascii="Arial" w:hAnsi="Arial" w:cs="Arial"/>
          <w:sz w:val="24"/>
          <w:szCs w:val="24"/>
        </w:rPr>
        <w:t xml:space="preserve">. </w:t>
      </w:r>
      <w:r w:rsidR="00405D0D" w:rsidRPr="00F822A1">
        <w:rPr>
          <w:rFonts w:ascii="Arial" w:hAnsi="Arial" w:cs="Arial"/>
          <w:sz w:val="24"/>
          <w:szCs w:val="24"/>
        </w:rPr>
        <w:t xml:space="preserve">However, </w:t>
      </w:r>
      <w:r w:rsidR="00A834B4" w:rsidRPr="00F822A1">
        <w:rPr>
          <w:rFonts w:ascii="Arial" w:hAnsi="Arial" w:cs="Arial"/>
          <w:sz w:val="24"/>
          <w:szCs w:val="24"/>
        </w:rPr>
        <w:t xml:space="preserve">the </w:t>
      </w:r>
      <w:r w:rsidR="00524B2A" w:rsidRPr="00F822A1">
        <w:rPr>
          <w:rFonts w:ascii="Arial" w:hAnsi="Arial" w:cs="Arial"/>
          <w:sz w:val="24"/>
          <w:szCs w:val="24"/>
        </w:rPr>
        <w:t xml:space="preserve">likely </w:t>
      </w:r>
      <w:r w:rsidR="00A834B4" w:rsidRPr="00F822A1">
        <w:rPr>
          <w:rFonts w:ascii="Arial" w:hAnsi="Arial" w:cs="Arial"/>
          <w:sz w:val="24"/>
          <w:szCs w:val="24"/>
        </w:rPr>
        <w:t xml:space="preserve">size such </w:t>
      </w:r>
      <w:r w:rsidR="00405D0D" w:rsidRPr="00F822A1">
        <w:rPr>
          <w:rFonts w:ascii="Arial" w:hAnsi="Arial" w:cs="Arial"/>
          <w:sz w:val="24"/>
          <w:szCs w:val="24"/>
        </w:rPr>
        <w:t>bias</w:t>
      </w:r>
      <w:r w:rsidR="00524B2A" w:rsidRPr="00F822A1">
        <w:rPr>
          <w:rFonts w:ascii="Arial" w:hAnsi="Arial" w:cs="Arial"/>
          <w:sz w:val="24"/>
          <w:szCs w:val="24"/>
        </w:rPr>
        <w:t xml:space="preserve"> </w:t>
      </w:r>
      <w:r w:rsidR="004B4FE5">
        <w:rPr>
          <w:rFonts w:ascii="Arial" w:hAnsi="Arial" w:cs="Arial"/>
          <w:sz w:val="24"/>
          <w:szCs w:val="24"/>
        </w:rPr>
        <w:t xml:space="preserve">is </w:t>
      </w:r>
      <w:r w:rsidR="00272181" w:rsidRPr="00F822A1">
        <w:rPr>
          <w:rFonts w:ascii="Arial" w:hAnsi="Arial" w:cs="Arial"/>
          <w:sz w:val="24"/>
          <w:szCs w:val="24"/>
        </w:rPr>
        <w:t>modest</w:t>
      </w:r>
      <w:r w:rsidR="00A834B4" w:rsidRPr="00F822A1">
        <w:rPr>
          <w:rFonts w:ascii="Arial" w:hAnsi="Arial" w:cs="Arial"/>
          <w:sz w:val="24"/>
          <w:szCs w:val="24"/>
        </w:rPr>
        <w:t xml:space="preserve">, particularly amongst patients diagnosed </w:t>
      </w:r>
      <w:r w:rsidR="005C1F1A" w:rsidRPr="00F822A1">
        <w:rPr>
          <w:rFonts w:ascii="Arial" w:hAnsi="Arial" w:cs="Arial"/>
          <w:sz w:val="24"/>
          <w:szCs w:val="24"/>
        </w:rPr>
        <w:t xml:space="preserve">with dementia </w:t>
      </w:r>
      <w:r w:rsidR="00A834B4" w:rsidRPr="00F822A1">
        <w:rPr>
          <w:rFonts w:ascii="Arial" w:hAnsi="Arial" w:cs="Arial"/>
          <w:sz w:val="24"/>
          <w:szCs w:val="24"/>
        </w:rPr>
        <w:t>at a younger age</w:t>
      </w:r>
      <w:r w:rsidR="00405D0D" w:rsidRPr="00F822A1">
        <w:rPr>
          <w:rFonts w:ascii="Arial" w:hAnsi="Arial" w:cs="Arial"/>
          <w:sz w:val="24"/>
          <w:szCs w:val="24"/>
        </w:rPr>
        <w:t xml:space="preserve">.  </w:t>
      </w:r>
      <w:r w:rsidR="00CF680E">
        <w:rPr>
          <w:rFonts w:ascii="Arial" w:hAnsi="Arial" w:cs="Arial"/>
          <w:sz w:val="24"/>
          <w:szCs w:val="24"/>
        </w:rPr>
        <w:t>I</w:t>
      </w:r>
      <w:r w:rsidR="007D2D5F" w:rsidRPr="00F822A1">
        <w:rPr>
          <w:rFonts w:ascii="Arial" w:hAnsi="Arial" w:cs="Arial"/>
          <w:sz w:val="24"/>
          <w:szCs w:val="24"/>
        </w:rPr>
        <w:t xml:space="preserve">ncorrect diagnoses could have altered </w:t>
      </w:r>
      <w:r w:rsidR="002E0B2D">
        <w:rPr>
          <w:rFonts w:ascii="Arial" w:hAnsi="Arial" w:cs="Arial"/>
          <w:sz w:val="24"/>
          <w:szCs w:val="24"/>
        </w:rPr>
        <w:t xml:space="preserve">associations with </w:t>
      </w:r>
      <w:r w:rsidR="004B4FE5">
        <w:rPr>
          <w:rFonts w:ascii="Arial" w:hAnsi="Arial" w:cs="Arial"/>
          <w:sz w:val="24"/>
          <w:szCs w:val="24"/>
        </w:rPr>
        <w:t xml:space="preserve">dementia </w:t>
      </w:r>
      <w:r w:rsidR="007D2D5F" w:rsidRPr="00F822A1">
        <w:rPr>
          <w:rFonts w:ascii="Arial" w:hAnsi="Arial" w:cs="Arial"/>
          <w:sz w:val="24"/>
          <w:szCs w:val="24"/>
        </w:rPr>
        <w:t xml:space="preserve">subtypes. </w:t>
      </w:r>
      <w:r w:rsidR="004B4FE5">
        <w:rPr>
          <w:rFonts w:ascii="Arial" w:hAnsi="Arial" w:cs="Arial"/>
          <w:sz w:val="24"/>
          <w:szCs w:val="24"/>
        </w:rPr>
        <w:t>W</w:t>
      </w:r>
      <w:r w:rsidR="004B4FE5" w:rsidRPr="00F822A1">
        <w:rPr>
          <w:rFonts w:ascii="Arial" w:hAnsi="Arial" w:cs="Arial"/>
          <w:sz w:val="24"/>
          <w:szCs w:val="24"/>
        </w:rPr>
        <w:t xml:space="preserve">e grouped none specific read codes for dementia with </w:t>
      </w:r>
      <w:r w:rsidR="004B4FE5">
        <w:rPr>
          <w:rFonts w:ascii="Arial" w:hAnsi="Arial" w:cs="Arial"/>
          <w:sz w:val="24"/>
          <w:szCs w:val="24"/>
        </w:rPr>
        <w:t>AD, and t</w:t>
      </w:r>
      <w:r w:rsidR="009C57FB" w:rsidRPr="00F822A1">
        <w:rPr>
          <w:rFonts w:ascii="Arial" w:hAnsi="Arial" w:cs="Arial"/>
          <w:sz w:val="24"/>
          <w:szCs w:val="24"/>
        </w:rPr>
        <w:t xml:space="preserve">he clinical diagnosis of </w:t>
      </w:r>
      <w:r w:rsidR="007216E5">
        <w:rPr>
          <w:rFonts w:ascii="Arial" w:hAnsi="Arial" w:cs="Arial"/>
          <w:sz w:val="24"/>
          <w:szCs w:val="24"/>
        </w:rPr>
        <w:t>AD</w:t>
      </w:r>
      <w:r w:rsidR="009C57FB" w:rsidRPr="00F822A1">
        <w:rPr>
          <w:rFonts w:ascii="Arial" w:hAnsi="Arial" w:cs="Arial"/>
          <w:sz w:val="24"/>
          <w:szCs w:val="24"/>
        </w:rPr>
        <w:t xml:space="preserve"> is prone to error even when diagnosed by specialists</w:t>
      </w:r>
      <w:r w:rsidR="004B4FE5">
        <w:rPr>
          <w:rFonts w:ascii="Arial" w:hAnsi="Arial" w:cs="Arial"/>
          <w:sz w:val="24"/>
          <w:szCs w:val="24"/>
        </w:rPr>
        <w:t>.</w:t>
      </w:r>
      <w:r w:rsidR="009C3D23" w:rsidRPr="00F822A1">
        <w:rPr>
          <w:rFonts w:ascii="Arial" w:hAnsi="Arial" w:cs="Arial"/>
          <w:sz w:val="24"/>
          <w:szCs w:val="24"/>
        </w:rPr>
        <w:fldChar w:fldCharType="begin" w:fldLock="1"/>
      </w:r>
      <w:r w:rsidR="009C3D23">
        <w:rPr>
          <w:rFonts w:ascii="Arial" w:hAnsi="Arial" w:cs="Arial"/>
          <w:sz w:val="24"/>
          <w:szCs w:val="24"/>
        </w:rPr>
        <w:instrText>ADDIN CSL_CITATION { "citationItems" : [ { "id" : "ITEM-1", "itemData" : { "DOI" : "10.1097/NEN.0b013e31824b211b", "ISBN" : "5034949520", "ISSN" : "1554-6578", "PMID" : "22437338", "abstract" : "The neuropathologic examination is considered to provide the gold standard for Alzheimer disease (AD). To determine the accuracy of currently used clinical diagnostic methods, clinical and neuropathologic data from the National Alzheimer's Coordinating Center, which gathers information from the network of National Institute on Aging (NIA)-sponsored Alzheimer Disease Centers (ADCs), were collected as part of the National Alzheimer's Coordinating Center Uniform Data Set (UDS) between 2005 and 2010. A database search initially included all 1198 subjects with at least one UDS clinical assessment and who had died and been autopsied; 279 were excluded as being not demented or because critical data fields were missing. The final subject number was 919. Sensitivity and specificity were determined based on \"probable\" and \"possible\" AD levels of clinical confidence and 4 levels of neuropathologic confidence based on varying neuritic plaque densities and Braak neurofibrillary stages. Sensitivity ranged from 70.9{%} to 87.3{%}; specificity ranged from 44.3{%} to 70.8{%}. Sensitivity was generally increased with more permissive clinical criteria and specificity was increased with more restrictive criteria, whereas the opposite was true for neuropathologic criteria. When a clinical diagnosis was not confirmed by minimum levels of AD histopathology, the most frequent primary neuropathologic diagnoses were tangle-only dementia or argyrophilic grain disease, frontotemporal lobar degeneration, cerebrovascular disease, Lewy body disease and hippocampal sclerosis. When dementia was not clinically diagnosed as AD, 39{%} of these cases met or exceeded minimum threshold levels of AD histopathology. Neurologists of the NIA-ADCs had higher predictive accuracy when they diagnosed AD in subjects with dementia than when they diagnosed dementing diseases other than AD. The misdiagnosis rate should be considered when estimating subject numbers for AD studies, including clinical trials and epidemiologic studies.", "author" : [ { "dropping-particle" : "", "family" : "Beach", "given" : "Thomas G", "non-dropping-particle" : "", "parse-names" : false, "suffix" : "" }, { "dropping-particle" : "", "family" : "Monsell", "given" : "Sarah E", "non-dropping-particle" : "", "parse-names" : false, "suffix" : "" }, { "dropping-particle" : "", "family" : "Phillips", "given" : "Leslie E", "non-dropping-particle" : "", "parse-names" : false, "suffix" : "" }, { "dropping-particle" : "", "family" : "Kukull", "given" : "Walter", "non-dropping-particle" : "", "parse-names" : false, "suffix" : "" } ], "container-title" : "Journal of neuropathology and experimental neurology", "id" : "ITEM-1", "issue" : "4", "issued" : { "date-parts" : [ [ "2012" ] ] }, "page" : "266-273", "title" : "Accuracy of the clinical diagnosis of Alzheimer disease at National Institute on Aging Alzheimer Disease Centers, 2005-2010.", "type" : "article-journal", "volume" : "71" }, "uris" : [ "http://www.mendeley.com/documents/?uuid=420a016a-e6cc-4cf6-9bd1-8322a872bd19" ] } ], "mendeley" : { "formattedCitation" : "(20)", "plainTextFormattedCitation" : "(20)", "previouslyFormattedCitation" : "(20)" }, "properties" : {  }, "schema" : "https://github.com/citation-style-language/schema/raw/master/csl-citation.json" }</w:instrText>
      </w:r>
      <w:r w:rsidR="009C3D23" w:rsidRPr="00F822A1">
        <w:rPr>
          <w:rFonts w:ascii="Arial" w:hAnsi="Arial" w:cs="Arial"/>
          <w:sz w:val="24"/>
          <w:szCs w:val="24"/>
        </w:rPr>
        <w:fldChar w:fldCharType="separate"/>
      </w:r>
      <w:r w:rsidR="009C3D23" w:rsidRPr="00620034">
        <w:rPr>
          <w:rFonts w:ascii="Arial" w:hAnsi="Arial" w:cs="Arial"/>
          <w:noProof/>
          <w:sz w:val="24"/>
          <w:szCs w:val="24"/>
        </w:rPr>
        <w:t>(20)</w:t>
      </w:r>
      <w:r w:rsidR="009C3D23" w:rsidRPr="00F822A1">
        <w:rPr>
          <w:rFonts w:ascii="Arial" w:hAnsi="Arial" w:cs="Arial"/>
          <w:sz w:val="24"/>
          <w:szCs w:val="24"/>
        </w:rPr>
        <w:fldChar w:fldCharType="end"/>
      </w:r>
      <w:r w:rsidR="004B4FE5">
        <w:rPr>
          <w:rFonts w:ascii="Arial" w:hAnsi="Arial" w:cs="Arial"/>
          <w:sz w:val="24"/>
          <w:szCs w:val="24"/>
        </w:rPr>
        <w:t xml:space="preserve"> S</w:t>
      </w:r>
      <w:r w:rsidR="00642DD0" w:rsidRPr="00F822A1">
        <w:rPr>
          <w:rFonts w:ascii="Arial" w:hAnsi="Arial" w:cs="Arial"/>
          <w:sz w:val="24"/>
          <w:szCs w:val="24"/>
        </w:rPr>
        <w:t>ome misclassification</w:t>
      </w:r>
      <w:r w:rsidR="004B4FE5">
        <w:rPr>
          <w:rFonts w:ascii="Arial" w:hAnsi="Arial" w:cs="Arial"/>
          <w:sz w:val="24"/>
          <w:szCs w:val="24"/>
        </w:rPr>
        <w:t xml:space="preserve"> </w:t>
      </w:r>
      <w:r w:rsidR="00642DD0" w:rsidRPr="00F822A1">
        <w:rPr>
          <w:rFonts w:ascii="Arial" w:hAnsi="Arial" w:cs="Arial"/>
          <w:sz w:val="24"/>
          <w:szCs w:val="24"/>
        </w:rPr>
        <w:t>of dementia</w:t>
      </w:r>
      <w:r w:rsidR="004B4FE5">
        <w:rPr>
          <w:rFonts w:ascii="Arial" w:hAnsi="Arial" w:cs="Arial"/>
          <w:sz w:val="24"/>
          <w:szCs w:val="24"/>
        </w:rPr>
        <w:t xml:space="preserve"> subtypes is therefore likely and would </w:t>
      </w:r>
      <w:r w:rsidR="007D2D5F" w:rsidRPr="00F822A1">
        <w:rPr>
          <w:rFonts w:ascii="Arial" w:hAnsi="Arial" w:cs="Arial"/>
          <w:sz w:val="24"/>
          <w:szCs w:val="24"/>
        </w:rPr>
        <w:t xml:space="preserve">dilute differences </w:t>
      </w:r>
      <w:r w:rsidR="004B4FE5">
        <w:rPr>
          <w:rFonts w:ascii="Arial" w:hAnsi="Arial" w:cs="Arial"/>
          <w:sz w:val="24"/>
          <w:szCs w:val="24"/>
        </w:rPr>
        <w:t>in the</w:t>
      </w:r>
      <w:r w:rsidR="004B4FE5" w:rsidRPr="00F822A1">
        <w:rPr>
          <w:rFonts w:ascii="Arial" w:hAnsi="Arial" w:cs="Arial"/>
          <w:sz w:val="24"/>
          <w:szCs w:val="24"/>
        </w:rPr>
        <w:t xml:space="preserve"> </w:t>
      </w:r>
      <w:r w:rsidR="007D2D5F" w:rsidRPr="00F822A1">
        <w:rPr>
          <w:rFonts w:ascii="Arial" w:hAnsi="Arial" w:cs="Arial"/>
          <w:sz w:val="24"/>
          <w:szCs w:val="24"/>
        </w:rPr>
        <w:t xml:space="preserve">associations between vascular dementia and AD. </w:t>
      </w:r>
      <w:r w:rsidR="00F9066C" w:rsidRPr="00F822A1">
        <w:rPr>
          <w:rFonts w:ascii="Arial" w:hAnsi="Arial" w:cs="Arial"/>
          <w:sz w:val="24"/>
          <w:szCs w:val="24"/>
        </w:rPr>
        <w:t xml:space="preserve"> </w:t>
      </w:r>
      <w:r w:rsidR="009C57FB">
        <w:rPr>
          <w:rFonts w:ascii="Arial" w:hAnsi="Arial" w:cs="Arial"/>
          <w:sz w:val="24"/>
          <w:szCs w:val="24"/>
        </w:rPr>
        <w:t>Conversely,</w:t>
      </w:r>
      <w:r w:rsidR="009B5E41" w:rsidRPr="00F822A1">
        <w:rPr>
          <w:rFonts w:ascii="Arial" w:hAnsi="Arial" w:cs="Arial"/>
          <w:sz w:val="24"/>
          <w:szCs w:val="24"/>
        </w:rPr>
        <w:t xml:space="preserve"> </w:t>
      </w:r>
      <w:r w:rsidR="00F9066C" w:rsidRPr="00F822A1">
        <w:rPr>
          <w:rFonts w:ascii="Arial" w:hAnsi="Arial" w:cs="Arial"/>
          <w:sz w:val="24"/>
          <w:szCs w:val="24"/>
        </w:rPr>
        <w:t xml:space="preserve">selective diagnosis of vascular dementia in patients with high BP or a </w:t>
      </w:r>
      <w:r w:rsidR="009C57FB">
        <w:rPr>
          <w:rFonts w:ascii="Arial" w:hAnsi="Arial" w:cs="Arial"/>
          <w:sz w:val="24"/>
          <w:szCs w:val="24"/>
        </w:rPr>
        <w:t>prior</w:t>
      </w:r>
      <w:r w:rsidR="00F9066C" w:rsidRPr="00F822A1">
        <w:rPr>
          <w:rFonts w:ascii="Arial" w:hAnsi="Arial" w:cs="Arial"/>
          <w:sz w:val="24"/>
          <w:szCs w:val="24"/>
        </w:rPr>
        <w:t xml:space="preserve"> stroke may have exaggerate</w:t>
      </w:r>
      <w:r w:rsidR="003E49C8">
        <w:rPr>
          <w:rFonts w:ascii="Arial" w:hAnsi="Arial" w:cs="Arial"/>
          <w:sz w:val="24"/>
          <w:szCs w:val="24"/>
        </w:rPr>
        <w:t>d</w:t>
      </w:r>
      <w:r w:rsidR="00F9066C" w:rsidRPr="00F822A1">
        <w:rPr>
          <w:rFonts w:ascii="Arial" w:hAnsi="Arial" w:cs="Arial"/>
          <w:sz w:val="24"/>
          <w:szCs w:val="24"/>
        </w:rPr>
        <w:t xml:space="preserve"> </w:t>
      </w:r>
      <w:r w:rsidR="00F9066C" w:rsidRPr="00F822A1">
        <w:rPr>
          <w:rFonts w:ascii="Arial" w:hAnsi="Arial" w:cs="Arial"/>
          <w:sz w:val="24"/>
          <w:szCs w:val="24"/>
        </w:rPr>
        <w:lastRenderedPageBreak/>
        <w:t>differences</w:t>
      </w:r>
      <w:r w:rsidR="009B5E41" w:rsidRPr="00F822A1">
        <w:rPr>
          <w:rFonts w:ascii="Arial" w:hAnsi="Arial" w:cs="Arial"/>
          <w:sz w:val="24"/>
          <w:szCs w:val="24"/>
        </w:rPr>
        <w:t xml:space="preserve">. </w:t>
      </w:r>
      <w:r w:rsidR="006D37E8" w:rsidRPr="00F822A1">
        <w:rPr>
          <w:rFonts w:ascii="Arial" w:hAnsi="Arial" w:cs="Arial"/>
          <w:sz w:val="24"/>
          <w:szCs w:val="24"/>
        </w:rPr>
        <w:t xml:space="preserve">Although it could be informative to understand how associations with underlying pathologies differ, misclassification </w:t>
      </w:r>
      <w:r w:rsidR="004B4FE5">
        <w:rPr>
          <w:rFonts w:ascii="Arial" w:hAnsi="Arial" w:cs="Arial"/>
          <w:sz w:val="24"/>
          <w:szCs w:val="24"/>
        </w:rPr>
        <w:t xml:space="preserve">does </w:t>
      </w:r>
      <w:r w:rsidR="000F48B2" w:rsidRPr="00F822A1">
        <w:rPr>
          <w:rFonts w:ascii="Arial" w:hAnsi="Arial" w:cs="Arial"/>
          <w:sz w:val="24"/>
          <w:szCs w:val="24"/>
        </w:rPr>
        <w:t xml:space="preserve">not </w:t>
      </w:r>
      <w:r w:rsidR="000C1CAA" w:rsidRPr="00F822A1">
        <w:rPr>
          <w:rFonts w:ascii="Arial" w:hAnsi="Arial" w:cs="Arial"/>
          <w:sz w:val="24"/>
          <w:szCs w:val="24"/>
        </w:rPr>
        <w:t>alter</w:t>
      </w:r>
      <w:r w:rsidR="000F48B2" w:rsidRPr="00F822A1">
        <w:rPr>
          <w:rFonts w:ascii="Arial" w:hAnsi="Arial" w:cs="Arial"/>
          <w:sz w:val="24"/>
          <w:szCs w:val="24"/>
        </w:rPr>
        <w:t xml:space="preserve"> associations of BP with </w:t>
      </w:r>
      <w:r w:rsidR="00A5374E" w:rsidRPr="00F822A1">
        <w:rPr>
          <w:rFonts w:ascii="Arial" w:hAnsi="Arial" w:cs="Arial"/>
          <w:sz w:val="24"/>
          <w:szCs w:val="24"/>
        </w:rPr>
        <w:t xml:space="preserve">overall </w:t>
      </w:r>
      <w:r w:rsidR="000F48B2" w:rsidRPr="00F822A1">
        <w:rPr>
          <w:rFonts w:ascii="Arial" w:hAnsi="Arial" w:cs="Arial"/>
          <w:sz w:val="24"/>
          <w:szCs w:val="24"/>
        </w:rPr>
        <w:t>dementia</w:t>
      </w:r>
      <w:r w:rsidR="00D57627" w:rsidRPr="00F822A1">
        <w:rPr>
          <w:rFonts w:ascii="Arial" w:hAnsi="Arial" w:cs="Arial"/>
          <w:sz w:val="24"/>
          <w:szCs w:val="24"/>
        </w:rPr>
        <w:t xml:space="preserve">, nor associations with </w:t>
      </w:r>
      <w:r w:rsidR="00C072BB" w:rsidRPr="00F822A1">
        <w:rPr>
          <w:rFonts w:ascii="Arial" w:hAnsi="Arial" w:cs="Arial"/>
          <w:sz w:val="24"/>
          <w:szCs w:val="24"/>
        </w:rPr>
        <w:t xml:space="preserve">the </w:t>
      </w:r>
      <w:r w:rsidR="00D57627" w:rsidRPr="00F822A1">
        <w:rPr>
          <w:rFonts w:ascii="Arial" w:hAnsi="Arial" w:cs="Arial"/>
          <w:sz w:val="24"/>
          <w:szCs w:val="24"/>
        </w:rPr>
        <w:t>real-world diagnoses</w:t>
      </w:r>
      <w:r w:rsidR="004B5C62">
        <w:rPr>
          <w:rFonts w:ascii="Arial" w:hAnsi="Arial" w:cs="Arial"/>
          <w:sz w:val="24"/>
          <w:szCs w:val="24"/>
        </w:rPr>
        <w:t xml:space="preserve"> of subtypes</w:t>
      </w:r>
      <w:r w:rsidR="000A1C78" w:rsidRPr="00F822A1">
        <w:rPr>
          <w:rFonts w:ascii="Arial" w:hAnsi="Arial" w:cs="Arial"/>
          <w:sz w:val="24"/>
          <w:szCs w:val="24"/>
        </w:rPr>
        <w:t xml:space="preserve">. </w:t>
      </w:r>
    </w:p>
    <w:p w:rsidR="001B6370" w:rsidRDefault="001B6370" w:rsidP="00A918B7">
      <w:pPr>
        <w:spacing w:line="480" w:lineRule="auto"/>
        <w:rPr>
          <w:rFonts w:ascii="Arial" w:hAnsi="Arial" w:cs="Arial"/>
          <w:b/>
          <w:sz w:val="24"/>
          <w:szCs w:val="24"/>
        </w:rPr>
        <w:sectPr w:rsidR="001B6370" w:rsidSect="006371EE">
          <w:pgSz w:w="11906" w:h="16838"/>
          <w:pgMar w:top="1440" w:right="1440" w:bottom="1440" w:left="1440" w:header="708" w:footer="708" w:gutter="0"/>
          <w:cols w:space="708"/>
          <w:docGrid w:linePitch="360"/>
        </w:sectPr>
      </w:pPr>
    </w:p>
    <w:p w:rsidR="007749F4" w:rsidRPr="00F822A1" w:rsidRDefault="007749F4" w:rsidP="00A918B7">
      <w:pPr>
        <w:spacing w:line="480" w:lineRule="auto"/>
        <w:rPr>
          <w:rFonts w:ascii="Arial" w:hAnsi="Arial" w:cs="Arial"/>
          <w:b/>
          <w:sz w:val="24"/>
          <w:szCs w:val="24"/>
        </w:rPr>
      </w:pPr>
      <w:r w:rsidRPr="00F822A1">
        <w:rPr>
          <w:rFonts w:ascii="Arial" w:hAnsi="Arial" w:cs="Arial"/>
          <w:b/>
          <w:sz w:val="24"/>
          <w:szCs w:val="24"/>
        </w:rPr>
        <w:lastRenderedPageBreak/>
        <w:t>Conclusions</w:t>
      </w:r>
    </w:p>
    <w:p w:rsidR="00DB5C89" w:rsidRPr="00F822A1" w:rsidRDefault="00DB5C89" w:rsidP="00A918B7">
      <w:pPr>
        <w:spacing w:line="480" w:lineRule="auto"/>
        <w:rPr>
          <w:rFonts w:ascii="Arial" w:hAnsi="Arial" w:cs="Arial"/>
          <w:sz w:val="24"/>
          <w:szCs w:val="24"/>
        </w:rPr>
      </w:pPr>
      <w:r w:rsidRPr="00F822A1">
        <w:rPr>
          <w:rFonts w:ascii="Arial" w:hAnsi="Arial" w:cs="Arial"/>
          <w:sz w:val="24"/>
          <w:szCs w:val="24"/>
        </w:rPr>
        <w:t>Elevated BP is associated with decreased risk of dementia in the short-term, possibly due to reverse causation. Long-term association</w:t>
      </w:r>
      <w:r w:rsidR="008B6F31" w:rsidRPr="00F822A1">
        <w:rPr>
          <w:rFonts w:ascii="Arial" w:hAnsi="Arial" w:cs="Arial"/>
          <w:sz w:val="24"/>
          <w:szCs w:val="24"/>
        </w:rPr>
        <w:t>s</w:t>
      </w:r>
      <w:r w:rsidRPr="00F822A1">
        <w:rPr>
          <w:rFonts w:ascii="Arial" w:hAnsi="Arial" w:cs="Arial"/>
          <w:sz w:val="24"/>
          <w:szCs w:val="24"/>
        </w:rPr>
        <w:t xml:space="preserve"> of BP with dementia are less marked, with moderate positive associations for vascular dementia and a weaker inverse association for </w:t>
      </w:r>
      <w:r w:rsidR="007216E5">
        <w:rPr>
          <w:rFonts w:ascii="Arial" w:hAnsi="Arial" w:cs="Arial"/>
          <w:sz w:val="24"/>
          <w:szCs w:val="24"/>
        </w:rPr>
        <w:t>AD</w:t>
      </w:r>
      <w:r w:rsidRPr="00F822A1">
        <w:rPr>
          <w:rFonts w:ascii="Arial" w:hAnsi="Arial" w:cs="Arial"/>
          <w:sz w:val="24"/>
          <w:szCs w:val="24"/>
        </w:rPr>
        <w:t>.</w:t>
      </w:r>
    </w:p>
    <w:p w:rsidR="0043179E" w:rsidRPr="00F822A1" w:rsidRDefault="000E6ABC" w:rsidP="00A918B7">
      <w:pPr>
        <w:spacing w:line="480" w:lineRule="auto"/>
        <w:rPr>
          <w:rFonts w:ascii="Arial" w:hAnsi="Arial" w:cs="Arial"/>
          <w:sz w:val="24"/>
          <w:szCs w:val="24"/>
          <w:u w:val="single"/>
        </w:rPr>
      </w:pPr>
      <w:r w:rsidRPr="00F822A1">
        <w:rPr>
          <w:rFonts w:ascii="Arial" w:hAnsi="Arial" w:cs="Arial"/>
          <w:sz w:val="24"/>
          <w:szCs w:val="24"/>
          <w:u w:val="single"/>
        </w:rPr>
        <w:t>Acknowledgements</w:t>
      </w:r>
    </w:p>
    <w:p w:rsidR="00A918B7" w:rsidRPr="00F822A1" w:rsidRDefault="000E6ABC" w:rsidP="00A918B7">
      <w:pPr>
        <w:spacing w:line="480" w:lineRule="auto"/>
        <w:rPr>
          <w:rFonts w:ascii="Arial" w:hAnsi="Arial" w:cs="Arial"/>
          <w:sz w:val="24"/>
          <w:szCs w:val="24"/>
        </w:rPr>
      </w:pPr>
      <w:r w:rsidRPr="00F822A1">
        <w:rPr>
          <w:rFonts w:ascii="Arial" w:hAnsi="Arial" w:cs="Arial"/>
          <w:sz w:val="24"/>
          <w:szCs w:val="24"/>
        </w:rPr>
        <w:t>This work was funded by</w:t>
      </w:r>
      <w:r w:rsidR="00E46C96">
        <w:rPr>
          <w:rFonts w:ascii="Arial" w:hAnsi="Arial" w:cs="Arial"/>
          <w:sz w:val="24"/>
          <w:szCs w:val="24"/>
        </w:rPr>
        <w:t xml:space="preserve"> </w:t>
      </w:r>
      <w:r w:rsidRPr="00F822A1">
        <w:rPr>
          <w:rFonts w:ascii="Arial" w:hAnsi="Arial" w:cs="Arial"/>
          <w:sz w:val="24"/>
          <w:szCs w:val="24"/>
        </w:rPr>
        <w:t>the Alzheimer’s Society</w:t>
      </w:r>
      <w:r w:rsidR="00E46C96">
        <w:rPr>
          <w:rFonts w:ascii="Arial" w:hAnsi="Arial" w:cs="Arial"/>
          <w:sz w:val="24"/>
          <w:szCs w:val="24"/>
        </w:rPr>
        <w:t xml:space="preserve"> (</w:t>
      </w:r>
      <w:r w:rsidR="00821E80" w:rsidRPr="00F822A1">
        <w:rPr>
          <w:rFonts w:ascii="Arial" w:hAnsi="Arial" w:cs="Arial"/>
          <w:sz w:val="24"/>
          <w:szCs w:val="24"/>
        </w:rPr>
        <w:t>UK</w:t>
      </w:r>
      <w:r w:rsidR="00E46C96" w:rsidRPr="00E46C96">
        <w:rPr>
          <w:rFonts w:ascii="Arial" w:hAnsi="Arial" w:cs="Arial"/>
          <w:sz w:val="24"/>
          <w:szCs w:val="24"/>
        </w:rPr>
        <w:t xml:space="preserve"> </w:t>
      </w:r>
      <w:r w:rsidR="00E46C96" w:rsidRPr="00F822A1">
        <w:rPr>
          <w:rFonts w:ascii="Arial" w:hAnsi="Arial" w:cs="Arial"/>
          <w:sz w:val="24"/>
          <w:szCs w:val="24"/>
        </w:rPr>
        <w:t>grant</w:t>
      </w:r>
      <w:r w:rsidR="00E46C96">
        <w:rPr>
          <w:rFonts w:ascii="Arial" w:hAnsi="Arial" w:cs="Arial"/>
          <w:sz w:val="24"/>
          <w:szCs w:val="24"/>
        </w:rPr>
        <w:t xml:space="preserve"> 280)</w:t>
      </w:r>
    </w:p>
    <w:p w:rsidR="00D4183C" w:rsidRPr="00F822A1" w:rsidRDefault="0043179E" w:rsidP="00A918B7">
      <w:pPr>
        <w:spacing w:line="480" w:lineRule="auto"/>
        <w:rPr>
          <w:rFonts w:ascii="Arial" w:hAnsi="Arial" w:cs="Arial"/>
          <w:sz w:val="24"/>
          <w:szCs w:val="24"/>
          <w:u w:val="single"/>
        </w:rPr>
      </w:pPr>
      <w:r w:rsidRPr="00F822A1">
        <w:rPr>
          <w:rFonts w:ascii="Arial" w:hAnsi="Arial" w:cs="Arial"/>
          <w:sz w:val="24"/>
          <w:szCs w:val="24"/>
          <w:u w:val="single"/>
        </w:rPr>
        <w:t>References</w:t>
      </w:r>
    </w:p>
    <w:p w:rsidR="00BE6874" w:rsidRPr="00BE6874" w:rsidRDefault="002A1F31" w:rsidP="00BE6874">
      <w:pPr>
        <w:widowControl w:val="0"/>
        <w:autoSpaceDE w:val="0"/>
        <w:autoSpaceDN w:val="0"/>
        <w:adjustRightInd w:val="0"/>
        <w:spacing w:line="480" w:lineRule="auto"/>
        <w:ind w:left="640" w:hanging="640"/>
        <w:rPr>
          <w:rFonts w:ascii="Arial" w:hAnsi="Arial" w:cs="Arial"/>
          <w:noProof/>
          <w:sz w:val="24"/>
          <w:szCs w:val="24"/>
        </w:rPr>
      </w:pPr>
      <w:r w:rsidRPr="00F822A1">
        <w:rPr>
          <w:rFonts w:ascii="Arial" w:hAnsi="Arial" w:cs="Arial"/>
          <w:sz w:val="24"/>
          <w:szCs w:val="24"/>
          <w:u w:val="single"/>
        </w:rPr>
        <w:fldChar w:fldCharType="begin" w:fldLock="1"/>
      </w:r>
      <w:r w:rsidR="0043179E" w:rsidRPr="00F822A1">
        <w:rPr>
          <w:rFonts w:ascii="Arial" w:hAnsi="Arial" w:cs="Arial"/>
          <w:sz w:val="24"/>
          <w:szCs w:val="24"/>
          <w:u w:val="single"/>
        </w:rPr>
        <w:instrText xml:space="preserve">ADDIN Mendeley Bibliography CSL_BIBLIOGRAPHY </w:instrText>
      </w:r>
      <w:r w:rsidRPr="00F822A1">
        <w:rPr>
          <w:rFonts w:ascii="Arial" w:hAnsi="Arial" w:cs="Arial"/>
          <w:sz w:val="24"/>
          <w:szCs w:val="24"/>
          <w:u w:val="single"/>
        </w:rPr>
        <w:fldChar w:fldCharType="separate"/>
      </w:r>
      <w:r w:rsidR="00BE6874" w:rsidRPr="00BE6874">
        <w:rPr>
          <w:rFonts w:ascii="Arial" w:hAnsi="Arial" w:cs="Arial"/>
          <w:noProof/>
          <w:sz w:val="24"/>
          <w:szCs w:val="24"/>
        </w:rPr>
        <w:t xml:space="preserve">1. </w:t>
      </w:r>
      <w:r w:rsidR="00BE6874" w:rsidRPr="00BE6874">
        <w:rPr>
          <w:rFonts w:ascii="Arial" w:hAnsi="Arial" w:cs="Arial"/>
          <w:noProof/>
          <w:sz w:val="24"/>
          <w:szCs w:val="24"/>
        </w:rPr>
        <w:tab/>
        <w:t xml:space="preserve">Prince M,Bryce R,Albanese E,et al. The global prevalence of dementia: A systematic review and metaanalysis. Vol. 9, Alzheimer’s and Dementia. 2013. p. 63–75. </w:t>
      </w:r>
    </w:p>
    <w:p w:rsidR="00BE6874" w:rsidRPr="00BE6874" w:rsidRDefault="00BE6874" w:rsidP="00BE6874">
      <w:pPr>
        <w:widowControl w:val="0"/>
        <w:autoSpaceDE w:val="0"/>
        <w:autoSpaceDN w:val="0"/>
        <w:adjustRightInd w:val="0"/>
        <w:spacing w:line="480" w:lineRule="auto"/>
        <w:ind w:left="640" w:hanging="640"/>
        <w:rPr>
          <w:rFonts w:ascii="Arial" w:hAnsi="Arial" w:cs="Arial"/>
          <w:noProof/>
          <w:sz w:val="24"/>
          <w:szCs w:val="24"/>
        </w:rPr>
      </w:pPr>
      <w:r w:rsidRPr="00BE6874">
        <w:rPr>
          <w:rFonts w:ascii="Arial" w:hAnsi="Arial" w:cs="Arial"/>
          <w:noProof/>
          <w:sz w:val="24"/>
          <w:szCs w:val="24"/>
        </w:rPr>
        <w:t xml:space="preserve">2. </w:t>
      </w:r>
      <w:r w:rsidRPr="00BE6874">
        <w:rPr>
          <w:rFonts w:ascii="Arial" w:hAnsi="Arial" w:cs="Arial"/>
          <w:noProof/>
          <w:sz w:val="24"/>
          <w:szCs w:val="24"/>
        </w:rPr>
        <w:tab/>
        <w:t xml:space="preserve">de Leeuw F-E,de Groot JC,Oudkerk M,et al. Hypertension and cerebral white matter lesions in a prospective cohort study. Brain. 2002 Apr;125(Pt 4):765–72. </w:t>
      </w:r>
    </w:p>
    <w:p w:rsidR="00BE6874" w:rsidRPr="00BE6874" w:rsidRDefault="00BE6874" w:rsidP="00BE6874">
      <w:pPr>
        <w:widowControl w:val="0"/>
        <w:autoSpaceDE w:val="0"/>
        <w:autoSpaceDN w:val="0"/>
        <w:adjustRightInd w:val="0"/>
        <w:spacing w:line="480" w:lineRule="auto"/>
        <w:ind w:left="640" w:hanging="640"/>
        <w:rPr>
          <w:rFonts w:ascii="Arial" w:hAnsi="Arial" w:cs="Arial"/>
          <w:noProof/>
          <w:sz w:val="24"/>
          <w:szCs w:val="24"/>
        </w:rPr>
      </w:pPr>
      <w:r w:rsidRPr="00BE6874">
        <w:rPr>
          <w:rFonts w:ascii="Arial" w:hAnsi="Arial" w:cs="Arial"/>
          <w:noProof/>
          <w:sz w:val="24"/>
          <w:szCs w:val="24"/>
        </w:rPr>
        <w:t xml:space="preserve">3. </w:t>
      </w:r>
      <w:r w:rsidRPr="00BE6874">
        <w:rPr>
          <w:rFonts w:ascii="Arial" w:hAnsi="Arial" w:cs="Arial"/>
          <w:noProof/>
          <w:sz w:val="24"/>
          <w:szCs w:val="24"/>
        </w:rPr>
        <w:tab/>
        <w:t xml:space="preserve">Norton S,Matthews FE,Barnes DE,Yaffe K,Brayne C. Potential for primary prevention of Alzheimer’s disease: an analysis of population-based data. Lancet Neurol. 2014 Aug;13(8):788–94. </w:t>
      </w:r>
    </w:p>
    <w:p w:rsidR="00BE6874" w:rsidRPr="00BE6874" w:rsidRDefault="00BE6874" w:rsidP="00BE6874">
      <w:pPr>
        <w:widowControl w:val="0"/>
        <w:autoSpaceDE w:val="0"/>
        <w:autoSpaceDN w:val="0"/>
        <w:adjustRightInd w:val="0"/>
        <w:spacing w:line="480" w:lineRule="auto"/>
        <w:ind w:left="640" w:hanging="640"/>
        <w:rPr>
          <w:rFonts w:ascii="Arial" w:hAnsi="Arial" w:cs="Arial"/>
          <w:noProof/>
          <w:sz w:val="24"/>
          <w:szCs w:val="24"/>
        </w:rPr>
      </w:pPr>
      <w:r w:rsidRPr="00BE6874">
        <w:rPr>
          <w:rFonts w:ascii="Arial" w:hAnsi="Arial" w:cs="Arial"/>
          <w:noProof/>
          <w:sz w:val="24"/>
          <w:szCs w:val="24"/>
        </w:rPr>
        <w:t xml:space="preserve">4. </w:t>
      </w:r>
      <w:r w:rsidRPr="00BE6874">
        <w:rPr>
          <w:rFonts w:ascii="Arial" w:hAnsi="Arial" w:cs="Arial"/>
          <w:noProof/>
          <w:sz w:val="24"/>
          <w:szCs w:val="24"/>
        </w:rPr>
        <w:tab/>
        <w:t xml:space="preserve">Livingston G,Sommerlad A,Orgeta V,et al. Dementia prevention, intervention, and care. Lancet. 2017; </w:t>
      </w:r>
    </w:p>
    <w:p w:rsidR="00BE6874" w:rsidRPr="00BE6874" w:rsidRDefault="00BE6874" w:rsidP="00BE6874">
      <w:pPr>
        <w:widowControl w:val="0"/>
        <w:autoSpaceDE w:val="0"/>
        <w:autoSpaceDN w:val="0"/>
        <w:adjustRightInd w:val="0"/>
        <w:spacing w:line="480" w:lineRule="auto"/>
        <w:ind w:left="640" w:hanging="640"/>
        <w:rPr>
          <w:rFonts w:ascii="Arial" w:hAnsi="Arial" w:cs="Arial"/>
          <w:noProof/>
          <w:sz w:val="24"/>
          <w:szCs w:val="24"/>
        </w:rPr>
      </w:pPr>
      <w:r w:rsidRPr="00BE6874">
        <w:rPr>
          <w:rFonts w:ascii="Arial" w:hAnsi="Arial" w:cs="Arial"/>
          <w:noProof/>
          <w:sz w:val="24"/>
          <w:szCs w:val="24"/>
        </w:rPr>
        <w:t xml:space="preserve">5. </w:t>
      </w:r>
      <w:r w:rsidRPr="00BE6874">
        <w:rPr>
          <w:rFonts w:ascii="Arial" w:hAnsi="Arial" w:cs="Arial"/>
          <w:noProof/>
          <w:sz w:val="24"/>
          <w:szCs w:val="24"/>
        </w:rPr>
        <w:tab/>
        <w:t xml:space="preserve">Power MC,Weuve J,Gagne JJ,et al. The association between blood pressure and incident Alzheimer disease: a systematic review and meta-analysis. Epidemiology. 2011;22(5):646–59. </w:t>
      </w:r>
    </w:p>
    <w:p w:rsidR="00BE6874" w:rsidRPr="00BE6874" w:rsidRDefault="00BE6874" w:rsidP="00BE6874">
      <w:pPr>
        <w:widowControl w:val="0"/>
        <w:autoSpaceDE w:val="0"/>
        <w:autoSpaceDN w:val="0"/>
        <w:adjustRightInd w:val="0"/>
        <w:spacing w:line="480" w:lineRule="auto"/>
        <w:ind w:left="640" w:hanging="640"/>
        <w:rPr>
          <w:rFonts w:ascii="Arial" w:hAnsi="Arial" w:cs="Arial"/>
          <w:noProof/>
          <w:sz w:val="24"/>
          <w:szCs w:val="24"/>
        </w:rPr>
      </w:pPr>
      <w:r w:rsidRPr="00BE6874">
        <w:rPr>
          <w:rFonts w:ascii="Arial" w:hAnsi="Arial" w:cs="Arial"/>
          <w:noProof/>
          <w:sz w:val="24"/>
          <w:szCs w:val="24"/>
        </w:rPr>
        <w:lastRenderedPageBreak/>
        <w:t xml:space="preserve">6. </w:t>
      </w:r>
      <w:r w:rsidRPr="00BE6874">
        <w:rPr>
          <w:rFonts w:ascii="Arial" w:hAnsi="Arial" w:cs="Arial"/>
          <w:noProof/>
          <w:sz w:val="24"/>
          <w:szCs w:val="24"/>
        </w:rPr>
        <w:tab/>
        <w:t xml:space="preserve">Prince M,Albanese E,Maelenn G,Prina AM. World Alzheimer Report 2014. 2014 </w:t>
      </w:r>
    </w:p>
    <w:p w:rsidR="00BE6874" w:rsidRPr="00BE6874" w:rsidRDefault="00BE6874" w:rsidP="00BE6874">
      <w:pPr>
        <w:widowControl w:val="0"/>
        <w:autoSpaceDE w:val="0"/>
        <w:autoSpaceDN w:val="0"/>
        <w:adjustRightInd w:val="0"/>
        <w:spacing w:line="480" w:lineRule="auto"/>
        <w:ind w:left="640" w:hanging="640"/>
        <w:rPr>
          <w:rFonts w:ascii="Arial" w:hAnsi="Arial" w:cs="Arial"/>
          <w:noProof/>
          <w:sz w:val="24"/>
          <w:szCs w:val="24"/>
        </w:rPr>
      </w:pPr>
      <w:r w:rsidRPr="00BE6874">
        <w:rPr>
          <w:rFonts w:ascii="Arial" w:hAnsi="Arial" w:cs="Arial"/>
          <w:noProof/>
          <w:sz w:val="24"/>
          <w:szCs w:val="24"/>
        </w:rPr>
        <w:t xml:space="preserve">7. </w:t>
      </w:r>
      <w:r w:rsidRPr="00BE6874">
        <w:rPr>
          <w:rFonts w:ascii="Arial" w:hAnsi="Arial" w:cs="Arial"/>
          <w:noProof/>
          <w:sz w:val="24"/>
          <w:szCs w:val="24"/>
        </w:rPr>
        <w:tab/>
        <w:t xml:space="preserve">Lewis JD,Bilker WB,Weinstein RB,Strom BL. The relationship between time since registration and measured incidence rates in the General Practice Research Database. Pharmacoepidemiol Drug Saf. 2005;14(7):443–51. </w:t>
      </w:r>
    </w:p>
    <w:p w:rsidR="00BE6874" w:rsidRPr="00BE6874" w:rsidRDefault="00BE6874" w:rsidP="00BE6874">
      <w:pPr>
        <w:widowControl w:val="0"/>
        <w:autoSpaceDE w:val="0"/>
        <w:autoSpaceDN w:val="0"/>
        <w:adjustRightInd w:val="0"/>
        <w:spacing w:line="480" w:lineRule="auto"/>
        <w:ind w:left="640" w:hanging="640"/>
        <w:rPr>
          <w:rFonts w:ascii="Arial" w:hAnsi="Arial" w:cs="Arial"/>
          <w:noProof/>
          <w:sz w:val="24"/>
          <w:szCs w:val="24"/>
        </w:rPr>
      </w:pPr>
      <w:r w:rsidRPr="00BE6874">
        <w:rPr>
          <w:rFonts w:ascii="Arial" w:hAnsi="Arial" w:cs="Arial"/>
          <w:noProof/>
          <w:sz w:val="24"/>
          <w:szCs w:val="24"/>
        </w:rPr>
        <w:t xml:space="preserve">8. </w:t>
      </w:r>
      <w:r w:rsidRPr="00BE6874">
        <w:rPr>
          <w:rFonts w:ascii="Arial" w:hAnsi="Arial" w:cs="Arial"/>
          <w:noProof/>
          <w:sz w:val="24"/>
          <w:szCs w:val="24"/>
        </w:rPr>
        <w:tab/>
        <w:t xml:space="preserve">Seshadri S,Zornberg GL,Derby LE,et al. Postmenopausal estrogen replacement therapy and the risk of Alzheimer disease. Arch Neurol. 2001;58(3):435–40. </w:t>
      </w:r>
    </w:p>
    <w:p w:rsidR="00BE6874" w:rsidRPr="00BE6874" w:rsidRDefault="00BE6874" w:rsidP="00BE6874">
      <w:pPr>
        <w:widowControl w:val="0"/>
        <w:autoSpaceDE w:val="0"/>
        <w:autoSpaceDN w:val="0"/>
        <w:adjustRightInd w:val="0"/>
        <w:spacing w:line="480" w:lineRule="auto"/>
        <w:ind w:left="640" w:hanging="640"/>
        <w:rPr>
          <w:rFonts w:ascii="Arial" w:hAnsi="Arial" w:cs="Arial"/>
          <w:noProof/>
          <w:sz w:val="24"/>
          <w:szCs w:val="24"/>
        </w:rPr>
      </w:pPr>
      <w:r w:rsidRPr="00BE6874">
        <w:rPr>
          <w:rFonts w:ascii="Arial" w:hAnsi="Arial" w:cs="Arial"/>
          <w:noProof/>
          <w:sz w:val="24"/>
          <w:szCs w:val="24"/>
        </w:rPr>
        <w:t xml:space="preserve">9. </w:t>
      </w:r>
      <w:r w:rsidRPr="00BE6874">
        <w:rPr>
          <w:rFonts w:ascii="Arial" w:hAnsi="Arial" w:cs="Arial"/>
          <w:noProof/>
          <w:sz w:val="24"/>
          <w:szCs w:val="24"/>
        </w:rPr>
        <w:tab/>
        <w:t xml:space="preserve">Emdin CA,Rothwell PM,Salimi-Khorshidi G,et al. Blood Pressure and Risk of Vascular Dementia: Evidence From a Primary Care Registry and a Cohort Study of Transient Ischemic Attack and Stroke. Stroke. 2016 Jun;47(6):1429–35. </w:t>
      </w:r>
    </w:p>
    <w:p w:rsidR="00BE6874" w:rsidRPr="00BE6874" w:rsidRDefault="00BE6874" w:rsidP="00BE6874">
      <w:pPr>
        <w:widowControl w:val="0"/>
        <w:autoSpaceDE w:val="0"/>
        <w:autoSpaceDN w:val="0"/>
        <w:adjustRightInd w:val="0"/>
        <w:spacing w:line="480" w:lineRule="auto"/>
        <w:ind w:left="640" w:hanging="640"/>
        <w:rPr>
          <w:rFonts w:ascii="Arial" w:hAnsi="Arial" w:cs="Arial"/>
          <w:noProof/>
          <w:sz w:val="24"/>
          <w:szCs w:val="24"/>
        </w:rPr>
      </w:pPr>
      <w:r w:rsidRPr="00BE6874">
        <w:rPr>
          <w:rFonts w:ascii="Arial" w:hAnsi="Arial" w:cs="Arial"/>
          <w:noProof/>
          <w:sz w:val="24"/>
          <w:szCs w:val="24"/>
        </w:rPr>
        <w:t xml:space="preserve">10. </w:t>
      </w:r>
      <w:r w:rsidRPr="00BE6874">
        <w:rPr>
          <w:rFonts w:ascii="Arial" w:hAnsi="Arial" w:cs="Arial"/>
          <w:noProof/>
          <w:sz w:val="24"/>
          <w:szCs w:val="24"/>
        </w:rPr>
        <w:tab/>
        <w:t xml:space="preserve">Prospective Studies Collaboration,Lewington S,Whitlock G,et al. Blood cholesterol and vascular mortality by age, sex, and blood pressure: a meta-analysis of individual data from 61 prospective studies with 55,000 vascular deaths. Lancet. 2007 Dec;370(9602):1829–39. </w:t>
      </w:r>
    </w:p>
    <w:p w:rsidR="00BE6874" w:rsidRPr="00BE6874" w:rsidRDefault="00BE6874" w:rsidP="00BE6874">
      <w:pPr>
        <w:widowControl w:val="0"/>
        <w:autoSpaceDE w:val="0"/>
        <w:autoSpaceDN w:val="0"/>
        <w:adjustRightInd w:val="0"/>
        <w:spacing w:line="480" w:lineRule="auto"/>
        <w:ind w:left="640" w:hanging="640"/>
        <w:rPr>
          <w:rFonts w:ascii="Arial" w:hAnsi="Arial" w:cs="Arial"/>
          <w:noProof/>
          <w:sz w:val="24"/>
          <w:szCs w:val="24"/>
        </w:rPr>
      </w:pPr>
      <w:r w:rsidRPr="00BE6874">
        <w:rPr>
          <w:rFonts w:ascii="Arial" w:hAnsi="Arial" w:cs="Arial"/>
          <w:noProof/>
          <w:sz w:val="24"/>
          <w:szCs w:val="24"/>
        </w:rPr>
        <w:t xml:space="preserve">11. </w:t>
      </w:r>
      <w:r w:rsidRPr="00BE6874">
        <w:rPr>
          <w:rFonts w:ascii="Arial" w:hAnsi="Arial" w:cs="Arial"/>
          <w:noProof/>
          <w:sz w:val="24"/>
          <w:szCs w:val="24"/>
        </w:rPr>
        <w:tab/>
        <w:t xml:space="preserve">Stensrud MJ,Valberg M,Røysland K,Aalen OO. Exploring Selection Bias by Causal Frailty Models. Epidemiology. 2017 May [cited 2017 Nov 1];28(3):379–86. </w:t>
      </w:r>
    </w:p>
    <w:p w:rsidR="00BE6874" w:rsidRPr="00BE6874" w:rsidRDefault="00BE6874" w:rsidP="00BE6874">
      <w:pPr>
        <w:widowControl w:val="0"/>
        <w:autoSpaceDE w:val="0"/>
        <w:autoSpaceDN w:val="0"/>
        <w:adjustRightInd w:val="0"/>
        <w:spacing w:line="480" w:lineRule="auto"/>
        <w:ind w:left="640" w:hanging="640"/>
        <w:rPr>
          <w:rFonts w:ascii="Arial" w:hAnsi="Arial" w:cs="Arial"/>
          <w:noProof/>
          <w:sz w:val="24"/>
          <w:szCs w:val="24"/>
        </w:rPr>
      </w:pPr>
      <w:r w:rsidRPr="00BE6874">
        <w:rPr>
          <w:rFonts w:ascii="Arial" w:hAnsi="Arial" w:cs="Arial"/>
          <w:noProof/>
          <w:sz w:val="24"/>
          <w:szCs w:val="24"/>
        </w:rPr>
        <w:t xml:space="preserve">12. </w:t>
      </w:r>
      <w:r w:rsidRPr="00BE6874">
        <w:rPr>
          <w:rFonts w:ascii="Arial" w:hAnsi="Arial" w:cs="Arial"/>
          <w:noProof/>
          <w:sz w:val="24"/>
          <w:szCs w:val="24"/>
        </w:rPr>
        <w:tab/>
        <w:t xml:space="preserve">Qiu C,Von Strauss E,Winblad B,Fratiglioni L. Decline in blood pressure over time and risk of dementia: A longitudinal study from the Kungsholmen project. Stroke. 2004;35(8):1810–5. </w:t>
      </w:r>
    </w:p>
    <w:p w:rsidR="00BE6874" w:rsidRPr="00BE6874" w:rsidRDefault="00BE6874" w:rsidP="00BE6874">
      <w:pPr>
        <w:widowControl w:val="0"/>
        <w:autoSpaceDE w:val="0"/>
        <w:autoSpaceDN w:val="0"/>
        <w:adjustRightInd w:val="0"/>
        <w:spacing w:line="480" w:lineRule="auto"/>
        <w:ind w:left="640" w:hanging="640"/>
        <w:rPr>
          <w:rFonts w:ascii="Arial" w:hAnsi="Arial" w:cs="Arial"/>
          <w:noProof/>
          <w:sz w:val="24"/>
          <w:szCs w:val="24"/>
        </w:rPr>
      </w:pPr>
      <w:r w:rsidRPr="00BE6874">
        <w:rPr>
          <w:rFonts w:ascii="Arial" w:hAnsi="Arial" w:cs="Arial"/>
          <w:noProof/>
          <w:sz w:val="24"/>
          <w:szCs w:val="24"/>
        </w:rPr>
        <w:t xml:space="preserve">13. </w:t>
      </w:r>
      <w:r w:rsidRPr="00BE6874">
        <w:rPr>
          <w:rFonts w:ascii="Arial" w:hAnsi="Arial" w:cs="Arial"/>
          <w:noProof/>
          <w:sz w:val="24"/>
          <w:szCs w:val="24"/>
        </w:rPr>
        <w:tab/>
        <w:t xml:space="preserve">Abell JG,Kivima M,Dugravot A,et al. Association between systolic blood </w:t>
      </w:r>
      <w:r w:rsidRPr="00BE6874">
        <w:rPr>
          <w:rFonts w:ascii="Arial" w:hAnsi="Arial" w:cs="Arial"/>
          <w:noProof/>
          <w:sz w:val="24"/>
          <w:szCs w:val="24"/>
        </w:rPr>
        <w:lastRenderedPageBreak/>
        <w:t xml:space="preserve">pressure and dementia in the Whitehall II cohort study : role of age, duration, and threshold used to define hypertension. Eur Heart J. 2018;39(33):3119–3125. </w:t>
      </w:r>
    </w:p>
    <w:p w:rsidR="00BE6874" w:rsidRPr="00BE6874" w:rsidRDefault="00BE6874" w:rsidP="00BE6874">
      <w:pPr>
        <w:widowControl w:val="0"/>
        <w:autoSpaceDE w:val="0"/>
        <w:autoSpaceDN w:val="0"/>
        <w:adjustRightInd w:val="0"/>
        <w:spacing w:line="480" w:lineRule="auto"/>
        <w:ind w:left="640" w:hanging="640"/>
        <w:rPr>
          <w:rFonts w:ascii="Arial" w:hAnsi="Arial" w:cs="Arial"/>
          <w:noProof/>
          <w:sz w:val="24"/>
          <w:szCs w:val="24"/>
        </w:rPr>
      </w:pPr>
      <w:r w:rsidRPr="00BE6874">
        <w:rPr>
          <w:rFonts w:ascii="Arial" w:hAnsi="Arial" w:cs="Arial"/>
          <w:noProof/>
          <w:sz w:val="24"/>
          <w:szCs w:val="24"/>
        </w:rPr>
        <w:t xml:space="preserve">14. </w:t>
      </w:r>
      <w:r w:rsidRPr="00BE6874">
        <w:rPr>
          <w:rFonts w:ascii="Arial" w:hAnsi="Arial" w:cs="Arial"/>
          <w:noProof/>
          <w:sz w:val="24"/>
          <w:szCs w:val="24"/>
        </w:rPr>
        <w:tab/>
        <w:t xml:space="preserve">Østergaard SD,Mukherjee S,Sharp SJ,et al. Associations between Potentially Modifiable Risk Factors and Alzheimer Disease: A Mendelian Randomization Study. PLoS Med. 2015 Jun;12(6):e1001841; discussion e1001841. </w:t>
      </w:r>
    </w:p>
    <w:p w:rsidR="00BE6874" w:rsidRPr="00BE6874" w:rsidRDefault="00BE6874" w:rsidP="00BE6874">
      <w:pPr>
        <w:widowControl w:val="0"/>
        <w:autoSpaceDE w:val="0"/>
        <w:autoSpaceDN w:val="0"/>
        <w:adjustRightInd w:val="0"/>
        <w:spacing w:line="480" w:lineRule="auto"/>
        <w:ind w:left="640" w:hanging="640"/>
        <w:rPr>
          <w:rFonts w:ascii="Arial" w:hAnsi="Arial" w:cs="Arial"/>
          <w:noProof/>
          <w:sz w:val="24"/>
          <w:szCs w:val="24"/>
        </w:rPr>
      </w:pPr>
      <w:r w:rsidRPr="00BE6874">
        <w:rPr>
          <w:rFonts w:ascii="Arial" w:hAnsi="Arial" w:cs="Arial"/>
          <w:noProof/>
          <w:sz w:val="24"/>
          <w:szCs w:val="24"/>
        </w:rPr>
        <w:t xml:space="preserve">15. </w:t>
      </w:r>
      <w:r w:rsidRPr="00BE6874">
        <w:rPr>
          <w:rFonts w:ascii="Arial" w:hAnsi="Arial" w:cs="Arial"/>
          <w:noProof/>
          <w:sz w:val="24"/>
          <w:szCs w:val="24"/>
        </w:rPr>
        <w:tab/>
        <w:t xml:space="preserve">Ruitenberg A,Den Heijer T,Bakker SLM,et al. Cerebral hypoperfusion and clinical onset of dementia: The Rotterdam Study. Ann Neurol. 2005;57(6):789–94. </w:t>
      </w:r>
    </w:p>
    <w:p w:rsidR="00BE6874" w:rsidRPr="00BE6874" w:rsidRDefault="00BE6874" w:rsidP="00BE6874">
      <w:pPr>
        <w:widowControl w:val="0"/>
        <w:autoSpaceDE w:val="0"/>
        <w:autoSpaceDN w:val="0"/>
        <w:adjustRightInd w:val="0"/>
        <w:spacing w:line="480" w:lineRule="auto"/>
        <w:ind w:left="640" w:hanging="640"/>
        <w:rPr>
          <w:rFonts w:ascii="Arial" w:hAnsi="Arial" w:cs="Arial"/>
          <w:noProof/>
          <w:sz w:val="24"/>
          <w:szCs w:val="24"/>
        </w:rPr>
      </w:pPr>
      <w:r w:rsidRPr="00BE6874">
        <w:rPr>
          <w:rFonts w:ascii="Arial" w:hAnsi="Arial" w:cs="Arial"/>
          <w:noProof/>
          <w:sz w:val="24"/>
          <w:szCs w:val="24"/>
        </w:rPr>
        <w:t xml:space="preserve">16. </w:t>
      </w:r>
      <w:r w:rsidRPr="00BE6874">
        <w:rPr>
          <w:rFonts w:ascii="Arial" w:hAnsi="Arial" w:cs="Arial"/>
          <w:noProof/>
          <w:sz w:val="24"/>
          <w:szCs w:val="24"/>
        </w:rPr>
        <w:tab/>
        <w:t xml:space="preserve">Forette F,Seux ML,Staessen JA,et al. Prevention of dementia in randomised double-blind placebo-controlled Systolic Hypertension in Europe (Syst-Eur) trial. Lancet. 1998;352(9137):1347–51. </w:t>
      </w:r>
    </w:p>
    <w:p w:rsidR="00BE6874" w:rsidRPr="00BE6874" w:rsidRDefault="00BE6874" w:rsidP="00BE6874">
      <w:pPr>
        <w:widowControl w:val="0"/>
        <w:autoSpaceDE w:val="0"/>
        <w:autoSpaceDN w:val="0"/>
        <w:adjustRightInd w:val="0"/>
        <w:spacing w:line="480" w:lineRule="auto"/>
        <w:ind w:left="640" w:hanging="640"/>
        <w:rPr>
          <w:rFonts w:ascii="Arial" w:hAnsi="Arial" w:cs="Arial"/>
          <w:noProof/>
          <w:sz w:val="24"/>
          <w:szCs w:val="24"/>
        </w:rPr>
      </w:pPr>
      <w:r w:rsidRPr="00BE6874">
        <w:rPr>
          <w:rFonts w:ascii="Arial" w:hAnsi="Arial" w:cs="Arial"/>
          <w:noProof/>
          <w:sz w:val="24"/>
          <w:szCs w:val="24"/>
        </w:rPr>
        <w:t xml:space="preserve">17. </w:t>
      </w:r>
      <w:r w:rsidRPr="00BE6874">
        <w:rPr>
          <w:rFonts w:ascii="Arial" w:hAnsi="Arial" w:cs="Arial"/>
          <w:noProof/>
          <w:sz w:val="24"/>
          <w:szCs w:val="24"/>
        </w:rPr>
        <w:tab/>
        <w:t xml:space="preserve">Peters R,Beckett N,Forette F,et al. Incident dementia and blood pressure lowering in the Hypertension in the Very Elderly Trial cognitive function assessment (HYVET-COG): a double-blind, placebo controlled trial. Lancet Neurol. 2008;7(8):683–9. </w:t>
      </w:r>
    </w:p>
    <w:p w:rsidR="00BE6874" w:rsidRPr="00BE6874" w:rsidRDefault="00BE6874" w:rsidP="00BE6874">
      <w:pPr>
        <w:widowControl w:val="0"/>
        <w:autoSpaceDE w:val="0"/>
        <w:autoSpaceDN w:val="0"/>
        <w:adjustRightInd w:val="0"/>
        <w:spacing w:line="480" w:lineRule="auto"/>
        <w:ind w:left="640" w:hanging="640"/>
        <w:rPr>
          <w:rFonts w:ascii="Arial" w:hAnsi="Arial" w:cs="Arial"/>
          <w:noProof/>
          <w:sz w:val="24"/>
          <w:szCs w:val="24"/>
        </w:rPr>
      </w:pPr>
      <w:r w:rsidRPr="00BE6874">
        <w:rPr>
          <w:rFonts w:ascii="Arial" w:hAnsi="Arial" w:cs="Arial"/>
          <w:noProof/>
          <w:sz w:val="24"/>
          <w:szCs w:val="24"/>
        </w:rPr>
        <w:t xml:space="preserve">18. </w:t>
      </w:r>
      <w:r w:rsidRPr="00BE6874">
        <w:rPr>
          <w:rFonts w:ascii="Arial" w:hAnsi="Arial" w:cs="Arial"/>
          <w:noProof/>
          <w:sz w:val="24"/>
          <w:szCs w:val="24"/>
        </w:rPr>
        <w:tab/>
        <w:t xml:space="preserve">McGuinness B,Todd S,Passmore P,Bullock R. Blood pressure lowering in patients without prior cerebrovascular disease for prevention of cognitive impairment and dementia. Cochrane Database of Systematic Reviews. 2009. </w:t>
      </w:r>
    </w:p>
    <w:p w:rsidR="00BE6874" w:rsidRPr="00BE6874" w:rsidRDefault="00BE6874" w:rsidP="00BE6874">
      <w:pPr>
        <w:widowControl w:val="0"/>
        <w:autoSpaceDE w:val="0"/>
        <w:autoSpaceDN w:val="0"/>
        <w:adjustRightInd w:val="0"/>
        <w:spacing w:line="480" w:lineRule="auto"/>
        <w:ind w:left="640" w:hanging="640"/>
        <w:rPr>
          <w:rFonts w:ascii="Arial" w:hAnsi="Arial" w:cs="Arial"/>
          <w:noProof/>
          <w:sz w:val="24"/>
          <w:szCs w:val="24"/>
        </w:rPr>
      </w:pPr>
      <w:r w:rsidRPr="00BE6874">
        <w:rPr>
          <w:rFonts w:ascii="Arial" w:hAnsi="Arial" w:cs="Arial"/>
          <w:noProof/>
          <w:sz w:val="24"/>
          <w:szCs w:val="24"/>
        </w:rPr>
        <w:t xml:space="preserve">19. </w:t>
      </w:r>
      <w:r w:rsidRPr="00BE6874">
        <w:rPr>
          <w:rFonts w:ascii="Arial" w:hAnsi="Arial" w:cs="Arial"/>
          <w:noProof/>
          <w:sz w:val="24"/>
          <w:szCs w:val="24"/>
        </w:rPr>
        <w:tab/>
        <w:t xml:space="preserve">Prince M,Lovestone S,Cervilla J,et al. The association between APOE and dementia does not seem to be mediated by vascular factors. Neurology. 2000;54(2):397–402. </w:t>
      </w:r>
    </w:p>
    <w:p w:rsidR="00BE6874" w:rsidRPr="00BE6874" w:rsidRDefault="00BE6874" w:rsidP="00BE6874">
      <w:pPr>
        <w:widowControl w:val="0"/>
        <w:autoSpaceDE w:val="0"/>
        <w:autoSpaceDN w:val="0"/>
        <w:adjustRightInd w:val="0"/>
        <w:spacing w:line="480" w:lineRule="auto"/>
        <w:ind w:left="640" w:hanging="640"/>
        <w:rPr>
          <w:rFonts w:ascii="Arial" w:hAnsi="Arial" w:cs="Arial"/>
          <w:noProof/>
          <w:sz w:val="24"/>
        </w:rPr>
      </w:pPr>
      <w:r w:rsidRPr="00BE6874">
        <w:rPr>
          <w:rFonts w:ascii="Arial" w:hAnsi="Arial" w:cs="Arial"/>
          <w:noProof/>
          <w:sz w:val="24"/>
          <w:szCs w:val="24"/>
        </w:rPr>
        <w:t xml:space="preserve">20. </w:t>
      </w:r>
      <w:r w:rsidRPr="00BE6874">
        <w:rPr>
          <w:rFonts w:ascii="Arial" w:hAnsi="Arial" w:cs="Arial"/>
          <w:noProof/>
          <w:sz w:val="24"/>
          <w:szCs w:val="24"/>
        </w:rPr>
        <w:tab/>
        <w:t xml:space="preserve">Beach TG,Monsell SE,Phillips LE,Kukull W. Accuracy of the clinical diagnosis </w:t>
      </w:r>
      <w:r w:rsidRPr="00BE6874">
        <w:rPr>
          <w:rFonts w:ascii="Arial" w:hAnsi="Arial" w:cs="Arial"/>
          <w:noProof/>
          <w:sz w:val="24"/>
          <w:szCs w:val="24"/>
        </w:rPr>
        <w:lastRenderedPageBreak/>
        <w:t xml:space="preserve">of Alzheimer disease at National Institute on Aging Alzheimer Disease Centers, 2005-2010. J Neuropathol Exp Neurol. 2012;71(4):266–73. </w:t>
      </w:r>
    </w:p>
    <w:p w:rsidR="0043179E" w:rsidRPr="00F822A1" w:rsidRDefault="002A1F31" w:rsidP="00A918B7">
      <w:pPr>
        <w:widowControl w:val="0"/>
        <w:autoSpaceDE w:val="0"/>
        <w:autoSpaceDN w:val="0"/>
        <w:adjustRightInd w:val="0"/>
        <w:spacing w:line="480" w:lineRule="auto"/>
        <w:ind w:left="640" w:hanging="640"/>
        <w:rPr>
          <w:rFonts w:ascii="Arial" w:hAnsi="Arial" w:cs="Arial"/>
          <w:sz w:val="24"/>
          <w:szCs w:val="24"/>
          <w:u w:val="single"/>
        </w:rPr>
        <w:sectPr w:rsidR="0043179E" w:rsidRPr="00F822A1" w:rsidSect="006371EE">
          <w:pgSz w:w="11906" w:h="16838"/>
          <w:pgMar w:top="1440" w:right="1440" w:bottom="1440" w:left="1440" w:header="708" w:footer="708" w:gutter="0"/>
          <w:cols w:space="708"/>
          <w:docGrid w:linePitch="360"/>
        </w:sectPr>
      </w:pPr>
      <w:r w:rsidRPr="00F822A1">
        <w:rPr>
          <w:rFonts w:ascii="Arial" w:hAnsi="Arial" w:cs="Arial"/>
          <w:sz w:val="24"/>
          <w:szCs w:val="24"/>
          <w:u w:val="single"/>
        </w:rPr>
        <w:fldChar w:fldCharType="end"/>
      </w:r>
    </w:p>
    <w:p w:rsidR="00C328DA" w:rsidRPr="00F822A1" w:rsidRDefault="00C328DA" w:rsidP="00C328DA">
      <w:pPr>
        <w:rPr>
          <w:rFonts w:ascii="Arial" w:hAnsi="Arial" w:cs="Arial"/>
          <w:sz w:val="24"/>
          <w:szCs w:val="24"/>
        </w:rPr>
      </w:pPr>
      <w:r w:rsidRPr="00F822A1">
        <w:rPr>
          <w:rFonts w:ascii="Arial" w:hAnsi="Arial" w:cs="Arial"/>
          <w:b/>
          <w:sz w:val="24"/>
          <w:szCs w:val="24"/>
        </w:rPr>
        <w:lastRenderedPageBreak/>
        <w:t>Table 1</w:t>
      </w:r>
      <w:r w:rsidRPr="00F822A1">
        <w:rPr>
          <w:rFonts w:ascii="Arial" w:hAnsi="Arial" w:cs="Arial"/>
          <w:sz w:val="24"/>
          <w:szCs w:val="24"/>
        </w:rPr>
        <w:t xml:space="preserve">: Baseline characteristics </w:t>
      </w:r>
      <w:r w:rsidR="00CD7466" w:rsidRPr="00F822A1">
        <w:rPr>
          <w:rFonts w:ascii="Arial" w:hAnsi="Arial" w:cs="Arial"/>
          <w:sz w:val="24"/>
          <w:szCs w:val="24"/>
        </w:rPr>
        <w:t xml:space="preserve">of study participants </w:t>
      </w:r>
      <w:r w:rsidRPr="00F822A1">
        <w:rPr>
          <w:rFonts w:ascii="Arial" w:hAnsi="Arial" w:cs="Arial"/>
          <w:sz w:val="24"/>
          <w:szCs w:val="24"/>
        </w:rPr>
        <w:t>by baseline systolic blood pressure</w:t>
      </w:r>
    </w:p>
    <w:tbl>
      <w:tblPr>
        <w:tblpPr w:leftFromText="180" w:rightFromText="180" w:vertAnchor="text" w:horzAnchor="margin" w:tblpY="38"/>
        <w:tblW w:w="9889" w:type="dxa"/>
        <w:tblLook w:val="04A0" w:firstRow="1" w:lastRow="0" w:firstColumn="1" w:lastColumn="0" w:noHBand="0" w:noVBand="1"/>
      </w:tblPr>
      <w:tblGrid>
        <w:gridCol w:w="3080"/>
        <w:gridCol w:w="2185"/>
        <w:gridCol w:w="2268"/>
        <w:gridCol w:w="2356"/>
      </w:tblGrid>
      <w:tr w:rsidR="00C328DA" w:rsidRPr="00F822A1" w:rsidTr="00A502A4">
        <w:trPr>
          <w:trHeight w:val="264"/>
        </w:trPr>
        <w:tc>
          <w:tcPr>
            <w:tcW w:w="3080" w:type="dxa"/>
            <w:tcBorders>
              <w:top w:val="single" w:sz="4" w:space="0" w:color="auto"/>
              <w:left w:val="nil"/>
              <w:bottom w:val="single" w:sz="4" w:space="0" w:color="auto"/>
              <w:right w:val="nil"/>
            </w:tcBorders>
            <w:shd w:val="clear" w:color="auto" w:fill="auto"/>
            <w:noWrap/>
            <w:vAlign w:val="bottom"/>
            <w:hideMark/>
          </w:tcPr>
          <w:p w:rsidR="00C328DA" w:rsidRPr="00F822A1" w:rsidRDefault="00C328DA" w:rsidP="00A502A4">
            <w:pPr>
              <w:spacing w:after="0" w:line="240" w:lineRule="auto"/>
              <w:rPr>
                <w:rFonts w:ascii="Arial" w:eastAsia="Times New Roman" w:hAnsi="Arial" w:cs="Arial"/>
                <w:sz w:val="24"/>
                <w:szCs w:val="24"/>
                <w:lang w:eastAsia="en-GB"/>
              </w:rPr>
            </w:pPr>
            <w:r w:rsidRPr="00F822A1">
              <w:rPr>
                <w:rFonts w:ascii="Arial" w:eastAsia="Times New Roman" w:hAnsi="Arial" w:cs="Arial"/>
                <w:sz w:val="24"/>
                <w:szCs w:val="24"/>
                <w:lang w:eastAsia="en-GB"/>
              </w:rPr>
              <w:t>Patient characteristic</w:t>
            </w:r>
          </w:p>
        </w:tc>
        <w:tc>
          <w:tcPr>
            <w:tcW w:w="6809" w:type="dxa"/>
            <w:gridSpan w:val="3"/>
            <w:tcBorders>
              <w:top w:val="single" w:sz="4" w:space="0" w:color="auto"/>
              <w:left w:val="nil"/>
              <w:bottom w:val="single" w:sz="4" w:space="0" w:color="auto"/>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Baseline systolic blood pressure</w:t>
            </w:r>
          </w:p>
        </w:tc>
      </w:tr>
      <w:tr w:rsidR="00C328DA" w:rsidRPr="00F822A1" w:rsidTr="00A502A4">
        <w:trPr>
          <w:trHeight w:val="264"/>
        </w:trPr>
        <w:tc>
          <w:tcPr>
            <w:tcW w:w="3080" w:type="dxa"/>
            <w:tcBorders>
              <w:top w:val="single" w:sz="4" w:space="0" w:color="auto"/>
              <w:left w:val="nil"/>
              <w:bottom w:val="single" w:sz="4" w:space="0" w:color="auto"/>
              <w:right w:val="nil"/>
            </w:tcBorders>
            <w:shd w:val="clear" w:color="auto" w:fill="auto"/>
            <w:noWrap/>
            <w:vAlign w:val="bottom"/>
            <w:hideMark/>
          </w:tcPr>
          <w:p w:rsidR="00C328DA" w:rsidRPr="00F822A1" w:rsidRDefault="00C328DA" w:rsidP="00A502A4">
            <w:pPr>
              <w:spacing w:after="0" w:line="240" w:lineRule="auto"/>
              <w:rPr>
                <w:rFonts w:ascii="Arial" w:eastAsia="Times New Roman" w:hAnsi="Arial" w:cs="Arial"/>
                <w:sz w:val="24"/>
                <w:szCs w:val="24"/>
                <w:lang w:eastAsia="en-GB"/>
              </w:rPr>
            </w:pPr>
          </w:p>
        </w:tc>
        <w:tc>
          <w:tcPr>
            <w:tcW w:w="2185" w:type="dxa"/>
            <w:tcBorders>
              <w:top w:val="single" w:sz="4" w:space="0" w:color="auto"/>
              <w:left w:val="nil"/>
              <w:bottom w:val="single" w:sz="4" w:space="0" w:color="auto"/>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&lt;120 mmHg</w:t>
            </w:r>
          </w:p>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 xml:space="preserve">Median (IQR) or </w:t>
            </w:r>
            <w:proofErr w:type="gramStart"/>
            <w:r w:rsidR="006B2224" w:rsidRPr="00F822A1">
              <w:rPr>
                <w:rFonts w:ascii="Arial" w:eastAsia="Times New Roman" w:hAnsi="Arial" w:cs="Arial"/>
                <w:sz w:val="24"/>
                <w:szCs w:val="24"/>
                <w:lang w:eastAsia="en-GB"/>
              </w:rPr>
              <w:t>n</w:t>
            </w:r>
            <w:r w:rsidRPr="00F822A1">
              <w:rPr>
                <w:rFonts w:ascii="Arial" w:eastAsia="Times New Roman" w:hAnsi="Arial" w:cs="Arial"/>
                <w:sz w:val="24"/>
                <w:szCs w:val="24"/>
                <w:lang w:eastAsia="en-GB"/>
              </w:rPr>
              <w:t>(</w:t>
            </w:r>
            <w:proofErr w:type="gramEnd"/>
            <w:r w:rsidRPr="00F822A1">
              <w:rPr>
                <w:rFonts w:ascii="Arial" w:eastAsia="Times New Roman" w:hAnsi="Arial" w:cs="Arial"/>
                <w:sz w:val="24"/>
                <w:szCs w:val="24"/>
                <w:lang w:eastAsia="en-GB"/>
              </w:rPr>
              <w:t>%)</w:t>
            </w:r>
          </w:p>
        </w:tc>
        <w:tc>
          <w:tcPr>
            <w:tcW w:w="2268" w:type="dxa"/>
            <w:tcBorders>
              <w:top w:val="single" w:sz="4" w:space="0" w:color="auto"/>
              <w:left w:val="nil"/>
              <w:bottom w:val="single" w:sz="4" w:space="0" w:color="auto"/>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120-139mmHg</w:t>
            </w:r>
          </w:p>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 xml:space="preserve">Median (IQR) or </w:t>
            </w:r>
            <w:proofErr w:type="gramStart"/>
            <w:r w:rsidR="006B2224" w:rsidRPr="00F822A1">
              <w:rPr>
                <w:rFonts w:ascii="Arial" w:eastAsia="Times New Roman" w:hAnsi="Arial" w:cs="Arial"/>
                <w:sz w:val="24"/>
                <w:szCs w:val="24"/>
                <w:lang w:eastAsia="en-GB"/>
              </w:rPr>
              <w:t>n</w:t>
            </w:r>
            <w:r w:rsidRPr="00F822A1">
              <w:rPr>
                <w:rFonts w:ascii="Arial" w:eastAsia="Times New Roman" w:hAnsi="Arial" w:cs="Arial"/>
                <w:sz w:val="24"/>
                <w:szCs w:val="24"/>
                <w:lang w:eastAsia="en-GB"/>
              </w:rPr>
              <w:t>(</w:t>
            </w:r>
            <w:proofErr w:type="gramEnd"/>
            <w:r w:rsidRPr="00F822A1">
              <w:rPr>
                <w:rFonts w:ascii="Arial" w:eastAsia="Times New Roman" w:hAnsi="Arial" w:cs="Arial"/>
                <w:sz w:val="24"/>
                <w:szCs w:val="24"/>
                <w:lang w:eastAsia="en-GB"/>
              </w:rPr>
              <w:t>%)</w:t>
            </w:r>
          </w:p>
        </w:tc>
        <w:tc>
          <w:tcPr>
            <w:tcW w:w="2356" w:type="dxa"/>
            <w:tcBorders>
              <w:top w:val="single" w:sz="4" w:space="0" w:color="auto"/>
              <w:left w:val="nil"/>
              <w:bottom w:val="single" w:sz="4" w:space="0" w:color="auto"/>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&gt;= 140mmHg</w:t>
            </w:r>
          </w:p>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 xml:space="preserve">Median (IQR) or </w:t>
            </w:r>
            <w:proofErr w:type="gramStart"/>
            <w:r w:rsidR="006B2224" w:rsidRPr="00F822A1">
              <w:rPr>
                <w:rFonts w:ascii="Arial" w:eastAsia="Times New Roman" w:hAnsi="Arial" w:cs="Arial"/>
                <w:sz w:val="24"/>
                <w:szCs w:val="24"/>
                <w:lang w:eastAsia="en-GB"/>
              </w:rPr>
              <w:t>n</w:t>
            </w:r>
            <w:r w:rsidRPr="00F822A1">
              <w:rPr>
                <w:rFonts w:ascii="Arial" w:eastAsia="Times New Roman" w:hAnsi="Arial" w:cs="Arial"/>
                <w:sz w:val="24"/>
                <w:szCs w:val="24"/>
                <w:lang w:eastAsia="en-GB"/>
              </w:rPr>
              <w:t>(</w:t>
            </w:r>
            <w:proofErr w:type="gramEnd"/>
            <w:r w:rsidRPr="00F822A1">
              <w:rPr>
                <w:rFonts w:ascii="Arial" w:eastAsia="Times New Roman" w:hAnsi="Arial" w:cs="Arial"/>
                <w:sz w:val="24"/>
                <w:szCs w:val="24"/>
                <w:lang w:eastAsia="en-GB"/>
              </w:rPr>
              <w:t>%)</w:t>
            </w:r>
          </w:p>
        </w:tc>
      </w:tr>
      <w:tr w:rsidR="00C328DA" w:rsidRPr="00F822A1" w:rsidTr="00A502A4">
        <w:trPr>
          <w:trHeight w:val="264"/>
        </w:trPr>
        <w:tc>
          <w:tcPr>
            <w:tcW w:w="3080" w:type="dxa"/>
            <w:tcBorders>
              <w:top w:val="single" w:sz="4" w:space="0" w:color="auto"/>
              <w:left w:val="nil"/>
              <w:bottom w:val="nil"/>
              <w:right w:val="nil"/>
            </w:tcBorders>
            <w:shd w:val="clear" w:color="auto" w:fill="auto"/>
            <w:noWrap/>
            <w:vAlign w:val="bottom"/>
            <w:hideMark/>
          </w:tcPr>
          <w:p w:rsidR="00C328DA" w:rsidRPr="00F822A1" w:rsidRDefault="00C328DA" w:rsidP="00A502A4">
            <w:pPr>
              <w:spacing w:after="0" w:line="240" w:lineRule="auto"/>
              <w:rPr>
                <w:rFonts w:ascii="Arial" w:eastAsia="Times New Roman" w:hAnsi="Arial" w:cs="Arial"/>
                <w:sz w:val="24"/>
                <w:szCs w:val="24"/>
                <w:lang w:eastAsia="en-GB"/>
              </w:rPr>
            </w:pPr>
            <w:r w:rsidRPr="00F822A1">
              <w:rPr>
                <w:rFonts w:ascii="Arial" w:eastAsia="Times New Roman" w:hAnsi="Arial" w:cs="Arial"/>
                <w:sz w:val="24"/>
                <w:szCs w:val="24"/>
                <w:lang w:eastAsia="en-GB"/>
              </w:rPr>
              <w:t>N</w:t>
            </w:r>
          </w:p>
        </w:tc>
        <w:tc>
          <w:tcPr>
            <w:tcW w:w="2185" w:type="dxa"/>
            <w:tcBorders>
              <w:top w:val="single" w:sz="4" w:space="0" w:color="auto"/>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405466</w:t>
            </w:r>
          </w:p>
        </w:tc>
        <w:tc>
          <w:tcPr>
            <w:tcW w:w="2268" w:type="dxa"/>
            <w:tcBorders>
              <w:top w:val="single" w:sz="4" w:space="0" w:color="auto"/>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971985</w:t>
            </w:r>
          </w:p>
        </w:tc>
        <w:tc>
          <w:tcPr>
            <w:tcW w:w="2356" w:type="dxa"/>
            <w:tcBorders>
              <w:top w:val="single" w:sz="4" w:space="0" w:color="auto"/>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1216175</w:t>
            </w:r>
          </w:p>
        </w:tc>
      </w:tr>
      <w:tr w:rsidR="00C328DA" w:rsidRPr="00F822A1" w:rsidTr="00A502A4">
        <w:trPr>
          <w:trHeight w:val="264"/>
        </w:trPr>
        <w:tc>
          <w:tcPr>
            <w:tcW w:w="3080"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rPr>
                <w:rFonts w:ascii="Arial" w:eastAsia="Times New Roman" w:hAnsi="Arial" w:cs="Arial"/>
                <w:sz w:val="24"/>
                <w:szCs w:val="24"/>
                <w:lang w:eastAsia="en-GB"/>
              </w:rPr>
            </w:pPr>
            <w:r w:rsidRPr="00F822A1">
              <w:rPr>
                <w:rFonts w:ascii="Arial" w:eastAsia="Times New Roman" w:hAnsi="Arial" w:cs="Arial"/>
                <w:sz w:val="24"/>
                <w:szCs w:val="24"/>
                <w:lang w:eastAsia="en-GB"/>
              </w:rPr>
              <w:t>Follow up duration (years)</w:t>
            </w:r>
          </w:p>
        </w:tc>
        <w:tc>
          <w:tcPr>
            <w:tcW w:w="2185"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7.6 (4.1 to 11.7)</w:t>
            </w:r>
          </w:p>
        </w:tc>
        <w:tc>
          <w:tcPr>
            <w:tcW w:w="2268"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8.0 (4.4 to 12.2)</w:t>
            </w:r>
          </w:p>
        </w:tc>
        <w:tc>
          <w:tcPr>
            <w:tcW w:w="2356"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8.6 (4.5 to 12.7)</w:t>
            </w:r>
          </w:p>
        </w:tc>
      </w:tr>
      <w:tr w:rsidR="00C328DA" w:rsidRPr="00F822A1" w:rsidTr="00A502A4">
        <w:trPr>
          <w:trHeight w:val="264"/>
        </w:trPr>
        <w:tc>
          <w:tcPr>
            <w:tcW w:w="3080"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rPr>
                <w:rFonts w:ascii="Arial" w:eastAsia="Times New Roman" w:hAnsi="Arial" w:cs="Arial"/>
                <w:b/>
                <w:sz w:val="24"/>
                <w:szCs w:val="24"/>
                <w:lang w:eastAsia="en-GB"/>
              </w:rPr>
            </w:pPr>
            <w:r w:rsidRPr="00F822A1">
              <w:rPr>
                <w:rFonts w:ascii="Arial" w:eastAsia="Times New Roman" w:hAnsi="Arial" w:cs="Arial"/>
                <w:b/>
                <w:sz w:val="24"/>
                <w:szCs w:val="24"/>
                <w:lang w:eastAsia="en-GB"/>
              </w:rPr>
              <w:t>Basic characteristics</w:t>
            </w:r>
          </w:p>
        </w:tc>
        <w:tc>
          <w:tcPr>
            <w:tcW w:w="2185"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p>
        </w:tc>
        <w:tc>
          <w:tcPr>
            <w:tcW w:w="2268"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p>
        </w:tc>
        <w:tc>
          <w:tcPr>
            <w:tcW w:w="2356"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p>
        </w:tc>
      </w:tr>
      <w:tr w:rsidR="00C328DA" w:rsidRPr="00F822A1" w:rsidTr="00A502A4">
        <w:trPr>
          <w:trHeight w:val="264"/>
        </w:trPr>
        <w:tc>
          <w:tcPr>
            <w:tcW w:w="3080"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rPr>
                <w:rFonts w:ascii="Arial" w:eastAsia="Times New Roman" w:hAnsi="Arial" w:cs="Arial"/>
                <w:sz w:val="24"/>
                <w:szCs w:val="24"/>
                <w:lang w:eastAsia="en-GB"/>
              </w:rPr>
            </w:pPr>
            <w:r w:rsidRPr="00F822A1">
              <w:rPr>
                <w:rFonts w:ascii="Arial" w:eastAsia="Times New Roman" w:hAnsi="Arial" w:cs="Arial"/>
                <w:sz w:val="24"/>
                <w:szCs w:val="24"/>
                <w:lang w:eastAsia="en-GB"/>
              </w:rPr>
              <w:t>Age (years)</w:t>
            </w:r>
          </w:p>
        </w:tc>
        <w:tc>
          <w:tcPr>
            <w:tcW w:w="2185"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46.0 (41.5 to 54.0)</w:t>
            </w:r>
          </w:p>
        </w:tc>
        <w:tc>
          <w:tcPr>
            <w:tcW w:w="2268"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50.0 (43.0 to 60.8)</w:t>
            </w:r>
          </w:p>
        </w:tc>
        <w:tc>
          <w:tcPr>
            <w:tcW w:w="2356"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61.0 (51.0 to 72.0)</w:t>
            </w:r>
          </w:p>
        </w:tc>
      </w:tr>
      <w:tr w:rsidR="00C328DA" w:rsidRPr="00F822A1" w:rsidTr="00A502A4">
        <w:trPr>
          <w:trHeight w:val="264"/>
        </w:trPr>
        <w:tc>
          <w:tcPr>
            <w:tcW w:w="3080"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rPr>
                <w:rFonts w:ascii="Arial" w:eastAsia="Times New Roman" w:hAnsi="Arial" w:cs="Arial"/>
                <w:sz w:val="24"/>
                <w:szCs w:val="24"/>
                <w:lang w:eastAsia="en-GB"/>
              </w:rPr>
            </w:pPr>
            <w:r w:rsidRPr="00F822A1">
              <w:rPr>
                <w:rFonts w:ascii="Arial" w:eastAsia="Times New Roman" w:hAnsi="Arial" w:cs="Arial"/>
                <w:sz w:val="24"/>
                <w:szCs w:val="24"/>
                <w:lang w:eastAsia="en-GB"/>
              </w:rPr>
              <w:t>Female</w:t>
            </w:r>
          </w:p>
        </w:tc>
        <w:tc>
          <w:tcPr>
            <w:tcW w:w="2185"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264760 (65.3%)</w:t>
            </w:r>
          </w:p>
        </w:tc>
        <w:tc>
          <w:tcPr>
            <w:tcW w:w="2268"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509126 (52.4%)</w:t>
            </w:r>
          </w:p>
        </w:tc>
        <w:tc>
          <w:tcPr>
            <w:tcW w:w="2356"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630034 (51.8%)</w:t>
            </w:r>
          </w:p>
        </w:tc>
      </w:tr>
      <w:tr w:rsidR="00C328DA" w:rsidRPr="00F822A1" w:rsidTr="00A502A4">
        <w:trPr>
          <w:trHeight w:val="264"/>
        </w:trPr>
        <w:tc>
          <w:tcPr>
            <w:tcW w:w="3080"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rPr>
                <w:rFonts w:ascii="Arial" w:eastAsia="Times New Roman" w:hAnsi="Arial" w:cs="Arial"/>
                <w:sz w:val="24"/>
                <w:szCs w:val="24"/>
                <w:lang w:eastAsia="en-GB"/>
              </w:rPr>
            </w:pPr>
            <w:r w:rsidRPr="00F822A1">
              <w:rPr>
                <w:rFonts w:ascii="Arial" w:eastAsia="Times New Roman" w:hAnsi="Arial" w:cs="Arial"/>
                <w:sz w:val="24"/>
                <w:szCs w:val="24"/>
                <w:lang w:eastAsia="en-GB"/>
              </w:rPr>
              <w:t>Current smoker</w:t>
            </w:r>
          </w:p>
        </w:tc>
        <w:tc>
          <w:tcPr>
            <w:tcW w:w="2185"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108198 (27.1%)</w:t>
            </w:r>
          </w:p>
        </w:tc>
        <w:tc>
          <w:tcPr>
            <w:tcW w:w="2268"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239831 (25.1%)</w:t>
            </w:r>
          </w:p>
        </w:tc>
        <w:tc>
          <w:tcPr>
            <w:tcW w:w="2356"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264999 (22.4%)</w:t>
            </w:r>
          </w:p>
        </w:tc>
      </w:tr>
      <w:tr w:rsidR="00C328DA" w:rsidRPr="00F822A1" w:rsidTr="00A502A4">
        <w:trPr>
          <w:trHeight w:val="264"/>
        </w:trPr>
        <w:tc>
          <w:tcPr>
            <w:tcW w:w="3080"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rPr>
                <w:rFonts w:ascii="Arial" w:eastAsia="Times New Roman" w:hAnsi="Arial" w:cs="Arial"/>
                <w:sz w:val="24"/>
                <w:szCs w:val="24"/>
                <w:lang w:eastAsia="en-GB"/>
              </w:rPr>
            </w:pPr>
            <w:r w:rsidRPr="00F822A1">
              <w:rPr>
                <w:rFonts w:ascii="Arial" w:eastAsia="Times New Roman" w:hAnsi="Arial" w:cs="Arial"/>
                <w:sz w:val="24"/>
                <w:szCs w:val="24"/>
                <w:lang w:eastAsia="en-GB"/>
              </w:rPr>
              <w:t>Current alcohol user</w:t>
            </w:r>
          </w:p>
        </w:tc>
        <w:tc>
          <w:tcPr>
            <w:tcW w:w="2185"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311792 (83.7%)</w:t>
            </w:r>
          </w:p>
        </w:tc>
        <w:tc>
          <w:tcPr>
            <w:tcW w:w="2268"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753550 (84.6%)</w:t>
            </w:r>
          </w:p>
        </w:tc>
        <w:tc>
          <w:tcPr>
            <w:tcW w:w="2356"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898127 (82.1%)</w:t>
            </w:r>
          </w:p>
        </w:tc>
      </w:tr>
      <w:tr w:rsidR="00C328DA" w:rsidRPr="00F822A1" w:rsidTr="00A502A4">
        <w:trPr>
          <w:trHeight w:val="264"/>
        </w:trPr>
        <w:tc>
          <w:tcPr>
            <w:tcW w:w="3080"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rPr>
                <w:rFonts w:ascii="Arial" w:eastAsia="Times New Roman" w:hAnsi="Arial" w:cs="Arial"/>
                <w:sz w:val="24"/>
                <w:szCs w:val="24"/>
                <w:lang w:eastAsia="en-GB"/>
              </w:rPr>
            </w:pPr>
            <w:r w:rsidRPr="00F822A1">
              <w:rPr>
                <w:rFonts w:ascii="Arial" w:eastAsia="Times New Roman" w:hAnsi="Arial" w:cs="Arial"/>
                <w:sz w:val="24"/>
                <w:szCs w:val="24"/>
                <w:lang w:eastAsia="en-GB"/>
              </w:rPr>
              <w:t>BMI (kg/m2)</w:t>
            </w:r>
          </w:p>
        </w:tc>
        <w:tc>
          <w:tcPr>
            <w:tcW w:w="2185"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24.4 (22.1 to 27.3)</w:t>
            </w:r>
          </w:p>
        </w:tc>
        <w:tc>
          <w:tcPr>
            <w:tcW w:w="2268"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26.0 (23.4 to 29.2)</w:t>
            </w:r>
          </w:p>
        </w:tc>
        <w:tc>
          <w:tcPr>
            <w:tcW w:w="2356"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26.9 (24.1 to 30.4)</w:t>
            </w:r>
          </w:p>
        </w:tc>
      </w:tr>
      <w:tr w:rsidR="00C328DA" w:rsidRPr="00F822A1" w:rsidTr="00A502A4">
        <w:trPr>
          <w:trHeight w:val="264"/>
        </w:trPr>
        <w:tc>
          <w:tcPr>
            <w:tcW w:w="3080"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rPr>
                <w:rFonts w:ascii="Arial" w:eastAsia="Times New Roman" w:hAnsi="Arial" w:cs="Arial"/>
                <w:sz w:val="24"/>
                <w:szCs w:val="24"/>
                <w:lang w:eastAsia="en-GB"/>
              </w:rPr>
            </w:pPr>
            <w:r w:rsidRPr="00F822A1">
              <w:rPr>
                <w:rFonts w:ascii="Arial" w:eastAsia="Times New Roman" w:hAnsi="Arial" w:cs="Arial"/>
                <w:sz w:val="24"/>
                <w:szCs w:val="24"/>
                <w:lang w:eastAsia="en-GB"/>
              </w:rPr>
              <w:t>Diastolic blood pressure (mmHg)</w:t>
            </w:r>
          </w:p>
        </w:tc>
        <w:tc>
          <w:tcPr>
            <w:tcW w:w="2185"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70.0 (65.0 to 75.0)</w:t>
            </w:r>
          </w:p>
        </w:tc>
        <w:tc>
          <w:tcPr>
            <w:tcW w:w="2268"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80.0 (74.0 to 83.0)</w:t>
            </w:r>
          </w:p>
        </w:tc>
        <w:tc>
          <w:tcPr>
            <w:tcW w:w="2356"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88.0 (80.0 to 94.0)</w:t>
            </w:r>
          </w:p>
        </w:tc>
      </w:tr>
      <w:tr w:rsidR="00C328DA" w:rsidRPr="00F822A1" w:rsidTr="00A502A4">
        <w:trPr>
          <w:trHeight w:val="264"/>
        </w:trPr>
        <w:tc>
          <w:tcPr>
            <w:tcW w:w="3080"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rPr>
                <w:rFonts w:ascii="Arial" w:eastAsia="Times New Roman" w:hAnsi="Arial" w:cs="Arial"/>
                <w:b/>
                <w:sz w:val="24"/>
                <w:szCs w:val="24"/>
                <w:lang w:eastAsia="en-GB"/>
              </w:rPr>
            </w:pPr>
            <w:r w:rsidRPr="00F822A1">
              <w:rPr>
                <w:rFonts w:ascii="Arial" w:eastAsia="Times New Roman" w:hAnsi="Arial" w:cs="Arial"/>
                <w:b/>
                <w:sz w:val="24"/>
                <w:szCs w:val="24"/>
                <w:lang w:eastAsia="en-GB"/>
              </w:rPr>
              <w:t>Previous medication and medical history</w:t>
            </w:r>
          </w:p>
        </w:tc>
        <w:tc>
          <w:tcPr>
            <w:tcW w:w="2185"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p>
        </w:tc>
        <w:tc>
          <w:tcPr>
            <w:tcW w:w="2268"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p>
        </w:tc>
        <w:tc>
          <w:tcPr>
            <w:tcW w:w="2356"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p>
        </w:tc>
      </w:tr>
      <w:tr w:rsidR="00C328DA" w:rsidRPr="00F822A1" w:rsidTr="00A502A4">
        <w:trPr>
          <w:trHeight w:val="264"/>
        </w:trPr>
        <w:tc>
          <w:tcPr>
            <w:tcW w:w="3080"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rPr>
                <w:rFonts w:ascii="Arial" w:eastAsia="Times New Roman" w:hAnsi="Arial" w:cs="Arial"/>
                <w:sz w:val="24"/>
                <w:szCs w:val="24"/>
                <w:lang w:eastAsia="en-GB"/>
              </w:rPr>
            </w:pPr>
            <w:proofErr w:type="spellStart"/>
            <w:r w:rsidRPr="00F822A1">
              <w:rPr>
                <w:rFonts w:ascii="Arial" w:eastAsia="Times New Roman" w:hAnsi="Arial" w:cs="Arial"/>
                <w:sz w:val="24"/>
                <w:szCs w:val="24"/>
                <w:lang w:eastAsia="en-GB"/>
              </w:rPr>
              <w:t>Antihypertensives</w:t>
            </w:r>
            <w:proofErr w:type="spellEnd"/>
          </w:p>
        </w:tc>
        <w:tc>
          <w:tcPr>
            <w:tcW w:w="2185"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38035 (9.4%)</w:t>
            </w:r>
          </w:p>
        </w:tc>
        <w:tc>
          <w:tcPr>
            <w:tcW w:w="2268"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132066 (13.6%)</w:t>
            </w:r>
          </w:p>
        </w:tc>
        <w:tc>
          <w:tcPr>
            <w:tcW w:w="2356"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310533 (25.5%)</w:t>
            </w:r>
          </w:p>
        </w:tc>
      </w:tr>
      <w:tr w:rsidR="00C328DA" w:rsidRPr="00F822A1" w:rsidTr="00A502A4">
        <w:trPr>
          <w:trHeight w:val="264"/>
        </w:trPr>
        <w:tc>
          <w:tcPr>
            <w:tcW w:w="3080"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rPr>
                <w:rFonts w:ascii="Arial" w:eastAsia="Times New Roman" w:hAnsi="Arial" w:cs="Arial"/>
                <w:sz w:val="24"/>
                <w:szCs w:val="24"/>
                <w:lang w:eastAsia="en-GB"/>
              </w:rPr>
            </w:pPr>
            <w:r w:rsidRPr="00F822A1">
              <w:rPr>
                <w:rFonts w:ascii="Arial" w:eastAsia="Times New Roman" w:hAnsi="Arial" w:cs="Arial"/>
                <w:sz w:val="24"/>
                <w:szCs w:val="24"/>
                <w:lang w:eastAsia="en-GB"/>
              </w:rPr>
              <w:t>Statin</w:t>
            </w:r>
          </w:p>
        </w:tc>
        <w:tc>
          <w:tcPr>
            <w:tcW w:w="2185"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14290 (3.5%)</w:t>
            </w:r>
          </w:p>
        </w:tc>
        <w:tc>
          <w:tcPr>
            <w:tcW w:w="2268"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44436 (4.6%)</w:t>
            </w:r>
          </w:p>
        </w:tc>
        <w:tc>
          <w:tcPr>
            <w:tcW w:w="2356"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57685 (4.7%)</w:t>
            </w:r>
          </w:p>
        </w:tc>
      </w:tr>
      <w:tr w:rsidR="00C328DA" w:rsidRPr="00F822A1" w:rsidTr="00A502A4">
        <w:trPr>
          <w:trHeight w:val="264"/>
        </w:trPr>
        <w:tc>
          <w:tcPr>
            <w:tcW w:w="3080"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rPr>
                <w:rFonts w:ascii="Arial" w:eastAsia="Times New Roman" w:hAnsi="Arial" w:cs="Arial"/>
                <w:sz w:val="24"/>
                <w:szCs w:val="24"/>
                <w:lang w:eastAsia="en-GB"/>
              </w:rPr>
            </w:pPr>
            <w:r w:rsidRPr="00F822A1">
              <w:rPr>
                <w:rFonts w:ascii="Arial" w:eastAsia="Times New Roman" w:hAnsi="Arial" w:cs="Arial"/>
                <w:sz w:val="24"/>
                <w:szCs w:val="24"/>
                <w:lang w:eastAsia="en-GB"/>
              </w:rPr>
              <w:t>Stroke</w:t>
            </w:r>
          </w:p>
        </w:tc>
        <w:tc>
          <w:tcPr>
            <w:tcW w:w="2185"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8787 (2.2%)</w:t>
            </w:r>
          </w:p>
        </w:tc>
        <w:tc>
          <w:tcPr>
            <w:tcW w:w="2268"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33603 (3.5%)</w:t>
            </w:r>
          </w:p>
        </w:tc>
        <w:tc>
          <w:tcPr>
            <w:tcW w:w="2356"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92306 (7.9%)</w:t>
            </w:r>
          </w:p>
        </w:tc>
      </w:tr>
      <w:tr w:rsidR="00C328DA" w:rsidRPr="00F822A1" w:rsidTr="00A502A4">
        <w:trPr>
          <w:trHeight w:val="264"/>
        </w:trPr>
        <w:tc>
          <w:tcPr>
            <w:tcW w:w="3080"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rPr>
                <w:rFonts w:ascii="Arial" w:eastAsia="Times New Roman" w:hAnsi="Arial" w:cs="Arial"/>
                <w:sz w:val="24"/>
                <w:szCs w:val="24"/>
                <w:lang w:eastAsia="en-GB"/>
              </w:rPr>
            </w:pPr>
            <w:r w:rsidRPr="00F822A1">
              <w:rPr>
                <w:rFonts w:ascii="Arial" w:eastAsia="Times New Roman" w:hAnsi="Arial" w:cs="Arial"/>
                <w:sz w:val="24"/>
                <w:szCs w:val="24"/>
                <w:lang w:eastAsia="en-GB"/>
              </w:rPr>
              <w:t>Atrial fibrillation</w:t>
            </w:r>
          </w:p>
        </w:tc>
        <w:tc>
          <w:tcPr>
            <w:tcW w:w="2185"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7347 (1.8%)</w:t>
            </w:r>
          </w:p>
        </w:tc>
        <w:tc>
          <w:tcPr>
            <w:tcW w:w="2268"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18599 (1.9%)</w:t>
            </w:r>
          </w:p>
        </w:tc>
        <w:tc>
          <w:tcPr>
            <w:tcW w:w="2356"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32938 (2.7%)</w:t>
            </w:r>
          </w:p>
        </w:tc>
      </w:tr>
      <w:tr w:rsidR="00C328DA" w:rsidRPr="00F822A1" w:rsidTr="00A502A4">
        <w:trPr>
          <w:trHeight w:val="264"/>
        </w:trPr>
        <w:tc>
          <w:tcPr>
            <w:tcW w:w="3080"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rPr>
                <w:rFonts w:ascii="Arial" w:eastAsia="Times New Roman" w:hAnsi="Arial" w:cs="Arial"/>
                <w:sz w:val="24"/>
                <w:szCs w:val="24"/>
                <w:lang w:eastAsia="en-GB"/>
              </w:rPr>
            </w:pPr>
            <w:r w:rsidRPr="00F822A1">
              <w:rPr>
                <w:rFonts w:ascii="Arial" w:eastAsia="Times New Roman" w:hAnsi="Arial" w:cs="Arial"/>
                <w:sz w:val="24"/>
                <w:szCs w:val="24"/>
                <w:lang w:eastAsia="en-GB"/>
              </w:rPr>
              <w:t>Heart failure</w:t>
            </w:r>
          </w:p>
        </w:tc>
        <w:tc>
          <w:tcPr>
            <w:tcW w:w="2185"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6355 (1.6%)</w:t>
            </w:r>
          </w:p>
        </w:tc>
        <w:tc>
          <w:tcPr>
            <w:tcW w:w="2268"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12656 (1.3%)</w:t>
            </w:r>
          </w:p>
        </w:tc>
        <w:tc>
          <w:tcPr>
            <w:tcW w:w="2356" w:type="dxa"/>
            <w:tcBorders>
              <w:top w:val="nil"/>
              <w:left w:val="nil"/>
              <w:bottom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24817 (2.0%)</w:t>
            </w:r>
          </w:p>
        </w:tc>
      </w:tr>
      <w:tr w:rsidR="00C328DA" w:rsidRPr="00F822A1" w:rsidTr="00650C24">
        <w:trPr>
          <w:trHeight w:val="264"/>
        </w:trPr>
        <w:tc>
          <w:tcPr>
            <w:tcW w:w="3080" w:type="dxa"/>
            <w:tcBorders>
              <w:top w:val="nil"/>
              <w:left w:val="nil"/>
              <w:right w:val="nil"/>
            </w:tcBorders>
            <w:shd w:val="clear" w:color="auto" w:fill="auto"/>
            <w:noWrap/>
            <w:vAlign w:val="bottom"/>
            <w:hideMark/>
          </w:tcPr>
          <w:p w:rsidR="00C328DA" w:rsidRPr="00F822A1" w:rsidRDefault="00C328DA" w:rsidP="00A502A4">
            <w:pPr>
              <w:spacing w:after="0" w:line="240" w:lineRule="auto"/>
              <w:rPr>
                <w:rFonts w:ascii="Arial" w:eastAsia="Times New Roman" w:hAnsi="Arial" w:cs="Arial"/>
                <w:sz w:val="24"/>
                <w:szCs w:val="24"/>
                <w:lang w:eastAsia="en-GB"/>
              </w:rPr>
            </w:pPr>
            <w:r w:rsidRPr="00F822A1">
              <w:rPr>
                <w:rFonts w:ascii="Arial" w:eastAsia="Times New Roman" w:hAnsi="Arial" w:cs="Arial"/>
                <w:sz w:val="24"/>
                <w:szCs w:val="24"/>
                <w:lang w:eastAsia="en-GB"/>
              </w:rPr>
              <w:t>MI</w:t>
            </w:r>
          </w:p>
        </w:tc>
        <w:tc>
          <w:tcPr>
            <w:tcW w:w="2185" w:type="dxa"/>
            <w:tcBorders>
              <w:top w:val="nil"/>
              <w:left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10748 (2.7%)</w:t>
            </w:r>
          </w:p>
        </w:tc>
        <w:tc>
          <w:tcPr>
            <w:tcW w:w="2268" w:type="dxa"/>
            <w:tcBorders>
              <w:top w:val="nil"/>
              <w:left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25589 (2.6%)</w:t>
            </w:r>
          </w:p>
        </w:tc>
        <w:tc>
          <w:tcPr>
            <w:tcW w:w="2356" w:type="dxa"/>
            <w:tcBorders>
              <w:top w:val="nil"/>
              <w:left w:val="nil"/>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38116 (3.1%)</w:t>
            </w:r>
          </w:p>
        </w:tc>
      </w:tr>
      <w:tr w:rsidR="00C328DA" w:rsidRPr="00F822A1" w:rsidTr="00650C24">
        <w:trPr>
          <w:trHeight w:val="264"/>
        </w:trPr>
        <w:tc>
          <w:tcPr>
            <w:tcW w:w="3080" w:type="dxa"/>
            <w:tcBorders>
              <w:top w:val="nil"/>
              <w:left w:val="nil"/>
              <w:bottom w:val="single" w:sz="4" w:space="0" w:color="auto"/>
              <w:right w:val="nil"/>
            </w:tcBorders>
            <w:shd w:val="clear" w:color="auto" w:fill="auto"/>
            <w:noWrap/>
            <w:vAlign w:val="bottom"/>
            <w:hideMark/>
          </w:tcPr>
          <w:p w:rsidR="00C328DA" w:rsidRPr="00F822A1" w:rsidRDefault="00C328DA" w:rsidP="00A502A4">
            <w:pPr>
              <w:spacing w:after="0" w:line="240" w:lineRule="auto"/>
              <w:rPr>
                <w:rFonts w:ascii="Arial" w:eastAsia="Times New Roman" w:hAnsi="Arial" w:cs="Arial"/>
                <w:sz w:val="24"/>
                <w:szCs w:val="24"/>
                <w:lang w:eastAsia="en-GB"/>
              </w:rPr>
            </w:pPr>
            <w:r w:rsidRPr="00F822A1">
              <w:rPr>
                <w:rFonts w:ascii="Arial" w:eastAsia="Times New Roman" w:hAnsi="Arial" w:cs="Arial"/>
                <w:sz w:val="24"/>
                <w:szCs w:val="24"/>
                <w:lang w:eastAsia="en-GB"/>
              </w:rPr>
              <w:t>COPD</w:t>
            </w:r>
          </w:p>
        </w:tc>
        <w:tc>
          <w:tcPr>
            <w:tcW w:w="2185" w:type="dxa"/>
            <w:tcBorders>
              <w:top w:val="nil"/>
              <w:left w:val="nil"/>
              <w:bottom w:val="single" w:sz="4" w:space="0" w:color="auto"/>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6515 (1.6%)</w:t>
            </w:r>
          </w:p>
        </w:tc>
        <w:tc>
          <w:tcPr>
            <w:tcW w:w="2268" w:type="dxa"/>
            <w:tcBorders>
              <w:top w:val="nil"/>
              <w:left w:val="nil"/>
              <w:bottom w:val="single" w:sz="4" w:space="0" w:color="auto"/>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17435 (1.8%)</w:t>
            </w:r>
          </w:p>
        </w:tc>
        <w:tc>
          <w:tcPr>
            <w:tcW w:w="2356" w:type="dxa"/>
            <w:tcBorders>
              <w:top w:val="nil"/>
              <w:left w:val="nil"/>
              <w:bottom w:val="single" w:sz="4" w:space="0" w:color="auto"/>
              <w:right w:val="nil"/>
            </w:tcBorders>
            <w:shd w:val="clear" w:color="auto" w:fill="auto"/>
            <w:noWrap/>
            <w:vAlign w:val="bottom"/>
            <w:hideMark/>
          </w:tcPr>
          <w:p w:rsidR="00C328DA" w:rsidRPr="00F822A1" w:rsidRDefault="00C328DA" w:rsidP="00A502A4">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32726 (2.7%)</w:t>
            </w:r>
          </w:p>
        </w:tc>
      </w:tr>
    </w:tbl>
    <w:p w:rsidR="00A502A4" w:rsidRPr="00F822A1" w:rsidRDefault="007749F4">
      <w:pPr>
        <w:rPr>
          <w:rFonts w:ascii="Arial" w:hAnsi="Arial" w:cs="Arial"/>
          <w:sz w:val="24"/>
          <w:szCs w:val="24"/>
          <w:lang w:eastAsia="ja-JP"/>
        </w:rPr>
      </w:pPr>
      <w:r w:rsidRPr="00F822A1">
        <w:rPr>
          <w:rFonts w:ascii="Arial" w:hAnsi="Arial" w:cs="Arial"/>
          <w:sz w:val="24"/>
          <w:szCs w:val="24"/>
          <w:lang w:eastAsia="ja-JP"/>
        </w:rPr>
        <w:t xml:space="preserve">BMI = body mass index, COPD = chronic obstructive pulmonary disease, </w:t>
      </w:r>
      <w:r w:rsidR="006B2224" w:rsidRPr="00F822A1">
        <w:rPr>
          <w:rFonts w:ascii="Arial" w:hAnsi="Arial" w:cs="Arial"/>
          <w:sz w:val="24"/>
          <w:szCs w:val="24"/>
          <w:lang w:eastAsia="ja-JP"/>
        </w:rPr>
        <w:t xml:space="preserve">IQR = interquartile range, </w:t>
      </w:r>
      <w:r w:rsidRPr="00F822A1">
        <w:rPr>
          <w:rFonts w:ascii="Arial" w:hAnsi="Arial" w:cs="Arial"/>
          <w:sz w:val="24"/>
          <w:szCs w:val="24"/>
          <w:lang w:eastAsia="ja-JP"/>
        </w:rPr>
        <w:t>MI = myocardial infarction</w:t>
      </w:r>
    </w:p>
    <w:p w:rsidR="00A140A2" w:rsidRPr="00F822A1" w:rsidRDefault="00A140A2" w:rsidP="00C328DA">
      <w:pPr>
        <w:rPr>
          <w:rFonts w:ascii="Arial" w:hAnsi="Arial" w:cs="Arial"/>
          <w:b/>
          <w:sz w:val="24"/>
          <w:szCs w:val="24"/>
        </w:rPr>
      </w:pPr>
    </w:p>
    <w:p w:rsidR="00A140A2" w:rsidRPr="00F822A1" w:rsidRDefault="00A140A2" w:rsidP="00C328DA">
      <w:pPr>
        <w:rPr>
          <w:rFonts w:ascii="Arial" w:hAnsi="Arial" w:cs="Arial"/>
          <w:b/>
          <w:sz w:val="24"/>
          <w:szCs w:val="24"/>
        </w:rPr>
        <w:sectPr w:rsidR="00A140A2" w:rsidRPr="00F822A1" w:rsidSect="006371EE">
          <w:pgSz w:w="11906" w:h="16838"/>
          <w:pgMar w:top="1440" w:right="1440" w:bottom="1440" w:left="1440" w:header="708" w:footer="708" w:gutter="0"/>
          <w:cols w:space="708"/>
          <w:docGrid w:linePitch="360"/>
        </w:sectPr>
      </w:pPr>
    </w:p>
    <w:p w:rsidR="00A140A2" w:rsidRPr="00F822A1" w:rsidRDefault="00A140A2" w:rsidP="00C328DA">
      <w:pPr>
        <w:rPr>
          <w:rFonts w:ascii="Arial" w:hAnsi="Arial" w:cs="Arial"/>
          <w:sz w:val="24"/>
          <w:szCs w:val="24"/>
        </w:rPr>
      </w:pPr>
      <w:r w:rsidRPr="00F822A1">
        <w:rPr>
          <w:rFonts w:ascii="Arial" w:hAnsi="Arial" w:cs="Arial"/>
          <w:b/>
          <w:sz w:val="24"/>
          <w:szCs w:val="24"/>
        </w:rPr>
        <w:lastRenderedPageBreak/>
        <w:t xml:space="preserve">Table 2: </w:t>
      </w:r>
      <w:r w:rsidR="00CD7466" w:rsidRPr="00F822A1">
        <w:rPr>
          <w:rFonts w:ascii="Arial" w:hAnsi="Arial" w:cs="Arial"/>
          <w:sz w:val="24"/>
          <w:szCs w:val="24"/>
        </w:rPr>
        <w:t xml:space="preserve">Incidence rates </w:t>
      </w:r>
      <w:r w:rsidRPr="00F822A1">
        <w:rPr>
          <w:rFonts w:ascii="Arial" w:hAnsi="Arial" w:cs="Arial"/>
          <w:sz w:val="24"/>
          <w:szCs w:val="24"/>
        </w:rPr>
        <w:t xml:space="preserve">of dementia and </w:t>
      </w:r>
      <w:r w:rsidR="00764133" w:rsidRPr="00F822A1">
        <w:rPr>
          <w:rFonts w:ascii="Arial" w:hAnsi="Arial" w:cs="Arial"/>
          <w:sz w:val="24"/>
          <w:szCs w:val="24"/>
        </w:rPr>
        <w:t xml:space="preserve">selected </w:t>
      </w:r>
      <w:r w:rsidRPr="00F822A1">
        <w:rPr>
          <w:rFonts w:ascii="Arial" w:hAnsi="Arial" w:cs="Arial"/>
          <w:sz w:val="24"/>
          <w:szCs w:val="24"/>
        </w:rPr>
        <w:t>subtypes by sex and age-at-risk</w:t>
      </w:r>
    </w:p>
    <w:tbl>
      <w:tblPr>
        <w:tblpPr w:leftFromText="180" w:rightFromText="180" w:vertAnchor="text" w:horzAnchor="margin" w:tblpY="167"/>
        <w:tblW w:w="8322" w:type="dxa"/>
        <w:tblLook w:val="04A0" w:firstRow="1" w:lastRow="0" w:firstColumn="1" w:lastColumn="0" w:noHBand="0" w:noVBand="1"/>
      </w:tblPr>
      <w:tblGrid>
        <w:gridCol w:w="1336"/>
        <w:gridCol w:w="1487"/>
        <w:gridCol w:w="222"/>
        <w:gridCol w:w="1665"/>
        <w:gridCol w:w="1633"/>
        <w:gridCol w:w="2137"/>
      </w:tblGrid>
      <w:tr w:rsidR="00CD7466" w:rsidRPr="00F822A1" w:rsidTr="00F80FAB">
        <w:trPr>
          <w:trHeight w:val="264"/>
        </w:trPr>
        <w:tc>
          <w:tcPr>
            <w:tcW w:w="1336" w:type="dxa"/>
            <w:vMerge w:val="restart"/>
            <w:tcBorders>
              <w:top w:val="single" w:sz="4" w:space="0" w:color="auto"/>
              <w:left w:val="nil"/>
              <w:right w:val="nil"/>
            </w:tcBorders>
            <w:shd w:val="clear" w:color="auto" w:fill="auto"/>
            <w:noWrap/>
          </w:tcPr>
          <w:p w:rsidR="00CD7466" w:rsidRPr="00F822A1" w:rsidRDefault="00CD7466" w:rsidP="00703C68">
            <w:pPr>
              <w:spacing w:after="0" w:line="240" w:lineRule="auto"/>
              <w:rPr>
                <w:rFonts w:ascii="Arial" w:eastAsia="Times New Roman" w:hAnsi="Arial" w:cs="Arial"/>
                <w:sz w:val="24"/>
                <w:szCs w:val="24"/>
                <w:lang w:eastAsia="en-GB"/>
              </w:rPr>
            </w:pPr>
            <w:r w:rsidRPr="00F822A1">
              <w:rPr>
                <w:rFonts w:ascii="Arial" w:eastAsia="Times New Roman" w:hAnsi="Arial" w:cs="Arial"/>
                <w:sz w:val="24"/>
                <w:szCs w:val="24"/>
                <w:lang w:eastAsia="en-GB"/>
              </w:rPr>
              <w:t>Age at risk</w:t>
            </w:r>
          </w:p>
        </w:tc>
        <w:tc>
          <w:tcPr>
            <w:tcW w:w="6986" w:type="dxa"/>
            <w:gridSpan w:val="5"/>
            <w:tcBorders>
              <w:top w:val="single" w:sz="4" w:space="0" w:color="auto"/>
              <w:left w:val="nil"/>
              <w:right w:val="nil"/>
            </w:tcBorders>
          </w:tcPr>
          <w:p w:rsidR="00CD7466" w:rsidRPr="00F822A1" w:rsidRDefault="00CD7466" w:rsidP="00703C68">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Incidence rate  per 1000 person years (N)</w:t>
            </w:r>
          </w:p>
        </w:tc>
      </w:tr>
      <w:tr w:rsidR="00EA4058" w:rsidRPr="00F822A1" w:rsidTr="00924813">
        <w:trPr>
          <w:trHeight w:val="264"/>
        </w:trPr>
        <w:tc>
          <w:tcPr>
            <w:tcW w:w="1336" w:type="dxa"/>
            <w:vMerge/>
            <w:tcBorders>
              <w:left w:val="nil"/>
              <w:bottom w:val="single" w:sz="4" w:space="0" w:color="auto"/>
            </w:tcBorders>
            <w:shd w:val="clear" w:color="auto" w:fill="auto"/>
            <w:noWrap/>
          </w:tcPr>
          <w:p w:rsidR="00EA4058" w:rsidRPr="00F822A1" w:rsidRDefault="00EA4058" w:rsidP="00703C68">
            <w:pPr>
              <w:spacing w:after="0" w:line="240" w:lineRule="auto"/>
              <w:rPr>
                <w:rFonts w:ascii="Arial" w:eastAsia="Times New Roman" w:hAnsi="Arial" w:cs="Arial"/>
                <w:sz w:val="24"/>
                <w:szCs w:val="24"/>
                <w:lang w:eastAsia="en-GB"/>
              </w:rPr>
            </w:pPr>
          </w:p>
        </w:tc>
        <w:tc>
          <w:tcPr>
            <w:tcW w:w="1487" w:type="dxa"/>
            <w:vMerge w:val="restart"/>
            <w:tcBorders>
              <w:top w:val="single" w:sz="4" w:space="0" w:color="auto"/>
            </w:tcBorders>
            <w:shd w:val="clear" w:color="auto" w:fill="auto"/>
            <w:noWrap/>
          </w:tcPr>
          <w:p w:rsidR="00EA4058" w:rsidRPr="00F822A1" w:rsidRDefault="00EA4058" w:rsidP="00924813">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All dementia</w:t>
            </w:r>
          </w:p>
        </w:tc>
        <w:tc>
          <w:tcPr>
            <w:tcW w:w="384" w:type="dxa"/>
            <w:tcBorders>
              <w:top w:val="single" w:sz="4" w:space="0" w:color="auto"/>
            </w:tcBorders>
          </w:tcPr>
          <w:p w:rsidR="00EA4058" w:rsidRPr="00F822A1" w:rsidRDefault="00EA4058" w:rsidP="00703C68">
            <w:pPr>
              <w:spacing w:after="0" w:line="240" w:lineRule="auto"/>
              <w:jc w:val="center"/>
              <w:rPr>
                <w:rFonts w:ascii="Arial" w:eastAsia="Times New Roman" w:hAnsi="Arial" w:cs="Arial"/>
                <w:sz w:val="24"/>
                <w:szCs w:val="24"/>
                <w:lang w:eastAsia="en-GB"/>
              </w:rPr>
            </w:pPr>
          </w:p>
        </w:tc>
        <w:tc>
          <w:tcPr>
            <w:tcW w:w="5115" w:type="dxa"/>
            <w:gridSpan w:val="3"/>
            <w:tcBorders>
              <w:top w:val="single" w:sz="4" w:space="0" w:color="auto"/>
              <w:bottom w:val="single" w:sz="4" w:space="0" w:color="auto"/>
              <w:right w:val="nil"/>
            </w:tcBorders>
            <w:shd w:val="clear" w:color="auto" w:fill="auto"/>
            <w:noWrap/>
          </w:tcPr>
          <w:p w:rsidR="00EA4058" w:rsidRPr="00F822A1" w:rsidRDefault="00EA4058" w:rsidP="00703C68">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Subtypes of dementia</w:t>
            </w:r>
          </w:p>
        </w:tc>
      </w:tr>
      <w:tr w:rsidR="00EA4058" w:rsidRPr="00F822A1" w:rsidTr="00EA4058">
        <w:trPr>
          <w:trHeight w:val="264"/>
        </w:trPr>
        <w:tc>
          <w:tcPr>
            <w:tcW w:w="1336" w:type="dxa"/>
            <w:vMerge/>
            <w:tcBorders>
              <w:left w:val="nil"/>
              <w:bottom w:val="single" w:sz="4" w:space="0" w:color="auto"/>
            </w:tcBorders>
            <w:shd w:val="clear" w:color="auto" w:fill="auto"/>
            <w:noWrap/>
            <w:hideMark/>
          </w:tcPr>
          <w:p w:rsidR="00EA4058" w:rsidRPr="00F822A1" w:rsidRDefault="00EA4058" w:rsidP="00703C68">
            <w:pPr>
              <w:spacing w:after="0" w:line="240" w:lineRule="auto"/>
              <w:rPr>
                <w:rFonts w:ascii="Arial" w:eastAsia="Times New Roman" w:hAnsi="Arial" w:cs="Arial"/>
                <w:sz w:val="24"/>
                <w:szCs w:val="24"/>
                <w:lang w:eastAsia="en-GB"/>
              </w:rPr>
            </w:pPr>
          </w:p>
        </w:tc>
        <w:tc>
          <w:tcPr>
            <w:tcW w:w="1487" w:type="dxa"/>
            <w:vMerge/>
            <w:tcBorders>
              <w:bottom w:val="single" w:sz="4" w:space="0" w:color="auto"/>
            </w:tcBorders>
            <w:shd w:val="clear" w:color="auto" w:fill="auto"/>
            <w:noWrap/>
            <w:hideMark/>
          </w:tcPr>
          <w:p w:rsidR="00EA4058" w:rsidRPr="00F822A1" w:rsidRDefault="00EA4058" w:rsidP="00703C68">
            <w:pPr>
              <w:spacing w:after="0" w:line="240" w:lineRule="auto"/>
              <w:jc w:val="center"/>
              <w:rPr>
                <w:rFonts w:ascii="Arial" w:eastAsia="Times New Roman" w:hAnsi="Arial" w:cs="Arial"/>
                <w:sz w:val="24"/>
                <w:szCs w:val="24"/>
                <w:lang w:eastAsia="en-GB"/>
              </w:rPr>
            </w:pPr>
          </w:p>
        </w:tc>
        <w:tc>
          <w:tcPr>
            <w:tcW w:w="384" w:type="dxa"/>
          </w:tcPr>
          <w:p w:rsidR="00EA4058" w:rsidRPr="00F822A1" w:rsidRDefault="00EA4058" w:rsidP="00703C68">
            <w:pPr>
              <w:spacing w:after="0" w:line="240" w:lineRule="auto"/>
              <w:jc w:val="center"/>
              <w:rPr>
                <w:rFonts w:ascii="Arial" w:eastAsia="Times New Roman" w:hAnsi="Arial" w:cs="Arial"/>
                <w:sz w:val="24"/>
                <w:szCs w:val="24"/>
                <w:lang w:eastAsia="en-GB"/>
              </w:rPr>
            </w:pPr>
          </w:p>
        </w:tc>
        <w:tc>
          <w:tcPr>
            <w:tcW w:w="1665" w:type="dxa"/>
            <w:tcBorders>
              <w:top w:val="single" w:sz="4" w:space="0" w:color="auto"/>
              <w:bottom w:val="single" w:sz="4" w:space="0" w:color="auto"/>
              <w:right w:val="nil"/>
            </w:tcBorders>
            <w:shd w:val="clear" w:color="auto" w:fill="auto"/>
            <w:noWrap/>
            <w:hideMark/>
          </w:tcPr>
          <w:p w:rsidR="00EA4058" w:rsidRPr="00F822A1" w:rsidRDefault="00EA4058" w:rsidP="00703C68">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Alzheimer’s disease</w:t>
            </w:r>
          </w:p>
        </w:tc>
        <w:tc>
          <w:tcPr>
            <w:tcW w:w="1633" w:type="dxa"/>
            <w:tcBorders>
              <w:top w:val="single" w:sz="4" w:space="0" w:color="auto"/>
              <w:left w:val="nil"/>
              <w:bottom w:val="single" w:sz="4" w:space="0" w:color="auto"/>
              <w:right w:val="nil"/>
            </w:tcBorders>
            <w:shd w:val="clear" w:color="auto" w:fill="auto"/>
            <w:noWrap/>
            <w:hideMark/>
          </w:tcPr>
          <w:p w:rsidR="00EA4058" w:rsidRPr="00F822A1" w:rsidRDefault="00EA4058" w:rsidP="00703C68">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Vascular dementia</w:t>
            </w:r>
          </w:p>
        </w:tc>
        <w:tc>
          <w:tcPr>
            <w:tcW w:w="1817" w:type="dxa"/>
            <w:tcBorders>
              <w:top w:val="single" w:sz="4" w:space="0" w:color="auto"/>
              <w:left w:val="nil"/>
              <w:bottom w:val="single" w:sz="4" w:space="0" w:color="auto"/>
              <w:right w:val="nil"/>
            </w:tcBorders>
          </w:tcPr>
          <w:p w:rsidR="00EA4058" w:rsidRPr="00F822A1" w:rsidRDefault="00EA4058" w:rsidP="00703C68">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Other/Unspecified dementia</w:t>
            </w:r>
          </w:p>
        </w:tc>
      </w:tr>
      <w:tr w:rsidR="00EA4058" w:rsidRPr="00F822A1" w:rsidTr="00EA4058">
        <w:trPr>
          <w:trHeight w:val="264"/>
        </w:trPr>
        <w:tc>
          <w:tcPr>
            <w:tcW w:w="1336" w:type="dxa"/>
            <w:tcBorders>
              <w:top w:val="single" w:sz="4" w:space="0" w:color="auto"/>
              <w:left w:val="nil"/>
              <w:bottom w:val="nil"/>
            </w:tcBorders>
            <w:shd w:val="clear" w:color="auto" w:fill="auto"/>
            <w:noWrap/>
            <w:hideMark/>
          </w:tcPr>
          <w:p w:rsidR="00EA4058" w:rsidRPr="00F822A1" w:rsidRDefault="00EA4058" w:rsidP="00703C68">
            <w:pPr>
              <w:spacing w:after="0" w:line="240" w:lineRule="auto"/>
              <w:rPr>
                <w:rFonts w:ascii="Arial" w:eastAsia="Times New Roman" w:hAnsi="Arial" w:cs="Arial"/>
                <w:b/>
                <w:sz w:val="24"/>
                <w:szCs w:val="24"/>
                <w:lang w:eastAsia="en-GB"/>
              </w:rPr>
            </w:pPr>
            <w:r w:rsidRPr="00F822A1">
              <w:rPr>
                <w:rFonts w:ascii="Arial" w:eastAsia="Times New Roman" w:hAnsi="Arial" w:cs="Arial"/>
                <w:b/>
                <w:sz w:val="24"/>
                <w:szCs w:val="24"/>
                <w:lang w:eastAsia="en-GB"/>
              </w:rPr>
              <w:t>Male</w:t>
            </w:r>
          </w:p>
        </w:tc>
        <w:tc>
          <w:tcPr>
            <w:tcW w:w="1487" w:type="dxa"/>
            <w:tcBorders>
              <w:top w:val="single" w:sz="4" w:space="0" w:color="auto"/>
              <w:bottom w:val="nil"/>
            </w:tcBorders>
            <w:shd w:val="clear" w:color="auto" w:fill="auto"/>
            <w:noWrap/>
            <w:hideMark/>
          </w:tcPr>
          <w:p w:rsidR="00EA4058" w:rsidRPr="00F822A1" w:rsidRDefault="00EA4058" w:rsidP="00703C68">
            <w:pPr>
              <w:spacing w:after="0" w:line="240" w:lineRule="auto"/>
              <w:jc w:val="center"/>
              <w:rPr>
                <w:rFonts w:ascii="Arial" w:eastAsia="Times New Roman" w:hAnsi="Arial" w:cs="Arial"/>
                <w:sz w:val="24"/>
                <w:szCs w:val="24"/>
                <w:lang w:eastAsia="en-GB"/>
              </w:rPr>
            </w:pPr>
          </w:p>
        </w:tc>
        <w:tc>
          <w:tcPr>
            <w:tcW w:w="384" w:type="dxa"/>
          </w:tcPr>
          <w:p w:rsidR="00EA4058" w:rsidRPr="00F822A1" w:rsidRDefault="00EA4058" w:rsidP="00703C68">
            <w:pPr>
              <w:spacing w:after="0" w:line="240" w:lineRule="auto"/>
              <w:jc w:val="center"/>
              <w:rPr>
                <w:rFonts w:ascii="Arial" w:eastAsia="Times New Roman" w:hAnsi="Arial" w:cs="Arial"/>
                <w:sz w:val="24"/>
                <w:szCs w:val="24"/>
                <w:lang w:eastAsia="en-GB"/>
              </w:rPr>
            </w:pPr>
          </w:p>
        </w:tc>
        <w:tc>
          <w:tcPr>
            <w:tcW w:w="1665" w:type="dxa"/>
            <w:tcBorders>
              <w:top w:val="single" w:sz="4" w:space="0" w:color="auto"/>
              <w:bottom w:val="nil"/>
              <w:right w:val="nil"/>
            </w:tcBorders>
            <w:shd w:val="clear" w:color="auto" w:fill="auto"/>
            <w:noWrap/>
            <w:hideMark/>
          </w:tcPr>
          <w:p w:rsidR="00EA4058" w:rsidRPr="00F822A1" w:rsidRDefault="00EA4058" w:rsidP="00703C68">
            <w:pPr>
              <w:spacing w:after="0" w:line="240" w:lineRule="auto"/>
              <w:jc w:val="center"/>
              <w:rPr>
                <w:rFonts w:ascii="Arial" w:eastAsia="Times New Roman" w:hAnsi="Arial" w:cs="Arial"/>
                <w:sz w:val="24"/>
                <w:szCs w:val="24"/>
                <w:lang w:eastAsia="en-GB"/>
              </w:rPr>
            </w:pPr>
          </w:p>
        </w:tc>
        <w:tc>
          <w:tcPr>
            <w:tcW w:w="1633" w:type="dxa"/>
            <w:tcBorders>
              <w:top w:val="single" w:sz="4" w:space="0" w:color="auto"/>
              <w:left w:val="nil"/>
              <w:bottom w:val="nil"/>
              <w:right w:val="nil"/>
            </w:tcBorders>
            <w:shd w:val="clear" w:color="auto" w:fill="auto"/>
            <w:noWrap/>
            <w:hideMark/>
          </w:tcPr>
          <w:p w:rsidR="00EA4058" w:rsidRPr="00F822A1" w:rsidRDefault="00EA4058" w:rsidP="00703C68">
            <w:pPr>
              <w:spacing w:after="0" w:line="240" w:lineRule="auto"/>
              <w:jc w:val="center"/>
              <w:rPr>
                <w:rFonts w:ascii="Arial" w:eastAsia="Times New Roman" w:hAnsi="Arial" w:cs="Arial"/>
                <w:sz w:val="24"/>
                <w:szCs w:val="24"/>
                <w:lang w:eastAsia="en-GB"/>
              </w:rPr>
            </w:pPr>
          </w:p>
        </w:tc>
        <w:tc>
          <w:tcPr>
            <w:tcW w:w="1817" w:type="dxa"/>
            <w:tcBorders>
              <w:top w:val="single" w:sz="4" w:space="0" w:color="auto"/>
              <w:left w:val="nil"/>
              <w:bottom w:val="nil"/>
              <w:right w:val="nil"/>
            </w:tcBorders>
          </w:tcPr>
          <w:p w:rsidR="00EA4058" w:rsidRPr="00F822A1" w:rsidRDefault="00EA4058" w:rsidP="00703C68">
            <w:pPr>
              <w:spacing w:after="0" w:line="240" w:lineRule="auto"/>
              <w:jc w:val="center"/>
              <w:rPr>
                <w:rFonts w:ascii="Arial" w:eastAsia="Times New Roman" w:hAnsi="Arial" w:cs="Arial"/>
                <w:sz w:val="24"/>
                <w:szCs w:val="24"/>
                <w:lang w:eastAsia="en-GB"/>
              </w:rPr>
            </w:pPr>
          </w:p>
        </w:tc>
      </w:tr>
      <w:tr w:rsidR="00EA4058" w:rsidRPr="00F822A1" w:rsidTr="00EA4058">
        <w:trPr>
          <w:trHeight w:val="264"/>
        </w:trPr>
        <w:tc>
          <w:tcPr>
            <w:tcW w:w="1336" w:type="dxa"/>
            <w:tcBorders>
              <w:left w:val="nil"/>
              <w:bottom w:val="nil"/>
            </w:tcBorders>
            <w:shd w:val="clear" w:color="auto" w:fill="auto"/>
            <w:noWrap/>
            <w:hideMark/>
          </w:tcPr>
          <w:p w:rsidR="00EA4058" w:rsidRPr="00F822A1" w:rsidRDefault="00EA4058" w:rsidP="00765C59">
            <w:pPr>
              <w:spacing w:after="0" w:line="240" w:lineRule="auto"/>
              <w:ind w:firstLine="338"/>
              <w:rPr>
                <w:rFonts w:ascii="Arial" w:eastAsia="Times New Roman" w:hAnsi="Arial" w:cs="Arial"/>
                <w:sz w:val="24"/>
                <w:szCs w:val="24"/>
                <w:lang w:eastAsia="en-GB"/>
              </w:rPr>
            </w:pPr>
            <w:r w:rsidRPr="00F822A1">
              <w:rPr>
                <w:rFonts w:ascii="Arial" w:eastAsia="Times New Roman" w:hAnsi="Arial" w:cs="Arial"/>
                <w:sz w:val="24"/>
                <w:szCs w:val="24"/>
                <w:lang w:eastAsia="en-GB"/>
              </w:rPr>
              <w:t>&lt;50</w:t>
            </w:r>
          </w:p>
        </w:tc>
        <w:tc>
          <w:tcPr>
            <w:tcW w:w="1487" w:type="dxa"/>
            <w:tcBorders>
              <w:bottom w:val="nil"/>
            </w:tcBorders>
            <w:shd w:val="clear" w:color="auto" w:fill="auto"/>
            <w:noWrap/>
            <w:hideMark/>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0.02 (53)</w:t>
            </w:r>
          </w:p>
        </w:tc>
        <w:tc>
          <w:tcPr>
            <w:tcW w:w="384" w:type="dxa"/>
          </w:tcPr>
          <w:p w:rsidR="00EA4058" w:rsidRPr="00F822A1" w:rsidRDefault="00EA4058" w:rsidP="00EA4058">
            <w:pPr>
              <w:spacing w:after="0"/>
              <w:contextualSpacing/>
              <w:jc w:val="center"/>
              <w:rPr>
                <w:rFonts w:ascii="Arial" w:hAnsi="Arial" w:cs="Arial"/>
                <w:color w:val="000000"/>
                <w:sz w:val="24"/>
                <w:szCs w:val="24"/>
              </w:rPr>
            </w:pPr>
          </w:p>
        </w:tc>
        <w:tc>
          <w:tcPr>
            <w:tcW w:w="1665" w:type="dxa"/>
            <w:tcBorders>
              <w:bottom w:val="nil"/>
              <w:right w:val="nil"/>
            </w:tcBorders>
            <w:shd w:val="clear" w:color="auto" w:fill="auto"/>
            <w:noWrap/>
            <w:hideMark/>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0.02 (38)</w:t>
            </w:r>
          </w:p>
        </w:tc>
        <w:tc>
          <w:tcPr>
            <w:tcW w:w="1633" w:type="dxa"/>
            <w:tcBorders>
              <w:left w:val="nil"/>
              <w:bottom w:val="nil"/>
              <w:right w:val="nil"/>
            </w:tcBorders>
            <w:shd w:val="clear" w:color="auto" w:fill="auto"/>
            <w:noWrap/>
            <w:hideMark/>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0.00 (2)</w:t>
            </w:r>
          </w:p>
        </w:tc>
        <w:tc>
          <w:tcPr>
            <w:tcW w:w="1817" w:type="dxa"/>
            <w:tcBorders>
              <w:left w:val="nil"/>
              <w:bottom w:val="nil"/>
              <w:right w:val="nil"/>
            </w:tcBorders>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0.01 (13)</w:t>
            </w:r>
          </w:p>
        </w:tc>
      </w:tr>
      <w:tr w:rsidR="00EA4058" w:rsidRPr="00F822A1" w:rsidTr="00EA4058">
        <w:trPr>
          <w:trHeight w:val="264"/>
        </w:trPr>
        <w:tc>
          <w:tcPr>
            <w:tcW w:w="1336" w:type="dxa"/>
            <w:tcBorders>
              <w:top w:val="nil"/>
              <w:left w:val="nil"/>
              <w:bottom w:val="nil"/>
            </w:tcBorders>
            <w:shd w:val="clear" w:color="auto" w:fill="auto"/>
            <w:noWrap/>
            <w:hideMark/>
          </w:tcPr>
          <w:p w:rsidR="00EA4058" w:rsidRPr="00F822A1" w:rsidRDefault="00EA4058" w:rsidP="00765C59">
            <w:pPr>
              <w:spacing w:after="0" w:line="240" w:lineRule="auto"/>
              <w:ind w:firstLine="338"/>
              <w:rPr>
                <w:rFonts w:ascii="Arial" w:eastAsia="Times New Roman" w:hAnsi="Arial" w:cs="Arial"/>
                <w:sz w:val="24"/>
                <w:szCs w:val="24"/>
                <w:lang w:eastAsia="en-GB"/>
              </w:rPr>
            </w:pPr>
            <w:r w:rsidRPr="00F822A1">
              <w:rPr>
                <w:rFonts w:ascii="Arial" w:eastAsia="Times New Roman" w:hAnsi="Arial" w:cs="Arial"/>
                <w:sz w:val="24"/>
                <w:szCs w:val="24"/>
                <w:lang w:eastAsia="en-GB"/>
              </w:rPr>
              <w:t>50-60</w:t>
            </w:r>
          </w:p>
        </w:tc>
        <w:tc>
          <w:tcPr>
            <w:tcW w:w="1487" w:type="dxa"/>
            <w:tcBorders>
              <w:top w:val="nil"/>
              <w:bottom w:val="nil"/>
            </w:tcBorders>
            <w:shd w:val="clear" w:color="auto" w:fill="auto"/>
            <w:noWrap/>
            <w:hideMark/>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0.16 (459)</w:t>
            </w:r>
          </w:p>
        </w:tc>
        <w:tc>
          <w:tcPr>
            <w:tcW w:w="384" w:type="dxa"/>
          </w:tcPr>
          <w:p w:rsidR="00EA4058" w:rsidRPr="00F822A1" w:rsidRDefault="00EA4058" w:rsidP="00EA4058">
            <w:pPr>
              <w:spacing w:after="0"/>
              <w:contextualSpacing/>
              <w:jc w:val="center"/>
              <w:rPr>
                <w:rFonts w:ascii="Arial" w:hAnsi="Arial" w:cs="Arial"/>
                <w:color w:val="000000"/>
                <w:sz w:val="24"/>
                <w:szCs w:val="24"/>
              </w:rPr>
            </w:pPr>
          </w:p>
        </w:tc>
        <w:tc>
          <w:tcPr>
            <w:tcW w:w="1665" w:type="dxa"/>
            <w:tcBorders>
              <w:top w:val="nil"/>
              <w:bottom w:val="nil"/>
              <w:right w:val="nil"/>
            </w:tcBorders>
            <w:shd w:val="clear" w:color="auto" w:fill="auto"/>
            <w:noWrap/>
            <w:hideMark/>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0.11 (316)</w:t>
            </w:r>
          </w:p>
        </w:tc>
        <w:tc>
          <w:tcPr>
            <w:tcW w:w="1633" w:type="dxa"/>
            <w:tcBorders>
              <w:top w:val="nil"/>
              <w:left w:val="nil"/>
              <w:bottom w:val="nil"/>
              <w:right w:val="nil"/>
            </w:tcBorders>
            <w:shd w:val="clear" w:color="auto" w:fill="auto"/>
            <w:noWrap/>
            <w:hideMark/>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0.02 (70)</w:t>
            </w:r>
          </w:p>
        </w:tc>
        <w:tc>
          <w:tcPr>
            <w:tcW w:w="1817" w:type="dxa"/>
            <w:tcBorders>
              <w:top w:val="nil"/>
              <w:left w:val="nil"/>
              <w:bottom w:val="nil"/>
              <w:right w:val="nil"/>
            </w:tcBorders>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0.02 (73)</w:t>
            </w:r>
          </w:p>
        </w:tc>
      </w:tr>
      <w:tr w:rsidR="00EA4058" w:rsidRPr="00F822A1" w:rsidTr="00EA4058">
        <w:trPr>
          <w:trHeight w:val="264"/>
        </w:trPr>
        <w:tc>
          <w:tcPr>
            <w:tcW w:w="1336" w:type="dxa"/>
            <w:tcBorders>
              <w:top w:val="nil"/>
              <w:left w:val="nil"/>
              <w:bottom w:val="nil"/>
            </w:tcBorders>
            <w:shd w:val="clear" w:color="auto" w:fill="auto"/>
            <w:noWrap/>
            <w:hideMark/>
          </w:tcPr>
          <w:p w:rsidR="00EA4058" w:rsidRPr="00F822A1" w:rsidRDefault="00EA4058" w:rsidP="00765C59">
            <w:pPr>
              <w:spacing w:after="0" w:line="240" w:lineRule="auto"/>
              <w:ind w:firstLine="338"/>
              <w:rPr>
                <w:rFonts w:ascii="Arial" w:eastAsia="Times New Roman" w:hAnsi="Arial" w:cs="Arial"/>
                <w:sz w:val="24"/>
                <w:szCs w:val="24"/>
                <w:lang w:eastAsia="en-GB"/>
              </w:rPr>
            </w:pPr>
            <w:r w:rsidRPr="00F822A1">
              <w:rPr>
                <w:rFonts w:ascii="Arial" w:eastAsia="Times New Roman" w:hAnsi="Arial" w:cs="Arial"/>
                <w:sz w:val="24"/>
                <w:szCs w:val="24"/>
                <w:lang w:eastAsia="en-GB"/>
              </w:rPr>
              <w:t>60-70</w:t>
            </w:r>
          </w:p>
        </w:tc>
        <w:tc>
          <w:tcPr>
            <w:tcW w:w="1487" w:type="dxa"/>
            <w:tcBorders>
              <w:top w:val="nil"/>
              <w:bottom w:val="nil"/>
            </w:tcBorders>
            <w:shd w:val="clear" w:color="auto" w:fill="auto"/>
            <w:noWrap/>
            <w:hideMark/>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0.85 (2174)</w:t>
            </w:r>
          </w:p>
        </w:tc>
        <w:tc>
          <w:tcPr>
            <w:tcW w:w="384" w:type="dxa"/>
          </w:tcPr>
          <w:p w:rsidR="00EA4058" w:rsidRPr="00F822A1" w:rsidRDefault="00EA4058" w:rsidP="00EA4058">
            <w:pPr>
              <w:spacing w:after="0"/>
              <w:contextualSpacing/>
              <w:jc w:val="center"/>
              <w:rPr>
                <w:rFonts w:ascii="Arial" w:hAnsi="Arial" w:cs="Arial"/>
                <w:color w:val="000000"/>
                <w:sz w:val="24"/>
                <w:szCs w:val="24"/>
              </w:rPr>
            </w:pPr>
          </w:p>
        </w:tc>
        <w:tc>
          <w:tcPr>
            <w:tcW w:w="1665" w:type="dxa"/>
            <w:tcBorders>
              <w:top w:val="nil"/>
              <w:bottom w:val="nil"/>
              <w:right w:val="nil"/>
            </w:tcBorders>
            <w:shd w:val="clear" w:color="auto" w:fill="auto"/>
            <w:noWrap/>
            <w:hideMark/>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0.58 (1480)</w:t>
            </w:r>
          </w:p>
        </w:tc>
        <w:tc>
          <w:tcPr>
            <w:tcW w:w="1633" w:type="dxa"/>
            <w:tcBorders>
              <w:top w:val="nil"/>
              <w:left w:val="nil"/>
              <w:bottom w:val="nil"/>
              <w:right w:val="nil"/>
            </w:tcBorders>
            <w:shd w:val="clear" w:color="auto" w:fill="auto"/>
            <w:noWrap/>
            <w:hideMark/>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0.19 (474)</w:t>
            </w:r>
          </w:p>
        </w:tc>
        <w:tc>
          <w:tcPr>
            <w:tcW w:w="1817" w:type="dxa"/>
            <w:tcBorders>
              <w:top w:val="nil"/>
              <w:left w:val="nil"/>
              <w:bottom w:val="nil"/>
              <w:right w:val="nil"/>
            </w:tcBorders>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0.09 (220)</w:t>
            </w:r>
          </w:p>
        </w:tc>
      </w:tr>
      <w:tr w:rsidR="00EA4058" w:rsidRPr="00F822A1" w:rsidTr="00EA4058">
        <w:trPr>
          <w:trHeight w:val="264"/>
        </w:trPr>
        <w:tc>
          <w:tcPr>
            <w:tcW w:w="1336" w:type="dxa"/>
            <w:tcBorders>
              <w:top w:val="nil"/>
              <w:left w:val="nil"/>
              <w:bottom w:val="nil"/>
            </w:tcBorders>
            <w:shd w:val="clear" w:color="auto" w:fill="auto"/>
            <w:noWrap/>
            <w:hideMark/>
          </w:tcPr>
          <w:p w:rsidR="00EA4058" w:rsidRPr="00F822A1" w:rsidRDefault="00EA4058" w:rsidP="00765C59">
            <w:pPr>
              <w:spacing w:after="0" w:line="240" w:lineRule="auto"/>
              <w:ind w:firstLine="338"/>
              <w:rPr>
                <w:rFonts w:ascii="Arial" w:eastAsia="Times New Roman" w:hAnsi="Arial" w:cs="Arial"/>
                <w:sz w:val="24"/>
                <w:szCs w:val="24"/>
                <w:lang w:eastAsia="en-GB"/>
              </w:rPr>
            </w:pPr>
            <w:r w:rsidRPr="00F822A1">
              <w:rPr>
                <w:rFonts w:ascii="Arial" w:eastAsia="Times New Roman" w:hAnsi="Arial" w:cs="Arial"/>
                <w:sz w:val="24"/>
                <w:szCs w:val="24"/>
                <w:lang w:eastAsia="en-GB"/>
              </w:rPr>
              <w:t>70-80</w:t>
            </w:r>
          </w:p>
        </w:tc>
        <w:tc>
          <w:tcPr>
            <w:tcW w:w="1487" w:type="dxa"/>
            <w:tcBorders>
              <w:top w:val="nil"/>
              <w:bottom w:val="nil"/>
            </w:tcBorders>
            <w:shd w:val="clear" w:color="auto" w:fill="auto"/>
            <w:noWrap/>
            <w:hideMark/>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5.02 (8624)</w:t>
            </w:r>
          </w:p>
        </w:tc>
        <w:tc>
          <w:tcPr>
            <w:tcW w:w="384" w:type="dxa"/>
          </w:tcPr>
          <w:p w:rsidR="00EA4058" w:rsidRPr="00F822A1" w:rsidRDefault="00EA4058" w:rsidP="00EA4058">
            <w:pPr>
              <w:spacing w:after="0"/>
              <w:contextualSpacing/>
              <w:jc w:val="center"/>
              <w:rPr>
                <w:rFonts w:ascii="Arial" w:hAnsi="Arial" w:cs="Arial"/>
                <w:color w:val="000000"/>
                <w:sz w:val="24"/>
                <w:szCs w:val="24"/>
              </w:rPr>
            </w:pPr>
          </w:p>
        </w:tc>
        <w:tc>
          <w:tcPr>
            <w:tcW w:w="1665" w:type="dxa"/>
            <w:tcBorders>
              <w:top w:val="nil"/>
              <w:bottom w:val="nil"/>
              <w:right w:val="nil"/>
            </w:tcBorders>
            <w:shd w:val="clear" w:color="auto" w:fill="auto"/>
            <w:noWrap/>
            <w:hideMark/>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3.42 (5869)</w:t>
            </w:r>
          </w:p>
        </w:tc>
        <w:tc>
          <w:tcPr>
            <w:tcW w:w="1633" w:type="dxa"/>
            <w:tcBorders>
              <w:top w:val="nil"/>
              <w:left w:val="nil"/>
              <w:bottom w:val="nil"/>
              <w:right w:val="nil"/>
            </w:tcBorders>
            <w:shd w:val="clear" w:color="auto" w:fill="auto"/>
            <w:noWrap/>
            <w:hideMark/>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1.28 (2204)</w:t>
            </w:r>
          </w:p>
        </w:tc>
        <w:tc>
          <w:tcPr>
            <w:tcW w:w="1817" w:type="dxa"/>
            <w:tcBorders>
              <w:top w:val="nil"/>
              <w:left w:val="nil"/>
              <w:bottom w:val="nil"/>
              <w:right w:val="nil"/>
            </w:tcBorders>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0.32 (551)</w:t>
            </w:r>
          </w:p>
        </w:tc>
      </w:tr>
      <w:tr w:rsidR="00EA4058" w:rsidRPr="00F822A1" w:rsidTr="00EA4058">
        <w:trPr>
          <w:trHeight w:val="335"/>
        </w:trPr>
        <w:tc>
          <w:tcPr>
            <w:tcW w:w="1336" w:type="dxa"/>
            <w:tcBorders>
              <w:top w:val="nil"/>
              <w:left w:val="nil"/>
              <w:bottom w:val="nil"/>
            </w:tcBorders>
            <w:shd w:val="clear" w:color="auto" w:fill="auto"/>
            <w:noWrap/>
            <w:hideMark/>
          </w:tcPr>
          <w:p w:rsidR="00EA4058" w:rsidRPr="00F822A1" w:rsidRDefault="00EA4058" w:rsidP="00765C59">
            <w:pPr>
              <w:spacing w:after="0" w:line="240" w:lineRule="auto"/>
              <w:ind w:firstLine="338"/>
              <w:rPr>
                <w:rFonts w:ascii="Arial" w:eastAsia="Times New Roman" w:hAnsi="Arial" w:cs="Arial"/>
                <w:sz w:val="24"/>
                <w:szCs w:val="24"/>
                <w:lang w:eastAsia="en-GB"/>
              </w:rPr>
            </w:pPr>
            <w:r w:rsidRPr="00F822A1">
              <w:rPr>
                <w:rFonts w:ascii="Arial" w:eastAsia="Times New Roman" w:hAnsi="Arial" w:cs="Arial"/>
                <w:sz w:val="24"/>
                <w:szCs w:val="24"/>
                <w:lang w:eastAsia="en-GB"/>
              </w:rPr>
              <w:t>80+</w:t>
            </w:r>
          </w:p>
        </w:tc>
        <w:tc>
          <w:tcPr>
            <w:tcW w:w="1487" w:type="dxa"/>
            <w:tcBorders>
              <w:top w:val="nil"/>
              <w:bottom w:val="nil"/>
            </w:tcBorders>
            <w:shd w:val="clear" w:color="auto" w:fill="auto"/>
            <w:noWrap/>
            <w:hideMark/>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16.17 (12052)</w:t>
            </w:r>
          </w:p>
        </w:tc>
        <w:tc>
          <w:tcPr>
            <w:tcW w:w="384" w:type="dxa"/>
          </w:tcPr>
          <w:p w:rsidR="00EA4058" w:rsidRPr="00F822A1" w:rsidRDefault="00EA4058" w:rsidP="00EA4058">
            <w:pPr>
              <w:spacing w:after="0"/>
              <w:contextualSpacing/>
              <w:jc w:val="center"/>
              <w:rPr>
                <w:rFonts w:ascii="Arial" w:hAnsi="Arial" w:cs="Arial"/>
                <w:color w:val="000000"/>
                <w:sz w:val="24"/>
                <w:szCs w:val="24"/>
              </w:rPr>
            </w:pPr>
          </w:p>
        </w:tc>
        <w:tc>
          <w:tcPr>
            <w:tcW w:w="1665" w:type="dxa"/>
            <w:tcBorders>
              <w:top w:val="nil"/>
              <w:bottom w:val="nil"/>
              <w:right w:val="nil"/>
            </w:tcBorders>
            <w:shd w:val="clear" w:color="auto" w:fill="auto"/>
            <w:noWrap/>
            <w:hideMark/>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11.57 (8627)</w:t>
            </w:r>
          </w:p>
        </w:tc>
        <w:tc>
          <w:tcPr>
            <w:tcW w:w="1633" w:type="dxa"/>
            <w:tcBorders>
              <w:top w:val="nil"/>
              <w:left w:val="nil"/>
              <w:bottom w:val="nil"/>
              <w:right w:val="nil"/>
            </w:tcBorders>
            <w:shd w:val="clear" w:color="auto" w:fill="auto"/>
            <w:noWrap/>
            <w:hideMark/>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4.01 (2991)</w:t>
            </w:r>
          </w:p>
        </w:tc>
        <w:tc>
          <w:tcPr>
            <w:tcW w:w="1817" w:type="dxa"/>
            <w:tcBorders>
              <w:top w:val="nil"/>
              <w:left w:val="nil"/>
              <w:bottom w:val="nil"/>
              <w:right w:val="nil"/>
            </w:tcBorders>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0.58 (434)</w:t>
            </w:r>
          </w:p>
        </w:tc>
      </w:tr>
      <w:tr w:rsidR="00EA4058" w:rsidRPr="00F822A1" w:rsidTr="00EA4058">
        <w:trPr>
          <w:trHeight w:val="264"/>
        </w:trPr>
        <w:tc>
          <w:tcPr>
            <w:tcW w:w="1336" w:type="dxa"/>
            <w:tcBorders>
              <w:top w:val="nil"/>
              <w:left w:val="nil"/>
              <w:bottom w:val="nil"/>
            </w:tcBorders>
            <w:shd w:val="clear" w:color="auto" w:fill="auto"/>
            <w:noWrap/>
            <w:hideMark/>
          </w:tcPr>
          <w:p w:rsidR="00EA4058" w:rsidRPr="00F822A1" w:rsidRDefault="00EA4058" w:rsidP="00765C59">
            <w:pPr>
              <w:spacing w:after="0" w:line="240" w:lineRule="auto"/>
              <w:rPr>
                <w:rFonts w:ascii="Arial" w:eastAsia="Times New Roman" w:hAnsi="Arial" w:cs="Arial"/>
                <w:b/>
                <w:sz w:val="24"/>
                <w:szCs w:val="24"/>
                <w:lang w:eastAsia="en-GB"/>
              </w:rPr>
            </w:pPr>
            <w:r w:rsidRPr="00F822A1">
              <w:rPr>
                <w:rFonts w:ascii="Arial" w:eastAsia="Times New Roman" w:hAnsi="Arial" w:cs="Arial"/>
                <w:b/>
                <w:sz w:val="24"/>
                <w:szCs w:val="24"/>
                <w:lang w:eastAsia="en-GB"/>
              </w:rPr>
              <w:t>Female</w:t>
            </w:r>
          </w:p>
        </w:tc>
        <w:tc>
          <w:tcPr>
            <w:tcW w:w="1487" w:type="dxa"/>
            <w:tcBorders>
              <w:top w:val="nil"/>
              <w:bottom w:val="nil"/>
            </w:tcBorders>
            <w:shd w:val="clear" w:color="auto" w:fill="auto"/>
            <w:noWrap/>
            <w:hideMark/>
          </w:tcPr>
          <w:p w:rsidR="00EA4058" w:rsidRPr="00F822A1" w:rsidRDefault="00EA4058" w:rsidP="00EA4058">
            <w:pPr>
              <w:spacing w:after="0"/>
              <w:contextualSpacing/>
              <w:jc w:val="center"/>
              <w:rPr>
                <w:rFonts w:ascii="Arial" w:hAnsi="Arial" w:cs="Arial"/>
                <w:color w:val="000000"/>
                <w:sz w:val="24"/>
                <w:szCs w:val="24"/>
              </w:rPr>
            </w:pPr>
          </w:p>
        </w:tc>
        <w:tc>
          <w:tcPr>
            <w:tcW w:w="384" w:type="dxa"/>
          </w:tcPr>
          <w:p w:rsidR="00EA4058" w:rsidRPr="00F822A1" w:rsidRDefault="00EA4058" w:rsidP="00EA4058">
            <w:pPr>
              <w:spacing w:after="0"/>
              <w:contextualSpacing/>
              <w:jc w:val="center"/>
              <w:rPr>
                <w:rFonts w:ascii="Arial" w:hAnsi="Arial" w:cs="Arial"/>
                <w:sz w:val="24"/>
                <w:szCs w:val="24"/>
              </w:rPr>
            </w:pPr>
          </w:p>
        </w:tc>
        <w:tc>
          <w:tcPr>
            <w:tcW w:w="1665" w:type="dxa"/>
            <w:tcBorders>
              <w:top w:val="nil"/>
              <w:bottom w:val="nil"/>
              <w:right w:val="nil"/>
            </w:tcBorders>
            <w:shd w:val="clear" w:color="auto" w:fill="auto"/>
            <w:noWrap/>
            <w:hideMark/>
          </w:tcPr>
          <w:p w:rsidR="00EA4058" w:rsidRPr="00F822A1" w:rsidRDefault="00EA4058" w:rsidP="00EA4058">
            <w:pPr>
              <w:spacing w:after="0"/>
              <w:contextualSpacing/>
              <w:jc w:val="center"/>
              <w:rPr>
                <w:rFonts w:ascii="Arial" w:hAnsi="Arial" w:cs="Arial"/>
                <w:sz w:val="24"/>
                <w:szCs w:val="24"/>
              </w:rPr>
            </w:pPr>
          </w:p>
        </w:tc>
        <w:tc>
          <w:tcPr>
            <w:tcW w:w="1633" w:type="dxa"/>
            <w:tcBorders>
              <w:top w:val="nil"/>
              <w:left w:val="nil"/>
              <w:bottom w:val="nil"/>
              <w:right w:val="nil"/>
            </w:tcBorders>
            <w:shd w:val="clear" w:color="auto" w:fill="auto"/>
            <w:noWrap/>
            <w:hideMark/>
          </w:tcPr>
          <w:p w:rsidR="00EA4058" w:rsidRPr="00F822A1" w:rsidRDefault="00EA4058" w:rsidP="00EA4058">
            <w:pPr>
              <w:spacing w:after="0"/>
              <w:contextualSpacing/>
              <w:jc w:val="center"/>
              <w:rPr>
                <w:rFonts w:ascii="Arial" w:hAnsi="Arial" w:cs="Arial"/>
                <w:sz w:val="24"/>
                <w:szCs w:val="24"/>
              </w:rPr>
            </w:pPr>
          </w:p>
        </w:tc>
        <w:tc>
          <w:tcPr>
            <w:tcW w:w="1817" w:type="dxa"/>
            <w:tcBorders>
              <w:top w:val="nil"/>
              <w:left w:val="nil"/>
              <w:bottom w:val="nil"/>
              <w:right w:val="nil"/>
            </w:tcBorders>
          </w:tcPr>
          <w:p w:rsidR="00EA4058" w:rsidRPr="00F822A1" w:rsidRDefault="00EA4058" w:rsidP="00EA4058">
            <w:pPr>
              <w:spacing w:after="0"/>
              <w:contextualSpacing/>
              <w:jc w:val="center"/>
              <w:rPr>
                <w:rFonts w:ascii="Arial" w:hAnsi="Arial" w:cs="Arial"/>
                <w:sz w:val="24"/>
                <w:szCs w:val="24"/>
              </w:rPr>
            </w:pPr>
          </w:p>
        </w:tc>
      </w:tr>
      <w:tr w:rsidR="00EA4058" w:rsidRPr="00F822A1" w:rsidTr="00EA4058">
        <w:trPr>
          <w:trHeight w:val="264"/>
        </w:trPr>
        <w:tc>
          <w:tcPr>
            <w:tcW w:w="1336" w:type="dxa"/>
            <w:tcBorders>
              <w:top w:val="nil"/>
              <w:left w:val="nil"/>
              <w:bottom w:val="nil"/>
            </w:tcBorders>
            <w:shd w:val="clear" w:color="auto" w:fill="auto"/>
            <w:noWrap/>
            <w:hideMark/>
          </w:tcPr>
          <w:p w:rsidR="00EA4058" w:rsidRPr="00F822A1" w:rsidRDefault="00EA4058" w:rsidP="00765C59">
            <w:pPr>
              <w:spacing w:after="0" w:line="240" w:lineRule="auto"/>
              <w:ind w:firstLine="338"/>
              <w:rPr>
                <w:rFonts w:ascii="Arial" w:eastAsia="Times New Roman" w:hAnsi="Arial" w:cs="Arial"/>
                <w:sz w:val="24"/>
                <w:szCs w:val="24"/>
                <w:lang w:eastAsia="en-GB"/>
              </w:rPr>
            </w:pPr>
            <w:r w:rsidRPr="00F822A1">
              <w:rPr>
                <w:rFonts w:ascii="Arial" w:eastAsia="Times New Roman" w:hAnsi="Arial" w:cs="Arial"/>
                <w:sz w:val="24"/>
                <w:szCs w:val="24"/>
                <w:lang w:eastAsia="en-GB"/>
              </w:rPr>
              <w:t>&lt;50</w:t>
            </w:r>
          </w:p>
        </w:tc>
        <w:tc>
          <w:tcPr>
            <w:tcW w:w="1487" w:type="dxa"/>
            <w:tcBorders>
              <w:top w:val="nil"/>
              <w:bottom w:val="nil"/>
            </w:tcBorders>
            <w:shd w:val="clear" w:color="auto" w:fill="auto"/>
            <w:noWrap/>
            <w:hideMark/>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0.02 (71)</w:t>
            </w:r>
          </w:p>
        </w:tc>
        <w:tc>
          <w:tcPr>
            <w:tcW w:w="384" w:type="dxa"/>
          </w:tcPr>
          <w:p w:rsidR="00EA4058" w:rsidRPr="00F822A1" w:rsidRDefault="00EA4058" w:rsidP="00EA4058">
            <w:pPr>
              <w:spacing w:after="0"/>
              <w:contextualSpacing/>
              <w:jc w:val="center"/>
              <w:rPr>
                <w:rFonts w:ascii="Arial" w:hAnsi="Arial" w:cs="Arial"/>
                <w:color w:val="000000"/>
                <w:sz w:val="24"/>
                <w:szCs w:val="24"/>
              </w:rPr>
            </w:pPr>
          </w:p>
        </w:tc>
        <w:tc>
          <w:tcPr>
            <w:tcW w:w="1665" w:type="dxa"/>
            <w:tcBorders>
              <w:top w:val="nil"/>
              <w:bottom w:val="nil"/>
              <w:right w:val="nil"/>
            </w:tcBorders>
            <w:shd w:val="clear" w:color="auto" w:fill="auto"/>
            <w:noWrap/>
            <w:hideMark/>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0.02 (57)</w:t>
            </w:r>
          </w:p>
        </w:tc>
        <w:tc>
          <w:tcPr>
            <w:tcW w:w="1633" w:type="dxa"/>
            <w:tcBorders>
              <w:top w:val="nil"/>
              <w:left w:val="nil"/>
              <w:bottom w:val="nil"/>
              <w:right w:val="nil"/>
            </w:tcBorders>
            <w:shd w:val="clear" w:color="auto" w:fill="auto"/>
            <w:noWrap/>
            <w:hideMark/>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0.00 (5)</w:t>
            </w:r>
          </w:p>
        </w:tc>
        <w:tc>
          <w:tcPr>
            <w:tcW w:w="1817" w:type="dxa"/>
            <w:tcBorders>
              <w:top w:val="nil"/>
              <w:left w:val="nil"/>
              <w:bottom w:val="nil"/>
              <w:right w:val="nil"/>
            </w:tcBorders>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0.00 (9)</w:t>
            </w:r>
          </w:p>
        </w:tc>
      </w:tr>
      <w:tr w:rsidR="00EA4058" w:rsidRPr="00F822A1" w:rsidTr="00EA4058">
        <w:trPr>
          <w:trHeight w:val="264"/>
        </w:trPr>
        <w:tc>
          <w:tcPr>
            <w:tcW w:w="1336" w:type="dxa"/>
            <w:tcBorders>
              <w:top w:val="nil"/>
              <w:left w:val="nil"/>
              <w:bottom w:val="nil"/>
            </w:tcBorders>
            <w:shd w:val="clear" w:color="auto" w:fill="auto"/>
            <w:noWrap/>
            <w:hideMark/>
          </w:tcPr>
          <w:p w:rsidR="00EA4058" w:rsidRPr="00F822A1" w:rsidRDefault="00EA4058" w:rsidP="00765C59">
            <w:pPr>
              <w:spacing w:after="0" w:line="240" w:lineRule="auto"/>
              <w:ind w:firstLine="338"/>
              <w:rPr>
                <w:rFonts w:ascii="Arial" w:eastAsia="Times New Roman" w:hAnsi="Arial" w:cs="Arial"/>
                <w:sz w:val="24"/>
                <w:szCs w:val="24"/>
                <w:lang w:eastAsia="en-GB"/>
              </w:rPr>
            </w:pPr>
            <w:r w:rsidRPr="00F822A1">
              <w:rPr>
                <w:rFonts w:ascii="Arial" w:eastAsia="Times New Roman" w:hAnsi="Arial" w:cs="Arial"/>
                <w:sz w:val="24"/>
                <w:szCs w:val="24"/>
                <w:lang w:eastAsia="en-GB"/>
              </w:rPr>
              <w:t>50-60</w:t>
            </w:r>
          </w:p>
        </w:tc>
        <w:tc>
          <w:tcPr>
            <w:tcW w:w="1487" w:type="dxa"/>
            <w:tcBorders>
              <w:top w:val="nil"/>
              <w:bottom w:val="nil"/>
            </w:tcBorders>
            <w:shd w:val="clear" w:color="auto" w:fill="auto"/>
            <w:noWrap/>
            <w:hideMark/>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0.14 (461)</w:t>
            </w:r>
          </w:p>
        </w:tc>
        <w:tc>
          <w:tcPr>
            <w:tcW w:w="384" w:type="dxa"/>
          </w:tcPr>
          <w:p w:rsidR="00EA4058" w:rsidRPr="00F822A1" w:rsidRDefault="00EA4058" w:rsidP="00EA4058">
            <w:pPr>
              <w:spacing w:after="0"/>
              <w:contextualSpacing/>
              <w:jc w:val="center"/>
              <w:rPr>
                <w:rFonts w:ascii="Arial" w:hAnsi="Arial" w:cs="Arial"/>
                <w:color w:val="000000"/>
                <w:sz w:val="24"/>
                <w:szCs w:val="24"/>
              </w:rPr>
            </w:pPr>
          </w:p>
        </w:tc>
        <w:tc>
          <w:tcPr>
            <w:tcW w:w="1665" w:type="dxa"/>
            <w:tcBorders>
              <w:top w:val="nil"/>
              <w:bottom w:val="nil"/>
              <w:right w:val="nil"/>
            </w:tcBorders>
            <w:shd w:val="clear" w:color="auto" w:fill="auto"/>
            <w:noWrap/>
            <w:hideMark/>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0.11 (371)</w:t>
            </w:r>
          </w:p>
        </w:tc>
        <w:tc>
          <w:tcPr>
            <w:tcW w:w="1633" w:type="dxa"/>
            <w:tcBorders>
              <w:top w:val="nil"/>
              <w:left w:val="nil"/>
              <w:bottom w:val="nil"/>
              <w:right w:val="nil"/>
            </w:tcBorders>
            <w:shd w:val="clear" w:color="auto" w:fill="auto"/>
            <w:noWrap/>
            <w:hideMark/>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0.02 (51)</w:t>
            </w:r>
          </w:p>
        </w:tc>
        <w:tc>
          <w:tcPr>
            <w:tcW w:w="1817" w:type="dxa"/>
            <w:tcBorders>
              <w:top w:val="nil"/>
              <w:left w:val="nil"/>
              <w:bottom w:val="nil"/>
              <w:right w:val="nil"/>
            </w:tcBorders>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0.01 (39)</w:t>
            </w:r>
          </w:p>
        </w:tc>
      </w:tr>
      <w:tr w:rsidR="00EA4058" w:rsidRPr="00F822A1" w:rsidTr="00EA4058">
        <w:trPr>
          <w:trHeight w:val="264"/>
        </w:trPr>
        <w:tc>
          <w:tcPr>
            <w:tcW w:w="1336" w:type="dxa"/>
            <w:tcBorders>
              <w:top w:val="nil"/>
              <w:left w:val="nil"/>
              <w:bottom w:val="nil"/>
            </w:tcBorders>
            <w:shd w:val="clear" w:color="auto" w:fill="auto"/>
            <w:noWrap/>
            <w:hideMark/>
          </w:tcPr>
          <w:p w:rsidR="00EA4058" w:rsidRPr="00F822A1" w:rsidRDefault="00EA4058" w:rsidP="00765C59">
            <w:pPr>
              <w:spacing w:after="0" w:line="240" w:lineRule="auto"/>
              <w:ind w:firstLine="338"/>
              <w:rPr>
                <w:rFonts w:ascii="Arial" w:eastAsia="Times New Roman" w:hAnsi="Arial" w:cs="Arial"/>
                <w:sz w:val="24"/>
                <w:szCs w:val="24"/>
                <w:lang w:eastAsia="en-GB"/>
              </w:rPr>
            </w:pPr>
            <w:r w:rsidRPr="00F822A1">
              <w:rPr>
                <w:rFonts w:ascii="Arial" w:eastAsia="Times New Roman" w:hAnsi="Arial" w:cs="Arial"/>
                <w:sz w:val="24"/>
                <w:szCs w:val="24"/>
                <w:lang w:eastAsia="en-GB"/>
              </w:rPr>
              <w:t>60-70</w:t>
            </w:r>
          </w:p>
        </w:tc>
        <w:tc>
          <w:tcPr>
            <w:tcW w:w="1487" w:type="dxa"/>
            <w:tcBorders>
              <w:top w:val="nil"/>
              <w:bottom w:val="nil"/>
            </w:tcBorders>
            <w:shd w:val="clear" w:color="auto" w:fill="auto"/>
            <w:noWrap/>
            <w:hideMark/>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0.80 (2239)</w:t>
            </w:r>
          </w:p>
        </w:tc>
        <w:tc>
          <w:tcPr>
            <w:tcW w:w="384" w:type="dxa"/>
          </w:tcPr>
          <w:p w:rsidR="00EA4058" w:rsidRPr="00F822A1" w:rsidRDefault="00EA4058" w:rsidP="00EA4058">
            <w:pPr>
              <w:spacing w:after="0"/>
              <w:contextualSpacing/>
              <w:jc w:val="center"/>
              <w:rPr>
                <w:rFonts w:ascii="Arial" w:hAnsi="Arial" w:cs="Arial"/>
                <w:color w:val="000000"/>
                <w:sz w:val="24"/>
                <w:szCs w:val="24"/>
              </w:rPr>
            </w:pPr>
          </w:p>
        </w:tc>
        <w:tc>
          <w:tcPr>
            <w:tcW w:w="1665" w:type="dxa"/>
            <w:tcBorders>
              <w:top w:val="nil"/>
              <w:bottom w:val="nil"/>
              <w:right w:val="nil"/>
            </w:tcBorders>
            <w:shd w:val="clear" w:color="auto" w:fill="auto"/>
            <w:noWrap/>
            <w:hideMark/>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0.63 (1745)</w:t>
            </w:r>
          </w:p>
        </w:tc>
        <w:tc>
          <w:tcPr>
            <w:tcW w:w="1633" w:type="dxa"/>
            <w:tcBorders>
              <w:top w:val="nil"/>
              <w:left w:val="nil"/>
              <w:bottom w:val="nil"/>
              <w:right w:val="nil"/>
            </w:tcBorders>
            <w:shd w:val="clear" w:color="auto" w:fill="auto"/>
            <w:noWrap/>
            <w:hideMark/>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0.13 (361)</w:t>
            </w:r>
          </w:p>
        </w:tc>
        <w:tc>
          <w:tcPr>
            <w:tcW w:w="1817" w:type="dxa"/>
            <w:tcBorders>
              <w:top w:val="nil"/>
              <w:left w:val="nil"/>
              <w:bottom w:val="nil"/>
              <w:right w:val="nil"/>
            </w:tcBorders>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0.05 (133)</w:t>
            </w:r>
          </w:p>
        </w:tc>
      </w:tr>
      <w:tr w:rsidR="00EA4058" w:rsidRPr="00F822A1" w:rsidTr="00EA4058">
        <w:trPr>
          <w:trHeight w:val="264"/>
        </w:trPr>
        <w:tc>
          <w:tcPr>
            <w:tcW w:w="1336" w:type="dxa"/>
            <w:tcBorders>
              <w:top w:val="nil"/>
              <w:left w:val="nil"/>
              <w:bottom w:val="nil"/>
            </w:tcBorders>
            <w:shd w:val="clear" w:color="auto" w:fill="auto"/>
            <w:noWrap/>
            <w:hideMark/>
          </w:tcPr>
          <w:p w:rsidR="00EA4058" w:rsidRPr="00F822A1" w:rsidRDefault="00EA4058" w:rsidP="00765C59">
            <w:pPr>
              <w:spacing w:after="0" w:line="240" w:lineRule="auto"/>
              <w:ind w:firstLine="338"/>
              <w:rPr>
                <w:rFonts w:ascii="Arial" w:eastAsia="Times New Roman" w:hAnsi="Arial" w:cs="Arial"/>
                <w:sz w:val="24"/>
                <w:szCs w:val="24"/>
                <w:lang w:eastAsia="en-GB"/>
              </w:rPr>
            </w:pPr>
            <w:r w:rsidRPr="00F822A1">
              <w:rPr>
                <w:rFonts w:ascii="Arial" w:eastAsia="Times New Roman" w:hAnsi="Arial" w:cs="Arial"/>
                <w:sz w:val="24"/>
                <w:szCs w:val="24"/>
                <w:lang w:eastAsia="en-GB"/>
              </w:rPr>
              <w:t>70-80</w:t>
            </w:r>
          </w:p>
        </w:tc>
        <w:tc>
          <w:tcPr>
            <w:tcW w:w="1487" w:type="dxa"/>
            <w:tcBorders>
              <w:top w:val="nil"/>
              <w:bottom w:val="nil"/>
            </w:tcBorders>
            <w:shd w:val="clear" w:color="auto" w:fill="auto"/>
            <w:noWrap/>
            <w:hideMark/>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5.62 (12012)</w:t>
            </w:r>
          </w:p>
        </w:tc>
        <w:tc>
          <w:tcPr>
            <w:tcW w:w="384" w:type="dxa"/>
          </w:tcPr>
          <w:p w:rsidR="00EA4058" w:rsidRPr="00F822A1" w:rsidRDefault="00EA4058" w:rsidP="00EA4058">
            <w:pPr>
              <w:spacing w:after="0"/>
              <w:contextualSpacing/>
              <w:jc w:val="center"/>
              <w:rPr>
                <w:rFonts w:ascii="Arial" w:hAnsi="Arial" w:cs="Arial"/>
                <w:color w:val="000000"/>
                <w:sz w:val="24"/>
                <w:szCs w:val="24"/>
              </w:rPr>
            </w:pPr>
          </w:p>
        </w:tc>
        <w:tc>
          <w:tcPr>
            <w:tcW w:w="1665" w:type="dxa"/>
            <w:tcBorders>
              <w:top w:val="nil"/>
              <w:bottom w:val="nil"/>
              <w:right w:val="nil"/>
            </w:tcBorders>
            <w:shd w:val="clear" w:color="auto" w:fill="auto"/>
            <w:noWrap/>
            <w:hideMark/>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4.35 (9295)</w:t>
            </w:r>
          </w:p>
        </w:tc>
        <w:tc>
          <w:tcPr>
            <w:tcW w:w="1633" w:type="dxa"/>
            <w:tcBorders>
              <w:top w:val="nil"/>
              <w:left w:val="nil"/>
              <w:bottom w:val="nil"/>
              <w:right w:val="nil"/>
            </w:tcBorders>
            <w:shd w:val="clear" w:color="auto" w:fill="auto"/>
            <w:noWrap/>
            <w:hideMark/>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1.07 (2285)</w:t>
            </w:r>
          </w:p>
        </w:tc>
        <w:tc>
          <w:tcPr>
            <w:tcW w:w="1817" w:type="dxa"/>
            <w:tcBorders>
              <w:top w:val="nil"/>
              <w:left w:val="nil"/>
              <w:bottom w:val="nil"/>
              <w:right w:val="nil"/>
            </w:tcBorders>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0.20 (432)</w:t>
            </w:r>
          </w:p>
        </w:tc>
      </w:tr>
      <w:tr w:rsidR="00EA4058" w:rsidRPr="00F822A1" w:rsidTr="00EA4058">
        <w:trPr>
          <w:trHeight w:val="264"/>
        </w:trPr>
        <w:tc>
          <w:tcPr>
            <w:tcW w:w="1336" w:type="dxa"/>
            <w:tcBorders>
              <w:top w:val="nil"/>
              <w:left w:val="nil"/>
              <w:bottom w:val="single" w:sz="4" w:space="0" w:color="auto"/>
            </w:tcBorders>
            <w:shd w:val="clear" w:color="auto" w:fill="auto"/>
            <w:noWrap/>
            <w:hideMark/>
          </w:tcPr>
          <w:p w:rsidR="00EA4058" w:rsidRPr="00F822A1" w:rsidRDefault="00EA4058" w:rsidP="00765C59">
            <w:pPr>
              <w:spacing w:after="0" w:line="240" w:lineRule="auto"/>
              <w:ind w:firstLine="338"/>
              <w:rPr>
                <w:rFonts w:ascii="Arial" w:eastAsia="Times New Roman" w:hAnsi="Arial" w:cs="Arial"/>
                <w:sz w:val="24"/>
                <w:szCs w:val="24"/>
                <w:lang w:eastAsia="en-GB"/>
              </w:rPr>
            </w:pPr>
            <w:r w:rsidRPr="00F822A1">
              <w:rPr>
                <w:rFonts w:ascii="Arial" w:eastAsia="Times New Roman" w:hAnsi="Arial" w:cs="Arial"/>
                <w:sz w:val="24"/>
                <w:szCs w:val="24"/>
                <w:lang w:eastAsia="en-GB"/>
              </w:rPr>
              <w:t>80+</w:t>
            </w:r>
          </w:p>
        </w:tc>
        <w:tc>
          <w:tcPr>
            <w:tcW w:w="1487" w:type="dxa"/>
            <w:tcBorders>
              <w:top w:val="nil"/>
              <w:bottom w:val="single" w:sz="4" w:space="0" w:color="auto"/>
            </w:tcBorders>
            <w:shd w:val="clear" w:color="auto" w:fill="auto"/>
            <w:noWrap/>
            <w:hideMark/>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20.00 (27373)</w:t>
            </w:r>
          </w:p>
        </w:tc>
        <w:tc>
          <w:tcPr>
            <w:tcW w:w="384" w:type="dxa"/>
          </w:tcPr>
          <w:p w:rsidR="00EA4058" w:rsidRPr="00F822A1" w:rsidRDefault="00EA4058" w:rsidP="00EA4058">
            <w:pPr>
              <w:spacing w:after="0"/>
              <w:contextualSpacing/>
              <w:jc w:val="center"/>
              <w:rPr>
                <w:rFonts w:ascii="Arial" w:hAnsi="Arial" w:cs="Arial"/>
                <w:color w:val="000000"/>
                <w:sz w:val="24"/>
                <w:szCs w:val="24"/>
              </w:rPr>
            </w:pPr>
          </w:p>
        </w:tc>
        <w:tc>
          <w:tcPr>
            <w:tcW w:w="1665" w:type="dxa"/>
            <w:tcBorders>
              <w:top w:val="nil"/>
              <w:bottom w:val="single" w:sz="4" w:space="0" w:color="auto"/>
              <w:right w:val="nil"/>
            </w:tcBorders>
            <w:shd w:val="clear" w:color="auto" w:fill="auto"/>
            <w:noWrap/>
            <w:hideMark/>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15.61 (21363)</w:t>
            </w:r>
          </w:p>
        </w:tc>
        <w:tc>
          <w:tcPr>
            <w:tcW w:w="1633" w:type="dxa"/>
            <w:tcBorders>
              <w:top w:val="nil"/>
              <w:left w:val="nil"/>
              <w:bottom w:val="single" w:sz="4" w:space="0" w:color="auto"/>
              <w:right w:val="nil"/>
            </w:tcBorders>
            <w:shd w:val="clear" w:color="auto" w:fill="auto"/>
            <w:noWrap/>
            <w:hideMark/>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3.93 (5373)</w:t>
            </w:r>
          </w:p>
        </w:tc>
        <w:tc>
          <w:tcPr>
            <w:tcW w:w="1817" w:type="dxa"/>
            <w:tcBorders>
              <w:top w:val="nil"/>
              <w:left w:val="nil"/>
              <w:bottom w:val="single" w:sz="4" w:space="0" w:color="auto"/>
              <w:right w:val="nil"/>
            </w:tcBorders>
          </w:tcPr>
          <w:p w:rsidR="00EA4058" w:rsidRPr="00F822A1" w:rsidRDefault="00EA4058"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0.47 (637)</w:t>
            </w:r>
          </w:p>
        </w:tc>
      </w:tr>
      <w:tr w:rsidR="00EA4058" w:rsidRPr="00F822A1" w:rsidTr="00EA4058">
        <w:trPr>
          <w:trHeight w:val="264"/>
        </w:trPr>
        <w:tc>
          <w:tcPr>
            <w:tcW w:w="1336" w:type="dxa"/>
            <w:tcBorders>
              <w:top w:val="single" w:sz="4" w:space="0" w:color="auto"/>
              <w:left w:val="nil"/>
              <w:bottom w:val="single" w:sz="4" w:space="0" w:color="auto"/>
            </w:tcBorders>
            <w:shd w:val="clear" w:color="auto" w:fill="auto"/>
            <w:noWrap/>
            <w:hideMark/>
          </w:tcPr>
          <w:p w:rsidR="00EA4058" w:rsidRPr="00F822A1" w:rsidRDefault="004F72A6" w:rsidP="00765C59">
            <w:pPr>
              <w:spacing w:after="0" w:line="240" w:lineRule="auto"/>
              <w:rPr>
                <w:rFonts w:ascii="Arial" w:eastAsia="Times New Roman" w:hAnsi="Arial" w:cs="Arial"/>
                <w:sz w:val="24"/>
                <w:szCs w:val="24"/>
                <w:lang w:eastAsia="en-GB"/>
              </w:rPr>
            </w:pPr>
            <w:r w:rsidRPr="00F822A1">
              <w:rPr>
                <w:rFonts w:ascii="Arial" w:eastAsia="Times New Roman" w:hAnsi="Arial" w:cs="Arial"/>
                <w:sz w:val="24"/>
                <w:szCs w:val="24"/>
                <w:lang w:eastAsia="en-GB"/>
              </w:rPr>
              <w:t xml:space="preserve"> Overall</w:t>
            </w:r>
          </w:p>
        </w:tc>
        <w:tc>
          <w:tcPr>
            <w:tcW w:w="1487" w:type="dxa"/>
            <w:tcBorders>
              <w:top w:val="single" w:sz="4" w:space="0" w:color="auto"/>
              <w:bottom w:val="single" w:sz="4" w:space="0" w:color="auto"/>
            </w:tcBorders>
            <w:shd w:val="clear" w:color="auto" w:fill="auto"/>
            <w:noWrap/>
            <w:hideMark/>
          </w:tcPr>
          <w:p w:rsidR="00EA4058" w:rsidRPr="00F822A1" w:rsidRDefault="004F72A6"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2.91 (65518)</w:t>
            </w:r>
          </w:p>
        </w:tc>
        <w:tc>
          <w:tcPr>
            <w:tcW w:w="384" w:type="dxa"/>
            <w:tcBorders>
              <w:bottom w:val="single" w:sz="4" w:space="0" w:color="auto"/>
            </w:tcBorders>
          </w:tcPr>
          <w:p w:rsidR="00EA4058" w:rsidRPr="00F822A1" w:rsidRDefault="00EA4058" w:rsidP="00EA4058">
            <w:pPr>
              <w:spacing w:after="0"/>
              <w:contextualSpacing/>
              <w:jc w:val="center"/>
              <w:rPr>
                <w:rFonts w:ascii="Arial" w:hAnsi="Arial" w:cs="Arial"/>
                <w:color w:val="000000"/>
                <w:sz w:val="24"/>
                <w:szCs w:val="24"/>
              </w:rPr>
            </w:pPr>
          </w:p>
        </w:tc>
        <w:tc>
          <w:tcPr>
            <w:tcW w:w="1665" w:type="dxa"/>
            <w:tcBorders>
              <w:top w:val="single" w:sz="4" w:space="0" w:color="auto"/>
              <w:bottom w:val="single" w:sz="4" w:space="0" w:color="auto"/>
              <w:right w:val="nil"/>
            </w:tcBorders>
            <w:shd w:val="clear" w:color="auto" w:fill="auto"/>
            <w:noWrap/>
            <w:hideMark/>
          </w:tcPr>
          <w:p w:rsidR="00EA4058" w:rsidRPr="00F822A1" w:rsidRDefault="004F72A6"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2.18 (49161)</w:t>
            </w:r>
          </w:p>
        </w:tc>
        <w:tc>
          <w:tcPr>
            <w:tcW w:w="1633" w:type="dxa"/>
            <w:tcBorders>
              <w:top w:val="single" w:sz="4" w:space="0" w:color="auto"/>
              <w:left w:val="nil"/>
              <w:bottom w:val="single" w:sz="4" w:space="0" w:color="auto"/>
              <w:right w:val="nil"/>
            </w:tcBorders>
            <w:shd w:val="clear" w:color="auto" w:fill="auto"/>
            <w:noWrap/>
            <w:hideMark/>
          </w:tcPr>
          <w:p w:rsidR="00EA4058" w:rsidRPr="00F822A1" w:rsidRDefault="004F72A6"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0.61 (13816)</w:t>
            </w:r>
          </w:p>
        </w:tc>
        <w:tc>
          <w:tcPr>
            <w:tcW w:w="1817" w:type="dxa"/>
            <w:tcBorders>
              <w:top w:val="single" w:sz="4" w:space="0" w:color="auto"/>
              <w:left w:val="nil"/>
              <w:bottom w:val="single" w:sz="4" w:space="0" w:color="auto"/>
              <w:right w:val="nil"/>
            </w:tcBorders>
          </w:tcPr>
          <w:p w:rsidR="00EA4058" w:rsidRPr="00F822A1" w:rsidRDefault="004F72A6" w:rsidP="00EA4058">
            <w:pPr>
              <w:spacing w:after="0"/>
              <w:contextualSpacing/>
              <w:jc w:val="center"/>
              <w:rPr>
                <w:rFonts w:ascii="Arial" w:hAnsi="Arial" w:cs="Arial"/>
                <w:color w:val="000000"/>
                <w:sz w:val="24"/>
                <w:szCs w:val="24"/>
              </w:rPr>
            </w:pPr>
            <w:r w:rsidRPr="00F822A1">
              <w:rPr>
                <w:rFonts w:ascii="Arial" w:hAnsi="Arial" w:cs="Arial"/>
                <w:color w:val="000000"/>
                <w:sz w:val="24"/>
                <w:szCs w:val="24"/>
              </w:rPr>
              <w:t>0.11 (2541)</w:t>
            </w:r>
          </w:p>
        </w:tc>
      </w:tr>
    </w:tbl>
    <w:p w:rsidR="00703C68" w:rsidRPr="00F822A1" w:rsidRDefault="00703C68" w:rsidP="00C328DA">
      <w:pPr>
        <w:rPr>
          <w:rFonts w:ascii="Arial" w:hAnsi="Arial" w:cs="Arial"/>
          <w:sz w:val="24"/>
          <w:szCs w:val="24"/>
        </w:rPr>
      </w:pPr>
    </w:p>
    <w:p w:rsidR="00703C68" w:rsidRPr="00F822A1" w:rsidRDefault="00703C68" w:rsidP="00C328DA">
      <w:pPr>
        <w:rPr>
          <w:rFonts w:ascii="Arial" w:hAnsi="Arial" w:cs="Arial"/>
          <w:sz w:val="24"/>
          <w:szCs w:val="24"/>
        </w:rPr>
      </w:pPr>
    </w:p>
    <w:p w:rsidR="00A140A2" w:rsidRPr="00F822A1" w:rsidRDefault="00A140A2" w:rsidP="00C328DA">
      <w:pPr>
        <w:rPr>
          <w:rFonts w:ascii="Arial" w:hAnsi="Arial" w:cs="Arial"/>
          <w:b/>
          <w:sz w:val="24"/>
          <w:szCs w:val="24"/>
        </w:rPr>
      </w:pPr>
    </w:p>
    <w:p w:rsidR="00703C68" w:rsidRPr="00F822A1" w:rsidRDefault="00703C68" w:rsidP="00C328DA">
      <w:pPr>
        <w:rPr>
          <w:rFonts w:ascii="Arial" w:hAnsi="Arial" w:cs="Arial"/>
          <w:b/>
          <w:sz w:val="24"/>
          <w:szCs w:val="24"/>
        </w:rPr>
      </w:pPr>
    </w:p>
    <w:p w:rsidR="00703C68" w:rsidRPr="00F822A1" w:rsidRDefault="00703C68" w:rsidP="00C328DA">
      <w:pPr>
        <w:rPr>
          <w:rFonts w:ascii="Arial" w:hAnsi="Arial" w:cs="Arial"/>
          <w:b/>
          <w:sz w:val="24"/>
          <w:szCs w:val="24"/>
        </w:rPr>
      </w:pPr>
    </w:p>
    <w:p w:rsidR="00703C68" w:rsidRPr="00F822A1" w:rsidRDefault="00703C68" w:rsidP="00C328DA">
      <w:pPr>
        <w:rPr>
          <w:rFonts w:ascii="Arial" w:hAnsi="Arial" w:cs="Arial"/>
          <w:b/>
          <w:sz w:val="24"/>
          <w:szCs w:val="24"/>
        </w:rPr>
      </w:pPr>
    </w:p>
    <w:p w:rsidR="00703C68" w:rsidRPr="00F822A1" w:rsidRDefault="00703C68" w:rsidP="00C328DA">
      <w:pPr>
        <w:rPr>
          <w:rFonts w:ascii="Arial" w:hAnsi="Arial" w:cs="Arial"/>
          <w:b/>
          <w:sz w:val="24"/>
          <w:szCs w:val="24"/>
        </w:rPr>
      </w:pPr>
    </w:p>
    <w:p w:rsidR="00703C68" w:rsidRPr="00F822A1" w:rsidRDefault="00703C68" w:rsidP="00C328DA">
      <w:pPr>
        <w:rPr>
          <w:rFonts w:ascii="Arial" w:hAnsi="Arial" w:cs="Arial"/>
          <w:b/>
          <w:sz w:val="24"/>
          <w:szCs w:val="24"/>
        </w:rPr>
      </w:pPr>
    </w:p>
    <w:p w:rsidR="00703C68" w:rsidRPr="00F822A1" w:rsidRDefault="00703C68" w:rsidP="00C328DA">
      <w:pPr>
        <w:rPr>
          <w:rFonts w:ascii="Arial" w:hAnsi="Arial" w:cs="Arial"/>
          <w:b/>
          <w:sz w:val="24"/>
          <w:szCs w:val="24"/>
        </w:rPr>
      </w:pPr>
    </w:p>
    <w:p w:rsidR="00703C68" w:rsidRPr="00F822A1" w:rsidRDefault="00703C68" w:rsidP="00C328DA">
      <w:pPr>
        <w:rPr>
          <w:rFonts w:ascii="Arial" w:hAnsi="Arial" w:cs="Arial"/>
          <w:b/>
          <w:sz w:val="24"/>
          <w:szCs w:val="24"/>
        </w:rPr>
      </w:pPr>
    </w:p>
    <w:p w:rsidR="00703C68" w:rsidRPr="00F822A1" w:rsidRDefault="00703C68" w:rsidP="00C328DA">
      <w:pPr>
        <w:rPr>
          <w:rFonts w:ascii="Arial" w:hAnsi="Arial" w:cs="Arial"/>
          <w:b/>
          <w:sz w:val="24"/>
          <w:szCs w:val="24"/>
        </w:rPr>
      </w:pPr>
    </w:p>
    <w:p w:rsidR="00703C68" w:rsidRPr="00F822A1" w:rsidRDefault="00703C68" w:rsidP="00C328DA">
      <w:pPr>
        <w:rPr>
          <w:rFonts w:ascii="Arial" w:hAnsi="Arial" w:cs="Arial"/>
          <w:b/>
          <w:sz w:val="24"/>
          <w:szCs w:val="24"/>
        </w:rPr>
      </w:pPr>
    </w:p>
    <w:p w:rsidR="00DB5C89" w:rsidRPr="00F822A1" w:rsidRDefault="00DB5C89" w:rsidP="00C328DA">
      <w:pPr>
        <w:rPr>
          <w:rFonts w:ascii="Arial" w:hAnsi="Arial" w:cs="Arial"/>
          <w:b/>
          <w:sz w:val="24"/>
          <w:szCs w:val="24"/>
        </w:rPr>
        <w:sectPr w:rsidR="00DB5C89" w:rsidRPr="00F822A1" w:rsidSect="006371EE">
          <w:pgSz w:w="11906" w:h="16838"/>
          <w:pgMar w:top="1440" w:right="1440" w:bottom="1440" w:left="1440" w:header="708" w:footer="708" w:gutter="0"/>
          <w:cols w:space="708"/>
          <w:docGrid w:linePitch="360"/>
        </w:sectPr>
      </w:pPr>
    </w:p>
    <w:p w:rsidR="00DB5C89" w:rsidRPr="00F822A1" w:rsidRDefault="00DB5C89" w:rsidP="00DB5C89">
      <w:pPr>
        <w:rPr>
          <w:rFonts w:ascii="Arial" w:hAnsi="Arial" w:cs="Arial"/>
          <w:sz w:val="24"/>
          <w:szCs w:val="24"/>
        </w:rPr>
      </w:pPr>
      <w:r w:rsidRPr="00F822A1">
        <w:rPr>
          <w:rFonts w:ascii="Arial" w:hAnsi="Arial" w:cs="Arial"/>
          <w:b/>
          <w:sz w:val="24"/>
          <w:szCs w:val="24"/>
        </w:rPr>
        <w:lastRenderedPageBreak/>
        <w:t>Table 3</w:t>
      </w:r>
      <w:r w:rsidRPr="00F822A1">
        <w:rPr>
          <w:rFonts w:ascii="Arial" w:hAnsi="Arial" w:cs="Arial"/>
          <w:sz w:val="24"/>
          <w:szCs w:val="24"/>
        </w:rPr>
        <w:t>:</w:t>
      </w:r>
      <w:r w:rsidRPr="00F822A1">
        <w:rPr>
          <w:rFonts w:ascii="Arial" w:hAnsi="Arial" w:cs="Arial"/>
          <w:b/>
          <w:sz w:val="24"/>
          <w:szCs w:val="24"/>
        </w:rPr>
        <w:t xml:space="preserve"> </w:t>
      </w:r>
      <w:r w:rsidRPr="00F822A1">
        <w:rPr>
          <w:rFonts w:ascii="Arial" w:hAnsi="Arial" w:cs="Arial"/>
          <w:sz w:val="24"/>
          <w:szCs w:val="24"/>
        </w:rPr>
        <w:t xml:space="preserve">Age and sex adjusted risk ratios per 10mmHg higher long-term average systolic blood pressure for dementia, Alzheimer’s disease and vascular dementia stratified by age-at-risk and time since baseline systolic blood pressure measurement </w:t>
      </w:r>
    </w:p>
    <w:tbl>
      <w:tblPr>
        <w:tblW w:w="12933" w:type="dxa"/>
        <w:tblInd w:w="108" w:type="dxa"/>
        <w:tblLook w:val="04A0" w:firstRow="1" w:lastRow="0" w:firstColumn="1" w:lastColumn="0" w:noHBand="0" w:noVBand="1"/>
      </w:tblPr>
      <w:tblGrid>
        <w:gridCol w:w="284"/>
        <w:gridCol w:w="1143"/>
        <w:gridCol w:w="1048"/>
        <w:gridCol w:w="2804"/>
        <w:gridCol w:w="1220"/>
        <w:gridCol w:w="2607"/>
        <w:gridCol w:w="1220"/>
        <w:gridCol w:w="2607"/>
      </w:tblGrid>
      <w:tr w:rsidR="00DB5C89" w:rsidRPr="00F822A1" w:rsidTr="00F822A1">
        <w:trPr>
          <w:trHeight w:val="255"/>
        </w:trPr>
        <w:tc>
          <w:tcPr>
            <w:tcW w:w="284" w:type="dxa"/>
            <w:tcBorders>
              <w:top w:val="single" w:sz="4" w:space="0" w:color="auto"/>
              <w:left w:val="nil"/>
              <w:bottom w:val="nil"/>
              <w:right w:val="nil"/>
            </w:tcBorders>
            <w:shd w:val="clear" w:color="auto" w:fill="auto"/>
            <w:noWrap/>
          </w:tcPr>
          <w:p w:rsidR="00DB5C89" w:rsidRPr="00F822A1" w:rsidRDefault="00DB5C89" w:rsidP="00F80FAB">
            <w:pPr>
              <w:spacing w:after="0" w:line="240" w:lineRule="auto"/>
              <w:rPr>
                <w:rFonts w:ascii="Arial" w:eastAsia="Times New Roman" w:hAnsi="Arial" w:cs="Arial"/>
                <w:sz w:val="24"/>
                <w:szCs w:val="24"/>
                <w:lang w:eastAsia="en-GB"/>
              </w:rPr>
            </w:pPr>
          </w:p>
        </w:tc>
        <w:tc>
          <w:tcPr>
            <w:tcW w:w="1143" w:type="dxa"/>
            <w:tcBorders>
              <w:top w:val="single" w:sz="4" w:space="0" w:color="auto"/>
              <w:left w:val="nil"/>
              <w:bottom w:val="nil"/>
              <w:right w:val="nil"/>
            </w:tcBorders>
            <w:shd w:val="clear" w:color="auto" w:fill="auto"/>
            <w:noWrap/>
          </w:tcPr>
          <w:p w:rsidR="00DB5C89" w:rsidRPr="00F822A1" w:rsidRDefault="00DB5C89" w:rsidP="00F80FAB">
            <w:pPr>
              <w:spacing w:after="0" w:line="240" w:lineRule="auto"/>
              <w:rPr>
                <w:rFonts w:ascii="Arial" w:eastAsia="Times New Roman" w:hAnsi="Arial" w:cs="Arial"/>
                <w:sz w:val="24"/>
                <w:szCs w:val="24"/>
                <w:lang w:eastAsia="en-GB"/>
              </w:rPr>
            </w:pPr>
            <w:r w:rsidRPr="00F822A1">
              <w:rPr>
                <w:rFonts w:ascii="Arial" w:eastAsia="Times New Roman" w:hAnsi="Arial" w:cs="Arial"/>
                <w:sz w:val="24"/>
                <w:szCs w:val="24"/>
                <w:lang w:eastAsia="en-GB"/>
              </w:rPr>
              <w:t>Age-at-risk</w:t>
            </w:r>
          </w:p>
        </w:tc>
        <w:tc>
          <w:tcPr>
            <w:tcW w:w="3852" w:type="dxa"/>
            <w:gridSpan w:val="2"/>
            <w:tcBorders>
              <w:top w:val="single" w:sz="4" w:space="0" w:color="auto"/>
              <w:left w:val="nil"/>
              <w:bottom w:val="single" w:sz="4" w:space="0" w:color="auto"/>
              <w:right w:val="nil"/>
            </w:tcBorders>
            <w:shd w:val="clear" w:color="auto" w:fill="auto"/>
            <w:noWrap/>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0-5 years since measurement</w:t>
            </w:r>
          </w:p>
        </w:tc>
        <w:tc>
          <w:tcPr>
            <w:tcW w:w="3827" w:type="dxa"/>
            <w:gridSpan w:val="2"/>
            <w:tcBorders>
              <w:top w:val="single" w:sz="4" w:space="0" w:color="auto"/>
              <w:left w:val="nil"/>
              <w:bottom w:val="single" w:sz="4" w:space="0" w:color="auto"/>
              <w:right w:val="nil"/>
            </w:tcBorders>
            <w:shd w:val="clear" w:color="auto" w:fill="auto"/>
            <w:noWrap/>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5-10 years since measurement</w:t>
            </w:r>
          </w:p>
        </w:tc>
        <w:tc>
          <w:tcPr>
            <w:tcW w:w="3827" w:type="dxa"/>
            <w:gridSpan w:val="2"/>
            <w:tcBorders>
              <w:top w:val="single" w:sz="4" w:space="0" w:color="auto"/>
              <w:left w:val="nil"/>
              <w:bottom w:val="single" w:sz="4" w:space="0" w:color="auto"/>
              <w:right w:val="nil"/>
            </w:tcBorders>
            <w:shd w:val="clear" w:color="auto" w:fill="auto"/>
            <w:noWrap/>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10+ years since measurement</w:t>
            </w:r>
          </w:p>
        </w:tc>
      </w:tr>
      <w:tr w:rsidR="00DB5C89" w:rsidRPr="00F822A1" w:rsidTr="00F822A1">
        <w:trPr>
          <w:trHeight w:val="255"/>
        </w:trPr>
        <w:tc>
          <w:tcPr>
            <w:tcW w:w="284" w:type="dxa"/>
            <w:tcBorders>
              <w:top w:val="nil"/>
              <w:left w:val="nil"/>
              <w:bottom w:val="nil"/>
              <w:right w:val="nil"/>
            </w:tcBorders>
            <w:shd w:val="clear" w:color="auto" w:fill="auto"/>
            <w:noWrap/>
            <w:hideMark/>
          </w:tcPr>
          <w:p w:rsidR="00DB5C89" w:rsidRPr="00F822A1" w:rsidRDefault="00DB5C89" w:rsidP="00F80FAB">
            <w:pPr>
              <w:spacing w:after="0" w:line="240" w:lineRule="auto"/>
              <w:rPr>
                <w:rFonts w:ascii="Arial" w:eastAsia="Times New Roman" w:hAnsi="Arial" w:cs="Arial"/>
                <w:sz w:val="24"/>
                <w:szCs w:val="24"/>
                <w:lang w:eastAsia="en-GB"/>
              </w:rPr>
            </w:pPr>
          </w:p>
        </w:tc>
        <w:tc>
          <w:tcPr>
            <w:tcW w:w="1143" w:type="dxa"/>
            <w:tcBorders>
              <w:top w:val="nil"/>
              <w:left w:val="nil"/>
              <w:bottom w:val="nil"/>
              <w:right w:val="nil"/>
            </w:tcBorders>
            <w:shd w:val="clear" w:color="auto" w:fill="auto"/>
            <w:noWrap/>
            <w:hideMark/>
          </w:tcPr>
          <w:p w:rsidR="00DB5C89" w:rsidRPr="00F822A1" w:rsidRDefault="00DB5C89" w:rsidP="00F80FAB">
            <w:pPr>
              <w:spacing w:after="0" w:line="240" w:lineRule="auto"/>
              <w:rPr>
                <w:rFonts w:ascii="Arial" w:eastAsia="Times New Roman" w:hAnsi="Arial" w:cs="Arial"/>
                <w:sz w:val="24"/>
                <w:szCs w:val="24"/>
                <w:lang w:eastAsia="en-GB"/>
              </w:rPr>
            </w:pPr>
          </w:p>
        </w:tc>
        <w:tc>
          <w:tcPr>
            <w:tcW w:w="1048" w:type="dxa"/>
            <w:tcBorders>
              <w:top w:val="single" w:sz="4" w:space="0" w:color="auto"/>
              <w:left w:val="nil"/>
              <w:bottom w:val="single" w:sz="4" w:space="0" w:color="auto"/>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Events</w:t>
            </w:r>
          </w:p>
        </w:tc>
        <w:tc>
          <w:tcPr>
            <w:tcW w:w="2804" w:type="dxa"/>
            <w:tcBorders>
              <w:top w:val="single" w:sz="4" w:space="0" w:color="auto"/>
              <w:left w:val="nil"/>
              <w:bottom w:val="single" w:sz="4" w:space="0" w:color="auto"/>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Rate ratio (95% CI)</w:t>
            </w:r>
          </w:p>
        </w:tc>
        <w:tc>
          <w:tcPr>
            <w:tcW w:w="1220" w:type="dxa"/>
            <w:tcBorders>
              <w:top w:val="single" w:sz="4" w:space="0" w:color="auto"/>
              <w:left w:val="nil"/>
              <w:bottom w:val="single" w:sz="4" w:space="0" w:color="auto"/>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Events</w:t>
            </w:r>
          </w:p>
        </w:tc>
        <w:tc>
          <w:tcPr>
            <w:tcW w:w="2607" w:type="dxa"/>
            <w:tcBorders>
              <w:top w:val="single" w:sz="4" w:space="0" w:color="auto"/>
              <w:left w:val="nil"/>
              <w:bottom w:val="single" w:sz="4" w:space="0" w:color="auto"/>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Rate ratio (95% CI)</w:t>
            </w:r>
          </w:p>
        </w:tc>
        <w:tc>
          <w:tcPr>
            <w:tcW w:w="1220" w:type="dxa"/>
            <w:tcBorders>
              <w:top w:val="single" w:sz="4" w:space="0" w:color="auto"/>
              <w:left w:val="nil"/>
              <w:bottom w:val="single" w:sz="4" w:space="0" w:color="auto"/>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Events</w:t>
            </w:r>
          </w:p>
        </w:tc>
        <w:tc>
          <w:tcPr>
            <w:tcW w:w="2607" w:type="dxa"/>
            <w:tcBorders>
              <w:top w:val="single" w:sz="4" w:space="0" w:color="auto"/>
              <w:left w:val="nil"/>
              <w:bottom w:val="single" w:sz="4" w:space="0" w:color="auto"/>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Rate ratio (95% CI)</w:t>
            </w:r>
          </w:p>
        </w:tc>
      </w:tr>
      <w:tr w:rsidR="00DB5C89" w:rsidRPr="00F822A1" w:rsidTr="00F822A1">
        <w:trPr>
          <w:trHeight w:val="255"/>
        </w:trPr>
        <w:tc>
          <w:tcPr>
            <w:tcW w:w="1427" w:type="dxa"/>
            <w:gridSpan w:val="2"/>
            <w:tcBorders>
              <w:top w:val="nil"/>
              <w:left w:val="nil"/>
              <w:right w:val="nil"/>
            </w:tcBorders>
            <w:shd w:val="clear" w:color="auto" w:fill="auto"/>
            <w:noWrap/>
          </w:tcPr>
          <w:p w:rsidR="00DB5C89" w:rsidRPr="00F822A1" w:rsidRDefault="00DB5C89" w:rsidP="00F80FAB">
            <w:pPr>
              <w:spacing w:after="0" w:line="240" w:lineRule="auto"/>
              <w:rPr>
                <w:rFonts w:ascii="Arial" w:eastAsia="Times New Roman" w:hAnsi="Arial" w:cs="Arial"/>
                <w:sz w:val="24"/>
                <w:szCs w:val="24"/>
                <w:lang w:eastAsia="en-GB"/>
              </w:rPr>
            </w:pPr>
            <w:r w:rsidRPr="00F822A1">
              <w:rPr>
                <w:rFonts w:ascii="Arial" w:eastAsia="Times New Roman" w:hAnsi="Arial" w:cs="Arial"/>
                <w:sz w:val="24"/>
                <w:szCs w:val="24"/>
                <w:lang w:eastAsia="en-GB"/>
              </w:rPr>
              <w:t>All dementia</w:t>
            </w:r>
          </w:p>
        </w:tc>
        <w:tc>
          <w:tcPr>
            <w:tcW w:w="1048" w:type="dxa"/>
            <w:tcBorders>
              <w:top w:val="single" w:sz="4" w:space="0" w:color="auto"/>
              <w:left w:val="nil"/>
              <w:right w:val="nil"/>
            </w:tcBorders>
            <w:shd w:val="clear" w:color="auto" w:fill="auto"/>
            <w:noWrap/>
          </w:tcPr>
          <w:p w:rsidR="00DB5C89" w:rsidRPr="00F822A1" w:rsidRDefault="00DB5C89" w:rsidP="00F80FAB">
            <w:pPr>
              <w:spacing w:after="0" w:line="240" w:lineRule="auto"/>
              <w:jc w:val="center"/>
              <w:rPr>
                <w:rFonts w:ascii="Arial" w:eastAsia="Times New Roman" w:hAnsi="Arial" w:cs="Arial"/>
                <w:sz w:val="24"/>
                <w:szCs w:val="24"/>
                <w:lang w:eastAsia="en-GB"/>
              </w:rPr>
            </w:pPr>
          </w:p>
        </w:tc>
        <w:tc>
          <w:tcPr>
            <w:tcW w:w="2804" w:type="dxa"/>
            <w:tcBorders>
              <w:top w:val="single" w:sz="4" w:space="0" w:color="auto"/>
              <w:left w:val="nil"/>
              <w:right w:val="nil"/>
            </w:tcBorders>
            <w:shd w:val="clear" w:color="auto" w:fill="auto"/>
            <w:noWrap/>
          </w:tcPr>
          <w:p w:rsidR="00DB5C89" w:rsidRPr="00F822A1" w:rsidRDefault="00DB5C89" w:rsidP="00F80FAB">
            <w:pPr>
              <w:spacing w:after="0" w:line="240" w:lineRule="auto"/>
              <w:jc w:val="center"/>
              <w:rPr>
                <w:rFonts w:ascii="Arial" w:eastAsia="Times New Roman" w:hAnsi="Arial" w:cs="Arial"/>
                <w:sz w:val="24"/>
                <w:szCs w:val="24"/>
                <w:lang w:eastAsia="en-GB"/>
              </w:rPr>
            </w:pPr>
          </w:p>
        </w:tc>
        <w:tc>
          <w:tcPr>
            <w:tcW w:w="1220" w:type="dxa"/>
            <w:tcBorders>
              <w:top w:val="single" w:sz="4" w:space="0" w:color="auto"/>
              <w:left w:val="nil"/>
              <w:right w:val="nil"/>
            </w:tcBorders>
            <w:shd w:val="clear" w:color="auto" w:fill="auto"/>
            <w:noWrap/>
          </w:tcPr>
          <w:p w:rsidR="00DB5C89" w:rsidRPr="00F822A1" w:rsidRDefault="00DB5C89" w:rsidP="00F80FAB">
            <w:pPr>
              <w:spacing w:after="0" w:line="240" w:lineRule="auto"/>
              <w:jc w:val="center"/>
              <w:rPr>
                <w:rFonts w:ascii="Arial" w:eastAsia="Times New Roman" w:hAnsi="Arial" w:cs="Arial"/>
                <w:sz w:val="24"/>
                <w:szCs w:val="24"/>
                <w:lang w:eastAsia="en-GB"/>
              </w:rPr>
            </w:pPr>
          </w:p>
        </w:tc>
        <w:tc>
          <w:tcPr>
            <w:tcW w:w="2607" w:type="dxa"/>
            <w:tcBorders>
              <w:top w:val="single" w:sz="4" w:space="0" w:color="auto"/>
              <w:left w:val="nil"/>
              <w:right w:val="nil"/>
            </w:tcBorders>
            <w:shd w:val="clear" w:color="auto" w:fill="auto"/>
            <w:noWrap/>
          </w:tcPr>
          <w:p w:rsidR="00DB5C89" w:rsidRPr="00F822A1" w:rsidRDefault="00DB5C89" w:rsidP="00F80FAB">
            <w:pPr>
              <w:spacing w:after="0" w:line="240" w:lineRule="auto"/>
              <w:jc w:val="center"/>
              <w:rPr>
                <w:rFonts w:ascii="Arial" w:eastAsia="Times New Roman" w:hAnsi="Arial" w:cs="Arial"/>
                <w:sz w:val="24"/>
                <w:szCs w:val="24"/>
                <w:lang w:eastAsia="en-GB"/>
              </w:rPr>
            </w:pPr>
          </w:p>
        </w:tc>
        <w:tc>
          <w:tcPr>
            <w:tcW w:w="1220" w:type="dxa"/>
            <w:tcBorders>
              <w:top w:val="single" w:sz="4" w:space="0" w:color="auto"/>
              <w:left w:val="nil"/>
              <w:right w:val="nil"/>
            </w:tcBorders>
            <w:shd w:val="clear" w:color="auto" w:fill="auto"/>
            <w:noWrap/>
          </w:tcPr>
          <w:p w:rsidR="00DB5C89" w:rsidRPr="00F822A1" w:rsidRDefault="00DB5C89" w:rsidP="00F80FAB">
            <w:pPr>
              <w:spacing w:after="0" w:line="240" w:lineRule="auto"/>
              <w:jc w:val="center"/>
              <w:rPr>
                <w:rFonts w:ascii="Arial" w:eastAsia="Times New Roman" w:hAnsi="Arial" w:cs="Arial"/>
                <w:sz w:val="24"/>
                <w:szCs w:val="24"/>
                <w:lang w:eastAsia="en-GB"/>
              </w:rPr>
            </w:pPr>
          </w:p>
        </w:tc>
        <w:tc>
          <w:tcPr>
            <w:tcW w:w="2607" w:type="dxa"/>
            <w:tcBorders>
              <w:top w:val="single" w:sz="4" w:space="0" w:color="auto"/>
              <w:left w:val="nil"/>
              <w:right w:val="nil"/>
            </w:tcBorders>
            <w:shd w:val="clear" w:color="auto" w:fill="auto"/>
            <w:noWrap/>
          </w:tcPr>
          <w:p w:rsidR="00DB5C89" w:rsidRPr="00F822A1" w:rsidRDefault="00DB5C89" w:rsidP="00F80FAB">
            <w:pPr>
              <w:spacing w:after="0" w:line="240" w:lineRule="auto"/>
              <w:jc w:val="center"/>
              <w:rPr>
                <w:rFonts w:ascii="Arial" w:eastAsia="Times New Roman" w:hAnsi="Arial" w:cs="Arial"/>
                <w:sz w:val="24"/>
                <w:szCs w:val="24"/>
                <w:lang w:eastAsia="en-GB"/>
              </w:rPr>
            </w:pPr>
          </w:p>
        </w:tc>
      </w:tr>
      <w:tr w:rsidR="00DB5C89" w:rsidRPr="00F822A1" w:rsidTr="00F822A1">
        <w:trPr>
          <w:trHeight w:val="255"/>
        </w:trPr>
        <w:tc>
          <w:tcPr>
            <w:tcW w:w="284" w:type="dxa"/>
            <w:tcBorders>
              <w:left w:val="nil"/>
              <w:bottom w:val="nil"/>
              <w:right w:val="nil"/>
            </w:tcBorders>
            <w:shd w:val="clear" w:color="auto" w:fill="auto"/>
            <w:noWrap/>
            <w:hideMark/>
          </w:tcPr>
          <w:p w:rsidR="00DB5C89" w:rsidRPr="00F822A1" w:rsidRDefault="00DB5C89" w:rsidP="00F80FAB">
            <w:pPr>
              <w:spacing w:after="0" w:line="240" w:lineRule="auto"/>
              <w:rPr>
                <w:rFonts w:ascii="Arial" w:eastAsia="Times New Roman" w:hAnsi="Arial" w:cs="Arial"/>
                <w:sz w:val="24"/>
                <w:szCs w:val="24"/>
                <w:lang w:eastAsia="en-GB"/>
              </w:rPr>
            </w:pPr>
          </w:p>
        </w:tc>
        <w:tc>
          <w:tcPr>
            <w:tcW w:w="1143" w:type="dxa"/>
            <w:tcBorders>
              <w:left w:val="nil"/>
              <w:bottom w:val="nil"/>
              <w:right w:val="nil"/>
            </w:tcBorders>
            <w:shd w:val="clear" w:color="auto" w:fill="auto"/>
            <w:noWrap/>
            <w:hideMark/>
          </w:tcPr>
          <w:p w:rsidR="00DB5C89" w:rsidRPr="00F822A1" w:rsidRDefault="00DB5C89" w:rsidP="00F80FAB">
            <w:pPr>
              <w:spacing w:after="0" w:line="240" w:lineRule="auto"/>
              <w:rPr>
                <w:rFonts w:ascii="Arial" w:eastAsia="Times New Roman" w:hAnsi="Arial" w:cs="Arial"/>
                <w:sz w:val="24"/>
                <w:szCs w:val="24"/>
                <w:lang w:eastAsia="en-GB"/>
              </w:rPr>
            </w:pPr>
            <w:r w:rsidRPr="00F822A1">
              <w:rPr>
                <w:rFonts w:ascii="Arial" w:eastAsia="Times New Roman" w:hAnsi="Arial" w:cs="Arial"/>
                <w:sz w:val="24"/>
                <w:szCs w:val="24"/>
                <w:lang w:eastAsia="en-GB"/>
              </w:rPr>
              <w:t>&lt;70</w:t>
            </w:r>
          </w:p>
        </w:tc>
        <w:tc>
          <w:tcPr>
            <w:tcW w:w="1048" w:type="dxa"/>
            <w:tcBorders>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2245</w:t>
            </w:r>
          </w:p>
        </w:tc>
        <w:tc>
          <w:tcPr>
            <w:tcW w:w="2804" w:type="dxa"/>
            <w:tcBorders>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0.849 (0.807</w:t>
            </w:r>
            <w:r w:rsidR="001619FB">
              <w:rPr>
                <w:rFonts w:ascii="Arial" w:eastAsia="Times New Roman" w:hAnsi="Arial" w:cs="Arial"/>
                <w:sz w:val="24"/>
                <w:szCs w:val="24"/>
                <w:lang w:eastAsia="en-GB"/>
              </w:rPr>
              <w:t>-0.</w:t>
            </w:r>
            <w:r w:rsidRPr="00F822A1">
              <w:rPr>
                <w:rFonts w:ascii="Arial" w:eastAsia="Times New Roman" w:hAnsi="Arial" w:cs="Arial"/>
                <w:sz w:val="24"/>
                <w:szCs w:val="24"/>
                <w:lang w:eastAsia="en-GB"/>
              </w:rPr>
              <w:t>893)</w:t>
            </w:r>
          </w:p>
        </w:tc>
        <w:tc>
          <w:tcPr>
            <w:tcW w:w="1220" w:type="dxa"/>
            <w:tcBorders>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1762</w:t>
            </w:r>
          </w:p>
        </w:tc>
        <w:tc>
          <w:tcPr>
            <w:tcW w:w="2607" w:type="dxa"/>
            <w:tcBorders>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0.934 (0.882</w:t>
            </w:r>
            <w:r w:rsidR="001619FB">
              <w:rPr>
                <w:rFonts w:ascii="Arial" w:eastAsia="Times New Roman" w:hAnsi="Arial" w:cs="Arial"/>
                <w:sz w:val="24"/>
                <w:szCs w:val="24"/>
                <w:lang w:eastAsia="en-GB"/>
              </w:rPr>
              <w:t>-0.</w:t>
            </w:r>
            <w:r w:rsidRPr="00F822A1">
              <w:rPr>
                <w:rFonts w:ascii="Arial" w:eastAsia="Times New Roman" w:hAnsi="Arial" w:cs="Arial"/>
                <w:sz w:val="24"/>
                <w:szCs w:val="24"/>
                <w:lang w:eastAsia="en-GB"/>
              </w:rPr>
              <w:t>988)</w:t>
            </w:r>
          </w:p>
        </w:tc>
        <w:tc>
          <w:tcPr>
            <w:tcW w:w="1220" w:type="dxa"/>
            <w:tcBorders>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1450</w:t>
            </w:r>
          </w:p>
        </w:tc>
        <w:tc>
          <w:tcPr>
            <w:tcW w:w="2607" w:type="dxa"/>
            <w:tcBorders>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1.067 (1.003</w:t>
            </w:r>
            <w:r w:rsidR="001619FB">
              <w:rPr>
                <w:rFonts w:ascii="Arial" w:eastAsia="Times New Roman" w:hAnsi="Arial" w:cs="Arial"/>
                <w:sz w:val="24"/>
                <w:szCs w:val="24"/>
                <w:lang w:eastAsia="en-GB"/>
              </w:rPr>
              <w:t>-1.</w:t>
            </w:r>
            <w:r w:rsidRPr="00F822A1">
              <w:rPr>
                <w:rFonts w:ascii="Arial" w:eastAsia="Times New Roman" w:hAnsi="Arial" w:cs="Arial"/>
                <w:sz w:val="24"/>
                <w:szCs w:val="24"/>
                <w:lang w:eastAsia="en-GB"/>
              </w:rPr>
              <w:t>134)</w:t>
            </w:r>
          </w:p>
        </w:tc>
      </w:tr>
      <w:tr w:rsidR="00DB5C89" w:rsidRPr="00F822A1" w:rsidTr="00F822A1">
        <w:trPr>
          <w:trHeight w:val="255"/>
        </w:trPr>
        <w:tc>
          <w:tcPr>
            <w:tcW w:w="284"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p>
        </w:tc>
        <w:tc>
          <w:tcPr>
            <w:tcW w:w="1143" w:type="dxa"/>
            <w:tcBorders>
              <w:top w:val="nil"/>
              <w:left w:val="nil"/>
              <w:bottom w:val="nil"/>
              <w:right w:val="nil"/>
            </w:tcBorders>
            <w:shd w:val="clear" w:color="auto" w:fill="auto"/>
            <w:noWrap/>
            <w:hideMark/>
          </w:tcPr>
          <w:p w:rsidR="00DB5C89" w:rsidRPr="00F822A1" w:rsidRDefault="00DB5C89" w:rsidP="00F80FAB">
            <w:pPr>
              <w:spacing w:after="0" w:line="240" w:lineRule="auto"/>
              <w:rPr>
                <w:rFonts w:ascii="Arial" w:eastAsia="Times New Roman" w:hAnsi="Arial" w:cs="Arial"/>
                <w:sz w:val="24"/>
                <w:szCs w:val="24"/>
                <w:lang w:eastAsia="en-GB"/>
              </w:rPr>
            </w:pPr>
            <w:r w:rsidRPr="00F822A1">
              <w:rPr>
                <w:rFonts w:ascii="Arial" w:eastAsia="Times New Roman" w:hAnsi="Arial" w:cs="Arial"/>
                <w:sz w:val="24"/>
                <w:szCs w:val="24"/>
                <w:lang w:eastAsia="en-GB"/>
              </w:rPr>
              <w:t>70-85</w:t>
            </w:r>
          </w:p>
        </w:tc>
        <w:tc>
          <w:tcPr>
            <w:tcW w:w="1048"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13674</w:t>
            </w:r>
          </w:p>
        </w:tc>
        <w:tc>
          <w:tcPr>
            <w:tcW w:w="2804"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0.846 (0.830</w:t>
            </w:r>
            <w:r w:rsidR="001619FB">
              <w:rPr>
                <w:rFonts w:ascii="Arial" w:eastAsia="Times New Roman" w:hAnsi="Arial" w:cs="Arial"/>
                <w:sz w:val="24"/>
                <w:szCs w:val="24"/>
                <w:lang w:eastAsia="en-GB"/>
              </w:rPr>
              <w:t>-0.</w:t>
            </w:r>
            <w:r w:rsidRPr="00F822A1">
              <w:rPr>
                <w:rFonts w:ascii="Arial" w:eastAsia="Times New Roman" w:hAnsi="Arial" w:cs="Arial"/>
                <w:sz w:val="24"/>
                <w:szCs w:val="24"/>
                <w:lang w:eastAsia="en-GB"/>
              </w:rPr>
              <w:t>863)</w:t>
            </w:r>
          </w:p>
        </w:tc>
        <w:tc>
          <w:tcPr>
            <w:tcW w:w="1220"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12445</w:t>
            </w:r>
          </w:p>
        </w:tc>
        <w:tc>
          <w:tcPr>
            <w:tcW w:w="2607"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0.949 (0.930</w:t>
            </w:r>
            <w:r w:rsidR="001619FB">
              <w:rPr>
                <w:rFonts w:ascii="Arial" w:eastAsia="Times New Roman" w:hAnsi="Arial" w:cs="Arial"/>
                <w:sz w:val="24"/>
                <w:szCs w:val="24"/>
                <w:lang w:eastAsia="en-GB"/>
              </w:rPr>
              <w:t>-0.</w:t>
            </w:r>
            <w:r w:rsidRPr="00F822A1">
              <w:rPr>
                <w:rFonts w:ascii="Arial" w:eastAsia="Times New Roman" w:hAnsi="Arial" w:cs="Arial"/>
                <w:sz w:val="24"/>
                <w:szCs w:val="24"/>
                <w:lang w:eastAsia="en-GB"/>
              </w:rPr>
              <w:t>968)</w:t>
            </w:r>
          </w:p>
        </w:tc>
        <w:tc>
          <w:tcPr>
            <w:tcW w:w="1220"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12125</w:t>
            </w:r>
          </w:p>
        </w:tc>
        <w:tc>
          <w:tcPr>
            <w:tcW w:w="2607"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0.995 (0.975</w:t>
            </w:r>
            <w:r w:rsidR="001619FB">
              <w:rPr>
                <w:rFonts w:ascii="Arial" w:eastAsia="Times New Roman" w:hAnsi="Arial" w:cs="Arial"/>
                <w:sz w:val="24"/>
                <w:szCs w:val="24"/>
                <w:lang w:eastAsia="en-GB"/>
              </w:rPr>
              <w:t>-1.</w:t>
            </w:r>
            <w:r w:rsidRPr="00F822A1">
              <w:rPr>
                <w:rFonts w:ascii="Arial" w:eastAsia="Times New Roman" w:hAnsi="Arial" w:cs="Arial"/>
                <w:sz w:val="24"/>
                <w:szCs w:val="24"/>
                <w:lang w:eastAsia="en-GB"/>
              </w:rPr>
              <w:t>015)</w:t>
            </w:r>
          </w:p>
        </w:tc>
      </w:tr>
      <w:tr w:rsidR="00DB5C89" w:rsidRPr="00F822A1" w:rsidTr="00F822A1">
        <w:trPr>
          <w:trHeight w:val="255"/>
        </w:trPr>
        <w:tc>
          <w:tcPr>
            <w:tcW w:w="284" w:type="dxa"/>
            <w:tcBorders>
              <w:top w:val="nil"/>
              <w:left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p>
        </w:tc>
        <w:tc>
          <w:tcPr>
            <w:tcW w:w="1143" w:type="dxa"/>
            <w:tcBorders>
              <w:top w:val="nil"/>
              <w:left w:val="nil"/>
              <w:right w:val="nil"/>
            </w:tcBorders>
            <w:shd w:val="clear" w:color="auto" w:fill="auto"/>
            <w:noWrap/>
            <w:hideMark/>
          </w:tcPr>
          <w:p w:rsidR="00DB5C89" w:rsidRPr="00F822A1" w:rsidRDefault="00DB5C89" w:rsidP="00F80FAB">
            <w:pPr>
              <w:spacing w:after="0" w:line="240" w:lineRule="auto"/>
              <w:rPr>
                <w:rFonts w:ascii="Arial" w:eastAsia="Times New Roman" w:hAnsi="Arial" w:cs="Arial"/>
                <w:sz w:val="24"/>
                <w:szCs w:val="24"/>
                <w:lang w:eastAsia="en-GB"/>
              </w:rPr>
            </w:pPr>
            <w:r w:rsidRPr="00F822A1">
              <w:rPr>
                <w:rFonts w:ascii="Arial" w:eastAsia="Times New Roman" w:hAnsi="Arial" w:cs="Arial"/>
                <w:sz w:val="24"/>
                <w:szCs w:val="24"/>
                <w:lang w:eastAsia="en-GB"/>
              </w:rPr>
              <w:t>85+</w:t>
            </w:r>
          </w:p>
        </w:tc>
        <w:tc>
          <w:tcPr>
            <w:tcW w:w="1048" w:type="dxa"/>
            <w:tcBorders>
              <w:top w:val="nil"/>
              <w:left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7651</w:t>
            </w:r>
          </w:p>
        </w:tc>
        <w:tc>
          <w:tcPr>
            <w:tcW w:w="2804" w:type="dxa"/>
            <w:tcBorders>
              <w:top w:val="nil"/>
              <w:left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0.835 (0.815</w:t>
            </w:r>
            <w:r w:rsidR="001619FB">
              <w:rPr>
                <w:rFonts w:ascii="Arial" w:eastAsia="Times New Roman" w:hAnsi="Arial" w:cs="Arial"/>
                <w:sz w:val="24"/>
                <w:szCs w:val="24"/>
                <w:lang w:eastAsia="en-GB"/>
              </w:rPr>
              <w:t>-0.</w:t>
            </w:r>
            <w:r w:rsidRPr="00F822A1">
              <w:rPr>
                <w:rFonts w:ascii="Arial" w:eastAsia="Times New Roman" w:hAnsi="Arial" w:cs="Arial"/>
                <w:sz w:val="24"/>
                <w:szCs w:val="24"/>
                <w:lang w:eastAsia="en-GB"/>
              </w:rPr>
              <w:t>856)</w:t>
            </w:r>
          </w:p>
        </w:tc>
        <w:tc>
          <w:tcPr>
            <w:tcW w:w="1220" w:type="dxa"/>
            <w:tcBorders>
              <w:top w:val="nil"/>
              <w:left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6602</w:t>
            </w:r>
          </w:p>
        </w:tc>
        <w:tc>
          <w:tcPr>
            <w:tcW w:w="2607" w:type="dxa"/>
            <w:tcBorders>
              <w:top w:val="nil"/>
              <w:left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0.929 (0.905</w:t>
            </w:r>
            <w:r w:rsidR="001619FB">
              <w:rPr>
                <w:rFonts w:ascii="Arial" w:eastAsia="Times New Roman" w:hAnsi="Arial" w:cs="Arial"/>
                <w:sz w:val="24"/>
                <w:szCs w:val="24"/>
                <w:lang w:eastAsia="en-GB"/>
              </w:rPr>
              <w:t>-0.</w:t>
            </w:r>
            <w:r w:rsidRPr="00F822A1">
              <w:rPr>
                <w:rFonts w:ascii="Arial" w:eastAsia="Times New Roman" w:hAnsi="Arial" w:cs="Arial"/>
                <w:sz w:val="24"/>
                <w:szCs w:val="24"/>
                <w:lang w:eastAsia="en-GB"/>
              </w:rPr>
              <w:t>954)</w:t>
            </w:r>
          </w:p>
        </w:tc>
        <w:tc>
          <w:tcPr>
            <w:tcW w:w="1220" w:type="dxa"/>
            <w:tcBorders>
              <w:top w:val="nil"/>
              <w:left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7564</w:t>
            </w:r>
          </w:p>
        </w:tc>
        <w:tc>
          <w:tcPr>
            <w:tcW w:w="2607" w:type="dxa"/>
            <w:tcBorders>
              <w:top w:val="nil"/>
              <w:left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0.955 (0.931</w:t>
            </w:r>
            <w:r w:rsidR="001619FB">
              <w:rPr>
                <w:rFonts w:ascii="Arial" w:eastAsia="Times New Roman" w:hAnsi="Arial" w:cs="Arial"/>
                <w:sz w:val="24"/>
                <w:szCs w:val="24"/>
                <w:lang w:eastAsia="en-GB"/>
              </w:rPr>
              <w:t>-0.</w:t>
            </w:r>
            <w:r w:rsidRPr="00F822A1">
              <w:rPr>
                <w:rFonts w:ascii="Arial" w:eastAsia="Times New Roman" w:hAnsi="Arial" w:cs="Arial"/>
                <w:sz w:val="24"/>
                <w:szCs w:val="24"/>
                <w:lang w:eastAsia="en-GB"/>
              </w:rPr>
              <w:t>979)</w:t>
            </w:r>
          </w:p>
        </w:tc>
      </w:tr>
      <w:tr w:rsidR="00DB5C89" w:rsidRPr="00F822A1" w:rsidTr="00F822A1">
        <w:trPr>
          <w:trHeight w:val="255"/>
        </w:trPr>
        <w:tc>
          <w:tcPr>
            <w:tcW w:w="284" w:type="dxa"/>
            <w:tcBorders>
              <w:top w:val="nil"/>
              <w:left w:val="nil"/>
              <w:bottom w:val="single" w:sz="4" w:space="0" w:color="auto"/>
              <w:right w:val="nil"/>
            </w:tcBorders>
            <w:shd w:val="clear" w:color="auto" w:fill="auto"/>
            <w:noWrap/>
          </w:tcPr>
          <w:p w:rsidR="00DB5C89" w:rsidRPr="00F822A1" w:rsidRDefault="00DB5C89" w:rsidP="00F80FAB">
            <w:pPr>
              <w:spacing w:after="0" w:line="240" w:lineRule="auto"/>
              <w:jc w:val="center"/>
              <w:rPr>
                <w:rFonts w:ascii="Arial" w:eastAsia="Times New Roman" w:hAnsi="Arial" w:cs="Arial"/>
                <w:sz w:val="24"/>
                <w:szCs w:val="24"/>
                <w:lang w:eastAsia="en-GB"/>
              </w:rPr>
            </w:pPr>
          </w:p>
        </w:tc>
        <w:tc>
          <w:tcPr>
            <w:tcW w:w="1143" w:type="dxa"/>
            <w:tcBorders>
              <w:top w:val="nil"/>
              <w:left w:val="nil"/>
              <w:bottom w:val="single" w:sz="4" w:space="0" w:color="auto"/>
              <w:right w:val="nil"/>
            </w:tcBorders>
            <w:shd w:val="clear" w:color="auto" w:fill="auto"/>
            <w:noWrap/>
          </w:tcPr>
          <w:p w:rsidR="00DB5C89" w:rsidRPr="00F822A1" w:rsidRDefault="00DB5C89" w:rsidP="00F80FAB">
            <w:pPr>
              <w:spacing w:after="0" w:line="240" w:lineRule="auto"/>
              <w:rPr>
                <w:rFonts w:ascii="Arial" w:eastAsia="Times New Roman" w:hAnsi="Arial" w:cs="Arial"/>
                <w:sz w:val="24"/>
                <w:szCs w:val="24"/>
                <w:lang w:eastAsia="en-GB"/>
              </w:rPr>
            </w:pPr>
            <w:r w:rsidRPr="00F822A1">
              <w:rPr>
                <w:rFonts w:ascii="Arial" w:eastAsia="Times New Roman" w:hAnsi="Arial" w:cs="Arial"/>
                <w:sz w:val="24"/>
                <w:szCs w:val="24"/>
                <w:lang w:eastAsia="en-GB"/>
              </w:rPr>
              <w:t>Overall</w:t>
            </w:r>
          </w:p>
        </w:tc>
        <w:tc>
          <w:tcPr>
            <w:tcW w:w="1048" w:type="dxa"/>
            <w:tcBorders>
              <w:top w:val="nil"/>
              <w:left w:val="nil"/>
              <w:bottom w:val="single" w:sz="4" w:space="0" w:color="auto"/>
              <w:right w:val="nil"/>
            </w:tcBorders>
            <w:shd w:val="clear" w:color="auto" w:fill="auto"/>
            <w:noWrap/>
            <w:vAlign w:val="bottom"/>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hAnsi="Arial" w:cs="Arial"/>
                <w:color w:val="000000"/>
                <w:sz w:val="24"/>
                <w:szCs w:val="24"/>
              </w:rPr>
              <w:t>23570</w:t>
            </w:r>
          </w:p>
        </w:tc>
        <w:tc>
          <w:tcPr>
            <w:tcW w:w="2804" w:type="dxa"/>
            <w:tcBorders>
              <w:top w:val="nil"/>
              <w:left w:val="nil"/>
              <w:bottom w:val="single" w:sz="4" w:space="0" w:color="auto"/>
              <w:right w:val="nil"/>
            </w:tcBorders>
            <w:shd w:val="clear" w:color="auto" w:fill="auto"/>
            <w:noWrap/>
            <w:vAlign w:val="bottom"/>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hAnsi="Arial" w:cs="Arial"/>
                <w:color w:val="000000"/>
                <w:sz w:val="24"/>
                <w:szCs w:val="24"/>
              </w:rPr>
              <w:t>0.842 (0.830</w:t>
            </w:r>
            <w:r w:rsidR="001619FB">
              <w:rPr>
                <w:rFonts w:ascii="Arial" w:hAnsi="Arial" w:cs="Arial"/>
                <w:color w:val="000000"/>
                <w:sz w:val="24"/>
                <w:szCs w:val="24"/>
              </w:rPr>
              <w:t>-0.</w:t>
            </w:r>
            <w:r w:rsidRPr="00F822A1">
              <w:rPr>
                <w:rFonts w:ascii="Arial" w:hAnsi="Arial" w:cs="Arial"/>
                <w:color w:val="000000"/>
                <w:sz w:val="24"/>
                <w:szCs w:val="24"/>
              </w:rPr>
              <w:t>855)</w:t>
            </w:r>
          </w:p>
        </w:tc>
        <w:tc>
          <w:tcPr>
            <w:tcW w:w="1220" w:type="dxa"/>
            <w:tcBorders>
              <w:top w:val="nil"/>
              <w:left w:val="nil"/>
              <w:bottom w:val="single" w:sz="4" w:space="0" w:color="auto"/>
              <w:right w:val="nil"/>
            </w:tcBorders>
            <w:shd w:val="clear" w:color="auto" w:fill="auto"/>
            <w:noWrap/>
            <w:vAlign w:val="bottom"/>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hAnsi="Arial" w:cs="Arial"/>
                <w:color w:val="000000"/>
                <w:sz w:val="24"/>
                <w:szCs w:val="24"/>
              </w:rPr>
              <w:t>20809</w:t>
            </w:r>
          </w:p>
        </w:tc>
        <w:tc>
          <w:tcPr>
            <w:tcW w:w="2607" w:type="dxa"/>
            <w:tcBorders>
              <w:top w:val="nil"/>
              <w:left w:val="nil"/>
              <w:bottom w:val="single" w:sz="4" w:space="0" w:color="auto"/>
              <w:right w:val="nil"/>
            </w:tcBorders>
            <w:shd w:val="clear" w:color="auto" w:fill="auto"/>
            <w:noWrap/>
            <w:vAlign w:val="bottom"/>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hAnsi="Arial" w:cs="Arial"/>
                <w:color w:val="000000"/>
                <w:sz w:val="24"/>
                <w:szCs w:val="24"/>
              </w:rPr>
              <w:t>0.942 (0.927</w:t>
            </w:r>
            <w:r w:rsidR="001619FB">
              <w:rPr>
                <w:rFonts w:ascii="Arial" w:hAnsi="Arial" w:cs="Arial"/>
                <w:color w:val="000000"/>
                <w:sz w:val="24"/>
                <w:szCs w:val="24"/>
              </w:rPr>
              <w:t>-0.</w:t>
            </w:r>
            <w:r w:rsidRPr="00F822A1">
              <w:rPr>
                <w:rFonts w:ascii="Arial" w:hAnsi="Arial" w:cs="Arial"/>
                <w:color w:val="000000"/>
                <w:sz w:val="24"/>
                <w:szCs w:val="24"/>
              </w:rPr>
              <w:t>956)</w:t>
            </w:r>
          </w:p>
        </w:tc>
        <w:tc>
          <w:tcPr>
            <w:tcW w:w="1220" w:type="dxa"/>
            <w:tcBorders>
              <w:top w:val="nil"/>
              <w:left w:val="nil"/>
              <w:bottom w:val="single" w:sz="4" w:space="0" w:color="auto"/>
              <w:right w:val="nil"/>
            </w:tcBorders>
            <w:shd w:val="clear" w:color="auto" w:fill="auto"/>
            <w:noWrap/>
            <w:vAlign w:val="bottom"/>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hAnsi="Arial" w:cs="Arial"/>
                <w:color w:val="000000"/>
                <w:sz w:val="24"/>
                <w:szCs w:val="24"/>
              </w:rPr>
              <w:t>21139</w:t>
            </w:r>
          </w:p>
        </w:tc>
        <w:tc>
          <w:tcPr>
            <w:tcW w:w="2607" w:type="dxa"/>
            <w:tcBorders>
              <w:top w:val="nil"/>
              <w:left w:val="nil"/>
              <w:bottom w:val="single" w:sz="4" w:space="0" w:color="auto"/>
              <w:right w:val="nil"/>
            </w:tcBorders>
            <w:shd w:val="clear" w:color="auto" w:fill="auto"/>
            <w:noWrap/>
            <w:vAlign w:val="bottom"/>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hAnsi="Arial" w:cs="Arial"/>
                <w:color w:val="000000"/>
                <w:sz w:val="24"/>
                <w:szCs w:val="24"/>
              </w:rPr>
              <w:t>0.984 (0.970</w:t>
            </w:r>
            <w:r w:rsidR="001619FB">
              <w:rPr>
                <w:rFonts w:ascii="Arial" w:hAnsi="Arial" w:cs="Arial"/>
                <w:color w:val="000000"/>
                <w:sz w:val="24"/>
                <w:szCs w:val="24"/>
              </w:rPr>
              <w:t>-0.</w:t>
            </w:r>
            <w:r w:rsidRPr="00F822A1">
              <w:rPr>
                <w:rFonts w:ascii="Arial" w:hAnsi="Arial" w:cs="Arial"/>
                <w:color w:val="000000"/>
                <w:sz w:val="24"/>
                <w:szCs w:val="24"/>
              </w:rPr>
              <w:t>999)</w:t>
            </w:r>
          </w:p>
        </w:tc>
      </w:tr>
      <w:tr w:rsidR="00DB5C89" w:rsidRPr="00F822A1" w:rsidTr="00F822A1">
        <w:trPr>
          <w:trHeight w:val="255"/>
        </w:trPr>
        <w:tc>
          <w:tcPr>
            <w:tcW w:w="2475" w:type="dxa"/>
            <w:gridSpan w:val="3"/>
            <w:tcBorders>
              <w:top w:val="single" w:sz="4" w:space="0" w:color="auto"/>
              <w:left w:val="nil"/>
              <w:bottom w:val="nil"/>
              <w:right w:val="nil"/>
            </w:tcBorders>
            <w:shd w:val="clear" w:color="auto" w:fill="auto"/>
            <w:noWrap/>
          </w:tcPr>
          <w:p w:rsidR="00DB5C89" w:rsidRPr="00F822A1" w:rsidRDefault="00DB5C89" w:rsidP="00F80FAB">
            <w:pPr>
              <w:spacing w:after="0" w:line="240" w:lineRule="auto"/>
              <w:rPr>
                <w:rFonts w:ascii="Arial" w:eastAsia="Times New Roman" w:hAnsi="Arial" w:cs="Arial"/>
                <w:sz w:val="24"/>
                <w:szCs w:val="24"/>
                <w:lang w:eastAsia="en-GB"/>
              </w:rPr>
            </w:pPr>
            <w:r w:rsidRPr="00F822A1">
              <w:rPr>
                <w:rFonts w:ascii="Arial" w:eastAsia="Times New Roman" w:hAnsi="Arial" w:cs="Arial"/>
                <w:sz w:val="24"/>
                <w:szCs w:val="24"/>
                <w:lang w:eastAsia="en-GB"/>
              </w:rPr>
              <w:t>Alzheimer’s disease</w:t>
            </w:r>
          </w:p>
        </w:tc>
        <w:tc>
          <w:tcPr>
            <w:tcW w:w="2804" w:type="dxa"/>
            <w:tcBorders>
              <w:top w:val="single" w:sz="4" w:space="0" w:color="auto"/>
              <w:left w:val="nil"/>
              <w:bottom w:val="nil"/>
              <w:right w:val="nil"/>
            </w:tcBorders>
            <w:shd w:val="clear" w:color="auto" w:fill="auto"/>
            <w:noWrap/>
          </w:tcPr>
          <w:p w:rsidR="00DB5C89" w:rsidRPr="00F822A1" w:rsidRDefault="00DB5C89" w:rsidP="00F80FAB">
            <w:pPr>
              <w:spacing w:after="0" w:line="240" w:lineRule="auto"/>
              <w:jc w:val="center"/>
              <w:rPr>
                <w:rFonts w:ascii="Arial" w:eastAsia="Times New Roman" w:hAnsi="Arial" w:cs="Arial"/>
                <w:sz w:val="24"/>
                <w:szCs w:val="24"/>
                <w:lang w:eastAsia="en-GB"/>
              </w:rPr>
            </w:pPr>
          </w:p>
        </w:tc>
        <w:tc>
          <w:tcPr>
            <w:tcW w:w="1220" w:type="dxa"/>
            <w:tcBorders>
              <w:top w:val="single" w:sz="4" w:space="0" w:color="auto"/>
              <w:left w:val="nil"/>
              <w:bottom w:val="nil"/>
              <w:right w:val="nil"/>
            </w:tcBorders>
            <w:shd w:val="clear" w:color="auto" w:fill="auto"/>
            <w:noWrap/>
          </w:tcPr>
          <w:p w:rsidR="00DB5C89" w:rsidRPr="00F822A1" w:rsidRDefault="00DB5C89" w:rsidP="00F80FAB">
            <w:pPr>
              <w:spacing w:after="0" w:line="240" w:lineRule="auto"/>
              <w:jc w:val="center"/>
              <w:rPr>
                <w:rFonts w:ascii="Arial" w:eastAsia="Times New Roman" w:hAnsi="Arial" w:cs="Arial"/>
                <w:sz w:val="24"/>
                <w:szCs w:val="24"/>
                <w:lang w:eastAsia="en-GB"/>
              </w:rPr>
            </w:pPr>
          </w:p>
        </w:tc>
        <w:tc>
          <w:tcPr>
            <w:tcW w:w="2607" w:type="dxa"/>
            <w:tcBorders>
              <w:top w:val="single" w:sz="4" w:space="0" w:color="auto"/>
              <w:left w:val="nil"/>
              <w:bottom w:val="nil"/>
              <w:right w:val="nil"/>
            </w:tcBorders>
            <w:shd w:val="clear" w:color="auto" w:fill="auto"/>
            <w:noWrap/>
          </w:tcPr>
          <w:p w:rsidR="00DB5C89" w:rsidRPr="00F822A1" w:rsidRDefault="00DB5C89" w:rsidP="00F80FAB">
            <w:pPr>
              <w:spacing w:after="0" w:line="240" w:lineRule="auto"/>
              <w:jc w:val="center"/>
              <w:rPr>
                <w:rFonts w:ascii="Arial" w:eastAsia="Times New Roman" w:hAnsi="Arial" w:cs="Arial"/>
                <w:sz w:val="24"/>
                <w:szCs w:val="24"/>
                <w:lang w:eastAsia="en-GB"/>
              </w:rPr>
            </w:pPr>
          </w:p>
        </w:tc>
        <w:tc>
          <w:tcPr>
            <w:tcW w:w="1220" w:type="dxa"/>
            <w:tcBorders>
              <w:top w:val="single" w:sz="4" w:space="0" w:color="auto"/>
              <w:left w:val="nil"/>
              <w:bottom w:val="nil"/>
              <w:right w:val="nil"/>
            </w:tcBorders>
            <w:shd w:val="clear" w:color="auto" w:fill="auto"/>
            <w:noWrap/>
          </w:tcPr>
          <w:p w:rsidR="00DB5C89" w:rsidRPr="00F822A1" w:rsidRDefault="00DB5C89" w:rsidP="00F80FAB">
            <w:pPr>
              <w:spacing w:after="0" w:line="240" w:lineRule="auto"/>
              <w:jc w:val="center"/>
              <w:rPr>
                <w:rFonts w:ascii="Arial" w:eastAsia="Times New Roman" w:hAnsi="Arial" w:cs="Arial"/>
                <w:sz w:val="24"/>
                <w:szCs w:val="24"/>
                <w:lang w:eastAsia="en-GB"/>
              </w:rPr>
            </w:pPr>
          </w:p>
        </w:tc>
        <w:tc>
          <w:tcPr>
            <w:tcW w:w="2607" w:type="dxa"/>
            <w:tcBorders>
              <w:top w:val="single" w:sz="4" w:space="0" w:color="auto"/>
              <w:left w:val="nil"/>
              <w:bottom w:val="nil"/>
              <w:right w:val="nil"/>
            </w:tcBorders>
            <w:shd w:val="clear" w:color="auto" w:fill="auto"/>
            <w:noWrap/>
          </w:tcPr>
          <w:p w:rsidR="00DB5C89" w:rsidRPr="00F822A1" w:rsidRDefault="00DB5C89" w:rsidP="00F80FAB">
            <w:pPr>
              <w:spacing w:after="0" w:line="240" w:lineRule="auto"/>
              <w:jc w:val="center"/>
              <w:rPr>
                <w:rFonts w:ascii="Arial" w:eastAsia="Times New Roman" w:hAnsi="Arial" w:cs="Arial"/>
                <w:sz w:val="24"/>
                <w:szCs w:val="24"/>
                <w:lang w:eastAsia="en-GB"/>
              </w:rPr>
            </w:pPr>
          </w:p>
        </w:tc>
      </w:tr>
      <w:tr w:rsidR="00DB5C89" w:rsidRPr="00F822A1" w:rsidTr="00F822A1">
        <w:trPr>
          <w:trHeight w:val="255"/>
        </w:trPr>
        <w:tc>
          <w:tcPr>
            <w:tcW w:w="284" w:type="dxa"/>
            <w:tcBorders>
              <w:top w:val="nil"/>
              <w:left w:val="nil"/>
              <w:bottom w:val="nil"/>
              <w:right w:val="nil"/>
            </w:tcBorders>
            <w:shd w:val="clear" w:color="auto" w:fill="auto"/>
            <w:noWrap/>
            <w:hideMark/>
          </w:tcPr>
          <w:p w:rsidR="00DB5C89" w:rsidRPr="00F822A1" w:rsidRDefault="00DB5C89" w:rsidP="00F80FAB">
            <w:pPr>
              <w:spacing w:after="0" w:line="240" w:lineRule="auto"/>
              <w:rPr>
                <w:rFonts w:ascii="Arial" w:eastAsia="Times New Roman" w:hAnsi="Arial" w:cs="Arial"/>
                <w:sz w:val="24"/>
                <w:szCs w:val="24"/>
                <w:lang w:eastAsia="en-GB"/>
              </w:rPr>
            </w:pPr>
          </w:p>
        </w:tc>
        <w:tc>
          <w:tcPr>
            <w:tcW w:w="1143" w:type="dxa"/>
            <w:tcBorders>
              <w:top w:val="nil"/>
              <w:left w:val="nil"/>
              <w:bottom w:val="nil"/>
              <w:right w:val="nil"/>
            </w:tcBorders>
            <w:shd w:val="clear" w:color="auto" w:fill="auto"/>
            <w:noWrap/>
            <w:hideMark/>
          </w:tcPr>
          <w:p w:rsidR="00DB5C89" w:rsidRPr="00F822A1" w:rsidRDefault="00DB5C89" w:rsidP="00F80FAB">
            <w:pPr>
              <w:spacing w:after="0" w:line="240" w:lineRule="auto"/>
              <w:rPr>
                <w:rFonts w:ascii="Arial" w:eastAsia="Times New Roman" w:hAnsi="Arial" w:cs="Arial"/>
                <w:sz w:val="24"/>
                <w:szCs w:val="24"/>
                <w:lang w:eastAsia="en-GB"/>
              </w:rPr>
            </w:pPr>
            <w:r w:rsidRPr="00F822A1">
              <w:rPr>
                <w:rFonts w:ascii="Arial" w:eastAsia="Times New Roman" w:hAnsi="Arial" w:cs="Arial"/>
                <w:sz w:val="24"/>
                <w:szCs w:val="24"/>
                <w:lang w:eastAsia="en-GB"/>
              </w:rPr>
              <w:t>&lt;70</w:t>
            </w:r>
          </w:p>
        </w:tc>
        <w:tc>
          <w:tcPr>
            <w:tcW w:w="1048"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1703</w:t>
            </w:r>
          </w:p>
        </w:tc>
        <w:tc>
          <w:tcPr>
            <w:tcW w:w="2804"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0.846 (0.799</w:t>
            </w:r>
            <w:r w:rsidR="001619FB">
              <w:rPr>
                <w:rFonts w:ascii="Arial" w:eastAsia="Times New Roman" w:hAnsi="Arial" w:cs="Arial"/>
                <w:sz w:val="24"/>
                <w:szCs w:val="24"/>
                <w:lang w:eastAsia="en-GB"/>
              </w:rPr>
              <w:t>-0.</w:t>
            </w:r>
            <w:r w:rsidRPr="00F822A1">
              <w:rPr>
                <w:rFonts w:ascii="Arial" w:eastAsia="Times New Roman" w:hAnsi="Arial" w:cs="Arial"/>
                <w:sz w:val="24"/>
                <w:szCs w:val="24"/>
                <w:lang w:eastAsia="en-GB"/>
              </w:rPr>
              <w:t>897)</w:t>
            </w:r>
          </w:p>
        </w:tc>
        <w:tc>
          <w:tcPr>
            <w:tcW w:w="1220"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1308</w:t>
            </w:r>
          </w:p>
        </w:tc>
        <w:tc>
          <w:tcPr>
            <w:tcW w:w="2607"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0.891 (0.834</w:t>
            </w:r>
            <w:r w:rsidR="001619FB">
              <w:rPr>
                <w:rFonts w:ascii="Arial" w:eastAsia="Times New Roman" w:hAnsi="Arial" w:cs="Arial"/>
                <w:sz w:val="24"/>
                <w:szCs w:val="24"/>
                <w:lang w:eastAsia="en-GB"/>
              </w:rPr>
              <w:t>-0.</w:t>
            </w:r>
            <w:r w:rsidRPr="00F822A1">
              <w:rPr>
                <w:rFonts w:ascii="Arial" w:eastAsia="Times New Roman" w:hAnsi="Arial" w:cs="Arial"/>
                <w:sz w:val="24"/>
                <w:szCs w:val="24"/>
                <w:lang w:eastAsia="en-GB"/>
              </w:rPr>
              <w:t>953)</w:t>
            </w:r>
          </w:p>
        </w:tc>
        <w:tc>
          <w:tcPr>
            <w:tcW w:w="1220"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996</w:t>
            </w:r>
          </w:p>
        </w:tc>
        <w:tc>
          <w:tcPr>
            <w:tcW w:w="2607"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0.981 (0.909</w:t>
            </w:r>
            <w:r w:rsidR="001619FB">
              <w:rPr>
                <w:rFonts w:ascii="Arial" w:eastAsia="Times New Roman" w:hAnsi="Arial" w:cs="Arial"/>
                <w:sz w:val="24"/>
                <w:szCs w:val="24"/>
                <w:lang w:eastAsia="en-GB"/>
              </w:rPr>
              <w:t>-1.</w:t>
            </w:r>
            <w:r w:rsidRPr="00F822A1">
              <w:rPr>
                <w:rFonts w:ascii="Arial" w:eastAsia="Times New Roman" w:hAnsi="Arial" w:cs="Arial"/>
                <w:sz w:val="24"/>
                <w:szCs w:val="24"/>
                <w:lang w:eastAsia="en-GB"/>
              </w:rPr>
              <w:t>058)</w:t>
            </w:r>
          </w:p>
        </w:tc>
      </w:tr>
      <w:tr w:rsidR="00DB5C89" w:rsidRPr="00F822A1" w:rsidTr="00F822A1">
        <w:trPr>
          <w:trHeight w:val="255"/>
        </w:trPr>
        <w:tc>
          <w:tcPr>
            <w:tcW w:w="284"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p>
        </w:tc>
        <w:tc>
          <w:tcPr>
            <w:tcW w:w="1143" w:type="dxa"/>
            <w:tcBorders>
              <w:top w:val="nil"/>
              <w:left w:val="nil"/>
              <w:bottom w:val="nil"/>
              <w:right w:val="nil"/>
            </w:tcBorders>
            <w:shd w:val="clear" w:color="auto" w:fill="auto"/>
            <w:noWrap/>
            <w:hideMark/>
          </w:tcPr>
          <w:p w:rsidR="00DB5C89" w:rsidRPr="00F822A1" w:rsidRDefault="00DB5C89" w:rsidP="00F80FAB">
            <w:pPr>
              <w:spacing w:after="0" w:line="240" w:lineRule="auto"/>
              <w:rPr>
                <w:rFonts w:ascii="Arial" w:eastAsia="Times New Roman" w:hAnsi="Arial" w:cs="Arial"/>
                <w:sz w:val="24"/>
                <w:szCs w:val="24"/>
                <w:lang w:eastAsia="en-GB"/>
              </w:rPr>
            </w:pPr>
            <w:r w:rsidRPr="00F822A1">
              <w:rPr>
                <w:rFonts w:ascii="Arial" w:eastAsia="Times New Roman" w:hAnsi="Arial" w:cs="Arial"/>
                <w:sz w:val="24"/>
                <w:szCs w:val="24"/>
                <w:lang w:eastAsia="en-GB"/>
              </w:rPr>
              <w:t>70-85</w:t>
            </w:r>
          </w:p>
        </w:tc>
        <w:tc>
          <w:tcPr>
            <w:tcW w:w="1048"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10785</w:t>
            </w:r>
          </w:p>
        </w:tc>
        <w:tc>
          <w:tcPr>
            <w:tcW w:w="2804"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0.842 (0.824</w:t>
            </w:r>
            <w:r w:rsidR="001619FB">
              <w:rPr>
                <w:rFonts w:ascii="Arial" w:eastAsia="Times New Roman" w:hAnsi="Arial" w:cs="Arial"/>
                <w:sz w:val="24"/>
                <w:szCs w:val="24"/>
                <w:lang w:eastAsia="en-GB"/>
              </w:rPr>
              <w:t>-0.</w:t>
            </w:r>
            <w:r w:rsidRPr="00F822A1">
              <w:rPr>
                <w:rFonts w:ascii="Arial" w:eastAsia="Times New Roman" w:hAnsi="Arial" w:cs="Arial"/>
                <w:sz w:val="24"/>
                <w:szCs w:val="24"/>
                <w:lang w:eastAsia="en-GB"/>
              </w:rPr>
              <w:t>860)</w:t>
            </w:r>
          </w:p>
        </w:tc>
        <w:tc>
          <w:tcPr>
            <w:tcW w:w="1220"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9035</w:t>
            </w:r>
          </w:p>
        </w:tc>
        <w:tc>
          <w:tcPr>
            <w:tcW w:w="2607"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0.953 (0.931</w:t>
            </w:r>
            <w:r w:rsidR="001619FB">
              <w:rPr>
                <w:rFonts w:ascii="Arial" w:eastAsia="Times New Roman" w:hAnsi="Arial" w:cs="Arial"/>
                <w:sz w:val="24"/>
                <w:szCs w:val="24"/>
                <w:lang w:eastAsia="en-GB"/>
              </w:rPr>
              <w:t>-0.</w:t>
            </w:r>
            <w:r w:rsidRPr="00F822A1">
              <w:rPr>
                <w:rFonts w:ascii="Arial" w:eastAsia="Times New Roman" w:hAnsi="Arial" w:cs="Arial"/>
                <w:sz w:val="24"/>
                <w:szCs w:val="24"/>
                <w:lang w:eastAsia="en-GB"/>
              </w:rPr>
              <w:t>975)</w:t>
            </w:r>
          </w:p>
        </w:tc>
        <w:tc>
          <w:tcPr>
            <w:tcW w:w="1220"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8497</w:t>
            </w:r>
          </w:p>
        </w:tc>
        <w:tc>
          <w:tcPr>
            <w:tcW w:w="2607"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0.965 (0.942</w:t>
            </w:r>
            <w:r w:rsidR="001619FB">
              <w:rPr>
                <w:rFonts w:ascii="Arial" w:eastAsia="Times New Roman" w:hAnsi="Arial" w:cs="Arial"/>
                <w:sz w:val="24"/>
                <w:szCs w:val="24"/>
                <w:lang w:eastAsia="en-GB"/>
              </w:rPr>
              <w:t>-0.</w:t>
            </w:r>
            <w:r w:rsidRPr="00F822A1">
              <w:rPr>
                <w:rFonts w:ascii="Arial" w:eastAsia="Times New Roman" w:hAnsi="Arial" w:cs="Arial"/>
                <w:sz w:val="24"/>
                <w:szCs w:val="24"/>
                <w:lang w:eastAsia="en-GB"/>
              </w:rPr>
              <w:t>988)</w:t>
            </w:r>
          </w:p>
        </w:tc>
      </w:tr>
      <w:tr w:rsidR="00DB5C89" w:rsidRPr="00F822A1" w:rsidTr="00F822A1">
        <w:trPr>
          <w:trHeight w:val="255"/>
        </w:trPr>
        <w:tc>
          <w:tcPr>
            <w:tcW w:w="284"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p>
        </w:tc>
        <w:tc>
          <w:tcPr>
            <w:tcW w:w="1143" w:type="dxa"/>
            <w:tcBorders>
              <w:top w:val="nil"/>
              <w:left w:val="nil"/>
              <w:bottom w:val="nil"/>
              <w:right w:val="nil"/>
            </w:tcBorders>
            <w:shd w:val="clear" w:color="auto" w:fill="auto"/>
            <w:noWrap/>
            <w:hideMark/>
          </w:tcPr>
          <w:p w:rsidR="00DB5C89" w:rsidRPr="00F822A1" w:rsidRDefault="00DB5C89" w:rsidP="00F80FAB">
            <w:pPr>
              <w:spacing w:after="0" w:line="240" w:lineRule="auto"/>
              <w:rPr>
                <w:rFonts w:ascii="Arial" w:eastAsia="Times New Roman" w:hAnsi="Arial" w:cs="Arial"/>
                <w:sz w:val="24"/>
                <w:szCs w:val="24"/>
                <w:lang w:eastAsia="en-GB"/>
              </w:rPr>
            </w:pPr>
            <w:r w:rsidRPr="00F822A1">
              <w:rPr>
                <w:rFonts w:ascii="Arial" w:eastAsia="Times New Roman" w:hAnsi="Arial" w:cs="Arial"/>
                <w:sz w:val="24"/>
                <w:szCs w:val="24"/>
                <w:lang w:eastAsia="en-GB"/>
              </w:rPr>
              <w:t>85+</w:t>
            </w:r>
          </w:p>
        </w:tc>
        <w:tc>
          <w:tcPr>
            <w:tcW w:w="1048"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6310</w:t>
            </w:r>
          </w:p>
        </w:tc>
        <w:tc>
          <w:tcPr>
            <w:tcW w:w="2804"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0.821 (0.799</w:t>
            </w:r>
            <w:r w:rsidR="001619FB">
              <w:rPr>
                <w:rFonts w:ascii="Arial" w:eastAsia="Times New Roman" w:hAnsi="Arial" w:cs="Arial"/>
                <w:sz w:val="24"/>
                <w:szCs w:val="24"/>
                <w:lang w:eastAsia="en-GB"/>
              </w:rPr>
              <w:t>-0.</w:t>
            </w:r>
            <w:r w:rsidRPr="00F822A1">
              <w:rPr>
                <w:rFonts w:ascii="Arial" w:eastAsia="Times New Roman" w:hAnsi="Arial" w:cs="Arial"/>
                <w:sz w:val="24"/>
                <w:szCs w:val="24"/>
                <w:lang w:eastAsia="en-GB"/>
              </w:rPr>
              <w:t>843)</w:t>
            </w:r>
          </w:p>
        </w:tc>
        <w:tc>
          <w:tcPr>
            <w:tcW w:w="1220"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5037</w:t>
            </w:r>
          </w:p>
        </w:tc>
        <w:tc>
          <w:tcPr>
            <w:tcW w:w="2607"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0.918 (0.891</w:t>
            </w:r>
            <w:r w:rsidR="001619FB">
              <w:rPr>
                <w:rFonts w:ascii="Arial" w:eastAsia="Times New Roman" w:hAnsi="Arial" w:cs="Arial"/>
                <w:sz w:val="24"/>
                <w:szCs w:val="24"/>
                <w:lang w:eastAsia="en-GB"/>
              </w:rPr>
              <w:t>-0.</w:t>
            </w:r>
            <w:r w:rsidRPr="00F822A1">
              <w:rPr>
                <w:rFonts w:ascii="Arial" w:eastAsia="Times New Roman" w:hAnsi="Arial" w:cs="Arial"/>
                <w:sz w:val="24"/>
                <w:szCs w:val="24"/>
                <w:lang w:eastAsia="en-GB"/>
              </w:rPr>
              <w:t>946)</w:t>
            </w:r>
          </w:p>
        </w:tc>
        <w:tc>
          <w:tcPr>
            <w:tcW w:w="1220"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5490</w:t>
            </w:r>
          </w:p>
        </w:tc>
        <w:tc>
          <w:tcPr>
            <w:tcW w:w="2607"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0.942 (0.914</w:t>
            </w:r>
            <w:r w:rsidR="001619FB">
              <w:rPr>
                <w:rFonts w:ascii="Arial" w:eastAsia="Times New Roman" w:hAnsi="Arial" w:cs="Arial"/>
                <w:sz w:val="24"/>
                <w:szCs w:val="24"/>
                <w:lang w:eastAsia="en-GB"/>
              </w:rPr>
              <w:t>-0.</w:t>
            </w:r>
            <w:r w:rsidRPr="00F822A1">
              <w:rPr>
                <w:rFonts w:ascii="Arial" w:eastAsia="Times New Roman" w:hAnsi="Arial" w:cs="Arial"/>
                <w:sz w:val="24"/>
                <w:szCs w:val="24"/>
                <w:lang w:eastAsia="en-GB"/>
              </w:rPr>
              <w:t>970)</w:t>
            </w:r>
          </w:p>
        </w:tc>
      </w:tr>
      <w:tr w:rsidR="00DB5C89" w:rsidRPr="00F822A1" w:rsidTr="00F822A1">
        <w:trPr>
          <w:trHeight w:val="255"/>
        </w:trPr>
        <w:tc>
          <w:tcPr>
            <w:tcW w:w="284" w:type="dxa"/>
            <w:tcBorders>
              <w:top w:val="nil"/>
              <w:left w:val="nil"/>
              <w:bottom w:val="nil"/>
              <w:right w:val="nil"/>
            </w:tcBorders>
            <w:shd w:val="clear" w:color="auto" w:fill="auto"/>
            <w:noWrap/>
          </w:tcPr>
          <w:p w:rsidR="00DB5C89" w:rsidRPr="00F822A1" w:rsidRDefault="00DB5C89" w:rsidP="00F80FAB">
            <w:pPr>
              <w:spacing w:after="0" w:line="240" w:lineRule="auto"/>
              <w:jc w:val="center"/>
              <w:rPr>
                <w:rFonts w:ascii="Arial" w:eastAsia="Times New Roman" w:hAnsi="Arial" w:cs="Arial"/>
                <w:sz w:val="24"/>
                <w:szCs w:val="24"/>
                <w:lang w:eastAsia="en-GB"/>
              </w:rPr>
            </w:pPr>
          </w:p>
        </w:tc>
        <w:tc>
          <w:tcPr>
            <w:tcW w:w="1143" w:type="dxa"/>
            <w:tcBorders>
              <w:top w:val="nil"/>
              <w:left w:val="nil"/>
              <w:bottom w:val="nil"/>
              <w:right w:val="nil"/>
            </w:tcBorders>
            <w:shd w:val="clear" w:color="auto" w:fill="auto"/>
            <w:noWrap/>
          </w:tcPr>
          <w:p w:rsidR="00DB5C89" w:rsidRPr="00F822A1" w:rsidRDefault="00DB5C89" w:rsidP="00F80FAB">
            <w:pPr>
              <w:spacing w:after="0" w:line="240" w:lineRule="auto"/>
              <w:rPr>
                <w:rFonts w:ascii="Arial" w:eastAsia="Times New Roman" w:hAnsi="Arial" w:cs="Arial"/>
                <w:sz w:val="24"/>
                <w:szCs w:val="24"/>
                <w:lang w:eastAsia="en-GB"/>
              </w:rPr>
            </w:pPr>
            <w:r w:rsidRPr="00F822A1">
              <w:rPr>
                <w:rFonts w:ascii="Arial" w:eastAsia="Times New Roman" w:hAnsi="Arial" w:cs="Arial"/>
                <w:sz w:val="24"/>
                <w:szCs w:val="24"/>
                <w:lang w:eastAsia="en-GB"/>
              </w:rPr>
              <w:t>Overall</w:t>
            </w:r>
          </w:p>
        </w:tc>
        <w:tc>
          <w:tcPr>
            <w:tcW w:w="1048" w:type="dxa"/>
            <w:tcBorders>
              <w:top w:val="nil"/>
              <w:left w:val="nil"/>
              <w:bottom w:val="nil"/>
              <w:right w:val="nil"/>
            </w:tcBorders>
            <w:shd w:val="clear" w:color="auto" w:fill="auto"/>
            <w:noWrap/>
            <w:vAlign w:val="bottom"/>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hAnsi="Arial" w:cs="Arial"/>
                <w:sz w:val="24"/>
                <w:szCs w:val="24"/>
              </w:rPr>
              <w:t>18798</w:t>
            </w:r>
          </w:p>
        </w:tc>
        <w:tc>
          <w:tcPr>
            <w:tcW w:w="2804" w:type="dxa"/>
            <w:tcBorders>
              <w:top w:val="nil"/>
              <w:left w:val="nil"/>
              <w:bottom w:val="nil"/>
              <w:right w:val="nil"/>
            </w:tcBorders>
            <w:shd w:val="clear" w:color="auto" w:fill="auto"/>
            <w:noWrap/>
            <w:vAlign w:val="bottom"/>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hAnsi="Arial" w:cs="Arial"/>
                <w:sz w:val="24"/>
                <w:szCs w:val="24"/>
              </w:rPr>
              <w:t>0.834 (0.821</w:t>
            </w:r>
            <w:r w:rsidR="001619FB">
              <w:rPr>
                <w:rFonts w:ascii="Arial" w:hAnsi="Arial" w:cs="Arial"/>
                <w:sz w:val="24"/>
                <w:szCs w:val="24"/>
              </w:rPr>
              <w:t>-0.</w:t>
            </w:r>
            <w:r w:rsidRPr="00F822A1">
              <w:rPr>
                <w:rFonts w:ascii="Arial" w:hAnsi="Arial" w:cs="Arial"/>
                <w:sz w:val="24"/>
                <w:szCs w:val="24"/>
              </w:rPr>
              <w:t>848)</w:t>
            </w:r>
          </w:p>
        </w:tc>
        <w:tc>
          <w:tcPr>
            <w:tcW w:w="1220" w:type="dxa"/>
            <w:tcBorders>
              <w:top w:val="nil"/>
              <w:left w:val="nil"/>
              <w:bottom w:val="nil"/>
              <w:right w:val="nil"/>
            </w:tcBorders>
            <w:shd w:val="clear" w:color="auto" w:fill="auto"/>
            <w:noWrap/>
            <w:vAlign w:val="bottom"/>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hAnsi="Arial" w:cs="Arial"/>
                <w:sz w:val="24"/>
                <w:szCs w:val="24"/>
              </w:rPr>
              <w:t>15380</w:t>
            </w:r>
          </w:p>
        </w:tc>
        <w:tc>
          <w:tcPr>
            <w:tcW w:w="2607" w:type="dxa"/>
            <w:tcBorders>
              <w:top w:val="nil"/>
              <w:left w:val="nil"/>
              <w:bottom w:val="nil"/>
              <w:right w:val="nil"/>
            </w:tcBorders>
            <w:shd w:val="clear" w:color="auto" w:fill="auto"/>
            <w:noWrap/>
            <w:vAlign w:val="bottom"/>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hAnsi="Arial" w:cs="Arial"/>
                <w:sz w:val="24"/>
                <w:szCs w:val="24"/>
              </w:rPr>
              <w:t>0.937 (0.921</w:t>
            </w:r>
            <w:r w:rsidR="001619FB">
              <w:rPr>
                <w:rFonts w:ascii="Arial" w:hAnsi="Arial" w:cs="Arial"/>
                <w:sz w:val="24"/>
                <w:szCs w:val="24"/>
              </w:rPr>
              <w:t>-0.</w:t>
            </w:r>
            <w:r w:rsidRPr="00F822A1">
              <w:rPr>
                <w:rFonts w:ascii="Arial" w:hAnsi="Arial" w:cs="Arial"/>
                <w:sz w:val="24"/>
                <w:szCs w:val="24"/>
              </w:rPr>
              <w:t>954)</w:t>
            </w:r>
          </w:p>
        </w:tc>
        <w:tc>
          <w:tcPr>
            <w:tcW w:w="1220" w:type="dxa"/>
            <w:tcBorders>
              <w:top w:val="nil"/>
              <w:left w:val="nil"/>
              <w:bottom w:val="nil"/>
              <w:right w:val="nil"/>
            </w:tcBorders>
            <w:shd w:val="clear" w:color="auto" w:fill="auto"/>
            <w:noWrap/>
            <w:vAlign w:val="bottom"/>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hAnsi="Arial" w:cs="Arial"/>
                <w:sz w:val="24"/>
                <w:szCs w:val="24"/>
              </w:rPr>
              <w:t>14983</w:t>
            </w:r>
          </w:p>
        </w:tc>
        <w:tc>
          <w:tcPr>
            <w:tcW w:w="2607" w:type="dxa"/>
            <w:tcBorders>
              <w:top w:val="nil"/>
              <w:left w:val="nil"/>
              <w:bottom w:val="nil"/>
              <w:right w:val="nil"/>
            </w:tcBorders>
            <w:shd w:val="clear" w:color="auto" w:fill="auto"/>
            <w:noWrap/>
            <w:vAlign w:val="bottom"/>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hAnsi="Arial" w:cs="Arial"/>
                <w:sz w:val="24"/>
                <w:szCs w:val="24"/>
              </w:rPr>
              <w:t>0.957 (0.940</w:t>
            </w:r>
            <w:r w:rsidR="001619FB">
              <w:rPr>
                <w:rFonts w:ascii="Arial" w:hAnsi="Arial" w:cs="Arial"/>
                <w:sz w:val="24"/>
                <w:szCs w:val="24"/>
              </w:rPr>
              <w:t>-0.</w:t>
            </w:r>
            <w:r w:rsidRPr="00F822A1">
              <w:rPr>
                <w:rFonts w:ascii="Arial" w:hAnsi="Arial" w:cs="Arial"/>
                <w:sz w:val="24"/>
                <w:szCs w:val="24"/>
              </w:rPr>
              <w:t>975)</w:t>
            </w:r>
          </w:p>
        </w:tc>
      </w:tr>
      <w:tr w:rsidR="00DB5C89" w:rsidRPr="00F822A1" w:rsidTr="00F822A1">
        <w:trPr>
          <w:trHeight w:val="255"/>
        </w:trPr>
        <w:tc>
          <w:tcPr>
            <w:tcW w:w="2475" w:type="dxa"/>
            <w:gridSpan w:val="3"/>
            <w:tcBorders>
              <w:top w:val="nil"/>
              <w:left w:val="nil"/>
              <w:bottom w:val="nil"/>
              <w:right w:val="nil"/>
            </w:tcBorders>
            <w:shd w:val="clear" w:color="auto" w:fill="auto"/>
            <w:noWrap/>
          </w:tcPr>
          <w:p w:rsidR="00DB5C89" w:rsidRPr="00F822A1" w:rsidRDefault="00DB5C89" w:rsidP="00F80FAB">
            <w:pPr>
              <w:spacing w:after="0" w:line="240" w:lineRule="auto"/>
              <w:rPr>
                <w:rFonts w:ascii="Arial" w:eastAsia="Times New Roman" w:hAnsi="Arial" w:cs="Arial"/>
                <w:sz w:val="24"/>
                <w:szCs w:val="24"/>
                <w:lang w:eastAsia="en-GB"/>
              </w:rPr>
            </w:pPr>
            <w:r w:rsidRPr="00F822A1">
              <w:rPr>
                <w:rFonts w:ascii="Arial" w:eastAsia="Times New Roman" w:hAnsi="Arial" w:cs="Arial"/>
                <w:sz w:val="24"/>
                <w:szCs w:val="24"/>
                <w:lang w:eastAsia="en-GB"/>
              </w:rPr>
              <w:t>Vascular dementia</w:t>
            </w:r>
          </w:p>
        </w:tc>
        <w:tc>
          <w:tcPr>
            <w:tcW w:w="2804" w:type="dxa"/>
            <w:tcBorders>
              <w:top w:val="nil"/>
              <w:left w:val="nil"/>
              <w:bottom w:val="nil"/>
              <w:right w:val="nil"/>
            </w:tcBorders>
            <w:shd w:val="clear" w:color="auto" w:fill="auto"/>
            <w:noWrap/>
          </w:tcPr>
          <w:p w:rsidR="00DB5C89" w:rsidRPr="00F822A1" w:rsidRDefault="00DB5C89" w:rsidP="00F80FAB">
            <w:pPr>
              <w:spacing w:after="0" w:line="240" w:lineRule="auto"/>
              <w:jc w:val="center"/>
              <w:rPr>
                <w:rFonts w:ascii="Arial" w:eastAsia="Times New Roman" w:hAnsi="Arial" w:cs="Arial"/>
                <w:sz w:val="24"/>
                <w:szCs w:val="24"/>
                <w:lang w:eastAsia="en-GB"/>
              </w:rPr>
            </w:pPr>
          </w:p>
        </w:tc>
        <w:tc>
          <w:tcPr>
            <w:tcW w:w="1220" w:type="dxa"/>
            <w:tcBorders>
              <w:top w:val="nil"/>
              <w:left w:val="nil"/>
              <w:bottom w:val="nil"/>
              <w:right w:val="nil"/>
            </w:tcBorders>
            <w:shd w:val="clear" w:color="auto" w:fill="auto"/>
            <w:noWrap/>
          </w:tcPr>
          <w:p w:rsidR="00DB5C89" w:rsidRPr="00F822A1" w:rsidRDefault="00DB5C89" w:rsidP="00F80FAB">
            <w:pPr>
              <w:spacing w:after="0" w:line="240" w:lineRule="auto"/>
              <w:jc w:val="center"/>
              <w:rPr>
                <w:rFonts w:ascii="Arial" w:eastAsia="Times New Roman" w:hAnsi="Arial" w:cs="Arial"/>
                <w:sz w:val="24"/>
                <w:szCs w:val="24"/>
                <w:lang w:eastAsia="en-GB"/>
              </w:rPr>
            </w:pPr>
          </w:p>
        </w:tc>
        <w:tc>
          <w:tcPr>
            <w:tcW w:w="2607" w:type="dxa"/>
            <w:tcBorders>
              <w:top w:val="nil"/>
              <w:left w:val="nil"/>
              <w:bottom w:val="nil"/>
              <w:right w:val="nil"/>
            </w:tcBorders>
            <w:shd w:val="clear" w:color="auto" w:fill="auto"/>
            <w:noWrap/>
          </w:tcPr>
          <w:p w:rsidR="00DB5C89" w:rsidRPr="00F822A1" w:rsidRDefault="00DB5C89" w:rsidP="00F80FAB">
            <w:pPr>
              <w:spacing w:after="0" w:line="240" w:lineRule="auto"/>
              <w:jc w:val="center"/>
              <w:rPr>
                <w:rFonts w:ascii="Arial" w:eastAsia="Times New Roman" w:hAnsi="Arial" w:cs="Arial"/>
                <w:sz w:val="24"/>
                <w:szCs w:val="24"/>
                <w:lang w:eastAsia="en-GB"/>
              </w:rPr>
            </w:pPr>
          </w:p>
        </w:tc>
        <w:tc>
          <w:tcPr>
            <w:tcW w:w="1220" w:type="dxa"/>
            <w:tcBorders>
              <w:top w:val="nil"/>
              <w:left w:val="nil"/>
              <w:bottom w:val="nil"/>
              <w:right w:val="nil"/>
            </w:tcBorders>
            <w:shd w:val="clear" w:color="auto" w:fill="auto"/>
            <w:noWrap/>
          </w:tcPr>
          <w:p w:rsidR="00DB5C89" w:rsidRPr="00F822A1" w:rsidRDefault="00DB5C89" w:rsidP="00F80FAB">
            <w:pPr>
              <w:spacing w:after="0" w:line="240" w:lineRule="auto"/>
              <w:jc w:val="center"/>
              <w:rPr>
                <w:rFonts w:ascii="Arial" w:eastAsia="Times New Roman" w:hAnsi="Arial" w:cs="Arial"/>
                <w:sz w:val="24"/>
                <w:szCs w:val="24"/>
                <w:lang w:eastAsia="en-GB"/>
              </w:rPr>
            </w:pPr>
          </w:p>
        </w:tc>
        <w:tc>
          <w:tcPr>
            <w:tcW w:w="2607" w:type="dxa"/>
            <w:tcBorders>
              <w:top w:val="nil"/>
              <w:left w:val="nil"/>
              <w:bottom w:val="nil"/>
              <w:right w:val="nil"/>
            </w:tcBorders>
            <w:shd w:val="clear" w:color="auto" w:fill="auto"/>
            <w:noWrap/>
          </w:tcPr>
          <w:p w:rsidR="00DB5C89" w:rsidRPr="00F822A1" w:rsidRDefault="00DB5C89" w:rsidP="00F80FAB">
            <w:pPr>
              <w:spacing w:after="0" w:line="240" w:lineRule="auto"/>
              <w:jc w:val="center"/>
              <w:rPr>
                <w:rFonts w:ascii="Arial" w:eastAsia="Times New Roman" w:hAnsi="Arial" w:cs="Arial"/>
                <w:sz w:val="24"/>
                <w:szCs w:val="24"/>
                <w:lang w:eastAsia="en-GB"/>
              </w:rPr>
            </w:pPr>
          </w:p>
        </w:tc>
      </w:tr>
      <w:tr w:rsidR="00DB5C89" w:rsidRPr="00F822A1" w:rsidTr="00F822A1">
        <w:trPr>
          <w:trHeight w:val="255"/>
        </w:trPr>
        <w:tc>
          <w:tcPr>
            <w:tcW w:w="284" w:type="dxa"/>
            <w:tcBorders>
              <w:top w:val="nil"/>
              <w:left w:val="nil"/>
              <w:bottom w:val="nil"/>
              <w:right w:val="nil"/>
            </w:tcBorders>
            <w:shd w:val="clear" w:color="auto" w:fill="auto"/>
            <w:noWrap/>
            <w:hideMark/>
          </w:tcPr>
          <w:p w:rsidR="00DB5C89" w:rsidRPr="00F822A1" w:rsidRDefault="00DB5C89" w:rsidP="00F80FAB">
            <w:pPr>
              <w:spacing w:after="0" w:line="240" w:lineRule="auto"/>
              <w:rPr>
                <w:rFonts w:ascii="Arial" w:eastAsia="Times New Roman" w:hAnsi="Arial" w:cs="Arial"/>
                <w:sz w:val="24"/>
                <w:szCs w:val="24"/>
                <w:lang w:eastAsia="en-GB"/>
              </w:rPr>
            </w:pPr>
          </w:p>
        </w:tc>
        <w:tc>
          <w:tcPr>
            <w:tcW w:w="1143" w:type="dxa"/>
            <w:tcBorders>
              <w:top w:val="nil"/>
              <w:left w:val="nil"/>
              <w:bottom w:val="nil"/>
              <w:right w:val="nil"/>
            </w:tcBorders>
            <w:shd w:val="clear" w:color="auto" w:fill="auto"/>
            <w:noWrap/>
            <w:hideMark/>
          </w:tcPr>
          <w:p w:rsidR="00DB5C89" w:rsidRPr="00F822A1" w:rsidRDefault="00DB5C89" w:rsidP="00F80FAB">
            <w:pPr>
              <w:spacing w:after="0" w:line="240" w:lineRule="auto"/>
              <w:rPr>
                <w:rFonts w:ascii="Arial" w:eastAsia="Times New Roman" w:hAnsi="Arial" w:cs="Arial"/>
                <w:sz w:val="24"/>
                <w:szCs w:val="24"/>
                <w:lang w:eastAsia="en-GB"/>
              </w:rPr>
            </w:pPr>
            <w:r w:rsidRPr="00F822A1">
              <w:rPr>
                <w:rFonts w:ascii="Arial" w:eastAsia="Times New Roman" w:hAnsi="Arial" w:cs="Arial"/>
                <w:sz w:val="24"/>
                <w:szCs w:val="24"/>
                <w:lang w:eastAsia="en-GB"/>
              </w:rPr>
              <w:t>&lt;70</w:t>
            </w:r>
          </w:p>
        </w:tc>
        <w:tc>
          <w:tcPr>
            <w:tcW w:w="1048"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348</w:t>
            </w:r>
          </w:p>
        </w:tc>
        <w:tc>
          <w:tcPr>
            <w:tcW w:w="2804"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0.986 (0.870</w:t>
            </w:r>
            <w:r w:rsidR="001619FB">
              <w:rPr>
                <w:rFonts w:ascii="Arial" w:eastAsia="Times New Roman" w:hAnsi="Arial" w:cs="Arial"/>
                <w:sz w:val="24"/>
                <w:szCs w:val="24"/>
                <w:lang w:eastAsia="en-GB"/>
              </w:rPr>
              <w:t>-1.</w:t>
            </w:r>
            <w:r w:rsidRPr="00F822A1">
              <w:rPr>
                <w:rFonts w:ascii="Arial" w:eastAsia="Times New Roman" w:hAnsi="Arial" w:cs="Arial"/>
                <w:sz w:val="24"/>
                <w:szCs w:val="24"/>
                <w:lang w:eastAsia="en-GB"/>
              </w:rPr>
              <w:t>116)</w:t>
            </w:r>
          </w:p>
        </w:tc>
        <w:tc>
          <w:tcPr>
            <w:tcW w:w="1220"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301</w:t>
            </w:r>
          </w:p>
        </w:tc>
        <w:tc>
          <w:tcPr>
            <w:tcW w:w="2607"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1.147 (1.009</w:t>
            </w:r>
            <w:r w:rsidR="001619FB">
              <w:rPr>
                <w:rFonts w:ascii="Arial" w:eastAsia="Times New Roman" w:hAnsi="Arial" w:cs="Arial"/>
                <w:sz w:val="24"/>
                <w:szCs w:val="24"/>
                <w:lang w:eastAsia="en-GB"/>
              </w:rPr>
              <w:t>-1.</w:t>
            </w:r>
            <w:r w:rsidRPr="00F822A1">
              <w:rPr>
                <w:rFonts w:ascii="Arial" w:eastAsia="Times New Roman" w:hAnsi="Arial" w:cs="Arial"/>
                <w:sz w:val="24"/>
                <w:szCs w:val="24"/>
                <w:lang w:eastAsia="en-GB"/>
              </w:rPr>
              <w:t>303)</w:t>
            </w:r>
          </w:p>
        </w:tc>
        <w:tc>
          <w:tcPr>
            <w:tcW w:w="1220"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314</w:t>
            </w:r>
          </w:p>
        </w:tc>
        <w:tc>
          <w:tcPr>
            <w:tcW w:w="2607"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1.269 (1.120</w:t>
            </w:r>
            <w:r w:rsidR="001619FB">
              <w:rPr>
                <w:rFonts w:ascii="Arial" w:eastAsia="Times New Roman" w:hAnsi="Arial" w:cs="Arial"/>
                <w:sz w:val="24"/>
                <w:szCs w:val="24"/>
                <w:lang w:eastAsia="en-GB"/>
              </w:rPr>
              <w:t>-1.</w:t>
            </w:r>
            <w:r w:rsidRPr="00F822A1">
              <w:rPr>
                <w:rFonts w:ascii="Arial" w:eastAsia="Times New Roman" w:hAnsi="Arial" w:cs="Arial"/>
                <w:sz w:val="24"/>
                <w:szCs w:val="24"/>
                <w:lang w:eastAsia="en-GB"/>
              </w:rPr>
              <w:t>438)</w:t>
            </w:r>
          </w:p>
        </w:tc>
      </w:tr>
      <w:tr w:rsidR="00DB5C89" w:rsidRPr="00F822A1" w:rsidTr="00F822A1">
        <w:trPr>
          <w:trHeight w:val="255"/>
        </w:trPr>
        <w:tc>
          <w:tcPr>
            <w:tcW w:w="284" w:type="dxa"/>
            <w:tcBorders>
              <w:top w:val="nil"/>
              <w:left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p>
        </w:tc>
        <w:tc>
          <w:tcPr>
            <w:tcW w:w="1143" w:type="dxa"/>
            <w:tcBorders>
              <w:top w:val="nil"/>
              <w:left w:val="nil"/>
              <w:right w:val="nil"/>
            </w:tcBorders>
            <w:shd w:val="clear" w:color="auto" w:fill="auto"/>
            <w:noWrap/>
            <w:hideMark/>
          </w:tcPr>
          <w:p w:rsidR="00DB5C89" w:rsidRPr="00F822A1" w:rsidRDefault="00DB5C89" w:rsidP="00F80FAB">
            <w:pPr>
              <w:spacing w:after="0" w:line="240" w:lineRule="auto"/>
              <w:rPr>
                <w:rFonts w:ascii="Arial" w:eastAsia="Times New Roman" w:hAnsi="Arial" w:cs="Arial"/>
                <w:sz w:val="24"/>
                <w:szCs w:val="24"/>
                <w:lang w:eastAsia="en-GB"/>
              </w:rPr>
            </w:pPr>
            <w:r w:rsidRPr="00F822A1">
              <w:rPr>
                <w:rFonts w:ascii="Arial" w:eastAsia="Times New Roman" w:hAnsi="Arial" w:cs="Arial"/>
                <w:sz w:val="24"/>
                <w:szCs w:val="24"/>
                <w:lang w:eastAsia="en-GB"/>
              </w:rPr>
              <w:t>70-85</w:t>
            </w:r>
          </w:p>
        </w:tc>
        <w:tc>
          <w:tcPr>
            <w:tcW w:w="1048" w:type="dxa"/>
            <w:tcBorders>
              <w:top w:val="nil"/>
              <w:left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2492</w:t>
            </w:r>
          </w:p>
        </w:tc>
        <w:tc>
          <w:tcPr>
            <w:tcW w:w="2804" w:type="dxa"/>
            <w:tcBorders>
              <w:top w:val="nil"/>
              <w:left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0.886 (0.847</w:t>
            </w:r>
            <w:r w:rsidR="001619FB">
              <w:rPr>
                <w:rFonts w:ascii="Arial" w:eastAsia="Times New Roman" w:hAnsi="Arial" w:cs="Arial"/>
                <w:sz w:val="24"/>
                <w:szCs w:val="24"/>
                <w:lang w:eastAsia="en-GB"/>
              </w:rPr>
              <w:t>-0.</w:t>
            </w:r>
            <w:r w:rsidRPr="00F822A1">
              <w:rPr>
                <w:rFonts w:ascii="Arial" w:eastAsia="Times New Roman" w:hAnsi="Arial" w:cs="Arial"/>
                <w:sz w:val="24"/>
                <w:szCs w:val="24"/>
                <w:lang w:eastAsia="en-GB"/>
              </w:rPr>
              <w:t>927)</w:t>
            </w:r>
          </w:p>
        </w:tc>
        <w:tc>
          <w:tcPr>
            <w:tcW w:w="1220" w:type="dxa"/>
            <w:tcBorders>
              <w:top w:val="nil"/>
              <w:left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2872</w:t>
            </w:r>
          </w:p>
        </w:tc>
        <w:tc>
          <w:tcPr>
            <w:tcW w:w="2607" w:type="dxa"/>
            <w:tcBorders>
              <w:top w:val="nil"/>
              <w:left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0.965 (0.926</w:t>
            </w:r>
            <w:r w:rsidR="001619FB">
              <w:rPr>
                <w:rFonts w:ascii="Arial" w:eastAsia="Times New Roman" w:hAnsi="Arial" w:cs="Arial"/>
                <w:sz w:val="24"/>
                <w:szCs w:val="24"/>
                <w:lang w:eastAsia="en-GB"/>
              </w:rPr>
              <w:t>-1.</w:t>
            </w:r>
            <w:r w:rsidRPr="00F822A1">
              <w:rPr>
                <w:rFonts w:ascii="Arial" w:eastAsia="Times New Roman" w:hAnsi="Arial" w:cs="Arial"/>
                <w:sz w:val="24"/>
                <w:szCs w:val="24"/>
                <w:lang w:eastAsia="en-GB"/>
              </w:rPr>
              <w:t>006)</w:t>
            </w:r>
          </w:p>
        </w:tc>
        <w:tc>
          <w:tcPr>
            <w:tcW w:w="1220" w:type="dxa"/>
            <w:tcBorders>
              <w:top w:val="nil"/>
              <w:left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3015</w:t>
            </w:r>
          </w:p>
        </w:tc>
        <w:tc>
          <w:tcPr>
            <w:tcW w:w="2607" w:type="dxa"/>
            <w:tcBorders>
              <w:top w:val="nil"/>
              <w:left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1.095 (1.052</w:t>
            </w:r>
            <w:r w:rsidR="001619FB">
              <w:rPr>
                <w:rFonts w:ascii="Arial" w:eastAsia="Times New Roman" w:hAnsi="Arial" w:cs="Arial"/>
                <w:sz w:val="24"/>
                <w:szCs w:val="24"/>
                <w:lang w:eastAsia="en-GB"/>
              </w:rPr>
              <w:t>-1.</w:t>
            </w:r>
            <w:r w:rsidRPr="00F822A1">
              <w:rPr>
                <w:rFonts w:ascii="Arial" w:eastAsia="Times New Roman" w:hAnsi="Arial" w:cs="Arial"/>
                <w:sz w:val="24"/>
                <w:szCs w:val="24"/>
                <w:lang w:eastAsia="en-GB"/>
              </w:rPr>
              <w:t>139)</w:t>
            </w:r>
          </w:p>
        </w:tc>
      </w:tr>
      <w:tr w:rsidR="00DB5C89" w:rsidRPr="00F822A1" w:rsidTr="00F822A1">
        <w:trPr>
          <w:trHeight w:val="255"/>
        </w:trPr>
        <w:tc>
          <w:tcPr>
            <w:tcW w:w="284"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p>
        </w:tc>
        <w:tc>
          <w:tcPr>
            <w:tcW w:w="1143" w:type="dxa"/>
            <w:tcBorders>
              <w:top w:val="nil"/>
              <w:left w:val="nil"/>
              <w:bottom w:val="nil"/>
              <w:right w:val="nil"/>
            </w:tcBorders>
            <w:shd w:val="clear" w:color="auto" w:fill="auto"/>
            <w:noWrap/>
            <w:hideMark/>
          </w:tcPr>
          <w:p w:rsidR="00DB5C89" w:rsidRPr="00F822A1" w:rsidRDefault="00DB5C89" w:rsidP="00F80FAB">
            <w:pPr>
              <w:spacing w:after="0" w:line="240" w:lineRule="auto"/>
              <w:rPr>
                <w:rFonts w:ascii="Arial" w:eastAsia="Times New Roman" w:hAnsi="Arial" w:cs="Arial"/>
                <w:sz w:val="24"/>
                <w:szCs w:val="24"/>
                <w:lang w:eastAsia="en-GB"/>
              </w:rPr>
            </w:pPr>
            <w:r w:rsidRPr="00F822A1">
              <w:rPr>
                <w:rFonts w:ascii="Arial" w:eastAsia="Times New Roman" w:hAnsi="Arial" w:cs="Arial"/>
                <w:sz w:val="24"/>
                <w:szCs w:val="24"/>
                <w:lang w:eastAsia="en-GB"/>
              </w:rPr>
              <w:t>85+</w:t>
            </w:r>
          </w:p>
        </w:tc>
        <w:tc>
          <w:tcPr>
            <w:tcW w:w="1048"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1210</w:t>
            </w:r>
          </w:p>
        </w:tc>
        <w:tc>
          <w:tcPr>
            <w:tcW w:w="2804"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0.922 (0.867</w:t>
            </w:r>
            <w:r w:rsidR="001619FB">
              <w:rPr>
                <w:rFonts w:ascii="Arial" w:eastAsia="Times New Roman" w:hAnsi="Arial" w:cs="Arial"/>
                <w:sz w:val="24"/>
                <w:szCs w:val="24"/>
                <w:lang w:eastAsia="en-GB"/>
              </w:rPr>
              <w:t>-0.</w:t>
            </w:r>
            <w:r w:rsidRPr="00F822A1">
              <w:rPr>
                <w:rFonts w:ascii="Arial" w:eastAsia="Times New Roman" w:hAnsi="Arial" w:cs="Arial"/>
                <w:sz w:val="24"/>
                <w:szCs w:val="24"/>
                <w:lang w:eastAsia="en-GB"/>
              </w:rPr>
              <w:t>980)</w:t>
            </w:r>
          </w:p>
        </w:tc>
        <w:tc>
          <w:tcPr>
            <w:tcW w:w="1220"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1415</w:t>
            </w:r>
          </w:p>
        </w:tc>
        <w:tc>
          <w:tcPr>
            <w:tcW w:w="2607"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0.977 (0.923</w:t>
            </w:r>
            <w:r w:rsidR="001619FB">
              <w:rPr>
                <w:rFonts w:ascii="Arial" w:eastAsia="Times New Roman" w:hAnsi="Arial" w:cs="Arial"/>
                <w:sz w:val="24"/>
                <w:szCs w:val="24"/>
                <w:lang w:eastAsia="en-GB"/>
              </w:rPr>
              <w:t>-1.</w:t>
            </w:r>
            <w:r w:rsidRPr="00F822A1">
              <w:rPr>
                <w:rFonts w:ascii="Arial" w:eastAsia="Times New Roman" w:hAnsi="Arial" w:cs="Arial"/>
                <w:sz w:val="24"/>
                <w:szCs w:val="24"/>
                <w:lang w:eastAsia="en-GB"/>
              </w:rPr>
              <w:t>034)</w:t>
            </w:r>
          </w:p>
        </w:tc>
        <w:tc>
          <w:tcPr>
            <w:tcW w:w="1220"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1849</w:t>
            </w:r>
          </w:p>
        </w:tc>
        <w:tc>
          <w:tcPr>
            <w:tcW w:w="2607" w:type="dxa"/>
            <w:tcBorders>
              <w:top w:val="nil"/>
              <w:left w:val="nil"/>
              <w:bottom w:val="nil"/>
              <w:right w:val="nil"/>
            </w:tcBorders>
            <w:shd w:val="clear" w:color="auto" w:fill="auto"/>
            <w:noWrap/>
            <w:hideMark/>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eastAsia="Times New Roman" w:hAnsi="Arial" w:cs="Arial"/>
                <w:sz w:val="24"/>
                <w:szCs w:val="24"/>
                <w:lang w:eastAsia="en-GB"/>
              </w:rPr>
              <w:t>1.005 (0.956</w:t>
            </w:r>
            <w:r w:rsidR="001619FB">
              <w:rPr>
                <w:rFonts w:ascii="Arial" w:eastAsia="Times New Roman" w:hAnsi="Arial" w:cs="Arial"/>
                <w:sz w:val="24"/>
                <w:szCs w:val="24"/>
                <w:lang w:eastAsia="en-GB"/>
              </w:rPr>
              <w:t>-1.</w:t>
            </w:r>
            <w:r w:rsidRPr="00F822A1">
              <w:rPr>
                <w:rFonts w:ascii="Arial" w:eastAsia="Times New Roman" w:hAnsi="Arial" w:cs="Arial"/>
                <w:sz w:val="24"/>
                <w:szCs w:val="24"/>
                <w:lang w:eastAsia="en-GB"/>
              </w:rPr>
              <w:t>057)</w:t>
            </w:r>
          </w:p>
        </w:tc>
      </w:tr>
      <w:tr w:rsidR="00DB5C89" w:rsidRPr="00F822A1" w:rsidTr="00F822A1">
        <w:trPr>
          <w:trHeight w:val="255"/>
        </w:trPr>
        <w:tc>
          <w:tcPr>
            <w:tcW w:w="284" w:type="dxa"/>
            <w:tcBorders>
              <w:top w:val="nil"/>
              <w:left w:val="nil"/>
              <w:bottom w:val="single" w:sz="4" w:space="0" w:color="auto"/>
              <w:right w:val="nil"/>
            </w:tcBorders>
            <w:shd w:val="clear" w:color="auto" w:fill="auto"/>
            <w:noWrap/>
          </w:tcPr>
          <w:p w:rsidR="00DB5C89" w:rsidRPr="00F822A1" w:rsidRDefault="00DB5C89" w:rsidP="00F80FAB">
            <w:pPr>
              <w:spacing w:after="0" w:line="240" w:lineRule="auto"/>
              <w:jc w:val="center"/>
              <w:rPr>
                <w:rFonts w:ascii="Arial" w:eastAsia="Times New Roman" w:hAnsi="Arial" w:cs="Arial"/>
                <w:sz w:val="24"/>
                <w:szCs w:val="24"/>
                <w:lang w:eastAsia="en-GB"/>
              </w:rPr>
            </w:pPr>
          </w:p>
        </w:tc>
        <w:tc>
          <w:tcPr>
            <w:tcW w:w="1143" w:type="dxa"/>
            <w:tcBorders>
              <w:top w:val="nil"/>
              <w:left w:val="nil"/>
              <w:bottom w:val="single" w:sz="4" w:space="0" w:color="auto"/>
              <w:right w:val="nil"/>
            </w:tcBorders>
            <w:shd w:val="clear" w:color="auto" w:fill="auto"/>
            <w:noWrap/>
          </w:tcPr>
          <w:p w:rsidR="00DB5C89" w:rsidRPr="00F822A1" w:rsidRDefault="00DB5C89" w:rsidP="00F80FAB">
            <w:pPr>
              <w:spacing w:after="0" w:line="240" w:lineRule="auto"/>
              <w:rPr>
                <w:rFonts w:ascii="Arial" w:eastAsia="Times New Roman" w:hAnsi="Arial" w:cs="Arial"/>
                <w:sz w:val="24"/>
                <w:szCs w:val="24"/>
                <w:lang w:eastAsia="en-GB"/>
              </w:rPr>
            </w:pPr>
            <w:r w:rsidRPr="00F822A1">
              <w:rPr>
                <w:rFonts w:ascii="Arial" w:eastAsia="Times New Roman" w:hAnsi="Arial" w:cs="Arial"/>
                <w:sz w:val="24"/>
                <w:szCs w:val="24"/>
                <w:lang w:eastAsia="en-GB"/>
              </w:rPr>
              <w:t>Overall</w:t>
            </w:r>
          </w:p>
        </w:tc>
        <w:tc>
          <w:tcPr>
            <w:tcW w:w="1048" w:type="dxa"/>
            <w:tcBorders>
              <w:top w:val="nil"/>
              <w:left w:val="nil"/>
              <w:bottom w:val="single" w:sz="4" w:space="0" w:color="auto"/>
              <w:right w:val="nil"/>
            </w:tcBorders>
            <w:shd w:val="clear" w:color="auto" w:fill="auto"/>
            <w:noWrap/>
            <w:vAlign w:val="bottom"/>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hAnsi="Arial" w:cs="Arial"/>
                <w:sz w:val="24"/>
                <w:szCs w:val="24"/>
              </w:rPr>
              <w:t>4050</w:t>
            </w:r>
          </w:p>
        </w:tc>
        <w:tc>
          <w:tcPr>
            <w:tcW w:w="2804" w:type="dxa"/>
            <w:tcBorders>
              <w:top w:val="nil"/>
              <w:left w:val="nil"/>
              <w:bottom w:val="single" w:sz="4" w:space="0" w:color="auto"/>
              <w:right w:val="nil"/>
            </w:tcBorders>
            <w:shd w:val="clear" w:color="auto" w:fill="auto"/>
            <w:noWrap/>
            <w:vAlign w:val="bottom"/>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hAnsi="Arial" w:cs="Arial"/>
                <w:sz w:val="24"/>
                <w:szCs w:val="24"/>
              </w:rPr>
              <w:t>0.903 (0.872</w:t>
            </w:r>
            <w:r w:rsidR="001619FB">
              <w:rPr>
                <w:rFonts w:ascii="Arial" w:hAnsi="Arial" w:cs="Arial"/>
                <w:sz w:val="24"/>
                <w:szCs w:val="24"/>
              </w:rPr>
              <w:t>-0.</w:t>
            </w:r>
            <w:r w:rsidRPr="00F822A1">
              <w:rPr>
                <w:rFonts w:ascii="Arial" w:hAnsi="Arial" w:cs="Arial"/>
                <w:sz w:val="24"/>
                <w:szCs w:val="24"/>
              </w:rPr>
              <w:t>935)</w:t>
            </w:r>
          </w:p>
        </w:tc>
        <w:tc>
          <w:tcPr>
            <w:tcW w:w="1220" w:type="dxa"/>
            <w:tcBorders>
              <w:top w:val="nil"/>
              <w:left w:val="nil"/>
              <w:bottom w:val="single" w:sz="4" w:space="0" w:color="auto"/>
              <w:right w:val="nil"/>
            </w:tcBorders>
            <w:shd w:val="clear" w:color="auto" w:fill="auto"/>
            <w:noWrap/>
            <w:vAlign w:val="bottom"/>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hAnsi="Arial" w:cs="Arial"/>
                <w:sz w:val="24"/>
                <w:szCs w:val="24"/>
              </w:rPr>
              <w:t>4588</w:t>
            </w:r>
          </w:p>
        </w:tc>
        <w:tc>
          <w:tcPr>
            <w:tcW w:w="2607" w:type="dxa"/>
            <w:tcBorders>
              <w:top w:val="nil"/>
              <w:left w:val="nil"/>
              <w:bottom w:val="single" w:sz="4" w:space="0" w:color="auto"/>
              <w:right w:val="nil"/>
            </w:tcBorders>
            <w:shd w:val="clear" w:color="auto" w:fill="auto"/>
            <w:noWrap/>
            <w:vAlign w:val="bottom"/>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hAnsi="Arial" w:cs="Arial"/>
                <w:sz w:val="24"/>
                <w:szCs w:val="24"/>
              </w:rPr>
              <w:t>0.979 (0.948</w:t>
            </w:r>
            <w:r w:rsidR="001619FB">
              <w:rPr>
                <w:rFonts w:ascii="Arial" w:hAnsi="Arial" w:cs="Arial"/>
                <w:sz w:val="24"/>
                <w:szCs w:val="24"/>
              </w:rPr>
              <w:t>-1.</w:t>
            </w:r>
            <w:r w:rsidRPr="00F822A1">
              <w:rPr>
                <w:rFonts w:ascii="Arial" w:hAnsi="Arial" w:cs="Arial"/>
                <w:sz w:val="24"/>
                <w:szCs w:val="24"/>
              </w:rPr>
              <w:t>011)</w:t>
            </w:r>
          </w:p>
        </w:tc>
        <w:tc>
          <w:tcPr>
            <w:tcW w:w="1220" w:type="dxa"/>
            <w:tcBorders>
              <w:top w:val="nil"/>
              <w:left w:val="nil"/>
              <w:bottom w:val="single" w:sz="4" w:space="0" w:color="auto"/>
              <w:right w:val="nil"/>
            </w:tcBorders>
            <w:shd w:val="clear" w:color="auto" w:fill="auto"/>
            <w:noWrap/>
            <w:vAlign w:val="bottom"/>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hAnsi="Arial" w:cs="Arial"/>
                <w:sz w:val="24"/>
                <w:szCs w:val="24"/>
              </w:rPr>
              <w:t>5178</w:t>
            </w:r>
          </w:p>
        </w:tc>
        <w:tc>
          <w:tcPr>
            <w:tcW w:w="2607" w:type="dxa"/>
            <w:tcBorders>
              <w:top w:val="nil"/>
              <w:left w:val="nil"/>
              <w:bottom w:val="single" w:sz="4" w:space="0" w:color="auto"/>
              <w:right w:val="nil"/>
            </w:tcBorders>
            <w:shd w:val="clear" w:color="auto" w:fill="auto"/>
            <w:noWrap/>
            <w:vAlign w:val="bottom"/>
          </w:tcPr>
          <w:p w:rsidR="00DB5C89" w:rsidRPr="00F822A1" w:rsidRDefault="00DB5C89" w:rsidP="00F80FAB">
            <w:pPr>
              <w:spacing w:after="0" w:line="240" w:lineRule="auto"/>
              <w:jc w:val="center"/>
              <w:rPr>
                <w:rFonts w:ascii="Arial" w:eastAsia="Times New Roman" w:hAnsi="Arial" w:cs="Arial"/>
                <w:sz w:val="24"/>
                <w:szCs w:val="24"/>
                <w:lang w:eastAsia="en-GB"/>
              </w:rPr>
            </w:pPr>
            <w:r w:rsidRPr="00F822A1">
              <w:rPr>
                <w:rFonts w:ascii="Arial" w:hAnsi="Arial" w:cs="Arial"/>
                <w:sz w:val="24"/>
                <w:szCs w:val="24"/>
              </w:rPr>
              <w:t>1.070 (1.038</w:t>
            </w:r>
            <w:r w:rsidR="001619FB">
              <w:rPr>
                <w:rFonts w:ascii="Arial" w:hAnsi="Arial" w:cs="Arial"/>
                <w:sz w:val="24"/>
                <w:szCs w:val="24"/>
              </w:rPr>
              <w:t>-1.</w:t>
            </w:r>
            <w:r w:rsidRPr="00F822A1">
              <w:rPr>
                <w:rFonts w:ascii="Arial" w:hAnsi="Arial" w:cs="Arial"/>
                <w:sz w:val="24"/>
                <w:szCs w:val="24"/>
              </w:rPr>
              <w:t>102)</w:t>
            </w:r>
          </w:p>
        </w:tc>
      </w:tr>
    </w:tbl>
    <w:p w:rsidR="00DB5C89" w:rsidRPr="00F822A1" w:rsidRDefault="00DB5C89" w:rsidP="00C328DA">
      <w:pPr>
        <w:rPr>
          <w:rFonts w:ascii="Arial" w:hAnsi="Arial" w:cs="Arial"/>
          <w:b/>
          <w:sz w:val="24"/>
          <w:szCs w:val="24"/>
        </w:rPr>
        <w:sectPr w:rsidR="00DB5C89" w:rsidRPr="00F822A1" w:rsidSect="0033038D">
          <w:pgSz w:w="16838" w:h="11906" w:orient="landscape"/>
          <w:pgMar w:top="1440" w:right="1440" w:bottom="1440" w:left="1440" w:header="708" w:footer="708" w:gutter="0"/>
          <w:cols w:space="708"/>
          <w:docGrid w:linePitch="360"/>
        </w:sectPr>
      </w:pPr>
    </w:p>
    <w:p w:rsidR="00B0386A" w:rsidRPr="00F822A1" w:rsidRDefault="006165AF" w:rsidP="000277F8">
      <w:pPr>
        <w:rPr>
          <w:rFonts w:ascii="Arial" w:hAnsi="Arial" w:cs="Arial"/>
          <w:sz w:val="24"/>
          <w:szCs w:val="24"/>
        </w:rPr>
      </w:pPr>
      <w:r w:rsidRPr="00F822A1">
        <w:rPr>
          <w:rFonts w:ascii="Arial" w:hAnsi="Arial" w:cs="Arial"/>
          <w:sz w:val="24"/>
          <w:szCs w:val="24"/>
        </w:rPr>
        <w:lastRenderedPageBreak/>
        <w:t xml:space="preserve">Figure legends: </w:t>
      </w:r>
    </w:p>
    <w:p w:rsidR="006165AF" w:rsidRPr="00F822A1" w:rsidRDefault="006165AF" w:rsidP="006165AF">
      <w:pPr>
        <w:rPr>
          <w:rFonts w:ascii="Arial" w:hAnsi="Arial" w:cs="Arial"/>
          <w:sz w:val="24"/>
          <w:szCs w:val="24"/>
        </w:rPr>
      </w:pPr>
      <w:r w:rsidRPr="00F822A1">
        <w:rPr>
          <w:rFonts w:ascii="Arial" w:hAnsi="Arial" w:cs="Arial"/>
          <w:b/>
          <w:sz w:val="24"/>
          <w:szCs w:val="24"/>
        </w:rPr>
        <w:t>Figure 1</w:t>
      </w:r>
      <w:r w:rsidRPr="00F822A1">
        <w:rPr>
          <w:rFonts w:ascii="Arial" w:hAnsi="Arial" w:cs="Arial"/>
          <w:sz w:val="24"/>
          <w:szCs w:val="24"/>
        </w:rPr>
        <w:t>: Flow chart showing creation of the database for analysis from the entire CPRD cohort</w:t>
      </w:r>
    </w:p>
    <w:p w:rsidR="006165AF" w:rsidRPr="00F822A1" w:rsidRDefault="006165AF" w:rsidP="006165AF">
      <w:pPr>
        <w:rPr>
          <w:rFonts w:ascii="Arial" w:hAnsi="Arial" w:cs="Arial"/>
          <w:sz w:val="24"/>
          <w:szCs w:val="24"/>
        </w:rPr>
      </w:pPr>
    </w:p>
    <w:p w:rsidR="006165AF" w:rsidRPr="00F822A1" w:rsidRDefault="006165AF" w:rsidP="006165AF">
      <w:pPr>
        <w:rPr>
          <w:rFonts w:ascii="Arial" w:hAnsi="Arial" w:cs="Arial"/>
          <w:sz w:val="24"/>
          <w:szCs w:val="24"/>
        </w:rPr>
      </w:pPr>
      <w:r w:rsidRPr="00F822A1">
        <w:rPr>
          <w:rFonts w:ascii="Arial" w:hAnsi="Arial" w:cs="Arial"/>
          <w:b/>
          <w:sz w:val="24"/>
          <w:szCs w:val="24"/>
        </w:rPr>
        <w:t xml:space="preserve">Figure 2: </w:t>
      </w:r>
      <w:r w:rsidRPr="00F822A1">
        <w:rPr>
          <w:rFonts w:ascii="Arial" w:hAnsi="Arial" w:cs="Arial"/>
          <w:sz w:val="24"/>
          <w:szCs w:val="24"/>
        </w:rPr>
        <w:t xml:space="preserve">Age and sex standardized rates by long-term average systolic blood pressure and time since baseline blood for: A-C) dementia; D-F) Alzheimer’s disease; G-I) Vascular dementia. </w:t>
      </w:r>
    </w:p>
    <w:p w:rsidR="006165AF" w:rsidRPr="00F822A1" w:rsidRDefault="006165AF" w:rsidP="006165AF">
      <w:pPr>
        <w:rPr>
          <w:rFonts w:ascii="Arial" w:hAnsi="Arial" w:cs="Arial"/>
          <w:sz w:val="24"/>
          <w:szCs w:val="24"/>
        </w:rPr>
      </w:pPr>
      <w:r w:rsidRPr="00F822A1">
        <w:rPr>
          <w:rFonts w:ascii="Arial" w:hAnsi="Arial" w:cs="Arial"/>
          <w:sz w:val="24"/>
          <w:szCs w:val="24"/>
        </w:rPr>
        <w:t xml:space="preserve">Error bars represent 95% confidence intervals </w:t>
      </w:r>
    </w:p>
    <w:p w:rsidR="006165AF" w:rsidRPr="00F822A1" w:rsidRDefault="006165AF" w:rsidP="006165AF">
      <w:pPr>
        <w:rPr>
          <w:rFonts w:ascii="Arial" w:hAnsi="Arial" w:cs="Arial"/>
          <w:sz w:val="24"/>
          <w:szCs w:val="24"/>
        </w:rPr>
      </w:pPr>
    </w:p>
    <w:sectPr w:rsidR="006165AF" w:rsidRPr="00F822A1" w:rsidSect="000277F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64847F" w16cid:durableId="1DAC908A"/>
  <w16cid:commentId w16cid:paraId="7184B272" w16cid:durableId="1DAD7B77"/>
  <w16cid:commentId w16cid:paraId="79C8718E" w16cid:durableId="1DB05D07"/>
  <w16cid:commentId w16cid:paraId="4FBC689E" w16cid:durableId="1DAD7BBA"/>
  <w16cid:commentId w16cid:paraId="2949DF23" w16cid:durableId="1DAD7BFC"/>
  <w16cid:commentId w16cid:paraId="073BB071" w16cid:durableId="1DAC8EAC"/>
  <w16cid:commentId w16cid:paraId="1D050EC6" w16cid:durableId="1DB0620A"/>
  <w16cid:commentId w16cid:paraId="6C3E312B" w16cid:durableId="1DAD7C86"/>
  <w16cid:commentId w16cid:paraId="5A38C3E5" w16cid:durableId="1DAC9013"/>
  <w16cid:commentId w16cid:paraId="307C8DBF" w16cid:durableId="1DBC1EC4"/>
  <w16cid:commentId w16cid:paraId="4F2F9437" w16cid:durableId="1DB0603A"/>
  <w16cid:commentId w16cid:paraId="7744E64A" w16cid:durableId="1DB0612B"/>
  <w16cid:commentId w16cid:paraId="6FDF2014" w16cid:durableId="1DAD7CF5"/>
  <w16cid:commentId w16cid:paraId="3AAFB553" w16cid:durableId="1DAC9158"/>
  <w16cid:commentId w16cid:paraId="071F4200" w16cid:durableId="1DAD7D80"/>
  <w16cid:commentId w16cid:paraId="0A337671" w16cid:durableId="1DAC91DD"/>
  <w16cid:commentId w16cid:paraId="39A32540" w16cid:durableId="1DAD7E56"/>
  <w16cid:commentId w16cid:paraId="36602C8A" w16cid:durableId="1DAD82FA"/>
  <w16cid:commentId w16cid:paraId="79DB2D32" w16cid:durableId="1DAD832A"/>
  <w16cid:commentId w16cid:paraId="39C3816C" w16cid:durableId="1DBC21F1"/>
  <w16cid:commentId w16cid:paraId="487C4E72" w16cid:durableId="1DAD82E5"/>
  <w16cid:commentId w16cid:paraId="3C791646" w16cid:durableId="1DC453CD"/>
  <w16cid:commentId w16cid:paraId="78B1FC66" w16cid:durableId="1DC4549A"/>
  <w16cid:commentId w16cid:paraId="73538DF0" w16cid:durableId="1DAC9515"/>
  <w16cid:commentId w16cid:paraId="0B11B0AF" w16cid:durableId="1DAD83C1"/>
  <w16cid:commentId w16cid:paraId="4FCBC719" w16cid:durableId="1DC4624F"/>
  <w16cid:commentId w16cid:paraId="15862586" w16cid:durableId="1DAC9544"/>
  <w16cid:commentId w16cid:paraId="38959514" w16cid:durableId="1DAD8424"/>
  <w16cid:commentId w16cid:paraId="0CBDFE78" w16cid:durableId="1DB06500"/>
  <w16cid:commentId w16cid:paraId="0AFB1B57" w16cid:durableId="1DC4641A"/>
  <w16cid:commentId w16cid:paraId="424918D3" w16cid:durableId="1DC45700"/>
  <w16cid:commentId w16cid:paraId="56B1EDEE" w16cid:durableId="1DAD867A"/>
  <w16cid:commentId w16cid:paraId="1C27EC77" w16cid:durableId="1DC458B0"/>
  <w16cid:commentId w16cid:paraId="2D32A14E" w16cid:durableId="1DBC2485"/>
  <w16cid:commentId w16cid:paraId="481DB59E" w16cid:durableId="1DBC2463"/>
  <w16cid:commentId w16cid:paraId="2F7FB159" w16cid:durableId="1DAD92EF"/>
  <w16cid:commentId w16cid:paraId="0EEEA5BC" w16cid:durableId="1DBC2364"/>
  <w16cid:commentId w16cid:paraId="73182F39" w16cid:durableId="1DC44A77"/>
  <w16cid:commentId w16cid:paraId="56876161" w16cid:durableId="1DBC2435"/>
  <w16cid:commentId w16cid:paraId="7D901C59" w16cid:durableId="1DAD92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2F5" w:rsidRDefault="006812F5" w:rsidP="00F11CD3">
      <w:pPr>
        <w:spacing w:after="0" w:line="240" w:lineRule="auto"/>
      </w:pPr>
      <w:r>
        <w:separator/>
      </w:r>
    </w:p>
  </w:endnote>
  <w:endnote w:type="continuationSeparator" w:id="0">
    <w:p w:rsidR="006812F5" w:rsidRDefault="006812F5" w:rsidP="00F1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calaLancetPro">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383859"/>
      <w:docPartObj>
        <w:docPartGallery w:val="Page Numbers (Bottom of Page)"/>
        <w:docPartUnique/>
      </w:docPartObj>
    </w:sdtPr>
    <w:sdtEndPr>
      <w:rPr>
        <w:noProof/>
      </w:rPr>
    </w:sdtEndPr>
    <w:sdtContent>
      <w:p w:rsidR="000B68A5" w:rsidRDefault="000B68A5">
        <w:pPr>
          <w:pStyle w:val="Footer"/>
          <w:jc w:val="right"/>
        </w:pPr>
        <w:r>
          <w:fldChar w:fldCharType="begin"/>
        </w:r>
        <w:r>
          <w:instrText xml:space="preserve"> PAGE   \* MERGEFORMAT </w:instrText>
        </w:r>
        <w:r>
          <w:fldChar w:fldCharType="separate"/>
        </w:r>
        <w:r w:rsidR="00C41F11">
          <w:rPr>
            <w:noProof/>
          </w:rPr>
          <w:t>1</w:t>
        </w:r>
        <w:r>
          <w:rPr>
            <w:noProof/>
          </w:rPr>
          <w:fldChar w:fldCharType="end"/>
        </w:r>
      </w:p>
    </w:sdtContent>
  </w:sdt>
  <w:p w:rsidR="000B68A5" w:rsidRDefault="000B6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895853"/>
      <w:docPartObj>
        <w:docPartGallery w:val="Page Numbers (Bottom of Page)"/>
        <w:docPartUnique/>
      </w:docPartObj>
    </w:sdtPr>
    <w:sdtEndPr>
      <w:rPr>
        <w:noProof/>
      </w:rPr>
    </w:sdtEndPr>
    <w:sdtContent>
      <w:p w:rsidR="000B68A5" w:rsidRDefault="000B68A5">
        <w:pPr>
          <w:pStyle w:val="Footer"/>
          <w:jc w:val="right"/>
        </w:pPr>
        <w:r>
          <w:fldChar w:fldCharType="begin"/>
        </w:r>
        <w:r>
          <w:instrText xml:space="preserve"> PAGE   \* MERGEFORMAT </w:instrText>
        </w:r>
        <w:r>
          <w:fldChar w:fldCharType="separate"/>
        </w:r>
        <w:r w:rsidR="00C41F11">
          <w:rPr>
            <w:noProof/>
          </w:rPr>
          <w:t>22</w:t>
        </w:r>
        <w:r>
          <w:rPr>
            <w:noProof/>
          </w:rPr>
          <w:fldChar w:fldCharType="end"/>
        </w:r>
      </w:p>
    </w:sdtContent>
  </w:sdt>
  <w:p w:rsidR="000B68A5" w:rsidRDefault="000B6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2F5" w:rsidRDefault="006812F5" w:rsidP="00F11CD3">
      <w:pPr>
        <w:spacing w:after="0" w:line="240" w:lineRule="auto"/>
      </w:pPr>
      <w:r>
        <w:separator/>
      </w:r>
    </w:p>
  </w:footnote>
  <w:footnote w:type="continuationSeparator" w:id="0">
    <w:p w:rsidR="006812F5" w:rsidRDefault="006812F5" w:rsidP="00F11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37D09"/>
    <w:multiLevelType w:val="hybridMultilevel"/>
    <w:tmpl w:val="8E8E4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B64D8C"/>
    <w:multiLevelType w:val="hybridMultilevel"/>
    <w:tmpl w:val="955C596C"/>
    <w:lvl w:ilvl="0" w:tplc="815C21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DA"/>
    <w:rsid w:val="000000E7"/>
    <w:rsid w:val="0001013D"/>
    <w:rsid w:val="0001183B"/>
    <w:rsid w:val="00013D86"/>
    <w:rsid w:val="00014E1A"/>
    <w:rsid w:val="000159C5"/>
    <w:rsid w:val="00016418"/>
    <w:rsid w:val="000164CA"/>
    <w:rsid w:val="00017E96"/>
    <w:rsid w:val="000205DE"/>
    <w:rsid w:val="00021DF2"/>
    <w:rsid w:val="00024580"/>
    <w:rsid w:val="000256DC"/>
    <w:rsid w:val="000277F8"/>
    <w:rsid w:val="00030061"/>
    <w:rsid w:val="00040254"/>
    <w:rsid w:val="00040387"/>
    <w:rsid w:val="000452C2"/>
    <w:rsid w:val="00052BC6"/>
    <w:rsid w:val="00053FA9"/>
    <w:rsid w:val="00054BD4"/>
    <w:rsid w:val="000556EC"/>
    <w:rsid w:val="00056672"/>
    <w:rsid w:val="00060CFB"/>
    <w:rsid w:val="00066D8A"/>
    <w:rsid w:val="000672B6"/>
    <w:rsid w:val="00067A21"/>
    <w:rsid w:val="00070C57"/>
    <w:rsid w:val="000714FE"/>
    <w:rsid w:val="00076411"/>
    <w:rsid w:val="00081AA8"/>
    <w:rsid w:val="00083145"/>
    <w:rsid w:val="0008369B"/>
    <w:rsid w:val="00083C64"/>
    <w:rsid w:val="000873A2"/>
    <w:rsid w:val="000910B0"/>
    <w:rsid w:val="000915DC"/>
    <w:rsid w:val="00092398"/>
    <w:rsid w:val="000940A8"/>
    <w:rsid w:val="00094CC3"/>
    <w:rsid w:val="00094D58"/>
    <w:rsid w:val="00095CD5"/>
    <w:rsid w:val="0009619A"/>
    <w:rsid w:val="0009637F"/>
    <w:rsid w:val="00097EAF"/>
    <w:rsid w:val="000A1C78"/>
    <w:rsid w:val="000A2F59"/>
    <w:rsid w:val="000B68A5"/>
    <w:rsid w:val="000C0ABD"/>
    <w:rsid w:val="000C1089"/>
    <w:rsid w:val="000C1CAA"/>
    <w:rsid w:val="000C3AFC"/>
    <w:rsid w:val="000C45BC"/>
    <w:rsid w:val="000C5ED6"/>
    <w:rsid w:val="000C5F00"/>
    <w:rsid w:val="000C693B"/>
    <w:rsid w:val="000C7ECF"/>
    <w:rsid w:val="000D1784"/>
    <w:rsid w:val="000D19EE"/>
    <w:rsid w:val="000D36B7"/>
    <w:rsid w:val="000D42C4"/>
    <w:rsid w:val="000D60A9"/>
    <w:rsid w:val="000D6A6A"/>
    <w:rsid w:val="000E5D30"/>
    <w:rsid w:val="000E5E67"/>
    <w:rsid w:val="000E6ABC"/>
    <w:rsid w:val="000F3BE8"/>
    <w:rsid w:val="000F4347"/>
    <w:rsid w:val="000F48B2"/>
    <w:rsid w:val="000F58CF"/>
    <w:rsid w:val="000F6330"/>
    <w:rsid w:val="000F680E"/>
    <w:rsid w:val="00101474"/>
    <w:rsid w:val="00103DF9"/>
    <w:rsid w:val="00104B64"/>
    <w:rsid w:val="00105388"/>
    <w:rsid w:val="0010738F"/>
    <w:rsid w:val="00113648"/>
    <w:rsid w:val="00113A7C"/>
    <w:rsid w:val="001230A3"/>
    <w:rsid w:val="001232D1"/>
    <w:rsid w:val="001250B0"/>
    <w:rsid w:val="00125341"/>
    <w:rsid w:val="00126BB6"/>
    <w:rsid w:val="00131302"/>
    <w:rsid w:val="00134968"/>
    <w:rsid w:val="001354BA"/>
    <w:rsid w:val="00136B36"/>
    <w:rsid w:val="001371FA"/>
    <w:rsid w:val="001500D1"/>
    <w:rsid w:val="00150275"/>
    <w:rsid w:val="001534F4"/>
    <w:rsid w:val="00153A62"/>
    <w:rsid w:val="001562BB"/>
    <w:rsid w:val="00161145"/>
    <w:rsid w:val="001619FB"/>
    <w:rsid w:val="00162090"/>
    <w:rsid w:val="0016218E"/>
    <w:rsid w:val="00162853"/>
    <w:rsid w:val="001673F4"/>
    <w:rsid w:val="00171578"/>
    <w:rsid w:val="00174904"/>
    <w:rsid w:val="00174DBF"/>
    <w:rsid w:val="00177AEC"/>
    <w:rsid w:val="001811AD"/>
    <w:rsid w:val="0018174E"/>
    <w:rsid w:val="001818A8"/>
    <w:rsid w:val="00182ABD"/>
    <w:rsid w:val="00184479"/>
    <w:rsid w:val="00190D33"/>
    <w:rsid w:val="001942B5"/>
    <w:rsid w:val="001970EB"/>
    <w:rsid w:val="001A25D0"/>
    <w:rsid w:val="001B1ADE"/>
    <w:rsid w:val="001B6310"/>
    <w:rsid w:val="001B6370"/>
    <w:rsid w:val="001C3BD3"/>
    <w:rsid w:val="001C47C1"/>
    <w:rsid w:val="001C7948"/>
    <w:rsid w:val="001D0CB9"/>
    <w:rsid w:val="001D193E"/>
    <w:rsid w:val="001D49C1"/>
    <w:rsid w:val="001E2748"/>
    <w:rsid w:val="001E33D5"/>
    <w:rsid w:val="001E5399"/>
    <w:rsid w:val="001E6F4A"/>
    <w:rsid w:val="001F0738"/>
    <w:rsid w:val="001F2942"/>
    <w:rsid w:val="001F4842"/>
    <w:rsid w:val="001F5EC7"/>
    <w:rsid w:val="001F60C6"/>
    <w:rsid w:val="001F6B0D"/>
    <w:rsid w:val="00200072"/>
    <w:rsid w:val="00206256"/>
    <w:rsid w:val="00210025"/>
    <w:rsid w:val="00217A6A"/>
    <w:rsid w:val="00222B00"/>
    <w:rsid w:val="002258F6"/>
    <w:rsid w:val="002273BD"/>
    <w:rsid w:val="00231545"/>
    <w:rsid w:val="002318EF"/>
    <w:rsid w:val="00232F15"/>
    <w:rsid w:val="00233D8C"/>
    <w:rsid w:val="0023584C"/>
    <w:rsid w:val="00235EC3"/>
    <w:rsid w:val="002366E1"/>
    <w:rsid w:val="00236862"/>
    <w:rsid w:val="002402CD"/>
    <w:rsid w:val="002425F9"/>
    <w:rsid w:val="00242803"/>
    <w:rsid w:val="00244DD0"/>
    <w:rsid w:val="00250BE8"/>
    <w:rsid w:val="00251282"/>
    <w:rsid w:val="00251376"/>
    <w:rsid w:val="002561E2"/>
    <w:rsid w:val="00262F45"/>
    <w:rsid w:val="00264F39"/>
    <w:rsid w:val="00265E7D"/>
    <w:rsid w:val="00266F4C"/>
    <w:rsid w:val="00272181"/>
    <w:rsid w:val="00281353"/>
    <w:rsid w:val="002821C7"/>
    <w:rsid w:val="00283E05"/>
    <w:rsid w:val="002854A7"/>
    <w:rsid w:val="00287079"/>
    <w:rsid w:val="00290BAD"/>
    <w:rsid w:val="002943F3"/>
    <w:rsid w:val="00295BFC"/>
    <w:rsid w:val="002970C7"/>
    <w:rsid w:val="002A08B0"/>
    <w:rsid w:val="002A1F31"/>
    <w:rsid w:val="002A2E59"/>
    <w:rsid w:val="002A3854"/>
    <w:rsid w:val="002B3E08"/>
    <w:rsid w:val="002B413E"/>
    <w:rsid w:val="002B44E8"/>
    <w:rsid w:val="002B4C0E"/>
    <w:rsid w:val="002B77C6"/>
    <w:rsid w:val="002C0FE8"/>
    <w:rsid w:val="002C124E"/>
    <w:rsid w:val="002C2743"/>
    <w:rsid w:val="002D13C4"/>
    <w:rsid w:val="002D3751"/>
    <w:rsid w:val="002E0B2D"/>
    <w:rsid w:val="002E3DB0"/>
    <w:rsid w:val="002E3EA7"/>
    <w:rsid w:val="002E490E"/>
    <w:rsid w:val="002F031E"/>
    <w:rsid w:val="002F23A9"/>
    <w:rsid w:val="002F3340"/>
    <w:rsid w:val="002F6C06"/>
    <w:rsid w:val="002F75C7"/>
    <w:rsid w:val="0030197A"/>
    <w:rsid w:val="00301AF6"/>
    <w:rsid w:val="00301C27"/>
    <w:rsid w:val="003028CA"/>
    <w:rsid w:val="00303F0E"/>
    <w:rsid w:val="00307F20"/>
    <w:rsid w:val="00311858"/>
    <w:rsid w:val="00312F65"/>
    <w:rsid w:val="00316F95"/>
    <w:rsid w:val="00317AC5"/>
    <w:rsid w:val="003209BC"/>
    <w:rsid w:val="00327144"/>
    <w:rsid w:val="00327846"/>
    <w:rsid w:val="0033038D"/>
    <w:rsid w:val="00330885"/>
    <w:rsid w:val="00330BD5"/>
    <w:rsid w:val="00332F35"/>
    <w:rsid w:val="00335E22"/>
    <w:rsid w:val="003371F6"/>
    <w:rsid w:val="00340A82"/>
    <w:rsid w:val="003445BC"/>
    <w:rsid w:val="003451F4"/>
    <w:rsid w:val="0035146E"/>
    <w:rsid w:val="003516B3"/>
    <w:rsid w:val="0036014A"/>
    <w:rsid w:val="003653D1"/>
    <w:rsid w:val="00370D80"/>
    <w:rsid w:val="0037317F"/>
    <w:rsid w:val="0037499F"/>
    <w:rsid w:val="00377193"/>
    <w:rsid w:val="00377BC5"/>
    <w:rsid w:val="003814B7"/>
    <w:rsid w:val="003822FA"/>
    <w:rsid w:val="00383F85"/>
    <w:rsid w:val="00384DD7"/>
    <w:rsid w:val="003867A3"/>
    <w:rsid w:val="00391399"/>
    <w:rsid w:val="00391468"/>
    <w:rsid w:val="00393D2C"/>
    <w:rsid w:val="00394C25"/>
    <w:rsid w:val="00394CB2"/>
    <w:rsid w:val="003972BA"/>
    <w:rsid w:val="003A0962"/>
    <w:rsid w:val="003A3DE6"/>
    <w:rsid w:val="003B268E"/>
    <w:rsid w:val="003C4819"/>
    <w:rsid w:val="003C5EDB"/>
    <w:rsid w:val="003C7C79"/>
    <w:rsid w:val="003D3B5F"/>
    <w:rsid w:val="003D457F"/>
    <w:rsid w:val="003D5402"/>
    <w:rsid w:val="003D5DD1"/>
    <w:rsid w:val="003D6CA1"/>
    <w:rsid w:val="003E07C5"/>
    <w:rsid w:val="003E2155"/>
    <w:rsid w:val="003E49C8"/>
    <w:rsid w:val="003E4AE6"/>
    <w:rsid w:val="003F18A0"/>
    <w:rsid w:val="003F2E64"/>
    <w:rsid w:val="003F329B"/>
    <w:rsid w:val="003F3952"/>
    <w:rsid w:val="003F512B"/>
    <w:rsid w:val="003F5589"/>
    <w:rsid w:val="003F6C8F"/>
    <w:rsid w:val="0040079E"/>
    <w:rsid w:val="00405D0D"/>
    <w:rsid w:val="004061DD"/>
    <w:rsid w:val="004066B8"/>
    <w:rsid w:val="00407BD8"/>
    <w:rsid w:val="00410112"/>
    <w:rsid w:val="004126A2"/>
    <w:rsid w:val="00423B27"/>
    <w:rsid w:val="004245D1"/>
    <w:rsid w:val="0042633D"/>
    <w:rsid w:val="00426D7F"/>
    <w:rsid w:val="00427432"/>
    <w:rsid w:val="0043179E"/>
    <w:rsid w:val="0043226E"/>
    <w:rsid w:val="004346D1"/>
    <w:rsid w:val="004348D6"/>
    <w:rsid w:val="0043703C"/>
    <w:rsid w:val="004377D7"/>
    <w:rsid w:val="00441E5B"/>
    <w:rsid w:val="0044316B"/>
    <w:rsid w:val="00443207"/>
    <w:rsid w:val="004435E3"/>
    <w:rsid w:val="004441EE"/>
    <w:rsid w:val="00445CF4"/>
    <w:rsid w:val="004463AC"/>
    <w:rsid w:val="004470B5"/>
    <w:rsid w:val="0044743C"/>
    <w:rsid w:val="00447EB0"/>
    <w:rsid w:val="00450C82"/>
    <w:rsid w:val="00452027"/>
    <w:rsid w:val="0045312B"/>
    <w:rsid w:val="00454EFB"/>
    <w:rsid w:val="00460EC7"/>
    <w:rsid w:val="00461ED4"/>
    <w:rsid w:val="00465E6D"/>
    <w:rsid w:val="00466FFC"/>
    <w:rsid w:val="00467150"/>
    <w:rsid w:val="00467545"/>
    <w:rsid w:val="00476F1D"/>
    <w:rsid w:val="00477184"/>
    <w:rsid w:val="00482E3F"/>
    <w:rsid w:val="00483F74"/>
    <w:rsid w:val="0048707D"/>
    <w:rsid w:val="004874B5"/>
    <w:rsid w:val="00490EF5"/>
    <w:rsid w:val="00491EC8"/>
    <w:rsid w:val="004952FB"/>
    <w:rsid w:val="00496827"/>
    <w:rsid w:val="00496B35"/>
    <w:rsid w:val="004A07B2"/>
    <w:rsid w:val="004A1E2E"/>
    <w:rsid w:val="004A2C82"/>
    <w:rsid w:val="004A49B9"/>
    <w:rsid w:val="004B2CC5"/>
    <w:rsid w:val="004B35DA"/>
    <w:rsid w:val="004B40D0"/>
    <w:rsid w:val="004B4D2D"/>
    <w:rsid w:val="004B4FE5"/>
    <w:rsid w:val="004B5C62"/>
    <w:rsid w:val="004C22A0"/>
    <w:rsid w:val="004C437A"/>
    <w:rsid w:val="004C7A94"/>
    <w:rsid w:val="004C7F8D"/>
    <w:rsid w:val="004D451D"/>
    <w:rsid w:val="004E1195"/>
    <w:rsid w:val="004E3CD0"/>
    <w:rsid w:val="004E5D8C"/>
    <w:rsid w:val="004E70BA"/>
    <w:rsid w:val="004F1039"/>
    <w:rsid w:val="004F22F4"/>
    <w:rsid w:val="004F3ED4"/>
    <w:rsid w:val="004F3F74"/>
    <w:rsid w:val="004F72A6"/>
    <w:rsid w:val="00500A09"/>
    <w:rsid w:val="00505665"/>
    <w:rsid w:val="005074B6"/>
    <w:rsid w:val="00510135"/>
    <w:rsid w:val="00510265"/>
    <w:rsid w:val="005207D5"/>
    <w:rsid w:val="00521D55"/>
    <w:rsid w:val="0052377A"/>
    <w:rsid w:val="00523864"/>
    <w:rsid w:val="00523A77"/>
    <w:rsid w:val="0052430A"/>
    <w:rsid w:val="00524B2A"/>
    <w:rsid w:val="00526438"/>
    <w:rsid w:val="00534AF5"/>
    <w:rsid w:val="00535825"/>
    <w:rsid w:val="00536FEA"/>
    <w:rsid w:val="00542145"/>
    <w:rsid w:val="00545411"/>
    <w:rsid w:val="0055002A"/>
    <w:rsid w:val="00552EF0"/>
    <w:rsid w:val="00553093"/>
    <w:rsid w:val="005555E5"/>
    <w:rsid w:val="005560B8"/>
    <w:rsid w:val="00567370"/>
    <w:rsid w:val="00570218"/>
    <w:rsid w:val="00570741"/>
    <w:rsid w:val="0057393D"/>
    <w:rsid w:val="005770C7"/>
    <w:rsid w:val="00577B68"/>
    <w:rsid w:val="005804F0"/>
    <w:rsid w:val="0058188C"/>
    <w:rsid w:val="005837AE"/>
    <w:rsid w:val="00583D98"/>
    <w:rsid w:val="00590216"/>
    <w:rsid w:val="0059201E"/>
    <w:rsid w:val="005A228D"/>
    <w:rsid w:val="005A2DBE"/>
    <w:rsid w:val="005A3312"/>
    <w:rsid w:val="005A3AB9"/>
    <w:rsid w:val="005A3E83"/>
    <w:rsid w:val="005A6866"/>
    <w:rsid w:val="005B6909"/>
    <w:rsid w:val="005C1F1A"/>
    <w:rsid w:val="005C3F76"/>
    <w:rsid w:val="005C4B71"/>
    <w:rsid w:val="005C7450"/>
    <w:rsid w:val="005D2B96"/>
    <w:rsid w:val="005D3CF9"/>
    <w:rsid w:val="005D48CB"/>
    <w:rsid w:val="005E4731"/>
    <w:rsid w:val="005F1D39"/>
    <w:rsid w:val="005F61C0"/>
    <w:rsid w:val="00600B44"/>
    <w:rsid w:val="00600D7B"/>
    <w:rsid w:val="00601A5D"/>
    <w:rsid w:val="00603965"/>
    <w:rsid w:val="00605ED5"/>
    <w:rsid w:val="00613EFB"/>
    <w:rsid w:val="0061422E"/>
    <w:rsid w:val="0061577B"/>
    <w:rsid w:val="006165AF"/>
    <w:rsid w:val="00620034"/>
    <w:rsid w:val="00621860"/>
    <w:rsid w:val="0062367F"/>
    <w:rsid w:val="00630EBB"/>
    <w:rsid w:val="006318A0"/>
    <w:rsid w:val="00632D2C"/>
    <w:rsid w:val="00635FF0"/>
    <w:rsid w:val="006371EE"/>
    <w:rsid w:val="00637AAE"/>
    <w:rsid w:val="00641C49"/>
    <w:rsid w:val="00642C1B"/>
    <w:rsid w:val="00642DD0"/>
    <w:rsid w:val="006504FE"/>
    <w:rsid w:val="00650727"/>
    <w:rsid w:val="00650C24"/>
    <w:rsid w:val="0065320C"/>
    <w:rsid w:val="00654F0E"/>
    <w:rsid w:val="00655B70"/>
    <w:rsid w:val="00660331"/>
    <w:rsid w:val="0066068B"/>
    <w:rsid w:val="00662193"/>
    <w:rsid w:val="0066423B"/>
    <w:rsid w:val="00677C60"/>
    <w:rsid w:val="00680709"/>
    <w:rsid w:val="006812F5"/>
    <w:rsid w:val="006821EC"/>
    <w:rsid w:val="00682795"/>
    <w:rsid w:val="00682D77"/>
    <w:rsid w:val="006867EC"/>
    <w:rsid w:val="006879F6"/>
    <w:rsid w:val="006914BA"/>
    <w:rsid w:val="00693292"/>
    <w:rsid w:val="006A469E"/>
    <w:rsid w:val="006A56EF"/>
    <w:rsid w:val="006A77A4"/>
    <w:rsid w:val="006B2224"/>
    <w:rsid w:val="006C1B86"/>
    <w:rsid w:val="006C28B7"/>
    <w:rsid w:val="006C6906"/>
    <w:rsid w:val="006C6BEB"/>
    <w:rsid w:val="006C7872"/>
    <w:rsid w:val="006D0B28"/>
    <w:rsid w:val="006D0E8F"/>
    <w:rsid w:val="006D2680"/>
    <w:rsid w:val="006D37E8"/>
    <w:rsid w:val="006D7BE5"/>
    <w:rsid w:val="006E2F06"/>
    <w:rsid w:val="006E30DE"/>
    <w:rsid w:val="006F2B3A"/>
    <w:rsid w:val="006F4C8E"/>
    <w:rsid w:val="006F7D64"/>
    <w:rsid w:val="00702F48"/>
    <w:rsid w:val="00703C68"/>
    <w:rsid w:val="00704C78"/>
    <w:rsid w:val="007052B4"/>
    <w:rsid w:val="007061C3"/>
    <w:rsid w:val="00711574"/>
    <w:rsid w:val="00712B20"/>
    <w:rsid w:val="00713091"/>
    <w:rsid w:val="00715A11"/>
    <w:rsid w:val="0071781A"/>
    <w:rsid w:val="007209EE"/>
    <w:rsid w:val="007213D2"/>
    <w:rsid w:val="007216E5"/>
    <w:rsid w:val="0072346E"/>
    <w:rsid w:val="00733A97"/>
    <w:rsid w:val="00736063"/>
    <w:rsid w:val="007456BE"/>
    <w:rsid w:val="00745E4B"/>
    <w:rsid w:val="00753026"/>
    <w:rsid w:val="00754025"/>
    <w:rsid w:val="0075695E"/>
    <w:rsid w:val="00756A05"/>
    <w:rsid w:val="00760DB8"/>
    <w:rsid w:val="00761C99"/>
    <w:rsid w:val="00764133"/>
    <w:rsid w:val="007644E2"/>
    <w:rsid w:val="007651EF"/>
    <w:rsid w:val="00765247"/>
    <w:rsid w:val="00765C59"/>
    <w:rsid w:val="007718DF"/>
    <w:rsid w:val="007735AE"/>
    <w:rsid w:val="007749F4"/>
    <w:rsid w:val="00776BF0"/>
    <w:rsid w:val="00777FCD"/>
    <w:rsid w:val="00782702"/>
    <w:rsid w:val="00786569"/>
    <w:rsid w:val="00790D3B"/>
    <w:rsid w:val="00791457"/>
    <w:rsid w:val="007A33B5"/>
    <w:rsid w:val="007A3834"/>
    <w:rsid w:val="007A3F6E"/>
    <w:rsid w:val="007A4DE3"/>
    <w:rsid w:val="007A6D90"/>
    <w:rsid w:val="007B4F3E"/>
    <w:rsid w:val="007B5361"/>
    <w:rsid w:val="007B5739"/>
    <w:rsid w:val="007B6470"/>
    <w:rsid w:val="007C056E"/>
    <w:rsid w:val="007C22BF"/>
    <w:rsid w:val="007C3066"/>
    <w:rsid w:val="007C51F5"/>
    <w:rsid w:val="007C798A"/>
    <w:rsid w:val="007D083A"/>
    <w:rsid w:val="007D2D5F"/>
    <w:rsid w:val="007D5CBE"/>
    <w:rsid w:val="007D6770"/>
    <w:rsid w:val="007D6AA9"/>
    <w:rsid w:val="007D7461"/>
    <w:rsid w:val="007E17B3"/>
    <w:rsid w:val="007E1CAF"/>
    <w:rsid w:val="007F00B3"/>
    <w:rsid w:val="007F04AA"/>
    <w:rsid w:val="007F0B2A"/>
    <w:rsid w:val="007F1B08"/>
    <w:rsid w:val="007F37C2"/>
    <w:rsid w:val="007F655A"/>
    <w:rsid w:val="007F6DB4"/>
    <w:rsid w:val="007F6EB2"/>
    <w:rsid w:val="00802A8D"/>
    <w:rsid w:val="008035E1"/>
    <w:rsid w:val="00805CFA"/>
    <w:rsid w:val="00810F52"/>
    <w:rsid w:val="008113D7"/>
    <w:rsid w:val="00811B40"/>
    <w:rsid w:val="00814377"/>
    <w:rsid w:val="00816A05"/>
    <w:rsid w:val="00821E80"/>
    <w:rsid w:val="00821E8F"/>
    <w:rsid w:val="00824915"/>
    <w:rsid w:val="00824FA0"/>
    <w:rsid w:val="00832BF5"/>
    <w:rsid w:val="008332D7"/>
    <w:rsid w:val="0083606C"/>
    <w:rsid w:val="00836F71"/>
    <w:rsid w:val="008412B4"/>
    <w:rsid w:val="008412E0"/>
    <w:rsid w:val="00841373"/>
    <w:rsid w:val="008420E2"/>
    <w:rsid w:val="008450B2"/>
    <w:rsid w:val="0085182D"/>
    <w:rsid w:val="008542C1"/>
    <w:rsid w:val="0085540F"/>
    <w:rsid w:val="0085613A"/>
    <w:rsid w:val="00860C31"/>
    <w:rsid w:val="00861462"/>
    <w:rsid w:val="00864F75"/>
    <w:rsid w:val="00865568"/>
    <w:rsid w:val="008659BB"/>
    <w:rsid w:val="00866426"/>
    <w:rsid w:val="0087018B"/>
    <w:rsid w:val="00881E65"/>
    <w:rsid w:val="00883025"/>
    <w:rsid w:val="00886B34"/>
    <w:rsid w:val="00890623"/>
    <w:rsid w:val="00890833"/>
    <w:rsid w:val="00893109"/>
    <w:rsid w:val="00897433"/>
    <w:rsid w:val="008A1D83"/>
    <w:rsid w:val="008A4C7F"/>
    <w:rsid w:val="008A5BF3"/>
    <w:rsid w:val="008B101C"/>
    <w:rsid w:val="008B1450"/>
    <w:rsid w:val="008B3050"/>
    <w:rsid w:val="008B30BA"/>
    <w:rsid w:val="008B4955"/>
    <w:rsid w:val="008B6F31"/>
    <w:rsid w:val="008C30EE"/>
    <w:rsid w:val="008C4B5C"/>
    <w:rsid w:val="008C763E"/>
    <w:rsid w:val="008D14A1"/>
    <w:rsid w:val="008D354B"/>
    <w:rsid w:val="008D46F5"/>
    <w:rsid w:val="008D52A1"/>
    <w:rsid w:val="008D7721"/>
    <w:rsid w:val="008E1130"/>
    <w:rsid w:val="008E1DAC"/>
    <w:rsid w:val="008E23B4"/>
    <w:rsid w:val="008E348C"/>
    <w:rsid w:val="008F0300"/>
    <w:rsid w:val="008F24D0"/>
    <w:rsid w:val="008F2E6D"/>
    <w:rsid w:val="008F3FAA"/>
    <w:rsid w:val="008F4BC5"/>
    <w:rsid w:val="00902E41"/>
    <w:rsid w:val="00902F45"/>
    <w:rsid w:val="009103C9"/>
    <w:rsid w:val="00917F4C"/>
    <w:rsid w:val="0092427B"/>
    <w:rsid w:val="00924813"/>
    <w:rsid w:val="0092544D"/>
    <w:rsid w:val="00927C42"/>
    <w:rsid w:val="00931035"/>
    <w:rsid w:val="009334A3"/>
    <w:rsid w:val="00933EE9"/>
    <w:rsid w:val="009368F8"/>
    <w:rsid w:val="009377FF"/>
    <w:rsid w:val="0094106D"/>
    <w:rsid w:val="00950599"/>
    <w:rsid w:val="009517C0"/>
    <w:rsid w:val="009523CE"/>
    <w:rsid w:val="00953A82"/>
    <w:rsid w:val="009548DD"/>
    <w:rsid w:val="0095750A"/>
    <w:rsid w:val="00957836"/>
    <w:rsid w:val="009713A2"/>
    <w:rsid w:val="009749D4"/>
    <w:rsid w:val="00975D64"/>
    <w:rsid w:val="00982284"/>
    <w:rsid w:val="00983101"/>
    <w:rsid w:val="009841FC"/>
    <w:rsid w:val="00986140"/>
    <w:rsid w:val="009869FC"/>
    <w:rsid w:val="00987C5F"/>
    <w:rsid w:val="00992B8D"/>
    <w:rsid w:val="0099568A"/>
    <w:rsid w:val="00995F9F"/>
    <w:rsid w:val="00997361"/>
    <w:rsid w:val="00997A2A"/>
    <w:rsid w:val="00997BCD"/>
    <w:rsid w:val="00997CBD"/>
    <w:rsid w:val="009A6FA1"/>
    <w:rsid w:val="009B1CB5"/>
    <w:rsid w:val="009B30D3"/>
    <w:rsid w:val="009B47CD"/>
    <w:rsid w:val="009B5E41"/>
    <w:rsid w:val="009B6353"/>
    <w:rsid w:val="009B7DD0"/>
    <w:rsid w:val="009C12A7"/>
    <w:rsid w:val="009C2BAD"/>
    <w:rsid w:val="009C3061"/>
    <w:rsid w:val="009C3D23"/>
    <w:rsid w:val="009C44CC"/>
    <w:rsid w:val="009C57FB"/>
    <w:rsid w:val="009C5E4C"/>
    <w:rsid w:val="009C7656"/>
    <w:rsid w:val="009D16B6"/>
    <w:rsid w:val="009D23B8"/>
    <w:rsid w:val="009D5646"/>
    <w:rsid w:val="009D7DA4"/>
    <w:rsid w:val="009E1D8B"/>
    <w:rsid w:val="009E266F"/>
    <w:rsid w:val="009E3B41"/>
    <w:rsid w:val="009E3C07"/>
    <w:rsid w:val="009E4CB9"/>
    <w:rsid w:val="009E5986"/>
    <w:rsid w:val="009F18D1"/>
    <w:rsid w:val="009F3C98"/>
    <w:rsid w:val="009F624A"/>
    <w:rsid w:val="00A00D96"/>
    <w:rsid w:val="00A01B84"/>
    <w:rsid w:val="00A03040"/>
    <w:rsid w:val="00A04801"/>
    <w:rsid w:val="00A04DDF"/>
    <w:rsid w:val="00A10FE8"/>
    <w:rsid w:val="00A13F8B"/>
    <w:rsid w:val="00A140A2"/>
    <w:rsid w:val="00A1473F"/>
    <w:rsid w:val="00A1670A"/>
    <w:rsid w:val="00A21E6A"/>
    <w:rsid w:val="00A22A36"/>
    <w:rsid w:val="00A23DCC"/>
    <w:rsid w:val="00A24692"/>
    <w:rsid w:val="00A24F72"/>
    <w:rsid w:val="00A310ED"/>
    <w:rsid w:val="00A31A8F"/>
    <w:rsid w:val="00A324CD"/>
    <w:rsid w:val="00A32A78"/>
    <w:rsid w:val="00A37EB2"/>
    <w:rsid w:val="00A414AC"/>
    <w:rsid w:val="00A43578"/>
    <w:rsid w:val="00A4652F"/>
    <w:rsid w:val="00A473D7"/>
    <w:rsid w:val="00A47A14"/>
    <w:rsid w:val="00A502A4"/>
    <w:rsid w:val="00A5112A"/>
    <w:rsid w:val="00A52023"/>
    <w:rsid w:val="00A5374E"/>
    <w:rsid w:val="00A570BC"/>
    <w:rsid w:val="00A57AF1"/>
    <w:rsid w:val="00A6032E"/>
    <w:rsid w:val="00A616B1"/>
    <w:rsid w:val="00A64E6C"/>
    <w:rsid w:val="00A64F41"/>
    <w:rsid w:val="00A67170"/>
    <w:rsid w:val="00A6763A"/>
    <w:rsid w:val="00A72118"/>
    <w:rsid w:val="00A73D7A"/>
    <w:rsid w:val="00A834B4"/>
    <w:rsid w:val="00A87360"/>
    <w:rsid w:val="00A918B7"/>
    <w:rsid w:val="00A92883"/>
    <w:rsid w:val="00A95392"/>
    <w:rsid w:val="00A9567B"/>
    <w:rsid w:val="00A957EE"/>
    <w:rsid w:val="00A95A2F"/>
    <w:rsid w:val="00A95B1E"/>
    <w:rsid w:val="00AA167B"/>
    <w:rsid w:val="00AA3BBF"/>
    <w:rsid w:val="00AA52BA"/>
    <w:rsid w:val="00AB24E1"/>
    <w:rsid w:val="00AB3458"/>
    <w:rsid w:val="00AB6267"/>
    <w:rsid w:val="00AB678B"/>
    <w:rsid w:val="00AC0BE6"/>
    <w:rsid w:val="00AC6AA7"/>
    <w:rsid w:val="00AC72F9"/>
    <w:rsid w:val="00AC7E23"/>
    <w:rsid w:val="00AD0210"/>
    <w:rsid w:val="00AD09E5"/>
    <w:rsid w:val="00AD33A0"/>
    <w:rsid w:val="00AD6E3B"/>
    <w:rsid w:val="00AD7B75"/>
    <w:rsid w:val="00AE1D07"/>
    <w:rsid w:val="00AE319B"/>
    <w:rsid w:val="00AE680C"/>
    <w:rsid w:val="00AE6F5B"/>
    <w:rsid w:val="00AF7047"/>
    <w:rsid w:val="00AF7556"/>
    <w:rsid w:val="00B02A90"/>
    <w:rsid w:val="00B0386A"/>
    <w:rsid w:val="00B10CDE"/>
    <w:rsid w:val="00B14082"/>
    <w:rsid w:val="00B168ED"/>
    <w:rsid w:val="00B205E9"/>
    <w:rsid w:val="00B21B73"/>
    <w:rsid w:val="00B244D1"/>
    <w:rsid w:val="00B2776B"/>
    <w:rsid w:val="00B3244F"/>
    <w:rsid w:val="00B454D8"/>
    <w:rsid w:val="00B515DC"/>
    <w:rsid w:val="00B53679"/>
    <w:rsid w:val="00B5539D"/>
    <w:rsid w:val="00B61897"/>
    <w:rsid w:val="00B67BB7"/>
    <w:rsid w:val="00B820B8"/>
    <w:rsid w:val="00B82ED4"/>
    <w:rsid w:val="00B830F2"/>
    <w:rsid w:val="00B85FB8"/>
    <w:rsid w:val="00B879E3"/>
    <w:rsid w:val="00B96209"/>
    <w:rsid w:val="00B96CB4"/>
    <w:rsid w:val="00B97128"/>
    <w:rsid w:val="00BA3D3D"/>
    <w:rsid w:val="00BA6F2D"/>
    <w:rsid w:val="00BB6796"/>
    <w:rsid w:val="00BC2D7C"/>
    <w:rsid w:val="00BC6574"/>
    <w:rsid w:val="00BC7680"/>
    <w:rsid w:val="00BD1169"/>
    <w:rsid w:val="00BD5447"/>
    <w:rsid w:val="00BD76C8"/>
    <w:rsid w:val="00BE03A2"/>
    <w:rsid w:val="00BE3C8A"/>
    <w:rsid w:val="00BE6874"/>
    <w:rsid w:val="00BF0037"/>
    <w:rsid w:val="00BF15AF"/>
    <w:rsid w:val="00BF486B"/>
    <w:rsid w:val="00C0297F"/>
    <w:rsid w:val="00C036B4"/>
    <w:rsid w:val="00C03CC7"/>
    <w:rsid w:val="00C04934"/>
    <w:rsid w:val="00C05A90"/>
    <w:rsid w:val="00C072BB"/>
    <w:rsid w:val="00C15A21"/>
    <w:rsid w:val="00C16351"/>
    <w:rsid w:val="00C17C62"/>
    <w:rsid w:val="00C2012B"/>
    <w:rsid w:val="00C22256"/>
    <w:rsid w:val="00C22A1B"/>
    <w:rsid w:val="00C26960"/>
    <w:rsid w:val="00C2735C"/>
    <w:rsid w:val="00C328DA"/>
    <w:rsid w:val="00C33E4F"/>
    <w:rsid w:val="00C404B8"/>
    <w:rsid w:val="00C41F11"/>
    <w:rsid w:val="00C51095"/>
    <w:rsid w:val="00C54744"/>
    <w:rsid w:val="00C610CC"/>
    <w:rsid w:val="00C6253B"/>
    <w:rsid w:val="00C6569E"/>
    <w:rsid w:val="00C66029"/>
    <w:rsid w:val="00C66368"/>
    <w:rsid w:val="00C66777"/>
    <w:rsid w:val="00C66890"/>
    <w:rsid w:val="00C668F7"/>
    <w:rsid w:val="00C66A40"/>
    <w:rsid w:val="00C710ED"/>
    <w:rsid w:val="00C72D78"/>
    <w:rsid w:val="00C7397D"/>
    <w:rsid w:val="00C744A4"/>
    <w:rsid w:val="00C77BF6"/>
    <w:rsid w:val="00C80C44"/>
    <w:rsid w:val="00C816D8"/>
    <w:rsid w:val="00C8269E"/>
    <w:rsid w:val="00C831A2"/>
    <w:rsid w:val="00C86F8D"/>
    <w:rsid w:val="00C930B6"/>
    <w:rsid w:val="00C95954"/>
    <w:rsid w:val="00C9668B"/>
    <w:rsid w:val="00CA1FC3"/>
    <w:rsid w:val="00CA37EF"/>
    <w:rsid w:val="00CA3875"/>
    <w:rsid w:val="00CA5EEE"/>
    <w:rsid w:val="00CA7A75"/>
    <w:rsid w:val="00CB122C"/>
    <w:rsid w:val="00CB2169"/>
    <w:rsid w:val="00CB3C1E"/>
    <w:rsid w:val="00CB4A14"/>
    <w:rsid w:val="00CB4AD8"/>
    <w:rsid w:val="00CB4B9C"/>
    <w:rsid w:val="00CB6972"/>
    <w:rsid w:val="00CB6A6A"/>
    <w:rsid w:val="00CC6130"/>
    <w:rsid w:val="00CD15CB"/>
    <w:rsid w:val="00CD2C0B"/>
    <w:rsid w:val="00CD3418"/>
    <w:rsid w:val="00CD7466"/>
    <w:rsid w:val="00CE0E7A"/>
    <w:rsid w:val="00CE3361"/>
    <w:rsid w:val="00CE5878"/>
    <w:rsid w:val="00CE71E7"/>
    <w:rsid w:val="00CF0BB0"/>
    <w:rsid w:val="00CF1C21"/>
    <w:rsid w:val="00CF48AB"/>
    <w:rsid w:val="00CF55BD"/>
    <w:rsid w:val="00CF6312"/>
    <w:rsid w:val="00CF680E"/>
    <w:rsid w:val="00CF7AA4"/>
    <w:rsid w:val="00D04464"/>
    <w:rsid w:val="00D06CAB"/>
    <w:rsid w:val="00D11071"/>
    <w:rsid w:val="00D121DC"/>
    <w:rsid w:val="00D1274E"/>
    <w:rsid w:val="00D12B64"/>
    <w:rsid w:val="00D25564"/>
    <w:rsid w:val="00D315B6"/>
    <w:rsid w:val="00D31D6C"/>
    <w:rsid w:val="00D334B0"/>
    <w:rsid w:val="00D35D52"/>
    <w:rsid w:val="00D36048"/>
    <w:rsid w:val="00D4049B"/>
    <w:rsid w:val="00D4183C"/>
    <w:rsid w:val="00D42380"/>
    <w:rsid w:val="00D47471"/>
    <w:rsid w:val="00D51400"/>
    <w:rsid w:val="00D52FEF"/>
    <w:rsid w:val="00D54142"/>
    <w:rsid w:val="00D546A6"/>
    <w:rsid w:val="00D54B7B"/>
    <w:rsid w:val="00D5593B"/>
    <w:rsid w:val="00D57627"/>
    <w:rsid w:val="00D617DA"/>
    <w:rsid w:val="00D61A6B"/>
    <w:rsid w:val="00D650BA"/>
    <w:rsid w:val="00D65C52"/>
    <w:rsid w:val="00D71CC0"/>
    <w:rsid w:val="00D723D8"/>
    <w:rsid w:val="00D76976"/>
    <w:rsid w:val="00D824D7"/>
    <w:rsid w:val="00D83E8D"/>
    <w:rsid w:val="00D912CE"/>
    <w:rsid w:val="00D92614"/>
    <w:rsid w:val="00DA0538"/>
    <w:rsid w:val="00DA2213"/>
    <w:rsid w:val="00DA5511"/>
    <w:rsid w:val="00DA5A3B"/>
    <w:rsid w:val="00DA675A"/>
    <w:rsid w:val="00DB32BE"/>
    <w:rsid w:val="00DB5C89"/>
    <w:rsid w:val="00DB7D4B"/>
    <w:rsid w:val="00DC0ABF"/>
    <w:rsid w:val="00DC405F"/>
    <w:rsid w:val="00DC7D80"/>
    <w:rsid w:val="00DD1308"/>
    <w:rsid w:val="00DD270F"/>
    <w:rsid w:val="00DD3B4E"/>
    <w:rsid w:val="00DD4124"/>
    <w:rsid w:val="00DD7F91"/>
    <w:rsid w:val="00DE021E"/>
    <w:rsid w:val="00DE0EBD"/>
    <w:rsid w:val="00DE3CC6"/>
    <w:rsid w:val="00DE3F59"/>
    <w:rsid w:val="00DE43F1"/>
    <w:rsid w:val="00DE50B3"/>
    <w:rsid w:val="00DF4E99"/>
    <w:rsid w:val="00DF4FB4"/>
    <w:rsid w:val="00E00C7D"/>
    <w:rsid w:val="00E11E2A"/>
    <w:rsid w:val="00E14965"/>
    <w:rsid w:val="00E15BA2"/>
    <w:rsid w:val="00E16730"/>
    <w:rsid w:val="00E244DC"/>
    <w:rsid w:val="00E264DC"/>
    <w:rsid w:val="00E266D6"/>
    <w:rsid w:val="00E26EAC"/>
    <w:rsid w:val="00E32060"/>
    <w:rsid w:val="00E3698F"/>
    <w:rsid w:val="00E46570"/>
    <w:rsid w:val="00E46A84"/>
    <w:rsid w:val="00E46C96"/>
    <w:rsid w:val="00E50EDA"/>
    <w:rsid w:val="00E53314"/>
    <w:rsid w:val="00E535A5"/>
    <w:rsid w:val="00E573D6"/>
    <w:rsid w:val="00E62007"/>
    <w:rsid w:val="00E6378A"/>
    <w:rsid w:val="00E660C3"/>
    <w:rsid w:val="00E7134A"/>
    <w:rsid w:val="00E7600D"/>
    <w:rsid w:val="00E7739F"/>
    <w:rsid w:val="00E800E7"/>
    <w:rsid w:val="00E848F5"/>
    <w:rsid w:val="00E85CB4"/>
    <w:rsid w:val="00E869E4"/>
    <w:rsid w:val="00E902B2"/>
    <w:rsid w:val="00E91553"/>
    <w:rsid w:val="00E9298D"/>
    <w:rsid w:val="00E942E7"/>
    <w:rsid w:val="00E94B33"/>
    <w:rsid w:val="00E976D4"/>
    <w:rsid w:val="00E97AE4"/>
    <w:rsid w:val="00EA32D1"/>
    <w:rsid w:val="00EA4058"/>
    <w:rsid w:val="00EA7186"/>
    <w:rsid w:val="00EA7694"/>
    <w:rsid w:val="00EB474A"/>
    <w:rsid w:val="00EB6310"/>
    <w:rsid w:val="00EC5BF3"/>
    <w:rsid w:val="00ED0A7C"/>
    <w:rsid w:val="00ED4CB1"/>
    <w:rsid w:val="00ED5326"/>
    <w:rsid w:val="00ED5602"/>
    <w:rsid w:val="00ED6182"/>
    <w:rsid w:val="00ED719C"/>
    <w:rsid w:val="00ED74F2"/>
    <w:rsid w:val="00EE3A6B"/>
    <w:rsid w:val="00EE63F9"/>
    <w:rsid w:val="00EF0D50"/>
    <w:rsid w:val="00F04BA7"/>
    <w:rsid w:val="00F06613"/>
    <w:rsid w:val="00F06AFE"/>
    <w:rsid w:val="00F108F9"/>
    <w:rsid w:val="00F11C9B"/>
    <w:rsid w:val="00F11CD3"/>
    <w:rsid w:val="00F12938"/>
    <w:rsid w:val="00F14A58"/>
    <w:rsid w:val="00F157EA"/>
    <w:rsid w:val="00F20E86"/>
    <w:rsid w:val="00F20E93"/>
    <w:rsid w:val="00F21F37"/>
    <w:rsid w:val="00F25D61"/>
    <w:rsid w:val="00F26EE4"/>
    <w:rsid w:val="00F30C16"/>
    <w:rsid w:val="00F44D59"/>
    <w:rsid w:val="00F4577C"/>
    <w:rsid w:val="00F4613E"/>
    <w:rsid w:val="00F5426E"/>
    <w:rsid w:val="00F57703"/>
    <w:rsid w:val="00F57D0D"/>
    <w:rsid w:val="00F61069"/>
    <w:rsid w:val="00F64317"/>
    <w:rsid w:val="00F67E6D"/>
    <w:rsid w:val="00F80748"/>
    <w:rsid w:val="00F80FAB"/>
    <w:rsid w:val="00F81E39"/>
    <w:rsid w:val="00F822A1"/>
    <w:rsid w:val="00F82C24"/>
    <w:rsid w:val="00F8559F"/>
    <w:rsid w:val="00F863A5"/>
    <w:rsid w:val="00F9066C"/>
    <w:rsid w:val="00F909E9"/>
    <w:rsid w:val="00F90D13"/>
    <w:rsid w:val="00F9493D"/>
    <w:rsid w:val="00F95BAA"/>
    <w:rsid w:val="00F97B46"/>
    <w:rsid w:val="00F97BF9"/>
    <w:rsid w:val="00FA2BEC"/>
    <w:rsid w:val="00FA5523"/>
    <w:rsid w:val="00FA5A66"/>
    <w:rsid w:val="00FB4F6C"/>
    <w:rsid w:val="00FB575F"/>
    <w:rsid w:val="00FB63A3"/>
    <w:rsid w:val="00FB6E1F"/>
    <w:rsid w:val="00FB7B47"/>
    <w:rsid w:val="00FC18B5"/>
    <w:rsid w:val="00FC1AA8"/>
    <w:rsid w:val="00FC3698"/>
    <w:rsid w:val="00FC6335"/>
    <w:rsid w:val="00FC78AA"/>
    <w:rsid w:val="00FC7F61"/>
    <w:rsid w:val="00FD65A8"/>
    <w:rsid w:val="00FE0E38"/>
    <w:rsid w:val="00FF028A"/>
    <w:rsid w:val="00FF206A"/>
    <w:rsid w:val="00FF2709"/>
    <w:rsid w:val="00FF4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56E35F"/>
  <w15:docId w15:val="{00253BAF-B9E5-4E9C-95B3-1BE74BBB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897"/>
    <w:rPr>
      <w:rFonts w:ascii="Segoe UI" w:hAnsi="Segoe UI" w:cs="Segoe UI"/>
      <w:sz w:val="18"/>
      <w:szCs w:val="18"/>
    </w:rPr>
  </w:style>
  <w:style w:type="character" w:styleId="CommentReference">
    <w:name w:val="annotation reference"/>
    <w:basedOn w:val="DefaultParagraphFont"/>
    <w:uiPriority w:val="99"/>
    <w:semiHidden/>
    <w:unhideWhenUsed/>
    <w:rsid w:val="004470B5"/>
    <w:rPr>
      <w:sz w:val="16"/>
      <w:szCs w:val="16"/>
    </w:rPr>
  </w:style>
  <w:style w:type="paragraph" w:styleId="CommentText">
    <w:name w:val="annotation text"/>
    <w:basedOn w:val="Normal"/>
    <w:link w:val="CommentTextChar"/>
    <w:uiPriority w:val="99"/>
    <w:semiHidden/>
    <w:unhideWhenUsed/>
    <w:rsid w:val="004470B5"/>
    <w:pPr>
      <w:spacing w:line="240" w:lineRule="auto"/>
    </w:pPr>
    <w:rPr>
      <w:sz w:val="20"/>
      <w:szCs w:val="20"/>
    </w:rPr>
  </w:style>
  <w:style w:type="character" w:customStyle="1" w:styleId="CommentTextChar">
    <w:name w:val="Comment Text Char"/>
    <w:basedOn w:val="DefaultParagraphFont"/>
    <w:link w:val="CommentText"/>
    <w:uiPriority w:val="99"/>
    <w:semiHidden/>
    <w:rsid w:val="004470B5"/>
    <w:rPr>
      <w:sz w:val="20"/>
      <w:szCs w:val="20"/>
    </w:rPr>
  </w:style>
  <w:style w:type="paragraph" w:styleId="CommentSubject">
    <w:name w:val="annotation subject"/>
    <w:basedOn w:val="CommentText"/>
    <w:next w:val="CommentText"/>
    <w:link w:val="CommentSubjectChar"/>
    <w:uiPriority w:val="99"/>
    <w:semiHidden/>
    <w:unhideWhenUsed/>
    <w:rsid w:val="004470B5"/>
    <w:rPr>
      <w:b/>
      <w:bCs/>
    </w:rPr>
  </w:style>
  <w:style w:type="character" w:customStyle="1" w:styleId="CommentSubjectChar">
    <w:name w:val="Comment Subject Char"/>
    <w:basedOn w:val="CommentTextChar"/>
    <w:link w:val="CommentSubject"/>
    <w:uiPriority w:val="99"/>
    <w:semiHidden/>
    <w:rsid w:val="004470B5"/>
    <w:rPr>
      <w:b/>
      <w:bCs/>
      <w:sz w:val="20"/>
      <w:szCs w:val="20"/>
    </w:rPr>
  </w:style>
  <w:style w:type="paragraph" w:styleId="ListParagraph">
    <w:name w:val="List Paragraph"/>
    <w:basedOn w:val="Normal"/>
    <w:uiPriority w:val="34"/>
    <w:qFormat/>
    <w:rsid w:val="00836F71"/>
    <w:pPr>
      <w:ind w:left="720"/>
      <w:contextualSpacing/>
    </w:pPr>
  </w:style>
  <w:style w:type="paragraph" w:styleId="Header">
    <w:name w:val="header"/>
    <w:basedOn w:val="Normal"/>
    <w:link w:val="HeaderChar"/>
    <w:uiPriority w:val="99"/>
    <w:unhideWhenUsed/>
    <w:rsid w:val="00F11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CD3"/>
  </w:style>
  <w:style w:type="paragraph" w:styleId="Footer">
    <w:name w:val="footer"/>
    <w:basedOn w:val="Normal"/>
    <w:link w:val="FooterChar"/>
    <w:uiPriority w:val="99"/>
    <w:unhideWhenUsed/>
    <w:rsid w:val="00F11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CD3"/>
  </w:style>
  <w:style w:type="table" w:styleId="TableGrid">
    <w:name w:val="Table Grid"/>
    <w:basedOn w:val="TableNormal"/>
    <w:uiPriority w:val="59"/>
    <w:rsid w:val="00B0386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3D5402"/>
    <w:rPr>
      <w:color w:val="0000FF"/>
      <w:u w:val="single"/>
    </w:rPr>
  </w:style>
  <w:style w:type="character" w:customStyle="1" w:styleId="ref-journal">
    <w:name w:val="ref-journal"/>
    <w:basedOn w:val="DefaultParagraphFont"/>
    <w:rsid w:val="00F30C16"/>
  </w:style>
  <w:style w:type="character" w:customStyle="1" w:styleId="ref-vol">
    <w:name w:val="ref-vol"/>
    <w:basedOn w:val="DefaultParagraphFont"/>
    <w:rsid w:val="00F30C16"/>
  </w:style>
  <w:style w:type="paragraph" w:styleId="HTMLPreformatted">
    <w:name w:val="HTML Preformatted"/>
    <w:basedOn w:val="Normal"/>
    <w:link w:val="HTMLPreformattedChar"/>
    <w:uiPriority w:val="99"/>
    <w:semiHidden/>
    <w:unhideWhenUsed/>
    <w:rsid w:val="00F30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F30C16"/>
    <w:rPr>
      <w:rFonts w:ascii="Courier New" w:eastAsia="Times New Roman" w:hAnsi="Courier New" w:cs="Courier New"/>
      <w:sz w:val="20"/>
      <w:szCs w:val="20"/>
      <w:lang w:val="es-ES" w:eastAsia="es-ES"/>
    </w:rPr>
  </w:style>
  <w:style w:type="paragraph" w:styleId="NormalWeb">
    <w:name w:val="Normal (Web)"/>
    <w:basedOn w:val="Normal"/>
    <w:uiPriority w:val="99"/>
    <w:semiHidden/>
    <w:unhideWhenUsed/>
    <w:rsid w:val="00824915"/>
    <w:pPr>
      <w:spacing w:after="0" w:line="240" w:lineRule="auto"/>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87546">
      <w:bodyDiv w:val="1"/>
      <w:marLeft w:val="0"/>
      <w:marRight w:val="0"/>
      <w:marTop w:val="0"/>
      <w:marBottom w:val="0"/>
      <w:divBdr>
        <w:top w:val="none" w:sz="0" w:space="0" w:color="auto"/>
        <w:left w:val="none" w:sz="0" w:space="0" w:color="auto"/>
        <w:bottom w:val="none" w:sz="0" w:space="0" w:color="auto"/>
        <w:right w:val="none" w:sz="0" w:space="0" w:color="auto"/>
      </w:divBdr>
    </w:div>
    <w:div w:id="245268127">
      <w:bodyDiv w:val="1"/>
      <w:marLeft w:val="0"/>
      <w:marRight w:val="0"/>
      <w:marTop w:val="0"/>
      <w:marBottom w:val="0"/>
      <w:divBdr>
        <w:top w:val="none" w:sz="0" w:space="0" w:color="auto"/>
        <w:left w:val="none" w:sz="0" w:space="0" w:color="auto"/>
        <w:bottom w:val="none" w:sz="0" w:space="0" w:color="auto"/>
        <w:right w:val="none" w:sz="0" w:space="0" w:color="auto"/>
      </w:divBdr>
    </w:div>
    <w:div w:id="369959970">
      <w:bodyDiv w:val="1"/>
      <w:marLeft w:val="0"/>
      <w:marRight w:val="0"/>
      <w:marTop w:val="0"/>
      <w:marBottom w:val="0"/>
      <w:divBdr>
        <w:top w:val="none" w:sz="0" w:space="0" w:color="auto"/>
        <w:left w:val="none" w:sz="0" w:space="0" w:color="auto"/>
        <w:bottom w:val="none" w:sz="0" w:space="0" w:color="auto"/>
        <w:right w:val="none" w:sz="0" w:space="0" w:color="auto"/>
      </w:divBdr>
    </w:div>
    <w:div w:id="561141069">
      <w:bodyDiv w:val="1"/>
      <w:marLeft w:val="0"/>
      <w:marRight w:val="0"/>
      <w:marTop w:val="0"/>
      <w:marBottom w:val="0"/>
      <w:divBdr>
        <w:top w:val="none" w:sz="0" w:space="0" w:color="auto"/>
        <w:left w:val="none" w:sz="0" w:space="0" w:color="auto"/>
        <w:bottom w:val="none" w:sz="0" w:space="0" w:color="auto"/>
        <w:right w:val="none" w:sz="0" w:space="0" w:color="auto"/>
      </w:divBdr>
    </w:div>
    <w:div w:id="590238063">
      <w:bodyDiv w:val="1"/>
      <w:marLeft w:val="0"/>
      <w:marRight w:val="0"/>
      <w:marTop w:val="0"/>
      <w:marBottom w:val="0"/>
      <w:divBdr>
        <w:top w:val="none" w:sz="0" w:space="0" w:color="auto"/>
        <w:left w:val="none" w:sz="0" w:space="0" w:color="auto"/>
        <w:bottom w:val="none" w:sz="0" w:space="0" w:color="auto"/>
        <w:right w:val="none" w:sz="0" w:space="0" w:color="auto"/>
      </w:divBdr>
    </w:div>
    <w:div w:id="595598747">
      <w:bodyDiv w:val="1"/>
      <w:marLeft w:val="0"/>
      <w:marRight w:val="0"/>
      <w:marTop w:val="0"/>
      <w:marBottom w:val="0"/>
      <w:divBdr>
        <w:top w:val="none" w:sz="0" w:space="0" w:color="auto"/>
        <w:left w:val="none" w:sz="0" w:space="0" w:color="auto"/>
        <w:bottom w:val="none" w:sz="0" w:space="0" w:color="auto"/>
        <w:right w:val="none" w:sz="0" w:space="0" w:color="auto"/>
      </w:divBdr>
    </w:div>
    <w:div w:id="625893429">
      <w:bodyDiv w:val="1"/>
      <w:marLeft w:val="0"/>
      <w:marRight w:val="0"/>
      <w:marTop w:val="0"/>
      <w:marBottom w:val="0"/>
      <w:divBdr>
        <w:top w:val="none" w:sz="0" w:space="0" w:color="auto"/>
        <w:left w:val="none" w:sz="0" w:space="0" w:color="auto"/>
        <w:bottom w:val="none" w:sz="0" w:space="0" w:color="auto"/>
        <w:right w:val="none" w:sz="0" w:space="0" w:color="auto"/>
      </w:divBdr>
    </w:div>
    <w:div w:id="794981050">
      <w:bodyDiv w:val="1"/>
      <w:marLeft w:val="0"/>
      <w:marRight w:val="0"/>
      <w:marTop w:val="0"/>
      <w:marBottom w:val="0"/>
      <w:divBdr>
        <w:top w:val="none" w:sz="0" w:space="0" w:color="auto"/>
        <w:left w:val="none" w:sz="0" w:space="0" w:color="auto"/>
        <w:bottom w:val="none" w:sz="0" w:space="0" w:color="auto"/>
        <w:right w:val="none" w:sz="0" w:space="0" w:color="auto"/>
      </w:divBdr>
    </w:div>
    <w:div w:id="805901616">
      <w:bodyDiv w:val="1"/>
      <w:marLeft w:val="0"/>
      <w:marRight w:val="0"/>
      <w:marTop w:val="0"/>
      <w:marBottom w:val="0"/>
      <w:divBdr>
        <w:top w:val="none" w:sz="0" w:space="0" w:color="auto"/>
        <w:left w:val="none" w:sz="0" w:space="0" w:color="auto"/>
        <w:bottom w:val="none" w:sz="0" w:space="0" w:color="auto"/>
        <w:right w:val="none" w:sz="0" w:space="0" w:color="auto"/>
      </w:divBdr>
    </w:div>
    <w:div w:id="1030453256">
      <w:bodyDiv w:val="1"/>
      <w:marLeft w:val="0"/>
      <w:marRight w:val="0"/>
      <w:marTop w:val="0"/>
      <w:marBottom w:val="0"/>
      <w:divBdr>
        <w:top w:val="none" w:sz="0" w:space="0" w:color="auto"/>
        <w:left w:val="none" w:sz="0" w:space="0" w:color="auto"/>
        <w:bottom w:val="none" w:sz="0" w:space="0" w:color="auto"/>
        <w:right w:val="none" w:sz="0" w:space="0" w:color="auto"/>
      </w:divBdr>
    </w:div>
    <w:div w:id="1125736114">
      <w:bodyDiv w:val="1"/>
      <w:marLeft w:val="0"/>
      <w:marRight w:val="0"/>
      <w:marTop w:val="0"/>
      <w:marBottom w:val="0"/>
      <w:divBdr>
        <w:top w:val="none" w:sz="0" w:space="0" w:color="auto"/>
        <w:left w:val="none" w:sz="0" w:space="0" w:color="auto"/>
        <w:bottom w:val="none" w:sz="0" w:space="0" w:color="auto"/>
        <w:right w:val="none" w:sz="0" w:space="0" w:color="auto"/>
      </w:divBdr>
    </w:div>
    <w:div w:id="1520240693">
      <w:bodyDiv w:val="1"/>
      <w:marLeft w:val="0"/>
      <w:marRight w:val="0"/>
      <w:marTop w:val="0"/>
      <w:marBottom w:val="0"/>
      <w:divBdr>
        <w:top w:val="none" w:sz="0" w:space="0" w:color="auto"/>
        <w:left w:val="none" w:sz="0" w:space="0" w:color="auto"/>
        <w:bottom w:val="none" w:sz="0" w:space="0" w:color="auto"/>
        <w:right w:val="none" w:sz="0" w:space="0" w:color="auto"/>
      </w:divBdr>
    </w:div>
    <w:div w:id="1762751168">
      <w:bodyDiv w:val="1"/>
      <w:marLeft w:val="0"/>
      <w:marRight w:val="0"/>
      <w:marTop w:val="0"/>
      <w:marBottom w:val="0"/>
      <w:divBdr>
        <w:top w:val="none" w:sz="0" w:space="0" w:color="auto"/>
        <w:left w:val="none" w:sz="0" w:space="0" w:color="auto"/>
        <w:bottom w:val="none" w:sz="0" w:space="0" w:color="auto"/>
        <w:right w:val="none" w:sz="0" w:space="0" w:color="auto"/>
      </w:divBdr>
    </w:div>
    <w:div w:id="20309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gregson@lsht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3A1DE-A552-4BC3-8BAB-37AB748E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22726</Words>
  <Characters>129543</Characters>
  <Application>Microsoft Office Word</Application>
  <DocSecurity>0</DocSecurity>
  <Lines>1079</Lines>
  <Paragraphs>303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151966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 Gregson</cp:lastModifiedBy>
  <cp:revision>3</cp:revision>
  <cp:lastPrinted>2018-12-06T16:06:00Z</cp:lastPrinted>
  <dcterms:created xsi:type="dcterms:W3CDTF">2019-05-22T10:04:00Z</dcterms:created>
  <dcterms:modified xsi:type="dcterms:W3CDTF">2019-06-20T10:46:00Z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http://csl.mendeley.com/styles/7848013/harvard-no-doi</vt:lpwstr>
  </property>
  <property fmtid="{D5CDD505-2E9C-101B-9397-08002B2CF9AE}" pid="7" name="Mendeley Recent Style Name 2_1">
    <vt:lpwstr>Cite Them Right 10th edition - Harvard - John Gregson</vt:lpwstr>
  </property>
  <property fmtid="{D5CDD505-2E9C-101B-9397-08002B2CF9AE}" pid="8" name="Mendeley Recent Style Id 3_1">
    <vt:lpwstr>http://www.zotero.org/styles/european-heart-journal</vt:lpwstr>
  </property>
  <property fmtid="{D5CDD505-2E9C-101B-9397-08002B2CF9AE}" pid="9" name="Mendeley Recent Style Name 3_1">
    <vt:lpwstr>European Heart Journal</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http://www.zotero.org/styles/the-new-england-journal-of-medicine</vt:lpwstr>
  </property>
  <property fmtid="{D5CDD505-2E9C-101B-9397-08002B2CF9AE}" pid="15" name="Mendeley Recent Style Name 6_1">
    <vt:lpwstr>The New England Journal of Medicine</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http://csl.mendeley.com/styles/7848013/vancouver-2</vt:lpwstr>
  </property>
  <property fmtid="{D5CDD505-2E9C-101B-9397-08002B2CF9AE}" pid="19" name="Mendeley Recent Style Name 8_1">
    <vt:lpwstr>Vancouver - John Gregson</vt:lpwstr>
  </property>
  <property fmtid="{D5CDD505-2E9C-101B-9397-08002B2CF9AE}" pid="20" name="Mendeley Recent Style Id 9_1">
    <vt:lpwstr>http://csl.mendeley.com/styles/7848013/vancouver-3</vt:lpwstr>
  </property>
  <property fmtid="{D5CDD505-2E9C-101B-9397-08002B2CF9AE}" pid="21" name="Mendeley Recent Style Name 9_1">
    <vt:lpwstr>Vancouver - John Gregson</vt:lpwstr>
  </property>
  <property fmtid="{D5CDD505-2E9C-101B-9397-08002B2CF9AE}" pid="22" name="Mendeley Document_1">
    <vt:lpwstr>True</vt:lpwstr>
  </property>
  <property fmtid="{D5CDD505-2E9C-101B-9397-08002B2CF9AE}" pid="23" name="Mendeley Unique User Id_1">
    <vt:lpwstr>fcd19df5-fce4-3402-893f-a9aedd67ed6c</vt:lpwstr>
  </property>
  <property fmtid="{D5CDD505-2E9C-101B-9397-08002B2CF9AE}" pid="24" name="Mendeley Citation Style_1">
    <vt:lpwstr>http://csl.mendeley.com/styles/7848013/vancouver-3</vt:lpwstr>
  </property>
</Properties>
</file>