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B5816" w14:textId="61D1E25C" w:rsidR="00F877AE" w:rsidRPr="00957E32" w:rsidRDefault="00F877AE" w:rsidP="001435B0">
      <w:pPr>
        <w:spacing w:after="0" w:line="480" w:lineRule="auto"/>
        <w:jc w:val="both"/>
        <w:rPr>
          <w:rFonts w:ascii="Times New Roman" w:hAnsi="Times New Roman" w:cs="Times New Roman"/>
          <w:b/>
          <w:sz w:val="24"/>
          <w:szCs w:val="24"/>
        </w:rPr>
      </w:pPr>
      <w:r w:rsidRPr="00957E32">
        <w:rPr>
          <w:rFonts w:ascii="Times New Roman" w:hAnsi="Times New Roman" w:cs="Times New Roman"/>
          <w:b/>
          <w:sz w:val="24"/>
          <w:szCs w:val="24"/>
        </w:rPr>
        <w:t xml:space="preserve">TITLE: </w:t>
      </w:r>
      <w:r w:rsidR="005222E3">
        <w:rPr>
          <w:rFonts w:ascii="Times New Roman" w:hAnsi="Times New Roman" w:cs="Times New Roman"/>
          <w:b/>
          <w:sz w:val="24"/>
          <w:szCs w:val="24"/>
        </w:rPr>
        <w:t>An observational cohort study to evaluate the c</w:t>
      </w:r>
      <w:r w:rsidRPr="00957E32">
        <w:rPr>
          <w:rFonts w:ascii="Times New Roman" w:hAnsi="Times New Roman" w:cs="Times New Roman"/>
          <w:b/>
          <w:sz w:val="24"/>
          <w:szCs w:val="24"/>
        </w:rPr>
        <w:t xml:space="preserve">linical utility of current and </w:t>
      </w:r>
      <w:r w:rsidR="00C9141C">
        <w:rPr>
          <w:rFonts w:ascii="Times New Roman" w:hAnsi="Times New Roman" w:cs="Times New Roman"/>
          <w:b/>
          <w:sz w:val="24"/>
          <w:szCs w:val="24"/>
        </w:rPr>
        <w:t>second-generation</w:t>
      </w:r>
      <w:r w:rsidRPr="00957E32">
        <w:rPr>
          <w:rFonts w:ascii="Times New Roman" w:hAnsi="Times New Roman" w:cs="Times New Roman"/>
          <w:b/>
          <w:sz w:val="24"/>
          <w:szCs w:val="24"/>
        </w:rPr>
        <w:t xml:space="preserve"> interferon-gamma release-assays in diagnostic evaluation of </w:t>
      </w:r>
      <w:r w:rsidR="005E2B94" w:rsidRPr="00957E32">
        <w:rPr>
          <w:rFonts w:ascii="Times New Roman" w:hAnsi="Times New Roman" w:cs="Times New Roman"/>
          <w:b/>
          <w:sz w:val="24"/>
          <w:szCs w:val="24"/>
        </w:rPr>
        <w:t>tuberculosis</w:t>
      </w:r>
    </w:p>
    <w:p w14:paraId="58DF11EB" w14:textId="77777777" w:rsidR="00F877AE" w:rsidRDefault="00F877AE" w:rsidP="001435B0">
      <w:pPr>
        <w:spacing w:after="0" w:line="480" w:lineRule="auto"/>
        <w:jc w:val="both"/>
        <w:rPr>
          <w:rFonts w:ascii="Times New Roman" w:hAnsi="Times New Roman" w:cs="Times New Roman"/>
          <w:b/>
          <w:sz w:val="24"/>
          <w:szCs w:val="24"/>
        </w:rPr>
      </w:pPr>
    </w:p>
    <w:p w14:paraId="00BF3A9E" w14:textId="77777777" w:rsidR="00F877AE" w:rsidRPr="00957E32" w:rsidRDefault="00F877AE" w:rsidP="001435B0">
      <w:pPr>
        <w:spacing w:after="0" w:line="480" w:lineRule="auto"/>
        <w:jc w:val="both"/>
        <w:rPr>
          <w:rFonts w:ascii="Times New Roman" w:hAnsi="Times New Roman" w:cs="Times New Roman"/>
          <w:b/>
          <w:sz w:val="24"/>
          <w:szCs w:val="24"/>
        </w:rPr>
      </w:pPr>
      <w:r w:rsidRPr="00957E32">
        <w:rPr>
          <w:rFonts w:ascii="Times New Roman" w:hAnsi="Times New Roman" w:cs="Times New Roman"/>
          <w:b/>
          <w:sz w:val="24"/>
          <w:szCs w:val="24"/>
        </w:rPr>
        <w:t>AUTHORS</w:t>
      </w:r>
    </w:p>
    <w:p w14:paraId="4338757F" w14:textId="76D8F43F" w:rsidR="00F877AE" w:rsidRPr="00957E32" w:rsidRDefault="00F877AE" w:rsidP="001435B0">
      <w:pPr>
        <w:spacing w:after="0" w:line="480" w:lineRule="auto"/>
        <w:jc w:val="both"/>
        <w:rPr>
          <w:rFonts w:ascii="Times New Roman" w:hAnsi="Times New Roman" w:cs="Times New Roman"/>
          <w:sz w:val="24"/>
          <w:szCs w:val="24"/>
        </w:rPr>
      </w:pPr>
      <w:r w:rsidRPr="00957E32">
        <w:rPr>
          <w:rFonts w:ascii="Times New Roman" w:hAnsi="Times New Roman" w:cs="Times New Roman"/>
          <w:sz w:val="24"/>
          <w:szCs w:val="24"/>
        </w:rPr>
        <w:t>Hilary S Whitworth</w:t>
      </w:r>
      <w:r>
        <w:rPr>
          <w:rFonts w:ascii="Times New Roman" w:hAnsi="Times New Roman" w:cs="Times New Roman"/>
          <w:sz w:val="24"/>
          <w:szCs w:val="24"/>
        </w:rPr>
        <w:t xml:space="preserve"> (PhD)</w:t>
      </w:r>
      <w:r w:rsidRPr="00957E32">
        <w:rPr>
          <w:rFonts w:ascii="Times New Roman" w:hAnsi="Times New Roman" w:cs="Times New Roman"/>
          <w:sz w:val="24"/>
          <w:szCs w:val="24"/>
        </w:rPr>
        <w:t>,</w:t>
      </w:r>
      <w:r w:rsidRPr="001B1048">
        <w:rPr>
          <w:rFonts w:ascii="Times New Roman" w:hAnsi="Times New Roman" w:cs="Times New Roman"/>
          <w:sz w:val="24"/>
          <w:szCs w:val="24"/>
          <w:vertAlign w:val="superscript"/>
        </w:rPr>
        <w:t>1,2</w:t>
      </w:r>
      <w:r>
        <w:rPr>
          <w:rFonts w:ascii="Times New Roman" w:hAnsi="Times New Roman" w:cs="Times New Roman"/>
          <w:sz w:val="24"/>
          <w:szCs w:val="24"/>
          <w:vertAlign w:val="superscript"/>
        </w:rPr>
        <w:t xml:space="preserve"> </w:t>
      </w:r>
      <w:r w:rsidRPr="00957E32">
        <w:rPr>
          <w:rFonts w:ascii="Times New Roman" w:hAnsi="Times New Roman" w:cs="Times New Roman"/>
          <w:sz w:val="24"/>
          <w:szCs w:val="24"/>
        </w:rPr>
        <w:t>Amarjit Badhan</w:t>
      </w:r>
      <w:r>
        <w:rPr>
          <w:rFonts w:ascii="Times New Roman" w:hAnsi="Times New Roman" w:cs="Times New Roman"/>
          <w:sz w:val="24"/>
          <w:szCs w:val="24"/>
        </w:rPr>
        <w:t xml:space="preserve"> (MSc)</w:t>
      </w:r>
      <w:r w:rsidRPr="00957E32">
        <w:rPr>
          <w:rFonts w:ascii="Times New Roman" w:hAnsi="Times New Roman" w:cs="Times New Roman"/>
          <w:sz w:val="24"/>
          <w:szCs w:val="24"/>
        </w:rPr>
        <w:t>,</w:t>
      </w:r>
      <w:r w:rsidR="004C52A5">
        <w:rPr>
          <w:rFonts w:ascii="Times New Roman" w:hAnsi="Times New Roman" w:cs="Times New Roman"/>
          <w:sz w:val="24"/>
          <w:szCs w:val="24"/>
        </w:rPr>
        <w:t>*</w:t>
      </w:r>
      <w:r w:rsidRPr="00957E32">
        <w:rPr>
          <w:rFonts w:ascii="Times New Roman" w:hAnsi="Times New Roman" w:cs="Times New Roman"/>
          <w:sz w:val="24"/>
          <w:szCs w:val="24"/>
          <w:vertAlign w:val="superscript"/>
        </w:rPr>
        <w:t>1,</w:t>
      </w:r>
      <w:r>
        <w:rPr>
          <w:rFonts w:ascii="Times New Roman" w:hAnsi="Times New Roman" w:cs="Times New Roman"/>
          <w:sz w:val="24"/>
          <w:szCs w:val="24"/>
          <w:vertAlign w:val="superscript"/>
        </w:rPr>
        <w:t>3</w:t>
      </w:r>
      <w:r w:rsidRPr="00957E32">
        <w:rPr>
          <w:rFonts w:ascii="Times New Roman" w:hAnsi="Times New Roman" w:cs="Times New Roman"/>
          <w:sz w:val="24"/>
          <w:szCs w:val="24"/>
        </w:rPr>
        <w:t xml:space="preserve"> Aime </w:t>
      </w:r>
      <w:r w:rsidR="004E20F8">
        <w:rPr>
          <w:rFonts w:ascii="Times New Roman" w:hAnsi="Times New Roman" w:cs="Times New Roman"/>
          <w:sz w:val="24"/>
          <w:szCs w:val="24"/>
        </w:rPr>
        <w:t xml:space="preserve">A </w:t>
      </w:r>
      <w:r w:rsidRPr="00957E32">
        <w:rPr>
          <w:rFonts w:ascii="Times New Roman" w:hAnsi="Times New Roman" w:cs="Times New Roman"/>
          <w:sz w:val="24"/>
          <w:szCs w:val="24"/>
        </w:rPr>
        <w:t>Boakye</w:t>
      </w:r>
      <w:r>
        <w:rPr>
          <w:rFonts w:ascii="Times New Roman" w:hAnsi="Times New Roman" w:cs="Times New Roman"/>
          <w:sz w:val="24"/>
          <w:szCs w:val="24"/>
        </w:rPr>
        <w:t xml:space="preserve"> (MSc)</w:t>
      </w:r>
      <w:r w:rsidRPr="00957E32">
        <w:rPr>
          <w:rFonts w:ascii="Times New Roman" w:hAnsi="Times New Roman" w:cs="Times New Roman"/>
          <w:sz w:val="24"/>
          <w:szCs w:val="24"/>
        </w:rPr>
        <w:t>,</w:t>
      </w:r>
      <w:r w:rsidR="004C52A5">
        <w:rPr>
          <w:rFonts w:ascii="Times New Roman" w:hAnsi="Times New Roman" w:cs="Times New Roman"/>
          <w:sz w:val="24"/>
          <w:szCs w:val="24"/>
        </w:rPr>
        <w:t>*</w:t>
      </w:r>
      <w:r w:rsidRPr="00957E32">
        <w:rPr>
          <w:rFonts w:ascii="Times New Roman" w:hAnsi="Times New Roman" w:cs="Times New Roman"/>
          <w:sz w:val="24"/>
          <w:szCs w:val="24"/>
          <w:vertAlign w:val="superscript"/>
        </w:rPr>
        <w:t>1</w:t>
      </w:r>
      <w:r>
        <w:rPr>
          <w:rFonts w:ascii="Times New Roman" w:hAnsi="Times New Roman" w:cs="Times New Roman"/>
          <w:sz w:val="24"/>
          <w:szCs w:val="24"/>
          <w:vertAlign w:val="superscript"/>
        </w:rPr>
        <w:t>,3</w:t>
      </w:r>
      <w:r w:rsidRPr="00957E32">
        <w:rPr>
          <w:rFonts w:ascii="Times New Roman" w:hAnsi="Times New Roman" w:cs="Times New Roman"/>
          <w:sz w:val="24"/>
          <w:szCs w:val="24"/>
        </w:rPr>
        <w:t xml:space="preserve"> Yemisi Takwoingi</w:t>
      </w:r>
      <w:r>
        <w:rPr>
          <w:rFonts w:ascii="Times New Roman" w:hAnsi="Times New Roman" w:cs="Times New Roman"/>
          <w:sz w:val="24"/>
          <w:szCs w:val="24"/>
        </w:rPr>
        <w:t xml:space="preserve"> (PhD)</w:t>
      </w:r>
      <w:r w:rsidRPr="00957E32">
        <w:rPr>
          <w:rFonts w:ascii="Times New Roman" w:hAnsi="Times New Roman" w:cs="Times New Roman"/>
          <w:sz w:val="24"/>
          <w:szCs w:val="24"/>
        </w:rPr>
        <w:t>,</w:t>
      </w:r>
      <w:r w:rsidR="004C52A5">
        <w:rPr>
          <w:rFonts w:ascii="Times New Roman" w:hAnsi="Times New Roman" w:cs="Times New Roman"/>
          <w:sz w:val="24"/>
          <w:szCs w:val="24"/>
        </w:rPr>
        <w:t>*</w:t>
      </w:r>
      <w:r>
        <w:rPr>
          <w:rFonts w:ascii="Times New Roman" w:hAnsi="Times New Roman" w:cs="Times New Roman"/>
          <w:sz w:val="24"/>
          <w:szCs w:val="24"/>
          <w:vertAlign w:val="superscript"/>
        </w:rPr>
        <w:t xml:space="preserve">4 </w:t>
      </w:r>
      <w:r w:rsidRPr="00D14200">
        <w:rPr>
          <w:rFonts w:ascii="Times New Roman" w:hAnsi="Times New Roman" w:cs="Times New Roman"/>
          <w:sz w:val="24"/>
          <w:szCs w:val="24"/>
        </w:rPr>
        <w:t>Melanie Rees-Roberts (PhD),</w:t>
      </w:r>
      <w:r w:rsidR="004C52A5">
        <w:rPr>
          <w:rFonts w:ascii="Times New Roman" w:hAnsi="Times New Roman" w:cs="Times New Roman"/>
          <w:sz w:val="24"/>
          <w:szCs w:val="24"/>
        </w:rPr>
        <w:t>*</w:t>
      </w:r>
      <w:r w:rsidRPr="00D14200">
        <w:rPr>
          <w:rFonts w:ascii="Times New Roman" w:hAnsi="Times New Roman" w:cs="Times New Roman"/>
          <w:sz w:val="24"/>
          <w:szCs w:val="24"/>
          <w:vertAlign w:val="superscript"/>
        </w:rPr>
        <w:t>1,3</w:t>
      </w:r>
      <w:r w:rsidR="00624034">
        <w:rPr>
          <w:rFonts w:ascii="Times New Roman" w:hAnsi="Times New Roman" w:cs="Times New Roman"/>
          <w:sz w:val="24"/>
          <w:szCs w:val="24"/>
          <w:vertAlign w:val="superscript"/>
        </w:rPr>
        <w:t>,5</w:t>
      </w:r>
      <w:r w:rsidRPr="00D14200">
        <w:rPr>
          <w:rFonts w:ascii="Times New Roman" w:hAnsi="Times New Roman" w:cs="Times New Roman"/>
          <w:sz w:val="24"/>
          <w:szCs w:val="24"/>
          <w:vertAlign w:val="superscript"/>
        </w:rPr>
        <w:t xml:space="preserve"> </w:t>
      </w:r>
      <w:r w:rsidRPr="00D14200">
        <w:rPr>
          <w:rFonts w:ascii="Times New Roman" w:hAnsi="Times New Roman" w:cs="Times New Roman"/>
          <w:sz w:val="24"/>
          <w:szCs w:val="24"/>
        </w:rPr>
        <w:t>Christopher Partlett (PhD),</w:t>
      </w:r>
      <w:r w:rsidRPr="00D14200">
        <w:rPr>
          <w:rFonts w:ascii="Times New Roman" w:hAnsi="Times New Roman" w:cs="Times New Roman"/>
          <w:sz w:val="24"/>
          <w:szCs w:val="24"/>
          <w:vertAlign w:val="superscript"/>
        </w:rPr>
        <w:t xml:space="preserve">4 </w:t>
      </w:r>
      <w:r w:rsidRPr="00D14200">
        <w:rPr>
          <w:rFonts w:ascii="Times New Roman" w:hAnsi="Times New Roman" w:cs="Times New Roman"/>
          <w:sz w:val="24"/>
          <w:szCs w:val="24"/>
        </w:rPr>
        <w:t>Heather Lambie (MSc</w:t>
      </w:r>
      <w:r w:rsidR="00CB1058">
        <w:rPr>
          <w:rFonts w:ascii="Times New Roman" w:hAnsi="Times New Roman" w:cs="Times New Roman"/>
          <w:sz w:val="24"/>
          <w:szCs w:val="24"/>
        </w:rPr>
        <w:t xml:space="preserve"> </w:t>
      </w:r>
      <w:r w:rsidR="00BC08CC">
        <w:rPr>
          <w:rFonts w:ascii="Times New Roman" w:hAnsi="Times New Roman" w:cs="Times New Roman"/>
          <w:sz w:val="24"/>
          <w:szCs w:val="24"/>
        </w:rPr>
        <w:t>H</w:t>
      </w:r>
      <w:r w:rsidR="00CB1058">
        <w:rPr>
          <w:rFonts w:ascii="Times New Roman" w:hAnsi="Times New Roman" w:cs="Times New Roman"/>
          <w:sz w:val="24"/>
          <w:szCs w:val="24"/>
        </w:rPr>
        <w:t>ons.</w:t>
      </w:r>
      <w:r w:rsidRPr="00D14200">
        <w:rPr>
          <w:rFonts w:ascii="Times New Roman" w:hAnsi="Times New Roman" w:cs="Times New Roman"/>
          <w:sz w:val="24"/>
          <w:szCs w:val="24"/>
        </w:rPr>
        <w:t>),</w:t>
      </w:r>
      <w:r w:rsidRPr="00D14200">
        <w:rPr>
          <w:rFonts w:ascii="Times New Roman" w:hAnsi="Times New Roman" w:cs="Times New Roman"/>
          <w:sz w:val="24"/>
          <w:szCs w:val="24"/>
          <w:vertAlign w:val="superscript"/>
        </w:rPr>
        <w:t>1</w:t>
      </w:r>
      <w:r w:rsidRPr="00A227A2">
        <w:rPr>
          <w:rFonts w:ascii="Times New Roman" w:hAnsi="Times New Roman" w:cs="Times New Roman"/>
          <w:sz w:val="24"/>
          <w:szCs w:val="24"/>
        </w:rPr>
        <w:t xml:space="preserve"> </w:t>
      </w:r>
      <w:r w:rsidR="00EB3B1F">
        <w:rPr>
          <w:rFonts w:ascii="Times New Roman" w:hAnsi="Times New Roman" w:cs="Times New Roman"/>
          <w:sz w:val="24"/>
          <w:szCs w:val="24"/>
        </w:rPr>
        <w:t xml:space="preserve">Professor </w:t>
      </w:r>
      <w:r w:rsidRPr="00A227A2">
        <w:rPr>
          <w:rFonts w:ascii="Times New Roman" w:hAnsi="Times New Roman" w:cs="Times New Roman"/>
          <w:sz w:val="24"/>
          <w:szCs w:val="24"/>
        </w:rPr>
        <w:t>John Innes</w:t>
      </w:r>
      <w:r>
        <w:rPr>
          <w:rFonts w:ascii="Times New Roman" w:hAnsi="Times New Roman" w:cs="Times New Roman"/>
          <w:sz w:val="24"/>
          <w:szCs w:val="24"/>
        </w:rPr>
        <w:t xml:space="preserve"> (FRCP)</w:t>
      </w:r>
      <w:r w:rsidRPr="00A227A2">
        <w:rPr>
          <w:rFonts w:ascii="Times New Roman" w:hAnsi="Times New Roman" w:cs="Times New Roman"/>
          <w:sz w:val="24"/>
          <w:szCs w:val="24"/>
        </w:rPr>
        <w:t>,</w:t>
      </w:r>
      <w:r w:rsidR="00624034">
        <w:rPr>
          <w:rFonts w:ascii="Times New Roman" w:hAnsi="Times New Roman" w:cs="Times New Roman"/>
          <w:sz w:val="24"/>
          <w:szCs w:val="24"/>
          <w:vertAlign w:val="superscript"/>
        </w:rPr>
        <w:t>6</w:t>
      </w:r>
      <w:r>
        <w:t xml:space="preserve"> </w:t>
      </w:r>
      <w:r w:rsidR="00A267F0" w:rsidRPr="005222E3">
        <w:rPr>
          <w:rFonts w:ascii="Times New Roman" w:hAnsi="Times New Roman" w:cs="Times New Roman"/>
          <w:sz w:val="24"/>
        </w:rPr>
        <w:t xml:space="preserve">Professor </w:t>
      </w:r>
      <w:r w:rsidRPr="00BC71DE">
        <w:rPr>
          <w:rFonts w:ascii="Times New Roman" w:hAnsi="Times New Roman" w:cs="Times New Roman"/>
          <w:sz w:val="24"/>
          <w:szCs w:val="24"/>
        </w:rPr>
        <w:t>Graham Cooke</w:t>
      </w:r>
      <w:r>
        <w:rPr>
          <w:rFonts w:ascii="Times New Roman" w:hAnsi="Times New Roman" w:cs="Times New Roman"/>
          <w:sz w:val="24"/>
          <w:szCs w:val="24"/>
        </w:rPr>
        <w:t xml:space="preserve"> (DPhil),</w:t>
      </w:r>
      <w:r w:rsidR="00624034">
        <w:rPr>
          <w:rFonts w:ascii="Times New Roman" w:hAnsi="Times New Roman" w:cs="Times New Roman"/>
          <w:sz w:val="24"/>
          <w:szCs w:val="24"/>
          <w:vertAlign w:val="superscript"/>
        </w:rPr>
        <w:t>7</w:t>
      </w:r>
      <w:r w:rsidRPr="00BC71DE">
        <w:rPr>
          <w:rFonts w:ascii="Times New Roman" w:hAnsi="Times New Roman" w:cs="Times New Roman"/>
          <w:sz w:val="24"/>
          <w:szCs w:val="24"/>
        </w:rPr>
        <w:t xml:space="preserve"> Marc Lipman</w:t>
      </w:r>
      <w:r>
        <w:rPr>
          <w:rFonts w:ascii="Times New Roman" w:hAnsi="Times New Roman" w:cs="Times New Roman"/>
          <w:sz w:val="24"/>
          <w:szCs w:val="24"/>
        </w:rPr>
        <w:t xml:space="preserve"> (MD),</w:t>
      </w:r>
      <w:r w:rsidR="00624034">
        <w:rPr>
          <w:rFonts w:ascii="Times New Roman" w:hAnsi="Times New Roman" w:cs="Times New Roman"/>
          <w:sz w:val="24"/>
          <w:szCs w:val="24"/>
          <w:vertAlign w:val="superscript"/>
        </w:rPr>
        <w:t>8,9</w:t>
      </w:r>
      <w:r>
        <w:rPr>
          <w:rFonts w:ascii="Times New Roman" w:hAnsi="Times New Roman" w:cs="Times New Roman"/>
          <w:sz w:val="24"/>
          <w:szCs w:val="24"/>
        </w:rPr>
        <w:t xml:space="preserve"> </w:t>
      </w:r>
      <w:r w:rsidR="00A267F0">
        <w:rPr>
          <w:rFonts w:ascii="Times New Roman" w:hAnsi="Times New Roman" w:cs="Times New Roman"/>
          <w:sz w:val="24"/>
          <w:szCs w:val="24"/>
        </w:rPr>
        <w:t xml:space="preserve">Professor </w:t>
      </w:r>
      <w:r w:rsidRPr="00BC71DE">
        <w:rPr>
          <w:rFonts w:ascii="Times New Roman" w:hAnsi="Times New Roman" w:cs="Times New Roman"/>
          <w:sz w:val="24"/>
          <w:szCs w:val="24"/>
        </w:rPr>
        <w:t>Christopher Conlon</w:t>
      </w:r>
      <w:r>
        <w:rPr>
          <w:rFonts w:ascii="Times New Roman" w:hAnsi="Times New Roman" w:cs="Times New Roman"/>
          <w:sz w:val="24"/>
          <w:szCs w:val="24"/>
        </w:rPr>
        <w:t xml:space="preserve"> (MD)</w:t>
      </w:r>
      <w:r w:rsidRPr="00BC71DE">
        <w:rPr>
          <w:rFonts w:ascii="Times New Roman" w:hAnsi="Times New Roman" w:cs="Times New Roman"/>
          <w:sz w:val="24"/>
          <w:szCs w:val="24"/>
        </w:rPr>
        <w:t>,</w:t>
      </w:r>
      <w:r w:rsidR="00624034">
        <w:rPr>
          <w:rFonts w:ascii="Times New Roman" w:hAnsi="Times New Roman" w:cs="Times New Roman"/>
          <w:sz w:val="24"/>
          <w:szCs w:val="24"/>
          <w:vertAlign w:val="superscript"/>
        </w:rPr>
        <w:t>10</w:t>
      </w:r>
      <w:r w:rsidRPr="00BC71DE">
        <w:rPr>
          <w:rFonts w:ascii="Times New Roman" w:hAnsi="Times New Roman" w:cs="Times New Roman"/>
          <w:sz w:val="24"/>
          <w:szCs w:val="24"/>
        </w:rPr>
        <w:t xml:space="preserve"> </w:t>
      </w:r>
      <w:r w:rsidR="00A267F0">
        <w:rPr>
          <w:rFonts w:ascii="Times New Roman" w:hAnsi="Times New Roman" w:cs="Times New Roman"/>
          <w:sz w:val="24"/>
          <w:szCs w:val="24"/>
        </w:rPr>
        <w:t xml:space="preserve">Professor </w:t>
      </w:r>
      <w:r w:rsidRPr="00BC71DE">
        <w:rPr>
          <w:rFonts w:ascii="Times New Roman" w:hAnsi="Times New Roman" w:cs="Times New Roman"/>
          <w:sz w:val="24"/>
          <w:szCs w:val="24"/>
        </w:rPr>
        <w:t>Derek Macallan</w:t>
      </w:r>
      <w:r>
        <w:rPr>
          <w:rFonts w:ascii="Times New Roman" w:hAnsi="Times New Roman" w:cs="Times New Roman"/>
          <w:sz w:val="24"/>
          <w:szCs w:val="24"/>
        </w:rPr>
        <w:t xml:space="preserve"> (PhD),</w:t>
      </w:r>
      <w:r>
        <w:rPr>
          <w:rFonts w:ascii="Times New Roman" w:hAnsi="Times New Roman" w:cs="Times New Roman"/>
          <w:sz w:val="24"/>
          <w:szCs w:val="24"/>
          <w:vertAlign w:val="superscript"/>
        </w:rPr>
        <w:t>1</w:t>
      </w:r>
      <w:r w:rsidR="00624034">
        <w:rPr>
          <w:rFonts w:ascii="Times New Roman" w:hAnsi="Times New Roman" w:cs="Times New Roman"/>
          <w:sz w:val="24"/>
          <w:szCs w:val="24"/>
          <w:vertAlign w:val="superscript"/>
        </w:rPr>
        <w:t>1</w:t>
      </w:r>
      <w:r w:rsidR="005E2B94">
        <w:rPr>
          <w:rFonts w:ascii="Times New Roman" w:hAnsi="Times New Roman" w:cs="Times New Roman"/>
          <w:sz w:val="24"/>
          <w:szCs w:val="24"/>
          <w:vertAlign w:val="superscript"/>
        </w:rPr>
        <w:t xml:space="preserve"> </w:t>
      </w:r>
      <w:r>
        <w:rPr>
          <w:rFonts w:ascii="Times New Roman" w:hAnsi="Times New Roman" w:cs="Times New Roman"/>
          <w:sz w:val="24"/>
          <w:szCs w:val="24"/>
        </w:rPr>
        <w:t>Felix Chua (PhD),</w:t>
      </w:r>
      <w:r>
        <w:rPr>
          <w:rFonts w:ascii="Times New Roman" w:hAnsi="Times New Roman" w:cs="Times New Roman"/>
          <w:sz w:val="24"/>
          <w:szCs w:val="24"/>
          <w:vertAlign w:val="superscript"/>
        </w:rPr>
        <w:t>1</w:t>
      </w:r>
      <w:r w:rsidR="00624034">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2F0796">
        <w:rPr>
          <w:rFonts w:ascii="Times New Roman" w:hAnsi="Times New Roman" w:cs="Times New Roman"/>
          <w:sz w:val="24"/>
          <w:szCs w:val="24"/>
        </w:rPr>
        <w:t xml:space="preserve">Professor </w:t>
      </w:r>
      <w:r w:rsidRPr="00BC71DE">
        <w:rPr>
          <w:rFonts w:ascii="Times New Roman" w:hAnsi="Times New Roman" w:cs="Times New Roman"/>
          <w:sz w:val="24"/>
          <w:szCs w:val="24"/>
        </w:rPr>
        <w:t>Frank Post</w:t>
      </w:r>
      <w:r>
        <w:rPr>
          <w:rFonts w:ascii="Times New Roman" w:hAnsi="Times New Roman" w:cs="Times New Roman"/>
          <w:sz w:val="24"/>
          <w:szCs w:val="24"/>
        </w:rPr>
        <w:t xml:space="preserve"> (PhD),</w:t>
      </w:r>
      <w:r>
        <w:rPr>
          <w:rFonts w:ascii="Times New Roman" w:hAnsi="Times New Roman" w:cs="Times New Roman"/>
          <w:sz w:val="24"/>
          <w:szCs w:val="24"/>
          <w:vertAlign w:val="superscript"/>
        </w:rPr>
        <w:t>1</w:t>
      </w:r>
      <w:r w:rsidR="00624034">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00A267F0">
        <w:rPr>
          <w:rFonts w:ascii="Times New Roman" w:hAnsi="Times New Roman" w:cs="Times New Roman"/>
          <w:sz w:val="24"/>
          <w:szCs w:val="24"/>
        </w:rPr>
        <w:t xml:space="preserve">Professor </w:t>
      </w:r>
      <w:r w:rsidRPr="00BC71DE">
        <w:rPr>
          <w:rFonts w:ascii="Times New Roman" w:hAnsi="Times New Roman" w:cs="Times New Roman"/>
          <w:sz w:val="24"/>
          <w:szCs w:val="24"/>
        </w:rPr>
        <w:t>Martin Wiselka</w:t>
      </w:r>
      <w:r>
        <w:rPr>
          <w:rFonts w:ascii="Times New Roman" w:hAnsi="Times New Roman" w:cs="Times New Roman"/>
          <w:sz w:val="24"/>
          <w:szCs w:val="24"/>
        </w:rPr>
        <w:t xml:space="preserve"> (PhD),</w:t>
      </w:r>
      <w:r>
        <w:rPr>
          <w:rFonts w:ascii="Times New Roman" w:hAnsi="Times New Roman" w:cs="Times New Roman"/>
          <w:sz w:val="24"/>
          <w:szCs w:val="24"/>
          <w:vertAlign w:val="superscript"/>
        </w:rPr>
        <w:t>1</w:t>
      </w:r>
      <w:r w:rsidR="00624034">
        <w:rPr>
          <w:rFonts w:ascii="Times New Roman" w:hAnsi="Times New Roman" w:cs="Times New Roman"/>
          <w:sz w:val="24"/>
          <w:szCs w:val="24"/>
          <w:vertAlign w:val="superscript"/>
        </w:rPr>
        <w:t>3</w:t>
      </w:r>
      <w:r w:rsidRPr="00957E32">
        <w:rPr>
          <w:rFonts w:ascii="Times New Roman" w:hAnsi="Times New Roman" w:cs="Times New Roman"/>
          <w:sz w:val="24"/>
          <w:szCs w:val="24"/>
        </w:rPr>
        <w:t xml:space="preserve"> </w:t>
      </w:r>
      <w:r w:rsidR="00A54513">
        <w:rPr>
          <w:rFonts w:ascii="Times New Roman" w:hAnsi="Times New Roman" w:cs="Times New Roman"/>
          <w:sz w:val="24"/>
          <w:szCs w:val="24"/>
        </w:rPr>
        <w:t>Gerrit Woltmann</w:t>
      </w:r>
      <w:r w:rsidR="00A42A06">
        <w:rPr>
          <w:rFonts w:ascii="Times New Roman" w:hAnsi="Times New Roman" w:cs="Times New Roman"/>
          <w:sz w:val="24"/>
          <w:szCs w:val="24"/>
        </w:rPr>
        <w:t xml:space="preserve"> (MD)</w:t>
      </w:r>
      <w:r w:rsidR="00A54513">
        <w:rPr>
          <w:rFonts w:ascii="Times New Roman" w:hAnsi="Times New Roman" w:cs="Times New Roman"/>
          <w:sz w:val="24"/>
          <w:szCs w:val="24"/>
        </w:rPr>
        <w:t>,</w:t>
      </w:r>
      <w:r w:rsidR="00A42A06" w:rsidRPr="001A64BE">
        <w:rPr>
          <w:rFonts w:ascii="Times New Roman" w:hAnsi="Times New Roman" w:cs="Times New Roman"/>
          <w:sz w:val="24"/>
          <w:szCs w:val="24"/>
          <w:vertAlign w:val="superscript"/>
        </w:rPr>
        <w:t>1</w:t>
      </w:r>
      <w:r w:rsidR="00624034">
        <w:rPr>
          <w:rFonts w:ascii="Times New Roman" w:hAnsi="Times New Roman" w:cs="Times New Roman"/>
          <w:sz w:val="24"/>
          <w:szCs w:val="24"/>
          <w:vertAlign w:val="superscript"/>
        </w:rPr>
        <w:t>4</w:t>
      </w:r>
      <w:r w:rsidR="00A54513">
        <w:rPr>
          <w:rFonts w:ascii="Times New Roman" w:hAnsi="Times New Roman" w:cs="Times New Roman"/>
          <w:sz w:val="24"/>
          <w:szCs w:val="24"/>
        </w:rPr>
        <w:t xml:space="preserve"> </w:t>
      </w:r>
      <w:r w:rsidR="002F0796">
        <w:rPr>
          <w:rFonts w:ascii="Times New Roman" w:hAnsi="Times New Roman" w:cs="Times New Roman"/>
          <w:sz w:val="24"/>
          <w:szCs w:val="24"/>
        </w:rPr>
        <w:t xml:space="preserve">Professor </w:t>
      </w:r>
      <w:r w:rsidRPr="00957E32">
        <w:rPr>
          <w:rFonts w:ascii="Times New Roman" w:hAnsi="Times New Roman" w:cs="Times New Roman"/>
          <w:sz w:val="24"/>
          <w:szCs w:val="24"/>
        </w:rPr>
        <w:t>Jon</w:t>
      </w:r>
      <w:r>
        <w:rPr>
          <w:rFonts w:ascii="Times New Roman" w:hAnsi="Times New Roman" w:cs="Times New Roman"/>
          <w:sz w:val="24"/>
          <w:szCs w:val="24"/>
        </w:rPr>
        <w:t>ath</w:t>
      </w:r>
      <w:r w:rsidR="004C52A5">
        <w:rPr>
          <w:rFonts w:ascii="Times New Roman" w:hAnsi="Times New Roman" w:cs="Times New Roman"/>
          <w:sz w:val="24"/>
          <w:szCs w:val="24"/>
        </w:rPr>
        <w:t>a</w:t>
      </w:r>
      <w:r>
        <w:rPr>
          <w:rFonts w:ascii="Times New Roman" w:hAnsi="Times New Roman" w:cs="Times New Roman"/>
          <w:sz w:val="24"/>
          <w:szCs w:val="24"/>
        </w:rPr>
        <w:t>n J</w:t>
      </w:r>
      <w:r w:rsidRPr="00957E32">
        <w:rPr>
          <w:rFonts w:ascii="Times New Roman" w:hAnsi="Times New Roman" w:cs="Times New Roman"/>
          <w:sz w:val="24"/>
          <w:szCs w:val="24"/>
        </w:rPr>
        <w:t xml:space="preserve"> Deeks</w:t>
      </w:r>
      <w:r>
        <w:rPr>
          <w:rFonts w:ascii="Times New Roman" w:hAnsi="Times New Roman" w:cs="Times New Roman"/>
          <w:sz w:val="24"/>
          <w:szCs w:val="24"/>
        </w:rPr>
        <w:t xml:space="preserve"> (PhD),</w:t>
      </w:r>
      <w:r>
        <w:rPr>
          <w:rFonts w:ascii="Times New Roman" w:hAnsi="Times New Roman" w:cs="Times New Roman"/>
          <w:sz w:val="24"/>
          <w:szCs w:val="24"/>
          <w:vertAlign w:val="superscript"/>
        </w:rPr>
        <w:t>4</w:t>
      </w:r>
      <w:r w:rsidRPr="00957E32">
        <w:rPr>
          <w:rFonts w:ascii="Times New Roman" w:hAnsi="Times New Roman" w:cs="Times New Roman"/>
          <w:sz w:val="24"/>
          <w:szCs w:val="24"/>
        </w:rPr>
        <w:t xml:space="preserve"> </w:t>
      </w:r>
      <w:r w:rsidR="00A267F0">
        <w:rPr>
          <w:rFonts w:ascii="Times New Roman" w:hAnsi="Times New Roman" w:cs="Times New Roman"/>
          <w:sz w:val="24"/>
          <w:szCs w:val="24"/>
        </w:rPr>
        <w:t xml:space="preserve">Professor </w:t>
      </w:r>
      <w:r w:rsidRPr="00957E32">
        <w:rPr>
          <w:rFonts w:ascii="Times New Roman" w:hAnsi="Times New Roman" w:cs="Times New Roman"/>
          <w:sz w:val="24"/>
          <w:szCs w:val="24"/>
        </w:rPr>
        <w:t>Onn Min Kon</w:t>
      </w:r>
      <w:r>
        <w:rPr>
          <w:rFonts w:ascii="Times New Roman" w:hAnsi="Times New Roman" w:cs="Times New Roman"/>
          <w:sz w:val="24"/>
          <w:szCs w:val="24"/>
        </w:rPr>
        <w:t xml:space="preserve"> (MD)</w:t>
      </w:r>
      <w:r w:rsidRPr="00957E32">
        <w:rPr>
          <w:rFonts w:ascii="Times New Roman" w:hAnsi="Times New Roman" w:cs="Times New Roman"/>
          <w:sz w:val="24"/>
          <w:szCs w:val="24"/>
          <w:vertAlign w:val="superscript"/>
        </w:rPr>
        <w:t>#1,</w:t>
      </w:r>
      <w:r>
        <w:rPr>
          <w:rFonts w:ascii="Times New Roman" w:hAnsi="Times New Roman" w:cs="Times New Roman"/>
          <w:sz w:val="24"/>
          <w:szCs w:val="24"/>
          <w:vertAlign w:val="superscript"/>
        </w:rPr>
        <w:t>3</w:t>
      </w:r>
      <w:r w:rsidRPr="00957E32">
        <w:rPr>
          <w:rFonts w:ascii="Times New Roman" w:hAnsi="Times New Roman" w:cs="Times New Roman"/>
          <w:sz w:val="24"/>
          <w:szCs w:val="24"/>
          <w:vertAlign w:val="superscript"/>
        </w:rPr>
        <w:t>,</w:t>
      </w:r>
      <w:r w:rsidR="00624034">
        <w:rPr>
          <w:rFonts w:ascii="Times New Roman" w:hAnsi="Times New Roman" w:cs="Times New Roman"/>
          <w:sz w:val="24"/>
          <w:szCs w:val="24"/>
          <w:vertAlign w:val="superscript"/>
        </w:rPr>
        <w:t>7</w:t>
      </w:r>
      <w:r w:rsidRPr="00957E32">
        <w:rPr>
          <w:rFonts w:ascii="Times New Roman" w:hAnsi="Times New Roman" w:cs="Times New Roman"/>
          <w:sz w:val="24"/>
          <w:szCs w:val="24"/>
        </w:rPr>
        <w:t xml:space="preserve"> and </w:t>
      </w:r>
      <w:r w:rsidR="002F0796">
        <w:rPr>
          <w:rFonts w:ascii="Times New Roman" w:hAnsi="Times New Roman" w:cs="Times New Roman"/>
          <w:sz w:val="24"/>
          <w:szCs w:val="24"/>
        </w:rPr>
        <w:t xml:space="preserve">Professor </w:t>
      </w:r>
      <w:r w:rsidRPr="00957E32">
        <w:rPr>
          <w:rFonts w:ascii="Times New Roman" w:hAnsi="Times New Roman" w:cs="Times New Roman"/>
          <w:sz w:val="24"/>
          <w:szCs w:val="24"/>
        </w:rPr>
        <w:t>Ajit Lalvani</w:t>
      </w:r>
      <w:r>
        <w:rPr>
          <w:rFonts w:ascii="Times New Roman" w:hAnsi="Times New Roman" w:cs="Times New Roman"/>
          <w:sz w:val="24"/>
          <w:szCs w:val="24"/>
        </w:rPr>
        <w:t xml:space="preserve"> (DM)</w:t>
      </w:r>
      <w:r w:rsidRPr="00957E32">
        <w:rPr>
          <w:rFonts w:ascii="Times New Roman" w:hAnsi="Times New Roman" w:cs="Times New Roman"/>
          <w:sz w:val="24"/>
          <w:szCs w:val="24"/>
          <w:vertAlign w:val="superscript"/>
        </w:rPr>
        <w:t>#1,</w:t>
      </w:r>
      <w:r>
        <w:rPr>
          <w:rFonts w:ascii="Times New Roman" w:hAnsi="Times New Roman" w:cs="Times New Roman"/>
          <w:sz w:val="24"/>
          <w:szCs w:val="24"/>
          <w:vertAlign w:val="superscript"/>
        </w:rPr>
        <w:t>3</w:t>
      </w:r>
      <w:r w:rsidRPr="00957E32">
        <w:rPr>
          <w:rFonts w:ascii="Times New Roman" w:hAnsi="Times New Roman" w:cs="Times New Roman"/>
          <w:sz w:val="24"/>
          <w:szCs w:val="24"/>
        </w:rPr>
        <w:t xml:space="preserve"> on behalf of the IGRAs for Diagnostic Evaluation of Active TB (IDEA) Study Group</w:t>
      </w:r>
      <w:r>
        <w:rPr>
          <w:rFonts w:ascii="Times New Roman" w:hAnsi="Times New Roman" w:cs="Times New Roman"/>
          <w:sz w:val="24"/>
          <w:szCs w:val="24"/>
        </w:rPr>
        <w:t>.</w:t>
      </w:r>
    </w:p>
    <w:p w14:paraId="68006885" w14:textId="77777777" w:rsidR="00F877AE" w:rsidRDefault="00F877AE" w:rsidP="001435B0">
      <w:pPr>
        <w:spacing w:after="0" w:line="480" w:lineRule="auto"/>
        <w:jc w:val="both"/>
        <w:rPr>
          <w:rFonts w:ascii="Times New Roman" w:hAnsi="Times New Roman" w:cs="Times New Roman"/>
          <w:sz w:val="24"/>
          <w:szCs w:val="24"/>
          <w:vertAlign w:val="superscript"/>
        </w:rPr>
      </w:pPr>
    </w:p>
    <w:p w14:paraId="72B6A462" w14:textId="77777777" w:rsidR="00F877AE" w:rsidRDefault="00F877AE" w:rsidP="001435B0">
      <w:pPr>
        <w:spacing w:after="0" w:line="480" w:lineRule="auto"/>
        <w:jc w:val="both"/>
        <w:rPr>
          <w:rFonts w:ascii="Times New Roman" w:hAnsi="Times New Roman" w:cs="Times New Roman"/>
          <w:sz w:val="24"/>
          <w:szCs w:val="24"/>
        </w:rPr>
      </w:pPr>
      <w:r w:rsidRPr="001B1048">
        <w:rPr>
          <w:rFonts w:ascii="Times New Roman" w:hAnsi="Times New Roman" w:cs="Times New Roman"/>
          <w:sz w:val="24"/>
          <w:szCs w:val="24"/>
          <w:vertAlign w:val="superscript"/>
        </w:rPr>
        <w:t>1</w:t>
      </w:r>
      <w:r w:rsidRPr="00504A04">
        <w:rPr>
          <w:rFonts w:ascii="Times New Roman" w:hAnsi="Times New Roman" w:cs="Times New Roman"/>
          <w:sz w:val="24"/>
          <w:szCs w:val="24"/>
        </w:rPr>
        <w:t>Tuberculosis Research Centre,</w:t>
      </w:r>
      <w:r>
        <w:rPr>
          <w:rFonts w:ascii="Times New Roman" w:hAnsi="Times New Roman" w:cs="Times New Roman"/>
          <w:sz w:val="24"/>
          <w:szCs w:val="24"/>
        </w:rPr>
        <w:t xml:space="preserve"> </w:t>
      </w:r>
      <w:r w:rsidRPr="00504A04">
        <w:rPr>
          <w:rFonts w:ascii="Times New Roman" w:hAnsi="Times New Roman" w:cs="Times New Roman"/>
          <w:sz w:val="24"/>
          <w:szCs w:val="24"/>
        </w:rPr>
        <w:t>National Heart and Lung Institute,</w:t>
      </w:r>
      <w:r>
        <w:rPr>
          <w:rFonts w:ascii="Times New Roman" w:hAnsi="Times New Roman" w:cs="Times New Roman"/>
          <w:sz w:val="24"/>
          <w:szCs w:val="24"/>
        </w:rPr>
        <w:t xml:space="preserve"> I</w:t>
      </w:r>
      <w:r w:rsidRPr="00504A04">
        <w:rPr>
          <w:rFonts w:ascii="Times New Roman" w:hAnsi="Times New Roman" w:cs="Times New Roman"/>
          <w:sz w:val="24"/>
          <w:szCs w:val="24"/>
        </w:rPr>
        <w:t>mperial College London,</w:t>
      </w:r>
      <w:r>
        <w:rPr>
          <w:rFonts w:ascii="Times New Roman" w:hAnsi="Times New Roman" w:cs="Times New Roman"/>
          <w:sz w:val="24"/>
          <w:szCs w:val="24"/>
        </w:rPr>
        <w:t xml:space="preserve"> </w:t>
      </w:r>
      <w:r w:rsidRPr="00504A04">
        <w:rPr>
          <w:rFonts w:ascii="Times New Roman" w:hAnsi="Times New Roman" w:cs="Times New Roman"/>
          <w:sz w:val="24"/>
          <w:szCs w:val="24"/>
        </w:rPr>
        <w:t>St Mary's Campus,</w:t>
      </w:r>
      <w:r>
        <w:rPr>
          <w:rFonts w:ascii="Times New Roman" w:hAnsi="Times New Roman" w:cs="Times New Roman"/>
          <w:sz w:val="24"/>
          <w:szCs w:val="24"/>
        </w:rPr>
        <w:t xml:space="preserve"> </w:t>
      </w:r>
      <w:r w:rsidRPr="00504A04">
        <w:rPr>
          <w:rFonts w:ascii="Times New Roman" w:hAnsi="Times New Roman" w:cs="Times New Roman"/>
          <w:sz w:val="24"/>
          <w:szCs w:val="24"/>
        </w:rPr>
        <w:t>Norfolk Place, London W2 1PG</w:t>
      </w:r>
      <w:r>
        <w:rPr>
          <w:rFonts w:ascii="Times New Roman" w:hAnsi="Times New Roman" w:cs="Times New Roman"/>
          <w:sz w:val="24"/>
          <w:szCs w:val="24"/>
        </w:rPr>
        <w:t>.</w:t>
      </w:r>
    </w:p>
    <w:p w14:paraId="63CD3D49" w14:textId="77777777" w:rsidR="00F877AE" w:rsidRPr="001B1048" w:rsidRDefault="00F877AE" w:rsidP="001435B0">
      <w:pPr>
        <w:spacing w:after="0" w:line="480" w:lineRule="auto"/>
        <w:jc w:val="both"/>
        <w:rPr>
          <w:rFonts w:ascii="Times New Roman" w:hAnsi="Times New Roman" w:cs="Times New Roman"/>
          <w:sz w:val="24"/>
          <w:szCs w:val="24"/>
        </w:rPr>
      </w:pPr>
      <w:r w:rsidRPr="001B1048">
        <w:rPr>
          <w:rFonts w:ascii="Times New Roman" w:hAnsi="Times New Roman" w:cs="Times New Roman"/>
          <w:sz w:val="24"/>
          <w:szCs w:val="24"/>
          <w:vertAlign w:val="superscript"/>
        </w:rPr>
        <w:t>2</w:t>
      </w:r>
      <w:r w:rsidRPr="001B1048">
        <w:rPr>
          <w:rFonts w:ascii="Times New Roman" w:hAnsi="Times New Roman" w:cs="Times New Roman"/>
          <w:sz w:val="24"/>
          <w:szCs w:val="24"/>
        </w:rPr>
        <w:t xml:space="preserve">Department of Clinical Research, London School of Hygiene and Tropical Medicine, </w:t>
      </w:r>
      <w:r>
        <w:rPr>
          <w:rFonts w:ascii="Times New Roman" w:hAnsi="Times New Roman" w:cs="Times New Roman"/>
          <w:sz w:val="24"/>
          <w:szCs w:val="24"/>
        </w:rPr>
        <w:t xml:space="preserve">Keppel Street, </w:t>
      </w:r>
      <w:r w:rsidRPr="001B1048">
        <w:rPr>
          <w:rFonts w:ascii="Times New Roman" w:hAnsi="Times New Roman" w:cs="Times New Roman"/>
          <w:sz w:val="24"/>
          <w:szCs w:val="24"/>
        </w:rPr>
        <w:t>London</w:t>
      </w:r>
      <w:r>
        <w:rPr>
          <w:rFonts w:ascii="Times New Roman" w:hAnsi="Times New Roman" w:cs="Times New Roman"/>
          <w:sz w:val="24"/>
          <w:szCs w:val="24"/>
        </w:rPr>
        <w:t xml:space="preserve"> WC1E 7HT.</w:t>
      </w:r>
    </w:p>
    <w:p w14:paraId="53B4F2C2" w14:textId="77777777" w:rsidR="00F877AE" w:rsidRPr="00624034" w:rsidRDefault="00F877AE" w:rsidP="001435B0">
      <w:pPr>
        <w:spacing w:after="0" w:line="48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3</w:t>
      </w:r>
      <w:r w:rsidRPr="001B1048">
        <w:rPr>
          <w:rFonts w:ascii="Times New Roman" w:hAnsi="Times New Roman" w:cs="Times New Roman"/>
          <w:sz w:val="24"/>
          <w:szCs w:val="24"/>
        </w:rPr>
        <w:t>NIHR Health Protection Research Unit in Respiratory Infections, Imperial College London</w:t>
      </w:r>
      <w:r>
        <w:rPr>
          <w:rFonts w:ascii="Times New Roman" w:hAnsi="Times New Roman" w:cs="Times New Roman"/>
          <w:sz w:val="24"/>
          <w:szCs w:val="24"/>
        </w:rPr>
        <w:t xml:space="preserve">, </w:t>
      </w:r>
      <w:r w:rsidRPr="00504A04">
        <w:rPr>
          <w:rFonts w:ascii="Times New Roman" w:hAnsi="Times New Roman" w:cs="Times New Roman"/>
          <w:sz w:val="24"/>
          <w:szCs w:val="24"/>
        </w:rPr>
        <w:t xml:space="preserve">St Mary's </w:t>
      </w:r>
      <w:r w:rsidRPr="00624034">
        <w:rPr>
          <w:rFonts w:ascii="Times New Roman" w:hAnsi="Times New Roman" w:cs="Times New Roman"/>
          <w:sz w:val="24"/>
          <w:szCs w:val="24"/>
        </w:rPr>
        <w:t>Campus, Norfolk Place, London W2 1PG.</w:t>
      </w:r>
    </w:p>
    <w:p w14:paraId="5FD1E320" w14:textId="359628F8" w:rsidR="00F877AE" w:rsidRPr="00F473F5" w:rsidRDefault="00F877AE" w:rsidP="001435B0">
      <w:pPr>
        <w:spacing w:after="0" w:line="480" w:lineRule="auto"/>
        <w:jc w:val="both"/>
        <w:rPr>
          <w:rFonts w:ascii="Times New Roman" w:hAnsi="Times New Roman" w:cs="Times New Roman"/>
          <w:sz w:val="24"/>
          <w:szCs w:val="24"/>
        </w:rPr>
      </w:pPr>
      <w:r w:rsidRPr="00BC08CC">
        <w:rPr>
          <w:rFonts w:ascii="Times New Roman" w:hAnsi="Times New Roman" w:cs="Times New Roman"/>
          <w:sz w:val="24"/>
          <w:szCs w:val="24"/>
          <w:vertAlign w:val="superscript"/>
        </w:rPr>
        <w:t>4</w:t>
      </w:r>
      <w:r w:rsidRPr="00C07546">
        <w:rPr>
          <w:rFonts w:ascii="Times New Roman" w:hAnsi="Times New Roman" w:cs="Times New Roman"/>
          <w:sz w:val="24"/>
          <w:szCs w:val="24"/>
        </w:rPr>
        <w:t xml:space="preserve">Institute of Applied Health Research, </w:t>
      </w:r>
      <w:r w:rsidRPr="00F473F5">
        <w:rPr>
          <w:rFonts w:ascii="Times New Roman" w:hAnsi="Times New Roman" w:cs="Times New Roman"/>
          <w:sz w:val="24"/>
          <w:szCs w:val="24"/>
        </w:rPr>
        <w:t>Public Health Building, University of Birmingham, Birmingham B15 2TT</w:t>
      </w:r>
      <w:r w:rsidR="00F473F5">
        <w:rPr>
          <w:rFonts w:ascii="Times New Roman" w:hAnsi="Times New Roman" w:cs="Times New Roman"/>
          <w:sz w:val="24"/>
          <w:szCs w:val="24"/>
        </w:rPr>
        <w:t>.</w:t>
      </w:r>
    </w:p>
    <w:p w14:paraId="34B7B4AC" w14:textId="6558BAD5" w:rsidR="00624034" w:rsidRPr="00624034" w:rsidRDefault="00624034" w:rsidP="001435B0">
      <w:pPr>
        <w:spacing w:after="0" w:line="480" w:lineRule="auto"/>
        <w:jc w:val="both"/>
        <w:rPr>
          <w:rFonts w:ascii="Times New Roman" w:hAnsi="Times New Roman" w:cs="Times New Roman"/>
          <w:sz w:val="24"/>
          <w:szCs w:val="24"/>
        </w:rPr>
      </w:pPr>
      <w:r w:rsidRPr="00624034">
        <w:rPr>
          <w:rFonts w:ascii="Times New Roman" w:hAnsi="Times New Roman" w:cs="Times New Roman"/>
          <w:sz w:val="24"/>
          <w:szCs w:val="24"/>
          <w:vertAlign w:val="superscript"/>
        </w:rPr>
        <w:t>5</w:t>
      </w:r>
      <w:r w:rsidRPr="00624034">
        <w:rPr>
          <w:rFonts w:ascii="Times New Roman" w:hAnsi="Times New Roman" w:cs="Times New Roman"/>
          <w:sz w:val="24"/>
          <w:szCs w:val="24"/>
        </w:rPr>
        <w:t>Centre for Health Services Studies, University of Kent, Canterbury, CT2 7NZ</w:t>
      </w:r>
      <w:r>
        <w:rPr>
          <w:rFonts w:ascii="Times New Roman" w:hAnsi="Times New Roman" w:cs="Times New Roman"/>
          <w:sz w:val="24"/>
          <w:szCs w:val="24"/>
        </w:rPr>
        <w:t>.</w:t>
      </w:r>
    </w:p>
    <w:p w14:paraId="12033CFC" w14:textId="7C1F13BD" w:rsidR="00F877AE" w:rsidRPr="00624034" w:rsidRDefault="00624034" w:rsidP="001435B0">
      <w:pPr>
        <w:spacing w:after="0"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6</w:t>
      </w:r>
      <w:r w:rsidR="00F877AE" w:rsidRPr="00624034">
        <w:rPr>
          <w:rFonts w:ascii="Times New Roman" w:hAnsi="Times New Roman" w:cs="Times New Roman"/>
          <w:sz w:val="24"/>
          <w:szCs w:val="24"/>
        </w:rPr>
        <w:t>Heart of England NHS Foundation Trust. Bordesley Green East, Birmingham B9 5SS.</w:t>
      </w:r>
    </w:p>
    <w:p w14:paraId="21475AC7" w14:textId="4F45276E" w:rsidR="00F877AE" w:rsidRPr="00B25A35" w:rsidRDefault="00624034" w:rsidP="001435B0">
      <w:pPr>
        <w:spacing w:after="0"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7</w:t>
      </w:r>
      <w:r w:rsidR="00F877AE" w:rsidRPr="00624034">
        <w:rPr>
          <w:rFonts w:ascii="Times New Roman" w:hAnsi="Times New Roman" w:cs="Times New Roman"/>
          <w:sz w:val="24"/>
          <w:szCs w:val="24"/>
        </w:rPr>
        <w:t>St Mary’s Hospital, Imperial</w:t>
      </w:r>
      <w:r w:rsidR="00F877AE" w:rsidRPr="00B25A35">
        <w:rPr>
          <w:rFonts w:ascii="Times New Roman" w:hAnsi="Times New Roman" w:cs="Times New Roman"/>
          <w:sz w:val="24"/>
          <w:szCs w:val="24"/>
        </w:rPr>
        <w:t xml:space="preserve"> College Healthcare Trust, </w:t>
      </w:r>
      <w:proofErr w:type="spellStart"/>
      <w:r w:rsidR="00F877AE">
        <w:rPr>
          <w:rFonts w:ascii="Times New Roman" w:hAnsi="Times New Roman" w:cs="Times New Roman"/>
          <w:sz w:val="24"/>
          <w:szCs w:val="24"/>
        </w:rPr>
        <w:t>Praed</w:t>
      </w:r>
      <w:proofErr w:type="spellEnd"/>
      <w:r w:rsidR="00F877AE">
        <w:rPr>
          <w:rFonts w:ascii="Times New Roman" w:hAnsi="Times New Roman" w:cs="Times New Roman"/>
          <w:sz w:val="24"/>
          <w:szCs w:val="24"/>
        </w:rPr>
        <w:t xml:space="preserve"> Street, </w:t>
      </w:r>
      <w:r w:rsidR="00F877AE" w:rsidRPr="00B25A35">
        <w:rPr>
          <w:rFonts w:ascii="Times New Roman" w:hAnsi="Times New Roman" w:cs="Times New Roman"/>
          <w:sz w:val="24"/>
          <w:szCs w:val="24"/>
        </w:rPr>
        <w:t>London</w:t>
      </w:r>
      <w:r w:rsidR="00F877AE">
        <w:rPr>
          <w:rFonts w:ascii="Times New Roman" w:hAnsi="Times New Roman" w:cs="Times New Roman"/>
          <w:sz w:val="24"/>
          <w:szCs w:val="24"/>
        </w:rPr>
        <w:t xml:space="preserve"> W2 1NY.</w:t>
      </w:r>
    </w:p>
    <w:p w14:paraId="497245DB" w14:textId="2B0684D9" w:rsidR="00F877AE" w:rsidRPr="00B25A35" w:rsidRDefault="00624034" w:rsidP="001435B0">
      <w:pPr>
        <w:spacing w:after="0"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lastRenderedPageBreak/>
        <w:t>8</w:t>
      </w:r>
      <w:r w:rsidR="00F877AE" w:rsidRPr="00B25A35">
        <w:rPr>
          <w:rFonts w:ascii="Times New Roman" w:hAnsi="Times New Roman" w:cs="Times New Roman"/>
          <w:sz w:val="24"/>
          <w:szCs w:val="24"/>
        </w:rPr>
        <w:t xml:space="preserve">Royal Free London NHS Foundation Trust, </w:t>
      </w:r>
      <w:r w:rsidR="00F877AE">
        <w:rPr>
          <w:rFonts w:ascii="Times New Roman" w:hAnsi="Times New Roman" w:cs="Times New Roman"/>
          <w:sz w:val="24"/>
          <w:szCs w:val="24"/>
        </w:rPr>
        <w:t xml:space="preserve">Pond Street, </w:t>
      </w:r>
      <w:r w:rsidR="00F877AE" w:rsidRPr="00B25A35">
        <w:rPr>
          <w:rFonts w:ascii="Times New Roman" w:hAnsi="Times New Roman" w:cs="Times New Roman"/>
          <w:sz w:val="24"/>
          <w:szCs w:val="24"/>
        </w:rPr>
        <w:t>London</w:t>
      </w:r>
      <w:r w:rsidR="00F877AE">
        <w:rPr>
          <w:rFonts w:ascii="Times New Roman" w:hAnsi="Times New Roman" w:cs="Times New Roman"/>
          <w:sz w:val="24"/>
          <w:szCs w:val="24"/>
        </w:rPr>
        <w:t xml:space="preserve"> NW3 2QG</w:t>
      </w:r>
      <w:r w:rsidR="00F877AE" w:rsidRPr="00B25A35">
        <w:rPr>
          <w:rFonts w:ascii="Times New Roman" w:hAnsi="Times New Roman" w:cs="Times New Roman"/>
          <w:sz w:val="24"/>
          <w:szCs w:val="24"/>
        </w:rPr>
        <w:t>.</w:t>
      </w:r>
    </w:p>
    <w:p w14:paraId="3FEEB9ED" w14:textId="34234329" w:rsidR="00F877AE" w:rsidRDefault="00624034" w:rsidP="001435B0">
      <w:pPr>
        <w:spacing w:after="0"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9</w:t>
      </w:r>
      <w:r w:rsidR="00F877AE" w:rsidRPr="00A227A2">
        <w:rPr>
          <w:rFonts w:ascii="Times New Roman" w:hAnsi="Times New Roman" w:cs="Times New Roman"/>
          <w:sz w:val="24"/>
          <w:szCs w:val="24"/>
        </w:rPr>
        <w:t>U</w:t>
      </w:r>
      <w:r w:rsidR="00F877AE">
        <w:rPr>
          <w:rFonts w:ascii="Times New Roman" w:hAnsi="Times New Roman" w:cs="Times New Roman"/>
          <w:sz w:val="24"/>
          <w:szCs w:val="24"/>
        </w:rPr>
        <w:t>niversity College London</w:t>
      </w:r>
      <w:r w:rsidR="00F877AE" w:rsidRPr="00A227A2">
        <w:rPr>
          <w:rFonts w:ascii="Times New Roman" w:hAnsi="Times New Roman" w:cs="Times New Roman"/>
          <w:sz w:val="24"/>
          <w:szCs w:val="24"/>
        </w:rPr>
        <w:t xml:space="preserve"> </w:t>
      </w:r>
      <w:r w:rsidR="00F877AE">
        <w:rPr>
          <w:rFonts w:ascii="Times New Roman" w:hAnsi="Times New Roman" w:cs="Times New Roman"/>
          <w:sz w:val="24"/>
          <w:szCs w:val="24"/>
        </w:rPr>
        <w:t xml:space="preserve">(UCL) </w:t>
      </w:r>
      <w:r w:rsidR="00F877AE" w:rsidRPr="00A227A2">
        <w:rPr>
          <w:rFonts w:ascii="Times New Roman" w:hAnsi="Times New Roman" w:cs="Times New Roman"/>
          <w:sz w:val="24"/>
          <w:szCs w:val="24"/>
        </w:rPr>
        <w:t>Respiratory, Division of Medicine, UCL, London.</w:t>
      </w:r>
    </w:p>
    <w:p w14:paraId="445F8AFF" w14:textId="47D45CED" w:rsidR="00F877AE" w:rsidRPr="00B25A35" w:rsidRDefault="00624034" w:rsidP="001435B0">
      <w:pPr>
        <w:spacing w:after="0"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10</w:t>
      </w:r>
      <w:r w:rsidR="00F877AE" w:rsidRPr="00A227A2">
        <w:rPr>
          <w:rFonts w:ascii="Times New Roman" w:hAnsi="Times New Roman" w:cs="Times New Roman"/>
          <w:sz w:val="24"/>
          <w:szCs w:val="24"/>
        </w:rPr>
        <w:t>Oxford University Hospitals NHS Trust</w:t>
      </w:r>
      <w:r w:rsidR="00EB7500">
        <w:rPr>
          <w:rFonts w:ascii="Times New Roman" w:hAnsi="Times New Roman" w:cs="Times New Roman"/>
          <w:sz w:val="24"/>
          <w:szCs w:val="24"/>
        </w:rPr>
        <w:t>,</w:t>
      </w:r>
      <w:r w:rsidR="00F877AE">
        <w:rPr>
          <w:rFonts w:ascii="Times New Roman" w:hAnsi="Times New Roman" w:cs="Times New Roman"/>
          <w:sz w:val="24"/>
          <w:szCs w:val="24"/>
        </w:rPr>
        <w:t xml:space="preserve"> Oxford, OX3 9DU.</w:t>
      </w:r>
    </w:p>
    <w:p w14:paraId="20642092" w14:textId="38FDD28E" w:rsidR="00F877AE" w:rsidRPr="00B25A35" w:rsidRDefault="00F877AE" w:rsidP="001435B0">
      <w:pPr>
        <w:spacing w:after="0"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1</w:t>
      </w:r>
      <w:r w:rsidR="00624034">
        <w:rPr>
          <w:rFonts w:ascii="Times New Roman" w:hAnsi="Times New Roman" w:cs="Times New Roman"/>
          <w:sz w:val="24"/>
          <w:szCs w:val="24"/>
          <w:vertAlign w:val="superscript"/>
        </w:rPr>
        <w:t>1</w:t>
      </w:r>
      <w:r w:rsidRPr="00B25A35">
        <w:rPr>
          <w:rFonts w:ascii="Times New Roman" w:hAnsi="Times New Roman" w:cs="Times New Roman"/>
          <w:sz w:val="24"/>
          <w:szCs w:val="24"/>
        </w:rPr>
        <w:t>St George’s Healthcare NHS Trust</w:t>
      </w:r>
      <w:r>
        <w:rPr>
          <w:rFonts w:ascii="Times New Roman" w:hAnsi="Times New Roman" w:cs="Times New Roman"/>
          <w:sz w:val="24"/>
          <w:szCs w:val="24"/>
        </w:rPr>
        <w:t>, Cranmer Terrace,</w:t>
      </w:r>
      <w:r w:rsidRPr="00B25A35">
        <w:rPr>
          <w:rFonts w:ascii="Times New Roman" w:hAnsi="Times New Roman" w:cs="Times New Roman"/>
          <w:sz w:val="24"/>
          <w:szCs w:val="24"/>
        </w:rPr>
        <w:t xml:space="preserve"> London</w:t>
      </w:r>
      <w:r>
        <w:rPr>
          <w:rFonts w:ascii="Times New Roman" w:hAnsi="Times New Roman" w:cs="Times New Roman"/>
          <w:sz w:val="24"/>
          <w:szCs w:val="24"/>
        </w:rPr>
        <w:t xml:space="preserve"> SW17 0RE.</w:t>
      </w:r>
    </w:p>
    <w:p w14:paraId="3C4242E7" w14:textId="7C835EFC" w:rsidR="00F877AE" w:rsidRPr="00B25A35" w:rsidRDefault="00F877AE" w:rsidP="001435B0">
      <w:pPr>
        <w:spacing w:after="0"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1</w:t>
      </w:r>
      <w:r w:rsidR="00624034">
        <w:rPr>
          <w:rFonts w:ascii="Times New Roman" w:hAnsi="Times New Roman" w:cs="Times New Roman"/>
          <w:sz w:val="24"/>
          <w:szCs w:val="24"/>
          <w:vertAlign w:val="superscript"/>
        </w:rPr>
        <w:t>2</w:t>
      </w:r>
      <w:r w:rsidRPr="00B25A35">
        <w:rPr>
          <w:rFonts w:ascii="Times New Roman" w:hAnsi="Times New Roman" w:cs="Times New Roman"/>
          <w:sz w:val="24"/>
          <w:szCs w:val="24"/>
        </w:rPr>
        <w:t>King’s College Healthcare NHS Trust</w:t>
      </w:r>
      <w:r>
        <w:rPr>
          <w:rFonts w:ascii="Times New Roman" w:hAnsi="Times New Roman" w:cs="Times New Roman"/>
          <w:sz w:val="24"/>
          <w:szCs w:val="24"/>
        </w:rPr>
        <w:t xml:space="preserve">, </w:t>
      </w:r>
      <w:proofErr w:type="spellStart"/>
      <w:r>
        <w:rPr>
          <w:rFonts w:ascii="Times New Roman" w:hAnsi="Times New Roman" w:cs="Times New Roman"/>
          <w:sz w:val="24"/>
          <w:szCs w:val="24"/>
        </w:rPr>
        <w:t>Cutcombe</w:t>
      </w:r>
      <w:proofErr w:type="spellEnd"/>
      <w:r>
        <w:rPr>
          <w:rFonts w:ascii="Times New Roman" w:hAnsi="Times New Roman" w:cs="Times New Roman"/>
          <w:sz w:val="24"/>
          <w:szCs w:val="24"/>
        </w:rPr>
        <w:t xml:space="preserve"> Road, </w:t>
      </w:r>
      <w:r w:rsidRPr="00B25A35">
        <w:rPr>
          <w:rFonts w:ascii="Times New Roman" w:hAnsi="Times New Roman" w:cs="Times New Roman"/>
          <w:sz w:val="24"/>
          <w:szCs w:val="24"/>
        </w:rPr>
        <w:t>London</w:t>
      </w:r>
      <w:r>
        <w:rPr>
          <w:rFonts w:ascii="Times New Roman" w:hAnsi="Times New Roman" w:cs="Times New Roman"/>
          <w:sz w:val="24"/>
          <w:szCs w:val="24"/>
        </w:rPr>
        <w:t xml:space="preserve"> SE9 5RJ.</w:t>
      </w:r>
    </w:p>
    <w:p w14:paraId="550D64CB" w14:textId="56DFDBBD" w:rsidR="00F877AE" w:rsidRPr="00BB614D" w:rsidRDefault="00F877AE">
      <w:pPr>
        <w:pStyle w:val="CommentText"/>
        <w:spacing w:after="0" w:line="480" w:lineRule="auto"/>
        <w:jc w:val="both"/>
        <w:rPr>
          <w:rFonts w:ascii="Times New Roman" w:hAnsi="Times New Roman" w:cs="Times New Roman"/>
          <w:sz w:val="24"/>
          <w:szCs w:val="24"/>
        </w:rPr>
      </w:pPr>
      <w:r w:rsidRPr="00B25A35">
        <w:rPr>
          <w:rFonts w:ascii="Times New Roman" w:hAnsi="Times New Roman" w:cs="Times New Roman"/>
          <w:sz w:val="24"/>
          <w:szCs w:val="24"/>
          <w:vertAlign w:val="superscript"/>
        </w:rPr>
        <w:t>1</w:t>
      </w:r>
      <w:r w:rsidR="00624034">
        <w:rPr>
          <w:rFonts w:ascii="Times New Roman" w:hAnsi="Times New Roman" w:cs="Times New Roman"/>
          <w:sz w:val="24"/>
          <w:szCs w:val="24"/>
          <w:vertAlign w:val="superscript"/>
        </w:rPr>
        <w:t>3</w:t>
      </w:r>
      <w:r w:rsidRPr="00FF2763">
        <w:t xml:space="preserve"> </w:t>
      </w:r>
      <w:r w:rsidRPr="00A227A2">
        <w:rPr>
          <w:rFonts w:ascii="Times New Roman" w:hAnsi="Times New Roman" w:cs="Times New Roman"/>
          <w:sz w:val="24"/>
          <w:szCs w:val="24"/>
        </w:rPr>
        <w:t xml:space="preserve">Department </w:t>
      </w:r>
      <w:r w:rsidRPr="00BB614D">
        <w:rPr>
          <w:rFonts w:ascii="Times New Roman" w:hAnsi="Times New Roman" w:cs="Times New Roman"/>
          <w:sz w:val="24"/>
          <w:szCs w:val="24"/>
        </w:rPr>
        <w:t>of Infection and Tropical Medicine. University Hospitals of Leicester NHS Trust. Leicester LE1 5WW.</w:t>
      </w:r>
    </w:p>
    <w:p w14:paraId="788C3FF0" w14:textId="75FE4372" w:rsidR="00BB614D" w:rsidRPr="001A64BE" w:rsidRDefault="00BB614D" w:rsidP="001A64BE">
      <w:pPr>
        <w:spacing w:after="0" w:line="480" w:lineRule="auto"/>
        <w:jc w:val="both"/>
        <w:rPr>
          <w:rFonts w:ascii="Times New Roman" w:hAnsi="Times New Roman" w:cs="Times New Roman"/>
          <w:sz w:val="24"/>
          <w:szCs w:val="24"/>
        </w:rPr>
      </w:pPr>
      <w:r w:rsidRPr="001A64BE">
        <w:rPr>
          <w:rFonts w:ascii="Times New Roman" w:hAnsi="Times New Roman" w:cs="Times New Roman"/>
          <w:sz w:val="24"/>
          <w:szCs w:val="24"/>
          <w:vertAlign w:val="superscript"/>
        </w:rPr>
        <w:t>1</w:t>
      </w:r>
      <w:r w:rsidR="00624034">
        <w:rPr>
          <w:rFonts w:ascii="Times New Roman" w:hAnsi="Times New Roman" w:cs="Times New Roman"/>
          <w:sz w:val="24"/>
          <w:szCs w:val="24"/>
          <w:vertAlign w:val="superscript"/>
        </w:rPr>
        <w:t>4</w:t>
      </w:r>
      <w:r w:rsidRPr="001A64BE">
        <w:rPr>
          <w:rFonts w:ascii="Times New Roman" w:hAnsi="Times New Roman" w:cs="Times New Roman"/>
          <w:sz w:val="24"/>
          <w:szCs w:val="24"/>
        </w:rPr>
        <w:t>Respiratory Biomedical Research Centre, Institute for Lung Health, Department of Infection, Immunity and Inflammation, University of Leicester, Leicester LE3 9QP, UK.</w:t>
      </w:r>
    </w:p>
    <w:p w14:paraId="7DE0A785" w14:textId="2AA9FAE7" w:rsidR="00F877AE" w:rsidRPr="00B62785" w:rsidRDefault="00F877AE" w:rsidP="001A64BE">
      <w:pPr>
        <w:pStyle w:val="CommentText"/>
        <w:spacing w:after="0" w:line="480" w:lineRule="auto"/>
        <w:jc w:val="both"/>
        <w:rPr>
          <w:rFonts w:ascii="Times New Roman" w:hAnsi="Times New Roman" w:cs="Times New Roman"/>
          <w:sz w:val="24"/>
          <w:szCs w:val="24"/>
          <w:vertAlign w:val="superscript"/>
        </w:rPr>
      </w:pPr>
    </w:p>
    <w:p w14:paraId="06A69B52" w14:textId="77777777" w:rsidR="004C52A5" w:rsidRPr="00212C3D" w:rsidRDefault="004C52A5" w:rsidP="004C52A5">
      <w:pPr>
        <w:pStyle w:val="CommentText"/>
        <w:spacing w:after="0" w:line="480" w:lineRule="auto"/>
        <w:rPr>
          <w:rFonts w:ascii="Times New Roman" w:hAnsi="Times New Roman" w:cs="Times New Roman"/>
          <w:sz w:val="24"/>
          <w:szCs w:val="24"/>
        </w:rPr>
      </w:pPr>
      <w:r>
        <w:rPr>
          <w:rFonts w:ascii="Times New Roman" w:hAnsi="Times New Roman" w:cs="Times New Roman"/>
          <w:sz w:val="24"/>
          <w:szCs w:val="24"/>
        </w:rPr>
        <w:t>*These four authors contributed equally to this work.</w:t>
      </w:r>
    </w:p>
    <w:p w14:paraId="2E87891C" w14:textId="7D57907A" w:rsidR="00F877AE" w:rsidRPr="00B25A35" w:rsidRDefault="00F877AE" w:rsidP="00F877AE">
      <w:pPr>
        <w:pStyle w:val="CommentText"/>
        <w:spacing w:after="0" w:line="480" w:lineRule="auto"/>
        <w:rPr>
          <w:rFonts w:ascii="Times New Roman" w:hAnsi="Times New Roman" w:cs="Times New Roman"/>
          <w:sz w:val="24"/>
          <w:szCs w:val="24"/>
        </w:rPr>
      </w:pPr>
      <w:r w:rsidRPr="00B25A35">
        <w:rPr>
          <w:rFonts w:ascii="Times New Roman" w:hAnsi="Times New Roman" w:cs="Times New Roman"/>
          <w:sz w:val="24"/>
          <w:szCs w:val="24"/>
          <w:vertAlign w:val="superscript"/>
        </w:rPr>
        <w:t>#</w:t>
      </w:r>
      <w:r w:rsidRPr="00B25A35">
        <w:rPr>
          <w:rFonts w:ascii="Times New Roman" w:hAnsi="Times New Roman" w:cs="Times New Roman"/>
          <w:sz w:val="24"/>
          <w:szCs w:val="24"/>
        </w:rPr>
        <w:t>These two authors contributed equally to this work</w:t>
      </w:r>
      <w:r w:rsidR="00212C3D">
        <w:rPr>
          <w:rFonts w:ascii="Times New Roman" w:hAnsi="Times New Roman" w:cs="Times New Roman"/>
          <w:sz w:val="24"/>
          <w:szCs w:val="24"/>
        </w:rPr>
        <w:t>.</w:t>
      </w:r>
    </w:p>
    <w:p w14:paraId="20A3D150" w14:textId="77777777" w:rsidR="00F877AE" w:rsidRDefault="00F877AE" w:rsidP="00F877AE">
      <w:pPr>
        <w:spacing w:after="0" w:line="480" w:lineRule="auto"/>
        <w:rPr>
          <w:rFonts w:ascii="Times New Roman" w:hAnsi="Times New Roman" w:cs="Times New Roman"/>
          <w:sz w:val="24"/>
          <w:szCs w:val="24"/>
        </w:rPr>
      </w:pPr>
    </w:p>
    <w:p w14:paraId="47A1B13F" w14:textId="77777777" w:rsidR="00F877AE" w:rsidRDefault="00F877AE" w:rsidP="00F877AE">
      <w:pPr>
        <w:spacing w:after="0" w:line="480" w:lineRule="auto"/>
        <w:rPr>
          <w:rFonts w:ascii="Times New Roman" w:hAnsi="Times New Roman" w:cs="Times New Roman"/>
          <w:sz w:val="24"/>
          <w:szCs w:val="24"/>
        </w:rPr>
      </w:pPr>
      <w:r>
        <w:rPr>
          <w:rFonts w:ascii="Times New Roman" w:hAnsi="Times New Roman" w:cs="Times New Roman"/>
          <w:sz w:val="24"/>
          <w:szCs w:val="24"/>
        </w:rPr>
        <w:t>C</w:t>
      </w:r>
      <w:r w:rsidRPr="001B1048">
        <w:rPr>
          <w:rFonts w:ascii="Times New Roman" w:hAnsi="Times New Roman" w:cs="Times New Roman"/>
          <w:sz w:val="24"/>
          <w:szCs w:val="24"/>
        </w:rPr>
        <w:t>orresponding author</w:t>
      </w:r>
      <w:r>
        <w:rPr>
          <w:rFonts w:ascii="Times New Roman" w:hAnsi="Times New Roman" w:cs="Times New Roman"/>
          <w:sz w:val="24"/>
          <w:szCs w:val="24"/>
        </w:rPr>
        <w:t>: Professor Ajit Lalvani</w:t>
      </w:r>
    </w:p>
    <w:p w14:paraId="211986CB" w14:textId="5CAE723B" w:rsidR="00F877AE" w:rsidRDefault="00F877AE" w:rsidP="00F877A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Address - </w:t>
      </w:r>
      <w:r w:rsidRPr="00504A04">
        <w:rPr>
          <w:rFonts w:ascii="Times New Roman" w:hAnsi="Times New Roman" w:cs="Times New Roman"/>
          <w:sz w:val="24"/>
          <w:szCs w:val="24"/>
        </w:rPr>
        <w:t>Director, Tuberculosis Research Centre,</w:t>
      </w:r>
      <w:r>
        <w:rPr>
          <w:rFonts w:ascii="Times New Roman" w:hAnsi="Times New Roman" w:cs="Times New Roman"/>
          <w:sz w:val="24"/>
          <w:szCs w:val="24"/>
        </w:rPr>
        <w:t xml:space="preserve"> </w:t>
      </w:r>
      <w:r w:rsidRPr="00504A04">
        <w:rPr>
          <w:rFonts w:ascii="Times New Roman" w:hAnsi="Times New Roman" w:cs="Times New Roman"/>
          <w:sz w:val="24"/>
          <w:szCs w:val="24"/>
        </w:rPr>
        <w:t>National Heart and Lung Institute,</w:t>
      </w:r>
      <w:r>
        <w:rPr>
          <w:rFonts w:ascii="Times New Roman" w:hAnsi="Times New Roman" w:cs="Times New Roman"/>
          <w:sz w:val="24"/>
          <w:szCs w:val="24"/>
        </w:rPr>
        <w:t xml:space="preserve"> I</w:t>
      </w:r>
      <w:r w:rsidRPr="00504A04">
        <w:rPr>
          <w:rFonts w:ascii="Times New Roman" w:hAnsi="Times New Roman" w:cs="Times New Roman"/>
          <w:sz w:val="24"/>
          <w:szCs w:val="24"/>
        </w:rPr>
        <w:t>mperial College London,</w:t>
      </w:r>
      <w:r>
        <w:rPr>
          <w:rFonts w:ascii="Times New Roman" w:hAnsi="Times New Roman" w:cs="Times New Roman"/>
          <w:sz w:val="24"/>
          <w:szCs w:val="24"/>
        </w:rPr>
        <w:t xml:space="preserve"> </w:t>
      </w:r>
      <w:r w:rsidRPr="00504A04">
        <w:rPr>
          <w:rFonts w:ascii="Times New Roman" w:hAnsi="Times New Roman" w:cs="Times New Roman"/>
          <w:sz w:val="24"/>
          <w:szCs w:val="24"/>
        </w:rPr>
        <w:t>St Mary's Campus,</w:t>
      </w:r>
      <w:r>
        <w:rPr>
          <w:rFonts w:ascii="Times New Roman" w:hAnsi="Times New Roman" w:cs="Times New Roman"/>
          <w:sz w:val="24"/>
          <w:szCs w:val="24"/>
        </w:rPr>
        <w:t xml:space="preserve"> </w:t>
      </w:r>
      <w:r w:rsidRPr="00504A04">
        <w:rPr>
          <w:rFonts w:ascii="Times New Roman" w:hAnsi="Times New Roman" w:cs="Times New Roman"/>
          <w:sz w:val="24"/>
          <w:szCs w:val="24"/>
        </w:rPr>
        <w:t>Norfolk Place, London W2 1PG</w:t>
      </w:r>
      <w:r w:rsidR="00F473F5">
        <w:rPr>
          <w:rFonts w:ascii="Times New Roman" w:hAnsi="Times New Roman" w:cs="Times New Roman"/>
          <w:sz w:val="24"/>
          <w:szCs w:val="24"/>
        </w:rPr>
        <w:t>.</w:t>
      </w:r>
    </w:p>
    <w:p w14:paraId="6B54E978" w14:textId="77777777" w:rsidR="00F877AE" w:rsidRDefault="00F877AE" w:rsidP="00F877AE">
      <w:pPr>
        <w:spacing w:after="0" w:line="480" w:lineRule="auto"/>
        <w:rPr>
          <w:rStyle w:val="Hyperlink"/>
          <w:rFonts w:ascii="Times New Roman" w:hAnsi="Times New Roman" w:cs="Times New Roman"/>
          <w:color w:val="auto"/>
          <w:sz w:val="24"/>
          <w:szCs w:val="24"/>
        </w:rPr>
      </w:pPr>
      <w:r>
        <w:rPr>
          <w:rFonts w:ascii="Times New Roman" w:hAnsi="Times New Roman" w:cs="Times New Roman"/>
          <w:sz w:val="24"/>
          <w:szCs w:val="24"/>
        </w:rPr>
        <w:t xml:space="preserve">Email - </w:t>
      </w:r>
      <w:hyperlink r:id="rId8" w:history="1">
        <w:r w:rsidRPr="001B1048">
          <w:rPr>
            <w:rStyle w:val="Hyperlink"/>
            <w:rFonts w:ascii="Times New Roman" w:hAnsi="Times New Roman" w:cs="Times New Roman"/>
            <w:color w:val="auto"/>
            <w:sz w:val="24"/>
            <w:szCs w:val="24"/>
          </w:rPr>
          <w:t>a.lalvani@imperial.ac.uk</w:t>
        </w:r>
      </w:hyperlink>
      <w:r>
        <w:rPr>
          <w:rStyle w:val="Hyperlink"/>
          <w:rFonts w:ascii="Times New Roman" w:hAnsi="Times New Roman" w:cs="Times New Roman"/>
          <w:color w:val="auto"/>
          <w:sz w:val="24"/>
          <w:szCs w:val="24"/>
        </w:rPr>
        <w:t xml:space="preserve"> </w:t>
      </w:r>
    </w:p>
    <w:p w14:paraId="338D84A0" w14:textId="77777777" w:rsidR="00F877AE" w:rsidRPr="001B1048" w:rsidRDefault="00F877AE" w:rsidP="00F877AE">
      <w:pPr>
        <w:spacing w:after="0" w:line="480" w:lineRule="auto"/>
        <w:rPr>
          <w:rFonts w:ascii="Times New Roman" w:hAnsi="Times New Roman" w:cs="Times New Roman"/>
          <w:sz w:val="24"/>
          <w:szCs w:val="24"/>
        </w:rPr>
      </w:pPr>
      <w:r>
        <w:rPr>
          <w:rStyle w:val="Hyperlink"/>
          <w:rFonts w:ascii="Times New Roman" w:hAnsi="Times New Roman" w:cs="Times New Roman"/>
          <w:color w:val="auto"/>
          <w:sz w:val="24"/>
          <w:szCs w:val="24"/>
        </w:rPr>
        <w:t>Telephone - 0207 594 0883</w:t>
      </w:r>
      <w:r w:rsidRPr="001B1048">
        <w:rPr>
          <w:rFonts w:ascii="Times New Roman" w:hAnsi="Times New Roman" w:cs="Times New Roman"/>
          <w:sz w:val="24"/>
          <w:szCs w:val="24"/>
        </w:rPr>
        <w:t xml:space="preserve"> </w:t>
      </w:r>
    </w:p>
    <w:p w14:paraId="6D46207D" w14:textId="2DDA77F2" w:rsidR="009F6264" w:rsidRDefault="009F6264" w:rsidP="00A227A2">
      <w:pPr>
        <w:spacing w:after="0" w:line="480" w:lineRule="auto"/>
        <w:rPr>
          <w:rFonts w:ascii="Times New Roman" w:hAnsi="Times New Roman" w:cs="Times New Roman"/>
          <w:b/>
          <w:sz w:val="24"/>
          <w:szCs w:val="24"/>
        </w:rPr>
      </w:pPr>
    </w:p>
    <w:p w14:paraId="31384BF1" w14:textId="57C62BE6" w:rsidR="00F660BC" w:rsidRDefault="00F660BC" w:rsidP="00A227A2">
      <w:pPr>
        <w:spacing w:after="0" w:line="480" w:lineRule="auto"/>
        <w:rPr>
          <w:rFonts w:ascii="Times New Roman" w:hAnsi="Times New Roman" w:cs="Times New Roman"/>
          <w:b/>
          <w:sz w:val="24"/>
          <w:szCs w:val="24"/>
        </w:rPr>
      </w:pPr>
    </w:p>
    <w:p w14:paraId="688EFE1A" w14:textId="50B72CB2" w:rsidR="00F660BC" w:rsidRDefault="00F660BC" w:rsidP="00A227A2">
      <w:pPr>
        <w:spacing w:after="0" w:line="480" w:lineRule="auto"/>
        <w:rPr>
          <w:rFonts w:ascii="Times New Roman" w:hAnsi="Times New Roman" w:cs="Times New Roman"/>
          <w:b/>
          <w:sz w:val="24"/>
          <w:szCs w:val="24"/>
        </w:rPr>
      </w:pPr>
    </w:p>
    <w:p w14:paraId="1E3A8F2B" w14:textId="47932AAE" w:rsidR="00F660BC" w:rsidRDefault="00F660BC" w:rsidP="00A227A2">
      <w:pPr>
        <w:spacing w:after="0" w:line="480" w:lineRule="auto"/>
        <w:rPr>
          <w:rFonts w:ascii="Times New Roman" w:hAnsi="Times New Roman" w:cs="Times New Roman"/>
          <w:b/>
          <w:sz w:val="24"/>
          <w:szCs w:val="24"/>
        </w:rPr>
      </w:pPr>
    </w:p>
    <w:p w14:paraId="73D928AE" w14:textId="6CFA8263" w:rsidR="00F660BC" w:rsidRDefault="00F660BC" w:rsidP="00A227A2">
      <w:pPr>
        <w:spacing w:after="0" w:line="480" w:lineRule="auto"/>
        <w:rPr>
          <w:rFonts w:ascii="Times New Roman" w:hAnsi="Times New Roman" w:cs="Times New Roman"/>
          <w:b/>
          <w:sz w:val="24"/>
          <w:szCs w:val="24"/>
        </w:rPr>
      </w:pPr>
    </w:p>
    <w:p w14:paraId="6168EE73" w14:textId="11908D91" w:rsidR="00F660BC" w:rsidRDefault="00F660BC" w:rsidP="00A227A2">
      <w:pPr>
        <w:spacing w:after="0" w:line="480" w:lineRule="auto"/>
        <w:rPr>
          <w:rFonts w:ascii="Times New Roman" w:hAnsi="Times New Roman" w:cs="Times New Roman"/>
          <w:b/>
          <w:sz w:val="24"/>
          <w:szCs w:val="24"/>
        </w:rPr>
      </w:pPr>
    </w:p>
    <w:p w14:paraId="7193BAB5" w14:textId="4B6E9316" w:rsidR="00F660BC" w:rsidRDefault="00F660BC" w:rsidP="00A227A2">
      <w:pPr>
        <w:spacing w:after="0" w:line="480" w:lineRule="auto"/>
        <w:rPr>
          <w:rFonts w:ascii="Times New Roman" w:hAnsi="Times New Roman" w:cs="Times New Roman"/>
          <w:b/>
          <w:sz w:val="24"/>
          <w:szCs w:val="24"/>
        </w:rPr>
      </w:pPr>
    </w:p>
    <w:p w14:paraId="6508AD2B" w14:textId="1781DABC" w:rsidR="00B663E8" w:rsidRDefault="00957E32" w:rsidP="001B1048">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RESEARCH IN C</w:t>
      </w:r>
      <w:r w:rsidR="00F660BC">
        <w:rPr>
          <w:rFonts w:ascii="Times New Roman" w:hAnsi="Times New Roman" w:cs="Times New Roman"/>
          <w:b/>
          <w:sz w:val="24"/>
          <w:szCs w:val="24"/>
        </w:rPr>
        <w:t>O</w:t>
      </w:r>
      <w:r>
        <w:rPr>
          <w:rFonts w:ascii="Times New Roman" w:hAnsi="Times New Roman" w:cs="Times New Roman"/>
          <w:b/>
          <w:sz w:val="24"/>
          <w:szCs w:val="24"/>
        </w:rPr>
        <w:t>NTEXT</w:t>
      </w:r>
      <w:r w:rsidR="00504A04">
        <w:rPr>
          <w:rFonts w:ascii="Times New Roman" w:hAnsi="Times New Roman" w:cs="Times New Roman"/>
          <w:b/>
          <w:sz w:val="24"/>
          <w:szCs w:val="24"/>
        </w:rPr>
        <w:t xml:space="preserve"> </w:t>
      </w:r>
    </w:p>
    <w:p w14:paraId="74DA3B63" w14:textId="30BF079B" w:rsidR="00957E32" w:rsidRDefault="007E7B7C" w:rsidP="001B1048">
      <w:pPr>
        <w:spacing w:after="0" w:line="480" w:lineRule="auto"/>
        <w:rPr>
          <w:rFonts w:ascii="Times New Roman" w:hAnsi="Times New Roman" w:cs="Times New Roman"/>
          <w:b/>
          <w:sz w:val="24"/>
          <w:szCs w:val="24"/>
        </w:rPr>
      </w:pPr>
      <w:r>
        <w:rPr>
          <w:rFonts w:ascii="Times New Roman" w:hAnsi="Times New Roman" w:cs="Times New Roman"/>
          <w:b/>
          <w:sz w:val="24"/>
          <w:szCs w:val="24"/>
        </w:rPr>
        <w:t>Evidence before study</w:t>
      </w:r>
    </w:p>
    <w:p w14:paraId="1B5D20B3" w14:textId="78205C1E" w:rsidR="00F4169D" w:rsidRPr="00A227A2" w:rsidRDefault="0035609C" w:rsidP="00A227A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Although </w:t>
      </w:r>
      <w:r w:rsidR="00663592">
        <w:rPr>
          <w:rFonts w:ascii="Times New Roman" w:hAnsi="Times New Roman" w:cs="Times New Roman"/>
          <w:sz w:val="24"/>
          <w:szCs w:val="24"/>
        </w:rPr>
        <w:t>the role of IGRAs in diagnosis of active TB</w:t>
      </w:r>
      <w:r w:rsidR="00663592" w:rsidRPr="00663592">
        <w:rPr>
          <w:rFonts w:ascii="Times New Roman" w:hAnsi="Times New Roman" w:cs="Times New Roman"/>
          <w:sz w:val="24"/>
          <w:szCs w:val="24"/>
        </w:rPr>
        <w:t xml:space="preserve"> </w:t>
      </w:r>
      <w:r w:rsidR="00663592">
        <w:rPr>
          <w:rFonts w:ascii="Times New Roman" w:hAnsi="Times New Roman" w:cs="Times New Roman"/>
          <w:sz w:val="24"/>
          <w:szCs w:val="24"/>
        </w:rPr>
        <w:t>is unclear</w:t>
      </w:r>
      <w:r w:rsidR="00973B50">
        <w:rPr>
          <w:rFonts w:ascii="Times New Roman" w:hAnsi="Times New Roman" w:cs="Times New Roman"/>
          <w:sz w:val="24"/>
          <w:szCs w:val="24"/>
        </w:rPr>
        <w:t>,</w:t>
      </w:r>
      <w:r>
        <w:rPr>
          <w:rFonts w:ascii="Times New Roman" w:hAnsi="Times New Roman" w:cs="Times New Roman"/>
          <w:sz w:val="24"/>
          <w:szCs w:val="24"/>
        </w:rPr>
        <w:t xml:space="preserve"> </w:t>
      </w:r>
      <w:r w:rsidR="00E871CA">
        <w:rPr>
          <w:rFonts w:ascii="Times New Roman" w:hAnsi="Times New Roman" w:cs="Times New Roman"/>
          <w:sz w:val="24"/>
          <w:szCs w:val="24"/>
        </w:rPr>
        <w:t>their use in clinical practice is common</w:t>
      </w:r>
      <w:r w:rsidR="00663592">
        <w:rPr>
          <w:rFonts w:ascii="Times New Roman" w:hAnsi="Times New Roman" w:cs="Times New Roman"/>
          <w:sz w:val="24"/>
          <w:szCs w:val="24"/>
        </w:rPr>
        <w:t xml:space="preserve">. </w:t>
      </w:r>
      <w:r w:rsidR="00986AE3">
        <w:rPr>
          <w:rFonts w:ascii="Times New Roman" w:hAnsi="Times New Roman" w:cs="Times New Roman"/>
          <w:sz w:val="24"/>
          <w:szCs w:val="24"/>
        </w:rPr>
        <w:t xml:space="preserve">A comprehensive systematic review and meta-analysis </w:t>
      </w:r>
      <w:r w:rsidR="00D0127E">
        <w:rPr>
          <w:rFonts w:ascii="Times New Roman" w:hAnsi="Times New Roman" w:cs="Times New Roman"/>
          <w:sz w:val="24"/>
          <w:szCs w:val="24"/>
        </w:rPr>
        <w:t xml:space="preserve">published in 2011 describes data from studies evaluating diagnostic accuracy of IGRAs in active TB up to November 2009. </w:t>
      </w:r>
      <w:r w:rsidR="00B6285F">
        <w:rPr>
          <w:rFonts w:ascii="Times New Roman" w:hAnsi="Times New Roman" w:cs="Times New Roman"/>
          <w:sz w:val="24"/>
          <w:szCs w:val="24"/>
        </w:rPr>
        <w:t xml:space="preserve">We </w:t>
      </w:r>
      <w:r w:rsidR="00D0127E">
        <w:rPr>
          <w:rFonts w:ascii="Times New Roman" w:hAnsi="Times New Roman" w:cs="Times New Roman"/>
          <w:sz w:val="24"/>
          <w:szCs w:val="24"/>
        </w:rPr>
        <w:t xml:space="preserve">therefore </w:t>
      </w:r>
      <w:r w:rsidR="00B6285F">
        <w:rPr>
          <w:rFonts w:ascii="Times New Roman" w:hAnsi="Times New Roman" w:cs="Times New Roman"/>
          <w:sz w:val="24"/>
          <w:szCs w:val="24"/>
        </w:rPr>
        <w:t xml:space="preserve">searched PubMed for original research studies </w:t>
      </w:r>
      <w:r w:rsidR="00A54513">
        <w:rPr>
          <w:rFonts w:ascii="Times New Roman" w:hAnsi="Times New Roman" w:cs="Times New Roman"/>
          <w:sz w:val="24"/>
          <w:szCs w:val="24"/>
        </w:rPr>
        <w:t xml:space="preserve">published </w:t>
      </w:r>
      <w:r w:rsidR="00D70310">
        <w:rPr>
          <w:rFonts w:ascii="Times New Roman" w:hAnsi="Times New Roman" w:cs="Times New Roman"/>
          <w:sz w:val="24"/>
          <w:szCs w:val="24"/>
        </w:rPr>
        <w:t xml:space="preserve">in any language </w:t>
      </w:r>
      <w:r w:rsidR="00D0127E">
        <w:rPr>
          <w:rFonts w:ascii="Times New Roman" w:hAnsi="Times New Roman" w:cs="Times New Roman"/>
          <w:sz w:val="24"/>
          <w:szCs w:val="24"/>
        </w:rPr>
        <w:t xml:space="preserve">between December 2009 and </w:t>
      </w:r>
      <w:r w:rsidR="00A54513">
        <w:rPr>
          <w:rFonts w:ascii="Times New Roman" w:hAnsi="Times New Roman" w:cs="Times New Roman"/>
          <w:sz w:val="24"/>
          <w:szCs w:val="24"/>
        </w:rPr>
        <w:t>June 2018</w:t>
      </w:r>
      <w:r w:rsidR="00D0127E">
        <w:rPr>
          <w:rFonts w:ascii="Times New Roman" w:hAnsi="Times New Roman" w:cs="Times New Roman"/>
          <w:sz w:val="24"/>
          <w:szCs w:val="24"/>
        </w:rPr>
        <w:t xml:space="preserve">, using search terms </w:t>
      </w:r>
      <w:r w:rsidR="00924809">
        <w:rPr>
          <w:rFonts w:ascii="Times New Roman" w:hAnsi="Times New Roman" w:cs="Times New Roman"/>
          <w:sz w:val="24"/>
          <w:szCs w:val="24"/>
        </w:rPr>
        <w:t xml:space="preserve">for </w:t>
      </w:r>
      <w:r w:rsidR="00D0127E">
        <w:rPr>
          <w:rFonts w:ascii="Times New Roman" w:hAnsi="Times New Roman" w:cs="Times New Roman"/>
          <w:sz w:val="24"/>
          <w:szCs w:val="24"/>
        </w:rPr>
        <w:t>tuberculosis</w:t>
      </w:r>
      <w:r w:rsidR="00D70310">
        <w:rPr>
          <w:rFonts w:ascii="Times New Roman" w:hAnsi="Times New Roman" w:cs="Times New Roman"/>
          <w:sz w:val="24"/>
          <w:szCs w:val="24"/>
        </w:rPr>
        <w:t xml:space="preserve"> AND interferon gamma release assays, T-SPOT.TB </w:t>
      </w:r>
      <w:r w:rsidR="00924809">
        <w:rPr>
          <w:rFonts w:ascii="Times New Roman" w:hAnsi="Times New Roman" w:cs="Times New Roman"/>
          <w:sz w:val="24"/>
          <w:szCs w:val="24"/>
        </w:rPr>
        <w:t>or</w:t>
      </w:r>
      <w:r w:rsidR="00D70310">
        <w:rPr>
          <w:rFonts w:ascii="Times New Roman" w:hAnsi="Times New Roman" w:cs="Times New Roman"/>
          <w:sz w:val="24"/>
          <w:szCs w:val="24"/>
        </w:rPr>
        <w:t xml:space="preserve"> </w:t>
      </w:r>
      <w:proofErr w:type="spellStart"/>
      <w:r w:rsidR="00D70310">
        <w:rPr>
          <w:rFonts w:ascii="Times New Roman" w:hAnsi="Times New Roman" w:cs="Times New Roman"/>
          <w:sz w:val="24"/>
          <w:szCs w:val="24"/>
        </w:rPr>
        <w:t>Quantiferon</w:t>
      </w:r>
      <w:proofErr w:type="spellEnd"/>
      <w:r w:rsidR="00D70310">
        <w:rPr>
          <w:rFonts w:ascii="Times New Roman" w:hAnsi="Times New Roman" w:cs="Times New Roman"/>
          <w:sz w:val="24"/>
          <w:szCs w:val="24"/>
        </w:rPr>
        <w:t xml:space="preserve"> AND diagnosis, evaluation, rule</w:t>
      </w:r>
      <w:r w:rsidR="004722F5">
        <w:rPr>
          <w:rFonts w:ascii="Times New Roman" w:hAnsi="Times New Roman" w:cs="Times New Roman"/>
          <w:sz w:val="24"/>
          <w:szCs w:val="24"/>
        </w:rPr>
        <w:t>-</w:t>
      </w:r>
      <w:r w:rsidR="00D70310">
        <w:rPr>
          <w:rFonts w:ascii="Times New Roman" w:hAnsi="Times New Roman" w:cs="Times New Roman"/>
          <w:sz w:val="24"/>
          <w:szCs w:val="24"/>
        </w:rPr>
        <w:t xml:space="preserve">in </w:t>
      </w:r>
      <w:r w:rsidR="00924809">
        <w:rPr>
          <w:rFonts w:ascii="Times New Roman" w:hAnsi="Times New Roman" w:cs="Times New Roman"/>
          <w:sz w:val="24"/>
          <w:szCs w:val="24"/>
        </w:rPr>
        <w:t>or</w:t>
      </w:r>
      <w:r w:rsidR="00D70310">
        <w:rPr>
          <w:rFonts w:ascii="Times New Roman" w:hAnsi="Times New Roman" w:cs="Times New Roman"/>
          <w:sz w:val="24"/>
          <w:szCs w:val="24"/>
        </w:rPr>
        <w:t xml:space="preserve"> rule</w:t>
      </w:r>
      <w:r w:rsidR="004722F5">
        <w:rPr>
          <w:rFonts w:ascii="Times New Roman" w:hAnsi="Times New Roman" w:cs="Times New Roman"/>
          <w:sz w:val="24"/>
          <w:szCs w:val="24"/>
        </w:rPr>
        <w:t>-</w:t>
      </w:r>
      <w:r w:rsidR="00D70310">
        <w:rPr>
          <w:rFonts w:ascii="Times New Roman" w:hAnsi="Times New Roman" w:cs="Times New Roman"/>
          <w:sz w:val="24"/>
          <w:szCs w:val="24"/>
        </w:rPr>
        <w:t>out</w:t>
      </w:r>
      <w:r w:rsidR="00B6285F">
        <w:rPr>
          <w:rFonts w:ascii="Times New Roman" w:hAnsi="Times New Roman" w:cs="Times New Roman"/>
          <w:sz w:val="24"/>
          <w:szCs w:val="24"/>
        </w:rPr>
        <w:t xml:space="preserve">. </w:t>
      </w:r>
      <w:r w:rsidR="00663592">
        <w:rPr>
          <w:rFonts w:ascii="Times New Roman" w:hAnsi="Times New Roman" w:cs="Times New Roman"/>
          <w:sz w:val="24"/>
          <w:szCs w:val="24"/>
        </w:rPr>
        <w:t>The evidence-base to</w:t>
      </w:r>
      <w:r w:rsidR="00C243B7">
        <w:rPr>
          <w:rFonts w:ascii="Times New Roman" w:hAnsi="Times New Roman" w:cs="Times New Roman"/>
          <w:sz w:val="24"/>
          <w:szCs w:val="24"/>
        </w:rPr>
        <w:t>-</w:t>
      </w:r>
      <w:r w:rsidR="00663592">
        <w:rPr>
          <w:rFonts w:ascii="Times New Roman" w:hAnsi="Times New Roman" w:cs="Times New Roman"/>
          <w:sz w:val="24"/>
          <w:szCs w:val="24"/>
        </w:rPr>
        <w:t xml:space="preserve">date </w:t>
      </w:r>
      <w:r w:rsidR="006F37E4">
        <w:rPr>
          <w:rFonts w:ascii="Times New Roman" w:hAnsi="Times New Roman" w:cs="Times New Roman"/>
          <w:sz w:val="24"/>
          <w:szCs w:val="24"/>
        </w:rPr>
        <w:t>suggests that current IGRAs have insufficient specificity to rule</w:t>
      </w:r>
      <w:r w:rsidR="00A54513">
        <w:rPr>
          <w:rFonts w:ascii="Times New Roman" w:hAnsi="Times New Roman" w:cs="Times New Roman"/>
          <w:sz w:val="24"/>
          <w:szCs w:val="24"/>
        </w:rPr>
        <w:t xml:space="preserve"> </w:t>
      </w:r>
      <w:r w:rsidR="006F37E4">
        <w:rPr>
          <w:rFonts w:ascii="Times New Roman" w:hAnsi="Times New Roman" w:cs="Times New Roman"/>
          <w:sz w:val="24"/>
          <w:szCs w:val="24"/>
        </w:rPr>
        <w:t>in TB</w:t>
      </w:r>
      <w:r w:rsidR="00B6285F">
        <w:rPr>
          <w:rFonts w:ascii="Times New Roman" w:hAnsi="Times New Roman" w:cs="Times New Roman"/>
          <w:sz w:val="24"/>
          <w:szCs w:val="24"/>
        </w:rPr>
        <w:t xml:space="preserve"> and</w:t>
      </w:r>
      <w:r w:rsidR="006F37E4">
        <w:rPr>
          <w:rFonts w:ascii="Times New Roman" w:hAnsi="Times New Roman" w:cs="Times New Roman"/>
          <w:sz w:val="24"/>
          <w:szCs w:val="24"/>
        </w:rPr>
        <w:t xml:space="preserve"> </w:t>
      </w:r>
      <w:r w:rsidR="00680F35">
        <w:rPr>
          <w:rFonts w:ascii="Times New Roman" w:hAnsi="Times New Roman" w:cs="Times New Roman"/>
          <w:sz w:val="24"/>
          <w:szCs w:val="24"/>
        </w:rPr>
        <w:t xml:space="preserve">insufficient </w:t>
      </w:r>
      <w:r w:rsidR="006F37E4">
        <w:rPr>
          <w:rFonts w:ascii="Times New Roman" w:hAnsi="Times New Roman" w:cs="Times New Roman"/>
          <w:sz w:val="24"/>
          <w:szCs w:val="24"/>
        </w:rPr>
        <w:t>sensitivity to rule</w:t>
      </w:r>
      <w:r w:rsidR="00A54513">
        <w:rPr>
          <w:rFonts w:ascii="Times New Roman" w:hAnsi="Times New Roman" w:cs="Times New Roman"/>
          <w:sz w:val="24"/>
          <w:szCs w:val="24"/>
        </w:rPr>
        <w:t xml:space="preserve"> </w:t>
      </w:r>
      <w:r w:rsidR="006F37E4">
        <w:rPr>
          <w:rFonts w:ascii="Times New Roman" w:hAnsi="Times New Roman" w:cs="Times New Roman"/>
          <w:sz w:val="24"/>
          <w:szCs w:val="24"/>
        </w:rPr>
        <w:t xml:space="preserve">out TB. However, this </w:t>
      </w:r>
      <w:r w:rsidR="001F5AFA">
        <w:rPr>
          <w:rFonts w:ascii="Times New Roman" w:hAnsi="Times New Roman" w:cs="Times New Roman"/>
          <w:sz w:val="24"/>
          <w:szCs w:val="24"/>
        </w:rPr>
        <w:t>is derived</w:t>
      </w:r>
      <w:r w:rsidR="008605B7">
        <w:rPr>
          <w:rFonts w:ascii="Times New Roman" w:hAnsi="Times New Roman" w:cs="Times New Roman"/>
          <w:sz w:val="24"/>
          <w:szCs w:val="24"/>
        </w:rPr>
        <w:t xml:space="preserve"> primarily</w:t>
      </w:r>
      <w:r w:rsidR="001F5AFA">
        <w:rPr>
          <w:rFonts w:ascii="Times New Roman" w:hAnsi="Times New Roman" w:cs="Times New Roman"/>
          <w:sz w:val="24"/>
          <w:szCs w:val="24"/>
        </w:rPr>
        <w:t xml:space="preserve"> from</w:t>
      </w:r>
      <w:r w:rsidR="00663592">
        <w:rPr>
          <w:rFonts w:ascii="Times New Roman" w:hAnsi="Times New Roman" w:cs="Times New Roman"/>
          <w:sz w:val="24"/>
          <w:szCs w:val="24"/>
        </w:rPr>
        <w:t xml:space="preserve"> studies that </w:t>
      </w:r>
      <w:r w:rsidR="006F37E4">
        <w:rPr>
          <w:rFonts w:ascii="Times New Roman" w:hAnsi="Times New Roman" w:cs="Times New Roman"/>
          <w:sz w:val="24"/>
          <w:szCs w:val="24"/>
        </w:rPr>
        <w:t xml:space="preserve">are </w:t>
      </w:r>
      <w:r w:rsidR="00663592">
        <w:rPr>
          <w:rFonts w:ascii="Times New Roman" w:hAnsi="Times New Roman" w:cs="Times New Roman"/>
          <w:sz w:val="24"/>
          <w:szCs w:val="24"/>
        </w:rPr>
        <w:t>either small, low quality</w:t>
      </w:r>
      <w:r w:rsidR="00E133FD">
        <w:rPr>
          <w:rFonts w:ascii="Times New Roman" w:hAnsi="Times New Roman" w:cs="Times New Roman"/>
          <w:sz w:val="24"/>
          <w:szCs w:val="24"/>
        </w:rPr>
        <w:t>, or</w:t>
      </w:r>
      <w:r w:rsidR="00663592">
        <w:rPr>
          <w:rFonts w:ascii="Times New Roman" w:hAnsi="Times New Roman" w:cs="Times New Roman"/>
          <w:sz w:val="24"/>
          <w:szCs w:val="24"/>
        </w:rPr>
        <w:t xml:space="preserve"> not representative of patient populations seen in real-life clinical practice. </w:t>
      </w:r>
      <w:r w:rsidR="00680F35">
        <w:rPr>
          <w:rFonts w:ascii="Times New Roman" w:hAnsi="Times New Roman" w:cs="Times New Roman"/>
          <w:sz w:val="24"/>
          <w:szCs w:val="24"/>
        </w:rPr>
        <w:t>Only o</w:t>
      </w:r>
      <w:r w:rsidR="00E133FD">
        <w:rPr>
          <w:rFonts w:ascii="Times New Roman" w:hAnsi="Times New Roman" w:cs="Times New Roman"/>
          <w:sz w:val="24"/>
          <w:szCs w:val="24"/>
        </w:rPr>
        <w:t xml:space="preserve">ne large prospective cohort study embedded in routine practice </w:t>
      </w:r>
      <w:r w:rsidR="00680F35">
        <w:rPr>
          <w:rFonts w:ascii="Times New Roman" w:hAnsi="Times New Roman" w:cs="Times New Roman"/>
          <w:sz w:val="24"/>
          <w:szCs w:val="24"/>
        </w:rPr>
        <w:t>was identified</w:t>
      </w:r>
      <w:r w:rsidR="00E133FD">
        <w:rPr>
          <w:rFonts w:ascii="Times New Roman" w:hAnsi="Times New Roman" w:cs="Times New Roman"/>
          <w:sz w:val="24"/>
          <w:szCs w:val="24"/>
        </w:rPr>
        <w:t xml:space="preserve">, but in a high TB-incidence setting. </w:t>
      </w:r>
      <w:r w:rsidR="00663592">
        <w:rPr>
          <w:rFonts w:ascii="Times New Roman" w:hAnsi="Times New Roman" w:cs="Times New Roman"/>
          <w:sz w:val="24"/>
          <w:szCs w:val="24"/>
        </w:rPr>
        <w:t>Thus</w:t>
      </w:r>
      <w:r w:rsidR="006F37E4">
        <w:rPr>
          <w:rFonts w:ascii="Times New Roman" w:hAnsi="Times New Roman" w:cs="Times New Roman"/>
          <w:sz w:val="24"/>
          <w:szCs w:val="24"/>
        </w:rPr>
        <w:t>,</w:t>
      </w:r>
      <w:r w:rsidR="00663592">
        <w:rPr>
          <w:rFonts w:ascii="Times New Roman" w:hAnsi="Times New Roman" w:cs="Times New Roman"/>
          <w:sz w:val="24"/>
          <w:szCs w:val="24"/>
        </w:rPr>
        <w:t xml:space="preserve"> </w:t>
      </w:r>
      <w:r>
        <w:rPr>
          <w:rFonts w:ascii="Times New Roman" w:hAnsi="Times New Roman" w:cs="Times New Roman"/>
          <w:sz w:val="24"/>
          <w:szCs w:val="24"/>
        </w:rPr>
        <w:t xml:space="preserve">fifteen </w:t>
      </w:r>
      <w:r w:rsidR="00663592">
        <w:rPr>
          <w:rFonts w:ascii="Times New Roman" w:hAnsi="Times New Roman" w:cs="Times New Roman"/>
          <w:sz w:val="24"/>
          <w:szCs w:val="24"/>
        </w:rPr>
        <w:t>years after introduction of IG</w:t>
      </w:r>
      <w:r w:rsidR="00B6285F">
        <w:rPr>
          <w:rFonts w:ascii="Times New Roman" w:hAnsi="Times New Roman" w:cs="Times New Roman"/>
          <w:sz w:val="24"/>
          <w:szCs w:val="24"/>
        </w:rPr>
        <w:t>R</w:t>
      </w:r>
      <w:r w:rsidR="00663592">
        <w:rPr>
          <w:rFonts w:ascii="Times New Roman" w:hAnsi="Times New Roman" w:cs="Times New Roman"/>
          <w:sz w:val="24"/>
          <w:szCs w:val="24"/>
        </w:rPr>
        <w:t xml:space="preserve">As, the </w:t>
      </w:r>
      <w:r w:rsidR="006F37E4">
        <w:rPr>
          <w:rFonts w:ascii="Times New Roman" w:hAnsi="Times New Roman" w:cs="Times New Roman"/>
          <w:sz w:val="24"/>
          <w:szCs w:val="24"/>
        </w:rPr>
        <w:t xml:space="preserve">ability of policy-makers </w:t>
      </w:r>
      <w:r w:rsidR="001F5AFA">
        <w:rPr>
          <w:rFonts w:ascii="Times New Roman" w:hAnsi="Times New Roman" w:cs="Times New Roman"/>
          <w:sz w:val="24"/>
          <w:szCs w:val="24"/>
        </w:rPr>
        <w:t>in low TB</w:t>
      </w:r>
      <w:r w:rsidR="00B46057">
        <w:rPr>
          <w:rFonts w:ascii="Times New Roman" w:hAnsi="Times New Roman" w:cs="Times New Roman"/>
          <w:sz w:val="24"/>
          <w:szCs w:val="24"/>
        </w:rPr>
        <w:t>-</w:t>
      </w:r>
      <w:r w:rsidR="001F5AFA">
        <w:rPr>
          <w:rFonts w:ascii="Times New Roman" w:hAnsi="Times New Roman" w:cs="Times New Roman"/>
          <w:sz w:val="24"/>
          <w:szCs w:val="24"/>
        </w:rPr>
        <w:t xml:space="preserve">incidence settings </w:t>
      </w:r>
      <w:r w:rsidR="006F37E4">
        <w:rPr>
          <w:rFonts w:ascii="Times New Roman" w:hAnsi="Times New Roman" w:cs="Times New Roman"/>
          <w:sz w:val="24"/>
          <w:szCs w:val="24"/>
        </w:rPr>
        <w:t>to generate recommendations and guidelines for the role of IGRAs in active TB is still hampered by a paucity of reliable and informative evidence.</w:t>
      </w:r>
      <w:r w:rsidR="00663592">
        <w:rPr>
          <w:rFonts w:ascii="Times New Roman" w:hAnsi="Times New Roman" w:cs="Times New Roman"/>
          <w:sz w:val="24"/>
          <w:szCs w:val="24"/>
        </w:rPr>
        <w:t xml:space="preserve">  </w:t>
      </w:r>
    </w:p>
    <w:p w14:paraId="14C3BC0E" w14:textId="4ED9FA1E" w:rsidR="007E7B7C" w:rsidRDefault="007E7B7C" w:rsidP="001B1048">
      <w:pPr>
        <w:spacing w:after="0" w:line="480" w:lineRule="auto"/>
        <w:rPr>
          <w:rFonts w:ascii="Times New Roman" w:hAnsi="Times New Roman" w:cs="Times New Roman"/>
          <w:b/>
          <w:sz w:val="24"/>
          <w:szCs w:val="24"/>
        </w:rPr>
      </w:pPr>
      <w:r>
        <w:rPr>
          <w:rFonts w:ascii="Times New Roman" w:hAnsi="Times New Roman" w:cs="Times New Roman"/>
          <w:b/>
          <w:sz w:val="24"/>
          <w:szCs w:val="24"/>
        </w:rPr>
        <w:t>Added value of this study</w:t>
      </w:r>
    </w:p>
    <w:p w14:paraId="515C4241" w14:textId="4BE5BEFC" w:rsidR="000A2411" w:rsidRDefault="00F4169D" w:rsidP="00685DA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This is the largest prospective study </w:t>
      </w:r>
      <w:r w:rsidR="006F37E4">
        <w:rPr>
          <w:rFonts w:ascii="Times New Roman" w:hAnsi="Times New Roman" w:cs="Times New Roman"/>
          <w:sz w:val="24"/>
          <w:szCs w:val="24"/>
        </w:rPr>
        <w:t xml:space="preserve">specifically </w:t>
      </w:r>
      <w:r>
        <w:rPr>
          <w:rFonts w:ascii="Times New Roman" w:hAnsi="Times New Roman" w:cs="Times New Roman"/>
          <w:sz w:val="24"/>
          <w:szCs w:val="24"/>
        </w:rPr>
        <w:t>to define the role of IGRAs</w:t>
      </w:r>
      <w:r w:rsidR="00B56B52">
        <w:rPr>
          <w:rFonts w:ascii="Times New Roman" w:hAnsi="Times New Roman" w:cs="Times New Roman"/>
          <w:sz w:val="24"/>
          <w:szCs w:val="24"/>
        </w:rPr>
        <w:t xml:space="preserve"> in diagnosis of active TB</w:t>
      </w:r>
      <w:r>
        <w:rPr>
          <w:rFonts w:ascii="Times New Roman" w:hAnsi="Times New Roman" w:cs="Times New Roman"/>
          <w:sz w:val="24"/>
          <w:szCs w:val="24"/>
        </w:rPr>
        <w:t xml:space="preserve"> in a low TB incidence setting. </w:t>
      </w:r>
      <w:r w:rsidR="002028FF">
        <w:rPr>
          <w:rFonts w:ascii="Times New Roman" w:hAnsi="Times New Roman" w:cs="Times New Roman"/>
          <w:sz w:val="24"/>
          <w:szCs w:val="24"/>
        </w:rPr>
        <w:t>B</w:t>
      </w:r>
      <w:r>
        <w:rPr>
          <w:rFonts w:ascii="Times New Roman" w:hAnsi="Times New Roman" w:cs="Times New Roman"/>
          <w:sz w:val="24"/>
          <w:szCs w:val="24"/>
        </w:rPr>
        <w:t xml:space="preserve">ecause the study was </w:t>
      </w:r>
      <w:r w:rsidR="00A54513">
        <w:rPr>
          <w:rFonts w:ascii="Times New Roman" w:hAnsi="Times New Roman" w:cs="Times New Roman"/>
          <w:sz w:val="24"/>
          <w:szCs w:val="24"/>
        </w:rPr>
        <w:t xml:space="preserve">multicentre and </w:t>
      </w:r>
      <w:r>
        <w:rPr>
          <w:rFonts w:ascii="Times New Roman" w:hAnsi="Times New Roman" w:cs="Times New Roman"/>
          <w:sz w:val="24"/>
          <w:szCs w:val="24"/>
        </w:rPr>
        <w:t>embedded in routine clinical practice in England</w:t>
      </w:r>
      <w:r w:rsidR="00A54513">
        <w:rPr>
          <w:rFonts w:ascii="Times New Roman" w:hAnsi="Times New Roman" w:cs="Times New Roman"/>
          <w:sz w:val="24"/>
          <w:szCs w:val="24"/>
        </w:rPr>
        <w:t>,</w:t>
      </w:r>
      <w:r w:rsidR="00680F35">
        <w:rPr>
          <w:rFonts w:ascii="Times New Roman" w:hAnsi="Times New Roman" w:cs="Times New Roman"/>
          <w:sz w:val="24"/>
          <w:szCs w:val="24"/>
        </w:rPr>
        <w:t xml:space="preserve"> and recruited patients representing the full natural clinical spectrum of TB</w:t>
      </w:r>
      <w:r>
        <w:rPr>
          <w:rFonts w:ascii="Times New Roman" w:hAnsi="Times New Roman" w:cs="Times New Roman"/>
          <w:sz w:val="24"/>
          <w:szCs w:val="24"/>
        </w:rPr>
        <w:t xml:space="preserve">, the results are </w:t>
      </w:r>
      <w:r w:rsidR="00663592">
        <w:rPr>
          <w:rFonts w:ascii="Times New Roman" w:hAnsi="Times New Roman" w:cs="Times New Roman"/>
          <w:sz w:val="24"/>
          <w:szCs w:val="24"/>
        </w:rPr>
        <w:t>generalis</w:t>
      </w:r>
      <w:r w:rsidR="006F37E4">
        <w:rPr>
          <w:rFonts w:ascii="Times New Roman" w:hAnsi="Times New Roman" w:cs="Times New Roman"/>
          <w:sz w:val="24"/>
          <w:szCs w:val="24"/>
        </w:rPr>
        <w:t>able to other high income, low</w:t>
      </w:r>
      <w:r w:rsidR="0035609C">
        <w:rPr>
          <w:rFonts w:ascii="Times New Roman" w:hAnsi="Times New Roman" w:cs="Times New Roman"/>
          <w:sz w:val="24"/>
          <w:szCs w:val="24"/>
        </w:rPr>
        <w:t xml:space="preserve"> </w:t>
      </w:r>
      <w:r w:rsidR="006F37E4">
        <w:rPr>
          <w:rFonts w:ascii="Times New Roman" w:hAnsi="Times New Roman" w:cs="Times New Roman"/>
          <w:sz w:val="24"/>
          <w:szCs w:val="24"/>
        </w:rPr>
        <w:t xml:space="preserve">incidence </w:t>
      </w:r>
      <w:r w:rsidR="00680F35">
        <w:rPr>
          <w:rFonts w:ascii="Times New Roman" w:hAnsi="Times New Roman" w:cs="Times New Roman"/>
          <w:sz w:val="24"/>
          <w:szCs w:val="24"/>
        </w:rPr>
        <w:t>settings</w:t>
      </w:r>
      <w:r w:rsidR="006F37E4">
        <w:rPr>
          <w:rFonts w:ascii="Times New Roman" w:hAnsi="Times New Roman" w:cs="Times New Roman"/>
          <w:sz w:val="24"/>
          <w:szCs w:val="24"/>
        </w:rPr>
        <w:t>.</w:t>
      </w:r>
      <w:r w:rsidR="009A49AD" w:rsidRPr="009A49AD">
        <w:rPr>
          <w:rFonts w:ascii="Times New Roman" w:hAnsi="Times New Roman" w:cs="Times New Roman"/>
          <w:sz w:val="24"/>
          <w:szCs w:val="24"/>
        </w:rPr>
        <w:t xml:space="preserve"> </w:t>
      </w:r>
      <w:r w:rsidR="00684DF4">
        <w:rPr>
          <w:rFonts w:ascii="Times New Roman" w:hAnsi="Times New Roman" w:cs="Times New Roman"/>
          <w:sz w:val="24"/>
          <w:szCs w:val="24"/>
        </w:rPr>
        <w:t>By demonstrating that existing IGRAs have no useful role in diagnosis of active TB, it</w:t>
      </w:r>
      <w:r w:rsidR="009A49AD">
        <w:rPr>
          <w:rFonts w:ascii="Times New Roman" w:hAnsi="Times New Roman" w:cs="Times New Roman"/>
          <w:sz w:val="24"/>
          <w:szCs w:val="24"/>
        </w:rPr>
        <w:t xml:space="preserve"> </w:t>
      </w:r>
      <w:r w:rsidR="00684DF4">
        <w:rPr>
          <w:rFonts w:ascii="Times New Roman" w:hAnsi="Times New Roman" w:cs="Times New Roman"/>
          <w:sz w:val="24"/>
          <w:szCs w:val="24"/>
        </w:rPr>
        <w:t xml:space="preserve">resolves a major clinical uncertainty and </w:t>
      </w:r>
      <w:r w:rsidR="009A49AD">
        <w:rPr>
          <w:rFonts w:ascii="Times New Roman" w:hAnsi="Times New Roman" w:cs="Times New Roman"/>
          <w:sz w:val="24"/>
          <w:szCs w:val="24"/>
        </w:rPr>
        <w:t xml:space="preserve">represents a </w:t>
      </w:r>
      <w:r w:rsidR="00680F35">
        <w:rPr>
          <w:rFonts w:ascii="Times New Roman" w:hAnsi="Times New Roman" w:cs="Times New Roman"/>
          <w:sz w:val="24"/>
          <w:szCs w:val="24"/>
        </w:rPr>
        <w:t xml:space="preserve">significant new </w:t>
      </w:r>
      <w:r w:rsidR="009A49AD">
        <w:rPr>
          <w:rFonts w:ascii="Times New Roman" w:hAnsi="Times New Roman" w:cs="Times New Roman"/>
          <w:sz w:val="24"/>
          <w:szCs w:val="24"/>
        </w:rPr>
        <w:t>high</w:t>
      </w:r>
      <w:r w:rsidR="00B6285F">
        <w:rPr>
          <w:rFonts w:ascii="Times New Roman" w:hAnsi="Times New Roman" w:cs="Times New Roman"/>
          <w:sz w:val="24"/>
          <w:szCs w:val="24"/>
        </w:rPr>
        <w:t>-</w:t>
      </w:r>
      <w:r w:rsidR="009A49AD">
        <w:rPr>
          <w:rFonts w:ascii="Times New Roman" w:hAnsi="Times New Roman" w:cs="Times New Roman"/>
          <w:sz w:val="24"/>
          <w:szCs w:val="24"/>
        </w:rPr>
        <w:t>quality component of the evidence-base.</w:t>
      </w:r>
      <w:r w:rsidR="00684DF4">
        <w:rPr>
          <w:rFonts w:ascii="Times New Roman" w:hAnsi="Times New Roman" w:cs="Times New Roman"/>
          <w:sz w:val="24"/>
          <w:szCs w:val="24"/>
        </w:rPr>
        <w:t xml:space="preserve"> </w:t>
      </w:r>
      <w:r w:rsidR="001C6FC5">
        <w:rPr>
          <w:rFonts w:ascii="Times New Roman" w:hAnsi="Times New Roman" w:cs="Times New Roman"/>
          <w:sz w:val="24"/>
          <w:szCs w:val="24"/>
        </w:rPr>
        <w:t>Simultaneous evaluation of</w:t>
      </w:r>
      <w:r w:rsidR="00684DF4">
        <w:rPr>
          <w:rFonts w:ascii="Times New Roman" w:hAnsi="Times New Roman" w:cs="Times New Roman"/>
          <w:sz w:val="24"/>
          <w:szCs w:val="24"/>
        </w:rPr>
        <w:t xml:space="preserve"> </w:t>
      </w:r>
      <w:r w:rsidR="00C9141C">
        <w:rPr>
          <w:rFonts w:ascii="Times New Roman" w:hAnsi="Times New Roman" w:cs="Times New Roman"/>
          <w:sz w:val="24"/>
          <w:szCs w:val="24"/>
        </w:rPr>
        <w:t>second-generation</w:t>
      </w:r>
      <w:r w:rsidR="00684DF4">
        <w:rPr>
          <w:rFonts w:ascii="Times New Roman" w:hAnsi="Times New Roman" w:cs="Times New Roman"/>
          <w:sz w:val="24"/>
          <w:szCs w:val="24"/>
        </w:rPr>
        <w:t xml:space="preserve"> IGRA </w:t>
      </w:r>
      <w:r w:rsidR="001C6FC5">
        <w:rPr>
          <w:rFonts w:ascii="Times New Roman" w:hAnsi="Times New Roman" w:cs="Times New Roman"/>
          <w:sz w:val="24"/>
          <w:szCs w:val="24"/>
        </w:rPr>
        <w:t>identifies this as a potentially useful high-sensitivity triage test that meets</w:t>
      </w:r>
      <w:r w:rsidR="000A0556">
        <w:rPr>
          <w:rFonts w:ascii="Times New Roman" w:hAnsi="Times New Roman" w:cs="Times New Roman"/>
          <w:sz w:val="24"/>
          <w:szCs w:val="24"/>
        </w:rPr>
        <w:t xml:space="preserve"> a major unmet clinical need.</w:t>
      </w:r>
    </w:p>
    <w:p w14:paraId="53FB0802" w14:textId="0DBAC676" w:rsidR="007E7B7C" w:rsidRPr="00957E32" w:rsidRDefault="007E7B7C" w:rsidP="001B1048">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Implications of all the available evidence</w:t>
      </w:r>
    </w:p>
    <w:p w14:paraId="2AF5CEDF" w14:textId="764120F6" w:rsidR="00836FF6" w:rsidRPr="009A49AD" w:rsidRDefault="002028FF" w:rsidP="00647A6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Results from t</w:t>
      </w:r>
      <w:r w:rsidR="009A49AD">
        <w:rPr>
          <w:rFonts w:ascii="Times New Roman" w:hAnsi="Times New Roman" w:cs="Times New Roman"/>
          <w:sz w:val="24"/>
          <w:szCs w:val="24"/>
        </w:rPr>
        <w:t xml:space="preserve">his and previous studies </w:t>
      </w:r>
      <w:r>
        <w:rPr>
          <w:rFonts w:ascii="Times New Roman" w:hAnsi="Times New Roman" w:cs="Times New Roman"/>
          <w:sz w:val="24"/>
          <w:szCs w:val="24"/>
        </w:rPr>
        <w:t>can now be used to generate evidence-based</w:t>
      </w:r>
      <w:r w:rsidR="006F37E4">
        <w:rPr>
          <w:rFonts w:ascii="Times New Roman" w:hAnsi="Times New Roman" w:cs="Times New Roman"/>
          <w:sz w:val="24"/>
          <w:szCs w:val="24"/>
        </w:rPr>
        <w:t xml:space="preserve"> national guidelines</w:t>
      </w:r>
      <w:r>
        <w:rPr>
          <w:rFonts w:ascii="Times New Roman" w:hAnsi="Times New Roman" w:cs="Times New Roman"/>
          <w:sz w:val="24"/>
          <w:szCs w:val="24"/>
        </w:rPr>
        <w:t xml:space="preserve"> and recommendations for TB diagnosis. </w:t>
      </w:r>
      <w:r w:rsidR="00B56B52">
        <w:rPr>
          <w:rFonts w:ascii="Times New Roman" w:hAnsi="Times New Roman" w:cs="Times New Roman"/>
          <w:sz w:val="24"/>
          <w:szCs w:val="24"/>
        </w:rPr>
        <w:t>Specifically</w:t>
      </w:r>
      <w:r w:rsidRPr="002028FF">
        <w:rPr>
          <w:rFonts w:ascii="Times New Roman" w:hAnsi="Times New Roman" w:cs="Times New Roman"/>
          <w:sz w:val="24"/>
          <w:szCs w:val="24"/>
        </w:rPr>
        <w:t xml:space="preserve">, </w:t>
      </w:r>
      <w:r w:rsidRPr="00A227A2">
        <w:rPr>
          <w:rFonts w:ascii="Times New Roman" w:hAnsi="Times New Roman" w:cs="Times New Roman"/>
          <w:sz w:val="24"/>
          <w:szCs w:val="24"/>
        </w:rPr>
        <w:t>neither</w:t>
      </w:r>
      <w:r w:rsidR="00836FF6" w:rsidRPr="00A227A2">
        <w:rPr>
          <w:rFonts w:ascii="Times New Roman" w:hAnsi="Times New Roman" w:cs="Times New Roman"/>
          <w:sz w:val="24"/>
          <w:szCs w:val="24"/>
        </w:rPr>
        <w:t xml:space="preserve"> T-SPOT.TB </w:t>
      </w:r>
      <w:r>
        <w:rPr>
          <w:rFonts w:ascii="Times New Roman" w:hAnsi="Times New Roman" w:cs="Times New Roman"/>
          <w:sz w:val="24"/>
          <w:szCs w:val="24"/>
        </w:rPr>
        <w:t>no</w:t>
      </w:r>
      <w:r w:rsidR="00B6285F">
        <w:rPr>
          <w:rFonts w:ascii="Times New Roman" w:hAnsi="Times New Roman" w:cs="Times New Roman"/>
          <w:sz w:val="24"/>
          <w:szCs w:val="24"/>
        </w:rPr>
        <w:t>r</w:t>
      </w:r>
      <w:r>
        <w:rPr>
          <w:rFonts w:ascii="Times New Roman" w:hAnsi="Times New Roman" w:cs="Times New Roman"/>
          <w:sz w:val="24"/>
          <w:szCs w:val="24"/>
        </w:rPr>
        <w:t xml:space="preserve"> </w:t>
      </w:r>
      <w:r w:rsidR="00836FF6" w:rsidRPr="00A227A2">
        <w:rPr>
          <w:rFonts w:ascii="Times New Roman" w:hAnsi="Times New Roman" w:cs="Times New Roman"/>
          <w:sz w:val="24"/>
          <w:szCs w:val="24"/>
        </w:rPr>
        <w:t xml:space="preserve">QFT-GIT </w:t>
      </w:r>
      <w:r>
        <w:rPr>
          <w:rFonts w:ascii="Times New Roman" w:hAnsi="Times New Roman" w:cs="Times New Roman"/>
          <w:sz w:val="24"/>
          <w:szCs w:val="24"/>
        </w:rPr>
        <w:t>have</w:t>
      </w:r>
      <w:r w:rsidR="00836FF6" w:rsidRPr="00A227A2">
        <w:rPr>
          <w:rFonts w:ascii="Times New Roman" w:hAnsi="Times New Roman" w:cs="Times New Roman"/>
          <w:sz w:val="24"/>
          <w:szCs w:val="24"/>
        </w:rPr>
        <w:t xml:space="preserve"> sufficient sensitivity or </w:t>
      </w:r>
      <w:r w:rsidR="00680F35">
        <w:rPr>
          <w:rFonts w:ascii="Times New Roman" w:hAnsi="Times New Roman" w:cs="Times New Roman"/>
          <w:sz w:val="24"/>
          <w:szCs w:val="24"/>
        </w:rPr>
        <w:t xml:space="preserve">negative predictive value </w:t>
      </w:r>
      <w:r w:rsidR="00A01604">
        <w:rPr>
          <w:rFonts w:ascii="Times New Roman" w:hAnsi="Times New Roman" w:cs="Times New Roman"/>
          <w:sz w:val="24"/>
          <w:szCs w:val="24"/>
        </w:rPr>
        <w:t xml:space="preserve">(NPV) </w:t>
      </w:r>
      <w:r w:rsidR="00836FF6" w:rsidRPr="00A227A2">
        <w:rPr>
          <w:rFonts w:ascii="Times New Roman" w:hAnsi="Times New Roman" w:cs="Times New Roman"/>
          <w:sz w:val="24"/>
          <w:szCs w:val="24"/>
        </w:rPr>
        <w:t>to rule</w:t>
      </w:r>
      <w:r w:rsidR="000062C7">
        <w:rPr>
          <w:rFonts w:ascii="Times New Roman" w:hAnsi="Times New Roman" w:cs="Times New Roman"/>
          <w:sz w:val="24"/>
          <w:szCs w:val="24"/>
        </w:rPr>
        <w:t xml:space="preserve"> </w:t>
      </w:r>
      <w:r w:rsidR="00836FF6" w:rsidRPr="00A227A2">
        <w:rPr>
          <w:rFonts w:ascii="Times New Roman" w:hAnsi="Times New Roman" w:cs="Times New Roman"/>
          <w:sz w:val="24"/>
          <w:szCs w:val="24"/>
        </w:rPr>
        <w:t xml:space="preserve">out a diagnosis of TB. </w:t>
      </w:r>
      <w:r w:rsidR="00A01604">
        <w:rPr>
          <w:rFonts w:ascii="Times New Roman" w:hAnsi="Times New Roman" w:cs="Times New Roman"/>
          <w:sz w:val="24"/>
          <w:szCs w:val="24"/>
        </w:rPr>
        <w:t>Taken together with their</w:t>
      </w:r>
      <w:r>
        <w:rPr>
          <w:rFonts w:ascii="Times New Roman" w:hAnsi="Times New Roman" w:cs="Times New Roman"/>
          <w:sz w:val="24"/>
          <w:szCs w:val="24"/>
        </w:rPr>
        <w:t xml:space="preserve"> </w:t>
      </w:r>
      <w:r w:rsidR="00836FF6" w:rsidRPr="00A227A2">
        <w:rPr>
          <w:rFonts w:ascii="Times New Roman" w:hAnsi="Times New Roman" w:cs="Times New Roman"/>
          <w:sz w:val="24"/>
          <w:szCs w:val="24"/>
        </w:rPr>
        <w:t>low specificity</w:t>
      </w:r>
      <w:r w:rsidR="00A01604">
        <w:rPr>
          <w:rFonts w:ascii="Times New Roman" w:hAnsi="Times New Roman" w:cs="Times New Roman"/>
          <w:sz w:val="24"/>
          <w:szCs w:val="24"/>
        </w:rPr>
        <w:t xml:space="preserve"> and consequent inability to </w:t>
      </w:r>
      <w:r w:rsidR="00836FF6" w:rsidRPr="00A227A2">
        <w:rPr>
          <w:rFonts w:ascii="Times New Roman" w:hAnsi="Times New Roman" w:cs="Times New Roman"/>
          <w:sz w:val="24"/>
          <w:szCs w:val="24"/>
        </w:rPr>
        <w:t>rule</w:t>
      </w:r>
      <w:r w:rsidR="000062C7">
        <w:rPr>
          <w:rFonts w:ascii="Times New Roman" w:hAnsi="Times New Roman" w:cs="Times New Roman"/>
          <w:sz w:val="24"/>
          <w:szCs w:val="24"/>
        </w:rPr>
        <w:t xml:space="preserve"> </w:t>
      </w:r>
      <w:r w:rsidR="00836FF6" w:rsidRPr="00A227A2">
        <w:rPr>
          <w:rFonts w:ascii="Times New Roman" w:hAnsi="Times New Roman" w:cs="Times New Roman"/>
          <w:sz w:val="24"/>
          <w:szCs w:val="24"/>
        </w:rPr>
        <w:t>in a diagnosis of TB</w:t>
      </w:r>
      <w:r w:rsidR="00A01604">
        <w:rPr>
          <w:rFonts w:ascii="Times New Roman" w:hAnsi="Times New Roman" w:cs="Times New Roman"/>
          <w:sz w:val="24"/>
          <w:szCs w:val="24"/>
        </w:rPr>
        <w:t>, existing IGRAs do not have a clinically useful role in the diagnostic work-up of TB</w:t>
      </w:r>
      <w:r w:rsidR="00CD46D2">
        <w:rPr>
          <w:rFonts w:ascii="Times New Roman" w:hAnsi="Times New Roman" w:cs="Times New Roman"/>
          <w:sz w:val="24"/>
          <w:szCs w:val="24"/>
        </w:rPr>
        <w:t>.</w:t>
      </w:r>
      <w:r w:rsidR="00836FF6" w:rsidRPr="00A227A2">
        <w:rPr>
          <w:rFonts w:ascii="Times New Roman" w:hAnsi="Times New Roman" w:cs="Times New Roman"/>
          <w:sz w:val="24"/>
          <w:szCs w:val="24"/>
        </w:rPr>
        <w:t xml:space="preserve"> </w:t>
      </w:r>
      <w:r w:rsidR="00AF7F63">
        <w:rPr>
          <w:rFonts w:ascii="Times New Roman" w:hAnsi="Times New Roman" w:cs="Times New Roman"/>
          <w:sz w:val="24"/>
          <w:szCs w:val="24"/>
        </w:rPr>
        <w:t>T</w:t>
      </w:r>
      <w:r>
        <w:rPr>
          <w:rFonts w:ascii="Times New Roman" w:hAnsi="Times New Roman" w:cs="Times New Roman"/>
          <w:sz w:val="24"/>
          <w:szCs w:val="24"/>
        </w:rPr>
        <w:t xml:space="preserve">he finding that </w:t>
      </w:r>
      <w:r w:rsidR="001C6FC5">
        <w:rPr>
          <w:rFonts w:ascii="Times New Roman" w:hAnsi="Times New Roman" w:cs="Times New Roman"/>
          <w:sz w:val="24"/>
          <w:szCs w:val="24"/>
        </w:rPr>
        <w:t xml:space="preserve">the </w:t>
      </w:r>
      <w:r w:rsidR="00C9141C">
        <w:rPr>
          <w:rFonts w:ascii="Times New Roman" w:hAnsi="Times New Roman" w:cs="Times New Roman"/>
          <w:sz w:val="24"/>
          <w:szCs w:val="24"/>
        </w:rPr>
        <w:t>second-generation</w:t>
      </w:r>
      <w:r w:rsidRPr="00877C16">
        <w:rPr>
          <w:rFonts w:ascii="Times New Roman" w:hAnsi="Times New Roman" w:cs="Times New Roman"/>
          <w:sz w:val="24"/>
          <w:szCs w:val="24"/>
        </w:rPr>
        <w:t xml:space="preserve"> IGRA</w:t>
      </w:r>
      <w:r w:rsidR="00001AC1">
        <w:rPr>
          <w:rFonts w:ascii="Times New Roman" w:hAnsi="Times New Roman" w:cs="Times New Roman"/>
          <w:sz w:val="24"/>
          <w:szCs w:val="24"/>
        </w:rPr>
        <w:t xml:space="preserve"> </w:t>
      </w:r>
      <w:r w:rsidR="00741757">
        <w:rPr>
          <w:rFonts w:ascii="Times New Roman" w:hAnsi="Times New Roman" w:cs="Times New Roman"/>
          <w:sz w:val="24"/>
          <w:szCs w:val="24"/>
        </w:rPr>
        <w:t xml:space="preserve">may </w:t>
      </w:r>
      <w:r w:rsidRPr="00877C16">
        <w:rPr>
          <w:rFonts w:ascii="Times New Roman" w:hAnsi="Times New Roman" w:cs="Times New Roman"/>
          <w:sz w:val="24"/>
          <w:szCs w:val="24"/>
        </w:rPr>
        <w:t>ha</w:t>
      </w:r>
      <w:r w:rsidR="001F5AFA">
        <w:rPr>
          <w:rFonts w:ascii="Times New Roman" w:hAnsi="Times New Roman" w:cs="Times New Roman"/>
          <w:sz w:val="24"/>
          <w:szCs w:val="24"/>
        </w:rPr>
        <w:t xml:space="preserve">ve </w:t>
      </w:r>
      <w:r w:rsidRPr="00877C16">
        <w:rPr>
          <w:rFonts w:ascii="Times New Roman" w:hAnsi="Times New Roman" w:cs="Times New Roman"/>
          <w:sz w:val="24"/>
          <w:szCs w:val="24"/>
        </w:rPr>
        <w:t xml:space="preserve">sufficiently high </w:t>
      </w:r>
      <w:r w:rsidR="00A01604">
        <w:rPr>
          <w:rFonts w:ascii="Times New Roman" w:hAnsi="Times New Roman" w:cs="Times New Roman"/>
          <w:sz w:val="24"/>
          <w:szCs w:val="24"/>
        </w:rPr>
        <w:t>sensitivity</w:t>
      </w:r>
      <w:r w:rsidR="00CD46D2">
        <w:rPr>
          <w:rFonts w:ascii="Times New Roman" w:hAnsi="Times New Roman" w:cs="Times New Roman"/>
          <w:sz w:val="24"/>
          <w:szCs w:val="24"/>
        </w:rPr>
        <w:t xml:space="preserve">, low </w:t>
      </w:r>
      <w:r w:rsidR="001C6FC5">
        <w:rPr>
          <w:rFonts w:ascii="Times New Roman" w:hAnsi="Times New Roman" w:cs="Times New Roman"/>
          <w:sz w:val="24"/>
          <w:szCs w:val="24"/>
        </w:rPr>
        <w:t xml:space="preserve">negative </w:t>
      </w:r>
      <w:r w:rsidR="00CD46D2">
        <w:rPr>
          <w:rFonts w:ascii="Times New Roman" w:hAnsi="Times New Roman" w:cs="Times New Roman"/>
          <w:sz w:val="24"/>
          <w:szCs w:val="24"/>
        </w:rPr>
        <w:t>likelihood ratio</w:t>
      </w:r>
      <w:r w:rsidR="00A01604">
        <w:rPr>
          <w:rFonts w:ascii="Times New Roman" w:hAnsi="Times New Roman" w:cs="Times New Roman"/>
          <w:sz w:val="24"/>
          <w:szCs w:val="24"/>
        </w:rPr>
        <w:t xml:space="preserve"> and </w:t>
      </w:r>
      <w:r w:rsidR="00CD46D2">
        <w:rPr>
          <w:rFonts w:ascii="Times New Roman" w:hAnsi="Times New Roman" w:cs="Times New Roman"/>
          <w:sz w:val="24"/>
          <w:szCs w:val="24"/>
        </w:rPr>
        <w:t xml:space="preserve">high </w:t>
      </w:r>
      <w:r w:rsidRPr="00877C16">
        <w:rPr>
          <w:rFonts w:ascii="Times New Roman" w:hAnsi="Times New Roman" w:cs="Times New Roman"/>
          <w:sz w:val="24"/>
          <w:szCs w:val="24"/>
        </w:rPr>
        <w:t xml:space="preserve">NPV to serve as </w:t>
      </w:r>
      <w:r w:rsidR="001C6FC5">
        <w:rPr>
          <w:rFonts w:ascii="Times New Roman" w:hAnsi="Times New Roman" w:cs="Times New Roman"/>
          <w:sz w:val="24"/>
          <w:szCs w:val="24"/>
        </w:rPr>
        <w:t xml:space="preserve">a </w:t>
      </w:r>
      <w:r w:rsidRPr="00877C16">
        <w:rPr>
          <w:rFonts w:ascii="Times New Roman" w:hAnsi="Times New Roman" w:cs="Times New Roman"/>
          <w:sz w:val="24"/>
          <w:szCs w:val="24"/>
        </w:rPr>
        <w:t xml:space="preserve">triage test </w:t>
      </w:r>
      <w:r w:rsidR="00B6285F">
        <w:rPr>
          <w:rFonts w:ascii="Times New Roman" w:hAnsi="Times New Roman" w:cs="Times New Roman"/>
          <w:sz w:val="24"/>
          <w:szCs w:val="24"/>
        </w:rPr>
        <w:t xml:space="preserve">to </w:t>
      </w:r>
      <w:r w:rsidRPr="00877C16">
        <w:rPr>
          <w:rFonts w:ascii="Times New Roman" w:hAnsi="Times New Roman" w:cs="Times New Roman"/>
          <w:sz w:val="24"/>
          <w:szCs w:val="24"/>
        </w:rPr>
        <w:t>help rule</w:t>
      </w:r>
      <w:r>
        <w:rPr>
          <w:rFonts w:ascii="Times New Roman" w:hAnsi="Times New Roman" w:cs="Times New Roman"/>
          <w:sz w:val="24"/>
          <w:szCs w:val="24"/>
        </w:rPr>
        <w:t>-</w:t>
      </w:r>
      <w:r w:rsidRPr="00877C16">
        <w:rPr>
          <w:rFonts w:ascii="Times New Roman" w:hAnsi="Times New Roman" w:cs="Times New Roman"/>
          <w:sz w:val="24"/>
          <w:szCs w:val="24"/>
        </w:rPr>
        <w:t>out a diagnosis of TB</w:t>
      </w:r>
      <w:r>
        <w:rPr>
          <w:rFonts w:ascii="Times New Roman" w:hAnsi="Times New Roman" w:cs="Times New Roman"/>
          <w:sz w:val="24"/>
          <w:szCs w:val="24"/>
        </w:rPr>
        <w:t xml:space="preserve"> </w:t>
      </w:r>
      <w:r w:rsidR="005750B7">
        <w:rPr>
          <w:rFonts w:ascii="Times New Roman" w:hAnsi="Times New Roman" w:cs="Times New Roman"/>
          <w:sz w:val="24"/>
          <w:szCs w:val="24"/>
        </w:rPr>
        <w:t xml:space="preserve">within 24 hours </w:t>
      </w:r>
      <w:r w:rsidR="00001AC1">
        <w:rPr>
          <w:rFonts w:ascii="Times New Roman" w:hAnsi="Times New Roman" w:cs="Times New Roman"/>
          <w:sz w:val="24"/>
          <w:szCs w:val="24"/>
        </w:rPr>
        <w:t>indicates a clinically useful role for th</w:t>
      </w:r>
      <w:r w:rsidR="001C6FC5">
        <w:rPr>
          <w:rFonts w:ascii="Times New Roman" w:hAnsi="Times New Roman" w:cs="Times New Roman"/>
          <w:sz w:val="24"/>
          <w:szCs w:val="24"/>
        </w:rPr>
        <w:t>is</w:t>
      </w:r>
      <w:r w:rsidR="00001AC1">
        <w:rPr>
          <w:rFonts w:ascii="Times New Roman" w:hAnsi="Times New Roman" w:cs="Times New Roman"/>
          <w:sz w:val="24"/>
          <w:szCs w:val="24"/>
        </w:rPr>
        <w:t xml:space="preserve"> novel test and provide</w:t>
      </w:r>
      <w:r w:rsidR="006F59EC">
        <w:rPr>
          <w:rFonts w:ascii="Times New Roman" w:hAnsi="Times New Roman" w:cs="Times New Roman"/>
          <w:sz w:val="24"/>
          <w:szCs w:val="24"/>
        </w:rPr>
        <w:t>s the</w:t>
      </w:r>
      <w:r w:rsidR="00001AC1">
        <w:rPr>
          <w:rFonts w:ascii="Times New Roman" w:hAnsi="Times New Roman" w:cs="Times New Roman"/>
          <w:sz w:val="24"/>
          <w:szCs w:val="24"/>
        </w:rPr>
        <w:t xml:space="preserve"> basis for evidence-based guidelines on </w:t>
      </w:r>
      <w:r w:rsidR="001C6FC5">
        <w:rPr>
          <w:rFonts w:ascii="Times New Roman" w:hAnsi="Times New Roman" w:cs="Times New Roman"/>
          <w:sz w:val="24"/>
          <w:szCs w:val="24"/>
        </w:rPr>
        <w:t xml:space="preserve">its </w:t>
      </w:r>
      <w:r w:rsidR="00001AC1">
        <w:rPr>
          <w:rFonts w:ascii="Times New Roman" w:hAnsi="Times New Roman" w:cs="Times New Roman"/>
          <w:sz w:val="24"/>
          <w:szCs w:val="24"/>
        </w:rPr>
        <w:t>use</w:t>
      </w:r>
      <w:r w:rsidR="006F59EC">
        <w:rPr>
          <w:rFonts w:ascii="Times New Roman" w:hAnsi="Times New Roman" w:cs="Times New Roman"/>
          <w:sz w:val="24"/>
          <w:szCs w:val="24"/>
        </w:rPr>
        <w:t xml:space="preserve"> in low incidence settings</w:t>
      </w:r>
      <w:r w:rsidR="00001AC1">
        <w:rPr>
          <w:rFonts w:ascii="Times New Roman" w:hAnsi="Times New Roman" w:cs="Times New Roman"/>
          <w:sz w:val="24"/>
          <w:szCs w:val="24"/>
        </w:rPr>
        <w:t xml:space="preserve"> once </w:t>
      </w:r>
      <w:r w:rsidR="001C6FC5">
        <w:rPr>
          <w:rFonts w:ascii="Times New Roman" w:hAnsi="Times New Roman" w:cs="Times New Roman"/>
          <w:sz w:val="24"/>
          <w:szCs w:val="24"/>
        </w:rPr>
        <w:t xml:space="preserve">it is </w:t>
      </w:r>
      <w:r w:rsidR="00001AC1">
        <w:rPr>
          <w:rFonts w:ascii="Times New Roman" w:hAnsi="Times New Roman" w:cs="Times New Roman"/>
          <w:sz w:val="24"/>
          <w:szCs w:val="24"/>
        </w:rPr>
        <w:t>widely available post-licensure.</w:t>
      </w:r>
    </w:p>
    <w:p w14:paraId="627E0D80" w14:textId="18D8E169" w:rsidR="00A968F5" w:rsidRPr="009A49AD" w:rsidRDefault="00A968F5" w:rsidP="00A227A2">
      <w:pPr>
        <w:spacing w:after="0" w:line="360" w:lineRule="auto"/>
        <w:rPr>
          <w:rFonts w:ascii="Times New Roman" w:hAnsi="Times New Roman" w:cs="Times New Roman"/>
          <w:b/>
          <w:sz w:val="24"/>
          <w:szCs w:val="24"/>
        </w:rPr>
      </w:pPr>
    </w:p>
    <w:p w14:paraId="681B2DE1" w14:textId="77777777" w:rsidR="00BC1681" w:rsidRDefault="00BC1681" w:rsidP="001B1048">
      <w:pPr>
        <w:spacing w:after="0" w:line="480" w:lineRule="auto"/>
        <w:rPr>
          <w:rFonts w:ascii="Times New Roman" w:hAnsi="Times New Roman" w:cs="Times New Roman"/>
          <w:b/>
          <w:sz w:val="24"/>
          <w:szCs w:val="24"/>
        </w:rPr>
      </w:pPr>
    </w:p>
    <w:p w14:paraId="75BC0D1E" w14:textId="77777777" w:rsidR="00BC1681" w:rsidRDefault="00BC1681" w:rsidP="001B1048">
      <w:pPr>
        <w:spacing w:after="0" w:line="480" w:lineRule="auto"/>
        <w:rPr>
          <w:rFonts w:ascii="Times New Roman" w:hAnsi="Times New Roman" w:cs="Times New Roman"/>
          <w:b/>
          <w:sz w:val="24"/>
          <w:szCs w:val="24"/>
        </w:rPr>
      </w:pPr>
    </w:p>
    <w:p w14:paraId="4A5025D1" w14:textId="77777777" w:rsidR="00BC1681" w:rsidRPr="00957E32" w:rsidRDefault="00BC1681" w:rsidP="001B1048">
      <w:pPr>
        <w:spacing w:after="0" w:line="480" w:lineRule="auto"/>
        <w:rPr>
          <w:rFonts w:ascii="Times New Roman" w:hAnsi="Times New Roman" w:cs="Times New Roman"/>
          <w:b/>
          <w:sz w:val="24"/>
          <w:szCs w:val="24"/>
        </w:rPr>
      </w:pPr>
    </w:p>
    <w:p w14:paraId="534C40ED" w14:textId="4EC56FC4" w:rsidR="00A968F5" w:rsidRDefault="00A968F5" w:rsidP="001B1048">
      <w:pPr>
        <w:spacing w:after="0" w:line="480" w:lineRule="auto"/>
        <w:rPr>
          <w:rFonts w:ascii="Times New Roman" w:hAnsi="Times New Roman" w:cs="Times New Roman"/>
          <w:b/>
          <w:sz w:val="24"/>
          <w:szCs w:val="24"/>
        </w:rPr>
      </w:pPr>
    </w:p>
    <w:p w14:paraId="075D981C" w14:textId="2CA11ED9" w:rsidR="00B6285F" w:rsidRDefault="00B6285F" w:rsidP="001B1048">
      <w:pPr>
        <w:spacing w:after="0" w:line="480" w:lineRule="auto"/>
        <w:rPr>
          <w:rFonts w:ascii="Times New Roman" w:hAnsi="Times New Roman" w:cs="Times New Roman"/>
          <w:b/>
          <w:sz w:val="24"/>
          <w:szCs w:val="24"/>
        </w:rPr>
      </w:pPr>
    </w:p>
    <w:p w14:paraId="3C2938E8" w14:textId="14790077" w:rsidR="00B6285F" w:rsidRDefault="00B6285F" w:rsidP="001B1048">
      <w:pPr>
        <w:spacing w:after="0" w:line="480" w:lineRule="auto"/>
        <w:rPr>
          <w:rFonts w:ascii="Times New Roman" w:hAnsi="Times New Roman" w:cs="Times New Roman"/>
          <w:b/>
          <w:sz w:val="24"/>
          <w:szCs w:val="24"/>
        </w:rPr>
      </w:pPr>
    </w:p>
    <w:p w14:paraId="01138317" w14:textId="6498C320" w:rsidR="00B6285F" w:rsidRDefault="00B6285F" w:rsidP="001B1048">
      <w:pPr>
        <w:spacing w:after="0" w:line="480" w:lineRule="auto"/>
        <w:rPr>
          <w:rFonts w:ascii="Times New Roman" w:hAnsi="Times New Roman" w:cs="Times New Roman"/>
          <w:b/>
          <w:sz w:val="24"/>
          <w:szCs w:val="24"/>
        </w:rPr>
      </w:pPr>
    </w:p>
    <w:p w14:paraId="53827E30" w14:textId="502FDB64" w:rsidR="00B6285F" w:rsidRDefault="00B6285F" w:rsidP="001B1048">
      <w:pPr>
        <w:spacing w:after="0" w:line="480" w:lineRule="auto"/>
        <w:rPr>
          <w:rFonts w:ascii="Times New Roman" w:hAnsi="Times New Roman" w:cs="Times New Roman"/>
          <w:b/>
          <w:sz w:val="24"/>
          <w:szCs w:val="24"/>
        </w:rPr>
      </w:pPr>
    </w:p>
    <w:p w14:paraId="57007101" w14:textId="2557833F" w:rsidR="00B6285F" w:rsidRDefault="00B6285F" w:rsidP="001B1048">
      <w:pPr>
        <w:spacing w:after="0" w:line="480" w:lineRule="auto"/>
        <w:rPr>
          <w:rFonts w:ascii="Times New Roman" w:hAnsi="Times New Roman" w:cs="Times New Roman"/>
          <w:b/>
          <w:sz w:val="24"/>
          <w:szCs w:val="24"/>
        </w:rPr>
      </w:pPr>
    </w:p>
    <w:p w14:paraId="2952D31E" w14:textId="6979E775" w:rsidR="00175F1D" w:rsidRDefault="00175F1D" w:rsidP="001B1048">
      <w:pPr>
        <w:spacing w:after="0" w:line="480" w:lineRule="auto"/>
        <w:rPr>
          <w:rFonts w:ascii="Times New Roman" w:hAnsi="Times New Roman" w:cs="Times New Roman"/>
          <w:b/>
          <w:sz w:val="24"/>
          <w:szCs w:val="24"/>
        </w:rPr>
      </w:pPr>
    </w:p>
    <w:p w14:paraId="04B1713D" w14:textId="77777777" w:rsidR="00175F1D" w:rsidRDefault="00175F1D" w:rsidP="001B1048">
      <w:pPr>
        <w:spacing w:after="0" w:line="480" w:lineRule="auto"/>
        <w:rPr>
          <w:rFonts w:ascii="Times New Roman" w:hAnsi="Times New Roman" w:cs="Times New Roman"/>
          <w:b/>
          <w:sz w:val="24"/>
          <w:szCs w:val="24"/>
        </w:rPr>
      </w:pPr>
    </w:p>
    <w:p w14:paraId="1AEA9364" w14:textId="3A63969A" w:rsidR="001F5AFA" w:rsidRDefault="001F5AFA" w:rsidP="001B1048">
      <w:pPr>
        <w:spacing w:after="0" w:line="480" w:lineRule="auto"/>
        <w:rPr>
          <w:rFonts w:ascii="Times New Roman" w:hAnsi="Times New Roman" w:cs="Times New Roman"/>
          <w:b/>
          <w:sz w:val="24"/>
          <w:szCs w:val="24"/>
        </w:rPr>
      </w:pPr>
    </w:p>
    <w:p w14:paraId="199560B3" w14:textId="77777777" w:rsidR="000F1BAE" w:rsidRDefault="000F1BAE" w:rsidP="001B1048">
      <w:pPr>
        <w:spacing w:after="0" w:line="480" w:lineRule="auto"/>
        <w:rPr>
          <w:rFonts w:ascii="Times New Roman" w:hAnsi="Times New Roman" w:cs="Times New Roman"/>
          <w:b/>
          <w:sz w:val="24"/>
          <w:szCs w:val="24"/>
        </w:rPr>
      </w:pPr>
    </w:p>
    <w:p w14:paraId="6CC93907" w14:textId="7E9DB36E" w:rsidR="00F660BC" w:rsidRDefault="00F660BC" w:rsidP="001B1048">
      <w:pPr>
        <w:spacing w:after="0" w:line="480" w:lineRule="auto"/>
        <w:rPr>
          <w:rFonts w:ascii="Times New Roman" w:hAnsi="Times New Roman" w:cs="Times New Roman"/>
          <w:b/>
          <w:sz w:val="24"/>
          <w:szCs w:val="24"/>
        </w:rPr>
      </w:pPr>
    </w:p>
    <w:p w14:paraId="02F986C4" w14:textId="39B3ADCC" w:rsidR="00F660BC" w:rsidRDefault="00F660BC" w:rsidP="001B1048">
      <w:pPr>
        <w:spacing w:after="0" w:line="480" w:lineRule="auto"/>
        <w:rPr>
          <w:rFonts w:ascii="Times New Roman" w:hAnsi="Times New Roman" w:cs="Times New Roman"/>
          <w:b/>
          <w:sz w:val="24"/>
          <w:szCs w:val="24"/>
        </w:rPr>
      </w:pPr>
    </w:p>
    <w:p w14:paraId="4C375F3E" w14:textId="67C6BF8B" w:rsidR="00A10790" w:rsidRPr="00957E32" w:rsidRDefault="00A10790" w:rsidP="00A10790">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A</w:t>
      </w:r>
      <w:r w:rsidRPr="00957E32">
        <w:rPr>
          <w:rFonts w:ascii="Times New Roman" w:hAnsi="Times New Roman" w:cs="Times New Roman"/>
          <w:b/>
          <w:sz w:val="24"/>
          <w:szCs w:val="24"/>
        </w:rPr>
        <w:t xml:space="preserve">BSTRACT </w:t>
      </w:r>
    </w:p>
    <w:p w14:paraId="034DAC16" w14:textId="77777777" w:rsidR="00A10790" w:rsidRPr="00957E32" w:rsidRDefault="00A10790" w:rsidP="00A10790">
      <w:pPr>
        <w:spacing w:after="0" w:line="480" w:lineRule="auto"/>
        <w:rPr>
          <w:rFonts w:ascii="Times New Roman" w:hAnsi="Times New Roman" w:cs="Times New Roman"/>
          <w:b/>
          <w:sz w:val="24"/>
          <w:szCs w:val="24"/>
        </w:rPr>
      </w:pPr>
      <w:r w:rsidRPr="00957E32">
        <w:rPr>
          <w:rFonts w:ascii="Times New Roman" w:hAnsi="Times New Roman" w:cs="Times New Roman"/>
          <w:b/>
          <w:sz w:val="24"/>
          <w:szCs w:val="24"/>
        </w:rPr>
        <w:t>Background</w:t>
      </w:r>
    </w:p>
    <w:p w14:paraId="55CF844F" w14:textId="7FC642BF" w:rsidR="00A10790" w:rsidRPr="00957E32" w:rsidRDefault="00A10790" w:rsidP="00A1079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role</w:t>
      </w:r>
      <w:r w:rsidRPr="00957E32">
        <w:rPr>
          <w:rFonts w:ascii="Times New Roman" w:hAnsi="Times New Roman" w:cs="Times New Roman"/>
          <w:sz w:val="24"/>
          <w:szCs w:val="24"/>
        </w:rPr>
        <w:t xml:space="preserve"> of </w:t>
      </w:r>
      <w:r>
        <w:rPr>
          <w:rFonts w:ascii="Times New Roman" w:hAnsi="Times New Roman" w:cs="Times New Roman"/>
          <w:sz w:val="24"/>
          <w:szCs w:val="24"/>
        </w:rPr>
        <w:t>interferon-gamma release assays (</w:t>
      </w:r>
      <w:r w:rsidRPr="00957E32">
        <w:rPr>
          <w:rFonts w:ascii="Times New Roman" w:hAnsi="Times New Roman" w:cs="Times New Roman"/>
          <w:sz w:val="24"/>
          <w:szCs w:val="24"/>
        </w:rPr>
        <w:t>IGRAs</w:t>
      </w:r>
      <w:r>
        <w:rPr>
          <w:rFonts w:ascii="Times New Roman" w:hAnsi="Times New Roman" w:cs="Times New Roman"/>
          <w:sz w:val="24"/>
          <w:szCs w:val="24"/>
        </w:rPr>
        <w:t>)</w:t>
      </w:r>
      <w:r w:rsidRPr="00957E32">
        <w:rPr>
          <w:rFonts w:ascii="Times New Roman" w:hAnsi="Times New Roman" w:cs="Times New Roman"/>
          <w:sz w:val="24"/>
          <w:szCs w:val="24"/>
        </w:rPr>
        <w:t xml:space="preserve"> in </w:t>
      </w:r>
      <w:r>
        <w:rPr>
          <w:rFonts w:ascii="Times New Roman" w:hAnsi="Times New Roman" w:cs="Times New Roman"/>
          <w:sz w:val="24"/>
          <w:szCs w:val="24"/>
        </w:rPr>
        <w:t>diagnosis of</w:t>
      </w:r>
      <w:r w:rsidRPr="00957E32">
        <w:rPr>
          <w:rFonts w:ascii="Times New Roman" w:hAnsi="Times New Roman" w:cs="Times New Roman"/>
          <w:sz w:val="24"/>
          <w:szCs w:val="24"/>
        </w:rPr>
        <w:t xml:space="preserve"> active </w:t>
      </w:r>
      <w:r>
        <w:rPr>
          <w:rFonts w:ascii="Times New Roman" w:hAnsi="Times New Roman" w:cs="Times New Roman"/>
          <w:sz w:val="24"/>
          <w:szCs w:val="24"/>
        </w:rPr>
        <w:t>tuberculosis (</w:t>
      </w:r>
      <w:r w:rsidRPr="00957E32">
        <w:rPr>
          <w:rFonts w:ascii="Times New Roman" w:hAnsi="Times New Roman" w:cs="Times New Roman"/>
          <w:sz w:val="24"/>
          <w:szCs w:val="24"/>
        </w:rPr>
        <w:t>TB</w:t>
      </w:r>
      <w:r>
        <w:rPr>
          <w:rFonts w:ascii="Times New Roman" w:hAnsi="Times New Roman" w:cs="Times New Roman"/>
          <w:sz w:val="24"/>
          <w:szCs w:val="24"/>
        </w:rPr>
        <w:t>) is unclear</w:t>
      </w:r>
      <w:r w:rsidR="00F13E25">
        <w:rPr>
          <w:rFonts w:ascii="Times New Roman" w:hAnsi="Times New Roman" w:cs="Times New Roman"/>
          <w:sz w:val="24"/>
          <w:szCs w:val="24"/>
        </w:rPr>
        <w:t>,</w:t>
      </w:r>
      <w:r>
        <w:rPr>
          <w:rFonts w:ascii="Times New Roman" w:hAnsi="Times New Roman" w:cs="Times New Roman"/>
          <w:sz w:val="24"/>
          <w:szCs w:val="24"/>
        </w:rPr>
        <w:t xml:space="preserve"> yet they are commonly used in low</w:t>
      </w:r>
      <w:r w:rsidR="00A54513">
        <w:rPr>
          <w:rFonts w:ascii="Times New Roman" w:hAnsi="Times New Roman" w:cs="Times New Roman"/>
          <w:sz w:val="24"/>
          <w:szCs w:val="24"/>
        </w:rPr>
        <w:t>-</w:t>
      </w:r>
      <w:r>
        <w:rPr>
          <w:rFonts w:ascii="Times New Roman" w:hAnsi="Times New Roman" w:cs="Times New Roman"/>
          <w:sz w:val="24"/>
          <w:szCs w:val="24"/>
        </w:rPr>
        <w:t>TB-incidence countries</w:t>
      </w:r>
      <w:r w:rsidRPr="00957E32">
        <w:rPr>
          <w:rFonts w:ascii="Times New Roman" w:hAnsi="Times New Roman" w:cs="Times New Roman"/>
          <w:sz w:val="24"/>
          <w:szCs w:val="24"/>
        </w:rPr>
        <w:t xml:space="preserve">. This study sought to </w:t>
      </w:r>
      <w:r>
        <w:rPr>
          <w:rFonts w:ascii="Times New Roman" w:hAnsi="Times New Roman" w:cs="Times New Roman"/>
          <w:sz w:val="24"/>
          <w:szCs w:val="24"/>
        </w:rPr>
        <w:t>resolve this clinical uncertainty by determining the diagnostic accuracy and role of</w:t>
      </w:r>
      <w:r w:rsidRPr="00957E32">
        <w:rPr>
          <w:rFonts w:ascii="Times New Roman" w:hAnsi="Times New Roman" w:cs="Times New Roman"/>
          <w:sz w:val="24"/>
          <w:szCs w:val="24"/>
        </w:rPr>
        <w:t xml:space="preserve"> current and </w:t>
      </w:r>
      <w:r w:rsidR="00C9141C">
        <w:rPr>
          <w:rFonts w:ascii="Times New Roman" w:hAnsi="Times New Roman" w:cs="Times New Roman"/>
          <w:sz w:val="24"/>
          <w:szCs w:val="24"/>
        </w:rPr>
        <w:t>second-generation</w:t>
      </w:r>
      <w:r w:rsidRPr="00957E32">
        <w:rPr>
          <w:rFonts w:ascii="Times New Roman" w:hAnsi="Times New Roman" w:cs="Times New Roman"/>
          <w:sz w:val="24"/>
          <w:szCs w:val="24"/>
        </w:rPr>
        <w:t xml:space="preserve"> IGRA</w:t>
      </w:r>
      <w:r w:rsidR="00B46057">
        <w:rPr>
          <w:rFonts w:ascii="Times New Roman" w:hAnsi="Times New Roman" w:cs="Times New Roman"/>
          <w:sz w:val="24"/>
          <w:szCs w:val="24"/>
        </w:rPr>
        <w:t>s</w:t>
      </w:r>
      <w:r w:rsidRPr="00957E32">
        <w:rPr>
          <w:rFonts w:ascii="Times New Roman" w:hAnsi="Times New Roman" w:cs="Times New Roman"/>
          <w:sz w:val="24"/>
          <w:szCs w:val="24"/>
        </w:rPr>
        <w:t xml:space="preserve"> </w:t>
      </w:r>
      <w:r>
        <w:rPr>
          <w:rFonts w:ascii="Times New Roman" w:hAnsi="Times New Roman" w:cs="Times New Roman"/>
          <w:sz w:val="24"/>
          <w:szCs w:val="24"/>
        </w:rPr>
        <w:t>in the diagnostic assessment of suspected</w:t>
      </w:r>
      <w:r w:rsidRPr="00957E32">
        <w:rPr>
          <w:rFonts w:ascii="Times New Roman" w:hAnsi="Times New Roman" w:cs="Times New Roman"/>
          <w:sz w:val="24"/>
          <w:szCs w:val="24"/>
        </w:rPr>
        <w:t xml:space="preserve"> TB </w:t>
      </w:r>
      <w:r>
        <w:rPr>
          <w:rFonts w:ascii="Times New Roman" w:hAnsi="Times New Roman" w:cs="Times New Roman"/>
          <w:sz w:val="24"/>
          <w:szCs w:val="24"/>
        </w:rPr>
        <w:t>in</w:t>
      </w:r>
      <w:r w:rsidRPr="00957E32">
        <w:rPr>
          <w:rFonts w:ascii="Times New Roman" w:hAnsi="Times New Roman" w:cs="Times New Roman"/>
          <w:sz w:val="24"/>
          <w:szCs w:val="24"/>
        </w:rPr>
        <w:t xml:space="preserve"> a </w:t>
      </w:r>
      <w:r>
        <w:rPr>
          <w:rFonts w:ascii="Times New Roman" w:hAnsi="Times New Roman" w:cs="Times New Roman"/>
          <w:sz w:val="24"/>
          <w:szCs w:val="24"/>
        </w:rPr>
        <w:t xml:space="preserve">low-incidence </w:t>
      </w:r>
      <w:r w:rsidRPr="00957E32">
        <w:rPr>
          <w:rFonts w:ascii="Times New Roman" w:hAnsi="Times New Roman" w:cs="Times New Roman"/>
          <w:sz w:val="24"/>
          <w:szCs w:val="24"/>
        </w:rPr>
        <w:t>setting</w:t>
      </w:r>
      <w:r w:rsidR="00FF7452">
        <w:rPr>
          <w:rFonts w:ascii="Times New Roman" w:hAnsi="Times New Roman" w:cs="Times New Roman"/>
          <w:sz w:val="24"/>
          <w:szCs w:val="24"/>
        </w:rPr>
        <w:t>.</w:t>
      </w:r>
      <w:r w:rsidRPr="00957E32">
        <w:rPr>
          <w:rFonts w:ascii="Times New Roman" w:hAnsi="Times New Roman" w:cs="Times New Roman"/>
          <w:sz w:val="24"/>
          <w:szCs w:val="24"/>
        </w:rPr>
        <w:t xml:space="preserve"> </w:t>
      </w:r>
    </w:p>
    <w:p w14:paraId="1513AD03" w14:textId="77777777" w:rsidR="00A10790" w:rsidRPr="00957E32" w:rsidRDefault="00A10790" w:rsidP="00A10790">
      <w:pPr>
        <w:spacing w:after="0" w:line="480" w:lineRule="auto"/>
        <w:jc w:val="both"/>
        <w:rPr>
          <w:rFonts w:ascii="Times New Roman" w:hAnsi="Times New Roman" w:cs="Times New Roman"/>
          <w:b/>
          <w:sz w:val="24"/>
          <w:szCs w:val="24"/>
        </w:rPr>
      </w:pPr>
      <w:r w:rsidRPr="00957E32">
        <w:rPr>
          <w:rFonts w:ascii="Times New Roman" w:hAnsi="Times New Roman" w:cs="Times New Roman"/>
          <w:b/>
          <w:sz w:val="24"/>
          <w:szCs w:val="24"/>
        </w:rPr>
        <w:t>Methods</w:t>
      </w:r>
    </w:p>
    <w:p w14:paraId="2EE0FC32" w14:textId="217EB03A" w:rsidR="00A10790" w:rsidRPr="00957E32" w:rsidRDefault="00A10790" w:rsidP="00A10790">
      <w:pPr>
        <w:spacing w:after="0" w:line="480" w:lineRule="auto"/>
        <w:jc w:val="both"/>
        <w:rPr>
          <w:rFonts w:ascii="Times New Roman" w:hAnsi="Times New Roman" w:cs="Times New Roman"/>
          <w:b/>
          <w:sz w:val="24"/>
          <w:szCs w:val="24"/>
        </w:rPr>
      </w:pPr>
      <w:r w:rsidRPr="00957E32">
        <w:rPr>
          <w:rFonts w:ascii="Times New Roman" w:hAnsi="Times New Roman" w:cs="Times New Roman"/>
          <w:sz w:val="24"/>
          <w:szCs w:val="24"/>
        </w:rPr>
        <w:t xml:space="preserve">This was a prospective cohort study of 1,060 adults with suspected TB, conducted in routine </w:t>
      </w:r>
      <w:r>
        <w:rPr>
          <w:rFonts w:ascii="Times New Roman" w:hAnsi="Times New Roman" w:cs="Times New Roman"/>
          <w:sz w:val="24"/>
          <w:szCs w:val="24"/>
        </w:rPr>
        <w:t xml:space="preserve">secondary care in </w:t>
      </w:r>
      <w:r w:rsidRPr="00957E32">
        <w:rPr>
          <w:rFonts w:ascii="Times New Roman" w:hAnsi="Times New Roman" w:cs="Times New Roman"/>
          <w:sz w:val="24"/>
          <w:szCs w:val="24"/>
        </w:rPr>
        <w:t xml:space="preserve">England. Patients were tested for </w:t>
      </w:r>
      <w:r w:rsidRPr="001B1048">
        <w:rPr>
          <w:rFonts w:ascii="Times New Roman" w:hAnsi="Times New Roman" w:cs="Times New Roman"/>
          <w:i/>
          <w:sz w:val="24"/>
          <w:szCs w:val="24"/>
        </w:rPr>
        <w:t>M. tuberculosis</w:t>
      </w:r>
      <w:r>
        <w:rPr>
          <w:rFonts w:ascii="Times New Roman" w:hAnsi="Times New Roman" w:cs="Times New Roman"/>
          <w:sz w:val="24"/>
          <w:szCs w:val="24"/>
        </w:rPr>
        <w:t xml:space="preserve"> (</w:t>
      </w:r>
      <w:proofErr w:type="spellStart"/>
      <w:r w:rsidRPr="00957E32">
        <w:rPr>
          <w:rFonts w:ascii="Times New Roman" w:hAnsi="Times New Roman" w:cs="Times New Roman"/>
          <w:sz w:val="24"/>
          <w:szCs w:val="24"/>
        </w:rPr>
        <w:t>Mtb</w:t>
      </w:r>
      <w:proofErr w:type="spellEnd"/>
      <w:r>
        <w:rPr>
          <w:rFonts w:ascii="Times New Roman" w:hAnsi="Times New Roman" w:cs="Times New Roman"/>
          <w:sz w:val="24"/>
          <w:szCs w:val="24"/>
        </w:rPr>
        <w:t>)</w:t>
      </w:r>
      <w:r w:rsidRPr="00957E32">
        <w:rPr>
          <w:rFonts w:ascii="Times New Roman" w:hAnsi="Times New Roman" w:cs="Times New Roman"/>
          <w:sz w:val="24"/>
          <w:szCs w:val="24"/>
        </w:rPr>
        <w:t xml:space="preserve"> infection at baseline using current</w:t>
      </w:r>
      <w:r w:rsidR="005750B7">
        <w:rPr>
          <w:rFonts w:ascii="Times New Roman" w:hAnsi="Times New Roman" w:cs="Times New Roman"/>
          <w:sz w:val="24"/>
          <w:szCs w:val="24"/>
        </w:rPr>
        <w:t xml:space="preserve"> </w:t>
      </w:r>
      <w:r w:rsidRPr="00957E32">
        <w:rPr>
          <w:rFonts w:ascii="Times New Roman" w:hAnsi="Times New Roman" w:cs="Times New Roman"/>
          <w:sz w:val="24"/>
          <w:szCs w:val="24"/>
        </w:rPr>
        <w:t xml:space="preserve">and </w:t>
      </w:r>
      <w:r w:rsidR="00C9141C">
        <w:rPr>
          <w:rFonts w:ascii="Times New Roman" w:hAnsi="Times New Roman" w:cs="Times New Roman"/>
          <w:sz w:val="24"/>
          <w:szCs w:val="24"/>
        </w:rPr>
        <w:t>second-generation</w:t>
      </w:r>
      <w:r w:rsidRPr="00957E32">
        <w:rPr>
          <w:rFonts w:ascii="Times New Roman" w:hAnsi="Times New Roman" w:cs="Times New Roman"/>
          <w:sz w:val="24"/>
          <w:szCs w:val="24"/>
        </w:rPr>
        <w:t xml:space="preserve"> IGRA</w:t>
      </w:r>
      <w:r w:rsidR="00B46057">
        <w:rPr>
          <w:rFonts w:ascii="Times New Roman" w:hAnsi="Times New Roman" w:cs="Times New Roman"/>
          <w:sz w:val="24"/>
          <w:szCs w:val="24"/>
        </w:rPr>
        <w:t>s</w:t>
      </w:r>
      <w:r w:rsidR="006D462D">
        <w:rPr>
          <w:rFonts w:ascii="Times New Roman" w:hAnsi="Times New Roman" w:cs="Times New Roman"/>
          <w:sz w:val="24"/>
          <w:szCs w:val="24"/>
        </w:rPr>
        <w:t>, the latter</w:t>
      </w:r>
      <w:r w:rsidRPr="005D5493">
        <w:rPr>
          <w:rFonts w:ascii="Times New Roman" w:hAnsi="Times New Roman" w:cs="Times New Roman"/>
          <w:sz w:val="24"/>
          <w:szCs w:val="24"/>
        </w:rPr>
        <w:t xml:space="preserve"> incorporating novel </w:t>
      </w:r>
      <w:proofErr w:type="spellStart"/>
      <w:r w:rsidRPr="005D5493">
        <w:rPr>
          <w:rFonts w:ascii="Times New Roman" w:hAnsi="Times New Roman" w:cs="Times New Roman"/>
          <w:sz w:val="24"/>
          <w:szCs w:val="24"/>
        </w:rPr>
        <w:t>Mtb</w:t>
      </w:r>
      <w:proofErr w:type="spellEnd"/>
      <w:r w:rsidRPr="005D5493">
        <w:rPr>
          <w:rFonts w:ascii="Times New Roman" w:hAnsi="Times New Roman" w:cs="Times New Roman"/>
          <w:sz w:val="24"/>
          <w:szCs w:val="24"/>
        </w:rPr>
        <w:t xml:space="preserve"> antigens</w:t>
      </w:r>
      <w:r w:rsidRPr="00957E32">
        <w:rPr>
          <w:rFonts w:ascii="Times New Roman" w:hAnsi="Times New Roman" w:cs="Times New Roman"/>
          <w:sz w:val="24"/>
          <w:szCs w:val="24"/>
        </w:rPr>
        <w:t xml:space="preserve">, and followed up for 6-12m to </w:t>
      </w:r>
      <w:r>
        <w:rPr>
          <w:rFonts w:ascii="Times New Roman" w:hAnsi="Times New Roman" w:cs="Times New Roman"/>
          <w:sz w:val="24"/>
          <w:szCs w:val="24"/>
        </w:rPr>
        <w:t>establish definitive</w:t>
      </w:r>
      <w:r w:rsidRPr="00957E32">
        <w:rPr>
          <w:rFonts w:ascii="Times New Roman" w:hAnsi="Times New Roman" w:cs="Times New Roman"/>
          <w:sz w:val="24"/>
          <w:szCs w:val="24"/>
        </w:rPr>
        <w:t xml:space="preserve"> diagnoses. Sensitivity, specificity</w:t>
      </w:r>
      <w:r w:rsidR="00A54513">
        <w:rPr>
          <w:rFonts w:ascii="Times New Roman" w:hAnsi="Times New Roman" w:cs="Times New Roman"/>
          <w:sz w:val="24"/>
          <w:szCs w:val="24"/>
        </w:rPr>
        <w:t xml:space="preserve"> and</w:t>
      </w:r>
      <w:r w:rsidRPr="00957E32">
        <w:rPr>
          <w:rFonts w:ascii="Times New Roman" w:hAnsi="Times New Roman" w:cs="Times New Roman"/>
          <w:sz w:val="24"/>
          <w:szCs w:val="24"/>
        </w:rPr>
        <w:t xml:space="preserve"> </w:t>
      </w:r>
      <w:r>
        <w:rPr>
          <w:rFonts w:ascii="Times New Roman" w:hAnsi="Times New Roman" w:cs="Times New Roman"/>
          <w:sz w:val="24"/>
          <w:szCs w:val="24"/>
        </w:rPr>
        <w:t xml:space="preserve">positive and negative </w:t>
      </w:r>
      <w:r w:rsidRPr="00957E32">
        <w:rPr>
          <w:rFonts w:ascii="Times New Roman" w:hAnsi="Times New Roman" w:cs="Times New Roman"/>
          <w:sz w:val="24"/>
          <w:szCs w:val="24"/>
        </w:rPr>
        <w:t xml:space="preserve">likelihood ratios </w:t>
      </w:r>
      <w:r>
        <w:rPr>
          <w:rFonts w:ascii="Times New Roman" w:hAnsi="Times New Roman" w:cs="Times New Roman"/>
          <w:sz w:val="24"/>
          <w:szCs w:val="24"/>
        </w:rPr>
        <w:t>(LR</w:t>
      </w:r>
      <w:r w:rsidR="00FF7452">
        <w:rPr>
          <w:rFonts w:ascii="Times New Roman" w:hAnsi="Times New Roman" w:cs="Times New Roman"/>
          <w:sz w:val="24"/>
          <w:szCs w:val="24"/>
        </w:rPr>
        <w:t>s</w:t>
      </w:r>
      <w:r>
        <w:rPr>
          <w:rFonts w:ascii="Times New Roman" w:hAnsi="Times New Roman" w:cs="Times New Roman"/>
          <w:sz w:val="24"/>
          <w:szCs w:val="24"/>
        </w:rPr>
        <w:t>) and predictive values</w:t>
      </w:r>
      <w:r w:rsidR="00A54513">
        <w:rPr>
          <w:rFonts w:ascii="Times New Roman" w:hAnsi="Times New Roman" w:cs="Times New Roman"/>
          <w:sz w:val="24"/>
          <w:szCs w:val="24"/>
        </w:rPr>
        <w:t xml:space="preserve"> (PV</w:t>
      </w:r>
      <w:r w:rsidR="00FF7452">
        <w:rPr>
          <w:rFonts w:ascii="Times New Roman" w:hAnsi="Times New Roman" w:cs="Times New Roman"/>
          <w:sz w:val="24"/>
          <w:szCs w:val="24"/>
        </w:rPr>
        <w:t>s</w:t>
      </w:r>
      <w:r w:rsidR="00A54513">
        <w:rPr>
          <w:rFonts w:ascii="Times New Roman" w:hAnsi="Times New Roman" w:cs="Times New Roman"/>
          <w:sz w:val="24"/>
          <w:szCs w:val="24"/>
        </w:rPr>
        <w:t>)</w:t>
      </w:r>
      <w:r>
        <w:rPr>
          <w:rFonts w:ascii="Times New Roman" w:hAnsi="Times New Roman" w:cs="Times New Roman"/>
          <w:sz w:val="24"/>
          <w:szCs w:val="24"/>
        </w:rPr>
        <w:t xml:space="preserve"> </w:t>
      </w:r>
      <w:r w:rsidRPr="00957E32">
        <w:rPr>
          <w:rFonts w:ascii="Times New Roman" w:hAnsi="Times New Roman" w:cs="Times New Roman"/>
          <w:sz w:val="24"/>
          <w:szCs w:val="24"/>
        </w:rPr>
        <w:t>of the tests for TB were determined.</w:t>
      </w:r>
    </w:p>
    <w:p w14:paraId="0837D52C" w14:textId="77777777" w:rsidR="00A10790" w:rsidRPr="00957E32" w:rsidRDefault="00A10790" w:rsidP="00A1079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Findings</w:t>
      </w:r>
    </w:p>
    <w:p w14:paraId="60F9A5A4" w14:textId="64EE6205" w:rsidR="00A10790" w:rsidRPr="00957E32" w:rsidRDefault="00A54513" w:rsidP="00A1079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TB was diagnosed in </w:t>
      </w:r>
      <w:r w:rsidR="00FE3633">
        <w:rPr>
          <w:rFonts w:ascii="Times New Roman" w:hAnsi="Times New Roman" w:cs="Times New Roman"/>
          <w:sz w:val="24"/>
          <w:szCs w:val="24"/>
        </w:rPr>
        <w:t>363 (</w:t>
      </w:r>
      <w:r>
        <w:rPr>
          <w:rFonts w:ascii="Times New Roman" w:hAnsi="Times New Roman" w:cs="Times New Roman"/>
          <w:sz w:val="24"/>
          <w:szCs w:val="24"/>
        </w:rPr>
        <w:t>43%</w:t>
      </w:r>
      <w:r w:rsidR="00FE3633">
        <w:rPr>
          <w:rFonts w:ascii="Times New Roman" w:hAnsi="Times New Roman" w:cs="Times New Roman"/>
          <w:sz w:val="24"/>
          <w:szCs w:val="24"/>
        </w:rPr>
        <w:t>)</w:t>
      </w:r>
      <w:r>
        <w:rPr>
          <w:rFonts w:ascii="Times New Roman" w:hAnsi="Times New Roman" w:cs="Times New Roman"/>
          <w:sz w:val="24"/>
          <w:szCs w:val="24"/>
        </w:rPr>
        <w:t xml:space="preserve"> </w:t>
      </w:r>
      <w:r w:rsidR="00FE3633">
        <w:rPr>
          <w:rFonts w:ascii="Times New Roman" w:hAnsi="Times New Roman" w:cs="Times New Roman"/>
          <w:sz w:val="24"/>
          <w:szCs w:val="24"/>
        </w:rPr>
        <w:t xml:space="preserve">of 845 </w:t>
      </w:r>
      <w:r w:rsidR="00FF7452">
        <w:rPr>
          <w:rFonts w:ascii="Times New Roman" w:hAnsi="Times New Roman" w:cs="Times New Roman"/>
          <w:sz w:val="24"/>
          <w:szCs w:val="24"/>
        </w:rPr>
        <w:t xml:space="preserve">patients </w:t>
      </w:r>
      <w:r w:rsidR="00FE3633">
        <w:rPr>
          <w:rFonts w:ascii="Times New Roman" w:hAnsi="Times New Roman" w:cs="Times New Roman"/>
          <w:sz w:val="24"/>
          <w:szCs w:val="24"/>
        </w:rPr>
        <w:t>included in analyses</w:t>
      </w:r>
      <w:r w:rsidR="00A10790">
        <w:rPr>
          <w:rFonts w:ascii="Times New Roman" w:hAnsi="Times New Roman" w:cs="Times New Roman"/>
          <w:sz w:val="24"/>
          <w:szCs w:val="24"/>
        </w:rPr>
        <w:t xml:space="preserve">. </w:t>
      </w:r>
      <w:r w:rsidR="00A10790" w:rsidRPr="00957E32">
        <w:rPr>
          <w:rFonts w:ascii="Times New Roman" w:hAnsi="Times New Roman" w:cs="Times New Roman"/>
          <w:sz w:val="24"/>
          <w:szCs w:val="24"/>
        </w:rPr>
        <w:t xml:space="preserve">Sensitivity of T-SPOT.TB was 81.4% </w:t>
      </w:r>
      <w:r w:rsidR="00A10790">
        <w:rPr>
          <w:rFonts w:ascii="Times New Roman" w:hAnsi="Times New Roman" w:cs="Times New Roman"/>
          <w:sz w:val="24"/>
          <w:szCs w:val="24"/>
        </w:rPr>
        <w:t>(</w:t>
      </w:r>
      <w:r w:rsidR="003E2465">
        <w:rPr>
          <w:rFonts w:ascii="Times New Roman" w:hAnsi="Times New Roman" w:cs="Times New Roman"/>
          <w:sz w:val="24"/>
          <w:szCs w:val="24"/>
        </w:rPr>
        <w:t>95%CI</w:t>
      </w:r>
      <w:r w:rsidR="00A10790">
        <w:rPr>
          <w:rFonts w:ascii="Times New Roman" w:hAnsi="Times New Roman" w:cs="Times New Roman"/>
          <w:sz w:val="24"/>
          <w:szCs w:val="24"/>
        </w:rPr>
        <w:t xml:space="preserve"> 76.6-</w:t>
      </w:r>
      <w:r w:rsidR="00A10790" w:rsidRPr="00E736C7">
        <w:rPr>
          <w:rFonts w:ascii="Times New Roman" w:hAnsi="Times New Roman" w:cs="Times New Roman"/>
          <w:sz w:val="24"/>
          <w:szCs w:val="24"/>
        </w:rPr>
        <w:t>85.3</w:t>
      </w:r>
      <w:r w:rsidR="00A10790">
        <w:rPr>
          <w:rFonts w:ascii="Times New Roman" w:hAnsi="Times New Roman" w:cs="Times New Roman"/>
          <w:sz w:val="24"/>
          <w:szCs w:val="24"/>
        </w:rPr>
        <w:t xml:space="preserve">%), </w:t>
      </w:r>
      <w:r w:rsidR="00A10790" w:rsidRPr="00957E32">
        <w:rPr>
          <w:rFonts w:ascii="Times New Roman" w:hAnsi="Times New Roman" w:cs="Times New Roman"/>
          <w:sz w:val="24"/>
          <w:szCs w:val="24"/>
        </w:rPr>
        <w:t xml:space="preserve">higher than </w:t>
      </w:r>
      <w:proofErr w:type="spellStart"/>
      <w:r w:rsidR="00A10790" w:rsidRPr="00957E32">
        <w:rPr>
          <w:rFonts w:ascii="Times New Roman" w:hAnsi="Times New Roman" w:cs="Times New Roman"/>
          <w:sz w:val="24"/>
          <w:szCs w:val="24"/>
        </w:rPr>
        <w:t>Quanti</w:t>
      </w:r>
      <w:r w:rsidR="00A10790">
        <w:rPr>
          <w:rFonts w:ascii="Times New Roman" w:hAnsi="Times New Roman" w:cs="Times New Roman"/>
          <w:sz w:val="24"/>
          <w:szCs w:val="24"/>
        </w:rPr>
        <w:t>feron</w:t>
      </w:r>
      <w:proofErr w:type="spellEnd"/>
      <w:r w:rsidR="00A10790" w:rsidRPr="00957E32">
        <w:rPr>
          <w:rFonts w:ascii="Times New Roman" w:hAnsi="Times New Roman" w:cs="Times New Roman"/>
          <w:sz w:val="24"/>
          <w:szCs w:val="24"/>
        </w:rPr>
        <w:t>-Gold In-Tube</w:t>
      </w:r>
      <w:r w:rsidR="00A10790">
        <w:rPr>
          <w:rFonts w:ascii="Times New Roman" w:hAnsi="Times New Roman" w:cs="Times New Roman"/>
          <w:sz w:val="24"/>
          <w:szCs w:val="24"/>
        </w:rPr>
        <w:t xml:space="preserve"> at</w:t>
      </w:r>
      <w:r w:rsidR="00A10790" w:rsidRPr="00957E32">
        <w:rPr>
          <w:rFonts w:ascii="Times New Roman" w:hAnsi="Times New Roman" w:cs="Times New Roman"/>
          <w:sz w:val="24"/>
          <w:szCs w:val="24"/>
        </w:rPr>
        <w:t xml:space="preserve"> 67.3%</w:t>
      </w:r>
      <w:r w:rsidR="00A10790">
        <w:rPr>
          <w:rFonts w:ascii="Times New Roman" w:hAnsi="Times New Roman" w:cs="Times New Roman"/>
          <w:sz w:val="24"/>
          <w:szCs w:val="24"/>
        </w:rPr>
        <w:t xml:space="preserve"> (</w:t>
      </w:r>
      <w:r w:rsidR="003E2465">
        <w:rPr>
          <w:rFonts w:ascii="Times New Roman" w:hAnsi="Times New Roman" w:cs="Times New Roman"/>
          <w:sz w:val="24"/>
          <w:szCs w:val="24"/>
        </w:rPr>
        <w:t>95%CI</w:t>
      </w:r>
      <w:r w:rsidR="00A10790" w:rsidRPr="00E736C7">
        <w:rPr>
          <w:rFonts w:ascii="Times New Roman" w:hAnsi="Times New Roman" w:cs="Times New Roman"/>
          <w:sz w:val="24"/>
          <w:szCs w:val="24"/>
        </w:rPr>
        <w:t xml:space="preserve"> </w:t>
      </w:r>
      <w:r w:rsidR="00A10790">
        <w:rPr>
          <w:rFonts w:ascii="Times New Roman" w:hAnsi="Times New Roman" w:cs="Times New Roman"/>
          <w:sz w:val="24"/>
          <w:szCs w:val="24"/>
        </w:rPr>
        <w:t>62.0-72.1%)</w:t>
      </w:r>
      <w:r w:rsidR="00A10790" w:rsidRPr="00957E32">
        <w:rPr>
          <w:rFonts w:ascii="Times New Roman" w:hAnsi="Times New Roman" w:cs="Times New Roman"/>
          <w:sz w:val="24"/>
          <w:szCs w:val="24"/>
        </w:rPr>
        <w:t xml:space="preserve">. </w:t>
      </w:r>
      <w:r w:rsidR="00C9141C">
        <w:rPr>
          <w:rFonts w:ascii="Times New Roman" w:hAnsi="Times New Roman" w:cs="Times New Roman"/>
          <w:sz w:val="24"/>
          <w:szCs w:val="24"/>
        </w:rPr>
        <w:t>Second-generation</w:t>
      </w:r>
      <w:r w:rsidR="00A10790" w:rsidRPr="00957E32">
        <w:rPr>
          <w:rFonts w:ascii="Times New Roman" w:hAnsi="Times New Roman" w:cs="Times New Roman"/>
          <w:sz w:val="24"/>
          <w:szCs w:val="24"/>
        </w:rPr>
        <w:t xml:space="preserve"> IGRA had higher sensitivity than current tests</w:t>
      </w:r>
      <w:r w:rsidR="00A10790">
        <w:rPr>
          <w:rFonts w:ascii="Times New Roman" w:hAnsi="Times New Roman" w:cs="Times New Roman"/>
          <w:sz w:val="24"/>
          <w:szCs w:val="24"/>
        </w:rPr>
        <w:t xml:space="preserve">, at </w:t>
      </w:r>
      <w:r w:rsidR="00A10790" w:rsidRPr="00980807">
        <w:rPr>
          <w:rFonts w:ascii="Times New Roman" w:hAnsi="Times New Roman" w:cs="Times New Roman"/>
          <w:sz w:val="24"/>
          <w:szCs w:val="24"/>
        </w:rPr>
        <w:t>94.0</w:t>
      </w:r>
      <w:r w:rsidR="00A10790">
        <w:rPr>
          <w:rFonts w:ascii="Times New Roman" w:hAnsi="Times New Roman" w:cs="Times New Roman"/>
          <w:sz w:val="24"/>
          <w:szCs w:val="24"/>
        </w:rPr>
        <w:t>%</w:t>
      </w:r>
      <w:r w:rsidR="00A10790" w:rsidRPr="00980807">
        <w:rPr>
          <w:rFonts w:ascii="Times New Roman" w:hAnsi="Times New Roman" w:cs="Times New Roman"/>
          <w:sz w:val="24"/>
          <w:szCs w:val="24"/>
        </w:rPr>
        <w:t xml:space="preserve"> (</w:t>
      </w:r>
      <w:r w:rsidR="003E2465">
        <w:rPr>
          <w:rFonts w:ascii="Times New Roman" w:hAnsi="Times New Roman" w:cs="Times New Roman"/>
          <w:sz w:val="24"/>
          <w:szCs w:val="24"/>
        </w:rPr>
        <w:t>95%CI</w:t>
      </w:r>
      <w:r w:rsidR="00A10790" w:rsidRPr="00E736C7">
        <w:rPr>
          <w:rFonts w:ascii="Times New Roman" w:hAnsi="Times New Roman" w:cs="Times New Roman"/>
          <w:sz w:val="24"/>
          <w:szCs w:val="24"/>
        </w:rPr>
        <w:t xml:space="preserve"> </w:t>
      </w:r>
      <w:r w:rsidR="00A10790" w:rsidRPr="00980807">
        <w:rPr>
          <w:rFonts w:ascii="Times New Roman" w:hAnsi="Times New Roman" w:cs="Times New Roman"/>
          <w:sz w:val="24"/>
          <w:szCs w:val="24"/>
        </w:rPr>
        <w:t>90.0–96.4</w:t>
      </w:r>
      <w:r w:rsidR="00A10790">
        <w:rPr>
          <w:rFonts w:ascii="Times New Roman" w:hAnsi="Times New Roman" w:cs="Times New Roman"/>
          <w:sz w:val="24"/>
          <w:szCs w:val="24"/>
        </w:rPr>
        <w:t>%</w:t>
      </w:r>
      <w:r w:rsidR="00A10790" w:rsidRPr="00980807">
        <w:rPr>
          <w:rFonts w:ascii="Times New Roman" w:hAnsi="Times New Roman" w:cs="Times New Roman"/>
          <w:sz w:val="24"/>
          <w:szCs w:val="24"/>
        </w:rPr>
        <w:t>)</w:t>
      </w:r>
      <w:r w:rsidR="00A10790">
        <w:rPr>
          <w:rFonts w:ascii="Times New Roman" w:hAnsi="Times New Roman" w:cs="Times New Roman"/>
          <w:sz w:val="24"/>
          <w:szCs w:val="24"/>
        </w:rPr>
        <w:t xml:space="preserve"> for</w:t>
      </w:r>
      <w:r w:rsidR="00A10790" w:rsidRPr="00957E32">
        <w:rPr>
          <w:rFonts w:ascii="Times New Roman" w:hAnsi="Times New Roman" w:cs="Times New Roman"/>
          <w:sz w:val="24"/>
          <w:szCs w:val="24"/>
        </w:rPr>
        <w:t xml:space="preserve"> culture</w:t>
      </w:r>
      <w:r w:rsidR="00A10790">
        <w:rPr>
          <w:rFonts w:ascii="Times New Roman" w:hAnsi="Times New Roman" w:cs="Times New Roman"/>
          <w:sz w:val="24"/>
          <w:szCs w:val="24"/>
        </w:rPr>
        <w:t>-</w:t>
      </w:r>
      <w:r w:rsidR="00A10790" w:rsidRPr="00957E32">
        <w:rPr>
          <w:rFonts w:ascii="Times New Roman" w:hAnsi="Times New Roman" w:cs="Times New Roman"/>
          <w:sz w:val="24"/>
          <w:szCs w:val="24"/>
        </w:rPr>
        <w:t xml:space="preserve">confirmed </w:t>
      </w:r>
      <w:r w:rsidR="00A10790">
        <w:rPr>
          <w:rFonts w:ascii="Times New Roman" w:hAnsi="Times New Roman" w:cs="Times New Roman"/>
          <w:sz w:val="24"/>
          <w:szCs w:val="24"/>
        </w:rPr>
        <w:t xml:space="preserve">TB and </w:t>
      </w:r>
      <w:r w:rsidR="00A10790" w:rsidRPr="005D5493">
        <w:rPr>
          <w:rFonts w:ascii="Times New Roman" w:hAnsi="Times New Roman" w:cs="Times New Roman"/>
          <w:sz w:val="24"/>
          <w:szCs w:val="24"/>
        </w:rPr>
        <w:t>89.2</w:t>
      </w:r>
      <w:r w:rsidR="00A10790">
        <w:rPr>
          <w:rFonts w:ascii="Times New Roman" w:hAnsi="Times New Roman" w:cs="Times New Roman"/>
          <w:sz w:val="24"/>
          <w:szCs w:val="24"/>
        </w:rPr>
        <w:t xml:space="preserve">% </w:t>
      </w:r>
      <w:r w:rsidR="00A10790" w:rsidRPr="005D5493">
        <w:rPr>
          <w:rFonts w:ascii="Times New Roman" w:hAnsi="Times New Roman" w:cs="Times New Roman"/>
          <w:sz w:val="24"/>
          <w:szCs w:val="24"/>
        </w:rPr>
        <w:t>(</w:t>
      </w:r>
      <w:r w:rsidR="003E2465">
        <w:rPr>
          <w:rFonts w:ascii="Times New Roman" w:hAnsi="Times New Roman" w:cs="Times New Roman"/>
          <w:sz w:val="24"/>
          <w:szCs w:val="24"/>
        </w:rPr>
        <w:t>95%CI</w:t>
      </w:r>
      <w:r w:rsidR="00A10790" w:rsidRPr="00E736C7">
        <w:rPr>
          <w:rFonts w:ascii="Times New Roman" w:hAnsi="Times New Roman" w:cs="Times New Roman"/>
          <w:sz w:val="24"/>
          <w:szCs w:val="24"/>
        </w:rPr>
        <w:t xml:space="preserve"> </w:t>
      </w:r>
      <w:r w:rsidR="00A10790" w:rsidRPr="005D5493">
        <w:rPr>
          <w:rFonts w:ascii="Times New Roman" w:hAnsi="Times New Roman" w:cs="Times New Roman"/>
          <w:sz w:val="24"/>
          <w:szCs w:val="24"/>
        </w:rPr>
        <w:t>85.2–92.2</w:t>
      </w:r>
      <w:r w:rsidR="00A10790">
        <w:rPr>
          <w:rFonts w:ascii="Times New Roman" w:hAnsi="Times New Roman" w:cs="Times New Roman"/>
          <w:sz w:val="24"/>
          <w:szCs w:val="24"/>
        </w:rPr>
        <w:t>%</w:t>
      </w:r>
      <w:r w:rsidR="00A10790" w:rsidRPr="005D5493">
        <w:rPr>
          <w:rFonts w:ascii="Times New Roman" w:hAnsi="Times New Roman" w:cs="Times New Roman"/>
          <w:sz w:val="24"/>
          <w:szCs w:val="24"/>
        </w:rPr>
        <w:t>)</w:t>
      </w:r>
      <w:r w:rsidR="00A10790">
        <w:rPr>
          <w:rFonts w:ascii="Times New Roman" w:hAnsi="Times New Roman" w:cs="Times New Roman"/>
          <w:sz w:val="24"/>
          <w:szCs w:val="24"/>
        </w:rPr>
        <w:t xml:space="preserve"> when including highly-probable TB,</w:t>
      </w:r>
      <w:r w:rsidR="00A10790" w:rsidRPr="00957E32">
        <w:rPr>
          <w:rFonts w:ascii="Times New Roman" w:hAnsi="Times New Roman" w:cs="Times New Roman"/>
          <w:sz w:val="24"/>
          <w:szCs w:val="24"/>
        </w:rPr>
        <w:t xml:space="preserve"> </w:t>
      </w:r>
      <w:r w:rsidR="00A10790" w:rsidRPr="00C01AF7">
        <w:rPr>
          <w:rFonts w:ascii="Times New Roman" w:hAnsi="Times New Roman" w:cs="Times New Roman"/>
          <w:sz w:val="24"/>
          <w:szCs w:val="24"/>
        </w:rPr>
        <w:t xml:space="preserve">giving </w:t>
      </w:r>
      <w:r w:rsidR="00A10790">
        <w:rPr>
          <w:rFonts w:ascii="Times New Roman" w:hAnsi="Times New Roman" w:cs="Times New Roman"/>
          <w:sz w:val="24"/>
          <w:szCs w:val="24"/>
        </w:rPr>
        <w:t>a negative LR</w:t>
      </w:r>
      <w:r w:rsidR="00A10790" w:rsidRPr="00C01AF7">
        <w:rPr>
          <w:rFonts w:ascii="Times New Roman" w:hAnsi="Times New Roman" w:cs="Times New Roman"/>
          <w:sz w:val="24"/>
          <w:szCs w:val="24"/>
        </w:rPr>
        <w:t xml:space="preserve"> </w:t>
      </w:r>
      <w:r w:rsidR="00A10790">
        <w:rPr>
          <w:rFonts w:ascii="Times New Roman" w:hAnsi="Times New Roman" w:cs="Times New Roman"/>
          <w:sz w:val="24"/>
          <w:szCs w:val="24"/>
        </w:rPr>
        <w:t xml:space="preserve">for all TB of </w:t>
      </w:r>
      <w:r w:rsidR="00A10790" w:rsidRPr="00C01AF7">
        <w:rPr>
          <w:rFonts w:ascii="Times New Roman" w:hAnsi="Times New Roman" w:cs="Times New Roman"/>
          <w:sz w:val="24"/>
          <w:szCs w:val="24"/>
        </w:rPr>
        <w:t>0.13</w:t>
      </w:r>
      <w:r w:rsidR="00A10790">
        <w:rPr>
          <w:rFonts w:ascii="Times New Roman" w:hAnsi="Times New Roman" w:cs="Times New Roman"/>
          <w:sz w:val="24"/>
          <w:szCs w:val="24"/>
        </w:rPr>
        <w:t xml:space="preserve"> (</w:t>
      </w:r>
      <w:r w:rsidR="003E2465">
        <w:rPr>
          <w:rFonts w:ascii="Times New Roman" w:hAnsi="Times New Roman" w:cs="Times New Roman"/>
          <w:sz w:val="24"/>
          <w:szCs w:val="24"/>
        </w:rPr>
        <w:t>95%CI</w:t>
      </w:r>
      <w:r w:rsidR="00A10790">
        <w:rPr>
          <w:rFonts w:ascii="Times New Roman" w:hAnsi="Times New Roman" w:cs="Times New Roman"/>
          <w:sz w:val="24"/>
          <w:szCs w:val="24"/>
        </w:rPr>
        <w:t xml:space="preserve"> 0.10-0.19)</w:t>
      </w:r>
      <w:r w:rsidR="00A10790" w:rsidRPr="00C01AF7">
        <w:rPr>
          <w:rFonts w:ascii="Times New Roman" w:hAnsi="Times New Roman" w:cs="Times New Roman"/>
          <w:sz w:val="24"/>
          <w:szCs w:val="24"/>
        </w:rPr>
        <w:t>.</w:t>
      </w:r>
      <w:r w:rsidR="00A10790" w:rsidRPr="00473CF4">
        <w:rPr>
          <w:rFonts w:ascii="Times New Roman" w:hAnsi="Times New Roman" w:cs="Times New Roman"/>
          <w:sz w:val="24"/>
          <w:szCs w:val="24"/>
        </w:rPr>
        <w:t xml:space="preserve"> Specificity </w:t>
      </w:r>
      <w:r w:rsidR="00A10790">
        <w:rPr>
          <w:rFonts w:ascii="Times New Roman" w:hAnsi="Times New Roman" w:cs="Times New Roman"/>
          <w:sz w:val="24"/>
          <w:szCs w:val="24"/>
        </w:rPr>
        <w:t>ranged from</w:t>
      </w:r>
      <w:r w:rsidR="00A10790" w:rsidRPr="00473CF4">
        <w:rPr>
          <w:rFonts w:ascii="Times New Roman" w:hAnsi="Times New Roman" w:cs="Times New Roman"/>
          <w:sz w:val="24"/>
          <w:szCs w:val="24"/>
        </w:rPr>
        <w:t xml:space="preserve"> 86.2% (</w:t>
      </w:r>
      <w:r w:rsidR="003E2465">
        <w:rPr>
          <w:rFonts w:ascii="Times New Roman" w:hAnsi="Times New Roman" w:cs="Times New Roman"/>
          <w:sz w:val="24"/>
          <w:szCs w:val="24"/>
        </w:rPr>
        <w:t>95%CI</w:t>
      </w:r>
      <w:r w:rsidR="00A10790" w:rsidRPr="00473CF4">
        <w:rPr>
          <w:rFonts w:ascii="Times New Roman" w:hAnsi="Times New Roman" w:cs="Times New Roman"/>
          <w:sz w:val="24"/>
          <w:szCs w:val="24"/>
        </w:rPr>
        <w:t xml:space="preserve"> 82.3-89.4%)</w:t>
      </w:r>
      <w:r w:rsidR="00A10790">
        <w:rPr>
          <w:rFonts w:ascii="Times New Roman" w:hAnsi="Times New Roman" w:cs="Times New Roman"/>
          <w:sz w:val="24"/>
          <w:szCs w:val="24"/>
        </w:rPr>
        <w:t xml:space="preserve"> for T-SPOT.TB to </w:t>
      </w:r>
      <w:r w:rsidR="00A10790" w:rsidRPr="00473CF4">
        <w:rPr>
          <w:rFonts w:ascii="Times New Roman" w:hAnsi="Times New Roman" w:cs="Times New Roman"/>
          <w:sz w:val="24"/>
          <w:szCs w:val="24"/>
        </w:rPr>
        <w:t>80.0% (</w:t>
      </w:r>
      <w:r w:rsidR="003E2465">
        <w:rPr>
          <w:rFonts w:ascii="Times New Roman" w:hAnsi="Times New Roman" w:cs="Times New Roman"/>
          <w:sz w:val="24"/>
          <w:szCs w:val="24"/>
        </w:rPr>
        <w:t>95%CI</w:t>
      </w:r>
      <w:r w:rsidR="00A10790" w:rsidRPr="00473CF4">
        <w:rPr>
          <w:rFonts w:ascii="Times New Roman" w:hAnsi="Times New Roman" w:cs="Times New Roman"/>
          <w:sz w:val="24"/>
          <w:szCs w:val="24"/>
        </w:rPr>
        <w:t xml:space="preserve"> 75.6-83.8%)</w:t>
      </w:r>
      <w:r w:rsidR="00A10790">
        <w:rPr>
          <w:rFonts w:ascii="Times New Roman" w:hAnsi="Times New Roman" w:cs="Times New Roman"/>
          <w:sz w:val="24"/>
          <w:szCs w:val="24"/>
        </w:rPr>
        <w:t xml:space="preserve"> for </w:t>
      </w:r>
      <w:r w:rsidR="00C9141C">
        <w:rPr>
          <w:rFonts w:ascii="Times New Roman" w:hAnsi="Times New Roman" w:cs="Times New Roman"/>
          <w:sz w:val="24"/>
          <w:szCs w:val="24"/>
        </w:rPr>
        <w:t>second-generation</w:t>
      </w:r>
      <w:r w:rsidR="00A10790">
        <w:rPr>
          <w:rFonts w:ascii="Times New Roman" w:hAnsi="Times New Roman" w:cs="Times New Roman"/>
          <w:sz w:val="24"/>
          <w:szCs w:val="24"/>
        </w:rPr>
        <w:t xml:space="preserve"> IGRA.</w:t>
      </w:r>
    </w:p>
    <w:p w14:paraId="6454684E" w14:textId="77777777" w:rsidR="00A10790" w:rsidRPr="00957E32" w:rsidRDefault="00A10790" w:rsidP="00A1079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Interpretation</w:t>
      </w:r>
    </w:p>
    <w:p w14:paraId="15326F7A" w14:textId="3EF5C7AC" w:rsidR="00A10790" w:rsidRDefault="00A10790" w:rsidP="00A10790">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C</w:t>
      </w:r>
      <w:r w:rsidRPr="00957E32">
        <w:rPr>
          <w:rFonts w:ascii="Times New Roman" w:hAnsi="Times New Roman" w:cs="Times New Roman"/>
          <w:sz w:val="24"/>
          <w:szCs w:val="24"/>
        </w:rPr>
        <w:t>urrently</w:t>
      </w:r>
      <w:r>
        <w:rPr>
          <w:rFonts w:ascii="Times New Roman" w:hAnsi="Times New Roman" w:cs="Times New Roman"/>
          <w:sz w:val="24"/>
          <w:szCs w:val="24"/>
        </w:rPr>
        <w:t>-</w:t>
      </w:r>
      <w:r w:rsidRPr="00957E32">
        <w:rPr>
          <w:rFonts w:ascii="Times New Roman" w:hAnsi="Times New Roman" w:cs="Times New Roman"/>
          <w:sz w:val="24"/>
          <w:szCs w:val="24"/>
        </w:rPr>
        <w:t xml:space="preserve">available IGRAs lack </w:t>
      </w:r>
      <w:r>
        <w:rPr>
          <w:rFonts w:ascii="Times New Roman" w:hAnsi="Times New Roman" w:cs="Times New Roman"/>
          <w:sz w:val="24"/>
          <w:szCs w:val="24"/>
        </w:rPr>
        <w:t>sufficient</w:t>
      </w:r>
      <w:r w:rsidRPr="00957E32">
        <w:rPr>
          <w:rFonts w:ascii="Times New Roman" w:hAnsi="Times New Roman" w:cs="Times New Roman"/>
          <w:sz w:val="24"/>
          <w:szCs w:val="24"/>
        </w:rPr>
        <w:t xml:space="preserve"> accuracy </w:t>
      </w:r>
      <w:r>
        <w:rPr>
          <w:rFonts w:ascii="Times New Roman" w:hAnsi="Times New Roman" w:cs="Times New Roman"/>
          <w:sz w:val="24"/>
          <w:szCs w:val="24"/>
        </w:rPr>
        <w:t>for diagnostic evaluation of suspected TB.</w:t>
      </w:r>
      <w:r w:rsidRPr="00957E32">
        <w:rPr>
          <w:rFonts w:ascii="Times New Roman" w:hAnsi="Times New Roman" w:cs="Times New Roman"/>
          <w:sz w:val="24"/>
          <w:szCs w:val="24"/>
        </w:rPr>
        <w:t xml:space="preserve"> </w:t>
      </w:r>
      <w:r w:rsidR="00C9141C">
        <w:rPr>
          <w:rFonts w:ascii="Times New Roman" w:hAnsi="Times New Roman" w:cs="Times New Roman"/>
          <w:sz w:val="24"/>
          <w:szCs w:val="24"/>
        </w:rPr>
        <w:t>Second-generation</w:t>
      </w:r>
      <w:r w:rsidRPr="00957E32">
        <w:rPr>
          <w:rFonts w:ascii="Times New Roman" w:hAnsi="Times New Roman" w:cs="Times New Roman"/>
          <w:sz w:val="24"/>
          <w:szCs w:val="24"/>
        </w:rPr>
        <w:t xml:space="preserve"> tests</w:t>
      </w:r>
      <w:r>
        <w:rPr>
          <w:rFonts w:ascii="Times New Roman" w:hAnsi="Times New Roman" w:cs="Times New Roman"/>
          <w:sz w:val="24"/>
          <w:szCs w:val="24"/>
        </w:rPr>
        <w:t>, however, may have</w:t>
      </w:r>
      <w:r w:rsidRPr="00957E32">
        <w:rPr>
          <w:rFonts w:ascii="Times New Roman" w:hAnsi="Times New Roman" w:cs="Times New Roman"/>
          <w:sz w:val="24"/>
          <w:szCs w:val="24"/>
        </w:rPr>
        <w:t xml:space="preserve"> </w:t>
      </w:r>
      <w:r>
        <w:rPr>
          <w:rFonts w:ascii="Times New Roman" w:hAnsi="Times New Roman" w:cs="Times New Roman"/>
          <w:sz w:val="24"/>
          <w:szCs w:val="24"/>
        </w:rPr>
        <w:t xml:space="preserve">sufficiently high sensitivity, low negative LR and correspondingly high negative </w:t>
      </w:r>
      <w:r w:rsidR="00A54513">
        <w:rPr>
          <w:rFonts w:ascii="Times New Roman" w:hAnsi="Times New Roman" w:cs="Times New Roman"/>
          <w:sz w:val="24"/>
          <w:szCs w:val="24"/>
        </w:rPr>
        <w:t>PV</w:t>
      </w:r>
      <w:r>
        <w:rPr>
          <w:rFonts w:ascii="Times New Roman" w:hAnsi="Times New Roman" w:cs="Times New Roman"/>
          <w:sz w:val="24"/>
          <w:szCs w:val="24"/>
        </w:rPr>
        <w:t xml:space="preserve"> </w:t>
      </w:r>
      <w:r w:rsidRPr="00957E32">
        <w:rPr>
          <w:rFonts w:ascii="Times New Roman" w:hAnsi="Times New Roman" w:cs="Times New Roman"/>
          <w:sz w:val="24"/>
          <w:szCs w:val="24"/>
        </w:rPr>
        <w:t>in low</w:t>
      </w:r>
      <w:r w:rsidR="0034175C">
        <w:rPr>
          <w:rFonts w:ascii="Times New Roman" w:hAnsi="Times New Roman" w:cs="Times New Roman"/>
          <w:sz w:val="24"/>
          <w:szCs w:val="24"/>
        </w:rPr>
        <w:t>-</w:t>
      </w:r>
      <w:r w:rsidRPr="00957E32">
        <w:rPr>
          <w:rFonts w:ascii="Times New Roman" w:hAnsi="Times New Roman" w:cs="Times New Roman"/>
          <w:sz w:val="24"/>
          <w:szCs w:val="24"/>
        </w:rPr>
        <w:t>incidence settings</w:t>
      </w:r>
      <w:r>
        <w:rPr>
          <w:rFonts w:ascii="Times New Roman" w:hAnsi="Times New Roman" w:cs="Times New Roman"/>
          <w:sz w:val="24"/>
          <w:szCs w:val="24"/>
        </w:rPr>
        <w:t xml:space="preserve"> to</w:t>
      </w:r>
      <w:r w:rsidRPr="00957E32">
        <w:rPr>
          <w:rFonts w:ascii="Times New Roman" w:hAnsi="Times New Roman" w:cs="Times New Roman"/>
          <w:sz w:val="24"/>
          <w:szCs w:val="24"/>
        </w:rPr>
        <w:t xml:space="preserve"> </w:t>
      </w:r>
      <w:r>
        <w:rPr>
          <w:rFonts w:ascii="Times New Roman" w:hAnsi="Times New Roman" w:cs="Times New Roman"/>
          <w:sz w:val="24"/>
          <w:szCs w:val="24"/>
        </w:rPr>
        <w:t>facilitate</w:t>
      </w:r>
      <w:r w:rsidRPr="00957E32">
        <w:rPr>
          <w:rFonts w:ascii="Times New Roman" w:hAnsi="Times New Roman" w:cs="Times New Roman"/>
          <w:sz w:val="24"/>
          <w:szCs w:val="24"/>
        </w:rPr>
        <w:t xml:space="preserve"> </w:t>
      </w:r>
      <w:r w:rsidR="006D462D">
        <w:rPr>
          <w:rFonts w:ascii="Times New Roman" w:hAnsi="Times New Roman" w:cs="Times New Roman"/>
          <w:sz w:val="24"/>
          <w:szCs w:val="24"/>
        </w:rPr>
        <w:t xml:space="preserve">prompt </w:t>
      </w:r>
      <w:r w:rsidRPr="00957E32">
        <w:rPr>
          <w:rFonts w:ascii="Times New Roman" w:hAnsi="Times New Roman" w:cs="Times New Roman"/>
          <w:sz w:val="24"/>
          <w:szCs w:val="24"/>
        </w:rPr>
        <w:t>rule</w:t>
      </w:r>
      <w:r>
        <w:rPr>
          <w:rFonts w:ascii="Times New Roman" w:hAnsi="Times New Roman" w:cs="Times New Roman"/>
          <w:sz w:val="24"/>
          <w:szCs w:val="24"/>
        </w:rPr>
        <w:t>-</w:t>
      </w:r>
      <w:r w:rsidRPr="00957E32">
        <w:rPr>
          <w:rFonts w:ascii="Times New Roman" w:hAnsi="Times New Roman" w:cs="Times New Roman"/>
          <w:sz w:val="24"/>
          <w:szCs w:val="24"/>
        </w:rPr>
        <w:t xml:space="preserve">out </w:t>
      </w:r>
      <w:r>
        <w:rPr>
          <w:rFonts w:ascii="Times New Roman" w:hAnsi="Times New Roman" w:cs="Times New Roman"/>
          <w:sz w:val="24"/>
          <w:szCs w:val="24"/>
        </w:rPr>
        <w:t>of TB</w:t>
      </w:r>
      <w:r w:rsidRPr="00957E32">
        <w:rPr>
          <w:rFonts w:ascii="Times New Roman" w:hAnsi="Times New Roman" w:cs="Times New Roman"/>
          <w:sz w:val="24"/>
          <w:szCs w:val="24"/>
        </w:rPr>
        <w:t>.</w:t>
      </w:r>
    </w:p>
    <w:p w14:paraId="4AEB4774" w14:textId="77777777" w:rsidR="00A10790" w:rsidRPr="001B1048" w:rsidRDefault="00A10790" w:rsidP="00A10790">
      <w:pPr>
        <w:spacing w:after="0" w:line="480" w:lineRule="auto"/>
        <w:jc w:val="both"/>
        <w:rPr>
          <w:rFonts w:ascii="Times New Roman" w:hAnsi="Times New Roman" w:cs="Times New Roman"/>
          <w:b/>
          <w:sz w:val="24"/>
          <w:szCs w:val="24"/>
        </w:rPr>
      </w:pPr>
      <w:r w:rsidRPr="001B1048">
        <w:rPr>
          <w:rFonts w:ascii="Times New Roman" w:hAnsi="Times New Roman" w:cs="Times New Roman"/>
          <w:b/>
          <w:sz w:val="24"/>
          <w:szCs w:val="24"/>
        </w:rPr>
        <w:t>Funding</w:t>
      </w:r>
    </w:p>
    <w:p w14:paraId="3F210675" w14:textId="00E78CCE" w:rsidR="00A10790" w:rsidRPr="001B1048" w:rsidRDefault="00A10790" w:rsidP="00A1079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This study was funded by the National Institute for Health Research. </w:t>
      </w:r>
    </w:p>
    <w:p w14:paraId="0A0A0EE0" w14:textId="77777777" w:rsidR="005F52D3" w:rsidRDefault="005F52D3" w:rsidP="001B1048">
      <w:pPr>
        <w:spacing w:after="0" w:line="480" w:lineRule="auto"/>
        <w:rPr>
          <w:rFonts w:ascii="Times New Roman" w:hAnsi="Times New Roman" w:cs="Times New Roman"/>
          <w:b/>
          <w:sz w:val="24"/>
          <w:szCs w:val="24"/>
        </w:rPr>
      </w:pPr>
    </w:p>
    <w:p w14:paraId="172187F6" w14:textId="77777777" w:rsidR="005F52D3" w:rsidRDefault="005F52D3" w:rsidP="001B1048">
      <w:pPr>
        <w:spacing w:after="0" w:line="480" w:lineRule="auto"/>
        <w:rPr>
          <w:rFonts w:ascii="Times New Roman" w:hAnsi="Times New Roman" w:cs="Times New Roman"/>
          <w:b/>
          <w:sz w:val="24"/>
          <w:szCs w:val="24"/>
        </w:rPr>
      </w:pPr>
    </w:p>
    <w:p w14:paraId="798F8A85" w14:textId="77777777" w:rsidR="005F52D3" w:rsidRDefault="005F52D3" w:rsidP="001B1048">
      <w:pPr>
        <w:spacing w:after="0" w:line="480" w:lineRule="auto"/>
        <w:rPr>
          <w:rFonts w:ascii="Times New Roman" w:hAnsi="Times New Roman" w:cs="Times New Roman"/>
          <w:b/>
          <w:sz w:val="24"/>
          <w:szCs w:val="24"/>
        </w:rPr>
      </w:pPr>
    </w:p>
    <w:p w14:paraId="36D034CB" w14:textId="77777777" w:rsidR="005F52D3" w:rsidRDefault="005F52D3" w:rsidP="001B1048">
      <w:pPr>
        <w:spacing w:after="0" w:line="480" w:lineRule="auto"/>
        <w:rPr>
          <w:rFonts w:ascii="Times New Roman" w:hAnsi="Times New Roman" w:cs="Times New Roman"/>
          <w:b/>
          <w:sz w:val="24"/>
          <w:szCs w:val="24"/>
        </w:rPr>
      </w:pPr>
    </w:p>
    <w:p w14:paraId="7DBB1758" w14:textId="77777777" w:rsidR="005F52D3" w:rsidRDefault="005F52D3" w:rsidP="0085245D">
      <w:pPr>
        <w:spacing w:after="0" w:line="480" w:lineRule="auto"/>
        <w:rPr>
          <w:rFonts w:ascii="Times New Roman" w:hAnsi="Times New Roman" w:cs="Times New Roman"/>
          <w:b/>
          <w:sz w:val="24"/>
          <w:szCs w:val="24"/>
        </w:rPr>
      </w:pPr>
    </w:p>
    <w:p w14:paraId="55EA918A" w14:textId="77777777" w:rsidR="0085245D" w:rsidRDefault="0085245D" w:rsidP="0085245D">
      <w:pPr>
        <w:spacing w:after="0" w:line="480" w:lineRule="auto"/>
        <w:rPr>
          <w:rFonts w:ascii="Times New Roman" w:hAnsi="Times New Roman" w:cs="Times New Roman"/>
          <w:b/>
          <w:sz w:val="24"/>
          <w:szCs w:val="24"/>
        </w:rPr>
      </w:pPr>
    </w:p>
    <w:p w14:paraId="22DE2EAE" w14:textId="77777777" w:rsidR="0085245D" w:rsidRDefault="0085245D" w:rsidP="0085245D">
      <w:pPr>
        <w:spacing w:after="0" w:line="480" w:lineRule="auto"/>
        <w:rPr>
          <w:rFonts w:ascii="Times New Roman" w:hAnsi="Times New Roman" w:cs="Times New Roman"/>
          <w:b/>
          <w:sz w:val="24"/>
          <w:szCs w:val="24"/>
        </w:rPr>
      </w:pPr>
    </w:p>
    <w:p w14:paraId="40B190FE" w14:textId="3D03A16D" w:rsidR="0085245D" w:rsidRDefault="0085245D" w:rsidP="0085245D">
      <w:pPr>
        <w:spacing w:after="0" w:line="480" w:lineRule="auto"/>
        <w:rPr>
          <w:rFonts w:ascii="Times New Roman" w:hAnsi="Times New Roman" w:cs="Times New Roman"/>
          <w:b/>
          <w:sz w:val="24"/>
          <w:szCs w:val="24"/>
        </w:rPr>
      </w:pPr>
    </w:p>
    <w:p w14:paraId="4F54B833" w14:textId="002B620F" w:rsidR="0034175C" w:rsidRDefault="0034175C" w:rsidP="0085245D">
      <w:pPr>
        <w:spacing w:after="0" w:line="480" w:lineRule="auto"/>
        <w:rPr>
          <w:rFonts w:ascii="Times New Roman" w:hAnsi="Times New Roman" w:cs="Times New Roman"/>
          <w:b/>
          <w:sz w:val="24"/>
          <w:szCs w:val="24"/>
        </w:rPr>
      </w:pPr>
    </w:p>
    <w:p w14:paraId="1B5D91A6" w14:textId="6FA9499F" w:rsidR="0034175C" w:rsidRDefault="0034175C" w:rsidP="0085245D">
      <w:pPr>
        <w:spacing w:after="0" w:line="480" w:lineRule="auto"/>
        <w:rPr>
          <w:rFonts w:ascii="Times New Roman" w:hAnsi="Times New Roman" w:cs="Times New Roman"/>
          <w:b/>
          <w:sz w:val="24"/>
          <w:szCs w:val="24"/>
        </w:rPr>
      </w:pPr>
    </w:p>
    <w:p w14:paraId="4C7A4974" w14:textId="0A60C82D" w:rsidR="0034175C" w:rsidRDefault="0034175C" w:rsidP="0085245D">
      <w:pPr>
        <w:spacing w:after="0" w:line="480" w:lineRule="auto"/>
        <w:rPr>
          <w:rFonts w:ascii="Times New Roman" w:hAnsi="Times New Roman" w:cs="Times New Roman"/>
          <w:b/>
          <w:sz w:val="24"/>
          <w:szCs w:val="24"/>
        </w:rPr>
      </w:pPr>
    </w:p>
    <w:p w14:paraId="3DEC2271" w14:textId="26F21674" w:rsidR="0034175C" w:rsidRDefault="0034175C" w:rsidP="0085245D">
      <w:pPr>
        <w:spacing w:after="0" w:line="480" w:lineRule="auto"/>
        <w:rPr>
          <w:rFonts w:ascii="Times New Roman" w:hAnsi="Times New Roman" w:cs="Times New Roman"/>
          <w:b/>
          <w:sz w:val="24"/>
          <w:szCs w:val="24"/>
        </w:rPr>
      </w:pPr>
    </w:p>
    <w:p w14:paraId="30542BF8" w14:textId="77777777" w:rsidR="0034175C" w:rsidRDefault="0034175C" w:rsidP="0085245D">
      <w:pPr>
        <w:spacing w:after="0" w:line="480" w:lineRule="auto"/>
        <w:rPr>
          <w:rFonts w:ascii="Times New Roman" w:hAnsi="Times New Roman" w:cs="Times New Roman"/>
          <w:b/>
          <w:sz w:val="24"/>
          <w:szCs w:val="24"/>
        </w:rPr>
      </w:pPr>
    </w:p>
    <w:p w14:paraId="77143A8F" w14:textId="6C5361F0" w:rsidR="0085245D" w:rsidRDefault="0085245D" w:rsidP="0085245D">
      <w:pPr>
        <w:spacing w:after="0" w:line="480" w:lineRule="auto"/>
        <w:rPr>
          <w:rFonts w:ascii="Times New Roman" w:hAnsi="Times New Roman" w:cs="Times New Roman"/>
          <w:b/>
          <w:sz w:val="24"/>
          <w:szCs w:val="24"/>
        </w:rPr>
      </w:pPr>
    </w:p>
    <w:p w14:paraId="55E136A3" w14:textId="3BF9EE32" w:rsidR="00BB614D" w:rsidRDefault="00BB614D" w:rsidP="0085245D">
      <w:pPr>
        <w:spacing w:after="0" w:line="480" w:lineRule="auto"/>
        <w:rPr>
          <w:rFonts w:ascii="Times New Roman" w:hAnsi="Times New Roman" w:cs="Times New Roman"/>
          <w:b/>
          <w:sz w:val="24"/>
          <w:szCs w:val="24"/>
        </w:rPr>
      </w:pPr>
    </w:p>
    <w:p w14:paraId="7E33CBFA" w14:textId="24253187" w:rsidR="00BB614D" w:rsidRDefault="00BB614D" w:rsidP="0085245D">
      <w:pPr>
        <w:spacing w:after="0" w:line="480" w:lineRule="auto"/>
        <w:rPr>
          <w:rFonts w:ascii="Times New Roman" w:hAnsi="Times New Roman" w:cs="Times New Roman"/>
          <w:b/>
          <w:sz w:val="24"/>
          <w:szCs w:val="24"/>
        </w:rPr>
      </w:pPr>
    </w:p>
    <w:p w14:paraId="41E9DDB0" w14:textId="77777777" w:rsidR="00BB614D" w:rsidRDefault="00BB614D" w:rsidP="0085245D">
      <w:pPr>
        <w:spacing w:after="0" w:line="480" w:lineRule="auto"/>
        <w:rPr>
          <w:rFonts w:ascii="Times New Roman" w:hAnsi="Times New Roman" w:cs="Times New Roman"/>
          <w:b/>
          <w:sz w:val="24"/>
          <w:szCs w:val="24"/>
        </w:rPr>
      </w:pPr>
    </w:p>
    <w:p w14:paraId="5E177B6E" w14:textId="77777777" w:rsidR="0085245D" w:rsidRDefault="0085245D" w:rsidP="0085245D">
      <w:pPr>
        <w:spacing w:after="0" w:line="480" w:lineRule="auto"/>
        <w:rPr>
          <w:rFonts w:ascii="Times New Roman" w:hAnsi="Times New Roman" w:cs="Times New Roman"/>
          <w:b/>
          <w:sz w:val="24"/>
          <w:szCs w:val="24"/>
        </w:rPr>
      </w:pPr>
    </w:p>
    <w:p w14:paraId="45E711FD" w14:textId="3D913E4D" w:rsidR="0085245D" w:rsidRDefault="0085245D" w:rsidP="001B1048">
      <w:pPr>
        <w:spacing w:after="0" w:line="480" w:lineRule="auto"/>
        <w:rPr>
          <w:rFonts w:ascii="Times New Roman" w:hAnsi="Times New Roman" w:cs="Times New Roman"/>
          <w:b/>
          <w:sz w:val="24"/>
          <w:szCs w:val="24"/>
        </w:rPr>
      </w:pPr>
    </w:p>
    <w:p w14:paraId="080FF4C1" w14:textId="77777777" w:rsidR="0051066F" w:rsidRDefault="0051066F" w:rsidP="001B1048">
      <w:pPr>
        <w:spacing w:after="0" w:line="480" w:lineRule="auto"/>
        <w:rPr>
          <w:rFonts w:ascii="Times New Roman" w:hAnsi="Times New Roman" w:cs="Times New Roman"/>
          <w:b/>
          <w:sz w:val="24"/>
          <w:szCs w:val="24"/>
        </w:rPr>
      </w:pPr>
    </w:p>
    <w:p w14:paraId="7AE94F52" w14:textId="67FA90BA" w:rsidR="002B6414" w:rsidRDefault="00226F7B" w:rsidP="001B1048">
      <w:pPr>
        <w:spacing w:after="0" w:line="480" w:lineRule="auto"/>
        <w:rPr>
          <w:rFonts w:ascii="Times New Roman" w:hAnsi="Times New Roman" w:cs="Times New Roman"/>
          <w:sz w:val="24"/>
          <w:szCs w:val="24"/>
        </w:rPr>
      </w:pPr>
      <w:r w:rsidRPr="00957E32">
        <w:rPr>
          <w:rFonts w:ascii="Times New Roman" w:hAnsi="Times New Roman" w:cs="Times New Roman"/>
          <w:b/>
          <w:sz w:val="24"/>
          <w:szCs w:val="24"/>
        </w:rPr>
        <w:lastRenderedPageBreak/>
        <w:t>INTRODUCTION</w:t>
      </w:r>
      <w:r w:rsidR="00B83FD1" w:rsidRPr="00957E32">
        <w:rPr>
          <w:rFonts w:ascii="Times New Roman" w:hAnsi="Times New Roman" w:cs="Times New Roman"/>
          <w:b/>
          <w:sz w:val="24"/>
          <w:szCs w:val="24"/>
        </w:rPr>
        <w:t xml:space="preserve"> </w:t>
      </w:r>
    </w:p>
    <w:p w14:paraId="1222474D" w14:textId="0912AE97" w:rsidR="00DE1A4E" w:rsidRPr="00C9515F" w:rsidRDefault="00F11899" w:rsidP="00A227A2">
      <w:pPr>
        <w:spacing w:after="0" w:line="480" w:lineRule="auto"/>
        <w:jc w:val="both"/>
        <w:rPr>
          <w:rFonts w:ascii="Times New Roman" w:eastAsia="QuayItcT-Book" w:hAnsi="Times New Roman" w:cs="Times New Roman"/>
          <w:sz w:val="24"/>
          <w:szCs w:val="24"/>
          <w:lang w:eastAsia="en-GB"/>
        </w:rPr>
      </w:pPr>
      <w:r w:rsidRPr="00957E32">
        <w:rPr>
          <w:rFonts w:ascii="Times New Roman" w:hAnsi="Times New Roman" w:cs="Times New Roman"/>
          <w:sz w:val="24"/>
          <w:szCs w:val="24"/>
        </w:rPr>
        <w:t>Prompt d</w:t>
      </w:r>
      <w:r w:rsidR="00451CB6" w:rsidRPr="00957E32">
        <w:rPr>
          <w:rFonts w:ascii="Times New Roman" w:hAnsi="Times New Roman" w:cs="Times New Roman"/>
          <w:sz w:val="24"/>
          <w:szCs w:val="24"/>
        </w:rPr>
        <w:t xml:space="preserve">iagnosis and treatment of active </w:t>
      </w:r>
      <w:r w:rsidR="00835DF7" w:rsidRPr="00957E32">
        <w:rPr>
          <w:rFonts w:ascii="Times New Roman" w:hAnsi="Times New Roman" w:cs="Times New Roman"/>
          <w:sz w:val="24"/>
          <w:szCs w:val="24"/>
        </w:rPr>
        <w:t>t</w:t>
      </w:r>
      <w:r w:rsidR="002C227E" w:rsidRPr="00957E32">
        <w:rPr>
          <w:rFonts w:ascii="Times New Roman" w:hAnsi="Times New Roman" w:cs="Times New Roman"/>
          <w:sz w:val="24"/>
          <w:szCs w:val="24"/>
        </w:rPr>
        <w:t>uberculosis (</w:t>
      </w:r>
      <w:r w:rsidR="00451CB6" w:rsidRPr="00957E32">
        <w:rPr>
          <w:rFonts w:ascii="Times New Roman" w:hAnsi="Times New Roman" w:cs="Times New Roman"/>
          <w:sz w:val="24"/>
          <w:szCs w:val="24"/>
        </w:rPr>
        <w:t>TB</w:t>
      </w:r>
      <w:r w:rsidR="002C227E" w:rsidRPr="00957E32">
        <w:rPr>
          <w:rFonts w:ascii="Times New Roman" w:hAnsi="Times New Roman" w:cs="Times New Roman"/>
          <w:sz w:val="24"/>
          <w:szCs w:val="24"/>
        </w:rPr>
        <w:t>)</w:t>
      </w:r>
      <w:r w:rsidR="00451CB6" w:rsidRPr="00957E32">
        <w:rPr>
          <w:rFonts w:ascii="Times New Roman" w:hAnsi="Times New Roman" w:cs="Times New Roman"/>
          <w:sz w:val="24"/>
          <w:szCs w:val="24"/>
        </w:rPr>
        <w:t xml:space="preserve"> </w:t>
      </w:r>
      <w:r w:rsidR="00F509F6" w:rsidRPr="00957E32">
        <w:rPr>
          <w:rFonts w:ascii="Times New Roman" w:hAnsi="Times New Roman" w:cs="Times New Roman"/>
          <w:sz w:val="24"/>
          <w:szCs w:val="24"/>
        </w:rPr>
        <w:t>are</w:t>
      </w:r>
      <w:r w:rsidRPr="00957E32">
        <w:rPr>
          <w:rFonts w:ascii="Times New Roman" w:hAnsi="Times New Roman" w:cs="Times New Roman"/>
          <w:sz w:val="24"/>
          <w:szCs w:val="24"/>
        </w:rPr>
        <w:t xml:space="preserve"> </w:t>
      </w:r>
      <w:r w:rsidR="00835DF7" w:rsidRPr="00957E32">
        <w:rPr>
          <w:rFonts w:ascii="Times New Roman" w:hAnsi="Times New Roman" w:cs="Times New Roman"/>
          <w:sz w:val="24"/>
          <w:szCs w:val="24"/>
        </w:rPr>
        <w:t>essential for optimal patient outcomes and prevent</w:t>
      </w:r>
      <w:r w:rsidR="0034175C">
        <w:rPr>
          <w:rFonts w:ascii="Times New Roman" w:hAnsi="Times New Roman" w:cs="Times New Roman"/>
          <w:sz w:val="24"/>
          <w:szCs w:val="24"/>
        </w:rPr>
        <w:t>ing</w:t>
      </w:r>
      <w:r w:rsidR="00451CB6" w:rsidRPr="00957E32">
        <w:rPr>
          <w:rFonts w:ascii="Times New Roman" w:hAnsi="Times New Roman" w:cs="Times New Roman"/>
          <w:sz w:val="24"/>
          <w:szCs w:val="24"/>
        </w:rPr>
        <w:t xml:space="preserve"> onward transmission</w:t>
      </w:r>
      <w:r w:rsidR="00835DF7" w:rsidRPr="00957E32">
        <w:rPr>
          <w:rFonts w:ascii="Times New Roman" w:hAnsi="Times New Roman" w:cs="Times New Roman"/>
          <w:sz w:val="24"/>
          <w:szCs w:val="24"/>
        </w:rPr>
        <w:t xml:space="preserve"> in the community </w:t>
      </w:r>
      <w:r w:rsidR="00F509F6" w:rsidRPr="00957E32">
        <w:rPr>
          <w:rFonts w:ascii="Times New Roman" w:hAnsi="Times New Roman" w:cs="Times New Roman"/>
          <w:sz w:val="24"/>
          <w:szCs w:val="24"/>
        </w:rPr>
        <w:t>and</w:t>
      </w:r>
      <w:r w:rsidR="00835DF7" w:rsidRPr="00957E32">
        <w:rPr>
          <w:rFonts w:ascii="Times New Roman" w:hAnsi="Times New Roman" w:cs="Times New Roman"/>
          <w:sz w:val="24"/>
          <w:szCs w:val="24"/>
        </w:rPr>
        <w:t xml:space="preserve"> healthcare facilities</w:t>
      </w:r>
      <w:r w:rsidR="008B09FB">
        <w:rPr>
          <w:rFonts w:ascii="Times New Roman" w:hAnsi="Times New Roman" w:cs="Times New Roman"/>
          <w:sz w:val="24"/>
          <w:szCs w:val="24"/>
        </w:rPr>
        <w:t>.</w:t>
      </w:r>
      <w:r w:rsidR="00CB1A89">
        <w:rPr>
          <w:rFonts w:ascii="Times New Roman" w:hAnsi="Times New Roman" w:cs="Times New Roman"/>
          <w:sz w:val="24"/>
          <w:szCs w:val="24"/>
          <w:vertAlign w:val="superscript"/>
        </w:rPr>
        <w:t>1</w:t>
      </w:r>
      <w:r w:rsidR="00451CB6" w:rsidRPr="00957E32">
        <w:rPr>
          <w:rFonts w:ascii="Times New Roman" w:hAnsi="Times New Roman" w:cs="Times New Roman"/>
          <w:sz w:val="24"/>
          <w:szCs w:val="24"/>
        </w:rPr>
        <w:t xml:space="preserve"> </w:t>
      </w:r>
      <w:r w:rsidR="00B83FD1" w:rsidRPr="00957E32">
        <w:rPr>
          <w:rFonts w:ascii="Times New Roman" w:hAnsi="Times New Roman" w:cs="Times New Roman"/>
          <w:sz w:val="24"/>
          <w:szCs w:val="24"/>
        </w:rPr>
        <w:t>However,</w:t>
      </w:r>
      <w:r w:rsidR="00226F7B" w:rsidRPr="00957E32">
        <w:rPr>
          <w:rFonts w:ascii="Times New Roman" w:hAnsi="Times New Roman" w:cs="Times New Roman"/>
          <w:sz w:val="24"/>
          <w:szCs w:val="24"/>
        </w:rPr>
        <w:t xml:space="preserve"> diagnostic </w:t>
      </w:r>
      <w:r w:rsidR="0085245D">
        <w:rPr>
          <w:rFonts w:ascii="Times New Roman" w:hAnsi="Times New Roman" w:cs="Times New Roman"/>
          <w:sz w:val="24"/>
          <w:szCs w:val="24"/>
        </w:rPr>
        <w:t>assessment of</w:t>
      </w:r>
      <w:r w:rsidR="00226F7B" w:rsidRPr="00957E32">
        <w:rPr>
          <w:rFonts w:ascii="Times New Roman" w:hAnsi="Times New Roman" w:cs="Times New Roman"/>
          <w:sz w:val="24"/>
          <w:szCs w:val="24"/>
        </w:rPr>
        <w:t xml:space="preserve"> suspected TB can be </w:t>
      </w:r>
      <w:r w:rsidR="00226F7B" w:rsidRPr="001A0503">
        <w:rPr>
          <w:rFonts w:ascii="Times New Roman" w:hAnsi="Times New Roman" w:cs="Times New Roman"/>
          <w:sz w:val="24"/>
          <w:szCs w:val="24"/>
        </w:rPr>
        <w:t>lengthy, costly and burden</w:t>
      </w:r>
      <w:r w:rsidR="00835DF7" w:rsidRPr="001A0503">
        <w:rPr>
          <w:rFonts w:ascii="Times New Roman" w:hAnsi="Times New Roman" w:cs="Times New Roman"/>
          <w:sz w:val="24"/>
          <w:szCs w:val="24"/>
        </w:rPr>
        <w:t>some</w:t>
      </w:r>
      <w:r w:rsidR="00226F7B" w:rsidRPr="00957E32">
        <w:rPr>
          <w:rFonts w:ascii="Times New Roman" w:hAnsi="Times New Roman" w:cs="Times New Roman"/>
          <w:sz w:val="24"/>
          <w:szCs w:val="24"/>
        </w:rPr>
        <w:t xml:space="preserve"> </w:t>
      </w:r>
      <w:r w:rsidR="00835DF7" w:rsidRPr="00957E32">
        <w:rPr>
          <w:rFonts w:ascii="Times New Roman" w:hAnsi="Times New Roman" w:cs="Times New Roman"/>
          <w:sz w:val="24"/>
          <w:szCs w:val="24"/>
        </w:rPr>
        <w:t xml:space="preserve">for patients and </w:t>
      </w:r>
      <w:r w:rsidR="00DE1A4E" w:rsidRPr="00957E32">
        <w:rPr>
          <w:rFonts w:ascii="Times New Roman" w:hAnsi="Times New Roman" w:cs="Times New Roman"/>
          <w:sz w:val="24"/>
          <w:szCs w:val="24"/>
        </w:rPr>
        <w:t>healthcare systems</w:t>
      </w:r>
      <w:r w:rsidR="00044E0F">
        <w:rPr>
          <w:rFonts w:ascii="Times New Roman" w:hAnsi="Times New Roman" w:cs="Times New Roman"/>
          <w:sz w:val="24"/>
          <w:szCs w:val="24"/>
        </w:rPr>
        <w:t>,</w:t>
      </w:r>
      <w:r w:rsidR="00CB1A89" w:rsidRPr="001B1048">
        <w:rPr>
          <w:rFonts w:ascii="Times New Roman" w:hAnsi="Times New Roman" w:cs="Times New Roman"/>
          <w:sz w:val="24"/>
          <w:szCs w:val="24"/>
          <w:vertAlign w:val="superscript"/>
        </w:rPr>
        <w:t>2</w:t>
      </w:r>
      <w:r w:rsidR="00DE1A4E" w:rsidRPr="00957E32">
        <w:rPr>
          <w:rFonts w:ascii="Times New Roman" w:hAnsi="Times New Roman" w:cs="Times New Roman"/>
          <w:sz w:val="24"/>
          <w:szCs w:val="24"/>
        </w:rPr>
        <w:t xml:space="preserve"> often </w:t>
      </w:r>
      <w:r w:rsidR="002C227E" w:rsidRPr="00957E32">
        <w:rPr>
          <w:rFonts w:ascii="Times New Roman" w:hAnsi="Times New Roman" w:cs="Times New Roman"/>
          <w:sz w:val="24"/>
          <w:szCs w:val="24"/>
        </w:rPr>
        <w:t>result</w:t>
      </w:r>
      <w:r w:rsidR="00DE1A4E" w:rsidRPr="00957E32">
        <w:rPr>
          <w:rFonts w:ascii="Times New Roman" w:hAnsi="Times New Roman" w:cs="Times New Roman"/>
          <w:sz w:val="24"/>
          <w:szCs w:val="24"/>
        </w:rPr>
        <w:t>ing</w:t>
      </w:r>
      <w:r w:rsidR="002C227E" w:rsidRPr="00957E32">
        <w:rPr>
          <w:rFonts w:ascii="Times New Roman" w:hAnsi="Times New Roman" w:cs="Times New Roman"/>
          <w:sz w:val="24"/>
          <w:szCs w:val="24"/>
        </w:rPr>
        <w:t xml:space="preserve"> in significant</w:t>
      </w:r>
      <w:r w:rsidR="00B72785" w:rsidRPr="00957E32">
        <w:rPr>
          <w:rFonts w:ascii="Times New Roman" w:hAnsi="Times New Roman" w:cs="Times New Roman"/>
          <w:sz w:val="24"/>
          <w:szCs w:val="24"/>
        </w:rPr>
        <w:t xml:space="preserve"> delay</w:t>
      </w:r>
      <w:r w:rsidR="002C227E" w:rsidRPr="00957E32">
        <w:rPr>
          <w:rFonts w:ascii="Times New Roman" w:hAnsi="Times New Roman" w:cs="Times New Roman"/>
          <w:sz w:val="24"/>
          <w:szCs w:val="24"/>
        </w:rPr>
        <w:t>s in</w:t>
      </w:r>
      <w:r w:rsidR="00B72785" w:rsidRPr="00957E32">
        <w:rPr>
          <w:rFonts w:ascii="Times New Roman" w:hAnsi="Times New Roman" w:cs="Times New Roman"/>
          <w:sz w:val="24"/>
          <w:szCs w:val="24"/>
        </w:rPr>
        <w:t xml:space="preserve"> diagnosis and treatment of other </w:t>
      </w:r>
      <w:r w:rsidR="00DE1A4E" w:rsidRPr="00957E32">
        <w:rPr>
          <w:rFonts w:ascii="Times New Roman" w:hAnsi="Times New Roman" w:cs="Times New Roman"/>
          <w:sz w:val="24"/>
          <w:szCs w:val="24"/>
        </w:rPr>
        <w:t>diseases</w:t>
      </w:r>
      <w:r w:rsidR="00B72785" w:rsidRPr="00957E32">
        <w:rPr>
          <w:rFonts w:ascii="Times New Roman" w:hAnsi="Times New Roman" w:cs="Times New Roman"/>
          <w:sz w:val="24"/>
          <w:szCs w:val="24"/>
        </w:rPr>
        <w:t xml:space="preserve"> in cases where </w:t>
      </w:r>
      <w:r w:rsidR="00DE1A4E" w:rsidRPr="00957E32">
        <w:rPr>
          <w:rFonts w:ascii="Times New Roman" w:hAnsi="Times New Roman" w:cs="Times New Roman"/>
          <w:sz w:val="24"/>
          <w:szCs w:val="24"/>
        </w:rPr>
        <w:t xml:space="preserve">suspected </w:t>
      </w:r>
      <w:r w:rsidR="00B72785" w:rsidRPr="00957E32">
        <w:rPr>
          <w:rFonts w:ascii="Times New Roman" w:hAnsi="Times New Roman" w:cs="Times New Roman"/>
          <w:sz w:val="24"/>
          <w:szCs w:val="24"/>
        </w:rPr>
        <w:t>TB is eventually ruled out.</w:t>
      </w:r>
      <w:r w:rsidR="00BF17AF" w:rsidRPr="00957E32">
        <w:rPr>
          <w:rFonts w:ascii="Times New Roman" w:eastAsia="QuayItcT-Book" w:hAnsi="Times New Roman" w:cs="Times New Roman"/>
          <w:sz w:val="24"/>
          <w:szCs w:val="24"/>
          <w:lang w:eastAsia="en-GB"/>
        </w:rPr>
        <w:t xml:space="preserve"> Improving and accelerating diagnostic evaluation</w:t>
      </w:r>
      <w:r w:rsidR="0034175C">
        <w:rPr>
          <w:rFonts w:ascii="Times New Roman" w:eastAsia="QuayItcT-Book" w:hAnsi="Times New Roman" w:cs="Times New Roman"/>
          <w:sz w:val="24"/>
          <w:szCs w:val="24"/>
          <w:lang w:eastAsia="en-GB"/>
        </w:rPr>
        <w:t xml:space="preserve"> </w:t>
      </w:r>
      <w:r w:rsidR="00BF17AF" w:rsidRPr="00957E32">
        <w:rPr>
          <w:rFonts w:ascii="Times New Roman" w:eastAsia="QuayItcT-Book" w:hAnsi="Times New Roman" w:cs="Times New Roman"/>
          <w:sz w:val="24"/>
          <w:szCs w:val="24"/>
          <w:lang w:eastAsia="en-GB"/>
        </w:rPr>
        <w:t>thus remains a clinical and public health priority in high-income, low-incidence countries</w:t>
      </w:r>
      <w:r w:rsidR="00044E0F">
        <w:rPr>
          <w:rFonts w:ascii="Times New Roman" w:eastAsia="QuayItcT-Book" w:hAnsi="Times New Roman" w:cs="Times New Roman"/>
          <w:sz w:val="24"/>
          <w:szCs w:val="24"/>
          <w:lang w:eastAsia="en-GB"/>
        </w:rPr>
        <w:t>,</w:t>
      </w:r>
      <w:r w:rsidR="00BF17AF" w:rsidRPr="00957E32">
        <w:rPr>
          <w:rFonts w:ascii="Times New Roman" w:eastAsia="QuayItcT-Book" w:hAnsi="Times New Roman" w:cs="Times New Roman"/>
          <w:sz w:val="24"/>
          <w:szCs w:val="24"/>
          <w:lang w:eastAsia="en-GB"/>
        </w:rPr>
        <w:t xml:space="preserve"> as well as high-burden regions. </w:t>
      </w:r>
      <w:r w:rsidR="006D462D" w:rsidRPr="00224BD6">
        <w:rPr>
          <w:rFonts w:ascii="Times New Roman" w:eastAsia="QuayItcT-Book" w:hAnsi="Times New Roman" w:cs="Times New Roman"/>
          <w:sz w:val="24"/>
          <w:szCs w:val="24"/>
          <w:lang w:eastAsia="en-GB"/>
        </w:rPr>
        <w:t>Recently, great advances in molecular diagnostics</w:t>
      </w:r>
      <w:r w:rsidR="006D462D">
        <w:rPr>
          <w:rFonts w:ascii="Times New Roman" w:eastAsia="QuayItcT-Book" w:hAnsi="Times New Roman" w:cs="Times New Roman"/>
          <w:sz w:val="24"/>
          <w:szCs w:val="24"/>
          <w:lang w:eastAsia="en-GB"/>
        </w:rPr>
        <w:t>,</w:t>
      </w:r>
      <w:r w:rsidR="006D462D" w:rsidRPr="00224BD6">
        <w:rPr>
          <w:rFonts w:ascii="Times New Roman" w:eastAsia="QuayItcT-Book" w:hAnsi="Times New Roman" w:cs="Times New Roman"/>
          <w:sz w:val="24"/>
          <w:szCs w:val="24"/>
          <w:lang w:eastAsia="en-GB"/>
        </w:rPr>
        <w:t xml:space="preserve"> such as GeneXpert</w:t>
      </w:r>
      <w:r w:rsidR="006D462D">
        <w:rPr>
          <w:rFonts w:ascii="Times New Roman" w:eastAsia="QuayItcT-Book" w:hAnsi="Times New Roman" w:cs="Times New Roman"/>
          <w:sz w:val="24"/>
          <w:szCs w:val="24"/>
          <w:lang w:eastAsia="en-GB"/>
        </w:rPr>
        <w:t xml:space="preserve"> (Cepheid Inc, Sunnyvale, CA, USA),</w:t>
      </w:r>
      <w:r w:rsidR="006D462D" w:rsidRPr="00224BD6">
        <w:rPr>
          <w:rFonts w:ascii="Times New Roman" w:eastAsia="QuayItcT-Book" w:hAnsi="Times New Roman" w:cs="Times New Roman"/>
          <w:sz w:val="24"/>
          <w:szCs w:val="24"/>
          <w:lang w:eastAsia="en-GB"/>
        </w:rPr>
        <w:t xml:space="preserve"> have improved the speed and accu</w:t>
      </w:r>
      <w:r w:rsidR="006D462D">
        <w:rPr>
          <w:rFonts w:ascii="Times New Roman" w:eastAsia="QuayItcT-Book" w:hAnsi="Times New Roman" w:cs="Times New Roman"/>
          <w:sz w:val="24"/>
          <w:szCs w:val="24"/>
          <w:lang w:eastAsia="en-GB"/>
        </w:rPr>
        <w:t>racy of microbiologic diagnosis and</w:t>
      </w:r>
      <w:r w:rsidR="006D462D" w:rsidRPr="00224BD6">
        <w:rPr>
          <w:rFonts w:ascii="Times New Roman" w:eastAsia="QuayItcT-Book" w:hAnsi="Times New Roman" w:cs="Times New Roman"/>
          <w:sz w:val="24"/>
          <w:szCs w:val="24"/>
          <w:lang w:eastAsia="en-GB"/>
        </w:rPr>
        <w:t xml:space="preserve"> enabled prediction of antibiotic susceptibility.</w:t>
      </w:r>
      <w:r w:rsidR="003F3305">
        <w:rPr>
          <w:rFonts w:ascii="Times New Roman" w:eastAsia="QuayItcT-Book" w:hAnsi="Times New Roman" w:cs="Times New Roman"/>
          <w:sz w:val="24"/>
          <w:szCs w:val="24"/>
          <w:vertAlign w:val="superscript"/>
          <w:lang w:eastAsia="en-GB"/>
        </w:rPr>
        <w:t>3</w:t>
      </w:r>
      <w:r w:rsidR="006D462D" w:rsidRPr="00224BD6">
        <w:rPr>
          <w:rFonts w:ascii="Times New Roman" w:eastAsia="QuayItcT-Book" w:hAnsi="Times New Roman" w:cs="Times New Roman"/>
          <w:sz w:val="24"/>
          <w:szCs w:val="24"/>
          <w:lang w:eastAsia="en-GB"/>
        </w:rPr>
        <w:t xml:space="preserve"> However, whilst suc</w:t>
      </w:r>
      <w:r w:rsidR="006D462D">
        <w:rPr>
          <w:rFonts w:ascii="Times New Roman" w:eastAsia="QuayItcT-Book" w:hAnsi="Times New Roman" w:cs="Times New Roman"/>
          <w:sz w:val="24"/>
          <w:szCs w:val="24"/>
          <w:lang w:eastAsia="en-GB"/>
        </w:rPr>
        <w:t>h tests have high specificity</w:t>
      </w:r>
      <w:r w:rsidR="00F427A6">
        <w:rPr>
          <w:rFonts w:ascii="Times New Roman" w:eastAsia="QuayItcT-Book" w:hAnsi="Times New Roman" w:cs="Times New Roman"/>
          <w:sz w:val="24"/>
          <w:szCs w:val="24"/>
          <w:lang w:eastAsia="en-GB"/>
        </w:rPr>
        <w:t xml:space="preserve"> (which is important for ‘rule-in’)</w:t>
      </w:r>
      <w:r w:rsidR="006D462D">
        <w:rPr>
          <w:rFonts w:ascii="Times New Roman" w:eastAsia="QuayItcT-Book" w:hAnsi="Times New Roman" w:cs="Times New Roman"/>
          <w:sz w:val="24"/>
          <w:szCs w:val="24"/>
          <w:lang w:eastAsia="en-GB"/>
        </w:rPr>
        <w:t>, t</w:t>
      </w:r>
      <w:r w:rsidR="006D462D" w:rsidRPr="00224BD6">
        <w:rPr>
          <w:rFonts w:ascii="Times New Roman" w:eastAsia="QuayItcT-Book" w:hAnsi="Times New Roman" w:cs="Times New Roman"/>
          <w:sz w:val="24"/>
          <w:szCs w:val="24"/>
          <w:lang w:eastAsia="en-GB"/>
        </w:rPr>
        <w:t>he</w:t>
      </w:r>
      <w:r w:rsidR="006D462D">
        <w:rPr>
          <w:rFonts w:ascii="Times New Roman" w:eastAsia="QuayItcT-Book" w:hAnsi="Times New Roman" w:cs="Times New Roman"/>
          <w:sz w:val="24"/>
          <w:szCs w:val="24"/>
          <w:lang w:eastAsia="en-GB"/>
        </w:rPr>
        <w:t>y have insufficient</w:t>
      </w:r>
      <w:r w:rsidR="006D462D" w:rsidRPr="00224BD6">
        <w:rPr>
          <w:rFonts w:ascii="Times New Roman" w:eastAsia="QuayItcT-Book" w:hAnsi="Times New Roman" w:cs="Times New Roman"/>
          <w:sz w:val="24"/>
          <w:szCs w:val="24"/>
          <w:lang w:eastAsia="en-GB"/>
        </w:rPr>
        <w:t xml:space="preserve"> sensitivity to rule out TB and require clinical specimens from</w:t>
      </w:r>
      <w:r w:rsidR="006D462D">
        <w:rPr>
          <w:rFonts w:ascii="Times New Roman" w:eastAsia="QuayItcT-Book" w:hAnsi="Times New Roman" w:cs="Times New Roman"/>
          <w:sz w:val="24"/>
          <w:szCs w:val="24"/>
          <w:lang w:eastAsia="en-GB"/>
        </w:rPr>
        <w:t xml:space="preserve"> anatomical disease sites, often requiring resource-intensive invasive procedures.</w:t>
      </w:r>
      <w:r w:rsidR="003F3305">
        <w:rPr>
          <w:rFonts w:ascii="Times New Roman" w:eastAsia="QuayItcT-Book" w:hAnsi="Times New Roman" w:cs="Times New Roman"/>
          <w:sz w:val="24"/>
          <w:szCs w:val="24"/>
          <w:vertAlign w:val="superscript"/>
          <w:lang w:eastAsia="en-GB"/>
        </w:rPr>
        <w:t>4</w:t>
      </w:r>
      <w:r w:rsidR="006D462D">
        <w:rPr>
          <w:rFonts w:ascii="Times New Roman" w:eastAsia="QuayItcT-Book" w:hAnsi="Times New Roman" w:cs="Times New Roman"/>
          <w:sz w:val="24"/>
          <w:szCs w:val="24"/>
          <w:lang w:eastAsia="en-GB"/>
        </w:rPr>
        <w:t xml:space="preserve"> </w:t>
      </w:r>
      <w:r w:rsidR="00DE1A4E" w:rsidRPr="00957E32">
        <w:rPr>
          <w:rFonts w:ascii="Times New Roman" w:hAnsi="Times New Roman" w:cs="Times New Roman"/>
          <w:sz w:val="24"/>
          <w:szCs w:val="24"/>
        </w:rPr>
        <w:t>A blood test of high diagnostic sensitivity</w:t>
      </w:r>
      <w:r w:rsidR="0085245D">
        <w:rPr>
          <w:rFonts w:ascii="Times New Roman" w:hAnsi="Times New Roman" w:cs="Times New Roman"/>
          <w:sz w:val="24"/>
          <w:szCs w:val="24"/>
        </w:rPr>
        <w:t xml:space="preserve"> </w:t>
      </w:r>
      <w:r w:rsidR="00480129" w:rsidRPr="00957E32">
        <w:rPr>
          <w:rFonts w:ascii="Times New Roman" w:hAnsi="Times New Roman" w:cs="Times New Roman"/>
          <w:sz w:val="24"/>
          <w:szCs w:val="24"/>
        </w:rPr>
        <w:t xml:space="preserve">could help to </w:t>
      </w:r>
      <w:r w:rsidR="006D462D">
        <w:rPr>
          <w:rFonts w:ascii="Times New Roman" w:hAnsi="Times New Roman" w:cs="Times New Roman"/>
          <w:sz w:val="24"/>
          <w:szCs w:val="24"/>
        </w:rPr>
        <w:t>prompt</w:t>
      </w:r>
      <w:r w:rsidR="006D462D" w:rsidRPr="00957E32">
        <w:rPr>
          <w:rFonts w:ascii="Times New Roman" w:hAnsi="Times New Roman" w:cs="Times New Roman"/>
          <w:sz w:val="24"/>
          <w:szCs w:val="24"/>
        </w:rPr>
        <w:t xml:space="preserve">ly </w:t>
      </w:r>
      <w:r w:rsidR="006D462D">
        <w:rPr>
          <w:rFonts w:ascii="Times New Roman" w:hAnsi="Times New Roman" w:cs="Times New Roman"/>
          <w:sz w:val="24"/>
          <w:szCs w:val="24"/>
        </w:rPr>
        <w:t xml:space="preserve">(e.g. </w:t>
      </w:r>
      <w:bookmarkStart w:id="0" w:name="_GoBack"/>
      <w:bookmarkEnd w:id="0"/>
      <w:r w:rsidR="006D462D">
        <w:rPr>
          <w:rFonts w:ascii="Times New Roman" w:hAnsi="Times New Roman" w:cs="Times New Roman"/>
          <w:sz w:val="24"/>
          <w:szCs w:val="24"/>
        </w:rPr>
        <w:t>in 24</w:t>
      </w:r>
      <w:r w:rsidR="00EC6F86">
        <w:rPr>
          <w:rFonts w:ascii="Times New Roman" w:hAnsi="Times New Roman" w:cs="Times New Roman"/>
          <w:sz w:val="24"/>
          <w:szCs w:val="24"/>
        </w:rPr>
        <w:t>h</w:t>
      </w:r>
      <w:r w:rsidR="006D462D">
        <w:rPr>
          <w:rFonts w:ascii="Times New Roman" w:hAnsi="Times New Roman" w:cs="Times New Roman"/>
          <w:sz w:val="24"/>
          <w:szCs w:val="24"/>
        </w:rPr>
        <w:t xml:space="preserve">) </w:t>
      </w:r>
      <w:r w:rsidR="00480129" w:rsidRPr="00957E32">
        <w:rPr>
          <w:rFonts w:ascii="Times New Roman" w:hAnsi="Times New Roman" w:cs="Times New Roman"/>
          <w:sz w:val="24"/>
          <w:szCs w:val="24"/>
        </w:rPr>
        <w:t>triage patients at clinical presentation</w:t>
      </w:r>
      <w:r w:rsidR="00E17D49">
        <w:rPr>
          <w:rFonts w:ascii="Times New Roman" w:hAnsi="Times New Roman" w:cs="Times New Roman"/>
          <w:sz w:val="24"/>
          <w:szCs w:val="24"/>
        </w:rPr>
        <w:t xml:space="preserve"> (</w:t>
      </w:r>
      <w:r w:rsidR="00E653E5">
        <w:rPr>
          <w:rFonts w:ascii="Times New Roman" w:hAnsi="Times New Roman" w:cs="Times New Roman"/>
          <w:sz w:val="24"/>
          <w:szCs w:val="24"/>
        </w:rPr>
        <w:t xml:space="preserve">Appendix: </w:t>
      </w:r>
      <w:r w:rsidR="00E17D49">
        <w:rPr>
          <w:rFonts w:ascii="Times New Roman" w:hAnsi="Times New Roman" w:cs="Times New Roman"/>
          <w:sz w:val="24"/>
          <w:szCs w:val="24"/>
        </w:rPr>
        <w:t xml:space="preserve">Supplementary </w:t>
      </w:r>
      <w:r w:rsidR="00E653E5">
        <w:rPr>
          <w:rFonts w:ascii="Times New Roman" w:hAnsi="Times New Roman" w:cs="Times New Roman"/>
          <w:sz w:val="24"/>
          <w:szCs w:val="24"/>
        </w:rPr>
        <w:t>P</w:t>
      </w:r>
      <w:r w:rsidR="00E17D49">
        <w:rPr>
          <w:rFonts w:ascii="Times New Roman" w:hAnsi="Times New Roman" w:cs="Times New Roman"/>
          <w:sz w:val="24"/>
          <w:szCs w:val="24"/>
        </w:rPr>
        <w:t>anel</w:t>
      </w:r>
      <w:r w:rsidR="00E653E5">
        <w:rPr>
          <w:rFonts w:ascii="Times New Roman" w:hAnsi="Times New Roman" w:cs="Times New Roman"/>
          <w:sz w:val="24"/>
          <w:szCs w:val="24"/>
        </w:rPr>
        <w:t>, page 1</w:t>
      </w:r>
      <w:r w:rsidR="00E17D49">
        <w:rPr>
          <w:rFonts w:ascii="Times New Roman" w:hAnsi="Times New Roman" w:cs="Times New Roman"/>
          <w:sz w:val="24"/>
          <w:szCs w:val="24"/>
        </w:rPr>
        <w:t>)</w:t>
      </w:r>
      <w:r w:rsidR="000B1C0E">
        <w:rPr>
          <w:rFonts w:ascii="Times New Roman" w:hAnsi="Times New Roman" w:cs="Times New Roman"/>
          <w:sz w:val="24"/>
          <w:szCs w:val="24"/>
        </w:rPr>
        <w:t>; t</w:t>
      </w:r>
      <w:r w:rsidR="00BA3F57" w:rsidRPr="00957E32">
        <w:rPr>
          <w:rFonts w:ascii="Times New Roman" w:hAnsi="Times New Roman" w:cs="Times New Roman"/>
          <w:sz w:val="24"/>
          <w:szCs w:val="24"/>
        </w:rPr>
        <w:t>his</w:t>
      </w:r>
      <w:r w:rsidR="00480129" w:rsidRPr="00957E32">
        <w:rPr>
          <w:rFonts w:ascii="Times New Roman" w:hAnsi="Times New Roman" w:cs="Times New Roman"/>
          <w:sz w:val="24"/>
          <w:szCs w:val="24"/>
        </w:rPr>
        <w:t xml:space="preserve"> </w:t>
      </w:r>
      <w:r w:rsidR="00257A2E">
        <w:rPr>
          <w:rFonts w:ascii="Times New Roman" w:hAnsi="Times New Roman" w:cs="Times New Roman"/>
          <w:sz w:val="24"/>
          <w:szCs w:val="24"/>
        </w:rPr>
        <w:t>would address</w:t>
      </w:r>
      <w:r w:rsidR="00DE1A4E" w:rsidRPr="00957E32">
        <w:rPr>
          <w:rFonts w:ascii="Times New Roman" w:hAnsi="Times New Roman" w:cs="Times New Roman"/>
          <w:sz w:val="24"/>
          <w:szCs w:val="24"/>
        </w:rPr>
        <w:t xml:space="preserve"> a major unmet clinical </w:t>
      </w:r>
      <w:r w:rsidR="00480129" w:rsidRPr="00957E32">
        <w:rPr>
          <w:rFonts w:ascii="Times New Roman" w:hAnsi="Times New Roman" w:cs="Times New Roman"/>
          <w:sz w:val="24"/>
          <w:szCs w:val="24"/>
        </w:rPr>
        <w:t>need</w:t>
      </w:r>
      <w:r w:rsidR="00257A2E">
        <w:rPr>
          <w:rFonts w:ascii="Times New Roman" w:hAnsi="Times New Roman" w:cs="Times New Roman"/>
          <w:sz w:val="24"/>
          <w:szCs w:val="24"/>
        </w:rPr>
        <w:t xml:space="preserve"> and has been prioritised by the World Health Organisation (WHO)</w:t>
      </w:r>
      <w:r w:rsidR="00480129" w:rsidRPr="00957E32">
        <w:rPr>
          <w:rFonts w:ascii="Times New Roman" w:hAnsi="Times New Roman" w:cs="Times New Roman"/>
          <w:sz w:val="24"/>
          <w:szCs w:val="24"/>
        </w:rPr>
        <w:t>.</w:t>
      </w:r>
      <w:r w:rsidR="003F3305">
        <w:rPr>
          <w:rFonts w:ascii="Times New Roman" w:hAnsi="Times New Roman" w:cs="Times New Roman"/>
          <w:sz w:val="24"/>
          <w:szCs w:val="24"/>
          <w:vertAlign w:val="superscript"/>
        </w:rPr>
        <w:t>5</w:t>
      </w:r>
      <w:r w:rsidR="00480129" w:rsidRPr="00957E32">
        <w:rPr>
          <w:rFonts w:ascii="Times New Roman" w:hAnsi="Times New Roman" w:cs="Times New Roman"/>
          <w:sz w:val="24"/>
          <w:szCs w:val="24"/>
        </w:rPr>
        <w:t xml:space="preserve"> Given the paucibacillary nature of most cases of culture-negative TB, such a test would likely be based on measurement of immune responses to </w:t>
      </w:r>
      <w:r w:rsidR="00480129" w:rsidRPr="00957E32">
        <w:rPr>
          <w:rFonts w:ascii="Times New Roman" w:hAnsi="Times New Roman" w:cs="Times New Roman"/>
          <w:i/>
          <w:sz w:val="24"/>
          <w:szCs w:val="24"/>
        </w:rPr>
        <w:t>M. tuberculosis</w:t>
      </w:r>
      <w:r w:rsidR="00480129" w:rsidRPr="00957E32">
        <w:rPr>
          <w:rFonts w:ascii="Times New Roman" w:hAnsi="Times New Roman" w:cs="Times New Roman"/>
          <w:sz w:val="24"/>
          <w:szCs w:val="24"/>
        </w:rPr>
        <w:t xml:space="preserve"> (</w:t>
      </w:r>
      <w:proofErr w:type="spellStart"/>
      <w:r w:rsidR="00480129" w:rsidRPr="00957E32">
        <w:rPr>
          <w:rFonts w:ascii="Times New Roman" w:hAnsi="Times New Roman" w:cs="Times New Roman"/>
          <w:sz w:val="24"/>
          <w:szCs w:val="24"/>
        </w:rPr>
        <w:t>Mtb</w:t>
      </w:r>
      <w:proofErr w:type="spellEnd"/>
      <w:r w:rsidR="00480129" w:rsidRPr="00957E32">
        <w:rPr>
          <w:rFonts w:ascii="Times New Roman" w:hAnsi="Times New Roman" w:cs="Times New Roman"/>
          <w:sz w:val="24"/>
          <w:szCs w:val="24"/>
        </w:rPr>
        <w:t xml:space="preserve">) rather than direct detection of the bacteria or nucleic acids. </w:t>
      </w:r>
    </w:p>
    <w:p w14:paraId="7063478E" w14:textId="0CBAA3E0" w:rsidR="00205F9F" w:rsidRDefault="003175FD" w:rsidP="00275040">
      <w:pPr>
        <w:spacing w:after="0" w:line="480" w:lineRule="auto"/>
        <w:jc w:val="both"/>
        <w:rPr>
          <w:rFonts w:ascii="Times New Roman" w:hAnsi="Times New Roman" w:cs="Times New Roman"/>
          <w:sz w:val="24"/>
          <w:szCs w:val="24"/>
        </w:rPr>
      </w:pPr>
      <w:r w:rsidRPr="00957E32">
        <w:rPr>
          <w:rFonts w:ascii="Times New Roman" w:hAnsi="Times New Roman" w:cs="Times New Roman"/>
          <w:sz w:val="24"/>
          <w:szCs w:val="24"/>
        </w:rPr>
        <w:t>Interferon-gamma release-assays (IGRA</w:t>
      </w:r>
      <w:r w:rsidR="003553C7">
        <w:rPr>
          <w:rFonts w:ascii="Times New Roman" w:hAnsi="Times New Roman" w:cs="Times New Roman"/>
          <w:sz w:val="24"/>
          <w:szCs w:val="24"/>
        </w:rPr>
        <w:t>s</w:t>
      </w:r>
      <w:r w:rsidRPr="00957E32">
        <w:rPr>
          <w:rFonts w:ascii="Times New Roman" w:hAnsi="Times New Roman" w:cs="Times New Roman"/>
          <w:sz w:val="24"/>
          <w:szCs w:val="24"/>
        </w:rPr>
        <w:t>) are</w:t>
      </w:r>
      <w:r w:rsidR="00480129" w:rsidRPr="00957E32">
        <w:rPr>
          <w:rFonts w:ascii="Times New Roman" w:hAnsi="Times New Roman" w:cs="Times New Roman"/>
          <w:sz w:val="24"/>
          <w:szCs w:val="24"/>
        </w:rPr>
        <w:t xml:space="preserve"> regulatory-approved </w:t>
      </w:r>
      <w:r w:rsidRPr="00957E32">
        <w:rPr>
          <w:rFonts w:ascii="Times New Roman" w:hAnsi="Times New Roman" w:cs="Times New Roman"/>
          <w:sz w:val="24"/>
          <w:szCs w:val="24"/>
        </w:rPr>
        <w:t xml:space="preserve">immune-based blood tests for detecting </w:t>
      </w:r>
      <w:proofErr w:type="spellStart"/>
      <w:r w:rsidRPr="00957E32">
        <w:rPr>
          <w:rFonts w:ascii="Times New Roman" w:hAnsi="Times New Roman" w:cs="Times New Roman"/>
          <w:sz w:val="24"/>
          <w:szCs w:val="24"/>
        </w:rPr>
        <w:t>Mtb</w:t>
      </w:r>
      <w:proofErr w:type="spellEnd"/>
      <w:r w:rsidRPr="00957E32">
        <w:rPr>
          <w:rFonts w:ascii="Times New Roman" w:hAnsi="Times New Roman" w:cs="Times New Roman"/>
          <w:sz w:val="24"/>
          <w:szCs w:val="24"/>
        </w:rPr>
        <w:t xml:space="preserve"> infection. By measuring T</w:t>
      </w:r>
      <w:r w:rsidR="00BA3F57" w:rsidRPr="00957E32">
        <w:rPr>
          <w:rFonts w:ascii="Times New Roman" w:hAnsi="Times New Roman" w:cs="Times New Roman"/>
          <w:sz w:val="24"/>
          <w:szCs w:val="24"/>
        </w:rPr>
        <w:t>-</w:t>
      </w:r>
      <w:r w:rsidRPr="00957E32">
        <w:rPr>
          <w:rFonts w:ascii="Times New Roman" w:hAnsi="Times New Roman" w:cs="Times New Roman"/>
          <w:sz w:val="24"/>
          <w:szCs w:val="24"/>
        </w:rPr>
        <w:t xml:space="preserve">cell responses to two strongly immunogenic but highly specific </w:t>
      </w:r>
      <w:proofErr w:type="spellStart"/>
      <w:r w:rsidRPr="00957E32">
        <w:rPr>
          <w:rFonts w:ascii="Times New Roman" w:hAnsi="Times New Roman" w:cs="Times New Roman"/>
          <w:sz w:val="24"/>
          <w:szCs w:val="24"/>
        </w:rPr>
        <w:t>Mtb</w:t>
      </w:r>
      <w:proofErr w:type="spellEnd"/>
      <w:r w:rsidRPr="00957E32">
        <w:rPr>
          <w:rFonts w:ascii="Times New Roman" w:hAnsi="Times New Roman" w:cs="Times New Roman"/>
          <w:sz w:val="24"/>
          <w:szCs w:val="24"/>
        </w:rPr>
        <w:t xml:space="preserve"> antigens (ESAT-6 and CFP-10), they are not confounded by prior </w:t>
      </w:r>
      <w:r w:rsidR="002B6414" w:rsidRPr="001B1048">
        <w:rPr>
          <w:rFonts w:ascii="Times New Roman" w:hAnsi="Times New Roman" w:cs="Times New Roman"/>
          <w:i/>
          <w:sz w:val="24"/>
          <w:szCs w:val="24"/>
        </w:rPr>
        <w:t>Bacillus Calmette-</w:t>
      </w:r>
      <w:proofErr w:type="spellStart"/>
      <w:r w:rsidR="002B6414" w:rsidRPr="001B1048">
        <w:rPr>
          <w:rFonts w:ascii="Times New Roman" w:hAnsi="Times New Roman" w:cs="Times New Roman"/>
          <w:i/>
          <w:sz w:val="24"/>
          <w:szCs w:val="24"/>
        </w:rPr>
        <w:t>Guérin</w:t>
      </w:r>
      <w:proofErr w:type="spellEnd"/>
      <w:r w:rsidR="002B6414">
        <w:rPr>
          <w:rFonts w:ascii="Times New Roman" w:hAnsi="Times New Roman" w:cs="Times New Roman"/>
          <w:sz w:val="24"/>
          <w:szCs w:val="24"/>
        </w:rPr>
        <w:t xml:space="preserve"> (</w:t>
      </w:r>
      <w:r w:rsidRPr="00957E32">
        <w:rPr>
          <w:rFonts w:ascii="Times New Roman" w:hAnsi="Times New Roman" w:cs="Times New Roman"/>
          <w:sz w:val="24"/>
          <w:szCs w:val="24"/>
        </w:rPr>
        <w:t>BCG</w:t>
      </w:r>
      <w:r w:rsidR="002B6414">
        <w:rPr>
          <w:rFonts w:ascii="Times New Roman" w:hAnsi="Times New Roman" w:cs="Times New Roman"/>
          <w:sz w:val="24"/>
          <w:szCs w:val="24"/>
        </w:rPr>
        <w:t>)</w:t>
      </w:r>
      <w:r w:rsidRPr="00957E32">
        <w:rPr>
          <w:rFonts w:ascii="Times New Roman" w:hAnsi="Times New Roman" w:cs="Times New Roman"/>
          <w:sz w:val="24"/>
          <w:szCs w:val="24"/>
        </w:rPr>
        <w:t xml:space="preserve"> vaccination and provide higher diagnostic specificity than the tuberculin skin test (TST).</w:t>
      </w:r>
      <w:r w:rsidR="003F3305">
        <w:rPr>
          <w:rFonts w:ascii="Times New Roman" w:hAnsi="Times New Roman" w:cs="Times New Roman"/>
          <w:sz w:val="24"/>
          <w:szCs w:val="24"/>
          <w:vertAlign w:val="superscript"/>
        </w:rPr>
        <w:t>6</w:t>
      </w:r>
      <w:r w:rsidRPr="00957E32">
        <w:rPr>
          <w:rFonts w:ascii="Times New Roman" w:hAnsi="Times New Roman" w:cs="Times New Roman"/>
          <w:sz w:val="24"/>
          <w:szCs w:val="24"/>
        </w:rPr>
        <w:t xml:space="preserve"> </w:t>
      </w:r>
      <w:r w:rsidR="00205F9F">
        <w:rPr>
          <w:rFonts w:ascii="Times New Roman" w:hAnsi="Times New Roman" w:cs="Times New Roman"/>
          <w:sz w:val="24"/>
          <w:szCs w:val="24"/>
        </w:rPr>
        <w:t>S</w:t>
      </w:r>
      <w:r w:rsidR="00205F9F" w:rsidRPr="00957E32">
        <w:rPr>
          <w:rFonts w:ascii="Times New Roman" w:hAnsi="Times New Roman" w:cs="Times New Roman"/>
          <w:sz w:val="24"/>
          <w:szCs w:val="24"/>
        </w:rPr>
        <w:t xml:space="preserve">ince </w:t>
      </w:r>
      <w:proofErr w:type="spellStart"/>
      <w:r w:rsidR="00205F9F" w:rsidRPr="00957E32">
        <w:rPr>
          <w:rFonts w:ascii="Times New Roman" w:hAnsi="Times New Roman" w:cs="Times New Roman"/>
          <w:sz w:val="24"/>
          <w:szCs w:val="24"/>
        </w:rPr>
        <w:t>Mtb</w:t>
      </w:r>
      <w:proofErr w:type="spellEnd"/>
      <w:r w:rsidR="00205F9F" w:rsidRPr="00957E32">
        <w:rPr>
          <w:rFonts w:ascii="Times New Roman" w:hAnsi="Times New Roman" w:cs="Times New Roman"/>
          <w:sz w:val="24"/>
          <w:szCs w:val="24"/>
        </w:rPr>
        <w:t xml:space="preserve"> infection is a pre-requisite for TB disease, a negative </w:t>
      </w:r>
      <w:r w:rsidR="00205F9F">
        <w:rPr>
          <w:rFonts w:ascii="Times New Roman" w:hAnsi="Times New Roman" w:cs="Times New Roman"/>
          <w:sz w:val="24"/>
          <w:szCs w:val="24"/>
        </w:rPr>
        <w:t>IGRA</w:t>
      </w:r>
      <w:r w:rsidR="00205F9F" w:rsidRPr="00957E32">
        <w:rPr>
          <w:rFonts w:ascii="Times New Roman" w:hAnsi="Times New Roman" w:cs="Times New Roman"/>
          <w:sz w:val="24"/>
          <w:szCs w:val="24"/>
        </w:rPr>
        <w:t xml:space="preserve"> </w:t>
      </w:r>
      <w:r w:rsidR="00B0459C">
        <w:rPr>
          <w:rFonts w:ascii="Times New Roman" w:hAnsi="Times New Roman" w:cs="Times New Roman"/>
          <w:sz w:val="24"/>
          <w:szCs w:val="24"/>
        </w:rPr>
        <w:t xml:space="preserve">result </w:t>
      </w:r>
      <w:r w:rsidR="00205F9F" w:rsidRPr="00957E32">
        <w:rPr>
          <w:rFonts w:ascii="Times New Roman" w:hAnsi="Times New Roman" w:cs="Times New Roman"/>
          <w:sz w:val="24"/>
          <w:szCs w:val="24"/>
        </w:rPr>
        <w:t>could potentially rul</w:t>
      </w:r>
      <w:r w:rsidR="00285173">
        <w:rPr>
          <w:rFonts w:ascii="Times New Roman" w:hAnsi="Times New Roman" w:cs="Times New Roman"/>
          <w:sz w:val="24"/>
          <w:szCs w:val="24"/>
        </w:rPr>
        <w:t>e</w:t>
      </w:r>
      <w:r w:rsidR="00B0459C">
        <w:rPr>
          <w:rFonts w:ascii="Times New Roman" w:hAnsi="Times New Roman" w:cs="Times New Roman"/>
          <w:sz w:val="24"/>
          <w:szCs w:val="24"/>
        </w:rPr>
        <w:t>-</w:t>
      </w:r>
      <w:r w:rsidR="00205F9F" w:rsidRPr="00957E32">
        <w:rPr>
          <w:rFonts w:ascii="Times New Roman" w:hAnsi="Times New Roman" w:cs="Times New Roman"/>
          <w:sz w:val="24"/>
          <w:szCs w:val="24"/>
        </w:rPr>
        <w:t>out a diagnosis of TB</w:t>
      </w:r>
      <w:r w:rsidR="00285173">
        <w:rPr>
          <w:rFonts w:ascii="Times New Roman" w:hAnsi="Times New Roman" w:cs="Times New Roman"/>
          <w:sz w:val="24"/>
          <w:szCs w:val="24"/>
        </w:rPr>
        <w:t xml:space="preserve"> disease</w:t>
      </w:r>
      <w:r w:rsidR="001E4DF5">
        <w:rPr>
          <w:rFonts w:ascii="Times New Roman" w:hAnsi="Times New Roman" w:cs="Times New Roman"/>
          <w:sz w:val="24"/>
          <w:szCs w:val="24"/>
        </w:rPr>
        <w:t xml:space="preserve"> (i.e. exclude TB from the </w:t>
      </w:r>
      <w:r w:rsidR="001E4DF5">
        <w:rPr>
          <w:rFonts w:ascii="Times New Roman" w:hAnsi="Times New Roman" w:cs="Times New Roman"/>
          <w:sz w:val="24"/>
          <w:szCs w:val="24"/>
        </w:rPr>
        <w:lastRenderedPageBreak/>
        <w:t>differential diagnos</w:t>
      </w:r>
      <w:r w:rsidR="00B0459C">
        <w:rPr>
          <w:rFonts w:ascii="Times New Roman" w:hAnsi="Times New Roman" w:cs="Times New Roman"/>
          <w:sz w:val="24"/>
          <w:szCs w:val="24"/>
        </w:rPr>
        <w:t>i</w:t>
      </w:r>
      <w:r w:rsidR="001E4DF5">
        <w:rPr>
          <w:rFonts w:ascii="Times New Roman" w:hAnsi="Times New Roman" w:cs="Times New Roman"/>
          <w:sz w:val="24"/>
          <w:szCs w:val="24"/>
        </w:rPr>
        <w:t>s)</w:t>
      </w:r>
      <w:r w:rsidR="00205F9F">
        <w:rPr>
          <w:rFonts w:ascii="Times New Roman" w:hAnsi="Times New Roman" w:cs="Times New Roman"/>
          <w:sz w:val="24"/>
          <w:szCs w:val="24"/>
        </w:rPr>
        <w:t>, though p</w:t>
      </w:r>
      <w:r w:rsidR="00205F9F" w:rsidRPr="00957E32">
        <w:rPr>
          <w:rFonts w:ascii="Times New Roman" w:hAnsi="Times New Roman" w:cs="Times New Roman"/>
          <w:sz w:val="24"/>
          <w:szCs w:val="24"/>
        </w:rPr>
        <w:t xml:space="preserve">rior evidence suggests the sensitivity of current IGRAs </w:t>
      </w:r>
      <w:r w:rsidR="00205F9F">
        <w:rPr>
          <w:rFonts w:ascii="Times New Roman" w:hAnsi="Times New Roman" w:cs="Times New Roman"/>
          <w:sz w:val="24"/>
          <w:szCs w:val="24"/>
        </w:rPr>
        <w:t>may be</w:t>
      </w:r>
      <w:r w:rsidR="00205F9F" w:rsidRPr="00957E32">
        <w:rPr>
          <w:rFonts w:ascii="Times New Roman" w:hAnsi="Times New Roman" w:cs="Times New Roman"/>
          <w:sz w:val="24"/>
          <w:szCs w:val="24"/>
        </w:rPr>
        <w:t xml:space="preserve"> insufficient to fulfil this triage function</w:t>
      </w:r>
      <w:r w:rsidR="00205F9F">
        <w:rPr>
          <w:rFonts w:ascii="Times New Roman" w:hAnsi="Times New Roman" w:cs="Times New Roman"/>
          <w:sz w:val="24"/>
          <w:szCs w:val="24"/>
        </w:rPr>
        <w:t>.</w:t>
      </w:r>
      <w:r w:rsidR="00205F9F">
        <w:rPr>
          <w:rFonts w:ascii="Times New Roman" w:hAnsi="Times New Roman" w:cs="Times New Roman"/>
          <w:sz w:val="24"/>
          <w:szCs w:val="24"/>
          <w:vertAlign w:val="superscript"/>
        </w:rPr>
        <w:t>1,</w:t>
      </w:r>
      <w:r w:rsidR="00740116">
        <w:rPr>
          <w:rFonts w:ascii="Times New Roman" w:hAnsi="Times New Roman" w:cs="Times New Roman"/>
          <w:sz w:val="24"/>
          <w:szCs w:val="24"/>
          <w:vertAlign w:val="superscript"/>
        </w:rPr>
        <w:t>7</w:t>
      </w:r>
      <w:r w:rsidR="00200C5F">
        <w:rPr>
          <w:rFonts w:ascii="Times New Roman" w:hAnsi="Times New Roman" w:cs="Times New Roman"/>
          <w:sz w:val="24"/>
          <w:szCs w:val="24"/>
          <w:vertAlign w:val="superscript"/>
        </w:rPr>
        <w:t>–</w:t>
      </w:r>
      <w:r w:rsidR="00740116">
        <w:rPr>
          <w:rFonts w:ascii="Times New Roman" w:hAnsi="Times New Roman" w:cs="Times New Roman"/>
          <w:sz w:val="24"/>
          <w:szCs w:val="24"/>
          <w:vertAlign w:val="superscript"/>
        </w:rPr>
        <w:t>9</w:t>
      </w:r>
      <w:r w:rsidR="00205F9F" w:rsidRPr="00957E32">
        <w:rPr>
          <w:rFonts w:ascii="Times New Roman" w:hAnsi="Times New Roman" w:cs="Times New Roman"/>
          <w:sz w:val="24"/>
          <w:szCs w:val="24"/>
        </w:rPr>
        <w:t xml:space="preserve"> </w:t>
      </w:r>
    </w:p>
    <w:p w14:paraId="5DAF066C" w14:textId="12047665" w:rsidR="00050637" w:rsidRPr="00BA348B" w:rsidRDefault="003175FD" w:rsidP="00275040">
      <w:pPr>
        <w:spacing w:after="0" w:line="480" w:lineRule="auto"/>
        <w:jc w:val="both"/>
        <w:rPr>
          <w:rFonts w:ascii="Times New Roman" w:hAnsi="Times New Roman" w:cs="Times New Roman"/>
          <w:sz w:val="24"/>
          <w:szCs w:val="24"/>
          <w:vertAlign w:val="superscript"/>
        </w:rPr>
      </w:pPr>
      <w:r w:rsidRPr="00957E32">
        <w:rPr>
          <w:rFonts w:ascii="Times New Roman" w:hAnsi="Times New Roman" w:cs="Times New Roman"/>
          <w:sz w:val="24"/>
          <w:szCs w:val="24"/>
        </w:rPr>
        <w:t xml:space="preserve">Although established as the new standard-of-care for diagnosing latent TB infection (LTBI), </w:t>
      </w:r>
      <w:r w:rsidR="000B1C0E">
        <w:rPr>
          <w:rFonts w:ascii="Times New Roman" w:hAnsi="Times New Roman" w:cs="Times New Roman"/>
          <w:sz w:val="24"/>
          <w:szCs w:val="24"/>
        </w:rPr>
        <w:t>IGRAs are currently not recommended in diagnosis of active TB other than in specific scenarios, such as paediatric TB, with caveats around interpretation and level of expertise required.</w:t>
      </w:r>
      <w:r w:rsidR="00740116">
        <w:rPr>
          <w:rFonts w:ascii="Times New Roman" w:hAnsi="Times New Roman" w:cs="Times New Roman"/>
          <w:sz w:val="24"/>
          <w:szCs w:val="24"/>
          <w:vertAlign w:val="superscript"/>
        </w:rPr>
        <w:t>10</w:t>
      </w:r>
      <w:r w:rsidR="00B00E42">
        <w:rPr>
          <w:rFonts w:ascii="Times New Roman" w:hAnsi="Times New Roman" w:cs="Times New Roman"/>
          <w:sz w:val="24"/>
          <w:szCs w:val="24"/>
          <w:vertAlign w:val="superscript"/>
        </w:rPr>
        <w:t>,</w:t>
      </w:r>
      <w:r w:rsidR="00740116">
        <w:rPr>
          <w:rFonts w:ascii="Times New Roman" w:hAnsi="Times New Roman" w:cs="Times New Roman"/>
          <w:sz w:val="24"/>
          <w:szCs w:val="24"/>
          <w:vertAlign w:val="superscript"/>
        </w:rPr>
        <w:t>11</w:t>
      </w:r>
      <w:r w:rsidR="000B1C0E">
        <w:rPr>
          <w:rFonts w:ascii="Times New Roman" w:hAnsi="Times New Roman" w:cs="Times New Roman"/>
          <w:sz w:val="24"/>
          <w:szCs w:val="24"/>
        </w:rPr>
        <w:t xml:space="preserve"> However, development of definitive recommendations has been hindered by a lack of robust and informative evidence. </w:t>
      </w:r>
      <w:r w:rsidR="00E85C3A">
        <w:rPr>
          <w:rFonts w:ascii="Times New Roman" w:hAnsi="Times New Roman" w:cs="Times New Roman"/>
          <w:sz w:val="24"/>
          <w:szCs w:val="24"/>
        </w:rPr>
        <w:t>M</w:t>
      </w:r>
      <w:r w:rsidR="00050637">
        <w:rPr>
          <w:rFonts w:ascii="Times New Roman" w:hAnsi="Times New Roman" w:cs="Times New Roman"/>
          <w:sz w:val="24"/>
          <w:szCs w:val="24"/>
        </w:rPr>
        <w:t xml:space="preserve">ost </w:t>
      </w:r>
      <w:r w:rsidR="00E85C3A">
        <w:rPr>
          <w:rFonts w:ascii="Times New Roman" w:hAnsi="Times New Roman" w:cs="Times New Roman"/>
          <w:sz w:val="24"/>
          <w:szCs w:val="24"/>
        </w:rPr>
        <w:t xml:space="preserve">studies of diagnostic accuracy of IGRAs in active TB to date </w:t>
      </w:r>
      <w:r w:rsidR="00050637">
        <w:rPr>
          <w:rFonts w:ascii="Times New Roman" w:hAnsi="Times New Roman" w:cs="Times New Roman"/>
          <w:sz w:val="24"/>
          <w:szCs w:val="24"/>
        </w:rPr>
        <w:t>are retrospective reviews of hospital records</w:t>
      </w:r>
      <w:r w:rsidR="006F59EC">
        <w:rPr>
          <w:rFonts w:ascii="Times New Roman" w:hAnsi="Times New Roman" w:cs="Times New Roman"/>
          <w:sz w:val="24"/>
          <w:szCs w:val="24"/>
        </w:rPr>
        <w:t xml:space="preserve"> and </w:t>
      </w:r>
      <w:r w:rsidR="00050637">
        <w:rPr>
          <w:rFonts w:ascii="Times New Roman" w:hAnsi="Times New Roman" w:cs="Times New Roman"/>
          <w:sz w:val="24"/>
          <w:szCs w:val="24"/>
        </w:rPr>
        <w:t>TB registry data or small</w:t>
      </w:r>
      <w:r w:rsidR="00285173">
        <w:rPr>
          <w:rFonts w:ascii="Times New Roman" w:hAnsi="Times New Roman" w:cs="Times New Roman"/>
          <w:sz w:val="24"/>
          <w:szCs w:val="24"/>
        </w:rPr>
        <w:t>-</w:t>
      </w:r>
      <w:r w:rsidR="00050637">
        <w:rPr>
          <w:rFonts w:ascii="Times New Roman" w:hAnsi="Times New Roman" w:cs="Times New Roman"/>
          <w:sz w:val="24"/>
          <w:szCs w:val="24"/>
        </w:rPr>
        <w:t xml:space="preserve">scale case-control studies, typically not representative of the heterogeneous patient population seen in real-life clinical practice. </w:t>
      </w:r>
      <w:r w:rsidR="006F59EC">
        <w:rPr>
          <w:rFonts w:ascii="Times New Roman" w:hAnsi="Times New Roman" w:cs="Times New Roman"/>
          <w:sz w:val="24"/>
          <w:szCs w:val="24"/>
        </w:rPr>
        <w:t>Although o</w:t>
      </w:r>
      <w:r w:rsidR="00CF0907">
        <w:rPr>
          <w:rFonts w:ascii="Times New Roman" w:hAnsi="Times New Roman" w:cs="Times New Roman"/>
          <w:sz w:val="24"/>
          <w:szCs w:val="24"/>
        </w:rPr>
        <w:t xml:space="preserve">ne large prospective cohort study embedded in routine practice and including head-to-head comparison of T-SPOT.TB and QFT-GIT </w:t>
      </w:r>
      <w:r w:rsidR="006F59EC">
        <w:rPr>
          <w:rFonts w:ascii="Times New Roman" w:hAnsi="Times New Roman" w:cs="Times New Roman"/>
          <w:sz w:val="24"/>
          <w:szCs w:val="24"/>
        </w:rPr>
        <w:t>w</w:t>
      </w:r>
      <w:r w:rsidR="00CF0907">
        <w:rPr>
          <w:rFonts w:ascii="Times New Roman" w:hAnsi="Times New Roman" w:cs="Times New Roman"/>
          <w:sz w:val="24"/>
          <w:szCs w:val="24"/>
        </w:rPr>
        <w:t xml:space="preserve">as recently </w:t>
      </w:r>
      <w:r w:rsidR="006F59EC">
        <w:rPr>
          <w:rFonts w:ascii="Times New Roman" w:hAnsi="Times New Roman" w:cs="Times New Roman"/>
          <w:sz w:val="24"/>
          <w:szCs w:val="24"/>
        </w:rPr>
        <w:t>published</w:t>
      </w:r>
      <w:r w:rsidR="00CF0907">
        <w:rPr>
          <w:rFonts w:ascii="Times New Roman" w:hAnsi="Times New Roman" w:cs="Times New Roman"/>
          <w:sz w:val="24"/>
          <w:szCs w:val="24"/>
        </w:rPr>
        <w:t xml:space="preserve">, </w:t>
      </w:r>
      <w:r w:rsidR="006F59EC">
        <w:rPr>
          <w:rFonts w:ascii="Times New Roman" w:hAnsi="Times New Roman" w:cs="Times New Roman"/>
          <w:sz w:val="24"/>
          <w:szCs w:val="24"/>
        </w:rPr>
        <w:t xml:space="preserve">this was </w:t>
      </w:r>
      <w:r w:rsidR="00CF0907">
        <w:rPr>
          <w:rFonts w:ascii="Times New Roman" w:hAnsi="Times New Roman" w:cs="Times New Roman"/>
          <w:sz w:val="24"/>
          <w:szCs w:val="24"/>
        </w:rPr>
        <w:t>in a high TB-incidence setting</w:t>
      </w:r>
      <w:r w:rsidR="00BA348B">
        <w:rPr>
          <w:rFonts w:ascii="Times New Roman" w:hAnsi="Times New Roman" w:cs="Times New Roman"/>
          <w:sz w:val="24"/>
          <w:szCs w:val="24"/>
        </w:rPr>
        <w:t>.</w:t>
      </w:r>
      <w:r w:rsidR="00200C5F">
        <w:rPr>
          <w:rFonts w:ascii="Times New Roman" w:hAnsi="Times New Roman" w:cs="Times New Roman"/>
          <w:sz w:val="24"/>
          <w:szCs w:val="24"/>
          <w:vertAlign w:val="superscript"/>
        </w:rPr>
        <w:t>1</w:t>
      </w:r>
      <w:r w:rsidR="00740116">
        <w:rPr>
          <w:rFonts w:ascii="Times New Roman" w:hAnsi="Times New Roman" w:cs="Times New Roman"/>
          <w:sz w:val="24"/>
          <w:szCs w:val="24"/>
          <w:vertAlign w:val="superscript"/>
        </w:rPr>
        <w:t>2</w:t>
      </w:r>
      <w:r w:rsidR="00050637">
        <w:rPr>
          <w:rFonts w:ascii="Times New Roman" w:hAnsi="Times New Roman" w:cs="Times New Roman"/>
          <w:sz w:val="24"/>
          <w:szCs w:val="24"/>
        </w:rPr>
        <w:t xml:space="preserve"> </w:t>
      </w:r>
      <w:r w:rsidR="00BA348B">
        <w:rPr>
          <w:rFonts w:ascii="Times New Roman" w:hAnsi="Times New Roman" w:cs="Times New Roman"/>
          <w:sz w:val="24"/>
          <w:szCs w:val="24"/>
        </w:rPr>
        <w:t>P</w:t>
      </w:r>
      <w:r w:rsidR="00CF0907">
        <w:rPr>
          <w:rFonts w:ascii="Times New Roman" w:hAnsi="Times New Roman" w:cs="Times New Roman"/>
          <w:sz w:val="24"/>
          <w:szCs w:val="24"/>
        </w:rPr>
        <w:t xml:space="preserve">rospective </w:t>
      </w:r>
      <w:r w:rsidR="00846E38">
        <w:rPr>
          <w:rFonts w:ascii="Times New Roman" w:hAnsi="Times New Roman" w:cs="Times New Roman"/>
          <w:sz w:val="24"/>
          <w:szCs w:val="24"/>
        </w:rPr>
        <w:t xml:space="preserve">cohort </w:t>
      </w:r>
      <w:r w:rsidR="00CF0907">
        <w:rPr>
          <w:rFonts w:ascii="Times New Roman" w:hAnsi="Times New Roman" w:cs="Times New Roman"/>
          <w:sz w:val="24"/>
          <w:szCs w:val="24"/>
        </w:rPr>
        <w:t xml:space="preserve">studies </w:t>
      </w:r>
      <w:r w:rsidR="00BA348B">
        <w:rPr>
          <w:rFonts w:ascii="Times New Roman" w:hAnsi="Times New Roman" w:cs="Times New Roman"/>
          <w:sz w:val="24"/>
          <w:szCs w:val="24"/>
        </w:rPr>
        <w:t>conducted in low-incidence settings have been</w:t>
      </w:r>
      <w:r w:rsidR="006F59EC">
        <w:rPr>
          <w:rFonts w:ascii="Times New Roman" w:hAnsi="Times New Roman" w:cs="Times New Roman"/>
          <w:sz w:val="24"/>
          <w:szCs w:val="24"/>
        </w:rPr>
        <w:t xml:space="preserve"> substantially</w:t>
      </w:r>
      <w:r w:rsidR="00CF0907">
        <w:rPr>
          <w:rFonts w:ascii="Times New Roman" w:hAnsi="Times New Roman" w:cs="Times New Roman"/>
          <w:sz w:val="24"/>
          <w:szCs w:val="24"/>
        </w:rPr>
        <w:t xml:space="preserve"> </w:t>
      </w:r>
      <w:r w:rsidR="00846E38">
        <w:rPr>
          <w:rFonts w:ascii="Times New Roman" w:hAnsi="Times New Roman" w:cs="Times New Roman"/>
          <w:sz w:val="24"/>
          <w:szCs w:val="24"/>
        </w:rPr>
        <w:t>smaller</w:t>
      </w:r>
      <w:r w:rsidR="00F877AE">
        <w:rPr>
          <w:rFonts w:ascii="Times New Roman" w:hAnsi="Times New Roman" w:cs="Times New Roman"/>
          <w:sz w:val="24"/>
          <w:szCs w:val="24"/>
        </w:rPr>
        <w:t>.</w:t>
      </w:r>
      <w:r w:rsidR="00BA348B">
        <w:rPr>
          <w:rFonts w:ascii="Times New Roman" w:hAnsi="Times New Roman" w:cs="Times New Roman"/>
          <w:sz w:val="24"/>
          <w:szCs w:val="24"/>
          <w:vertAlign w:val="superscript"/>
        </w:rPr>
        <w:t>1,</w:t>
      </w:r>
      <w:r w:rsidR="00740116">
        <w:rPr>
          <w:rFonts w:ascii="Times New Roman" w:hAnsi="Times New Roman" w:cs="Times New Roman"/>
          <w:sz w:val="24"/>
          <w:szCs w:val="24"/>
          <w:vertAlign w:val="superscript"/>
        </w:rPr>
        <w:t>8</w:t>
      </w:r>
    </w:p>
    <w:p w14:paraId="5EDF3BF6" w14:textId="29CCE62E" w:rsidR="000B1C0E" w:rsidRPr="00C01AF7" w:rsidRDefault="00B65087" w:rsidP="0027504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G</w:t>
      </w:r>
      <w:r w:rsidR="000B1C0E">
        <w:rPr>
          <w:rFonts w:ascii="Times New Roman" w:hAnsi="Times New Roman" w:cs="Times New Roman"/>
          <w:sz w:val="24"/>
          <w:szCs w:val="24"/>
        </w:rPr>
        <w:t xml:space="preserve">iven the shortfalls associated with available TB diagnostics, IGRAs continue to be used </w:t>
      </w:r>
      <w:r>
        <w:rPr>
          <w:rFonts w:ascii="Times New Roman" w:hAnsi="Times New Roman" w:cs="Times New Roman"/>
          <w:sz w:val="24"/>
          <w:szCs w:val="24"/>
        </w:rPr>
        <w:t xml:space="preserve">widely </w:t>
      </w:r>
      <w:r w:rsidR="000B1C0E">
        <w:rPr>
          <w:rFonts w:ascii="Times New Roman" w:hAnsi="Times New Roman" w:cs="Times New Roman"/>
          <w:sz w:val="24"/>
          <w:szCs w:val="24"/>
        </w:rPr>
        <w:t>in clinical practice</w:t>
      </w:r>
      <w:r>
        <w:rPr>
          <w:rFonts w:ascii="Times New Roman" w:hAnsi="Times New Roman" w:cs="Times New Roman"/>
          <w:sz w:val="24"/>
          <w:szCs w:val="24"/>
        </w:rPr>
        <w:t xml:space="preserve"> in the UK</w:t>
      </w:r>
      <w:r w:rsidR="000B1C0E">
        <w:rPr>
          <w:rFonts w:ascii="Times New Roman" w:hAnsi="Times New Roman" w:cs="Times New Roman"/>
          <w:sz w:val="24"/>
          <w:szCs w:val="24"/>
        </w:rPr>
        <w:t xml:space="preserve">, albeit resulting in </w:t>
      </w:r>
      <w:r w:rsidR="00205F9F">
        <w:rPr>
          <w:rFonts w:ascii="Times New Roman" w:hAnsi="Times New Roman" w:cs="Times New Roman"/>
          <w:sz w:val="24"/>
          <w:szCs w:val="24"/>
        </w:rPr>
        <w:t>complexities and challenges in interpretation of results</w:t>
      </w:r>
      <w:r w:rsidR="000B1C0E">
        <w:rPr>
          <w:rFonts w:ascii="Times New Roman" w:hAnsi="Times New Roman" w:cs="Times New Roman"/>
          <w:sz w:val="24"/>
          <w:szCs w:val="24"/>
        </w:rPr>
        <w:t>.</w:t>
      </w:r>
      <w:r w:rsidR="00740116">
        <w:rPr>
          <w:rFonts w:ascii="Times New Roman" w:hAnsi="Times New Roman" w:cs="Times New Roman"/>
          <w:sz w:val="24"/>
          <w:szCs w:val="24"/>
          <w:vertAlign w:val="superscript"/>
        </w:rPr>
        <w:t>11</w:t>
      </w:r>
      <w:r w:rsidR="000B1C0E" w:rsidRPr="00957E32">
        <w:rPr>
          <w:rFonts w:ascii="Times New Roman" w:hAnsi="Times New Roman" w:cs="Times New Roman"/>
          <w:sz w:val="24"/>
          <w:szCs w:val="24"/>
        </w:rPr>
        <w:t xml:space="preserve"> </w:t>
      </w:r>
      <w:r w:rsidR="00205F9F">
        <w:rPr>
          <w:rFonts w:ascii="Times New Roman" w:hAnsi="Times New Roman" w:cs="Times New Roman"/>
          <w:sz w:val="24"/>
          <w:szCs w:val="24"/>
        </w:rPr>
        <w:t>A</w:t>
      </w:r>
      <w:r w:rsidR="000B1C0E" w:rsidRPr="00957E32">
        <w:rPr>
          <w:rFonts w:ascii="Times New Roman" w:hAnsi="Times New Roman" w:cs="Times New Roman"/>
          <w:sz w:val="24"/>
          <w:szCs w:val="24"/>
        </w:rPr>
        <w:t xml:space="preserve"> large-scale prospective head-to-head comparison of diagnostic performance of IGRAs in routine practice is </w:t>
      </w:r>
      <w:r>
        <w:rPr>
          <w:rFonts w:ascii="Times New Roman" w:hAnsi="Times New Roman" w:cs="Times New Roman"/>
          <w:sz w:val="24"/>
          <w:szCs w:val="24"/>
        </w:rPr>
        <w:t>therefore</w:t>
      </w:r>
      <w:r w:rsidR="00205F9F">
        <w:rPr>
          <w:rFonts w:ascii="Times New Roman" w:hAnsi="Times New Roman" w:cs="Times New Roman"/>
          <w:sz w:val="24"/>
          <w:szCs w:val="24"/>
        </w:rPr>
        <w:t xml:space="preserve"> </w:t>
      </w:r>
      <w:r w:rsidR="000B1C0E" w:rsidRPr="00957E32">
        <w:rPr>
          <w:rFonts w:ascii="Times New Roman" w:hAnsi="Times New Roman" w:cs="Times New Roman"/>
          <w:sz w:val="24"/>
          <w:szCs w:val="24"/>
        </w:rPr>
        <w:t xml:space="preserve">required to conclusively define what, if any, clinical </w:t>
      </w:r>
      <w:r w:rsidR="006F59EC">
        <w:rPr>
          <w:rFonts w:ascii="Times New Roman" w:hAnsi="Times New Roman" w:cs="Times New Roman"/>
          <w:sz w:val="24"/>
          <w:szCs w:val="24"/>
        </w:rPr>
        <w:t>role</w:t>
      </w:r>
      <w:r w:rsidR="006F59EC" w:rsidRPr="00957E32">
        <w:rPr>
          <w:rFonts w:ascii="Times New Roman" w:hAnsi="Times New Roman" w:cs="Times New Roman"/>
          <w:sz w:val="24"/>
          <w:szCs w:val="24"/>
        </w:rPr>
        <w:t xml:space="preserve"> </w:t>
      </w:r>
      <w:r w:rsidR="000B1C0E" w:rsidRPr="00957E32">
        <w:rPr>
          <w:rFonts w:ascii="Times New Roman" w:hAnsi="Times New Roman" w:cs="Times New Roman"/>
          <w:sz w:val="24"/>
          <w:szCs w:val="24"/>
        </w:rPr>
        <w:t xml:space="preserve">they have </w:t>
      </w:r>
      <w:r w:rsidR="000B1C0E">
        <w:rPr>
          <w:rFonts w:ascii="Times New Roman" w:hAnsi="Times New Roman" w:cs="Times New Roman"/>
          <w:sz w:val="24"/>
          <w:szCs w:val="24"/>
        </w:rPr>
        <w:t xml:space="preserve">in </w:t>
      </w:r>
      <w:r w:rsidR="00285173">
        <w:rPr>
          <w:rFonts w:ascii="Times New Roman" w:hAnsi="Times New Roman" w:cs="Times New Roman"/>
          <w:sz w:val="24"/>
          <w:szCs w:val="24"/>
        </w:rPr>
        <w:t>diagnosis</w:t>
      </w:r>
      <w:r w:rsidR="000B1C0E">
        <w:rPr>
          <w:rFonts w:ascii="Times New Roman" w:hAnsi="Times New Roman" w:cs="Times New Roman"/>
          <w:sz w:val="24"/>
          <w:szCs w:val="24"/>
        </w:rPr>
        <w:t xml:space="preserve"> of </w:t>
      </w:r>
      <w:r w:rsidR="000B1C0E" w:rsidRPr="00957E32">
        <w:rPr>
          <w:rFonts w:ascii="Times New Roman" w:hAnsi="Times New Roman" w:cs="Times New Roman"/>
          <w:sz w:val="24"/>
          <w:szCs w:val="24"/>
        </w:rPr>
        <w:t>active TB</w:t>
      </w:r>
      <w:r w:rsidR="000B1C0E">
        <w:rPr>
          <w:rFonts w:ascii="Times New Roman" w:hAnsi="Times New Roman" w:cs="Times New Roman"/>
          <w:sz w:val="24"/>
          <w:szCs w:val="24"/>
        </w:rPr>
        <w:t>, allowing development of evidence-based and authoritative recommendations</w:t>
      </w:r>
      <w:r w:rsidR="000B1C0E" w:rsidRPr="00616407">
        <w:rPr>
          <w:rFonts w:ascii="Times New Roman" w:hAnsi="Times New Roman" w:cs="Times New Roman"/>
          <w:sz w:val="24"/>
          <w:szCs w:val="24"/>
        </w:rPr>
        <w:t xml:space="preserve"> </w:t>
      </w:r>
      <w:r w:rsidR="000B1C0E">
        <w:rPr>
          <w:rFonts w:ascii="Times New Roman" w:hAnsi="Times New Roman" w:cs="Times New Roman"/>
          <w:sz w:val="24"/>
          <w:szCs w:val="24"/>
        </w:rPr>
        <w:t>in this setting.</w:t>
      </w:r>
    </w:p>
    <w:p w14:paraId="77D8FE3D" w14:textId="6F2D7FBF" w:rsidR="00224D49" w:rsidRPr="00957E32" w:rsidRDefault="00285173" w:rsidP="0027504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w:t>
      </w:r>
      <w:r w:rsidR="00943F7D" w:rsidRPr="00957E32">
        <w:rPr>
          <w:rFonts w:ascii="Times New Roman" w:hAnsi="Times New Roman" w:cs="Times New Roman"/>
          <w:sz w:val="24"/>
          <w:szCs w:val="24"/>
        </w:rPr>
        <w:t xml:space="preserve">iscovery of </w:t>
      </w:r>
      <w:r w:rsidR="00224D49" w:rsidRPr="00957E32">
        <w:rPr>
          <w:rFonts w:ascii="Times New Roman" w:hAnsi="Times New Roman" w:cs="Times New Roman"/>
          <w:sz w:val="24"/>
          <w:szCs w:val="24"/>
        </w:rPr>
        <w:t xml:space="preserve">other </w:t>
      </w:r>
      <w:r w:rsidR="00943F7D" w:rsidRPr="00957E32">
        <w:rPr>
          <w:rFonts w:ascii="Times New Roman" w:hAnsi="Times New Roman" w:cs="Times New Roman"/>
          <w:sz w:val="24"/>
          <w:szCs w:val="24"/>
        </w:rPr>
        <w:t>highly</w:t>
      </w:r>
      <w:r w:rsidR="00E810DA" w:rsidRPr="00957E32">
        <w:rPr>
          <w:rFonts w:ascii="Times New Roman" w:hAnsi="Times New Roman" w:cs="Times New Roman"/>
          <w:sz w:val="24"/>
          <w:szCs w:val="24"/>
        </w:rPr>
        <w:t>-</w:t>
      </w:r>
      <w:r w:rsidR="00943F7D" w:rsidRPr="00957E32">
        <w:rPr>
          <w:rFonts w:ascii="Times New Roman" w:hAnsi="Times New Roman" w:cs="Times New Roman"/>
          <w:sz w:val="24"/>
          <w:szCs w:val="24"/>
        </w:rPr>
        <w:t xml:space="preserve">specific </w:t>
      </w:r>
      <w:proofErr w:type="spellStart"/>
      <w:r w:rsidR="00943F7D" w:rsidRPr="00957E32">
        <w:rPr>
          <w:rFonts w:ascii="Times New Roman" w:hAnsi="Times New Roman" w:cs="Times New Roman"/>
          <w:sz w:val="24"/>
          <w:szCs w:val="24"/>
        </w:rPr>
        <w:t>Mtb</w:t>
      </w:r>
      <w:proofErr w:type="spellEnd"/>
      <w:r w:rsidR="00943F7D" w:rsidRPr="00957E32">
        <w:rPr>
          <w:rFonts w:ascii="Times New Roman" w:hAnsi="Times New Roman" w:cs="Times New Roman"/>
          <w:sz w:val="24"/>
          <w:szCs w:val="24"/>
        </w:rPr>
        <w:t xml:space="preserve"> antigen</w:t>
      </w:r>
      <w:r w:rsidR="00224D49" w:rsidRPr="00957E32">
        <w:rPr>
          <w:rFonts w:ascii="Times New Roman" w:hAnsi="Times New Roman" w:cs="Times New Roman"/>
          <w:sz w:val="24"/>
          <w:szCs w:val="24"/>
        </w:rPr>
        <w:t>s</w:t>
      </w:r>
      <w:r w:rsidR="00943F7D" w:rsidRPr="00957E32">
        <w:rPr>
          <w:rFonts w:ascii="Times New Roman" w:hAnsi="Times New Roman" w:cs="Times New Roman"/>
          <w:sz w:val="24"/>
          <w:szCs w:val="24"/>
        </w:rPr>
        <w:t xml:space="preserve"> as strongly immunogenic as ESAT-6 and CFP-10</w:t>
      </w:r>
      <w:r w:rsidR="003553C7">
        <w:rPr>
          <w:rFonts w:ascii="Times New Roman" w:hAnsi="Times New Roman" w:cs="Times New Roman"/>
          <w:sz w:val="24"/>
          <w:szCs w:val="24"/>
        </w:rPr>
        <w:t xml:space="preserve"> </w:t>
      </w:r>
      <w:r w:rsidR="00943F7D" w:rsidRPr="00957E32">
        <w:rPr>
          <w:rFonts w:ascii="Times New Roman" w:hAnsi="Times New Roman" w:cs="Times New Roman"/>
          <w:sz w:val="24"/>
          <w:szCs w:val="24"/>
        </w:rPr>
        <w:t xml:space="preserve">presents an opportunity to develop </w:t>
      </w:r>
      <w:r w:rsidR="00C9141C">
        <w:rPr>
          <w:rFonts w:ascii="Times New Roman" w:hAnsi="Times New Roman" w:cs="Times New Roman"/>
          <w:sz w:val="24"/>
          <w:szCs w:val="24"/>
        </w:rPr>
        <w:t>second-generation</w:t>
      </w:r>
      <w:r w:rsidR="00943F7D" w:rsidRPr="00957E32">
        <w:rPr>
          <w:rFonts w:ascii="Times New Roman" w:hAnsi="Times New Roman" w:cs="Times New Roman"/>
          <w:sz w:val="24"/>
          <w:szCs w:val="24"/>
        </w:rPr>
        <w:t xml:space="preserve"> IGRAs of higher sensitivity.</w:t>
      </w:r>
      <w:r w:rsidR="009F2E2D">
        <w:rPr>
          <w:rFonts w:ascii="Times New Roman" w:hAnsi="Times New Roman" w:cs="Times New Roman"/>
          <w:sz w:val="24"/>
          <w:szCs w:val="24"/>
          <w:vertAlign w:val="superscript"/>
        </w:rPr>
        <w:t>1</w:t>
      </w:r>
      <w:r w:rsidR="00740116">
        <w:rPr>
          <w:rFonts w:ascii="Times New Roman" w:hAnsi="Times New Roman" w:cs="Times New Roman"/>
          <w:sz w:val="24"/>
          <w:szCs w:val="24"/>
          <w:vertAlign w:val="superscript"/>
        </w:rPr>
        <w:t>3</w:t>
      </w:r>
      <w:r w:rsidR="003553C7">
        <w:rPr>
          <w:rFonts w:ascii="Times New Roman" w:hAnsi="Times New Roman" w:cs="Times New Roman"/>
          <w:sz w:val="24"/>
          <w:szCs w:val="24"/>
          <w:vertAlign w:val="superscript"/>
        </w:rPr>
        <w:t>,</w:t>
      </w:r>
      <w:r w:rsidR="009F2E2D">
        <w:rPr>
          <w:rFonts w:ascii="Times New Roman" w:hAnsi="Times New Roman" w:cs="Times New Roman"/>
          <w:sz w:val="24"/>
          <w:szCs w:val="24"/>
          <w:vertAlign w:val="superscript"/>
        </w:rPr>
        <w:t>1</w:t>
      </w:r>
      <w:r w:rsidR="00740116">
        <w:rPr>
          <w:rFonts w:ascii="Times New Roman" w:hAnsi="Times New Roman" w:cs="Times New Roman"/>
          <w:sz w:val="24"/>
          <w:szCs w:val="24"/>
          <w:vertAlign w:val="superscript"/>
        </w:rPr>
        <w:t>4</w:t>
      </w:r>
      <w:r w:rsidR="003553C7" w:rsidRPr="00957E32">
        <w:rPr>
          <w:rFonts w:ascii="Times New Roman" w:hAnsi="Times New Roman" w:cs="Times New Roman"/>
          <w:sz w:val="24"/>
          <w:szCs w:val="24"/>
        </w:rPr>
        <w:t xml:space="preserve"> </w:t>
      </w:r>
      <w:r w:rsidR="00224D49" w:rsidRPr="00957E32">
        <w:rPr>
          <w:rFonts w:ascii="Times New Roman" w:hAnsi="Times New Roman" w:cs="Times New Roman"/>
          <w:sz w:val="24"/>
          <w:szCs w:val="24"/>
        </w:rPr>
        <w:t>Furthermore, they may allow development of an ‘ESAT-6-free’ IGRA for application in populations vaccinated with</w:t>
      </w:r>
      <w:r w:rsidR="00E86AF3">
        <w:rPr>
          <w:rFonts w:ascii="Times New Roman" w:hAnsi="Times New Roman" w:cs="Times New Roman"/>
          <w:sz w:val="24"/>
          <w:szCs w:val="24"/>
        </w:rPr>
        <w:t xml:space="preserve"> new</w:t>
      </w:r>
      <w:r w:rsidR="00224D49" w:rsidRPr="00957E32">
        <w:rPr>
          <w:rFonts w:ascii="Times New Roman" w:hAnsi="Times New Roman" w:cs="Times New Roman"/>
          <w:sz w:val="24"/>
          <w:szCs w:val="24"/>
        </w:rPr>
        <w:t xml:space="preserve"> ESAT-6-based TB vaccine</w:t>
      </w:r>
      <w:r w:rsidR="006F59EC">
        <w:rPr>
          <w:rFonts w:ascii="Times New Roman" w:hAnsi="Times New Roman" w:cs="Times New Roman"/>
          <w:sz w:val="24"/>
          <w:szCs w:val="24"/>
        </w:rPr>
        <w:t>s</w:t>
      </w:r>
      <w:r w:rsidR="00CB1A89">
        <w:rPr>
          <w:rFonts w:ascii="Times New Roman" w:hAnsi="Times New Roman" w:cs="Times New Roman"/>
          <w:sz w:val="24"/>
          <w:szCs w:val="24"/>
        </w:rPr>
        <w:t>, as previously described</w:t>
      </w:r>
      <w:r w:rsidR="00224D49" w:rsidRPr="00957E32">
        <w:rPr>
          <w:rFonts w:ascii="Times New Roman" w:hAnsi="Times New Roman" w:cs="Times New Roman"/>
          <w:sz w:val="24"/>
          <w:szCs w:val="24"/>
        </w:rPr>
        <w:t>.</w:t>
      </w:r>
      <w:r w:rsidR="00E665EC">
        <w:rPr>
          <w:rFonts w:ascii="Times New Roman" w:hAnsi="Times New Roman" w:cs="Times New Roman"/>
          <w:sz w:val="24"/>
          <w:szCs w:val="24"/>
          <w:vertAlign w:val="superscript"/>
        </w:rPr>
        <w:t>1</w:t>
      </w:r>
      <w:r w:rsidR="00740116">
        <w:rPr>
          <w:rFonts w:ascii="Times New Roman" w:hAnsi="Times New Roman" w:cs="Times New Roman"/>
          <w:sz w:val="24"/>
          <w:szCs w:val="24"/>
          <w:vertAlign w:val="superscript"/>
        </w:rPr>
        <w:t>5</w:t>
      </w:r>
      <w:r w:rsidR="00224D49" w:rsidRPr="00957E32">
        <w:rPr>
          <w:rFonts w:ascii="Times New Roman" w:hAnsi="Times New Roman" w:cs="Times New Roman"/>
          <w:sz w:val="24"/>
          <w:szCs w:val="24"/>
        </w:rPr>
        <w:t xml:space="preserve"> </w:t>
      </w:r>
      <w:r w:rsidR="007F6C17">
        <w:rPr>
          <w:rFonts w:ascii="Times New Roman" w:hAnsi="Times New Roman" w:cs="Times New Roman"/>
          <w:sz w:val="24"/>
          <w:szCs w:val="24"/>
        </w:rPr>
        <w:t>S</w:t>
      </w:r>
      <w:r w:rsidR="00943F7D" w:rsidRPr="00957E32">
        <w:rPr>
          <w:rFonts w:ascii="Times New Roman" w:hAnsi="Times New Roman" w:cs="Times New Roman"/>
          <w:sz w:val="24"/>
          <w:szCs w:val="24"/>
        </w:rPr>
        <w:t xml:space="preserve">tudies suggest </w:t>
      </w:r>
      <w:r w:rsidR="00224D49" w:rsidRPr="00957E32">
        <w:rPr>
          <w:rFonts w:ascii="Times New Roman" w:hAnsi="Times New Roman" w:cs="Times New Roman"/>
          <w:sz w:val="24"/>
          <w:szCs w:val="24"/>
        </w:rPr>
        <w:t xml:space="preserve">adaptation of existing IGRAs </w:t>
      </w:r>
      <w:r w:rsidR="00D72A3B">
        <w:rPr>
          <w:rFonts w:ascii="Times New Roman" w:hAnsi="Times New Roman" w:cs="Times New Roman"/>
          <w:sz w:val="24"/>
          <w:szCs w:val="24"/>
        </w:rPr>
        <w:t>with</w:t>
      </w:r>
      <w:r w:rsidR="00D72A3B" w:rsidRPr="00957E32">
        <w:rPr>
          <w:rFonts w:ascii="Times New Roman" w:hAnsi="Times New Roman" w:cs="Times New Roman"/>
          <w:sz w:val="24"/>
          <w:szCs w:val="24"/>
        </w:rPr>
        <w:t xml:space="preserve"> </w:t>
      </w:r>
      <w:r w:rsidR="00224D49" w:rsidRPr="00957E32">
        <w:rPr>
          <w:rFonts w:ascii="Times New Roman" w:hAnsi="Times New Roman" w:cs="Times New Roman"/>
          <w:sz w:val="24"/>
          <w:szCs w:val="24"/>
        </w:rPr>
        <w:t xml:space="preserve">these </w:t>
      </w:r>
      <w:r w:rsidR="00D72A3B">
        <w:rPr>
          <w:rFonts w:ascii="Times New Roman" w:hAnsi="Times New Roman" w:cs="Times New Roman"/>
          <w:sz w:val="24"/>
          <w:szCs w:val="24"/>
        </w:rPr>
        <w:t>novel</w:t>
      </w:r>
      <w:r w:rsidR="00D72A3B" w:rsidRPr="00957E32">
        <w:rPr>
          <w:rFonts w:ascii="Times New Roman" w:hAnsi="Times New Roman" w:cs="Times New Roman"/>
          <w:sz w:val="24"/>
          <w:szCs w:val="24"/>
        </w:rPr>
        <w:t xml:space="preserve"> </w:t>
      </w:r>
      <w:r w:rsidR="00224D49" w:rsidRPr="00957E32">
        <w:rPr>
          <w:rFonts w:ascii="Times New Roman" w:hAnsi="Times New Roman" w:cs="Times New Roman"/>
          <w:sz w:val="24"/>
          <w:szCs w:val="24"/>
        </w:rPr>
        <w:t>antigens is</w:t>
      </w:r>
      <w:r w:rsidR="00943F7D" w:rsidRPr="00957E32">
        <w:rPr>
          <w:rFonts w:ascii="Times New Roman" w:hAnsi="Times New Roman" w:cs="Times New Roman"/>
          <w:sz w:val="24"/>
          <w:szCs w:val="24"/>
        </w:rPr>
        <w:t xml:space="preserve"> possible</w:t>
      </w:r>
      <w:r w:rsidR="00FC446C">
        <w:rPr>
          <w:rFonts w:ascii="Times New Roman" w:hAnsi="Times New Roman" w:cs="Times New Roman"/>
          <w:sz w:val="24"/>
          <w:szCs w:val="24"/>
        </w:rPr>
        <w:t>,</w:t>
      </w:r>
      <w:r w:rsidR="00CB1A89">
        <w:rPr>
          <w:rFonts w:ascii="Times New Roman" w:hAnsi="Times New Roman" w:cs="Times New Roman"/>
          <w:sz w:val="24"/>
          <w:szCs w:val="24"/>
          <w:vertAlign w:val="superscript"/>
        </w:rPr>
        <w:t>1</w:t>
      </w:r>
      <w:r w:rsidR="00FC446C">
        <w:rPr>
          <w:rFonts w:ascii="Times New Roman" w:hAnsi="Times New Roman" w:cs="Times New Roman"/>
          <w:sz w:val="24"/>
          <w:szCs w:val="24"/>
          <w:vertAlign w:val="superscript"/>
        </w:rPr>
        <w:t>,1</w:t>
      </w:r>
      <w:r w:rsidR="00740116">
        <w:rPr>
          <w:rFonts w:ascii="Times New Roman" w:hAnsi="Times New Roman" w:cs="Times New Roman"/>
          <w:sz w:val="24"/>
          <w:szCs w:val="24"/>
          <w:vertAlign w:val="superscript"/>
        </w:rPr>
        <w:t>4</w:t>
      </w:r>
      <w:r w:rsidR="009F2E2D">
        <w:rPr>
          <w:rFonts w:ascii="Times New Roman" w:hAnsi="Times New Roman" w:cs="Times New Roman"/>
          <w:sz w:val="24"/>
          <w:szCs w:val="24"/>
          <w:vertAlign w:val="superscript"/>
        </w:rPr>
        <w:t>,1</w:t>
      </w:r>
      <w:r w:rsidR="00740116">
        <w:rPr>
          <w:rFonts w:ascii="Times New Roman" w:hAnsi="Times New Roman" w:cs="Times New Roman"/>
          <w:sz w:val="24"/>
          <w:szCs w:val="24"/>
          <w:vertAlign w:val="superscript"/>
        </w:rPr>
        <w:t>6</w:t>
      </w:r>
      <w:r w:rsidR="00943F7D" w:rsidRPr="00957E32">
        <w:rPr>
          <w:rFonts w:ascii="Times New Roman" w:hAnsi="Times New Roman" w:cs="Times New Roman"/>
          <w:sz w:val="24"/>
          <w:szCs w:val="24"/>
        </w:rPr>
        <w:t xml:space="preserve"> but </w:t>
      </w:r>
      <w:r w:rsidR="00943F7D" w:rsidRPr="00957E32">
        <w:rPr>
          <w:rFonts w:ascii="Times New Roman" w:hAnsi="Times New Roman" w:cs="Times New Roman"/>
          <w:sz w:val="24"/>
          <w:szCs w:val="24"/>
        </w:rPr>
        <w:lastRenderedPageBreak/>
        <w:t xml:space="preserve">no </w:t>
      </w:r>
      <w:r w:rsidR="007F6C17">
        <w:rPr>
          <w:rFonts w:ascii="Times New Roman" w:hAnsi="Times New Roman" w:cs="Times New Roman"/>
          <w:sz w:val="24"/>
          <w:szCs w:val="24"/>
        </w:rPr>
        <w:t xml:space="preserve">large-scale </w:t>
      </w:r>
      <w:r w:rsidR="00943F7D" w:rsidRPr="00957E32">
        <w:rPr>
          <w:rFonts w:ascii="Times New Roman" w:hAnsi="Times New Roman" w:cs="Times New Roman"/>
          <w:sz w:val="24"/>
          <w:szCs w:val="24"/>
        </w:rPr>
        <w:t>prospective clinical evaluation of this novel approach has been conducted</w:t>
      </w:r>
      <w:r w:rsidR="00FC446C">
        <w:rPr>
          <w:rFonts w:ascii="Times New Roman" w:hAnsi="Times New Roman" w:cs="Times New Roman"/>
          <w:sz w:val="24"/>
          <w:szCs w:val="24"/>
        </w:rPr>
        <w:t xml:space="preserve"> in routine practice in a low TB</w:t>
      </w:r>
      <w:r w:rsidR="00412CCA">
        <w:rPr>
          <w:rFonts w:ascii="Times New Roman" w:hAnsi="Times New Roman" w:cs="Times New Roman"/>
          <w:sz w:val="24"/>
          <w:szCs w:val="24"/>
        </w:rPr>
        <w:t>-</w:t>
      </w:r>
      <w:r w:rsidR="00A21974">
        <w:rPr>
          <w:rFonts w:ascii="Times New Roman" w:hAnsi="Times New Roman" w:cs="Times New Roman"/>
          <w:sz w:val="24"/>
          <w:szCs w:val="24"/>
        </w:rPr>
        <w:t xml:space="preserve">incidence </w:t>
      </w:r>
      <w:r w:rsidR="00FC446C">
        <w:rPr>
          <w:rFonts w:ascii="Times New Roman" w:hAnsi="Times New Roman" w:cs="Times New Roman"/>
          <w:sz w:val="24"/>
          <w:szCs w:val="24"/>
        </w:rPr>
        <w:t>setting</w:t>
      </w:r>
      <w:r w:rsidR="00943F7D" w:rsidRPr="00957E32">
        <w:rPr>
          <w:rFonts w:ascii="Times New Roman" w:hAnsi="Times New Roman" w:cs="Times New Roman"/>
          <w:sz w:val="24"/>
          <w:szCs w:val="24"/>
        </w:rPr>
        <w:t xml:space="preserve">. </w:t>
      </w:r>
    </w:p>
    <w:p w14:paraId="6DC1B983" w14:textId="3F8AA524" w:rsidR="00943F7D" w:rsidRDefault="00943F7D" w:rsidP="00275040">
      <w:pPr>
        <w:spacing w:after="0" w:line="480" w:lineRule="auto"/>
        <w:jc w:val="both"/>
        <w:rPr>
          <w:rFonts w:ascii="Times New Roman" w:hAnsi="Times New Roman" w:cs="Times New Roman"/>
          <w:sz w:val="24"/>
          <w:szCs w:val="24"/>
        </w:rPr>
      </w:pPr>
      <w:r w:rsidRPr="00957E32">
        <w:rPr>
          <w:rFonts w:ascii="Times New Roman" w:hAnsi="Times New Roman" w:cs="Times New Roman"/>
          <w:sz w:val="24"/>
          <w:szCs w:val="24"/>
        </w:rPr>
        <w:t xml:space="preserve">We therefore </w:t>
      </w:r>
      <w:r w:rsidR="00B07DA3">
        <w:rPr>
          <w:rFonts w:ascii="Times New Roman" w:hAnsi="Times New Roman" w:cs="Times New Roman"/>
          <w:sz w:val="24"/>
          <w:szCs w:val="24"/>
        </w:rPr>
        <w:t xml:space="preserve">sought to </w:t>
      </w:r>
      <w:r w:rsidRPr="00957E32">
        <w:rPr>
          <w:rFonts w:ascii="Times New Roman" w:hAnsi="Times New Roman" w:cs="Times New Roman"/>
          <w:sz w:val="24"/>
          <w:szCs w:val="24"/>
        </w:rPr>
        <w:t xml:space="preserve">evaluate the clinical utility of </w:t>
      </w:r>
      <w:r w:rsidR="009D14B9" w:rsidRPr="00957E32">
        <w:rPr>
          <w:rFonts w:ascii="Times New Roman" w:hAnsi="Times New Roman" w:cs="Times New Roman"/>
          <w:sz w:val="24"/>
          <w:szCs w:val="24"/>
        </w:rPr>
        <w:t>existing IGRAs, T</w:t>
      </w:r>
      <w:r w:rsidR="00C96C93" w:rsidRPr="00957E32">
        <w:rPr>
          <w:rFonts w:ascii="Times New Roman" w:hAnsi="Times New Roman" w:cs="Times New Roman"/>
          <w:sz w:val="24"/>
          <w:szCs w:val="24"/>
        </w:rPr>
        <w:t>-</w:t>
      </w:r>
      <w:r w:rsidR="009D14B9" w:rsidRPr="00957E32">
        <w:rPr>
          <w:rFonts w:ascii="Times New Roman" w:hAnsi="Times New Roman" w:cs="Times New Roman"/>
          <w:sz w:val="24"/>
          <w:szCs w:val="24"/>
        </w:rPr>
        <w:t xml:space="preserve">SPOT.TB (Oxford </w:t>
      </w:r>
      <w:proofErr w:type="spellStart"/>
      <w:r w:rsidR="009D14B9" w:rsidRPr="00957E32">
        <w:rPr>
          <w:rFonts w:ascii="Times New Roman" w:hAnsi="Times New Roman" w:cs="Times New Roman"/>
          <w:sz w:val="24"/>
          <w:szCs w:val="24"/>
        </w:rPr>
        <w:t>Immunotec</w:t>
      </w:r>
      <w:proofErr w:type="spellEnd"/>
      <w:r w:rsidR="009D14B9" w:rsidRPr="00957E32">
        <w:rPr>
          <w:rFonts w:ascii="Times New Roman" w:hAnsi="Times New Roman" w:cs="Times New Roman"/>
          <w:sz w:val="24"/>
          <w:szCs w:val="24"/>
        </w:rPr>
        <w:t xml:space="preserve"> plc, Abingdon, UK) and </w:t>
      </w:r>
      <w:proofErr w:type="spellStart"/>
      <w:r w:rsidR="003553C7" w:rsidRPr="00957E32">
        <w:rPr>
          <w:rFonts w:ascii="Times New Roman" w:hAnsi="Times New Roman" w:cs="Times New Roman"/>
          <w:sz w:val="24"/>
          <w:szCs w:val="24"/>
        </w:rPr>
        <w:t>Quanti</w:t>
      </w:r>
      <w:r w:rsidR="00A7426C">
        <w:rPr>
          <w:rFonts w:ascii="Times New Roman" w:hAnsi="Times New Roman" w:cs="Times New Roman"/>
          <w:sz w:val="24"/>
          <w:szCs w:val="24"/>
        </w:rPr>
        <w:t>feron</w:t>
      </w:r>
      <w:proofErr w:type="spellEnd"/>
      <w:r w:rsidR="00224D49" w:rsidRPr="00957E32">
        <w:rPr>
          <w:rFonts w:ascii="Times New Roman" w:hAnsi="Times New Roman" w:cs="Times New Roman"/>
          <w:sz w:val="24"/>
          <w:szCs w:val="24"/>
        </w:rPr>
        <w:t>-</w:t>
      </w:r>
      <w:r w:rsidR="009D14B9" w:rsidRPr="00957E32">
        <w:rPr>
          <w:rFonts w:ascii="Times New Roman" w:hAnsi="Times New Roman" w:cs="Times New Roman"/>
          <w:sz w:val="24"/>
          <w:szCs w:val="24"/>
        </w:rPr>
        <w:t>Gold In</w:t>
      </w:r>
      <w:r w:rsidR="00224D49" w:rsidRPr="00957E32">
        <w:rPr>
          <w:rFonts w:ascii="Times New Roman" w:hAnsi="Times New Roman" w:cs="Times New Roman"/>
          <w:sz w:val="24"/>
          <w:szCs w:val="24"/>
        </w:rPr>
        <w:t>-</w:t>
      </w:r>
      <w:r w:rsidR="009D14B9" w:rsidRPr="00957E32">
        <w:rPr>
          <w:rFonts w:ascii="Times New Roman" w:hAnsi="Times New Roman" w:cs="Times New Roman"/>
          <w:sz w:val="24"/>
          <w:szCs w:val="24"/>
        </w:rPr>
        <w:t>tube (</w:t>
      </w:r>
      <w:r w:rsidR="0033525D">
        <w:rPr>
          <w:rFonts w:ascii="Times New Roman" w:hAnsi="Times New Roman" w:cs="Times New Roman"/>
          <w:sz w:val="24"/>
          <w:szCs w:val="24"/>
        </w:rPr>
        <w:t xml:space="preserve">QFT-GIT; </w:t>
      </w:r>
      <w:r w:rsidR="009D14B9" w:rsidRPr="00957E32">
        <w:rPr>
          <w:rFonts w:ascii="Times New Roman" w:hAnsi="Times New Roman" w:cs="Times New Roman"/>
          <w:sz w:val="24"/>
          <w:szCs w:val="24"/>
        </w:rPr>
        <w:t>Qiagen NV)</w:t>
      </w:r>
      <w:r w:rsidR="00E810DA" w:rsidRPr="00957E32">
        <w:rPr>
          <w:rFonts w:ascii="Times New Roman" w:hAnsi="Times New Roman" w:cs="Times New Roman"/>
          <w:sz w:val="24"/>
          <w:szCs w:val="24"/>
        </w:rPr>
        <w:t>,</w:t>
      </w:r>
      <w:r w:rsidR="00224D49" w:rsidRPr="00957E32">
        <w:rPr>
          <w:rFonts w:ascii="Times New Roman" w:hAnsi="Times New Roman" w:cs="Times New Roman"/>
          <w:sz w:val="24"/>
          <w:szCs w:val="24"/>
        </w:rPr>
        <w:t xml:space="preserve"> and</w:t>
      </w:r>
      <w:r w:rsidR="009D14B9" w:rsidRPr="00957E32">
        <w:rPr>
          <w:rFonts w:ascii="Times New Roman" w:hAnsi="Times New Roman" w:cs="Times New Roman"/>
          <w:sz w:val="24"/>
          <w:szCs w:val="24"/>
        </w:rPr>
        <w:t xml:space="preserve"> </w:t>
      </w:r>
      <w:r w:rsidR="00C9141C">
        <w:rPr>
          <w:rFonts w:ascii="Times New Roman" w:hAnsi="Times New Roman" w:cs="Times New Roman"/>
          <w:sz w:val="24"/>
          <w:szCs w:val="24"/>
        </w:rPr>
        <w:t>second-generation</w:t>
      </w:r>
      <w:r w:rsidR="00224D49" w:rsidRPr="00957E32">
        <w:rPr>
          <w:rFonts w:ascii="Times New Roman" w:hAnsi="Times New Roman" w:cs="Times New Roman"/>
          <w:sz w:val="24"/>
          <w:szCs w:val="24"/>
        </w:rPr>
        <w:t xml:space="preserve"> IGRA</w:t>
      </w:r>
      <w:r w:rsidR="00E810DA" w:rsidRPr="00957E32">
        <w:rPr>
          <w:rFonts w:ascii="Times New Roman" w:hAnsi="Times New Roman" w:cs="Times New Roman"/>
          <w:sz w:val="24"/>
          <w:szCs w:val="24"/>
        </w:rPr>
        <w:t>s</w:t>
      </w:r>
      <w:r w:rsidR="00224D49" w:rsidRPr="00957E32">
        <w:rPr>
          <w:rFonts w:ascii="Times New Roman" w:hAnsi="Times New Roman" w:cs="Times New Roman"/>
          <w:sz w:val="24"/>
          <w:szCs w:val="24"/>
        </w:rPr>
        <w:t xml:space="preserve"> </w:t>
      </w:r>
      <w:r w:rsidRPr="00957E32">
        <w:rPr>
          <w:rFonts w:ascii="Times New Roman" w:hAnsi="Times New Roman" w:cs="Times New Roman"/>
          <w:sz w:val="24"/>
          <w:szCs w:val="24"/>
        </w:rPr>
        <w:t>in patients presenting with suspected TB</w:t>
      </w:r>
      <w:r w:rsidR="000E7DC3">
        <w:rPr>
          <w:rFonts w:ascii="Times New Roman" w:hAnsi="Times New Roman" w:cs="Times New Roman"/>
          <w:sz w:val="24"/>
          <w:szCs w:val="24"/>
        </w:rPr>
        <w:t xml:space="preserve"> in UK clinical practice</w:t>
      </w:r>
      <w:r w:rsidR="00531B1E" w:rsidRPr="00957E32">
        <w:rPr>
          <w:rFonts w:ascii="Times New Roman" w:hAnsi="Times New Roman" w:cs="Times New Roman"/>
          <w:sz w:val="24"/>
          <w:szCs w:val="24"/>
        </w:rPr>
        <w:t xml:space="preserve">.  </w:t>
      </w:r>
      <w:r w:rsidRPr="00957E32">
        <w:rPr>
          <w:rFonts w:ascii="Times New Roman" w:hAnsi="Times New Roman" w:cs="Times New Roman"/>
          <w:sz w:val="24"/>
          <w:szCs w:val="24"/>
        </w:rPr>
        <w:t xml:space="preserve"> </w:t>
      </w:r>
    </w:p>
    <w:p w14:paraId="64492CD8" w14:textId="77777777" w:rsidR="0030462A" w:rsidRPr="00957E32" w:rsidRDefault="0030462A" w:rsidP="00275040">
      <w:pPr>
        <w:spacing w:after="0" w:line="480" w:lineRule="auto"/>
        <w:jc w:val="both"/>
        <w:rPr>
          <w:rFonts w:ascii="Times New Roman" w:hAnsi="Times New Roman" w:cs="Times New Roman"/>
          <w:sz w:val="24"/>
          <w:szCs w:val="24"/>
        </w:rPr>
      </w:pPr>
    </w:p>
    <w:p w14:paraId="7D6C3574" w14:textId="416215DA" w:rsidR="002B6414" w:rsidRDefault="00E810DA" w:rsidP="0085245D">
      <w:pPr>
        <w:spacing w:after="0" w:line="480" w:lineRule="auto"/>
        <w:rPr>
          <w:rFonts w:ascii="Times New Roman" w:hAnsi="Times New Roman" w:cs="Times New Roman"/>
          <w:sz w:val="24"/>
          <w:szCs w:val="24"/>
        </w:rPr>
      </w:pPr>
      <w:r w:rsidRPr="00957E32">
        <w:rPr>
          <w:rFonts w:ascii="Times New Roman" w:hAnsi="Times New Roman" w:cs="Times New Roman"/>
          <w:b/>
          <w:sz w:val="24"/>
          <w:szCs w:val="24"/>
        </w:rPr>
        <w:t>M</w:t>
      </w:r>
      <w:r w:rsidR="00813A2E" w:rsidRPr="00957E32">
        <w:rPr>
          <w:rFonts w:ascii="Times New Roman" w:hAnsi="Times New Roman" w:cs="Times New Roman"/>
          <w:b/>
          <w:sz w:val="24"/>
          <w:szCs w:val="24"/>
        </w:rPr>
        <w:t>ETHODS</w:t>
      </w:r>
      <w:r w:rsidR="0056018C" w:rsidRPr="00957E32">
        <w:rPr>
          <w:rFonts w:ascii="Times New Roman" w:hAnsi="Times New Roman" w:cs="Times New Roman"/>
          <w:b/>
          <w:sz w:val="24"/>
          <w:szCs w:val="24"/>
        </w:rPr>
        <w:t xml:space="preserve"> </w:t>
      </w:r>
    </w:p>
    <w:p w14:paraId="28785BF6" w14:textId="03070126" w:rsidR="00504A04" w:rsidRPr="00A227A2" w:rsidRDefault="006E4A45">
      <w:pPr>
        <w:spacing w:after="0" w:line="480" w:lineRule="auto"/>
        <w:jc w:val="both"/>
        <w:rPr>
          <w:rFonts w:ascii="Times New Roman" w:hAnsi="Times New Roman" w:cs="Times New Roman"/>
          <w:sz w:val="24"/>
          <w:szCs w:val="24"/>
          <w:u w:val="single"/>
          <w:lang w:val="en"/>
        </w:rPr>
      </w:pPr>
      <w:r w:rsidRPr="00957E32">
        <w:rPr>
          <w:rFonts w:ascii="Times New Roman" w:hAnsi="Times New Roman" w:cs="Times New Roman"/>
          <w:sz w:val="24"/>
          <w:szCs w:val="24"/>
        </w:rPr>
        <w:t xml:space="preserve">We conducted a </w:t>
      </w:r>
      <w:r w:rsidR="0013011B" w:rsidRPr="00957E32">
        <w:rPr>
          <w:rFonts w:ascii="Times New Roman" w:hAnsi="Times New Roman" w:cs="Times New Roman"/>
          <w:sz w:val="24"/>
          <w:szCs w:val="24"/>
        </w:rPr>
        <w:t>prospective</w:t>
      </w:r>
      <w:r w:rsidR="007361F2" w:rsidRPr="00957E32">
        <w:rPr>
          <w:rFonts w:ascii="Times New Roman" w:hAnsi="Times New Roman" w:cs="Times New Roman"/>
          <w:sz w:val="24"/>
          <w:szCs w:val="24"/>
        </w:rPr>
        <w:t>,</w:t>
      </w:r>
      <w:r w:rsidR="0013011B" w:rsidRPr="00957E32">
        <w:rPr>
          <w:rFonts w:ascii="Times New Roman" w:hAnsi="Times New Roman" w:cs="Times New Roman"/>
          <w:sz w:val="24"/>
          <w:szCs w:val="24"/>
        </w:rPr>
        <w:t xml:space="preserve"> </w:t>
      </w:r>
      <w:r w:rsidRPr="00957E32">
        <w:rPr>
          <w:rFonts w:ascii="Times New Roman" w:hAnsi="Times New Roman" w:cs="Times New Roman"/>
          <w:sz w:val="24"/>
          <w:szCs w:val="24"/>
        </w:rPr>
        <w:t>multi</w:t>
      </w:r>
      <w:r w:rsidR="007361F2" w:rsidRPr="00957E32">
        <w:rPr>
          <w:rFonts w:ascii="Times New Roman" w:hAnsi="Times New Roman" w:cs="Times New Roman"/>
          <w:sz w:val="24"/>
          <w:szCs w:val="24"/>
        </w:rPr>
        <w:t>centre</w:t>
      </w:r>
      <w:r w:rsidRPr="00957E32">
        <w:rPr>
          <w:rFonts w:ascii="Times New Roman" w:hAnsi="Times New Roman" w:cs="Times New Roman"/>
          <w:sz w:val="24"/>
          <w:szCs w:val="24"/>
        </w:rPr>
        <w:t xml:space="preserve">, </w:t>
      </w:r>
      <w:r w:rsidR="0013011B" w:rsidRPr="00957E32">
        <w:rPr>
          <w:rFonts w:ascii="Times New Roman" w:hAnsi="Times New Roman" w:cs="Times New Roman"/>
          <w:sz w:val="24"/>
          <w:szCs w:val="24"/>
        </w:rPr>
        <w:t>cohort study</w:t>
      </w:r>
      <w:r w:rsidRPr="00957E32">
        <w:rPr>
          <w:rFonts w:ascii="Times New Roman" w:hAnsi="Times New Roman" w:cs="Times New Roman"/>
          <w:sz w:val="24"/>
          <w:szCs w:val="24"/>
        </w:rPr>
        <w:t xml:space="preserve"> </w:t>
      </w:r>
      <w:r w:rsidR="007361F2" w:rsidRPr="00957E32">
        <w:rPr>
          <w:rFonts w:ascii="Times New Roman" w:hAnsi="Times New Roman" w:cs="Times New Roman"/>
          <w:sz w:val="24"/>
          <w:szCs w:val="24"/>
        </w:rPr>
        <w:t xml:space="preserve">in routine clinical practice </w:t>
      </w:r>
      <w:r w:rsidR="00155D99" w:rsidRPr="00957E32">
        <w:rPr>
          <w:rFonts w:ascii="Times New Roman" w:hAnsi="Times New Roman" w:cs="Times New Roman"/>
          <w:sz w:val="24"/>
          <w:szCs w:val="24"/>
        </w:rPr>
        <w:t xml:space="preserve">to </w:t>
      </w:r>
      <w:r w:rsidRPr="00957E32">
        <w:rPr>
          <w:rFonts w:ascii="Times New Roman" w:hAnsi="Times New Roman" w:cs="Times New Roman"/>
          <w:sz w:val="24"/>
          <w:szCs w:val="24"/>
        </w:rPr>
        <w:t>determine</w:t>
      </w:r>
      <w:r w:rsidR="00155D99" w:rsidRPr="00957E32">
        <w:rPr>
          <w:rFonts w:ascii="Times New Roman" w:hAnsi="Times New Roman" w:cs="Times New Roman"/>
          <w:sz w:val="24"/>
          <w:szCs w:val="24"/>
        </w:rPr>
        <w:t xml:space="preserve"> the diagnostic accuracy </w:t>
      </w:r>
      <w:r w:rsidRPr="00957E32">
        <w:rPr>
          <w:rFonts w:ascii="Times New Roman" w:hAnsi="Times New Roman" w:cs="Times New Roman"/>
          <w:sz w:val="24"/>
          <w:szCs w:val="24"/>
        </w:rPr>
        <w:t xml:space="preserve">of commercially-available and </w:t>
      </w:r>
      <w:r w:rsidR="00C9141C">
        <w:rPr>
          <w:rFonts w:ascii="Times New Roman" w:hAnsi="Times New Roman" w:cs="Times New Roman"/>
          <w:sz w:val="24"/>
          <w:szCs w:val="24"/>
        </w:rPr>
        <w:t>second-generation</w:t>
      </w:r>
      <w:r w:rsidR="00155D99" w:rsidRPr="00957E32">
        <w:rPr>
          <w:rFonts w:ascii="Times New Roman" w:hAnsi="Times New Roman" w:cs="Times New Roman"/>
          <w:sz w:val="24"/>
          <w:szCs w:val="24"/>
        </w:rPr>
        <w:t xml:space="preserve"> IGRAs in active TB</w:t>
      </w:r>
      <w:r w:rsidR="007361F2" w:rsidRPr="00957E32">
        <w:rPr>
          <w:rFonts w:ascii="Times New Roman" w:hAnsi="Times New Roman" w:cs="Times New Roman"/>
          <w:sz w:val="24"/>
          <w:szCs w:val="24"/>
        </w:rPr>
        <w:t xml:space="preserve">. </w:t>
      </w:r>
      <w:r w:rsidR="00155D99" w:rsidRPr="00957E32">
        <w:rPr>
          <w:rFonts w:ascii="Times New Roman" w:hAnsi="Times New Roman" w:cs="Times New Roman"/>
          <w:sz w:val="24"/>
          <w:szCs w:val="24"/>
        </w:rPr>
        <w:t>A</w:t>
      </w:r>
      <w:r w:rsidR="007361F2" w:rsidRPr="00957E32">
        <w:rPr>
          <w:rFonts w:ascii="Times New Roman" w:hAnsi="Times New Roman" w:cs="Times New Roman"/>
          <w:sz w:val="24"/>
          <w:szCs w:val="24"/>
        </w:rPr>
        <w:t xml:space="preserve"> within-patient design</w:t>
      </w:r>
      <w:r w:rsidR="00155D99" w:rsidRPr="00957E32">
        <w:rPr>
          <w:rFonts w:ascii="Times New Roman" w:hAnsi="Times New Roman" w:cs="Times New Roman"/>
          <w:sz w:val="24"/>
          <w:szCs w:val="24"/>
        </w:rPr>
        <w:t xml:space="preserve"> was used</w:t>
      </w:r>
      <w:r w:rsidR="007361F2" w:rsidRPr="00957E32">
        <w:rPr>
          <w:rFonts w:ascii="Times New Roman" w:hAnsi="Times New Roman" w:cs="Times New Roman"/>
          <w:sz w:val="24"/>
          <w:szCs w:val="24"/>
        </w:rPr>
        <w:t xml:space="preserve"> to compare test accuracy by performing all IGRAs on blood samples from each </w:t>
      </w:r>
      <w:r w:rsidR="00155D99" w:rsidRPr="00957E32">
        <w:rPr>
          <w:rFonts w:ascii="Times New Roman" w:hAnsi="Times New Roman" w:cs="Times New Roman"/>
          <w:sz w:val="24"/>
          <w:szCs w:val="24"/>
        </w:rPr>
        <w:t>study participant</w:t>
      </w:r>
      <w:r w:rsidR="00977405">
        <w:rPr>
          <w:rFonts w:ascii="Times New Roman" w:hAnsi="Times New Roman" w:cs="Times New Roman"/>
          <w:sz w:val="24"/>
          <w:szCs w:val="24"/>
        </w:rPr>
        <w:t>,</w:t>
      </w:r>
      <w:r w:rsidR="007361F2" w:rsidRPr="00957E32">
        <w:rPr>
          <w:rFonts w:ascii="Times New Roman" w:hAnsi="Times New Roman" w:cs="Times New Roman"/>
          <w:sz w:val="24"/>
          <w:szCs w:val="24"/>
        </w:rPr>
        <w:t xml:space="preserve"> with the presence or absence of active TB verified using </w:t>
      </w:r>
      <w:r w:rsidR="00155D99" w:rsidRPr="00957E32">
        <w:rPr>
          <w:rFonts w:ascii="Times New Roman" w:hAnsi="Times New Roman" w:cs="Times New Roman"/>
          <w:sz w:val="24"/>
          <w:szCs w:val="24"/>
        </w:rPr>
        <w:t>a</w:t>
      </w:r>
      <w:r w:rsidR="007361F2" w:rsidRPr="00957E32">
        <w:rPr>
          <w:rFonts w:ascii="Times New Roman" w:hAnsi="Times New Roman" w:cs="Times New Roman"/>
          <w:sz w:val="24"/>
          <w:szCs w:val="24"/>
        </w:rPr>
        <w:t xml:space="preserve"> </w:t>
      </w:r>
      <w:r w:rsidR="008827E6" w:rsidRPr="00957E32">
        <w:rPr>
          <w:rFonts w:ascii="Times New Roman" w:hAnsi="Times New Roman" w:cs="Times New Roman"/>
          <w:sz w:val="24"/>
          <w:szCs w:val="24"/>
        </w:rPr>
        <w:t xml:space="preserve">composite </w:t>
      </w:r>
      <w:r w:rsidR="007361F2" w:rsidRPr="00957E32">
        <w:rPr>
          <w:rFonts w:ascii="Times New Roman" w:hAnsi="Times New Roman" w:cs="Times New Roman"/>
          <w:sz w:val="24"/>
          <w:szCs w:val="24"/>
        </w:rPr>
        <w:t>reference standard</w:t>
      </w:r>
      <w:r w:rsidR="00D72A3B">
        <w:rPr>
          <w:rFonts w:ascii="Times New Roman" w:hAnsi="Times New Roman" w:cs="Times New Roman"/>
          <w:sz w:val="24"/>
          <w:szCs w:val="24"/>
        </w:rPr>
        <w:t xml:space="preserve"> (Table 1)</w:t>
      </w:r>
      <w:r w:rsidR="007361F2" w:rsidRPr="00957E32">
        <w:rPr>
          <w:rFonts w:ascii="Times New Roman" w:hAnsi="Times New Roman" w:cs="Times New Roman"/>
          <w:sz w:val="24"/>
          <w:szCs w:val="24"/>
        </w:rPr>
        <w:t>.</w:t>
      </w:r>
      <w:r w:rsidR="009F2E2D">
        <w:rPr>
          <w:rFonts w:ascii="Times New Roman" w:hAnsi="Times New Roman" w:cs="Times New Roman"/>
          <w:sz w:val="24"/>
          <w:szCs w:val="24"/>
          <w:vertAlign w:val="superscript"/>
        </w:rPr>
        <w:t>1</w:t>
      </w:r>
      <w:r w:rsidR="007361F2" w:rsidRPr="00957E32">
        <w:rPr>
          <w:rFonts w:ascii="Times New Roman" w:hAnsi="Times New Roman" w:cs="Times New Roman"/>
          <w:sz w:val="24"/>
          <w:szCs w:val="24"/>
        </w:rPr>
        <w:t xml:space="preserve"> This design minimises between-patient variability.</w:t>
      </w:r>
      <w:r w:rsidRPr="00957E32">
        <w:rPr>
          <w:rFonts w:ascii="Times New Roman" w:hAnsi="Times New Roman" w:cs="Times New Roman"/>
          <w:sz w:val="24"/>
          <w:szCs w:val="24"/>
        </w:rPr>
        <w:t xml:space="preserve"> </w:t>
      </w:r>
      <w:r w:rsidR="0013011B" w:rsidRPr="00957E32">
        <w:rPr>
          <w:rFonts w:ascii="Times New Roman" w:hAnsi="Times New Roman" w:cs="Times New Roman"/>
          <w:sz w:val="24"/>
          <w:szCs w:val="24"/>
        </w:rPr>
        <w:t xml:space="preserve">The study was approved by Camden and </w:t>
      </w:r>
      <w:r w:rsidR="0013011B" w:rsidRPr="00D93641">
        <w:rPr>
          <w:rFonts w:ascii="Times New Roman" w:hAnsi="Times New Roman" w:cs="Times New Roman"/>
          <w:sz w:val="24"/>
          <w:szCs w:val="24"/>
        </w:rPr>
        <w:t>Islington National Re</w:t>
      </w:r>
      <w:r w:rsidR="00066860" w:rsidRPr="00D93641">
        <w:rPr>
          <w:rFonts w:ascii="Times New Roman" w:hAnsi="Times New Roman" w:cs="Times New Roman"/>
          <w:sz w:val="24"/>
          <w:szCs w:val="24"/>
        </w:rPr>
        <w:t>search Ethics Committee (</w:t>
      </w:r>
      <w:r w:rsidR="008439EF" w:rsidRPr="00D93641">
        <w:rPr>
          <w:rFonts w:ascii="Times New Roman" w:hAnsi="Times New Roman" w:cs="Times New Roman"/>
          <w:sz w:val="24"/>
          <w:szCs w:val="24"/>
        </w:rPr>
        <w:t>11/H0722/8)</w:t>
      </w:r>
      <w:r w:rsidR="0013011B" w:rsidRPr="00D93641">
        <w:rPr>
          <w:rFonts w:ascii="Times New Roman" w:hAnsi="Times New Roman" w:cs="Times New Roman"/>
          <w:sz w:val="24"/>
          <w:szCs w:val="24"/>
        </w:rPr>
        <w:t>.</w:t>
      </w:r>
      <w:r w:rsidR="00BA742B" w:rsidRPr="00D93641">
        <w:rPr>
          <w:rFonts w:ascii="Times New Roman" w:hAnsi="Times New Roman" w:cs="Times New Roman"/>
          <w:sz w:val="24"/>
          <w:szCs w:val="24"/>
        </w:rPr>
        <w:t xml:space="preserve"> The study protocol </w:t>
      </w:r>
      <w:r w:rsidR="00E12251" w:rsidRPr="00D93641">
        <w:rPr>
          <w:rFonts w:ascii="Times New Roman" w:hAnsi="Times New Roman" w:cs="Times New Roman"/>
          <w:sz w:val="24"/>
          <w:szCs w:val="24"/>
        </w:rPr>
        <w:t>is available</w:t>
      </w:r>
      <w:r w:rsidR="00BA742B" w:rsidRPr="00D93641">
        <w:rPr>
          <w:rFonts w:ascii="Times New Roman" w:hAnsi="Times New Roman" w:cs="Times New Roman"/>
          <w:sz w:val="24"/>
          <w:szCs w:val="24"/>
        </w:rPr>
        <w:t xml:space="preserve"> at</w:t>
      </w:r>
      <w:r w:rsidR="00D93641" w:rsidRPr="00D93641">
        <w:rPr>
          <w:rFonts w:ascii="Times New Roman" w:hAnsi="Times New Roman" w:cs="Times New Roman"/>
          <w:sz w:val="24"/>
          <w:szCs w:val="24"/>
        </w:rPr>
        <w:t xml:space="preserve"> </w:t>
      </w:r>
      <w:hyperlink r:id="rId9" w:history="1">
        <w:r w:rsidR="00200C5F" w:rsidRPr="00200C5F">
          <w:rPr>
            <w:rStyle w:val="Hyperlink"/>
            <w:rFonts w:ascii="Times New Roman" w:hAnsi="Times New Roman" w:cs="Times New Roman"/>
            <w:color w:val="auto"/>
            <w:sz w:val="24"/>
            <w:szCs w:val="24"/>
            <w:lang w:val="en"/>
          </w:rPr>
          <w:t>https://njl-admin.nihr.ac.uk/document /</w:t>
        </w:r>
      </w:hyperlink>
      <w:r w:rsidR="00D93641" w:rsidRPr="00A227A2">
        <w:rPr>
          <w:rStyle w:val="HTMLCite"/>
          <w:rFonts w:ascii="Times New Roman" w:hAnsi="Times New Roman" w:cs="Times New Roman"/>
          <w:color w:val="auto"/>
          <w:sz w:val="24"/>
          <w:szCs w:val="24"/>
        </w:rPr>
        <w:t>download/2006627</w:t>
      </w:r>
      <w:r w:rsidR="00D7088F">
        <w:rPr>
          <w:rStyle w:val="HTMLCite"/>
          <w:rFonts w:ascii="Times New Roman" w:hAnsi="Times New Roman" w:cs="Times New Roman"/>
          <w:color w:val="auto"/>
          <w:sz w:val="24"/>
          <w:szCs w:val="24"/>
        </w:rPr>
        <w:t xml:space="preserve">, and a STARD checklist is provided in the </w:t>
      </w:r>
      <w:r w:rsidR="00E653E5">
        <w:rPr>
          <w:rStyle w:val="HTMLCite"/>
          <w:rFonts w:ascii="Times New Roman" w:hAnsi="Times New Roman" w:cs="Times New Roman"/>
          <w:color w:val="auto"/>
          <w:sz w:val="24"/>
          <w:szCs w:val="24"/>
        </w:rPr>
        <w:t>Appendix (</w:t>
      </w:r>
      <w:r w:rsidR="00D7088F">
        <w:rPr>
          <w:rStyle w:val="HTMLCite"/>
          <w:rFonts w:ascii="Times New Roman" w:hAnsi="Times New Roman" w:cs="Times New Roman"/>
          <w:color w:val="auto"/>
          <w:sz w:val="24"/>
          <w:szCs w:val="24"/>
        </w:rPr>
        <w:t xml:space="preserve">Supplementary </w:t>
      </w:r>
      <w:r w:rsidR="00E653E5">
        <w:rPr>
          <w:rStyle w:val="HTMLCite"/>
          <w:rFonts w:ascii="Times New Roman" w:hAnsi="Times New Roman" w:cs="Times New Roman"/>
          <w:color w:val="auto"/>
          <w:sz w:val="24"/>
          <w:szCs w:val="24"/>
        </w:rPr>
        <w:t>Checklist, page</w:t>
      </w:r>
      <w:r w:rsidR="006260A3">
        <w:rPr>
          <w:rStyle w:val="HTMLCite"/>
          <w:rFonts w:ascii="Times New Roman" w:hAnsi="Times New Roman" w:cs="Times New Roman"/>
          <w:color w:val="auto"/>
          <w:sz w:val="24"/>
          <w:szCs w:val="24"/>
        </w:rPr>
        <w:t>s</w:t>
      </w:r>
      <w:r w:rsidR="00E653E5">
        <w:rPr>
          <w:rStyle w:val="HTMLCite"/>
          <w:rFonts w:ascii="Times New Roman" w:hAnsi="Times New Roman" w:cs="Times New Roman"/>
          <w:color w:val="auto"/>
          <w:sz w:val="24"/>
          <w:szCs w:val="24"/>
        </w:rPr>
        <w:t xml:space="preserve"> 2</w:t>
      </w:r>
      <w:r w:rsidR="006260A3">
        <w:rPr>
          <w:rStyle w:val="HTMLCite"/>
          <w:rFonts w:ascii="Times New Roman" w:hAnsi="Times New Roman" w:cs="Times New Roman"/>
          <w:color w:val="auto"/>
          <w:sz w:val="24"/>
          <w:szCs w:val="24"/>
        </w:rPr>
        <w:t>-3</w:t>
      </w:r>
      <w:r w:rsidR="00E653E5">
        <w:rPr>
          <w:rStyle w:val="HTMLCite"/>
          <w:rFonts w:ascii="Times New Roman" w:hAnsi="Times New Roman" w:cs="Times New Roman"/>
          <w:color w:val="auto"/>
          <w:sz w:val="24"/>
          <w:szCs w:val="24"/>
        </w:rPr>
        <w:t>)</w:t>
      </w:r>
      <w:r w:rsidR="00E12251" w:rsidRPr="00A227A2">
        <w:rPr>
          <w:rFonts w:ascii="Times New Roman" w:hAnsi="Times New Roman" w:cs="Times New Roman"/>
          <w:sz w:val="24"/>
          <w:szCs w:val="24"/>
          <w:lang w:val="en"/>
        </w:rPr>
        <w:t>.</w:t>
      </w:r>
    </w:p>
    <w:p w14:paraId="56C75C0F" w14:textId="3B4B9D93" w:rsidR="00155D99" w:rsidRPr="00957E32" w:rsidRDefault="00B176DB">
      <w:pPr>
        <w:spacing w:after="0" w:line="480" w:lineRule="auto"/>
        <w:jc w:val="both"/>
        <w:rPr>
          <w:rFonts w:ascii="Times New Roman" w:hAnsi="Times New Roman" w:cs="Times New Roman"/>
          <w:sz w:val="24"/>
          <w:szCs w:val="24"/>
        </w:rPr>
      </w:pPr>
      <w:r w:rsidRPr="00957E32">
        <w:rPr>
          <w:rFonts w:ascii="Times New Roman" w:hAnsi="Times New Roman" w:cs="Times New Roman"/>
          <w:b/>
          <w:sz w:val="24"/>
          <w:szCs w:val="24"/>
        </w:rPr>
        <w:t>Study p</w:t>
      </w:r>
      <w:r w:rsidR="004B7318" w:rsidRPr="00957E32">
        <w:rPr>
          <w:rFonts w:ascii="Times New Roman" w:hAnsi="Times New Roman" w:cs="Times New Roman"/>
          <w:b/>
          <w:sz w:val="24"/>
          <w:szCs w:val="24"/>
        </w:rPr>
        <w:t>articipants</w:t>
      </w:r>
    </w:p>
    <w:p w14:paraId="2C6CB786" w14:textId="26C5EF85" w:rsidR="00504A04" w:rsidRPr="00504A04" w:rsidRDefault="00A21974" w:rsidP="001B104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w:t>
      </w:r>
      <w:r w:rsidR="008827E6" w:rsidRPr="00957E32">
        <w:rPr>
          <w:rFonts w:ascii="Times New Roman" w:hAnsi="Times New Roman" w:cs="Times New Roman"/>
          <w:sz w:val="24"/>
          <w:szCs w:val="24"/>
        </w:rPr>
        <w:t>dult</w:t>
      </w:r>
      <w:r w:rsidR="000E7DC3">
        <w:rPr>
          <w:rFonts w:ascii="Times New Roman" w:hAnsi="Times New Roman" w:cs="Times New Roman"/>
          <w:sz w:val="24"/>
          <w:szCs w:val="24"/>
        </w:rPr>
        <w:t xml:space="preserve"> </w:t>
      </w:r>
      <w:r w:rsidR="008827E6" w:rsidRPr="00957E32">
        <w:rPr>
          <w:rFonts w:ascii="Times New Roman" w:hAnsi="Times New Roman" w:cs="Times New Roman"/>
          <w:sz w:val="24"/>
          <w:szCs w:val="24"/>
        </w:rPr>
        <w:t xml:space="preserve">inpatients and outpatients presenting with suspected active TB </w:t>
      </w:r>
      <w:r w:rsidR="007B21EF" w:rsidRPr="00957E32">
        <w:rPr>
          <w:rFonts w:ascii="Times New Roman" w:hAnsi="Times New Roman" w:cs="Times New Roman"/>
          <w:sz w:val="24"/>
          <w:szCs w:val="24"/>
        </w:rPr>
        <w:t>(</w:t>
      </w:r>
      <w:r w:rsidR="005556AB">
        <w:rPr>
          <w:rFonts w:ascii="Times New Roman" w:hAnsi="Times New Roman" w:cs="Times New Roman"/>
          <w:sz w:val="24"/>
          <w:szCs w:val="24"/>
        </w:rPr>
        <w:t xml:space="preserve">based on </w:t>
      </w:r>
      <w:r w:rsidR="006609FB">
        <w:rPr>
          <w:rFonts w:ascii="Times New Roman" w:hAnsi="Times New Roman" w:cs="Times New Roman"/>
          <w:sz w:val="24"/>
          <w:szCs w:val="24"/>
        </w:rPr>
        <w:t>signs</w:t>
      </w:r>
      <w:r w:rsidR="00E86AF3">
        <w:rPr>
          <w:rFonts w:ascii="Times New Roman" w:hAnsi="Times New Roman" w:cs="Times New Roman"/>
          <w:sz w:val="24"/>
          <w:szCs w:val="24"/>
        </w:rPr>
        <w:t xml:space="preserve"> and </w:t>
      </w:r>
      <w:r w:rsidR="005556AB">
        <w:rPr>
          <w:rFonts w:ascii="Times New Roman" w:hAnsi="Times New Roman" w:cs="Times New Roman"/>
          <w:sz w:val="24"/>
          <w:szCs w:val="24"/>
        </w:rPr>
        <w:t>symptoms assessed by the attending hospital clinician</w:t>
      </w:r>
      <w:r w:rsidR="007B21EF" w:rsidRPr="00957E32">
        <w:rPr>
          <w:rFonts w:ascii="Times New Roman" w:hAnsi="Times New Roman" w:cs="Times New Roman"/>
          <w:sz w:val="24"/>
          <w:szCs w:val="24"/>
        </w:rPr>
        <w:t xml:space="preserve">) </w:t>
      </w:r>
      <w:r w:rsidR="008827E6" w:rsidRPr="00957E32">
        <w:rPr>
          <w:rFonts w:ascii="Times New Roman" w:hAnsi="Times New Roman" w:cs="Times New Roman"/>
          <w:sz w:val="24"/>
          <w:szCs w:val="24"/>
        </w:rPr>
        <w:t>were</w:t>
      </w:r>
      <w:r w:rsidR="005556AB">
        <w:rPr>
          <w:rFonts w:ascii="Times New Roman" w:hAnsi="Times New Roman" w:cs="Times New Roman"/>
          <w:sz w:val="24"/>
          <w:szCs w:val="24"/>
        </w:rPr>
        <w:t xml:space="preserve"> </w:t>
      </w:r>
      <w:r>
        <w:rPr>
          <w:rFonts w:ascii="Times New Roman" w:hAnsi="Times New Roman" w:cs="Times New Roman"/>
          <w:sz w:val="24"/>
          <w:szCs w:val="24"/>
        </w:rPr>
        <w:t xml:space="preserve">consecutively </w:t>
      </w:r>
      <w:r w:rsidR="008827E6" w:rsidRPr="00957E32">
        <w:rPr>
          <w:rFonts w:ascii="Times New Roman" w:hAnsi="Times New Roman" w:cs="Times New Roman"/>
          <w:sz w:val="24"/>
          <w:szCs w:val="24"/>
        </w:rPr>
        <w:t xml:space="preserve">enrolled from </w:t>
      </w:r>
      <w:r w:rsidR="00E810DA" w:rsidRPr="00957E32">
        <w:rPr>
          <w:rFonts w:ascii="Times New Roman" w:hAnsi="Times New Roman" w:cs="Times New Roman"/>
          <w:sz w:val="24"/>
          <w:szCs w:val="24"/>
        </w:rPr>
        <w:t>ten</w:t>
      </w:r>
      <w:r w:rsidR="008827E6" w:rsidRPr="00957E32">
        <w:rPr>
          <w:rFonts w:ascii="Times New Roman" w:hAnsi="Times New Roman" w:cs="Times New Roman"/>
          <w:sz w:val="24"/>
          <w:szCs w:val="24"/>
        </w:rPr>
        <w:t xml:space="preserve"> National Health Service (NHS) </w:t>
      </w:r>
      <w:r w:rsidR="00662F48">
        <w:rPr>
          <w:rFonts w:ascii="Times New Roman" w:hAnsi="Times New Roman" w:cs="Times New Roman"/>
          <w:sz w:val="24"/>
          <w:szCs w:val="24"/>
        </w:rPr>
        <w:t>h</w:t>
      </w:r>
      <w:r w:rsidR="008827E6" w:rsidRPr="00957E32">
        <w:rPr>
          <w:rFonts w:ascii="Times New Roman" w:hAnsi="Times New Roman" w:cs="Times New Roman"/>
          <w:sz w:val="24"/>
          <w:szCs w:val="24"/>
        </w:rPr>
        <w:t xml:space="preserve">ospitals </w:t>
      </w:r>
      <w:r w:rsidR="0031677A">
        <w:rPr>
          <w:rFonts w:ascii="Times New Roman" w:hAnsi="Times New Roman" w:cs="Times New Roman"/>
          <w:sz w:val="24"/>
          <w:szCs w:val="24"/>
        </w:rPr>
        <w:t>in</w:t>
      </w:r>
      <w:r w:rsidR="0031677A" w:rsidRPr="00957E32">
        <w:rPr>
          <w:rFonts w:ascii="Times New Roman" w:hAnsi="Times New Roman" w:cs="Times New Roman"/>
          <w:sz w:val="24"/>
          <w:szCs w:val="24"/>
        </w:rPr>
        <w:t xml:space="preserve"> </w:t>
      </w:r>
      <w:r w:rsidR="008827E6" w:rsidRPr="00957E32">
        <w:rPr>
          <w:rFonts w:ascii="Times New Roman" w:hAnsi="Times New Roman" w:cs="Times New Roman"/>
          <w:sz w:val="24"/>
          <w:szCs w:val="24"/>
        </w:rPr>
        <w:t xml:space="preserve">five </w:t>
      </w:r>
      <w:r w:rsidR="007B21EF" w:rsidRPr="00957E32">
        <w:rPr>
          <w:rFonts w:ascii="Times New Roman" w:hAnsi="Times New Roman" w:cs="Times New Roman"/>
          <w:sz w:val="24"/>
          <w:szCs w:val="24"/>
        </w:rPr>
        <w:t xml:space="preserve">UK </w:t>
      </w:r>
      <w:r w:rsidR="006E4A45" w:rsidRPr="00957E32">
        <w:rPr>
          <w:rFonts w:ascii="Times New Roman" w:hAnsi="Times New Roman" w:cs="Times New Roman"/>
          <w:sz w:val="24"/>
          <w:szCs w:val="24"/>
        </w:rPr>
        <w:t>cities (</w:t>
      </w:r>
      <w:r w:rsidR="008827E6" w:rsidRPr="00957E32">
        <w:rPr>
          <w:rFonts w:ascii="Times New Roman" w:hAnsi="Times New Roman" w:cs="Times New Roman"/>
          <w:sz w:val="24"/>
          <w:szCs w:val="24"/>
        </w:rPr>
        <w:t>London, Slough, Oxford, Leicester and Birmingham</w:t>
      </w:r>
      <w:r w:rsidR="006E4A45" w:rsidRPr="00957E32">
        <w:rPr>
          <w:rFonts w:ascii="Times New Roman" w:hAnsi="Times New Roman" w:cs="Times New Roman"/>
          <w:sz w:val="24"/>
          <w:szCs w:val="24"/>
        </w:rPr>
        <w:t>)</w:t>
      </w:r>
      <w:r w:rsidR="00E810DA" w:rsidRPr="00957E32">
        <w:rPr>
          <w:rFonts w:ascii="Times New Roman" w:hAnsi="Times New Roman" w:cs="Times New Roman"/>
          <w:sz w:val="24"/>
          <w:szCs w:val="24"/>
        </w:rPr>
        <w:t>. Patients were enrolled</w:t>
      </w:r>
      <w:r w:rsidR="006E4A45" w:rsidRPr="00957E32">
        <w:rPr>
          <w:rFonts w:ascii="Times New Roman" w:hAnsi="Times New Roman" w:cs="Times New Roman"/>
          <w:sz w:val="24"/>
          <w:szCs w:val="24"/>
        </w:rPr>
        <w:t xml:space="preserve"> </w:t>
      </w:r>
      <w:r w:rsidR="008827E6" w:rsidRPr="00957E32">
        <w:rPr>
          <w:rFonts w:ascii="Times New Roman" w:hAnsi="Times New Roman" w:cs="Times New Roman"/>
          <w:sz w:val="24"/>
          <w:szCs w:val="24"/>
        </w:rPr>
        <w:t xml:space="preserve">at </w:t>
      </w:r>
      <w:r w:rsidR="006E4A45" w:rsidRPr="00957E32">
        <w:rPr>
          <w:rFonts w:ascii="Times New Roman" w:hAnsi="Times New Roman" w:cs="Times New Roman"/>
          <w:sz w:val="24"/>
          <w:szCs w:val="24"/>
        </w:rPr>
        <w:t xml:space="preserve">presentation to </w:t>
      </w:r>
      <w:r w:rsidR="000E7DC3" w:rsidRPr="00957E32">
        <w:rPr>
          <w:rFonts w:ascii="Times New Roman" w:hAnsi="Times New Roman" w:cs="Times New Roman"/>
          <w:sz w:val="24"/>
          <w:szCs w:val="24"/>
        </w:rPr>
        <w:t xml:space="preserve">infectious disease and respiratory medicine </w:t>
      </w:r>
      <w:r w:rsidR="006E4A45" w:rsidRPr="00957E32">
        <w:rPr>
          <w:rFonts w:ascii="Times New Roman" w:hAnsi="Times New Roman" w:cs="Times New Roman"/>
          <w:sz w:val="24"/>
          <w:szCs w:val="24"/>
        </w:rPr>
        <w:t>secondary care services</w:t>
      </w:r>
      <w:r w:rsidR="008827E6" w:rsidRPr="00957E32">
        <w:rPr>
          <w:rFonts w:ascii="Times New Roman" w:hAnsi="Times New Roman" w:cs="Times New Roman"/>
          <w:sz w:val="24"/>
          <w:szCs w:val="24"/>
        </w:rPr>
        <w:t xml:space="preserve">, before a final diagnosis </w:t>
      </w:r>
      <w:r w:rsidR="00B65087">
        <w:rPr>
          <w:rFonts w:ascii="Times New Roman" w:hAnsi="Times New Roman" w:cs="Times New Roman"/>
          <w:sz w:val="24"/>
          <w:szCs w:val="24"/>
        </w:rPr>
        <w:t>was</w:t>
      </w:r>
      <w:r w:rsidR="008827E6" w:rsidRPr="00957E32">
        <w:rPr>
          <w:rFonts w:ascii="Times New Roman" w:hAnsi="Times New Roman" w:cs="Times New Roman"/>
          <w:sz w:val="24"/>
          <w:szCs w:val="24"/>
        </w:rPr>
        <w:t xml:space="preserve"> </w:t>
      </w:r>
      <w:r w:rsidR="00E86AF3">
        <w:rPr>
          <w:rFonts w:ascii="Times New Roman" w:hAnsi="Times New Roman" w:cs="Times New Roman"/>
          <w:sz w:val="24"/>
          <w:szCs w:val="24"/>
        </w:rPr>
        <w:t>made</w:t>
      </w:r>
      <w:r w:rsidR="00AE79E7">
        <w:rPr>
          <w:rFonts w:ascii="Times New Roman" w:hAnsi="Times New Roman" w:cs="Times New Roman"/>
          <w:sz w:val="24"/>
          <w:szCs w:val="24"/>
        </w:rPr>
        <w:t>,</w:t>
      </w:r>
      <w:r w:rsidR="00E810DA" w:rsidRPr="00957E32">
        <w:rPr>
          <w:rFonts w:ascii="Times New Roman" w:hAnsi="Times New Roman" w:cs="Times New Roman"/>
          <w:sz w:val="24"/>
          <w:szCs w:val="24"/>
        </w:rPr>
        <w:t xml:space="preserve"> and </w:t>
      </w:r>
      <w:r w:rsidR="007B21EF" w:rsidRPr="00957E32">
        <w:rPr>
          <w:rFonts w:ascii="Times New Roman" w:hAnsi="Times New Roman" w:cs="Times New Roman"/>
          <w:sz w:val="24"/>
          <w:szCs w:val="24"/>
        </w:rPr>
        <w:t>a wide spectrum of pre-test probabilit</w:t>
      </w:r>
      <w:r w:rsidR="00B663E8" w:rsidRPr="00957E32">
        <w:rPr>
          <w:rFonts w:ascii="Times New Roman" w:hAnsi="Times New Roman" w:cs="Times New Roman"/>
          <w:sz w:val="24"/>
          <w:szCs w:val="24"/>
        </w:rPr>
        <w:t>ies for active TB were included</w:t>
      </w:r>
      <w:r w:rsidR="007B21EF" w:rsidRPr="00957E32">
        <w:rPr>
          <w:rFonts w:ascii="Times New Roman" w:hAnsi="Times New Roman" w:cs="Times New Roman"/>
          <w:sz w:val="24"/>
          <w:szCs w:val="24"/>
        </w:rPr>
        <w:t xml:space="preserve">. </w:t>
      </w:r>
      <w:r w:rsidR="008E330E" w:rsidRPr="00957E32">
        <w:rPr>
          <w:rFonts w:ascii="Times New Roman" w:hAnsi="Times New Roman" w:cs="Times New Roman"/>
          <w:sz w:val="24"/>
          <w:szCs w:val="24"/>
        </w:rPr>
        <w:t>E</w:t>
      </w:r>
      <w:r w:rsidR="0013011B" w:rsidRPr="00957E32">
        <w:rPr>
          <w:rFonts w:ascii="Times New Roman" w:hAnsi="Times New Roman" w:cs="Times New Roman"/>
          <w:sz w:val="24"/>
          <w:szCs w:val="24"/>
        </w:rPr>
        <w:t xml:space="preserve">xclusion </w:t>
      </w:r>
      <w:r w:rsidR="009E1067" w:rsidRPr="00957E32">
        <w:rPr>
          <w:rFonts w:ascii="Times New Roman" w:hAnsi="Times New Roman" w:cs="Times New Roman"/>
          <w:sz w:val="24"/>
          <w:szCs w:val="24"/>
        </w:rPr>
        <w:t>criteria were limited</w:t>
      </w:r>
      <w:r w:rsidR="00A315AA" w:rsidRPr="00957E32">
        <w:rPr>
          <w:rFonts w:ascii="Times New Roman" w:hAnsi="Times New Roman" w:cs="Times New Roman"/>
          <w:sz w:val="24"/>
          <w:szCs w:val="24"/>
        </w:rPr>
        <w:t xml:space="preserve"> to age &lt;16y and inability</w:t>
      </w:r>
      <w:r w:rsidR="000E7DC3">
        <w:rPr>
          <w:rFonts w:ascii="Times New Roman" w:hAnsi="Times New Roman" w:cs="Times New Roman"/>
          <w:sz w:val="24"/>
          <w:szCs w:val="24"/>
        </w:rPr>
        <w:t>/</w:t>
      </w:r>
      <w:r w:rsidR="008E330E" w:rsidRPr="00957E32">
        <w:rPr>
          <w:rFonts w:ascii="Times New Roman" w:hAnsi="Times New Roman" w:cs="Times New Roman"/>
          <w:sz w:val="24"/>
          <w:szCs w:val="24"/>
        </w:rPr>
        <w:t>unwillingness to provide informed consen</w:t>
      </w:r>
      <w:r w:rsidR="007B21EF" w:rsidRPr="00957E32">
        <w:rPr>
          <w:rFonts w:ascii="Times New Roman" w:hAnsi="Times New Roman" w:cs="Times New Roman"/>
          <w:sz w:val="24"/>
          <w:szCs w:val="24"/>
        </w:rPr>
        <w:t xml:space="preserve">t. </w:t>
      </w:r>
      <w:r w:rsidR="002B1960">
        <w:rPr>
          <w:rFonts w:ascii="Times New Roman" w:hAnsi="Times New Roman" w:cs="Times New Roman"/>
          <w:sz w:val="24"/>
          <w:szCs w:val="24"/>
        </w:rPr>
        <w:t xml:space="preserve">Centres were selected to ensure the population was representative </w:t>
      </w:r>
      <w:r w:rsidR="007B21EF" w:rsidRPr="00957E32">
        <w:rPr>
          <w:rFonts w:ascii="Times New Roman" w:hAnsi="Times New Roman" w:cs="Times New Roman"/>
          <w:sz w:val="24"/>
          <w:szCs w:val="24"/>
        </w:rPr>
        <w:t>of ethnic m</w:t>
      </w:r>
      <w:r w:rsidR="006E4A45" w:rsidRPr="00957E32">
        <w:rPr>
          <w:rFonts w:ascii="Times New Roman" w:hAnsi="Times New Roman" w:cs="Times New Roman"/>
          <w:sz w:val="24"/>
          <w:szCs w:val="24"/>
        </w:rPr>
        <w:t>ix and range of co-morbidities.</w:t>
      </w:r>
      <w:r w:rsidR="004B4569" w:rsidRPr="00957E32">
        <w:rPr>
          <w:rFonts w:ascii="Times New Roman" w:hAnsi="Times New Roman" w:cs="Times New Roman"/>
          <w:sz w:val="24"/>
          <w:szCs w:val="24"/>
        </w:rPr>
        <w:t xml:space="preserve"> </w:t>
      </w:r>
    </w:p>
    <w:p w14:paraId="6DFE5548" w14:textId="0DBDFE6C" w:rsidR="002B6414" w:rsidRPr="0085245D" w:rsidRDefault="00B176DB" w:rsidP="001B1048">
      <w:pPr>
        <w:spacing w:after="0" w:line="480" w:lineRule="auto"/>
        <w:jc w:val="both"/>
        <w:rPr>
          <w:rFonts w:ascii="Times New Roman" w:hAnsi="Times New Roman" w:cs="Times New Roman"/>
          <w:b/>
          <w:sz w:val="24"/>
          <w:szCs w:val="24"/>
        </w:rPr>
      </w:pPr>
      <w:r w:rsidRPr="00957E32">
        <w:rPr>
          <w:rFonts w:ascii="Times New Roman" w:hAnsi="Times New Roman" w:cs="Times New Roman"/>
          <w:b/>
          <w:sz w:val="24"/>
          <w:szCs w:val="24"/>
        </w:rPr>
        <w:lastRenderedPageBreak/>
        <w:t xml:space="preserve">Participant </w:t>
      </w:r>
      <w:r w:rsidR="00420DF6" w:rsidRPr="00957E32">
        <w:rPr>
          <w:rFonts w:ascii="Times New Roman" w:hAnsi="Times New Roman" w:cs="Times New Roman"/>
          <w:b/>
          <w:sz w:val="24"/>
          <w:szCs w:val="24"/>
        </w:rPr>
        <w:t xml:space="preserve">enrolment and </w:t>
      </w:r>
      <w:r w:rsidRPr="00957E32">
        <w:rPr>
          <w:rFonts w:ascii="Times New Roman" w:hAnsi="Times New Roman" w:cs="Times New Roman"/>
          <w:b/>
          <w:sz w:val="24"/>
          <w:szCs w:val="24"/>
        </w:rPr>
        <w:t>follow</w:t>
      </w:r>
      <w:r w:rsidR="00B56B52">
        <w:rPr>
          <w:rFonts w:ascii="Times New Roman" w:hAnsi="Times New Roman" w:cs="Times New Roman"/>
          <w:b/>
          <w:sz w:val="24"/>
          <w:szCs w:val="24"/>
        </w:rPr>
        <w:t>-</w:t>
      </w:r>
      <w:r w:rsidRPr="00957E32">
        <w:rPr>
          <w:rFonts w:ascii="Times New Roman" w:hAnsi="Times New Roman" w:cs="Times New Roman"/>
          <w:b/>
          <w:sz w:val="24"/>
          <w:szCs w:val="24"/>
        </w:rPr>
        <w:t xml:space="preserve">up </w:t>
      </w:r>
    </w:p>
    <w:p w14:paraId="22DB0220" w14:textId="6406981E" w:rsidR="0033525D" w:rsidRPr="00957E32" w:rsidRDefault="002B6414" w:rsidP="001B104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00D9559A" w:rsidRPr="00957E32">
        <w:rPr>
          <w:rFonts w:ascii="Times New Roman" w:hAnsi="Times New Roman" w:cs="Times New Roman"/>
          <w:sz w:val="24"/>
          <w:szCs w:val="24"/>
        </w:rPr>
        <w:t xml:space="preserve">articipants </w:t>
      </w:r>
      <w:r w:rsidR="00A64D67" w:rsidRPr="00957E32">
        <w:rPr>
          <w:rFonts w:ascii="Times New Roman" w:hAnsi="Times New Roman" w:cs="Times New Roman"/>
          <w:sz w:val="24"/>
          <w:szCs w:val="24"/>
        </w:rPr>
        <w:t xml:space="preserve">were </w:t>
      </w:r>
      <w:r w:rsidR="00420DF6" w:rsidRPr="00957E32">
        <w:rPr>
          <w:rFonts w:ascii="Times New Roman" w:hAnsi="Times New Roman" w:cs="Times New Roman"/>
          <w:sz w:val="24"/>
          <w:szCs w:val="24"/>
        </w:rPr>
        <w:t xml:space="preserve">first </w:t>
      </w:r>
      <w:r w:rsidR="00A64D67" w:rsidRPr="00957E32">
        <w:rPr>
          <w:rFonts w:ascii="Times New Roman" w:hAnsi="Times New Roman" w:cs="Times New Roman"/>
          <w:sz w:val="24"/>
          <w:szCs w:val="24"/>
        </w:rPr>
        <w:t>seen by research n</w:t>
      </w:r>
      <w:r w:rsidR="00D9559A" w:rsidRPr="00957E32">
        <w:rPr>
          <w:rFonts w:ascii="Times New Roman" w:hAnsi="Times New Roman" w:cs="Times New Roman"/>
          <w:sz w:val="24"/>
          <w:szCs w:val="24"/>
        </w:rPr>
        <w:t xml:space="preserve">urses at </w:t>
      </w:r>
      <w:r w:rsidR="00A64D67" w:rsidRPr="00957E32">
        <w:rPr>
          <w:rFonts w:ascii="Times New Roman" w:hAnsi="Times New Roman" w:cs="Times New Roman"/>
          <w:sz w:val="24"/>
          <w:szCs w:val="24"/>
        </w:rPr>
        <w:t>enrolment</w:t>
      </w:r>
      <w:r w:rsidR="00420DF6" w:rsidRPr="00957E32">
        <w:rPr>
          <w:rFonts w:ascii="Times New Roman" w:hAnsi="Times New Roman" w:cs="Times New Roman"/>
          <w:sz w:val="24"/>
          <w:szCs w:val="24"/>
        </w:rPr>
        <w:t xml:space="preserve">. Following consent, a baseline blood sample </w:t>
      </w:r>
      <w:r w:rsidR="00AA5FC6">
        <w:rPr>
          <w:rFonts w:ascii="Times New Roman" w:hAnsi="Times New Roman" w:cs="Times New Roman"/>
          <w:sz w:val="24"/>
          <w:szCs w:val="24"/>
        </w:rPr>
        <w:t xml:space="preserve">was drawn </w:t>
      </w:r>
      <w:r w:rsidR="00420DF6" w:rsidRPr="00957E32">
        <w:rPr>
          <w:rFonts w:ascii="Times New Roman" w:hAnsi="Times New Roman" w:cs="Times New Roman"/>
          <w:sz w:val="24"/>
          <w:szCs w:val="24"/>
        </w:rPr>
        <w:t xml:space="preserve">and </w:t>
      </w:r>
      <w:r w:rsidR="00813A2E" w:rsidRPr="00957E32">
        <w:rPr>
          <w:rFonts w:ascii="Times New Roman" w:hAnsi="Times New Roman" w:cs="Times New Roman"/>
          <w:sz w:val="24"/>
          <w:szCs w:val="24"/>
        </w:rPr>
        <w:t xml:space="preserve">data collected </w:t>
      </w:r>
      <w:r w:rsidR="00AA0DAF" w:rsidRPr="00957E32">
        <w:rPr>
          <w:rFonts w:ascii="Times New Roman" w:hAnsi="Times New Roman" w:cs="Times New Roman"/>
          <w:sz w:val="24"/>
          <w:szCs w:val="24"/>
        </w:rPr>
        <w:t xml:space="preserve">in </w:t>
      </w:r>
      <w:r w:rsidR="00420DF6" w:rsidRPr="00957E32">
        <w:rPr>
          <w:rFonts w:ascii="Times New Roman" w:hAnsi="Times New Roman" w:cs="Times New Roman"/>
          <w:sz w:val="24"/>
          <w:szCs w:val="24"/>
        </w:rPr>
        <w:t xml:space="preserve">a </w:t>
      </w:r>
      <w:r>
        <w:rPr>
          <w:rFonts w:ascii="Times New Roman" w:hAnsi="Times New Roman" w:cs="Times New Roman"/>
          <w:sz w:val="24"/>
          <w:szCs w:val="24"/>
        </w:rPr>
        <w:t>c</w:t>
      </w:r>
      <w:r w:rsidR="00AA0DAF" w:rsidRPr="00957E32">
        <w:rPr>
          <w:rFonts w:ascii="Times New Roman" w:hAnsi="Times New Roman" w:cs="Times New Roman"/>
          <w:sz w:val="24"/>
          <w:szCs w:val="24"/>
        </w:rPr>
        <w:t xml:space="preserve">ase </w:t>
      </w:r>
      <w:r>
        <w:rPr>
          <w:rFonts w:ascii="Times New Roman" w:hAnsi="Times New Roman" w:cs="Times New Roman"/>
          <w:sz w:val="24"/>
          <w:szCs w:val="24"/>
        </w:rPr>
        <w:t>r</w:t>
      </w:r>
      <w:r w:rsidR="00AA0DAF" w:rsidRPr="00957E32">
        <w:rPr>
          <w:rFonts w:ascii="Times New Roman" w:hAnsi="Times New Roman" w:cs="Times New Roman"/>
          <w:sz w:val="24"/>
          <w:szCs w:val="24"/>
        </w:rPr>
        <w:t xml:space="preserve">eport </w:t>
      </w:r>
      <w:r>
        <w:rPr>
          <w:rFonts w:ascii="Times New Roman" w:hAnsi="Times New Roman" w:cs="Times New Roman"/>
          <w:sz w:val="24"/>
          <w:szCs w:val="24"/>
        </w:rPr>
        <w:t>f</w:t>
      </w:r>
      <w:r w:rsidR="00AA0DAF" w:rsidRPr="00957E32">
        <w:rPr>
          <w:rFonts w:ascii="Times New Roman" w:hAnsi="Times New Roman" w:cs="Times New Roman"/>
          <w:sz w:val="24"/>
          <w:szCs w:val="24"/>
        </w:rPr>
        <w:t xml:space="preserve">orm </w:t>
      </w:r>
      <w:r w:rsidR="00813A2E" w:rsidRPr="00957E32">
        <w:rPr>
          <w:rFonts w:ascii="Times New Roman" w:hAnsi="Times New Roman" w:cs="Times New Roman"/>
          <w:sz w:val="24"/>
          <w:szCs w:val="24"/>
        </w:rPr>
        <w:t xml:space="preserve">on the </w:t>
      </w:r>
      <w:r w:rsidR="00226F7B" w:rsidRPr="00957E32">
        <w:rPr>
          <w:rFonts w:ascii="Times New Roman" w:hAnsi="Times New Roman" w:cs="Times New Roman"/>
          <w:sz w:val="24"/>
          <w:szCs w:val="24"/>
        </w:rPr>
        <w:t>demographics and medical history</w:t>
      </w:r>
      <w:r w:rsidR="00AA5FC6">
        <w:rPr>
          <w:rFonts w:ascii="Times New Roman" w:hAnsi="Times New Roman" w:cs="Times New Roman"/>
          <w:sz w:val="24"/>
          <w:szCs w:val="24"/>
        </w:rPr>
        <w:t xml:space="preserve"> of the participant</w:t>
      </w:r>
      <w:r w:rsidR="00226F7B" w:rsidRPr="00957E32">
        <w:rPr>
          <w:rFonts w:ascii="Times New Roman" w:hAnsi="Times New Roman" w:cs="Times New Roman"/>
          <w:sz w:val="24"/>
          <w:szCs w:val="24"/>
        </w:rPr>
        <w:t xml:space="preserve">, </w:t>
      </w:r>
      <w:r w:rsidR="00420DF6" w:rsidRPr="00957E32">
        <w:rPr>
          <w:rFonts w:ascii="Times New Roman" w:hAnsi="Times New Roman" w:cs="Times New Roman"/>
          <w:sz w:val="24"/>
          <w:szCs w:val="24"/>
        </w:rPr>
        <w:t xml:space="preserve">and </w:t>
      </w:r>
      <w:r w:rsidR="00AA5FC6">
        <w:rPr>
          <w:rFonts w:ascii="Times New Roman" w:hAnsi="Times New Roman" w:cs="Times New Roman"/>
          <w:sz w:val="24"/>
          <w:szCs w:val="24"/>
        </w:rPr>
        <w:t>i</w:t>
      </w:r>
      <w:r w:rsidR="00E86AF3">
        <w:rPr>
          <w:rFonts w:ascii="Times New Roman" w:hAnsi="Times New Roman" w:cs="Times New Roman"/>
          <w:sz w:val="24"/>
          <w:szCs w:val="24"/>
        </w:rPr>
        <w:t>nvestigations</w:t>
      </w:r>
      <w:r w:rsidR="00E86AF3" w:rsidRPr="00957E32">
        <w:rPr>
          <w:rFonts w:ascii="Times New Roman" w:hAnsi="Times New Roman" w:cs="Times New Roman"/>
          <w:sz w:val="24"/>
          <w:szCs w:val="24"/>
        </w:rPr>
        <w:t xml:space="preserve"> </w:t>
      </w:r>
      <w:r w:rsidR="00AA5FC6">
        <w:rPr>
          <w:rFonts w:ascii="Times New Roman" w:hAnsi="Times New Roman" w:cs="Times New Roman"/>
          <w:sz w:val="24"/>
          <w:szCs w:val="24"/>
        </w:rPr>
        <w:t>performed</w:t>
      </w:r>
      <w:r w:rsidR="00D72A3B" w:rsidRPr="00957E32">
        <w:rPr>
          <w:rFonts w:ascii="Times New Roman" w:hAnsi="Times New Roman" w:cs="Times New Roman"/>
          <w:sz w:val="24"/>
          <w:szCs w:val="24"/>
        </w:rPr>
        <w:t xml:space="preserve"> </w:t>
      </w:r>
      <w:r w:rsidR="00D72A3B">
        <w:rPr>
          <w:rFonts w:ascii="Times New Roman" w:hAnsi="Times New Roman" w:cs="Times New Roman"/>
          <w:sz w:val="24"/>
          <w:szCs w:val="24"/>
        </w:rPr>
        <w:t>in</w:t>
      </w:r>
      <w:r w:rsidR="00226F7B" w:rsidRPr="00957E32">
        <w:rPr>
          <w:rFonts w:ascii="Times New Roman" w:hAnsi="Times New Roman" w:cs="Times New Roman"/>
          <w:sz w:val="24"/>
          <w:szCs w:val="24"/>
        </w:rPr>
        <w:t xml:space="preserve"> their </w:t>
      </w:r>
      <w:r w:rsidR="00E86AF3">
        <w:rPr>
          <w:rFonts w:ascii="Times New Roman" w:hAnsi="Times New Roman" w:cs="Times New Roman"/>
          <w:sz w:val="24"/>
          <w:szCs w:val="24"/>
        </w:rPr>
        <w:t xml:space="preserve">routine </w:t>
      </w:r>
      <w:r w:rsidR="00226F7B" w:rsidRPr="00957E32">
        <w:rPr>
          <w:rFonts w:ascii="Times New Roman" w:hAnsi="Times New Roman" w:cs="Times New Roman"/>
          <w:sz w:val="24"/>
          <w:szCs w:val="24"/>
        </w:rPr>
        <w:t>diagnostic work</w:t>
      </w:r>
      <w:r w:rsidR="00B65087">
        <w:rPr>
          <w:rFonts w:ascii="Times New Roman" w:hAnsi="Times New Roman" w:cs="Times New Roman"/>
          <w:sz w:val="24"/>
          <w:szCs w:val="24"/>
        </w:rPr>
        <w:t>-</w:t>
      </w:r>
      <w:r w:rsidR="00226F7B" w:rsidRPr="00957E32">
        <w:rPr>
          <w:rFonts w:ascii="Times New Roman" w:hAnsi="Times New Roman" w:cs="Times New Roman"/>
          <w:sz w:val="24"/>
          <w:szCs w:val="24"/>
        </w:rPr>
        <w:t>up</w:t>
      </w:r>
      <w:r w:rsidR="00420DF6" w:rsidRPr="00957E32">
        <w:rPr>
          <w:rFonts w:ascii="Times New Roman" w:hAnsi="Times New Roman" w:cs="Times New Roman"/>
          <w:sz w:val="24"/>
          <w:szCs w:val="24"/>
        </w:rPr>
        <w:t>. Participants were followed up</w:t>
      </w:r>
      <w:r w:rsidR="00813A2E" w:rsidRPr="00957E32">
        <w:rPr>
          <w:rFonts w:ascii="Times New Roman" w:hAnsi="Times New Roman" w:cs="Times New Roman"/>
          <w:sz w:val="24"/>
          <w:szCs w:val="24"/>
        </w:rPr>
        <w:t xml:space="preserve"> </w:t>
      </w:r>
      <w:r w:rsidR="00420DF6" w:rsidRPr="00957E32">
        <w:rPr>
          <w:rFonts w:ascii="Times New Roman" w:hAnsi="Times New Roman" w:cs="Times New Roman"/>
          <w:sz w:val="24"/>
          <w:szCs w:val="24"/>
        </w:rPr>
        <w:t xml:space="preserve">two and six months thereafter with data collected </w:t>
      </w:r>
      <w:r w:rsidR="00E86AF3">
        <w:rPr>
          <w:rFonts w:ascii="Times New Roman" w:hAnsi="Times New Roman" w:cs="Times New Roman"/>
          <w:sz w:val="24"/>
          <w:szCs w:val="24"/>
        </w:rPr>
        <w:t xml:space="preserve">on any </w:t>
      </w:r>
      <w:r w:rsidR="00F80FC7">
        <w:rPr>
          <w:rFonts w:ascii="Times New Roman" w:hAnsi="Times New Roman" w:cs="Times New Roman"/>
          <w:sz w:val="24"/>
          <w:szCs w:val="24"/>
        </w:rPr>
        <w:t xml:space="preserve">subsequent </w:t>
      </w:r>
      <w:r w:rsidR="00E86AF3">
        <w:rPr>
          <w:rFonts w:ascii="Times New Roman" w:hAnsi="Times New Roman" w:cs="Times New Roman"/>
          <w:sz w:val="24"/>
          <w:szCs w:val="24"/>
        </w:rPr>
        <w:t>investigations, test results</w:t>
      </w:r>
      <w:r w:rsidR="001265BE">
        <w:rPr>
          <w:rFonts w:ascii="Times New Roman" w:hAnsi="Times New Roman" w:cs="Times New Roman"/>
          <w:sz w:val="24"/>
          <w:szCs w:val="24"/>
        </w:rPr>
        <w:t xml:space="preserve"> and clinical diagnoses</w:t>
      </w:r>
      <w:r w:rsidR="00AE79E7">
        <w:rPr>
          <w:rFonts w:ascii="Times New Roman" w:hAnsi="Times New Roman" w:cs="Times New Roman"/>
          <w:sz w:val="24"/>
          <w:szCs w:val="24"/>
        </w:rPr>
        <w:t>,</w:t>
      </w:r>
      <w:r w:rsidR="00813A2E" w:rsidRPr="00957E32">
        <w:rPr>
          <w:rFonts w:ascii="Times New Roman" w:hAnsi="Times New Roman" w:cs="Times New Roman"/>
          <w:sz w:val="24"/>
          <w:szCs w:val="24"/>
        </w:rPr>
        <w:t xml:space="preserve"> </w:t>
      </w:r>
      <w:r w:rsidR="001265BE">
        <w:rPr>
          <w:rFonts w:ascii="Times New Roman" w:hAnsi="Times New Roman" w:cs="Times New Roman"/>
          <w:sz w:val="24"/>
          <w:szCs w:val="24"/>
        </w:rPr>
        <w:t>and</w:t>
      </w:r>
      <w:r w:rsidR="0014305B" w:rsidRPr="00957E32">
        <w:rPr>
          <w:rFonts w:ascii="Times New Roman" w:hAnsi="Times New Roman" w:cs="Times New Roman"/>
          <w:sz w:val="24"/>
          <w:szCs w:val="24"/>
        </w:rPr>
        <w:t xml:space="preserve"> response to</w:t>
      </w:r>
      <w:r w:rsidR="00FF1B5D" w:rsidRPr="00957E32">
        <w:rPr>
          <w:rFonts w:ascii="Times New Roman" w:hAnsi="Times New Roman" w:cs="Times New Roman"/>
          <w:sz w:val="24"/>
          <w:szCs w:val="24"/>
        </w:rPr>
        <w:t xml:space="preserve"> TB</w:t>
      </w:r>
      <w:r w:rsidR="0014305B" w:rsidRPr="00957E32">
        <w:rPr>
          <w:rFonts w:ascii="Times New Roman" w:hAnsi="Times New Roman" w:cs="Times New Roman"/>
          <w:sz w:val="24"/>
          <w:szCs w:val="24"/>
        </w:rPr>
        <w:t xml:space="preserve"> treatment</w:t>
      </w:r>
      <w:r w:rsidR="001265BE">
        <w:rPr>
          <w:rFonts w:ascii="Times New Roman" w:hAnsi="Times New Roman" w:cs="Times New Roman"/>
          <w:sz w:val="24"/>
          <w:szCs w:val="24"/>
        </w:rPr>
        <w:t xml:space="preserve"> if initiated</w:t>
      </w:r>
      <w:r w:rsidR="0014305B" w:rsidRPr="00957E32">
        <w:rPr>
          <w:rFonts w:ascii="Times New Roman" w:hAnsi="Times New Roman" w:cs="Times New Roman"/>
          <w:sz w:val="24"/>
          <w:szCs w:val="24"/>
        </w:rPr>
        <w:t>.</w:t>
      </w:r>
      <w:r w:rsidR="00D9559A" w:rsidRPr="00957E32">
        <w:rPr>
          <w:rFonts w:ascii="Times New Roman" w:hAnsi="Times New Roman" w:cs="Times New Roman"/>
          <w:sz w:val="24"/>
          <w:szCs w:val="24"/>
        </w:rPr>
        <w:t xml:space="preserve"> </w:t>
      </w:r>
      <w:r w:rsidR="00B176DB" w:rsidRPr="00957E32">
        <w:rPr>
          <w:rFonts w:ascii="Times New Roman" w:hAnsi="Times New Roman" w:cs="Times New Roman"/>
          <w:sz w:val="24"/>
          <w:szCs w:val="24"/>
        </w:rPr>
        <w:t xml:space="preserve">Patients </w:t>
      </w:r>
      <w:r w:rsidR="000559D0">
        <w:rPr>
          <w:rFonts w:ascii="Times New Roman" w:hAnsi="Times New Roman" w:cs="Times New Roman"/>
          <w:sz w:val="24"/>
          <w:szCs w:val="24"/>
        </w:rPr>
        <w:t xml:space="preserve">with a definitive non-TB diagnosis who were discharged from routine care </w:t>
      </w:r>
      <w:r w:rsidR="00B176DB" w:rsidRPr="00957E32">
        <w:rPr>
          <w:rFonts w:ascii="Times New Roman" w:hAnsi="Times New Roman" w:cs="Times New Roman"/>
          <w:sz w:val="24"/>
          <w:szCs w:val="24"/>
        </w:rPr>
        <w:t>were not required to attend follow</w:t>
      </w:r>
      <w:r w:rsidR="006017FE">
        <w:rPr>
          <w:rFonts w:ascii="Times New Roman" w:hAnsi="Times New Roman" w:cs="Times New Roman"/>
          <w:sz w:val="24"/>
          <w:szCs w:val="24"/>
        </w:rPr>
        <w:t>-</w:t>
      </w:r>
      <w:r w:rsidR="00B176DB" w:rsidRPr="00957E32">
        <w:rPr>
          <w:rFonts w:ascii="Times New Roman" w:hAnsi="Times New Roman" w:cs="Times New Roman"/>
          <w:sz w:val="24"/>
          <w:szCs w:val="24"/>
        </w:rPr>
        <w:t>up visits</w:t>
      </w:r>
      <w:r w:rsidR="00A21974">
        <w:rPr>
          <w:rFonts w:ascii="Times New Roman" w:hAnsi="Times New Roman" w:cs="Times New Roman"/>
          <w:sz w:val="24"/>
          <w:szCs w:val="24"/>
        </w:rPr>
        <w:t xml:space="preserve"> but</w:t>
      </w:r>
      <w:r w:rsidR="00586AC1">
        <w:rPr>
          <w:rFonts w:ascii="Times New Roman" w:hAnsi="Times New Roman" w:cs="Times New Roman"/>
          <w:sz w:val="24"/>
          <w:szCs w:val="24"/>
        </w:rPr>
        <w:t>,</w:t>
      </w:r>
      <w:r w:rsidR="00A21974">
        <w:rPr>
          <w:rFonts w:ascii="Times New Roman" w:hAnsi="Times New Roman" w:cs="Times New Roman"/>
          <w:sz w:val="24"/>
          <w:szCs w:val="24"/>
        </w:rPr>
        <w:t xml:space="preserve"> w</w:t>
      </w:r>
      <w:r w:rsidR="00D9559A" w:rsidRPr="00957E32">
        <w:rPr>
          <w:rFonts w:ascii="Times New Roman" w:hAnsi="Times New Roman" w:cs="Times New Roman"/>
          <w:sz w:val="24"/>
          <w:szCs w:val="24"/>
        </w:rPr>
        <w:t>here necessary</w:t>
      </w:r>
      <w:r w:rsidR="00B176DB" w:rsidRPr="00957E32">
        <w:rPr>
          <w:rFonts w:ascii="Times New Roman" w:hAnsi="Times New Roman" w:cs="Times New Roman"/>
          <w:sz w:val="24"/>
          <w:szCs w:val="24"/>
        </w:rPr>
        <w:t>,</w:t>
      </w:r>
      <w:r w:rsidR="00D9559A" w:rsidRPr="00957E32">
        <w:rPr>
          <w:rFonts w:ascii="Times New Roman" w:hAnsi="Times New Roman" w:cs="Times New Roman"/>
          <w:sz w:val="24"/>
          <w:szCs w:val="24"/>
        </w:rPr>
        <w:t xml:space="preserve"> data w</w:t>
      </w:r>
      <w:r w:rsidR="000559D0">
        <w:rPr>
          <w:rFonts w:ascii="Times New Roman" w:hAnsi="Times New Roman" w:cs="Times New Roman"/>
          <w:sz w:val="24"/>
          <w:szCs w:val="24"/>
        </w:rPr>
        <w:t>ere</w:t>
      </w:r>
      <w:r w:rsidR="00D9559A" w:rsidRPr="00957E32">
        <w:rPr>
          <w:rFonts w:ascii="Times New Roman" w:hAnsi="Times New Roman" w:cs="Times New Roman"/>
          <w:sz w:val="24"/>
          <w:szCs w:val="24"/>
        </w:rPr>
        <w:t xml:space="preserve"> collected </w:t>
      </w:r>
      <w:r w:rsidR="00B176DB" w:rsidRPr="00957E32">
        <w:rPr>
          <w:rFonts w:ascii="Times New Roman" w:hAnsi="Times New Roman" w:cs="Times New Roman"/>
          <w:sz w:val="24"/>
          <w:szCs w:val="24"/>
        </w:rPr>
        <w:t xml:space="preserve">from hospital records </w:t>
      </w:r>
      <w:r w:rsidR="00D9559A" w:rsidRPr="00957E32">
        <w:rPr>
          <w:rFonts w:ascii="Times New Roman" w:hAnsi="Times New Roman" w:cs="Times New Roman"/>
          <w:sz w:val="24"/>
          <w:szCs w:val="24"/>
        </w:rPr>
        <w:t xml:space="preserve">up to 12 months after enrolment to </w:t>
      </w:r>
      <w:r w:rsidR="000559D0">
        <w:rPr>
          <w:rFonts w:ascii="Times New Roman" w:hAnsi="Times New Roman" w:cs="Times New Roman"/>
          <w:sz w:val="24"/>
          <w:szCs w:val="24"/>
        </w:rPr>
        <w:t>identify</w:t>
      </w:r>
      <w:r w:rsidR="000559D0" w:rsidRPr="00957E32">
        <w:rPr>
          <w:rFonts w:ascii="Times New Roman" w:hAnsi="Times New Roman" w:cs="Times New Roman"/>
          <w:sz w:val="24"/>
          <w:szCs w:val="24"/>
        </w:rPr>
        <w:t xml:space="preserve"> </w:t>
      </w:r>
      <w:r w:rsidR="00D9559A" w:rsidRPr="00957E32">
        <w:rPr>
          <w:rFonts w:ascii="Times New Roman" w:hAnsi="Times New Roman" w:cs="Times New Roman"/>
          <w:sz w:val="24"/>
          <w:szCs w:val="24"/>
        </w:rPr>
        <w:t>final diagnoses</w:t>
      </w:r>
      <w:r w:rsidR="00074A3E">
        <w:rPr>
          <w:rFonts w:ascii="Times New Roman" w:hAnsi="Times New Roman" w:cs="Times New Roman"/>
          <w:sz w:val="24"/>
          <w:szCs w:val="24"/>
        </w:rPr>
        <w:t xml:space="preserve"> made by hospital clinicians</w:t>
      </w:r>
      <w:r w:rsidR="00D9559A" w:rsidRPr="00957E32">
        <w:rPr>
          <w:rFonts w:ascii="Times New Roman" w:hAnsi="Times New Roman" w:cs="Times New Roman"/>
          <w:sz w:val="24"/>
          <w:szCs w:val="24"/>
        </w:rPr>
        <w:t>.</w:t>
      </w:r>
    </w:p>
    <w:p w14:paraId="3E72F8F2" w14:textId="270813B7" w:rsidR="00B176DB" w:rsidRPr="00957E32" w:rsidRDefault="00787896">
      <w:pPr>
        <w:spacing w:after="0" w:line="480" w:lineRule="auto"/>
        <w:jc w:val="both"/>
        <w:rPr>
          <w:rFonts w:ascii="Times New Roman" w:hAnsi="Times New Roman" w:cs="Times New Roman"/>
          <w:b/>
          <w:sz w:val="24"/>
          <w:szCs w:val="24"/>
        </w:rPr>
      </w:pPr>
      <w:r w:rsidRPr="00957E32">
        <w:rPr>
          <w:rFonts w:ascii="Times New Roman" w:hAnsi="Times New Roman" w:cs="Times New Roman"/>
          <w:b/>
          <w:sz w:val="24"/>
          <w:szCs w:val="24"/>
        </w:rPr>
        <w:t xml:space="preserve">Diagnosis and diagnostic </w:t>
      </w:r>
      <w:r w:rsidR="00B176DB" w:rsidRPr="00957E32">
        <w:rPr>
          <w:rFonts w:ascii="Times New Roman" w:hAnsi="Times New Roman" w:cs="Times New Roman"/>
          <w:b/>
          <w:sz w:val="24"/>
          <w:szCs w:val="24"/>
        </w:rPr>
        <w:t xml:space="preserve">categorisation </w:t>
      </w:r>
    </w:p>
    <w:p w14:paraId="6F107FAA" w14:textId="1F3100D8" w:rsidR="0033525D" w:rsidRPr="00504A04" w:rsidRDefault="00A64D67" w:rsidP="001B1048">
      <w:pPr>
        <w:spacing w:after="0" w:line="480" w:lineRule="auto"/>
        <w:jc w:val="both"/>
        <w:rPr>
          <w:rFonts w:ascii="Times New Roman" w:hAnsi="Times New Roman" w:cs="Times New Roman"/>
          <w:sz w:val="24"/>
          <w:szCs w:val="24"/>
        </w:rPr>
      </w:pPr>
      <w:r w:rsidRPr="00957E32">
        <w:rPr>
          <w:rFonts w:ascii="Times New Roman" w:hAnsi="Times New Roman" w:cs="Times New Roman"/>
          <w:sz w:val="24"/>
          <w:szCs w:val="24"/>
        </w:rPr>
        <w:t xml:space="preserve">Participants were investigated in routine practice under the direction </w:t>
      </w:r>
      <w:r w:rsidR="002B1960">
        <w:rPr>
          <w:rFonts w:ascii="Times New Roman" w:hAnsi="Times New Roman" w:cs="Times New Roman"/>
          <w:sz w:val="24"/>
          <w:szCs w:val="24"/>
        </w:rPr>
        <w:t xml:space="preserve">of the infectious disease or respiratory medicine attending physician. </w:t>
      </w:r>
      <w:r w:rsidR="0072123C">
        <w:rPr>
          <w:rFonts w:ascii="Times New Roman" w:hAnsi="Times New Roman" w:cs="Times New Roman"/>
          <w:sz w:val="24"/>
          <w:szCs w:val="24"/>
        </w:rPr>
        <w:t>After completion of follow-up in this routine hospital setting, participants’ f</w:t>
      </w:r>
      <w:r w:rsidRPr="00957E32">
        <w:rPr>
          <w:rFonts w:ascii="Times New Roman" w:hAnsi="Times New Roman" w:cs="Times New Roman"/>
          <w:sz w:val="24"/>
          <w:szCs w:val="24"/>
        </w:rPr>
        <w:t>inal diagnose</w:t>
      </w:r>
      <w:r w:rsidR="00B176DB" w:rsidRPr="00957E32">
        <w:rPr>
          <w:rFonts w:ascii="Times New Roman" w:hAnsi="Times New Roman" w:cs="Times New Roman"/>
          <w:sz w:val="24"/>
          <w:szCs w:val="24"/>
        </w:rPr>
        <w:t xml:space="preserve">s </w:t>
      </w:r>
      <w:r w:rsidRPr="00957E32">
        <w:rPr>
          <w:rFonts w:ascii="Times New Roman" w:hAnsi="Times New Roman" w:cs="Times New Roman"/>
          <w:sz w:val="24"/>
          <w:szCs w:val="24"/>
        </w:rPr>
        <w:t>were</w:t>
      </w:r>
      <w:r w:rsidR="00B176DB" w:rsidRPr="00957E32">
        <w:rPr>
          <w:rFonts w:ascii="Times New Roman" w:hAnsi="Times New Roman" w:cs="Times New Roman"/>
          <w:sz w:val="24"/>
          <w:szCs w:val="24"/>
        </w:rPr>
        <w:t xml:space="preserve"> verified using</w:t>
      </w:r>
      <w:r w:rsidR="00A315AA" w:rsidRPr="00957E32">
        <w:rPr>
          <w:rFonts w:ascii="Times New Roman" w:hAnsi="Times New Roman" w:cs="Times New Roman"/>
          <w:sz w:val="24"/>
          <w:szCs w:val="24"/>
        </w:rPr>
        <w:t xml:space="preserve"> </w:t>
      </w:r>
      <w:r w:rsidR="0031677A">
        <w:rPr>
          <w:rFonts w:ascii="Times New Roman" w:hAnsi="Times New Roman" w:cs="Times New Roman"/>
          <w:sz w:val="24"/>
          <w:szCs w:val="24"/>
        </w:rPr>
        <w:t>a</w:t>
      </w:r>
      <w:r w:rsidRPr="00957E32">
        <w:rPr>
          <w:rFonts w:ascii="Times New Roman" w:hAnsi="Times New Roman" w:cs="Times New Roman"/>
          <w:sz w:val="24"/>
          <w:szCs w:val="24"/>
        </w:rPr>
        <w:t xml:space="preserve"> </w:t>
      </w:r>
      <w:r w:rsidR="00B176DB" w:rsidRPr="00957E32">
        <w:rPr>
          <w:rFonts w:ascii="Times New Roman" w:hAnsi="Times New Roman" w:cs="Times New Roman"/>
          <w:sz w:val="24"/>
          <w:szCs w:val="24"/>
        </w:rPr>
        <w:t>composite reference standard</w:t>
      </w:r>
      <w:r w:rsidR="0033525D">
        <w:rPr>
          <w:rFonts w:ascii="Times New Roman" w:hAnsi="Times New Roman" w:cs="Times New Roman"/>
          <w:sz w:val="24"/>
          <w:szCs w:val="24"/>
          <w:vertAlign w:val="superscript"/>
        </w:rPr>
        <w:t>1</w:t>
      </w:r>
      <w:r w:rsidR="00B176DB" w:rsidRPr="00957E32">
        <w:rPr>
          <w:rFonts w:ascii="Times New Roman" w:hAnsi="Times New Roman" w:cs="Times New Roman"/>
          <w:sz w:val="24"/>
          <w:szCs w:val="24"/>
        </w:rPr>
        <w:t xml:space="preserve"> by a panel of </w:t>
      </w:r>
      <w:r w:rsidR="00AA5FC6">
        <w:rPr>
          <w:rFonts w:ascii="Times New Roman" w:hAnsi="Times New Roman" w:cs="Times New Roman"/>
          <w:sz w:val="24"/>
          <w:szCs w:val="24"/>
        </w:rPr>
        <w:t>≥4</w:t>
      </w:r>
      <w:r w:rsidR="00A12E70">
        <w:rPr>
          <w:rFonts w:ascii="Times New Roman" w:hAnsi="Times New Roman" w:cs="Times New Roman"/>
          <w:sz w:val="24"/>
          <w:szCs w:val="24"/>
        </w:rPr>
        <w:t xml:space="preserve"> </w:t>
      </w:r>
      <w:r w:rsidR="007B235D" w:rsidRPr="00957E32">
        <w:rPr>
          <w:rFonts w:ascii="Times New Roman" w:hAnsi="Times New Roman" w:cs="Times New Roman"/>
          <w:sz w:val="24"/>
          <w:szCs w:val="24"/>
        </w:rPr>
        <w:t xml:space="preserve">respiratory medicine and infectious disease </w:t>
      </w:r>
      <w:r w:rsidR="00B176DB" w:rsidRPr="00957E32">
        <w:rPr>
          <w:rFonts w:ascii="Times New Roman" w:hAnsi="Times New Roman" w:cs="Times New Roman"/>
          <w:sz w:val="24"/>
          <w:szCs w:val="24"/>
        </w:rPr>
        <w:t xml:space="preserve">clinicians </w:t>
      </w:r>
      <w:r w:rsidRPr="00957E32">
        <w:rPr>
          <w:rFonts w:ascii="Times New Roman" w:hAnsi="Times New Roman" w:cs="Times New Roman"/>
          <w:sz w:val="24"/>
          <w:szCs w:val="24"/>
        </w:rPr>
        <w:t>specialising in</w:t>
      </w:r>
      <w:r w:rsidR="007B235D">
        <w:rPr>
          <w:rFonts w:ascii="Times New Roman" w:hAnsi="Times New Roman" w:cs="Times New Roman"/>
          <w:sz w:val="24"/>
          <w:szCs w:val="24"/>
        </w:rPr>
        <w:t xml:space="preserve"> TB</w:t>
      </w:r>
      <w:r w:rsidR="00787896" w:rsidRPr="00957E32">
        <w:rPr>
          <w:rFonts w:ascii="Times New Roman" w:hAnsi="Times New Roman" w:cs="Times New Roman"/>
          <w:sz w:val="24"/>
          <w:szCs w:val="24"/>
        </w:rPr>
        <w:t>.</w:t>
      </w:r>
      <w:r w:rsidR="00977405">
        <w:rPr>
          <w:rFonts w:ascii="Times New Roman" w:hAnsi="Times New Roman" w:cs="Times New Roman"/>
          <w:sz w:val="24"/>
          <w:szCs w:val="24"/>
        </w:rPr>
        <w:t xml:space="preserve"> </w:t>
      </w:r>
      <w:r w:rsidR="00787896" w:rsidRPr="00957E32">
        <w:rPr>
          <w:rFonts w:ascii="Times New Roman" w:hAnsi="Times New Roman" w:cs="Times New Roman"/>
          <w:sz w:val="24"/>
          <w:szCs w:val="24"/>
        </w:rPr>
        <w:t xml:space="preserve">The </w:t>
      </w:r>
      <w:r w:rsidR="00B176DB" w:rsidRPr="00957E32">
        <w:rPr>
          <w:rFonts w:ascii="Times New Roman" w:hAnsi="Times New Roman" w:cs="Times New Roman"/>
          <w:sz w:val="24"/>
          <w:szCs w:val="24"/>
        </w:rPr>
        <w:t>panel assess</w:t>
      </w:r>
      <w:r w:rsidR="00787896" w:rsidRPr="00957E32">
        <w:rPr>
          <w:rFonts w:ascii="Times New Roman" w:hAnsi="Times New Roman" w:cs="Times New Roman"/>
          <w:sz w:val="24"/>
          <w:szCs w:val="24"/>
        </w:rPr>
        <w:t>ed</w:t>
      </w:r>
      <w:r w:rsidR="00B176DB" w:rsidRPr="00957E32">
        <w:rPr>
          <w:rFonts w:ascii="Times New Roman" w:hAnsi="Times New Roman" w:cs="Times New Roman"/>
          <w:sz w:val="24"/>
          <w:szCs w:val="24"/>
        </w:rPr>
        <w:t xml:space="preserve"> anonymised clinical data </w:t>
      </w:r>
      <w:r w:rsidR="00347C15" w:rsidRPr="00957E32">
        <w:rPr>
          <w:rFonts w:ascii="Times New Roman" w:hAnsi="Times New Roman" w:cs="Times New Roman"/>
          <w:sz w:val="24"/>
          <w:szCs w:val="24"/>
        </w:rPr>
        <w:t xml:space="preserve">(patient demographics, medical history, TB symptoms, previous TB information, TB exposure history, current medication, </w:t>
      </w:r>
      <w:r w:rsidR="0033525D">
        <w:rPr>
          <w:rFonts w:ascii="Times New Roman" w:hAnsi="Times New Roman" w:cs="Times New Roman"/>
          <w:sz w:val="24"/>
          <w:szCs w:val="24"/>
        </w:rPr>
        <w:t>human immunodeficiency virus (</w:t>
      </w:r>
      <w:r w:rsidR="00347C15" w:rsidRPr="00957E32">
        <w:rPr>
          <w:rFonts w:ascii="Times New Roman" w:hAnsi="Times New Roman" w:cs="Times New Roman"/>
          <w:sz w:val="24"/>
          <w:szCs w:val="24"/>
        </w:rPr>
        <w:t>HIV</w:t>
      </w:r>
      <w:r w:rsidR="0033525D">
        <w:rPr>
          <w:rFonts w:ascii="Times New Roman" w:hAnsi="Times New Roman" w:cs="Times New Roman"/>
          <w:sz w:val="24"/>
          <w:szCs w:val="24"/>
        </w:rPr>
        <w:t>)</w:t>
      </w:r>
      <w:r w:rsidR="00347C15" w:rsidRPr="00957E32">
        <w:rPr>
          <w:rFonts w:ascii="Times New Roman" w:hAnsi="Times New Roman" w:cs="Times New Roman"/>
          <w:sz w:val="24"/>
          <w:szCs w:val="24"/>
        </w:rPr>
        <w:t xml:space="preserve"> status, relevant clinical correspondence, test results during diagnosis and follow</w:t>
      </w:r>
      <w:r w:rsidR="00AA5FC6">
        <w:rPr>
          <w:rFonts w:ascii="Times New Roman" w:hAnsi="Times New Roman" w:cs="Times New Roman"/>
          <w:sz w:val="24"/>
          <w:szCs w:val="24"/>
        </w:rPr>
        <w:t>-</w:t>
      </w:r>
      <w:r w:rsidR="00347C15" w:rsidRPr="00957E32">
        <w:rPr>
          <w:rFonts w:ascii="Times New Roman" w:hAnsi="Times New Roman" w:cs="Times New Roman"/>
          <w:sz w:val="24"/>
          <w:szCs w:val="24"/>
        </w:rPr>
        <w:t>up, and any other relevant clini</w:t>
      </w:r>
      <w:r w:rsidR="00FD7147" w:rsidRPr="00957E32">
        <w:rPr>
          <w:rFonts w:ascii="Times New Roman" w:hAnsi="Times New Roman" w:cs="Times New Roman"/>
          <w:sz w:val="24"/>
          <w:szCs w:val="24"/>
        </w:rPr>
        <w:t>cal information</w:t>
      </w:r>
      <w:r w:rsidR="00347C15" w:rsidRPr="00957E32">
        <w:rPr>
          <w:rFonts w:ascii="Times New Roman" w:hAnsi="Times New Roman" w:cs="Times New Roman"/>
          <w:sz w:val="24"/>
          <w:szCs w:val="24"/>
        </w:rPr>
        <w:t>) whilst blinded to</w:t>
      </w:r>
      <w:r w:rsidR="00787896" w:rsidRPr="00957E32">
        <w:rPr>
          <w:rFonts w:ascii="Times New Roman" w:hAnsi="Times New Roman" w:cs="Times New Roman"/>
          <w:sz w:val="24"/>
          <w:szCs w:val="24"/>
        </w:rPr>
        <w:t xml:space="preserve"> </w:t>
      </w:r>
      <w:r w:rsidRPr="00957E32">
        <w:rPr>
          <w:rFonts w:ascii="Times New Roman" w:hAnsi="Times New Roman" w:cs="Times New Roman"/>
          <w:sz w:val="24"/>
          <w:szCs w:val="24"/>
        </w:rPr>
        <w:t xml:space="preserve">all </w:t>
      </w:r>
      <w:r w:rsidR="00B176DB" w:rsidRPr="00957E32">
        <w:rPr>
          <w:rFonts w:ascii="Times New Roman" w:hAnsi="Times New Roman" w:cs="Times New Roman"/>
          <w:sz w:val="24"/>
          <w:szCs w:val="24"/>
        </w:rPr>
        <w:t>IGRA results</w:t>
      </w:r>
      <w:r w:rsidR="00347C15" w:rsidRPr="00957E32">
        <w:rPr>
          <w:rFonts w:ascii="Times New Roman" w:hAnsi="Times New Roman" w:cs="Times New Roman"/>
          <w:sz w:val="24"/>
          <w:szCs w:val="24"/>
        </w:rPr>
        <w:t xml:space="preserve"> (</w:t>
      </w:r>
      <w:r w:rsidRPr="00957E32">
        <w:rPr>
          <w:rFonts w:ascii="Times New Roman" w:hAnsi="Times New Roman" w:cs="Times New Roman"/>
          <w:sz w:val="24"/>
          <w:szCs w:val="24"/>
        </w:rPr>
        <w:t xml:space="preserve">including IGRAs carried out as part of routine practice at </w:t>
      </w:r>
      <w:r w:rsidR="00A72B86">
        <w:rPr>
          <w:rFonts w:ascii="Times New Roman" w:hAnsi="Times New Roman" w:cs="Times New Roman"/>
          <w:sz w:val="24"/>
          <w:szCs w:val="24"/>
        </w:rPr>
        <w:t>recruiting</w:t>
      </w:r>
      <w:r w:rsidR="00A72B86" w:rsidRPr="00957E32">
        <w:rPr>
          <w:rFonts w:ascii="Times New Roman" w:hAnsi="Times New Roman" w:cs="Times New Roman"/>
          <w:sz w:val="24"/>
          <w:szCs w:val="24"/>
        </w:rPr>
        <w:t xml:space="preserve"> </w:t>
      </w:r>
      <w:r w:rsidRPr="00957E32">
        <w:rPr>
          <w:rFonts w:ascii="Times New Roman" w:hAnsi="Times New Roman" w:cs="Times New Roman"/>
          <w:sz w:val="24"/>
          <w:szCs w:val="24"/>
        </w:rPr>
        <w:t>sites</w:t>
      </w:r>
      <w:r w:rsidR="00787896" w:rsidRPr="00957E32">
        <w:rPr>
          <w:rFonts w:ascii="Times New Roman" w:hAnsi="Times New Roman" w:cs="Times New Roman"/>
          <w:sz w:val="24"/>
          <w:szCs w:val="24"/>
        </w:rPr>
        <w:t>)</w:t>
      </w:r>
      <w:r w:rsidR="00B176DB" w:rsidRPr="00957E32">
        <w:rPr>
          <w:rFonts w:ascii="Times New Roman" w:hAnsi="Times New Roman" w:cs="Times New Roman"/>
          <w:sz w:val="24"/>
          <w:szCs w:val="24"/>
        </w:rPr>
        <w:t>.</w:t>
      </w:r>
      <w:r w:rsidR="00A12E70">
        <w:rPr>
          <w:rFonts w:ascii="Times New Roman" w:hAnsi="Times New Roman" w:cs="Times New Roman"/>
          <w:sz w:val="24"/>
          <w:szCs w:val="24"/>
        </w:rPr>
        <w:t xml:space="preserve"> </w:t>
      </w:r>
      <w:r w:rsidR="00FD7147" w:rsidRPr="00957E32">
        <w:rPr>
          <w:rFonts w:ascii="Times New Roman" w:hAnsi="Times New Roman" w:cs="Times New Roman"/>
          <w:sz w:val="24"/>
          <w:szCs w:val="24"/>
        </w:rPr>
        <w:t>Diagnoses of all participants were categorised into the following groups</w:t>
      </w:r>
      <w:r w:rsidR="00A12E70">
        <w:rPr>
          <w:rFonts w:ascii="Times New Roman" w:hAnsi="Times New Roman" w:cs="Times New Roman"/>
          <w:sz w:val="24"/>
          <w:szCs w:val="24"/>
        </w:rPr>
        <w:t>, as previously defined</w:t>
      </w:r>
      <w:r w:rsidR="00A12E70" w:rsidRPr="00A227A2">
        <w:rPr>
          <w:rFonts w:ascii="Times New Roman" w:hAnsi="Times New Roman" w:cs="Times New Roman"/>
          <w:sz w:val="24"/>
          <w:szCs w:val="24"/>
          <w:vertAlign w:val="superscript"/>
        </w:rPr>
        <w:t>1</w:t>
      </w:r>
      <w:r w:rsidR="008E79D5">
        <w:rPr>
          <w:rFonts w:ascii="Times New Roman" w:hAnsi="Times New Roman" w:cs="Times New Roman"/>
          <w:sz w:val="24"/>
          <w:szCs w:val="24"/>
        </w:rPr>
        <w:t xml:space="preserve"> (Table 1):</w:t>
      </w:r>
      <w:r w:rsidR="00FD7147" w:rsidRPr="00957E32">
        <w:rPr>
          <w:rFonts w:ascii="Times New Roman" w:hAnsi="Times New Roman" w:cs="Times New Roman"/>
          <w:sz w:val="24"/>
          <w:szCs w:val="24"/>
        </w:rPr>
        <w:t xml:space="preserve"> definite TB (category 1); </w:t>
      </w:r>
      <w:r w:rsidR="00BD038C">
        <w:rPr>
          <w:rFonts w:ascii="Times New Roman" w:hAnsi="Times New Roman" w:cs="Times New Roman"/>
          <w:sz w:val="24"/>
          <w:szCs w:val="24"/>
        </w:rPr>
        <w:t>highly-probable</w:t>
      </w:r>
      <w:r w:rsidR="00FD7147" w:rsidRPr="00957E32">
        <w:rPr>
          <w:rFonts w:ascii="Times New Roman" w:hAnsi="Times New Roman" w:cs="Times New Roman"/>
          <w:sz w:val="24"/>
          <w:szCs w:val="24"/>
        </w:rPr>
        <w:t xml:space="preserve"> TB (category 2); clinically indeterminate (category 3); and non-TB (category 4). </w:t>
      </w:r>
      <w:r w:rsidR="00AA5FC6">
        <w:rPr>
          <w:rFonts w:ascii="Times New Roman" w:hAnsi="Times New Roman" w:cs="Times New Roman"/>
          <w:sz w:val="24"/>
          <w:szCs w:val="24"/>
        </w:rPr>
        <w:t>C</w:t>
      </w:r>
      <w:r w:rsidR="00FD7147" w:rsidRPr="00957E32">
        <w:rPr>
          <w:rFonts w:ascii="Times New Roman" w:hAnsi="Times New Roman" w:cs="Times New Roman"/>
          <w:sz w:val="24"/>
          <w:szCs w:val="24"/>
        </w:rPr>
        <w:t>ategory 4</w:t>
      </w:r>
      <w:r w:rsidR="00AA5FC6">
        <w:rPr>
          <w:rFonts w:ascii="Times New Roman" w:hAnsi="Times New Roman" w:cs="Times New Roman"/>
          <w:sz w:val="24"/>
          <w:szCs w:val="24"/>
        </w:rPr>
        <w:t xml:space="preserve"> participants</w:t>
      </w:r>
      <w:r w:rsidR="00FD7147" w:rsidRPr="00957E32">
        <w:rPr>
          <w:rFonts w:ascii="Times New Roman" w:hAnsi="Times New Roman" w:cs="Times New Roman"/>
          <w:sz w:val="24"/>
          <w:szCs w:val="24"/>
        </w:rPr>
        <w:t xml:space="preserve"> were sub-divided based on risk factors for LTBI</w:t>
      </w:r>
      <w:r w:rsidR="008E79D5">
        <w:rPr>
          <w:rFonts w:ascii="Times New Roman" w:hAnsi="Times New Roman" w:cs="Times New Roman"/>
          <w:sz w:val="24"/>
          <w:szCs w:val="24"/>
        </w:rPr>
        <w:t xml:space="preserve"> (Table 1)</w:t>
      </w:r>
      <w:r w:rsidR="00FD7147" w:rsidRPr="00957E32">
        <w:rPr>
          <w:rFonts w:ascii="Times New Roman" w:hAnsi="Times New Roman" w:cs="Times New Roman"/>
          <w:sz w:val="24"/>
          <w:szCs w:val="24"/>
        </w:rPr>
        <w:t xml:space="preserve">. </w:t>
      </w:r>
      <w:r w:rsidR="00787896" w:rsidRPr="00957E32">
        <w:rPr>
          <w:rFonts w:ascii="Times New Roman" w:hAnsi="Times New Roman" w:cs="Times New Roman"/>
          <w:sz w:val="24"/>
          <w:szCs w:val="24"/>
        </w:rPr>
        <w:t xml:space="preserve">Final diagnoses </w:t>
      </w:r>
      <w:r w:rsidR="00347C15" w:rsidRPr="00957E32">
        <w:rPr>
          <w:rFonts w:ascii="Times New Roman" w:hAnsi="Times New Roman" w:cs="Times New Roman"/>
          <w:sz w:val="24"/>
          <w:szCs w:val="24"/>
        </w:rPr>
        <w:t xml:space="preserve">and diagnostic categories </w:t>
      </w:r>
      <w:r w:rsidR="00787896" w:rsidRPr="00957E32">
        <w:rPr>
          <w:rFonts w:ascii="Times New Roman" w:hAnsi="Times New Roman" w:cs="Times New Roman"/>
          <w:sz w:val="24"/>
          <w:szCs w:val="24"/>
        </w:rPr>
        <w:t xml:space="preserve">were determined by consensus across the panel. </w:t>
      </w:r>
    </w:p>
    <w:p w14:paraId="34738B9E" w14:textId="3BDED7FB" w:rsidR="00AA0DAF" w:rsidRPr="00957E32" w:rsidRDefault="00BE5CCF" w:rsidP="001B1048">
      <w:pPr>
        <w:spacing w:after="0" w:line="480" w:lineRule="auto"/>
        <w:jc w:val="both"/>
        <w:rPr>
          <w:rFonts w:ascii="Times New Roman" w:hAnsi="Times New Roman" w:cs="Times New Roman"/>
          <w:b/>
          <w:sz w:val="24"/>
          <w:szCs w:val="24"/>
        </w:rPr>
      </w:pPr>
      <w:r w:rsidRPr="00957E32">
        <w:rPr>
          <w:rFonts w:ascii="Times New Roman" w:hAnsi="Times New Roman" w:cs="Times New Roman"/>
          <w:b/>
          <w:sz w:val="24"/>
          <w:szCs w:val="24"/>
        </w:rPr>
        <w:lastRenderedPageBreak/>
        <w:t>Laboratory p</w:t>
      </w:r>
      <w:r w:rsidR="004B7318" w:rsidRPr="00957E32">
        <w:rPr>
          <w:rFonts w:ascii="Times New Roman" w:hAnsi="Times New Roman" w:cs="Times New Roman"/>
          <w:b/>
          <w:sz w:val="24"/>
          <w:szCs w:val="24"/>
        </w:rPr>
        <w:t>rocedures</w:t>
      </w:r>
    </w:p>
    <w:p w14:paraId="5AFF8D9D" w14:textId="2C51BA8D" w:rsidR="006D462D" w:rsidRPr="008E79D5" w:rsidRDefault="006D462D" w:rsidP="006D462D">
      <w:pPr>
        <w:spacing w:after="0" w:line="480" w:lineRule="auto"/>
        <w:jc w:val="both"/>
        <w:rPr>
          <w:rFonts w:ascii="Times New Roman" w:hAnsi="Times New Roman" w:cs="Times New Roman"/>
          <w:sz w:val="24"/>
          <w:szCs w:val="24"/>
        </w:rPr>
      </w:pPr>
      <w:r w:rsidRPr="00957E32">
        <w:rPr>
          <w:rFonts w:ascii="Times New Roman" w:hAnsi="Times New Roman" w:cs="Times New Roman"/>
          <w:sz w:val="24"/>
          <w:szCs w:val="24"/>
        </w:rPr>
        <w:t xml:space="preserve">Blood samples </w:t>
      </w:r>
      <w:r>
        <w:rPr>
          <w:rFonts w:ascii="Times New Roman" w:hAnsi="Times New Roman" w:cs="Times New Roman"/>
          <w:sz w:val="24"/>
          <w:szCs w:val="24"/>
        </w:rPr>
        <w:t xml:space="preserve">(35ml) </w:t>
      </w:r>
      <w:r w:rsidRPr="00957E32">
        <w:rPr>
          <w:rFonts w:ascii="Times New Roman" w:hAnsi="Times New Roman" w:cs="Times New Roman"/>
          <w:sz w:val="24"/>
          <w:szCs w:val="24"/>
        </w:rPr>
        <w:t xml:space="preserve">were collected </w:t>
      </w:r>
      <w:r>
        <w:rPr>
          <w:rFonts w:ascii="Times New Roman" w:hAnsi="Times New Roman" w:cs="Times New Roman"/>
          <w:sz w:val="24"/>
          <w:szCs w:val="24"/>
        </w:rPr>
        <w:t>i</w:t>
      </w:r>
      <w:r w:rsidRPr="00957E32">
        <w:rPr>
          <w:rFonts w:ascii="Times New Roman" w:hAnsi="Times New Roman" w:cs="Times New Roman"/>
          <w:sz w:val="24"/>
          <w:szCs w:val="24"/>
        </w:rPr>
        <w:t>nto heparinised and QFT-GIT blood collection tubes</w:t>
      </w:r>
      <w:r>
        <w:rPr>
          <w:rFonts w:ascii="Times New Roman" w:hAnsi="Times New Roman" w:cs="Times New Roman"/>
          <w:sz w:val="24"/>
          <w:szCs w:val="24"/>
        </w:rPr>
        <w:t xml:space="preserve"> </w:t>
      </w:r>
      <w:r w:rsidRPr="00957E32">
        <w:rPr>
          <w:rFonts w:ascii="Times New Roman" w:hAnsi="Times New Roman" w:cs="Times New Roman"/>
          <w:sz w:val="24"/>
          <w:szCs w:val="24"/>
        </w:rPr>
        <w:t xml:space="preserve">from all participants at enrolment, before any diagnosis was made. </w:t>
      </w:r>
      <w:r w:rsidRPr="00F00E03">
        <w:rPr>
          <w:rFonts w:ascii="Times New Roman" w:hAnsi="Times New Roman" w:cs="Times New Roman"/>
          <w:sz w:val="24"/>
          <w:szCs w:val="24"/>
        </w:rPr>
        <w:t>QFT-GIT and T-SPOT</w:t>
      </w:r>
      <w:r>
        <w:rPr>
          <w:rFonts w:ascii="Times New Roman" w:hAnsi="Times New Roman" w:cs="Times New Roman"/>
          <w:sz w:val="24"/>
          <w:szCs w:val="24"/>
        </w:rPr>
        <w:t>.</w:t>
      </w:r>
      <w:r w:rsidRPr="00F00E03">
        <w:rPr>
          <w:rFonts w:ascii="Times New Roman" w:hAnsi="Times New Roman" w:cs="Times New Roman"/>
          <w:sz w:val="24"/>
          <w:szCs w:val="24"/>
        </w:rPr>
        <w:t xml:space="preserve">TB were carried out </w:t>
      </w:r>
      <w:r>
        <w:rPr>
          <w:rFonts w:ascii="Times New Roman" w:hAnsi="Times New Roman" w:cs="Times New Roman"/>
          <w:sz w:val="24"/>
          <w:szCs w:val="24"/>
        </w:rPr>
        <w:t xml:space="preserve">and interpreted in real-time at </w:t>
      </w:r>
      <w:r w:rsidRPr="00957E32">
        <w:rPr>
          <w:rFonts w:ascii="Times New Roman" w:hAnsi="Times New Roman" w:cs="Times New Roman"/>
          <w:sz w:val="24"/>
          <w:szCs w:val="24"/>
        </w:rPr>
        <w:t xml:space="preserve">the TB </w:t>
      </w:r>
      <w:r w:rsidRPr="00F00E03">
        <w:rPr>
          <w:rFonts w:ascii="Times New Roman" w:hAnsi="Times New Roman" w:cs="Times New Roman"/>
          <w:sz w:val="24"/>
          <w:szCs w:val="24"/>
        </w:rPr>
        <w:t xml:space="preserve">Research Centre </w:t>
      </w:r>
      <w:r>
        <w:rPr>
          <w:rFonts w:ascii="Times New Roman" w:hAnsi="Times New Roman" w:cs="Times New Roman"/>
          <w:sz w:val="24"/>
          <w:szCs w:val="24"/>
        </w:rPr>
        <w:t>(</w:t>
      </w:r>
      <w:r w:rsidRPr="00F00E03">
        <w:rPr>
          <w:rFonts w:ascii="Times New Roman" w:hAnsi="Times New Roman" w:cs="Times New Roman"/>
          <w:sz w:val="24"/>
          <w:szCs w:val="24"/>
        </w:rPr>
        <w:t>Imperial College London</w:t>
      </w:r>
      <w:r>
        <w:rPr>
          <w:rFonts w:ascii="Times New Roman" w:hAnsi="Times New Roman" w:cs="Times New Roman"/>
          <w:sz w:val="24"/>
          <w:szCs w:val="24"/>
        </w:rPr>
        <w:t>)</w:t>
      </w:r>
      <w:r w:rsidRPr="00F00E03">
        <w:rPr>
          <w:rFonts w:ascii="Times New Roman" w:hAnsi="Times New Roman" w:cs="Times New Roman"/>
          <w:sz w:val="24"/>
          <w:szCs w:val="24"/>
        </w:rPr>
        <w:t xml:space="preserve"> </w:t>
      </w:r>
      <w:r w:rsidRPr="00B9281B">
        <w:rPr>
          <w:rFonts w:ascii="Times New Roman" w:hAnsi="Times New Roman" w:cs="Times New Roman"/>
          <w:sz w:val="24"/>
          <w:szCs w:val="24"/>
        </w:rPr>
        <w:t>according to the manufacturer’s instructions</w:t>
      </w:r>
      <w:r>
        <w:rPr>
          <w:rFonts w:ascii="Times New Roman" w:hAnsi="Times New Roman" w:cs="Times New Roman"/>
          <w:sz w:val="24"/>
          <w:szCs w:val="24"/>
        </w:rPr>
        <w:t xml:space="preserve">, </w:t>
      </w:r>
      <w:r w:rsidRPr="00F00E03">
        <w:rPr>
          <w:rFonts w:ascii="Times New Roman" w:hAnsi="Times New Roman" w:cs="Times New Roman"/>
          <w:sz w:val="24"/>
          <w:szCs w:val="24"/>
        </w:rPr>
        <w:t>and as described in Whitworth et al.</w:t>
      </w:r>
      <w:r w:rsidR="00740116">
        <w:rPr>
          <w:rFonts w:ascii="Times New Roman" w:hAnsi="Times New Roman" w:cs="Times New Roman"/>
          <w:sz w:val="24"/>
          <w:szCs w:val="24"/>
          <w:vertAlign w:val="superscript"/>
        </w:rPr>
        <w:t xml:space="preserve">6 </w:t>
      </w:r>
      <w:r w:rsidRPr="00957E32">
        <w:rPr>
          <w:rFonts w:ascii="Times New Roman" w:hAnsi="Times New Roman" w:cs="Times New Roman"/>
          <w:sz w:val="24"/>
          <w:szCs w:val="24"/>
        </w:rPr>
        <w:t>T</w:t>
      </w:r>
      <w:r>
        <w:rPr>
          <w:rFonts w:ascii="Times New Roman" w:hAnsi="Times New Roman" w:cs="Times New Roman"/>
          <w:sz w:val="24"/>
          <w:szCs w:val="24"/>
        </w:rPr>
        <w:t>he</w:t>
      </w:r>
      <w:r w:rsidRPr="00957E32">
        <w:rPr>
          <w:rFonts w:ascii="Times New Roman" w:hAnsi="Times New Roman" w:cs="Times New Roman"/>
          <w:sz w:val="24"/>
          <w:szCs w:val="24"/>
        </w:rPr>
        <w:t xml:space="preserve"> </w:t>
      </w:r>
      <w:r w:rsidR="00C9141C">
        <w:rPr>
          <w:rFonts w:ascii="Times New Roman" w:hAnsi="Times New Roman" w:cs="Times New Roman"/>
          <w:sz w:val="24"/>
          <w:szCs w:val="24"/>
        </w:rPr>
        <w:t>second-generation</w:t>
      </w:r>
      <w:r w:rsidRPr="00957E32">
        <w:rPr>
          <w:rFonts w:ascii="Times New Roman" w:hAnsi="Times New Roman" w:cs="Times New Roman"/>
          <w:sz w:val="24"/>
          <w:szCs w:val="24"/>
        </w:rPr>
        <w:t xml:space="preserve"> IGRA</w:t>
      </w:r>
      <w:r>
        <w:rPr>
          <w:rFonts w:ascii="Times New Roman" w:hAnsi="Times New Roman" w:cs="Times New Roman"/>
          <w:sz w:val="24"/>
          <w:szCs w:val="24"/>
        </w:rPr>
        <w:t xml:space="preserve"> used the T-SPOT.TB platform and</w:t>
      </w:r>
      <w:r w:rsidRPr="00957E32">
        <w:rPr>
          <w:rFonts w:ascii="Times New Roman" w:hAnsi="Times New Roman" w:cs="Times New Roman"/>
          <w:sz w:val="24"/>
          <w:szCs w:val="24"/>
        </w:rPr>
        <w:t xml:space="preserve"> </w:t>
      </w:r>
      <w:r>
        <w:rPr>
          <w:rFonts w:ascii="Times New Roman" w:hAnsi="Times New Roman" w:cs="Times New Roman"/>
          <w:sz w:val="24"/>
          <w:szCs w:val="24"/>
        </w:rPr>
        <w:t>incorporat</w:t>
      </w:r>
      <w:r w:rsidRPr="00957E32">
        <w:rPr>
          <w:rFonts w:ascii="Times New Roman" w:hAnsi="Times New Roman" w:cs="Times New Roman"/>
          <w:sz w:val="24"/>
          <w:szCs w:val="24"/>
        </w:rPr>
        <w:t xml:space="preserve">ed ESAT-6, CFP-10 and Rv3615c; </w:t>
      </w:r>
      <w:r>
        <w:rPr>
          <w:rFonts w:ascii="Times New Roman" w:hAnsi="Times New Roman" w:cs="Times New Roman"/>
          <w:sz w:val="24"/>
          <w:szCs w:val="24"/>
        </w:rPr>
        <w:t>the</w:t>
      </w:r>
      <w:r w:rsidRPr="00957E32">
        <w:rPr>
          <w:rFonts w:ascii="Times New Roman" w:hAnsi="Times New Roman" w:cs="Times New Roman"/>
          <w:sz w:val="24"/>
          <w:szCs w:val="24"/>
        </w:rPr>
        <w:t xml:space="preserve"> ‘ESAT-6-free’ IGRA </w:t>
      </w:r>
      <w:r>
        <w:rPr>
          <w:rFonts w:ascii="Times New Roman" w:hAnsi="Times New Roman" w:cs="Times New Roman"/>
          <w:sz w:val="24"/>
          <w:szCs w:val="24"/>
        </w:rPr>
        <w:t>incorporated</w:t>
      </w:r>
      <w:r w:rsidRPr="00957E32">
        <w:rPr>
          <w:rFonts w:ascii="Times New Roman" w:hAnsi="Times New Roman" w:cs="Times New Roman"/>
          <w:sz w:val="24"/>
          <w:szCs w:val="24"/>
        </w:rPr>
        <w:t xml:space="preserve"> CFP-10, Rv3615c and Rv3879c. </w:t>
      </w:r>
      <w:r>
        <w:rPr>
          <w:rFonts w:ascii="Times New Roman" w:hAnsi="Times New Roman" w:cs="Times New Roman"/>
          <w:sz w:val="24"/>
          <w:szCs w:val="24"/>
        </w:rPr>
        <w:t>Further details on assay methods and interpretation of results are provided in the Appendix (Supplementary Methods, page</w:t>
      </w:r>
      <w:r w:rsidR="00C9141C">
        <w:rPr>
          <w:rFonts w:ascii="Times New Roman" w:hAnsi="Times New Roman" w:cs="Times New Roman"/>
          <w:sz w:val="24"/>
          <w:szCs w:val="24"/>
        </w:rPr>
        <w:t>s</w:t>
      </w:r>
      <w:r>
        <w:rPr>
          <w:rFonts w:ascii="Times New Roman" w:hAnsi="Times New Roman" w:cs="Times New Roman"/>
          <w:sz w:val="24"/>
          <w:szCs w:val="24"/>
        </w:rPr>
        <w:t xml:space="preserve"> </w:t>
      </w:r>
      <w:r w:rsidR="006260A3">
        <w:rPr>
          <w:rFonts w:ascii="Times New Roman" w:hAnsi="Times New Roman" w:cs="Times New Roman"/>
          <w:sz w:val="24"/>
          <w:szCs w:val="24"/>
        </w:rPr>
        <w:t>4</w:t>
      </w:r>
      <w:r w:rsidR="00C9141C">
        <w:rPr>
          <w:rFonts w:ascii="Times New Roman" w:hAnsi="Times New Roman" w:cs="Times New Roman"/>
          <w:sz w:val="24"/>
          <w:szCs w:val="24"/>
        </w:rPr>
        <w:t>-5</w:t>
      </w:r>
      <w:r>
        <w:rPr>
          <w:rFonts w:ascii="Times New Roman" w:hAnsi="Times New Roman" w:cs="Times New Roman"/>
          <w:sz w:val="24"/>
          <w:szCs w:val="24"/>
        </w:rPr>
        <w:t xml:space="preserve">). </w:t>
      </w:r>
      <w:r w:rsidRPr="00F00E03">
        <w:rPr>
          <w:rFonts w:ascii="Times New Roman" w:hAnsi="Times New Roman" w:cs="Times New Roman"/>
          <w:sz w:val="24"/>
          <w:szCs w:val="24"/>
        </w:rPr>
        <w:t>Laboratory scientists performing study IGRAs were blinded to all clinical information, diagnoses and personal</w:t>
      </w:r>
      <w:r w:rsidRPr="00957E32">
        <w:rPr>
          <w:rFonts w:ascii="Times New Roman" w:hAnsi="Times New Roman" w:cs="Times New Roman"/>
          <w:sz w:val="24"/>
          <w:szCs w:val="24"/>
        </w:rPr>
        <w:t xml:space="preserve"> identifiers.</w:t>
      </w:r>
    </w:p>
    <w:p w14:paraId="17B08306" w14:textId="7C84C653" w:rsidR="000210C8" w:rsidRPr="005F5536" w:rsidRDefault="004B7318">
      <w:pPr>
        <w:spacing w:after="0" w:line="480" w:lineRule="auto"/>
        <w:jc w:val="both"/>
        <w:rPr>
          <w:rFonts w:ascii="Times New Roman" w:hAnsi="Times New Roman" w:cs="Times New Roman"/>
          <w:b/>
          <w:sz w:val="24"/>
          <w:szCs w:val="24"/>
        </w:rPr>
      </w:pPr>
      <w:r w:rsidRPr="005F5536">
        <w:rPr>
          <w:rFonts w:ascii="Times New Roman" w:hAnsi="Times New Roman" w:cs="Times New Roman"/>
          <w:b/>
          <w:sz w:val="24"/>
          <w:szCs w:val="24"/>
        </w:rPr>
        <w:t xml:space="preserve">Statistical </w:t>
      </w:r>
      <w:r w:rsidR="000210C8" w:rsidRPr="005F5536">
        <w:rPr>
          <w:rFonts w:ascii="Times New Roman" w:hAnsi="Times New Roman" w:cs="Times New Roman"/>
          <w:b/>
          <w:sz w:val="24"/>
          <w:szCs w:val="24"/>
        </w:rPr>
        <w:t>Analyses</w:t>
      </w:r>
    </w:p>
    <w:p w14:paraId="0A38CA5D" w14:textId="11945856" w:rsidR="00CF2105" w:rsidRDefault="00507A5C" w:rsidP="00A227A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w:t>
      </w:r>
      <w:r w:rsidR="005F5536" w:rsidRPr="001B1048">
        <w:rPr>
          <w:rFonts w:ascii="Times New Roman" w:hAnsi="Times New Roman" w:cs="Times New Roman"/>
          <w:sz w:val="24"/>
          <w:szCs w:val="24"/>
        </w:rPr>
        <w:t>he</w:t>
      </w:r>
      <w:r>
        <w:rPr>
          <w:rFonts w:ascii="Times New Roman" w:hAnsi="Times New Roman" w:cs="Times New Roman"/>
          <w:sz w:val="24"/>
          <w:szCs w:val="24"/>
        </w:rPr>
        <w:t xml:space="preserve"> study was powered t</w:t>
      </w:r>
      <w:r w:rsidR="005F5536" w:rsidRPr="001B1048">
        <w:rPr>
          <w:rFonts w:ascii="Times New Roman" w:hAnsi="Times New Roman" w:cs="Times New Roman"/>
          <w:sz w:val="24"/>
          <w:szCs w:val="24"/>
        </w:rPr>
        <w:t>o detect a 10% difference in sensitivity between T-SPOT.TB and QFT-GIT, assuming a sensitivity of 85% for T-SPOT.TB and 75% for QFT-GIT</w:t>
      </w:r>
      <w:r w:rsidR="00B2439F">
        <w:rPr>
          <w:rFonts w:ascii="Times New Roman" w:hAnsi="Times New Roman" w:cs="Times New Roman"/>
          <w:sz w:val="24"/>
          <w:szCs w:val="24"/>
        </w:rPr>
        <w:t>.</w:t>
      </w:r>
      <w:r w:rsidR="000C5B19" w:rsidRPr="001B1048">
        <w:rPr>
          <w:rFonts w:ascii="Times New Roman" w:hAnsi="Times New Roman" w:cs="Times New Roman"/>
          <w:sz w:val="24"/>
          <w:szCs w:val="24"/>
          <w:vertAlign w:val="superscript"/>
        </w:rPr>
        <w:t>1,</w:t>
      </w:r>
      <w:r w:rsidR="00740116">
        <w:rPr>
          <w:rFonts w:ascii="Times New Roman" w:hAnsi="Times New Roman" w:cs="Times New Roman"/>
          <w:sz w:val="24"/>
          <w:szCs w:val="24"/>
          <w:vertAlign w:val="superscript"/>
        </w:rPr>
        <w:t>7</w:t>
      </w:r>
      <w:r w:rsidR="00200C5F">
        <w:rPr>
          <w:rFonts w:ascii="Times New Roman" w:hAnsi="Times New Roman" w:cs="Times New Roman"/>
          <w:sz w:val="24"/>
          <w:szCs w:val="24"/>
          <w:vertAlign w:val="superscript"/>
        </w:rPr>
        <w:t>–</w:t>
      </w:r>
      <w:r w:rsidR="00740116">
        <w:rPr>
          <w:rFonts w:ascii="Times New Roman" w:hAnsi="Times New Roman" w:cs="Times New Roman"/>
          <w:sz w:val="24"/>
          <w:szCs w:val="24"/>
          <w:vertAlign w:val="superscript"/>
        </w:rPr>
        <w:t>9</w:t>
      </w:r>
      <w:r w:rsidR="005F5536" w:rsidRPr="001B1048">
        <w:rPr>
          <w:rFonts w:ascii="Times New Roman" w:hAnsi="Times New Roman" w:cs="Times New Roman"/>
          <w:sz w:val="24"/>
          <w:szCs w:val="24"/>
        </w:rPr>
        <w:t xml:space="preserve"> </w:t>
      </w:r>
      <w:r w:rsidR="00B2439F">
        <w:rPr>
          <w:rFonts w:ascii="Times New Roman" w:hAnsi="Times New Roman" w:cs="Times New Roman"/>
          <w:sz w:val="24"/>
          <w:szCs w:val="24"/>
        </w:rPr>
        <w:t>Accounting for the paired nature of the data and assuming independence of errors,</w:t>
      </w:r>
      <w:r w:rsidR="00B2439F">
        <w:rPr>
          <w:rFonts w:ascii="Times New Roman" w:hAnsi="Times New Roman" w:cs="Times New Roman"/>
          <w:sz w:val="24"/>
          <w:szCs w:val="24"/>
          <w:vertAlign w:val="superscript"/>
        </w:rPr>
        <w:t>1</w:t>
      </w:r>
      <w:r w:rsidR="00740116">
        <w:rPr>
          <w:rFonts w:ascii="Times New Roman" w:hAnsi="Times New Roman" w:cs="Times New Roman"/>
          <w:sz w:val="24"/>
          <w:szCs w:val="24"/>
          <w:vertAlign w:val="superscript"/>
        </w:rPr>
        <w:t>6</w:t>
      </w:r>
      <w:r w:rsidR="00B2439F">
        <w:rPr>
          <w:rFonts w:ascii="Times New Roman" w:hAnsi="Times New Roman" w:cs="Times New Roman"/>
          <w:sz w:val="24"/>
          <w:szCs w:val="24"/>
        </w:rPr>
        <w:t xml:space="preserve"> </w:t>
      </w:r>
      <w:r w:rsidR="00E665EC" w:rsidRPr="00257E34">
        <w:rPr>
          <w:rFonts w:ascii="Times New Roman" w:hAnsi="Times New Roman" w:cs="Times New Roman"/>
          <w:sz w:val="24"/>
          <w:szCs w:val="24"/>
        </w:rPr>
        <w:t xml:space="preserve">855 patients </w:t>
      </w:r>
      <w:r w:rsidR="00B2439F">
        <w:rPr>
          <w:rFonts w:ascii="Times New Roman" w:hAnsi="Times New Roman" w:cs="Times New Roman"/>
          <w:sz w:val="24"/>
          <w:szCs w:val="24"/>
        </w:rPr>
        <w:t>(</w:t>
      </w:r>
      <w:r w:rsidR="008C2A92">
        <w:rPr>
          <w:rFonts w:ascii="Times New Roman" w:hAnsi="Times New Roman" w:cs="Times New Roman"/>
          <w:sz w:val="24"/>
          <w:szCs w:val="24"/>
        </w:rPr>
        <w:t xml:space="preserve">after </w:t>
      </w:r>
      <w:r w:rsidR="00B2439F">
        <w:rPr>
          <w:rFonts w:ascii="Times New Roman" w:hAnsi="Times New Roman" w:cs="Times New Roman"/>
          <w:sz w:val="24"/>
          <w:szCs w:val="24"/>
        </w:rPr>
        <w:t xml:space="preserve">loss-to-follow-up (LTFU)/withdrawal and missing/excluded index/reference test results) </w:t>
      </w:r>
      <w:r w:rsidR="00E665EC" w:rsidRPr="00257E34">
        <w:rPr>
          <w:rFonts w:ascii="Times New Roman" w:hAnsi="Times New Roman" w:cs="Times New Roman"/>
          <w:sz w:val="24"/>
          <w:szCs w:val="24"/>
        </w:rPr>
        <w:t xml:space="preserve">were required </w:t>
      </w:r>
      <w:r w:rsidR="00E665EC">
        <w:rPr>
          <w:rFonts w:ascii="Times New Roman" w:hAnsi="Times New Roman" w:cs="Times New Roman"/>
          <w:sz w:val="24"/>
          <w:szCs w:val="24"/>
        </w:rPr>
        <w:t>t</w:t>
      </w:r>
      <w:r w:rsidR="005F5536" w:rsidRPr="001B1048">
        <w:rPr>
          <w:rFonts w:ascii="Times New Roman" w:hAnsi="Times New Roman" w:cs="Times New Roman"/>
          <w:sz w:val="24"/>
          <w:szCs w:val="24"/>
        </w:rPr>
        <w:t>o detect this difference at the 5% significance lev</w:t>
      </w:r>
      <w:r w:rsidR="00E665EC">
        <w:rPr>
          <w:rFonts w:ascii="Times New Roman" w:hAnsi="Times New Roman" w:cs="Times New Roman"/>
          <w:sz w:val="24"/>
          <w:szCs w:val="24"/>
        </w:rPr>
        <w:t>el (two-tailed) with 90% power</w:t>
      </w:r>
      <w:r w:rsidR="005F5536" w:rsidRPr="001B1048">
        <w:rPr>
          <w:rFonts w:ascii="Times New Roman" w:hAnsi="Times New Roman" w:cs="Times New Roman"/>
          <w:sz w:val="24"/>
          <w:szCs w:val="24"/>
        </w:rPr>
        <w:t xml:space="preserve">, </w:t>
      </w:r>
      <w:r w:rsidR="00B2439F">
        <w:rPr>
          <w:rFonts w:ascii="Times New Roman" w:hAnsi="Times New Roman" w:cs="Times New Roman"/>
          <w:sz w:val="24"/>
          <w:szCs w:val="24"/>
        </w:rPr>
        <w:t>based on</w:t>
      </w:r>
      <w:r w:rsidR="00B2439F" w:rsidRPr="001B1048">
        <w:rPr>
          <w:rFonts w:ascii="Times New Roman" w:hAnsi="Times New Roman" w:cs="Times New Roman"/>
          <w:sz w:val="24"/>
          <w:szCs w:val="24"/>
        </w:rPr>
        <w:t xml:space="preserve"> </w:t>
      </w:r>
      <w:r w:rsidR="005F5536" w:rsidRPr="001B1048">
        <w:rPr>
          <w:rFonts w:ascii="Times New Roman" w:hAnsi="Times New Roman" w:cs="Times New Roman"/>
          <w:sz w:val="24"/>
          <w:szCs w:val="24"/>
        </w:rPr>
        <w:t>a</w:t>
      </w:r>
      <w:r w:rsidR="00B2439F">
        <w:rPr>
          <w:rFonts w:ascii="Times New Roman" w:hAnsi="Times New Roman" w:cs="Times New Roman"/>
          <w:sz w:val="24"/>
          <w:szCs w:val="24"/>
        </w:rPr>
        <w:t xml:space="preserve"> predicted</w:t>
      </w:r>
      <w:r w:rsidR="005F5536" w:rsidRPr="001B1048">
        <w:rPr>
          <w:rFonts w:ascii="Times New Roman" w:hAnsi="Times New Roman" w:cs="Times New Roman"/>
          <w:sz w:val="24"/>
          <w:szCs w:val="24"/>
        </w:rPr>
        <w:t xml:space="preserve"> 40% prevalence of active TB in the study population. </w:t>
      </w:r>
      <w:r w:rsidR="00A315AA" w:rsidRPr="00957E32">
        <w:rPr>
          <w:rFonts w:ascii="Times New Roman" w:hAnsi="Times New Roman" w:cs="Times New Roman"/>
          <w:sz w:val="24"/>
          <w:szCs w:val="24"/>
        </w:rPr>
        <w:t xml:space="preserve">Sensitivity, specificity, positive </w:t>
      </w:r>
      <w:r w:rsidR="00F6073A">
        <w:rPr>
          <w:rFonts w:ascii="Times New Roman" w:hAnsi="Times New Roman" w:cs="Times New Roman"/>
          <w:sz w:val="24"/>
          <w:szCs w:val="24"/>
        </w:rPr>
        <w:t xml:space="preserve">and </w:t>
      </w:r>
      <w:r w:rsidR="00BC2259">
        <w:rPr>
          <w:rFonts w:ascii="Times New Roman" w:hAnsi="Times New Roman" w:cs="Times New Roman"/>
          <w:sz w:val="24"/>
          <w:szCs w:val="24"/>
        </w:rPr>
        <w:t>negative predictive value</w:t>
      </w:r>
      <w:r w:rsidR="00F6073A">
        <w:rPr>
          <w:rFonts w:ascii="Times New Roman" w:hAnsi="Times New Roman" w:cs="Times New Roman"/>
          <w:sz w:val="24"/>
          <w:szCs w:val="24"/>
        </w:rPr>
        <w:t>s</w:t>
      </w:r>
      <w:r w:rsidR="00BC2259">
        <w:rPr>
          <w:rFonts w:ascii="Times New Roman" w:hAnsi="Times New Roman" w:cs="Times New Roman"/>
          <w:sz w:val="24"/>
          <w:szCs w:val="24"/>
        </w:rPr>
        <w:t xml:space="preserve"> (</w:t>
      </w:r>
      <w:r w:rsidR="00F6073A">
        <w:rPr>
          <w:rFonts w:ascii="Times New Roman" w:hAnsi="Times New Roman" w:cs="Times New Roman"/>
          <w:sz w:val="24"/>
          <w:szCs w:val="24"/>
        </w:rPr>
        <w:t xml:space="preserve">PPV; </w:t>
      </w:r>
      <w:r w:rsidR="00A315AA" w:rsidRPr="00957E32">
        <w:rPr>
          <w:rFonts w:ascii="Times New Roman" w:hAnsi="Times New Roman" w:cs="Times New Roman"/>
          <w:sz w:val="24"/>
          <w:szCs w:val="24"/>
        </w:rPr>
        <w:t>NPV</w:t>
      </w:r>
      <w:r w:rsidR="00BC2259">
        <w:rPr>
          <w:rFonts w:ascii="Times New Roman" w:hAnsi="Times New Roman" w:cs="Times New Roman"/>
          <w:sz w:val="24"/>
          <w:szCs w:val="24"/>
        </w:rPr>
        <w:t>)</w:t>
      </w:r>
      <w:r w:rsidR="000C52B8">
        <w:rPr>
          <w:rFonts w:ascii="Times New Roman" w:hAnsi="Times New Roman" w:cs="Times New Roman"/>
          <w:sz w:val="24"/>
          <w:szCs w:val="24"/>
        </w:rPr>
        <w:t xml:space="preserve">, </w:t>
      </w:r>
      <w:r w:rsidR="00F6073A">
        <w:rPr>
          <w:rFonts w:ascii="Times New Roman" w:hAnsi="Times New Roman" w:cs="Times New Roman"/>
          <w:sz w:val="24"/>
          <w:szCs w:val="24"/>
        </w:rPr>
        <w:t xml:space="preserve">and </w:t>
      </w:r>
      <w:r w:rsidR="000C52B8">
        <w:rPr>
          <w:rFonts w:ascii="Times New Roman" w:hAnsi="Times New Roman" w:cs="Times New Roman"/>
          <w:sz w:val="24"/>
          <w:szCs w:val="24"/>
        </w:rPr>
        <w:t xml:space="preserve">positive </w:t>
      </w:r>
      <w:r w:rsidR="00A315AA" w:rsidRPr="00957E32">
        <w:rPr>
          <w:rFonts w:ascii="Times New Roman" w:hAnsi="Times New Roman" w:cs="Times New Roman"/>
          <w:sz w:val="24"/>
          <w:szCs w:val="24"/>
        </w:rPr>
        <w:t xml:space="preserve">and </w:t>
      </w:r>
      <w:r w:rsidR="000C52B8">
        <w:rPr>
          <w:rFonts w:ascii="Times New Roman" w:hAnsi="Times New Roman" w:cs="Times New Roman"/>
          <w:sz w:val="24"/>
          <w:szCs w:val="24"/>
        </w:rPr>
        <w:t xml:space="preserve">negative </w:t>
      </w:r>
      <w:r w:rsidR="00A315AA" w:rsidRPr="00957E32">
        <w:rPr>
          <w:rFonts w:ascii="Times New Roman" w:hAnsi="Times New Roman" w:cs="Times New Roman"/>
          <w:sz w:val="24"/>
          <w:szCs w:val="24"/>
        </w:rPr>
        <w:t>likelihood ratio</w:t>
      </w:r>
      <w:r w:rsidR="00F6073A">
        <w:rPr>
          <w:rFonts w:ascii="Times New Roman" w:hAnsi="Times New Roman" w:cs="Times New Roman"/>
          <w:sz w:val="24"/>
          <w:szCs w:val="24"/>
        </w:rPr>
        <w:t>s</w:t>
      </w:r>
      <w:r w:rsidR="000C52B8">
        <w:rPr>
          <w:rFonts w:ascii="Times New Roman" w:hAnsi="Times New Roman" w:cs="Times New Roman"/>
          <w:sz w:val="24"/>
          <w:szCs w:val="24"/>
        </w:rPr>
        <w:t xml:space="preserve"> (</w:t>
      </w:r>
      <w:r w:rsidR="00F6073A">
        <w:rPr>
          <w:rFonts w:ascii="Times New Roman" w:hAnsi="Times New Roman" w:cs="Times New Roman"/>
          <w:sz w:val="24"/>
          <w:szCs w:val="24"/>
        </w:rPr>
        <w:t xml:space="preserve">PLR; </w:t>
      </w:r>
      <w:r w:rsidR="000C52B8">
        <w:rPr>
          <w:rFonts w:ascii="Times New Roman" w:hAnsi="Times New Roman" w:cs="Times New Roman"/>
          <w:sz w:val="24"/>
          <w:szCs w:val="24"/>
        </w:rPr>
        <w:t>NLR)</w:t>
      </w:r>
      <w:r w:rsidR="00A315AA" w:rsidRPr="00957E32">
        <w:rPr>
          <w:rFonts w:ascii="Times New Roman" w:hAnsi="Times New Roman" w:cs="Times New Roman"/>
          <w:sz w:val="24"/>
          <w:szCs w:val="24"/>
        </w:rPr>
        <w:t xml:space="preserve"> for each test were calculated. </w:t>
      </w:r>
      <w:r w:rsidR="00CF2105">
        <w:rPr>
          <w:rFonts w:ascii="Times New Roman" w:hAnsi="Times New Roman" w:cs="Times New Roman"/>
          <w:sz w:val="24"/>
          <w:szCs w:val="24"/>
        </w:rPr>
        <w:t>Ninety-five percent</w:t>
      </w:r>
      <w:r w:rsidR="00CF2105" w:rsidRPr="00957E32">
        <w:rPr>
          <w:rFonts w:ascii="Times New Roman" w:hAnsi="Times New Roman" w:cs="Times New Roman"/>
          <w:sz w:val="24"/>
          <w:szCs w:val="24"/>
        </w:rPr>
        <w:t xml:space="preserve"> </w:t>
      </w:r>
      <w:r w:rsidR="00A315AA" w:rsidRPr="00957E32">
        <w:rPr>
          <w:rFonts w:ascii="Times New Roman" w:hAnsi="Times New Roman" w:cs="Times New Roman"/>
          <w:sz w:val="24"/>
          <w:szCs w:val="24"/>
        </w:rPr>
        <w:t>confidence intervals (CIs) were calculated using the Wilson method</w:t>
      </w:r>
      <w:r w:rsidR="001E094C">
        <w:rPr>
          <w:rFonts w:ascii="Times New Roman" w:hAnsi="Times New Roman" w:cs="Times New Roman"/>
          <w:sz w:val="24"/>
          <w:szCs w:val="24"/>
        </w:rPr>
        <w:t xml:space="preserve"> for proportions</w:t>
      </w:r>
      <w:r w:rsidR="00BC2259" w:rsidRPr="001B1048">
        <w:rPr>
          <w:rFonts w:ascii="Times New Roman" w:hAnsi="Times New Roman" w:cs="Times New Roman"/>
          <w:sz w:val="24"/>
          <w:szCs w:val="24"/>
          <w:vertAlign w:val="superscript"/>
        </w:rPr>
        <w:t>1</w:t>
      </w:r>
      <w:r w:rsidR="00740116">
        <w:rPr>
          <w:rFonts w:ascii="Times New Roman" w:hAnsi="Times New Roman" w:cs="Times New Roman"/>
          <w:sz w:val="24"/>
          <w:szCs w:val="24"/>
          <w:vertAlign w:val="superscript"/>
        </w:rPr>
        <w:t>8</w:t>
      </w:r>
      <w:r w:rsidR="00BC2259" w:rsidRPr="001B1048">
        <w:rPr>
          <w:rFonts w:ascii="Times New Roman" w:hAnsi="Times New Roman" w:cs="Times New Roman"/>
          <w:sz w:val="24"/>
          <w:szCs w:val="24"/>
          <w:vertAlign w:val="superscript"/>
        </w:rPr>
        <w:t>,1</w:t>
      </w:r>
      <w:r w:rsidR="00740116">
        <w:rPr>
          <w:rFonts w:ascii="Times New Roman" w:hAnsi="Times New Roman" w:cs="Times New Roman"/>
          <w:sz w:val="24"/>
          <w:szCs w:val="24"/>
          <w:vertAlign w:val="superscript"/>
        </w:rPr>
        <w:t>9</w:t>
      </w:r>
      <w:r w:rsidR="00A315AA" w:rsidRPr="001B1048">
        <w:rPr>
          <w:rFonts w:ascii="Times New Roman" w:hAnsi="Times New Roman" w:cs="Times New Roman"/>
          <w:sz w:val="24"/>
          <w:szCs w:val="24"/>
          <w:vertAlign w:val="superscript"/>
        </w:rPr>
        <w:t xml:space="preserve"> </w:t>
      </w:r>
      <w:r w:rsidR="001E094C">
        <w:rPr>
          <w:rFonts w:ascii="Times New Roman" w:hAnsi="Times New Roman" w:cs="Times New Roman"/>
          <w:sz w:val="24"/>
          <w:szCs w:val="24"/>
        </w:rPr>
        <w:t xml:space="preserve">and </w:t>
      </w:r>
      <w:r w:rsidR="001E094C" w:rsidRPr="00957E32">
        <w:rPr>
          <w:rFonts w:ascii="Times New Roman" w:hAnsi="Times New Roman" w:cs="Times New Roman"/>
          <w:sz w:val="24"/>
          <w:szCs w:val="24"/>
        </w:rPr>
        <w:t xml:space="preserve">the method by </w:t>
      </w:r>
      <w:proofErr w:type="spellStart"/>
      <w:r w:rsidR="001E094C" w:rsidRPr="00957E32">
        <w:rPr>
          <w:rFonts w:ascii="Times New Roman" w:hAnsi="Times New Roman" w:cs="Times New Roman"/>
          <w:sz w:val="24"/>
          <w:szCs w:val="24"/>
        </w:rPr>
        <w:t>Simel</w:t>
      </w:r>
      <w:proofErr w:type="spellEnd"/>
      <w:r w:rsidR="001E094C" w:rsidRPr="00957E32">
        <w:rPr>
          <w:rFonts w:ascii="Times New Roman" w:hAnsi="Times New Roman" w:cs="Times New Roman"/>
          <w:sz w:val="24"/>
          <w:szCs w:val="24"/>
        </w:rPr>
        <w:t xml:space="preserve"> </w:t>
      </w:r>
      <w:r w:rsidR="001E094C" w:rsidRPr="00F344B0">
        <w:rPr>
          <w:rFonts w:ascii="Times New Roman" w:hAnsi="Times New Roman" w:cs="Times New Roman"/>
          <w:i/>
          <w:sz w:val="24"/>
          <w:szCs w:val="24"/>
        </w:rPr>
        <w:t>et al</w:t>
      </w:r>
      <w:r w:rsidR="001E094C" w:rsidRPr="00957E32">
        <w:rPr>
          <w:rFonts w:ascii="Times New Roman" w:hAnsi="Times New Roman" w:cs="Times New Roman"/>
          <w:sz w:val="24"/>
          <w:szCs w:val="24"/>
        </w:rPr>
        <w:t xml:space="preserve"> </w:t>
      </w:r>
      <w:r w:rsidR="001E094C">
        <w:rPr>
          <w:rFonts w:ascii="Times New Roman" w:hAnsi="Times New Roman" w:cs="Times New Roman"/>
          <w:sz w:val="24"/>
          <w:szCs w:val="24"/>
        </w:rPr>
        <w:t xml:space="preserve">for </w:t>
      </w:r>
      <w:r w:rsidR="00F666AE">
        <w:rPr>
          <w:rFonts w:ascii="Times New Roman" w:hAnsi="Times New Roman" w:cs="Times New Roman"/>
          <w:sz w:val="24"/>
          <w:szCs w:val="24"/>
        </w:rPr>
        <w:t>LRs</w:t>
      </w:r>
      <w:r w:rsidR="001E094C">
        <w:rPr>
          <w:rFonts w:ascii="Times New Roman" w:hAnsi="Times New Roman" w:cs="Times New Roman"/>
          <w:sz w:val="24"/>
          <w:szCs w:val="24"/>
        </w:rPr>
        <w:t>.</w:t>
      </w:r>
      <w:r w:rsidR="00646126">
        <w:rPr>
          <w:rFonts w:ascii="Times New Roman" w:hAnsi="Times New Roman" w:cs="Times New Roman"/>
          <w:sz w:val="24"/>
          <w:szCs w:val="24"/>
          <w:vertAlign w:val="superscript"/>
        </w:rPr>
        <w:t>20</w:t>
      </w:r>
      <w:r w:rsidR="001E094C" w:rsidRPr="00957E32">
        <w:rPr>
          <w:rFonts w:ascii="Times New Roman" w:hAnsi="Times New Roman" w:cs="Times New Roman"/>
          <w:sz w:val="24"/>
          <w:szCs w:val="24"/>
        </w:rPr>
        <w:t xml:space="preserve"> </w:t>
      </w:r>
      <w:r w:rsidR="00032BE5">
        <w:rPr>
          <w:rFonts w:ascii="Times New Roman" w:hAnsi="Times New Roman" w:cs="Times New Roman"/>
          <w:sz w:val="24"/>
          <w:szCs w:val="24"/>
        </w:rPr>
        <w:t>All patients in d</w:t>
      </w:r>
      <w:r w:rsidR="008327AB" w:rsidRPr="00957E32">
        <w:rPr>
          <w:rFonts w:ascii="Times New Roman" w:hAnsi="Times New Roman" w:cs="Times New Roman"/>
          <w:sz w:val="24"/>
          <w:szCs w:val="24"/>
        </w:rPr>
        <w:t xml:space="preserve">iagnostic categories 1, 2 and 4 </w:t>
      </w:r>
      <w:r w:rsidR="00A315AA" w:rsidRPr="00957E32">
        <w:rPr>
          <w:rFonts w:ascii="Times New Roman" w:hAnsi="Times New Roman" w:cs="Times New Roman"/>
          <w:sz w:val="24"/>
          <w:szCs w:val="24"/>
        </w:rPr>
        <w:t>were included in analyses</w:t>
      </w:r>
      <w:r w:rsidR="00032BE5">
        <w:rPr>
          <w:rFonts w:ascii="Times New Roman" w:hAnsi="Times New Roman" w:cs="Times New Roman"/>
          <w:sz w:val="24"/>
          <w:szCs w:val="24"/>
        </w:rPr>
        <w:t xml:space="preserve"> (Table 1)</w:t>
      </w:r>
      <w:r w:rsidR="008327AB" w:rsidRPr="00957E32">
        <w:rPr>
          <w:rFonts w:ascii="Times New Roman" w:hAnsi="Times New Roman" w:cs="Times New Roman"/>
          <w:sz w:val="24"/>
          <w:szCs w:val="24"/>
        </w:rPr>
        <w:t>;</w:t>
      </w:r>
      <w:r w:rsidR="00A315AA" w:rsidRPr="00957E32">
        <w:rPr>
          <w:rFonts w:ascii="Times New Roman" w:hAnsi="Times New Roman" w:cs="Times New Roman"/>
          <w:sz w:val="24"/>
          <w:szCs w:val="24"/>
        </w:rPr>
        <w:t xml:space="preserve"> </w:t>
      </w:r>
      <w:r w:rsidR="008327AB" w:rsidRPr="00957E32">
        <w:rPr>
          <w:rFonts w:ascii="Times New Roman" w:hAnsi="Times New Roman" w:cs="Times New Roman"/>
          <w:sz w:val="24"/>
          <w:szCs w:val="24"/>
        </w:rPr>
        <w:t>c</w:t>
      </w:r>
      <w:r w:rsidR="00A315AA" w:rsidRPr="00957E32">
        <w:rPr>
          <w:rFonts w:ascii="Times New Roman" w:hAnsi="Times New Roman" w:cs="Times New Roman"/>
          <w:sz w:val="24"/>
          <w:szCs w:val="24"/>
        </w:rPr>
        <w:t>ategory 3</w:t>
      </w:r>
      <w:r w:rsidR="004C4E34">
        <w:rPr>
          <w:rFonts w:ascii="Times New Roman" w:hAnsi="Times New Roman" w:cs="Times New Roman"/>
          <w:sz w:val="24"/>
          <w:szCs w:val="24"/>
        </w:rPr>
        <w:t xml:space="preserve"> patients</w:t>
      </w:r>
      <w:r w:rsidR="00226FF7">
        <w:rPr>
          <w:rFonts w:ascii="Times New Roman" w:hAnsi="Times New Roman" w:cs="Times New Roman"/>
          <w:sz w:val="24"/>
          <w:szCs w:val="24"/>
        </w:rPr>
        <w:t xml:space="preserve"> </w:t>
      </w:r>
      <w:r w:rsidR="008327AB" w:rsidRPr="00957E32">
        <w:rPr>
          <w:rFonts w:ascii="Times New Roman" w:hAnsi="Times New Roman" w:cs="Times New Roman"/>
          <w:sz w:val="24"/>
          <w:szCs w:val="24"/>
        </w:rPr>
        <w:t>wer</w:t>
      </w:r>
      <w:r w:rsidR="008327AB" w:rsidRPr="00BC2259">
        <w:rPr>
          <w:rFonts w:ascii="Times New Roman" w:hAnsi="Times New Roman" w:cs="Times New Roman"/>
          <w:sz w:val="24"/>
          <w:szCs w:val="24"/>
        </w:rPr>
        <w:t>e</w:t>
      </w:r>
      <w:r w:rsidR="00A315AA" w:rsidRPr="00957E32">
        <w:rPr>
          <w:rFonts w:ascii="Times New Roman" w:hAnsi="Times New Roman" w:cs="Times New Roman"/>
          <w:sz w:val="24"/>
          <w:szCs w:val="24"/>
        </w:rPr>
        <w:t xml:space="preserve"> reported</w:t>
      </w:r>
      <w:r w:rsidR="008327AB" w:rsidRPr="00957E32">
        <w:rPr>
          <w:rFonts w:ascii="Times New Roman" w:hAnsi="Times New Roman" w:cs="Times New Roman"/>
          <w:sz w:val="24"/>
          <w:szCs w:val="24"/>
        </w:rPr>
        <w:t xml:space="preserve"> but not included in analyses</w:t>
      </w:r>
      <w:r w:rsidR="00A315AA" w:rsidRPr="00957E32">
        <w:rPr>
          <w:rFonts w:ascii="Times New Roman" w:hAnsi="Times New Roman" w:cs="Times New Roman"/>
          <w:sz w:val="24"/>
          <w:szCs w:val="24"/>
        </w:rPr>
        <w:t xml:space="preserve">. </w:t>
      </w:r>
    </w:p>
    <w:p w14:paraId="4EF62A78" w14:textId="401553D7" w:rsidR="00E36ABA" w:rsidRDefault="00CF2105" w:rsidP="00A227A2">
      <w:pPr>
        <w:spacing w:after="0" w:line="480" w:lineRule="auto"/>
        <w:jc w:val="both"/>
        <w:rPr>
          <w:rFonts w:ascii="Times New Roman" w:hAnsi="Times New Roman" w:cs="Times New Roman"/>
          <w:sz w:val="24"/>
          <w:szCs w:val="24"/>
        </w:rPr>
      </w:pPr>
      <w:r w:rsidRPr="00957E32">
        <w:rPr>
          <w:rFonts w:ascii="Times New Roman" w:hAnsi="Times New Roman" w:cs="Times New Roman"/>
          <w:sz w:val="24"/>
          <w:szCs w:val="24"/>
        </w:rPr>
        <w:t>Patients with indeterminate</w:t>
      </w:r>
      <w:r>
        <w:rPr>
          <w:rFonts w:ascii="Times New Roman" w:hAnsi="Times New Roman" w:cs="Times New Roman"/>
          <w:sz w:val="24"/>
          <w:szCs w:val="24"/>
        </w:rPr>
        <w:t xml:space="preserve"> IGRA or </w:t>
      </w:r>
      <w:r w:rsidRPr="00957E32">
        <w:rPr>
          <w:rFonts w:ascii="Times New Roman" w:hAnsi="Times New Roman" w:cs="Times New Roman"/>
          <w:sz w:val="24"/>
          <w:szCs w:val="24"/>
        </w:rPr>
        <w:t xml:space="preserve">borderline </w:t>
      </w:r>
      <w:r>
        <w:rPr>
          <w:rFonts w:ascii="Times New Roman" w:hAnsi="Times New Roman" w:cs="Times New Roman"/>
          <w:sz w:val="24"/>
          <w:szCs w:val="24"/>
        </w:rPr>
        <w:t>TSPOT-TB</w:t>
      </w:r>
      <w:r w:rsidRPr="00957E32">
        <w:rPr>
          <w:rFonts w:ascii="Times New Roman" w:hAnsi="Times New Roman" w:cs="Times New Roman"/>
          <w:sz w:val="24"/>
          <w:szCs w:val="24"/>
        </w:rPr>
        <w:t xml:space="preserve"> results were excluded from </w:t>
      </w:r>
      <w:r>
        <w:rPr>
          <w:rFonts w:ascii="Times New Roman" w:hAnsi="Times New Roman" w:cs="Times New Roman"/>
          <w:sz w:val="24"/>
          <w:szCs w:val="24"/>
        </w:rPr>
        <w:t xml:space="preserve">primary </w:t>
      </w:r>
      <w:r w:rsidRPr="00957E32">
        <w:rPr>
          <w:rFonts w:ascii="Times New Roman" w:hAnsi="Times New Roman" w:cs="Times New Roman"/>
          <w:sz w:val="24"/>
          <w:szCs w:val="24"/>
        </w:rPr>
        <w:t>analyses</w:t>
      </w:r>
      <w:r>
        <w:rPr>
          <w:rFonts w:ascii="Times New Roman" w:hAnsi="Times New Roman" w:cs="Times New Roman"/>
          <w:sz w:val="24"/>
          <w:szCs w:val="24"/>
        </w:rPr>
        <w:t>, but included as test-positives in sensitivity analyses.</w:t>
      </w:r>
      <w:r w:rsidRPr="00957E32">
        <w:rPr>
          <w:rFonts w:ascii="Times New Roman" w:hAnsi="Times New Roman" w:cs="Times New Roman"/>
          <w:sz w:val="24"/>
          <w:szCs w:val="24"/>
        </w:rPr>
        <w:t xml:space="preserve"> Sensitivity analyses were </w:t>
      </w:r>
      <w:r>
        <w:rPr>
          <w:rFonts w:ascii="Times New Roman" w:hAnsi="Times New Roman" w:cs="Times New Roman"/>
          <w:sz w:val="24"/>
          <w:szCs w:val="24"/>
        </w:rPr>
        <w:t xml:space="preserve">also </w:t>
      </w:r>
      <w:r w:rsidRPr="00957E32">
        <w:rPr>
          <w:rFonts w:ascii="Times New Roman" w:hAnsi="Times New Roman" w:cs="Times New Roman"/>
          <w:sz w:val="24"/>
          <w:szCs w:val="24"/>
        </w:rPr>
        <w:t xml:space="preserve">conducted to investigate the impact of </w:t>
      </w:r>
      <w:r>
        <w:rPr>
          <w:rFonts w:ascii="Times New Roman" w:hAnsi="Times New Roman" w:cs="Times New Roman"/>
          <w:sz w:val="24"/>
          <w:szCs w:val="24"/>
        </w:rPr>
        <w:t xml:space="preserve">(1) </w:t>
      </w:r>
      <w:r w:rsidRPr="00957E32">
        <w:rPr>
          <w:rFonts w:ascii="Times New Roman" w:hAnsi="Times New Roman" w:cs="Times New Roman"/>
          <w:sz w:val="24"/>
          <w:szCs w:val="24"/>
        </w:rPr>
        <w:t>excluding category 2 patients on</w:t>
      </w:r>
      <w:r>
        <w:rPr>
          <w:rFonts w:ascii="Times New Roman" w:hAnsi="Times New Roman" w:cs="Times New Roman"/>
          <w:sz w:val="24"/>
          <w:szCs w:val="24"/>
        </w:rPr>
        <w:t xml:space="preserve"> IGRA</w:t>
      </w:r>
      <w:r w:rsidRPr="00957E32">
        <w:rPr>
          <w:rFonts w:ascii="Times New Roman" w:hAnsi="Times New Roman" w:cs="Times New Roman"/>
          <w:sz w:val="24"/>
          <w:szCs w:val="24"/>
        </w:rPr>
        <w:t xml:space="preserve"> </w:t>
      </w:r>
      <w:r w:rsidRPr="00957E32">
        <w:rPr>
          <w:rFonts w:ascii="Times New Roman" w:hAnsi="Times New Roman" w:cs="Times New Roman"/>
          <w:sz w:val="24"/>
          <w:szCs w:val="24"/>
        </w:rPr>
        <w:lastRenderedPageBreak/>
        <w:t>sensitivity</w:t>
      </w:r>
      <w:r>
        <w:rPr>
          <w:rFonts w:ascii="Times New Roman" w:hAnsi="Times New Roman" w:cs="Times New Roman"/>
          <w:sz w:val="24"/>
          <w:szCs w:val="24"/>
        </w:rPr>
        <w:t xml:space="preserve"> and (2) excluding category 4A-C patients on IGRA specificity</w:t>
      </w:r>
      <w:r w:rsidRPr="00957E32">
        <w:rPr>
          <w:rFonts w:ascii="Times New Roman" w:hAnsi="Times New Roman" w:cs="Times New Roman"/>
          <w:sz w:val="24"/>
          <w:szCs w:val="24"/>
        </w:rPr>
        <w:t>.</w:t>
      </w:r>
      <w:r w:rsidRPr="00CF2105">
        <w:rPr>
          <w:rFonts w:ascii="Times New Roman" w:hAnsi="Times New Roman" w:cs="Times New Roman"/>
          <w:sz w:val="24"/>
          <w:szCs w:val="24"/>
        </w:rPr>
        <w:t xml:space="preserve"> </w:t>
      </w:r>
      <w:r>
        <w:rPr>
          <w:rFonts w:ascii="Times New Roman" w:hAnsi="Times New Roman" w:cs="Times New Roman"/>
          <w:sz w:val="24"/>
          <w:szCs w:val="24"/>
        </w:rPr>
        <w:t xml:space="preserve"> To compare the accuracy of two IGRAs, we fitted separate g</w:t>
      </w:r>
      <w:r w:rsidRPr="00957E32">
        <w:rPr>
          <w:rFonts w:ascii="Times New Roman" w:hAnsi="Times New Roman" w:cs="Times New Roman"/>
          <w:sz w:val="24"/>
          <w:szCs w:val="24"/>
        </w:rPr>
        <w:t xml:space="preserve">eneralized estimating equation (GEE) models </w:t>
      </w:r>
      <w:r w:rsidRPr="003C6269">
        <w:rPr>
          <w:rFonts w:ascii="Times New Roman" w:hAnsi="Times New Roman" w:cs="Times New Roman"/>
          <w:sz w:val="24"/>
          <w:szCs w:val="24"/>
        </w:rPr>
        <w:t xml:space="preserve">for </w:t>
      </w:r>
      <w:r>
        <w:rPr>
          <w:rFonts w:ascii="Times New Roman" w:hAnsi="Times New Roman" w:cs="Times New Roman"/>
          <w:sz w:val="24"/>
          <w:szCs w:val="24"/>
        </w:rPr>
        <w:t>patients</w:t>
      </w:r>
      <w:r w:rsidRPr="003C6269">
        <w:rPr>
          <w:rFonts w:ascii="Times New Roman" w:hAnsi="Times New Roman" w:cs="Times New Roman"/>
          <w:sz w:val="24"/>
          <w:szCs w:val="24"/>
        </w:rPr>
        <w:t xml:space="preserve"> with</w:t>
      </w:r>
      <w:r>
        <w:rPr>
          <w:rFonts w:ascii="Times New Roman" w:hAnsi="Times New Roman" w:cs="Times New Roman"/>
          <w:sz w:val="24"/>
          <w:szCs w:val="24"/>
        </w:rPr>
        <w:t xml:space="preserve"> and without </w:t>
      </w:r>
      <w:r w:rsidRPr="003C6269">
        <w:rPr>
          <w:rFonts w:ascii="Times New Roman" w:hAnsi="Times New Roman" w:cs="Times New Roman"/>
          <w:sz w:val="24"/>
          <w:szCs w:val="24"/>
        </w:rPr>
        <w:t>active TB to</w:t>
      </w:r>
      <w:r>
        <w:rPr>
          <w:rFonts w:ascii="Times New Roman" w:hAnsi="Times New Roman" w:cs="Times New Roman"/>
          <w:sz w:val="24"/>
          <w:szCs w:val="24"/>
        </w:rPr>
        <w:t xml:space="preserve"> estimate differences in sensitivity and specificity, respectively. This approach exploits </w:t>
      </w:r>
      <w:r w:rsidRPr="00957E32">
        <w:rPr>
          <w:rFonts w:ascii="Times New Roman" w:hAnsi="Times New Roman" w:cs="Times New Roman"/>
          <w:sz w:val="24"/>
          <w:szCs w:val="24"/>
        </w:rPr>
        <w:t>the paired nature of the data</w:t>
      </w:r>
      <w:r>
        <w:rPr>
          <w:rFonts w:ascii="Times New Roman" w:hAnsi="Times New Roman" w:cs="Times New Roman"/>
          <w:sz w:val="24"/>
          <w:szCs w:val="24"/>
        </w:rPr>
        <w:t xml:space="preserve"> whilst allowing use of all available data if test results were missing for either IGRA</w:t>
      </w:r>
      <w:r w:rsidRPr="00957E32">
        <w:rPr>
          <w:rFonts w:ascii="Times New Roman" w:hAnsi="Times New Roman" w:cs="Times New Roman"/>
          <w:sz w:val="24"/>
          <w:szCs w:val="24"/>
        </w:rPr>
        <w:t>.</w:t>
      </w:r>
      <w:r>
        <w:rPr>
          <w:rFonts w:ascii="Times New Roman" w:hAnsi="Times New Roman" w:cs="Times New Roman"/>
          <w:sz w:val="24"/>
          <w:szCs w:val="24"/>
        </w:rPr>
        <w:t xml:space="preserve"> </w:t>
      </w:r>
      <w:r w:rsidR="00C30728">
        <w:rPr>
          <w:rFonts w:ascii="Times New Roman" w:hAnsi="Times New Roman" w:cs="Times New Roman"/>
          <w:sz w:val="24"/>
          <w:szCs w:val="24"/>
        </w:rPr>
        <w:t xml:space="preserve">We computed </w:t>
      </w:r>
      <w:r w:rsidR="00C30728" w:rsidRPr="00957E32">
        <w:rPr>
          <w:rFonts w:ascii="Times New Roman" w:hAnsi="Times New Roman" w:cs="Times New Roman"/>
          <w:sz w:val="24"/>
          <w:szCs w:val="24"/>
        </w:rPr>
        <w:t>ratios of sensitivities (relative</w:t>
      </w:r>
      <w:r w:rsidR="00B56B52">
        <w:rPr>
          <w:rFonts w:ascii="Times New Roman" w:hAnsi="Times New Roman" w:cs="Times New Roman"/>
          <w:sz w:val="24"/>
          <w:szCs w:val="24"/>
        </w:rPr>
        <w:t>-</w:t>
      </w:r>
      <w:r w:rsidR="00C30728" w:rsidRPr="00957E32">
        <w:rPr>
          <w:rFonts w:ascii="Times New Roman" w:hAnsi="Times New Roman" w:cs="Times New Roman"/>
          <w:sz w:val="24"/>
          <w:szCs w:val="24"/>
        </w:rPr>
        <w:t>sensitivity) and specificities (relative</w:t>
      </w:r>
      <w:r w:rsidR="00B56B52">
        <w:rPr>
          <w:rFonts w:ascii="Times New Roman" w:hAnsi="Times New Roman" w:cs="Times New Roman"/>
          <w:sz w:val="24"/>
          <w:szCs w:val="24"/>
        </w:rPr>
        <w:t>-</w:t>
      </w:r>
      <w:r w:rsidR="00C30728" w:rsidRPr="00957E32">
        <w:rPr>
          <w:rFonts w:ascii="Times New Roman" w:hAnsi="Times New Roman" w:cs="Times New Roman"/>
          <w:sz w:val="24"/>
          <w:szCs w:val="24"/>
        </w:rPr>
        <w:t xml:space="preserve">specificity) </w:t>
      </w:r>
      <w:r w:rsidR="00C30728">
        <w:rPr>
          <w:rFonts w:ascii="Times New Roman" w:hAnsi="Times New Roman" w:cs="Times New Roman"/>
          <w:sz w:val="24"/>
          <w:szCs w:val="24"/>
        </w:rPr>
        <w:t xml:space="preserve">from the </w:t>
      </w:r>
      <w:r>
        <w:rPr>
          <w:rFonts w:ascii="Times New Roman" w:hAnsi="Times New Roman" w:cs="Times New Roman"/>
          <w:sz w:val="24"/>
          <w:szCs w:val="24"/>
        </w:rPr>
        <w:t xml:space="preserve">GEE </w:t>
      </w:r>
      <w:r w:rsidR="00C30728">
        <w:rPr>
          <w:rFonts w:ascii="Times New Roman" w:hAnsi="Times New Roman" w:cs="Times New Roman"/>
          <w:sz w:val="24"/>
          <w:szCs w:val="24"/>
        </w:rPr>
        <w:t xml:space="preserve">models using a </w:t>
      </w:r>
      <w:r w:rsidR="00C30728" w:rsidRPr="00957E32">
        <w:rPr>
          <w:rFonts w:ascii="Times New Roman" w:hAnsi="Times New Roman" w:cs="Times New Roman"/>
          <w:sz w:val="24"/>
          <w:szCs w:val="24"/>
        </w:rPr>
        <w:t>post</w:t>
      </w:r>
      <w:r w:rsidR="00C30728">
        <w:rPr>
          <w:rFonts w:ascii="Times New Roman" w:hAnsi="Times New Roman" w:cs="Times New Roman"/>
          <w:sz w:val="24"/>
          <w:szCs w:val="24"/>
        </w:rPr>
        <w:t>-</w:t>
      </w:r>
      <w:r w:rsidR="00C30728" w:rsidRPr="00957E32">
        <w:rPr>
          <w:rFonts w:ascii="Times New Roman" w:hAnsi="Times New Roman" w:cs="Times New Roman"/>
          <w:sz w:val="24"/>
          <w:szCs w:val="24"/>
        </w:rPr>
        <w:t xml:space="preserve">estimation </w:t>
      </w:r>
      <w:r w:rsidR="00C30728">
        <w:rPr>
          <w:rFonts w:ascii="Times New Roman" w:hAnsi="Times New Roman" w:cs="Times New Roman"/>
          <w:sz w:val="24"/>
          <w:szCs w:val="24"/>
        </w:rPr>
        <w:t xml:space="preserve">procedure with </w:t>
      </w:r>
      <w:r w:rsidR="000C52B8">
        <w:rPr>
          <w:rFonts w:ascii="Times New Roman" w:hAnsi="Times New Roman" w:cs="Times New Roman"/>
          <w:sz w:val="24"/>
          <w:szCs w:val="24"/>
        </w:rPr>
        <w:t>CI</w:t>
      </w:r>
      <w:r w:rsidR="00C30728" w:rsidRPr="00957E32">
        <w:rPr>
          <w:rFonts w:ascii="Times New Roman" w:hAnsi="Times New Roman" w:cs="Times New Roman"/>
          <w:sz w:val="24"/>
          <w:szCs w:val="24"/>
        </w:rPr>
        <w:t>s computed using the delta method.</w:t>
      </w:r>
      <w:r w:rsidR="00C30728">
        <w:rPr>
          <w:rFonts w:ascii="Times New Roman" w:hAnsi="Times New Roman" w:cs="Times New Roman"/>
          <w:sz w:val="24"/>
          <w:szCs w:val="24"/>
        </w:rPr>
        <w:t xml:space="preserve"> </w:t>
      </w:r>
      <w:r w:rsidR="009D7B4D" w:rsidRPr="00957E32">
        <w:rPr>
          <w:rFonts w:ascii="Times New Roman" w:hAnsi="Times New Roman" w:cs="Times New Roman"/>
          <w:sz w:val="24"/>
          <w:szCs w:val="24"/>
        </w:rPr>
        <w:t>Analyses were performed using Stata, version 13.0 (Stata, College Station, Texas).</w:t>
      </w:r>
    </w:p>
    <w:p w14:paraId="66BE90A7" w14:textId="5817D62D" w:rsidR="00263E5E" w:rsidRDefault="00263E5E">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Role of the funding source</w:t>
      </w:r>
    </w:p>
    <w:p w14:paraId="2580646D" w14:textId="1467426F" w:rsidR="00263E5E" w:rsidRPr="00263E5E" w:rsidRDefault="00263E5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study funder</w:t>
      </w:r>
      <w:r w:rsidR="008674BB">
        <w:rPr>
          <w:rFonts w:ascii="Times New Roman" w:hAnsi="Times New Roman" w:cs="Times New Roman"/>
          <w:sz w:val="24"/>
          <w:szCs w:val="24"/>
        </w:rPr>
        <w:t>, the National Institute for Health Research (NIHR),</w:t>
      </w:r>
      <w:r>
        <w:rPr>
          <w:rFonts w:ascii="Times New Roman" w:hAnsi="Times New Roman" w:cs="Times New Roman"/>
          <w:sz w:val="24"/>
          <w:szCs w:val="24"/>
        </w:rPr>
        <w:t xml:space="preserve"> played no role in study design</w:t>
      </w:r>
      <w:r w:rsidR="0014424C">
        <w:rPr>
          <w:rFonts w:ascii="Times New Roman" w:hAnsi="Times New Roman" w:cs="Times New Roman"/>
          <w:sz w:val="24"/>
          <w:szCs w:val="24"/>
        </w:rPr>
        <w:t>, data</w:t>
      </w:r>
      <w:r>
        <w:rPr>
          <w:rFonts w:ascii="Times New Roman" w:hAnsi="Times New Roman" w:cs="Times New Roman"/>
          <w:sz w:val="24"/>
          <w:szCs w:val="24"/>
        </w:rPr>
        <w:t xml:space="preserve"> collection, analysis</w:t>
      </w:r>
      <w:r w:rsidR="00D72727">
        <w:rPr>
          <w:rFonts w:ascii="Times New Roman" w:hAnsi="Times New Roman" w:cs="Times New Roman"/>
          <w:sz w:val="24"/>
          <w:szCs w:val="24"/>
        </w:rPr>
        <w:t xml:space="preserve"> or</w:t>
      </w:r>
      <w:r>
        <w:rPr>
          <w:rFonts w:ascii="Times New Roman" w:hAnsi="Times New Roman" w:cs="Times New Roman"/>
          <w:sz w:val="24"/>
          <w:szCs w:val="24"/>
        </w:rPr>
        <w:t xml:space="preserve"> interpretation</w:t>
      </w:r>
      <w:r w:rsidR="00D72727">
        <w:rPr>
          <w:rFonts w:ascii="Times New Roman" w:hAnsi="Times New Roman" w:cs="Times New Roman"/>
          <w:sz w:val="24"/>
          <w:szCs w:val="24"/>
        </w:rPr>
        <w:t>,</w:t>
      </w:r>
      <w:r>
        <w:rPr>
          <w:rFonts w:ascii="Times New Roman" w:hAnsi="Times New Roman" w:cs="Times New Roman"/>
          <w:sz w:val="24"/>
          <w:szCs w:val="24"/>
        </w:rPr>
        <w:t xml:space="preserve"> </w:t>
      </w:r>
      <w:r w:rsidR="0014424C">
        <w:rPr>
          <w:rFonts w:ascii="Times New Roman" w:hAnsi="Times New Roman" w:cs="Times New Roman"/>
          <w:sz w:val="24"/>
          <w:szCs w:val="24"/>
        </w:rPr>
        <w:t>or</w:t>
      </w:r>
      <w:r>
        <w:rPr>
          <w:rFonts w:ascii="Times New Roman" w:hAnsi="Times New Roman" w:cs="Times New Roman"/>
          <w:sz w:val="24"/>
          <w:szCs w:val="24"/>
        </w:rPr>
        <w:t xml:space="preserve"> writing </w:t>
      </w:r>
      <w:r w:rsidR="0014424C">
        <w:rPr>
          <w:rFonts w:ascii="Times New Roman" w:hAnsi="Times New Roman" w:cs="Times New Roman"/>
          <w:sz w:val="24"/>
          <w:szCs w:val="24"/>
        </w:rPr>
        <w:t xml:space="preserve">of </w:t>
      </w:r>
      <w:r>
        <w:rPr>
          <w:rFonts w:ascii="Times New Roman" w:hAnsi="Times New Roman" w:cs="Times New Roman"/>
          <w:sz w:val="24"/>
          <w:szCs w:val="24"/>
        </w:rPr>
        <w:t>the report</w:t>
      </w:r>
      <w:r w:rsidR="0014424C">
        <w:rPr>
          <w:rFonts w:ascii="Times New Roman" w:hAnsi="Times New Roman" w:cs="Times New Roman"/>
          <w:sz w:val="24"/>
          <w:szCs w:val="24"/>
        </w:rPr>
        <w:t xml:space="preserve">. The corresponding author had full access to all data </w:t>
      </w:r>
      <w:r w:rsidR="00D72727">
        <w:rPr>
          <w:rFonts w:ascii="Times New Roman" w:hAnsi="Times New Roman" w:cs="Times New Roman"/>
          <w:sz w:val="24"/>
          <w:szCs w:val="24"/>
        </w:rPr>
        <w:t>in the study and had final responsibility for the decision to submit for publication</w:t>
      </w:r>
      <w:r>
        <w:rPr>
          <w:rFonts w:ascii="Times New Roman" w:hAnsi="Times New Roman" w:cs="Times New Roman"/>
          <w:sz w:val="24"/>
          <w:szCs w:val="24"/>
        </w:rPr>
        <w:t>.</w:t>
      </w:r>
    </w:p>
    <w:p w14:paraId="48EBC215" w14:textId="77777777" w:rsidR="00BC2259" w:rsidRDefault="00BC2259">
      <w:pPr>
        <w:spacing w:after="0" w:line="480" w:lineRule="auto"/>
        <w:jc w:val="both"/>
        <w:rPr>
          <w:rFonts w:ascii="Times New Roman" w:hAnsi="Times New Roman" w:cs="Times New Roman"/>
          <w:b/>
          <w:sz w:val="24"/>
          <w:szCs w:val="24"/>
        </w:rPr>
      </w:pPr>
    </w:p>
    <w:p w14:paraId="5B9C9398" w14:textId="6AED36BE" w:rsidR="00BC2259" w:rsidRPr="004B4FD2" w:rsidRDefault="00A54526" w:rsidP="001B1048">
      <w:pPr>
        <w:spacing w:after="0" w:line="480" w:lineRule="auto"/>
        <w:jc w:val="both"/>
        <w:rPr>
          <w:rFonts w:ascii="Times New Roman" w:hAnsi="Times New Roman" w:cs="Times New Roman"/>
          <w:sz w:val="24"/>
          <w:szCs w:val="24"/>
        </w:rPr>
      </w:pPr>
      <w:r w:rsidRPr="00957E32">
        <w:rPr>
          <w:rFonts w:ascii="Times New Roman" w:hAnsi="Times New Roman" w:cs="Times New Roman"/>
          <w:b/>
          <w:sz w:val="24"/>
          <w:szCs w:val="24"/>
        </w:rPr>
        <w:t>RESULTS</w:t>
      </w:r>
      <w:r w:rsidR="00E36ABA" w:rsidRPr="00957E32">
        <w:rPr>
          <w:rFonts w:ascii="Times New Roman" w:hAnsi="Times New Roman" w:cs="Times New Roman"/>
          <w:b/>
          <w:sz w:val="24"/>
          <w:szCs w:val="24"/>
        </w:rPr>
        <w:t xml:space="preserve"> </w:t>
      </w:r>
    </w:p>
    <w:p w14:paraId="686293D3" w14:textId="17816F6E" w:rsidR="00AF2E71" w:rsidRPr="00957E32" w:rsidRDefault="00AF2E71" w:rsidP="001B1048">
      <w:pPr>
        <w:spacing w:after="0" w:line="480" w:lineRule="auto"/>
        <w:jc w:val="both"/>
        <w:rPr>
          <w:rFonts w:ascii="Times New Roman" w:hAnsi="Times New Roman" w:cs="Times New Roman"/>
          <w:b/>
          <w:sz w:val="24"/>
          <w:szCs w:val="24"/>
        </w:rPr>
      </w:pPr>
      <w:r w:rsidRPr="00957E32">
        <w:rPr>
          <w:rFonts w:ascii="Times New Roman" w:hAnsi="Times New Roman" w:cs="Times New Roman"/>
          <w:b/>
          <w:sz w:val="24"/>
          <w:szCs w:val="24"/>
        </w:rPr>
        <w:t>P</w:t>
      </w:r>
      <w:r w:rsidR="00FF5697" w:rsidRPr="00957E32">
        <w:rPr>
          <w:rFonts w:ascii="Times New Roman" w:hAnsi="Times New Roman" w:cs="Times New Roman"/>
          <w:b/>
          <w:sz w:val="24"/>
          <w:szCs w:val="24"/>
        </w:rPr>
        <w:t>articipant flow</w:t>
      </w:r>
    </w:p>
    <w:p w14:paraId="7C4AB452" w14:textId="46E07331" w:rsidR="00B63A90" w:rsidRPr="00504A04" w:rsidRDefault="00FF5697" w:rsidP="001B1048">
      <w:pPr>
        <w:spacing w:after="0" w:line="480" w:lineRule="auto"/>
        <w:jc w:val="both"/>
        <w:rPr>
          <w:rFonts w:ascii="Times New Roman" w:hAnsi="Times New Roman" w:cs="Times New Roman"/>
          <w:sz w:val="24"/>
          <w:szCs w:val="24"/>
        </w:rPr>
      </w:pPr>
      <w:r w:rsidRPr="00957E32">
        <w:rPr>
          <w:rFonts w:ascii="Times New Roman" w:hAnsi="Times New Roman" w:cs="Times New Roman"/>
          <w:sz w:val="24"/>
          <w:szCs w:val="24"/>
        </w:rPr>
        <w:t xml:space="preserve">Participant flow in the study is shown in Figure 1. </w:t>
      </w:r>
      <w:r w:rsidR="009619E7">
        <w:rPr>
          <w:rFonts w:ascii="Times New Roman" w:hAnsi="Times New Roman" w:cs="Times New Roman"/>
          <w:sz w:val="24"/>
          <w:szCs w:val="24"/>
        </w:rPr>
        <w:t>P</w:t>
      </w:r>
      <w:r w:rsidR="00AF2E71" w:rsidRPr="00957E32">
        <w:rPr>
          <w:rFonts w:ascii="Times New Roman" w:hAnsi="Times New Roman" w:cs="Times New Roman"/>
          <w:sz w:val="24"/>
          <w:szCs w:val="24"/>
        </w:rPr>
        <w:t xml:space="preserve">atients </w:t>
      </w:r>
      <w:r w:rsidR="009619E7">
        <w:rPr>
          <w:rFonts w:ascii="Times New Roman" w:hAnsi="Times New Roman" w:cs="Times New Roman"/>
          <w:sz w:val="24"/>
          <w:szCs w:val="24"/>
        </w:rPr>
        <w:t xml:space="preserve">(n=1,060) </w:t>
      </w:r>
      <w:r w:rsidR="00AF2E71" w:rsidRPr="00957E32">
        <w:rPr>
          <w:rFonts w:ascii="Times New Roman" w:hAnsi="Times New Roman" w:cs="Times New Roman"/>
          <w:sz w:val="24"/>
          <w:szCs w:val="24"/>
        </w:rPr>
        <w:t xml:space="preserve">with suspected active TB were </w:t>
      </w:r>
      <w:r w:rsidR="00BA26EA" w:rsidRPr="00957E32">
        <w:rPr>
          <w:rFonts w:ascii="Times New Roman" w:hAnsi="Times New Roman" w:cs="Times New Roman"/>
          <w:sz w:val="24"/>
          <w:szCs w:val="24"/>
        </w:rPr>
        <w:t>consented</w:t>
      </w:r>
      <w:r w:rsidR="00CF2105">
        <w:rPr>
          <w:rFonts w:ascii="Times New Roman" w:hAnsi="Times New Roman" w:cs="Times New Roman"/>
          <w:sz w:val="24"/>
          <w:szCs w:val="24"/>
        </w:rPr>
        <w:t xml:space="preserve"> and enrolled</w:t>
      </w:r>
      <w:r w:rsidR="00AF2E71" w:rsidRPr="00957E32">
        <w:rPr>
          <w:rFonts w:ascii="Times New Roman" w:hAnsi="Times New Roman" w:cs="Times New Roman"/>
          <w:sz w:val="24"/>
          <w:szCs w:val="24"/>
        </w:rPr>
        <w:t xml:space="preserve"> between </w:t>
      </w:r>
      <w:r w:rsidR="00983EC7">
        <w:rPr>
          <w:rFonts w:ascii="Times New Roman" w:hAnsi="Times New Roman" w:cs="Times New Roman"/>
          <w:sz w:val="24"/>
          <w:szCs w:val="24"/>
        </w:rPr>
        <w:t xml:space="preserve">25 </w:t>
      </w:r>
      <w:r w:rsidR="00AF2E71" w:rsidRPr="00957E32">
        <w:rPr>
          <w:rFonts w:ascii="Times New Roman" w:hAnsi="Times New Roman" w:cs="Times New Roman"/>
          <w:sz w:val="24"/>
          <w:szCs w:val="24"/>
        </w:rPr>
        <w:t xml:space="preserve">November 2011 and </w:t>
      </w:r>
      <w:r w:rsidR="00983EC7">
        <w:rPr>
          <w:rFonts w:ascii="Times New Roman" w:hAnsi="Times New Roman" w:cs="Times New Roman"/>
          <w:sz w:val="24"/>
          <w:szCs w:val="24"/>
        </w:rPr>
        <w:t xml:space="preserve">31 </w:t>
      </w:r>
      <w:r w:rsidR="00AF2E71" w:rsidRPr="00957E32">
        <w:rPr>
          <w:rFonts w:ascii="Times New Roman" w:hAnsi="Times New Roman" w:cs="Times New Roman"/>
          <w:sz w:val="24"/>
          <w:szCs w:val="24"/>
        </w:rPr>
        <w:t xml:space="preserve">August 2013. </w:t>
      </w:r>
      <w:r w:rsidR="00715B73">
        <w:rPr>
          <w:rFonts w:ascii="Times New Roman" w:hAnsi="Times New Roman" w:cs="Times New Roman"/>
          <w:sz w:val="24"/>
          <w:szCs w:val="24"/>
        </w:rPr>
        <w:t>Those</w:t>
      </w:r>
      <w:r w:rsidR="003F29D5" w:rsidRPr="00957E32">
        <w:rPr>
          <w:rFonts w:ascii="Times New Roman" w:hAnsi="Times New Roman" w:cs="Times New Roman"/>
          <w:sz w:val="24"/>
          <w:szCs w:val="24"/>
        </w:rPr>
        <w:t xml:space="preserve"> </w:t>
      </w:r>
      <w:r w:rsidR="00D2409A">
        <w:rPr>
          <w:rFonts w:ascii="Times New Roman" w:hAnsi="Times New Roman" w:cs="Times New Roman"/>
          <w:sz w:val="24"/>
          <w:szCs w:val="24"/>
        </w:rPr>
        <w:t>with</w:t>
      </w:r>
      <w:r w:rsidR="003F29D5" w:rsidRPr="00957E32">
        <w:rPr>
          <w:rFonts w:ascii="Times New Roman" w:hAnsi="Times New Roman" w:cs="Times New Roman"/>
          <w:sz w:val="24"/>
          <w:szCs w:val="24"/>
        </w:rPr>
        <w:t xml:space="preserve"> a history of pr</w:t>
      </w:r>
      <w:r w:rsidR="007E6D33">
        <w:rPr>
          <w:rFonts w:ascii="Times New Roman" w:hAnsi="Times New Roman" w:cs="Times New Roman"/>
          <w:sz w:val="24"/>
          <w:szCs w:val="24"/>
        </w:rPr>
        <w:t>ior</w:t>
      </w:r>
      <w:r w:rsidR="003F29D5" w:rsidRPr="00957E32">
        <w:rPr>
          <w:rFonts w:ascii="Times New Roman" w:hAnsi="Times New Roman" w:cs="Times New Roman"/>
          <w:sz w:val="24"/>
          <w:szCs w:val="24"/>
        </w:rPr>
        <w:t xml:space="preserve"> </w:t>
      </w:r>
      <w:r w:rsidR="007E6D33">
        <w:rPr>
          <w:rFonts w:ascii="Times New Roman" w:hAnsi="Times New Roman" w:cs="Times New Roman"/>
          <w:sz w:val="24"/>
          <w:szCs w:val="24"/>
        </w:rPr>
        <w:t xml:space="preserve">TB </w:t>
      </w:r>
      <w:r w:rsidR="003B4280">
        <w:rPr>
          <w:rFonts w:ascii="Times New Roman" w:hAnsi="Times New Roman" w:cs="Times New Roman"/>
          <w:sz w:val="24"/>
          <w:szCs w:val="24"/>
        </w:rPr>
        <w:t>diagnosis</w:t>
      </w:r>
      <w:r w:rsidR="00715B73">
        <w:rPr>
          <w:rFonts w:ascii="Times New Roman" w:hAnsi="Times New Roman" w:cs="Times New Roman"/>
          <w:sz w:val="24"/>
          <w:szCs w:val="24"/>
        </w:rPr>
        <w:t xml:space="preserve"> (n=99)</w:t>
      </w:r>
      <w:r w:rsidR="00D2409A" w:rsidRPr="00D2409A">
        <w:rPr>
          <w:rFonts w:ascii="Times New Roman" w:hAnsi="Times New Roman" w:cs="Times New Roman"/>
          <w:sz w:val="24"/>
          <w:szCs w:val="24"/>
        </w:rPr>
        <w:t xml:space="preserve"> </w:t>
      </w:r>
      <w:r w:rsidR="00D2409A" w:rsidRPr="00957E32">
        <w:rPr>
          <w:rFonts w:ascii="Times New Roman" w:hAnsi="Times New Roman" w:cs="Times New Roman"/>
          <w:sz w:val="24"/>
          <w:szCs w:val="24"/>
        </w:rPr>
        <w:t>were excluded from analyses</w:t>
      </w:r>
      <w:r w:rsidR="00A2548E">
        <w:rPr>
          <w:rFonts w:ascii="Times New Roman" w:hAnsi="Times New Roman" w:cs="Times New Roman"/>
          <w:sz w:val="24"/>
          <w:szCs w:val="24"/>
        </w:rPr>
        <w:t>, as in previous studies</w:t>
      </w:r>
      <w:r w:rsidR="003F29D5" w:rsidRPr="00957E32">
        <w:rPr>
          <w:rFonts w:ascii="Times New Roman" w:hAnsi="Times New Roman" w:cs="Times New Roman"/>
          <w:sz w:val="24"/>
          <w:szCs w:val="24"/>
        </w:rPr>
        <w:t>.</w:t>
      </w:r>
      <w:r w:rsidR="00936085">
        <w:rPr>
          <w:rFonts w:ascii="Times New Roman" w:hAnsi="Times New Roman" w:cs="Times New Roman"/>
          <w:sz w:val="24"/>
          <w:szCs w:val="24"/>
          <w:vertAlign w:val="superscript"/>
        </w:rPr>
        <w:t>1</w:t>
      </w:r>
      <w:r w:rsidR="00646126">
        <w:rPr>
          <w:rFonts w:ascii="Times New Roman" w:hAnsi="Times New Roman" w:cs="Times New Roman"/>
          <w:sz w:val="24"/>
          <w:szCs w:val="24"/>
          <w:vertAlign w:val="superscript"/>
        </w:rPr>
        <w:t>2</w:t>
      </w:r>
      <w:r w:rsidR="003F29D5" w:rsidRPr="00957E32">
        <w:rPr>
          <w:rFonts w:ascii="Times New Roman" w:hAnsi="Times New Roman" w:cs="Times New Roman"/>
          <w:sz w:val="24"/>
          <w:szCs w:val="24"/>
        </w:rPr>
        <w:t xml:space="preserve"> A</w:t>
      </w:r>
      <w:r w:rsidR="00136E40">
        <w:rPr>
          <w:rFonts w:ascii="Times New Roman" w:hAnsi="Times New Roman" w:cs="Times New Roman"/>
          <w:sz w:val="24"/>
          <w:szCs w:val="24"/>
        </w:rPr>
        <w:t>dditionally,</w:t>
      </w:r>
      <w:r w:rsidR="003F29D5" w:rsidRPr="00957E32">
        <w:rPr>
          <w:rFonts w:ascii="Times New Roman" w:hAnsi="Times New Roman" w:cs="Times New Roman"/>
          <w:sz w:val="24"/>
          <w:szCs w:val="24"/>
        </w:rPr>
        <w:t xml:space="preserve"> </w:t>
      </w:r>
      <w:r w:rsidR="00CA2547" w:rsidRPr="00957E32">
        <w:rPr>
          <w:rFonts w:ascii="Times New Roman" w:hAnsi="Times New Roman" w:cs="Times New Roman"/>
          <w:sz w:val="24"/>
          <w:szCs w:val="24"/>
        </w:rPr>
        <w:t>116</w:t>
      </w:r>
      <w:r w:rsidR="003F29D5" w:rsidRPr="00957E32">
        <w:rPr>
          <w:rFonts w:ascii="Times New Roman" w:hAnsi="Times New Roman" w:cs="Times New Roman"/>
          <w:sz w:val="24"/>
          <w:szCs w:val="24"/>
        </w:rPr>
        <w:t xml:space="preserve"> patients were excluded for reasons </w:t>
      </w:r>
      <w:r w:rsidR="009537F9">
        <w:rPr>
          <w:rFonts w:ascii="Times New Roman" w:hAnsi="Times New Roman" w:cs="Times New Roman"/>
          <w:sz w:val="24"/>
          <w:szCs w:val="24"/>
        </w:rPr>
        <w:t xml:space="preserve">provided </w:t>
      </w:r>
      <w:r w:rsidR="003F29D5" w:rsidRPr="00957E32">
        <w:rPr>
          <w:rFonts w:ascii="Times New Roman" w:hAnsi="Times New Roman" w:cs="Times New Roman"/>
          <w:sz w:val="24"/>
          <w:szCs w:val="24"/>
        </w:rPr>
        <w:t>in Figure 1</w:t>
      </w:r>
      <w:r w:rsidR="00B63A90">
        <w:rPr>
          <w:rFonts w:ascii="Times New Roman" w:hAnsi="Times New Roman" w:cs="Times New Roman"/>
          <w:sz w:val="24"/>
          <w:szCs w:val="24"/>
        </w:rPr>
        <w:t>,</w:t>
      </w:r>
      <w:r w:rsidR="003F29D5" w:rsidRPr="00957E32">
        <w:rPr>
          <w:rFonts w:ascii="Times New Roman" w:hAnsi="Times New Roman" w:cs="Times New Roman"/>
          <w:sz w:val="24"/>
          <w:szCs w:val="24"/>
        </w:rPr>
        <w:t xml:space="preserve"> giving a final study population of </w:t>
      </w:r>
      <w:r w:rsidR="00AF2E71" w:rsidRPr="00957E32">
        <w:rPr>
          <w:rFonts w:ascii="Times New Roman" w:hAnsi="Times New Roman" w:cs="Times New Roman"/>
          <w:sz w:val="24"/>
          <w:szCs w:val="24"/>
        </w:rPr>
        <w:t>845 patients.</w:t>
      </w:r>
    </w:p>
    <w:p w14:paraId="17D4CB71" w14:textId="3FFA3186" w:rsidR="00451CB6" w:rsidRPr="00957E32" w:rsidRDefault="00B663E8" w:rsidP="001B1048">
      <w:pPr>
        <w:spacing w:after="0" w:line="480" w:lineRule="auto"/>
        <w:jc w:val="both"/>
        <w:rPr>
          <w:rFonts w:ascii="Times New Roman" w:hAnsi="Times New Roman" w:cs="Times New Roman"/>
          <w:b/>
          <w:sz w:val="24"/>
          <w:szCs w:val="24"/>
        </w:rPr>
      </w:pPr>
      <w:r w:rsidRPr="00957E32">
        <w:rPr>
          <w:rFonts w:ascii="Times New Roman" w:hAnsi="Times New Roman" w:cs="Times New Roman"/>
          <w:b/>
          <w:sz w:val="24"/>
          <w:szCs w:val="24"/>
        </w:rPr>
        <w:t>Demographic</w:t>
      </w:r>
      <w:r w:rsidR="00312499" w:rsidRPr="00957E32">
        <w:rPr>
          <w:rFonts w:ascii="Times New Roman" w:hAnsi="Times New Roman" w:cs="Times New Roman"/>
          <w:b/>
          <w:sz w:val="24"/>
          <w:szCs w:val="24"/>
        </w:rPr>
        <w:t xml:space="preserve"> &amp;</w:t>
      </w:r>
      <w:r w:rsidR="00451CB6" w:rsidRPr="00957E32">
        <w:rPr>
          <w:rFonts w:ascii="Times New Roman" w:hAnsi="Times New Roman" w:cs="Times New Roman"/>
          <w:b/>
          <w:sz w:val="24"/>
          <w:szCs w:val="24"/>
        </w:rPr>
        <w:t xml:space="preserve"> clinical characteristics </w:t>
      </w:r>
    </w:p>
    <w:p w14:paraId="39A4DEE5" w14:textId="689122B8" w:rsidR="00B63A90" w:rsidRPr="00957E32" w:rsidRDefault="00B663E8" w:rsidP="001B1048">
      <w:pPr>
        <w:spacing w:after="0" w:line="480" w:lineRule="auto"/>
        <w:jc w:val="both"/>
        <w:rPr>
          <w:rFonts w:ascii="Times New Roman" w:hAnsi="Times New Roman" w:cs="Times New Roman"/>
          <w:sz w:val="24"/>
          <w:szCs w:val="24"/>
        </w:rPr>
      </w:pPr>
      <w:r w:rsidRPr="00957E32">
        <w:rPr>
          <w:rFonts w:ascii="Times New Roman" w:hAnsi="Times New Roman" w:cs="Times New Roman"/>
          <w:sz w:val="24"/>
          <w:szCs w:val="24"/>
        </w:rPr>
        <w:t>Demographic</w:t>
      </w:r>
      <w:r w:rsidR="00FF5697" w:rsidRPr="00957E32">
        <w:rPr>
          <w:rFonts w:ascii="Times New Roman" w:hAnsi="Times New Roman" w:cs="Times New Roman"/>
          <w:sz w:val="24"/>
          <w:szCs w:val="24"/>
        </w:rPr>
        <w:t xml:space="preserve"> and clinical characteristics for the </w:t>
      </w:r>
      <w:r w:rsidRPr="00957E32">
        <w:rPr>
          <w:rFonts w:ascii="Times New Roman" w:hAnsi="Times New Roman" w:cs="Times New Roman"/>
          <w:sz w:val="24"/>
          <w:szCs w:val="24"/>
        </w:rPr>
        <w:t xml:space="preserve">final study population </w:t>
      </w:r>
      <w:r w:rsidR="00FF5697" w:rsidRPr="00957E32">
        <w:rPr>
          <w:rFonts w:ascii="Times New Roman" w:hAnsi="Times New Roman" w:cs="Times New Roman"/>
          <w:sz w:val="24"/>
          <w:szCs w:val="24"/>
        </w:rPr>
        <w:t xml:space="preserve">are shown in </w:t>
      </w:r>
      <w:r w:rsidR="00455974" w:rsidRPr="00957E32">
        <w:rPr>
          <w:rFonts w:ascii="Times New Roman" w:hAnsi="Times New Roman" w:cs="Times New Roman"/>
          <w:sz w:val="24"/>
          <w:szCs w:val="24"/>
        </w:rPr>
        <w:t>Table 2</w:t>
      </w:r>
      <w:r w:rsidR="00FF5697" w:rsidRPr="00957E32">
        <w:rPr>
          <w:rFonts w:ascii="Times New Roman" w:hAnsi="Times New Roman" w:cs="Times New Roman"/>
          <w:sz w:val="24"/>
          <w:szCs w:val="24"/>
        </w:rPr>
        <w:t>. The median age of the cohort was 38</w:t>
      </w:r>
      <w:r w:rsidR="00136E40">
        <w:rPr>
          <w:rFonts w:ascii="Times New Roman" w:hAnsi="Times New Roman" w:cs="Times New Roman"/>
          <w:sz w:val="24"/>
          <w:szCs w:val="24"/>
        </w:rPr>
        <w:t>y</w:t>
      </w:r>
      <w:r w:rsidR="00FF5697" w:rsidRPr="00957E32">
        <w:rPr>
          <w:rFonts w:ascii="Times New Roman" w:hAnsi="Times New Roman" w:cs="Times New Roman"/>
          <w:sz w:val="24"/>
          <w:szCs w:val="24"/>
        </w:rPr>
        <w:t xml:space="preserve"> (range 16-</w:t>
      </w:r>
      <w:r w:rsidR="002240D6" w:rsidRPr="00957E32">
        <w:rPr>
          <w:rFonts w:ascii="Times New Roman" w:hAnsi="Times New Roman" w:cs="Times New Roman"/>
          <w:sz w:val="24"/>
          <w:szCs w:val="24"/>
        </w:rPr>
        <w:t>86</w:t>
      </w:r>
      <w:r w:rsidR="0080774C">
        <w:rPr>
          <w:rFonts w:ascii="Times New Roman" w:hAnsi="Times New Roman" w:cs="Times New Roman"/>
          <w:sz w:val="24"/>
          <w:szCs w:val="24"/>
        </w:rPr>
        <w:t>y</w:t>
      </w:r>
      <w:r w:rsidR="002240D6" w:rsidRPr="00957E32">
        <w:rPr>
          <w:rFonts w:ascii="Times New Roman" w:hAnsi="Times New Roman" w:cs="Times New Roman"/>
          <w:sz w:val="24"/>
          <w:szCs w:val="24"/>
        </w:rPr>
        <w:t>)</w:t>
      </w:r>
      <w:r w:rsidR="00AE3F4D">
        <w:rPr>
          <w:rFonts w:ascii="Times New Roman" w:hAnsi="Times New Roman" w:cs="Times New Roman"/>
          <w:sz w:val="24"/>
          <w:szCs w:val="24"/>
        </w:rPr>
        <w:t>;</w:t>
      </w:r>
      <w:r w:rsidR="00FF5697" w:rsidRPr="00957E32">
        <w:rPr>
          <w:rFonts w:ascii="Times New Roman" w:hAnsi="Times New Roman" w:cs="Times New Roman"/>
          <w:sz w:val="24"/>
          <w:szCs w:val="24"/>
        </w:rPr>
        <w:t xml:space="preserve"> </w:t>
      </w:r>
      <w:r w:rsidR="0076214B">
        <w:rPr>
          <w:rFonts w:ascii="Times New Roman" w:hAnsi="Times New Roman" w:cs="Times New Roman"/>
          <w:sz w:val="24"/>
          <w:szCs w:val="24"/>
        </w:rPr>
        <w:t xml:space="preserve">501/845 </w:t>
      </w:r>
      <w:r w:rsidR="009537F9">
        <w:rPr>
          <w:rFonts w:ascii="Times New Roman" w:hAnsi="Times New Roman" w:cs="Times New Roman"/>
          <w:sz w:val="24"/>
          <w:szCs w:val="24"/>
        </w:rPr>
        <w:t>(</w:t>
      </w:r>
      <w:r w:rsidR="002240D6" w:rsidRPr="00957E32">
        <w:rPr>
          <w:rFonts w:ascii="Times New Roman" w:hAnsi="Times New Roman" w:cs="Times New Roman"/>
          <w:sz w:val="24"/>
          <w:szCs w:val="24"/>
        </w:rPr>
        <w:t>59%</w:t>
      </w:r>
      <w:r w:rsidR="0076214B">
        <w:rPr>
          <w:rFonts w:ascii="Times New Roman" w:hAnsi="Times New Roman" w:cs="Times New Roman"/>
          <w:sz w:val="24"/>
          <w:szCs w:val="24"/>
        </w:rPr>
        <w:t>)</w:t>
      </w:r>
      <w:r w:rsidR="002240D6" w:rsidRPr="00957E32">
        <w:rPr>
          <w:rFonts w:ascii="Times New Roman" w:hAnsi="Times New Roman" w:cs="Times New Roman"/>
          <w:sz w:val="24"/>
          <w:szCs w:val="24"/>
        </w:rPr>
        <w:t xml:space="preserve"> </w:t>
      </w:r>
      <w:r w:rsidR="00A4189A" w:rsidRPr="00957E32">
        <w:rPr>
          <w:rFonts w:ascii="Times New Roman" w:hAnsi="Times New Roman" w:cs="Times New Roman"/>
          <w:sz w:val="24"/>
          <w:szCs w:val="24"/>
        </w:rPr>
        <w:t xml:space="preserve">were </w:t>
      </w:r>
      <w:r w:rsidR="002240D6" w:rsidRPr="00957E32">
        <w:rPr>
          <w:rFonts w:ascii="Times New Roman" w:hAnsi="Times New Roman" w:cs="Times New Roman"/>
          <w:sz w:val="24"/>
          <w:szCs w:val="24"/>
        </w:rPr>
        <w:t>male</w:t>
      </w:r>
      <w:r w:rsidR="00A4189A" w:rsidRPr="00957E32">
        <w:rPr>
          <w:rFonts w:ascii="Times New Roman" w:hAnsi="Times New Roman" w:cs="Times New Roman"/>
          <w:sz w:val="24"/>
          <w:szCs w:val="24"/>
        </w:rPr>
        <w:t xml:space="preserve">, and </w:t>
      </w:r>
      <w:r w:rsidR="0076214B">
        <w:rPr>
          <w:rFonts w:ascii="Times New Roman" w:hAnsi="Times New Roman" w:cs="Times New Roman"/>
          <w:sz w:val="24"/>
          <w:szCs w:val="24"/>
        </w:rPr>
        <w:t>412/845 (</w:t>
      </w:r>
      <w:r w:rsidR="002240D6" w:rsidRPr="00957E32">
        <w:rPr>
          <w:rFonts w:ascii="Times New Roman" w:hAnsi="Times New Roman" w:cs="Times New Roman"/>
          <w:sz w:val="24"/>
          <w:szCs w:val="24"/>
        </w:rPr>
        <w:t>48%</w:t>
      </w:r>
      <w:r w:rsidR="0076214B">
        <w:rPr>
          <w:rFonts w:ascii="Times New Roman" w:hAnsi="Times New Roman" w:cs="Times New Roman"/>
          <w:sz w:val="24"/>
          <w:szCs w:val="24"/>
        </w:rPr>
        <w:t>)</w:t>
      </w:r>
      <w:r w:rsidR="002240D6" w:rsidRPr="00957E32">
        <w:rPr>
          <w:rFonts w:ascii="Times New Roman" w:hAnsi="Times New Roman" w:cs="Times New Roman"/>
          <w:sz w:val="24"/>
          <w:szCs w:val="24"/>
        </w:rPr>
        <w:t xml:space="preserve"> </w:t>
      </w:r>
      <w:r w:rsidR="00A4189A" w:rsidRPr="00957E32">
        <w:rPr>
          <w:rFonts w:ascii="Times New Roman" w:hAnsi="Times New Roman" w:cs="Times New Roman"/>
          <w:sz w:val="24"/>
          <w:szCs w:val="24"/>
        </w:rPr>
        <w:t xml:space="preserve">were </w:t>
      </w:r>
      <w:r w:rsidR="002240D6" w:rsidRPr="00957E32">
        <w:rPr>
          <w:rFonts w:ascii="Times New Roman" w:hAnsi="Times New Roman" w:cs="Times New Roman"/>
          <w:sz w:val="24"/>
          <w:szCs w:val="24"/>
        </w:rPr>
        <w:t xml:space="preserve">of Indian </w:t>
      </w:r>
      <w:r w:rsidRPr="00957E32">
        <w:rPr>
          <w:rFonts w:ascii="Times New Roman" w:hAnsi="Times New Roman" w:cs="Times New Roman"/>
          <w:sz w:val="24"/>
          <w:szCs w:val="24"/>
        </w:rPr>
        <w:t xml:space="preserve">Subcontinent </w:t>
      </w:r>
      <w:r w:rsidR="002240D6" w:rsidRPr="00957E32">
        <w:rPr>
          <w:rFonts w:ascii="Times New Roman" w:hAnsi="Times New Roman" w:cs="Times New Roman"/>
          <w:sz w:val="24"/>
          <w:szCs w:val="24"/>
        </w:rPr>
        <w:t>origin</w:t>
      </w:r>
      <w:r w:rsidR="00A4189A" w:rsidRPr="00957E32">
        <w:rPr>
          <w:rFonts w:ascii="Times New Roman" w:hAnsi="Times New Roman" w:cs="Times New Roman"/>
          <w:sz w:val="24"/>
          <w:szCs w:val="24"/>
        </w:rPr>
        <w:t xml:space="preserve">. </w:t>
      </w:r>
      <w:r w:rsidR="006A07C5" w:rsidRPr="00957E32">
        <w:rPr>
          <w:rFonts w:ascii="Times New Roman" w:hAnsi="Times New Roman" w:cs="Times New Roman"/>
          <w:sz w:val="24"/>
          <w:szCs w:val="24"/>
        </w:rPr>
        <w:t xml:space="preserve">One or more co-morbidities were reported in </w:t>
      </w:r>
      <w:r w:rsidR="0076214B">
        <w:rPr>
          <w:rFonts w:ascii="Times New Roman" w:hAnsi="Times New Roman" w:cs="Times New Roman"/>
          <w:sz w:val="24"/>
          <w:szCs w:val="24"/>
        </w:rPr>
        <w:lastRenderedPageBreak/>
        <w:t>427/845 (</w:t>
      </w:r>
      <w:r w:rsidR="006A07C5" w:rsidRPr="00957E32">
        <w:rPr>
          <w:rFonts w:ascii="Times New Roman" w:hAnsi="Times New Roman" w:cs="Times New Roman"/>
          <w:sz w:val="24"/>
          <w:szCs w:val="24"/>
        </w:rPr>
        <w:t>5</w:t>
      </w:r>
      <w:r w:rsidR="0076214B">
        <w:rPr>
          <w:rFonts w:ascii="Times New Roman" w:hAnsi="Times New Roman" w:cs="Times New Roman"/>
          <w:sz w:val="24"/>
          <w:szCs w:val="24"/>
        </w:rPr>
        <w:t>1</w:t>
      </w:r>
      <w:r w:rsidR="006A07C5" w:rsidRPr="00957E32">
        <w:rPr>
          <w:rFonts w:ascii="Times New Roman" w:hAnsi="Times New Roman" w:cs="Times New Roman"/>
          <w:sz w:val="24"/>
          <w:szCs w:val="24"/>
        </w:rPr>
        <w:t>%</w:t>
      </w:r>
      <w:r w:rsidR="0076214B">
        <w:rPr>
          <w:rFonts w:ascii="Times New Roman" w:hAnsi="Times New Roman" w:cs="Times New Roman"/>
          <w:sz w:val="24"/>
          <w:szCs w:val="24"/>
        </w:rPr>
        <w:t>)</w:t>
      </w:r>
      <w:r w:rsidR="006A07C5" w:rsidRPr="00957E32">
        <w:rPr>
          <w:rFonts w:ascii="Times New Roman" w:hAnsi="Times New Roman" w:cs="Times New Roman"/>
          <w:sz w:val="24"/>
          <w:szCs w:val="24"/>
        </w:rPr>
        <w:t xml:space="preserve"> participants</w:t>
      </w:r>
      <w:r w:rsidR="00D35D38" w:rsidRPr="00957E32">
        <w:rPr>
          <w:rFonts w:ascii="Times New Roman" w:hAnsi="Times New Roman" w:cs="Times New Roman"/>
          <w:sz w:val="24"/>
          <w:szCs w:val="24"/>
        </w:rPr>
        <w:t xml:space="preserve"> (Table 2)</w:t>
      </w:r>
      <w:r w:rsidR="00AE3F4D">
        <w:rPr>
          <w:rFonts w:ascii="Times New Roman" w:hAnsi="Times New Roman" w:cs="Times New Roman"/>
          <w:sz w:val="24"/>
          <w:szCs w:val="24"/>
        </w:rPr>
        <w:t>. M</w:t>
      </w:r>
      <w:r w:rsidR="00671FC4">
        <w:rPr>
          <w:rFonts w:ascii="Times New Roman" w:hAnsi="Times New Roman" w:cs="Times New Roman"/>
          <w:sz w:val="24"/>
          <w:szCs w:val="24"/>
        </w:rPr>
        <w:t xml:space="preserve">edications at presentation are shown in </w:t>
      </w:r>
      <w:r w:rsidR="0080774C">
        <w:rPr>
          <w:rFonts w:ascii="Times New Roman" w:hAnsi="Times New Roman" w:cs="Times New Roman"/>
          <w:sz w:val="24"/>
          <w:szCs w:val="24"/>
        </w:rPr>
        <w:t>the Appendix (</w:t>
      </w:r>
      <w:r w:rsidR="00671FC4">
        <w:rPr>
          <w:rFonts w:ascii="Times New Roman" w:hAnsi="Times New Roman" w:cs="Times New Roman"/>
          <w:sz w:val="24"/>
          <w:szCs w:val="24"/>
        </w:rPr>
        <w:t>Supplementary Table 1</w:t>
      </w:r>
      <w:r w:rsidR="0080774C">
        <w:rPr>
          <w:rFonts w:ascii="Times New Roman" w:hAnsi="Times New Roman" w:cs="Times New Roman"/>
          <w:sz w:val="24"/>
          <w:szCs w:val="24"/>
        </w:rPr>
        <w:t xml:space="preserve">, page </w:t>
      </w:r>
      <w:r w:rsidR="00C9141C">
        <w:rPr>
          <w:rFonts w:ascii="Times New Roman" w:hAnsi="Times New Roman" w:cs="Times New Roman"/>
          <w:sz w:val="24"/>
          <w:szCs w:val="24"/>
        </w:rPr>
        <w:t>6</w:t>
      </w:r>
      <w:r w:rsidR="0080774C">
        <w:rPr>
          <w:rFonts w:ascii="Times New Roman" w:hAnsi="Times New Roman" w:cs="Times New Roman"/>
          <w:sz w:val="24"/>
          <w:szCs w:val="24"/>
        </w:rPr>
        <w:t>)</w:t>
      </w:r>
      <w:r w:rsidR="00671FC4">
        <w:rPr>
          <w:rFonts w:ascii="Times New Roman" w:hAnsi="Times New Roman" w:cs="Times New Roman"/>
          <w:sz w:val="24"/>
          <w:szCs w:val="24"/>
        </w:rPr>
        <w:t xml:space="preserve">. </w:t>
      </w:r>
      <w:r w:rsidR="00A4189A" w:rsidRPr="00957E32">
        <w:rPr>
          <w:rFonts w:ascii="Times New Roman" w:hAnsi="Times New Roman" w:cs="Times New Roman"/>
          <w:sz w:val="24"/>
          <w:szCs w:val="24"/>
        </w:rPr>
        <w:t xml:space="preserve">The </w:t>
      </w:r>
      <w:r w:rsidR="00D24C85">
        <w:rPr>
          <w:rFonts w:ascii="Times New Roman" w:hAnsi="Times New Roman" w:cs="Times New Roman"/>
          <w:sz w:val="24"/>
          <w:szCs w:val="24"/>
        </w:rPr>
        <w:t xml:space="preserve">most </w:t>
      </w:r>
      <w:r w:rsidRPr="00957E32">
        <w:rPr>
          <w:rFonts w:ascii="Times New Roman" w:hAnsi="Times New Roman" w:cs="Times New Roman"/>
          <w:sz w:val="24"/>
          <w:szCs w:val="24"/>
        </w:rPr>
        <w:t>common</w:t>
      </w:r>
      <w:r w:rsidR="00312499" w:rsidRPr="00957E32">
        <w:rPr>
          <w:rFonts w:ascii="Times New Roman" w:hAnsi="Times New Roman" w:cs="Times New Roman"/>
          <w:sz w:val="24"/>
          <w:szCs w:val="24"/>
        </w:rPr>
        <w:t xml:space="preserve"> symptom</w:t>
      </w:r>
      <w:r w:rsidR="00E36ABA" w:rsidRPr="00957E32">
        <w:rPr>
          <w:rFonts w:ascii="Times New Roman" w:hAnsi="Times New Roman" w:cs="Times New Roman"/>
          <w:sz w:val="24"/>
          <w:szCs w:val="24"/>
        </w:rPr>
        <w:t>s</w:t>
      </w:r>
      <w:r w:rsidR="00312499" w:rsidRPr="00957E32">
        <w:rPr>
          <w:rFonts w:ascii="Times New Roman" w:hAnsi="Times New Roman" w:cs="Times New Roman"/>
          <w:sz w:val="24"/>
          <w:szCs w:val="24"/>
        </w:rPr>
        <w:t xml:space="preserve"> </w:t>
      </w:r>
      <w:r w:rsidR="00136E40" w:rsidRPr="00957E32">
        <w:rPr>
          <w:rFonts w:ascii="Times New Roman" w:hAnsi="Times New Roman" w:cs="Times New Roman"/>
          <w:sz w:val="24"/>
          <w:szCs w:val="24"/>
        </w:rPr>
        <w:t xml:space="preserve">reported </w:t>
      </w:r>
      <w:r w:rsidR="006A07C5" w:rsidRPr="00957E32">
        <w:rPr>
          <w:rFonts w:ascii="Times New Roman" w:hAnsi="Times New Roman" w:cs="Times New Roman"/>
          <w:sz w:val="24"/>
          <w:szCs w:val="24"/>
        </w:rPr>
        <w:t xml:space="preserve">at presentation </w:t>
      </w:r>
      <w:r w:rsidR="00E36ABA" w:rsidRPr="00957E32">
        <w:rPr>
          <w:rFonts w:ascii="Times New Roman" w:hAnsi="Times New Roman" w:cs="Times New Roman"/>
          <w:sz w:val="24"/>
          <w:szCs w:val="24"/>
        </w:rPr>
        <w:t>were</w:t>
      </w:r>
      <w:r w:rsidR="00312499" w:rsidRPr="00957E32">
        <w:rPr>
          <w:rFonts w:ascii="Times New Roman" w:hAnsi="Times New Roman" w:cs="Times New Roman"/>
          <w:sz w:val="24"/>
          <w:szCs w:val="24"/>
        </w:rPr>
        <w:t xml:space="preserve"> cough</w:t>
      </w:r>
      <w:r w:rsidR="00E36ABA" w:rsidRPr="00957E32">
        <w:rPr>
          <w:rFonts w:ascii="Times New Roman" w:hAnsi="Times New Roman" w:cs="Times New Roman"/>
          <w:sz w:val="24"/>
          <w:szCs w:val="24"/>
        </w:rPr>
        <w:t xml:space="preserve">, </w:t>
      </w:r>
      <w:r w:rsidR="00312499" w:rsidRPr="00957E32">
        <w:rPr>
          <w:rFonts w:ascii="Times New Roman" w:hAnsi="Times New Roman" w:cs="Times New Roman"/>
          <w:sz w:val="24"/>
          <w:szCs w:val="24"/>
        </w:rPr>
        <w:t>weight</w:t>
      </w:r>
      <w:r w:rsidR="00136E40">
        <w:rPr>
          <w:rFonts w:ascii="Times New Roman" w:hAnsi="Times New Roman" w:cs="Times New Roman"/>
          <w:sz w:val="24"/>
          <w:szCs w:val="24"/>
        </w:rPr>
        <w:t>-</w:t>
      </w:r>
      <w:r w:rsidR="00312499" w:rsidRPr="00957E32">
        <w:rPr>
          <w:rFonts w:ascii="Times New Roman" w:hAnsi="Times New Roman" w:cs="Times New Roman"/>
          <w:sz w:val="24"/>
          <w:szCs w:val="24"/>
        </w:rPr>
        <w:t>loss</w:t>
      </w:r>
      <w:r w:rsidR="0076214B">
        <w:rPr>
          <w:rFonts w:ascii="Times New Roman" w:hAnsi="Times New Roman" w:cs="Times New Roman"/>
          <w:sz w:val="24"/>
          <w:szCs w:val="24"/>
        </w:rPr>
        <w:t xml:space="preserve"> </w:t>
      </w:r>
      <w:r w:rsidR="00312499" w:rsidRPr="00957E32">
        <w:rPr>
          <w:rFonts w:ascii="Times New Roman" w:hAnsi="Times New Roman" w:cs="Times New Roman"/>
          <w:sz w:val="24"/>
          <w:szCs w:val="24"/>
        </w:rPr>
        <w:t>and lethargy</w:t>
      </w:r>
      <w:r w:rsidR="00A4189A" w:rsidRPr="00957E32">
        <w:rPr>
          <w:rFonts w:ascii="Times New Roman" w:hAnsi="Times New Roman" w:cs="Times New Roman"/>
          <w:sz w:val="24"/>
          <w:szCs w:val="24"/>
        </w:rPr>
        <w:t xml:space="preserve"> </w:t>
      </w:r>
      <w:r w:rsidR="004762B1" w:rsidRPr="00957E32">
        <w:rPr>
          <w:rFonts w:ascii="Times New Roman" w:hAnsi="Times New Roman" w:cs="Times New Roman"/>
          <w:sz w:val="24"/>
          <w:szCs w:val="24"/>
        </w:rPr>
        <w:t>(</w:t>
      </w:r>
      <w:r w:rsidR="0080774C">
        <w:rPr>
          <w:rFonts w:ascii="Times New Roman" w:hAnsi="Times New Roman" w:cs="Times New Roman"/>
          <w:sz w:val="24"/>
          <w:szCs w:val="24"/>
        </w:rPr>
        <w:t xml:space="preserve">Appendix: </w:t>
      </w:r>
      <w:r w:rsidR="00042FA0" w:rsidRPr="00957E32">
        <w:rPr>
          <w:rFonts w:ascii="Times New Roman" w:hAnsi="Times New Roman" w:cs="Times New Roman"/>
          <w:sz w:val="24"/>
          <w:szCs w:val="24"/>
        </w:rPr>
        <w:t>S</w:t>
      </w:r>
      <w:r w:rsidR="004762B1" w:rsidRPr="00957E32">
        <w:rPr>
          <w:rFonts w:ascii="Times New Roman" w:hAnsi="Times New Roman" w:cs="Times New Roman"/>
          <w:sz w:val="24"/>
          <w:szCs w:val="24"/>
        </w:rPr>
        <w:t xml:space="preserve">upplementary </w:t>
      </w:r>
      <w:r w:rsidR="00967196" w:rsidRPr="00957E32">
        <w:rPr>
          <w:rFonts w:ascii="Times New Roman" w:hAnsi="Times New Roman" w:cs="Times New Roman"/>
          <w:sz w:val="24"/>
          <w:szCs w:val="24"/>
        </w:rPr>
        <w:t>T</w:t>
      </w:r>
      <w:r w:rsidR="004762B1" w:rsidRPr="00957E32">
        <w:rPr>
          <w:rFonts w:ascii="Times New Roman" w:hAnsi="Times New Roman" w:cs="Times New Roman"/>
          <w:sz w:val="24"/>
          <w:szCs w:val="24"/>
        </w:rPr>
        <w:t xml:space="preserve">able </w:t>
      </w:r>
      <w:r w:rsidR="00647A63">
        <w:rPr>
          <w:rFonts w:ascii="Times New Roman" w:hAnsi="Times New Roman" w:cs="Times New Roman"/>
          <w:sz w:val="24"/>
          <w:szCs w:val="24"/>
        </w:rPr>
        <w:t>2</w:t>
      </w:r>
      <w:r w:rsidR="0080774C">
        <w:rPr>
          <w:rFonts w:ascii="Times New Roman" w:hAnsi="Times New Roman" w:cs="Times New Roman"/>
          <w:sz w:val="24"/>
          <w:szCs w:val="24"/>
        </w:rPr>
        <w:t xml:space="preserve">, page </w:t>
      </w:r>
      <w:r w:rsidR="00C9141C">
        <w:rPr>
          <w:rFonts w:ascii="Times New Roman" w:hAnsi="Times New Roman" w:cs="Times New Roman"/>
          <w:sz w:val="24"/>
          <w:szCs w:val="24"/>
        </w:rPr>
        <w:t>7</w:t>
      </w:r>
      <w:r w:rsidR="004762B1" w:rsidRPr="00957E32">
        <w:rPr>
          <w:rFonts w:ascii="Times New Roman" w:hAnsi="Times New Roman" w:cs="Times New Roman"/>
          <w:sz w:val="24"/>
          <w:szCs w:val="24"/>
        </w:rPr>
        <w:t>)</w:t>
      </w:r>
      <w:r w:rsidR="000A0CBC" w:rsidRPr="00957E32">
        <w:rPr>
          <w:rFonts w:ascii="Times New Roman" w:hAnsi="Times New Roman" w:cs="Times New Roman"/>
          <w:sz w:val="24"/>
          <w:szCs w:val="24"/>
        </w:rPr>
        <w:t>.</w:t>
      </w:r>
    </w:p>
    <w:p w14:paraId="136032E4" w14:textId="27C5812B" w:rsidR="006A07C5" w:rsidRPr="00957E32" w:rsidRDefault="000D2885" w:rsidP="001B1048">
      <w:pPr>
        <w:spacing w:after="0" w:line="480" w:lineRule="auto"/>
        <w:jc w:val="both"/>
        <w:rPr>
          <w:rFonts w:ascii="Times New Roman" w:hAnsi="Times New Roman" w:cs="Times New Roman"/>
          <w:b/>
          <w:sz w:val="24"/>
          <w:szCs w:val="24"/>
        </w:rPr>
      </w:pPr>
      <w:r w:rsidRPr="00957E32">
        <w:rPr>
          <w:rFonts w:ascii="Times New Roman" w:hAnsi="Times New Roman" w:cs="Times New Roman"/>
          <w:b/>
          <w:sz w:val="24"/>
          <w:szCs w:val="24"/>
        </w:rPr>
        <w:t>Diagnostic classification of patients</w:t>
      </w:r>
    </w:p>
    <w:p w14:paraId="17277A60" w14:textId="1AC788C6" w:rsidR="00B63A90" w:rsidRPr="00504A04" w:rsidRDefault="00715B73" w:rsidP="001B104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Among the study cohort</w:t>
      </w:r>
      <w:r w:rsidR="000D2885" w:rsidRPr="00957E32">
        <w:rPr>
          <w:rFonts w:ascii="Times New Roman" w:hAnsi="Times New Roman" w:cs="Times New Roman"/>
          <w:sz w:val="24"/>
          <w:szCs w:val="24"/>
        </w:rPr>
        <w:t>,</w:t>
      </w:r>
      <w:r w:rsidR="006A07C5" w:rsidRPr="00957E32">
        <w:rPr>
          <w:rFonts w:ascii="Times New Roman" w:hAnsi="Times New Roman" w:cs="Times New Roman"/>
          <w:sz w:val="24"/>
          <w:szCs w:val="24"/>
        </w:rPr>
        <w:t xml:space="preserve"> 363</w:t>
      </w:r>
      <w:r w:rsidR="0076214B">
        <w:rPr>
          <w:rFonts w:ascii="Times New Roman" w:hAnsi="Times New Roman" w:cs="Times New Roman"/>
          <w:sz w:val="24"/>
          <w:szCs w:val="24"/>
        </w:rPr>
        <w:t>/845</w:t>
      </w:r>
      <w:r w:rsidR="000D2885" w:rsidRPr="00957E32">
        <w:rPr>
          <w:rFonts w:ascii="Times New Roman" w:hAnsi="Times New Roman" w:cs="Times New Roman"/>
          <w:sz w:val="24"/>
          <w:szCs w:val="24"/>
        </w:rPr>
        <w:t xml:space="preserve"> patients</w:t>
      </w:r>
      <w:r w:rsidR="006A07C5" w:rsidRPr="00957E32">
        <w:rPr>
          <w:rFonts w:ascii="Times New Roman" w:hAnsi="Times New Roman" w:cs="Times New Roman"/>
          <w:sz w:val="24"/>
          <w:szCs w:val="24"/>
        </w:rPr>
        <w:t xml:space="preserve"> (43%) had </w:t>
      </w:r>
      <w:r w:rsidR="000D2885" w:rsidRPr="00957E32">
        <w:rPr>
          <w:rFonts w:ascii="Times New Roman" w:hAnsi="Times New Roman" w:cs="Times New Roman"/>
          <w:sz w:val="24"/>
          <w:szCs w:val="24"/>
        </w:rPr>
        <w:t>a final diagnosis of active TB</w:t>
      </w:r>
      <w:r w:rsidR="00D35D38" w:rsidRPr="00957E32">
        <w:rPr>
          <w:rFonts w:ascii="Times New Roman" w:hAnsi="Times New Roman" w:cs="Times New Roman"/>
          <w:sz w:val="24"/>
          <w:szCs w:val="24"/>
        </w:rPr>
        <w:t xml:space="preserve"> (Table 1);</w:t>
      </w:r>
      <w:r w:rsidR="000D2885" w:rsidRPr="00957E32">
        <w:rPr>
          <w:rFonts w:ascii="Times New Roman" w:hAnsi="Times New Roman" w:cs="Times New Roman"/>
          <w:sz w:val="24"/>
          <w:szCs w:val="24"/>
        </w:rPr>
        <w:t xml:space="preserve"> </w:t>
      </w:r>
      <w:r w:rsidR="006A07C5" w:rsidRPr="00957E32">
        <w:rPr>
          <w:rFonts w:ascii="Times New Roman" w:hAnsi="Times New Roman" w:cs="Times New Roman"/>
          <w:sz w:val="24"/>
          <w:szCs w:val="24"/>
        </w:rPr>
        <w:t>261</w:t>
      </w:r>
      <w:r w:rsidR="0076214B">
        <w:rPr>
          <w:rFonts w:ascii="Times New Roman" w:hAnsi="Times New Roman" w:cs="Times New Roman"/>
          <w:sz w:val="24"/>
          <w:szCs w:val="24"/>
        </w:rPr>
        <w:t>/845</w:t>
      </w:r>
      <w:r w:rsidR="006A07C5" w:rsidRPr="00957E32">
        <w:rPr>
          <w:rFonts w:ascii="Times New Roman" w:hAnsi="Times New Roman" w:cs="Times New Roman"/>
          <w:sz w:val="24"/>
          <w:szCs w:val="24"/>
        </w:rPr>
        <w:t xml:space="preserve"> </w:t>
      </w:r>
      <w:r w:rsidR="00224DA1">
        <w:rPr>
          <w:rFonts w:ascii="Times New Roman" w:hAnsi="Times New Roman" w:cs="Times New Roman"/>
          <w:sz w:val="24"/>
          <w:szCs w:val="24"/>
        </w:rPr>
        <w:t xml:space="preserve">(31%) </w:t>
      </w:r>
      <w:r w:rsidR="006A07C5" w:rsidRPr="00957E32">
        <w:rPr>
          <w:rFonts w:ascii="Times New Roman" w:hAnsi="Times New Roman" w:cs="Times New Roman"/>
          <w:sz w:val="24"/>
          <w:szCs w:val="24"/>
        </w:rPr>
        <w:t>culture</w:t>
      </w:r>
      <w:r w:rsidR="007E6D33">
        <w:rPr>
          <w:rFonts w:ascii="Times New Roman" w:hAnsi="Times New Roman" w:cs="Times New Roman"/>
          <w:sz w:val="24"/>
          <w:szCs w:val="24"/>
        </w:rPr>
        <w:t>-</w:t>
      </w:r>
      <w:r w:rsidR="000D2885" w:rsidRPr="00957E32">
        <w:rPr>
          <w:rFonts w:ascii="Times New Roman" w:hAnsi="Times New Roman" w:cs="Times New Roman"/>
          <w:sz w:val="24"/>
          <w:szCs w:val="24"/>
        </w:rPr>
        <w:t>confirm</w:t>
      </w:r>
      <w:r w:rsidR="003E2465">
        <w:rPr>
          <w:rFonts w:ascii="Times New Roman" w:hAnsi="Times New Roman" w:cs="Times New Roman"/>
          <w:sz w:val="24"/>
          <w:szCs w:val="24"/>
        </w:rPr>
        <w:t>ed</w:t>
      </w:r>
      <w:r w:rsidR="006A07C5" w:rsidRPr="00957E32">
        <w:rPr>
          <w:rFonts w:ascii="Times New Roman" w:hAnsi="Times New Roman" w:cs="Times New Roman"/>
          <w:sz w:val="24"/>
          <w:szCs w:val="24"/>
        </w:rPr>
        <w:t xml:space="preserve"> (category 1), </w:t>
      </w:r>
      <w:r w:rsidR="000D2885" w:rsidRPr="00957E32">
        <w:rPr>
          <w:rFonts w:ascii="Times New Roman" w:hAnsi="Times New Roman" w:cs="Times New Roman"/>
          <w:sz w:val="24"/>
          <w:szCs w:val="24"/>
        </w:rPr>
        <w:t>and</w:t>
      </w:r>
      <w:r w:rsidR="006A07C5" w:rsidRPr="00957E32">
        <w:rPr>
          <w:rFonts w:ascii="Times New Roman" w:hAnsi="Times New Roman" w:cs="Times New Roman"/>
          <w:sz w:val="24"/>
          <w:szCs w:val="24"/>
        </w:rPr>
        <w:t xml:space="preserve"> 102</w:t>
      </w:r>
      <w:r w:rsidR="0076214B">
        <w:rPr>
          <w:rFonts w:ascii="Times New Roman" w:hAnsi="Times New Roman" w:cs="Times New Roman"/>
          <w:sz w:val="24"/>
          <w:szCs w:val="24"/>
        </w:rPr>
        <w:t>/845</w:t>
      </w:r>
      <w:r w:rsidR="00224DA1">
        <w:rPr>
          <w:rFonts w:ascii="Times New Roman" w:hAnsi="Times New Roman" w:cs="Times New Roman"/>
          <w:sz w:val="24"/>
          <w:szCs w:val="24"/>
        </w:rPr>
        <w:t xml:space="preserve"> (12%)</w:t>
      </w:r>
      <w:r w:rsidR="006A07C5" w:rsidRPr="00957E32">
        <w:rPr>
          <w:rFonts w:ascii="Times New Roman" w:hAnsi="Times New Roman" w:cs="Times New Roman"/>
          <w:sz w:val="24"/>
          <w:szCs w:val="24"/>
        </w:rPr>
        <w:t xml:space="preserve"> </w:t>
      </w:r>
      <w:r w:rsidR="00BD038C">
        <w:rPr>
          <w:rFonts w:ascii="Times New Roman" w:hAnsi="Times New Roman" w:cs="Times New Roman"/>
          <w:sz w:val="24"/>
          <w:szCs w:val="24"/>
        </w:rPr>
        <w:t>highly-probable</w:t>
      </w:r>
      <w:r w:rsidR="006A07C5" w:rsidRPr="00957E32">
        <w:rPr>
          <w:rFonts w:ascii="Times New Roman" w:hAnsi="Times New Roman" w:cs="Times New Roman"/>
          <w:sz w:val="24"/>
          <w:szCs w:val="24"/>
        </w:rPr>
        <w:t xml:space="preserve"> (Category 2). </w:t>
      </w:r>
      <w:r w:rsidR="003806AB" w:rsidRPr="00FB4C81">
        <w:rPr>
          <w:rFonts w:ascii="Times New Roman" w:hAnsi="Times New Roman" w:cs="Times New Roman"/>
          <w:sz w:val="24"/>
          <w:szCs w:val="24"/>
        </w:rPr>
        <w:t xml:space="preserve">Of all active TB cases (categories 1 and 2), </w:t>
      </w:r>
      <w:r w:rsidR="00D27EC6">
        <w:rPr>
          <w:rFonts w:ascii="Times New Roman" w:hAnsi="Times New Roman" w:cs="Times New Roman"/>
          <w:sz w:val="24"/>
          <w:szCs w:val="24"/>
        </w:rPr>
        <w:t>129/363 (</w:t>
      </w:r>
      <w:r w:rsidR="003806AB" w:rsidRPr="00FB4C81">
        <w:rPr>
          <w:rFonts w:ascii="Times New Roman" w:hAnsi="Times New Roman" w:cs="Times New Roman"/>
          <w:sz w:val="24"/>
          <w:szCs w:val="24"/>
        </w:rPr>
        <w:t>36%</w:t>
      </w:r>
      <w:r w:rsidR="00D27EC6">
        <w:rPr>
          <w:rFonts w:ascii="Times New Roman" w:hAnsi="Times New Roman" w:cs="Times New Roman"/>
          <w:sz w:val="24"/>
          <w:szCs w:val="24"/>
        </w:rPr>
        <w:t>)</w:t>
      </w:r>
      <w:r w:rsidR="003806AB" w:rsidRPr="00FB4C81">
        <w:rPr>
          <w:rFonts w:ascii="Times New Roman" w:hAnsi="Times New Roman" w:cs="Times New Roman"/>
          <w:sz w:val="24"/>
          <w:szCs w:val="24"/>
        </w:rPr>
        <w:t xml:space="preserve"> were pulmonary, </w:t>
      </w:r>
      <w:r w:rsidR="00D27EC6">
        <w:rPr>
          <w:rFonts w:ascii="Times New Roman" w:hAnsi="Times New Roman" w:cs="Times New Roman"/>
          <w:sz w:val="24"/>
          <w:szCs w:val="24"/>
        </w:rPr>
        <w:t>189/363 (</w:t>
      </w:r>
      <w:r w:rsidR="003806AB" w:rsidRPr="00FB4C81">
        <w:rPr>
          <w:rFonts w:ascii="Times New Roman" w:hAnsi="Times New Roman" w:cs="Times New Roman"/>
          <w:sz w:val="24"/>
          <w:szCs w:val="24"/>
        </w:rPr>
        <w:t>52%</w:t>
      </w:r>
      <w:r w:rsidR="00D27EC6">
        <w:rPr>
          <w:rFonts w:ascii="Times New Roman" w:hAnsi="Times New Roman" w:cs="Times New Roman"/>
          <w:sz w:val="24"/>
          <w:szCs w:val="24"/>
        </w:rPr>
        <w:t>)</w:t>
      </w:r>
      <w:r w:rsidR="003806AB" w:rsidRPr="00FB4C81">
        <w:rPr>
          <w:rFonts w:ascii="Times New Roman" w:hAnsi="Times New Roman" w:cs="Times New Roman"/>
          <w:sz w:val="24"/>
          <w:szCs w:val="24"/>
        </w:rPr>
        <w:t xml:space="preserve"> were extra-pulmonary and </w:t>
      </w:r>
      <w:r w:rsidR="00D27EC6">
        <w:rPr>
          <w:rFonts w:ascii="Times New Roman" w:hAnsi="Times New Roman" w:cs="Times New Roman"/>
          <w:sz w:val="24"/>
          <w:szCs w:val="24"/>
        </w:rPr>
        <w:t>45/363 (</w:t>
      </w:r>
      <w:r w:rsidR="003806AB" w:rsidRPr="00FB4C81">
        <w:rPr>
          <w:rFonts w:ascii="Times New Roman" w:hAnsi="Times New Roman" w:cs="Times New Roman"/>
          <w:sz w:val="24"/>
          <w:szCs w:val="24"/>
        </w:rPr>
        <w:t>12%</w:t>
      </w:r>
      <w:r w:rsidR="00D27EC6">
        <w:rPr>
          <w:rFonts w:ascii="Times New Roman" w:hAnsi="Times New Roman" w:cs="Times New Roman"/>
          <w:sz w:val="24"/>
          <w:szCs w:val="24"/>
        </w:rPr>
        <w:t>)</w:t>
      </w:r>
      <w:r w:rsidR="003806AB" w:rsidRPr="00FB4C81">
        <w:rPr>
          <w:rFonts w:ascii="Times New Roman" w:hAnsi="Times New Roman" w:cs="Times New Roman"/>
          <w:sz w:val="24"/>
          <w:szCs w:val="24"/>
        </w:rPr>
        <w:t xml:space="preserve"> </w:t>
      </w:r>
      <w:r>
        <w:rPr>
          <w:rFonts w:ascii="Times New Roman" w:hAnsi="Times New Roman" w:cs="Times New Roman"/>
          <w:sz w:val="24"/>
          <w:szCs w:val="24"/>
        </w:rPr>
        <w:t>were</w:t>
      </w:r>
      <w:r w:rsidR="003806AB" w:rsidRPr="00FB4C81">
        <w:rPr>
          <w:rFonts w:ascii="Times New Roman" w:hAnsi="Times New Roman" w:cs="Times New Roman"/>
          <w:sz w:val="24"/>
          <w:szCs w:val="24"/>
        </w:rPr>
        <w:t xml:space="preserve"> both (Table 3)</w:t>
      </w:r>
      <w:r w:rsidR="00DD0D50">
        <w:rPr>
          <w:rFonts w:ascii="Times New Roman" w:hAnsi="Times New Roman" w:cs="Times New Roman"/>
          <w:sz w:val="24"/>
          <w:szCs w:val="24"/>
        </w:rPr>
        <w:t>;</w:t>
      </w:r>
      <w:r w:rsidR="003806AB" w:rsidRPr="00FB4C81">
        <w:rPr>
          <w:rFonts w:ascii="Times New Roman" w:hAnsi="Times New Roman" w:cs="Times New Roman"/>
          <w:sz w:val="24"/>
          <w:szCs w:val="24"/>
        </w:rPr>
        <w:t xml:space="preserve"> </w:t>
      </w:r>
      <w:r w:rsidR="00AE3F4D">
        <w:rPr>
          <w:rFonts w:ascii="Times New Roman" w:hAnsi="Times New Roman" w:cs="Times New Roman"/>
          <w:sz w:val="24"/>
          <w:szCs w:val="24"/>
        </w:rPr>
        <w:t>m</w:t>
      </w:r>
      <w:r w:rsidR="009537F9" w:rsidRPr="00FB4C81">
        <w:rPr>
          <w:rFonts w:ascii="Times New Roman" w:hAnsi="Times New Roman" w:cs="Times New Roman"/>
          <w:sz w:val="24"/>
          <w:szCs w:val="24"/>
        </w:rPr>
        <w:t>ost</w:t>
      </w:r>
      <w:r w:rsidR="009537F9">
        <w:rPr>
          <w:rFonts w:ascii="Times New Roman" w:hAnsi="Times New Roman" w:cs="Times New Roman"/>
          <w:sz w:val="24"/>
          <w:szCs w:val="24"/>
        </w:rPr>
        <w:t xml:space="preserve"> 154/363 (42%) had</w:t>
      </w:r>
      <w:r w:rsidR="009537F9" w:rsidRPr="00FB4C81">
        <w:rPr>
          <w:rFonts w:ascii="Times New Roman" w:hAnsi="Times New Roman" w:cs="Times New Roman"/>
          <w:sz w:val="24"/>
          <w:szCs w:val="24"/>
        </w:rPr>
        <w:t xml:space="preserve"> lymph node involvement. </w:t>
      </w:r>
      <w:r w:rsidR="009537F9">
        <w:rPr>
          <w:rFonts w:ascii="Times New Roman" w:hAnsi="Times New Roman" w:cs="Times New Roman"/>
          <w:sz w:val="24"/>
          <w:szCs w:val="24"/>
        </w:rPr>
        <w:t xml:space="preserve">Of </w:t>
      </w:r>
      <w:proofErr w:type="spellStart"/>
      <w:r w:rsidR="009537F9">
        <w:rPr>
          <w:rFonts w:ascii="Times New Roman" w:hAnsi="Times New Roman" w:cs="Times New Roman"/>
          <w:sz w:val="24"/>
          <w:szCs w:val="24"/>
        </w:rPr>
        <w:t>Mtb</w:t>
      </w:r>
      <w:proofErr w:type="spellEnd"/>
      <w:r w:rsidR="009537F9" w:rsidRPr="00FB4C81">
        <w:rPr>
          <w:rFonts w:ascii="Times New Roman" w:hAnsi="Times New Roman" w:cs="Times New Roman"/>
          <w:sz w:val="24"/>
          <w:szCs w:val="24"/>
        </w:rPr>
        <w:t xml:space="preserve"> isolates </w:t>
      </w:r>
      <w:r w:rsidR="009537F9">
        <w:rPr>
          <w:rFonts w:ascii="Times New Roman" w:hAnsi="Times New Roman" w:cs="Times New Roman"/>
          <w:sz w:val="24"/>
          <w:szCs w:val="24"/>
        </w:rPr>
        <w:t>undergoing</w:t>
      </w:r>
      <w:r w:rsidR="009537F9" w:rsidRPr="00FB4C81">
        <w:rPr>
          <w:rFonts w:ascii="Times New Roman" w:hAnsi="Times New Roman" w:cs="Times New Roman"/>
          <w:sz w:val="24"/>
          <w:szCs w:val="24"/>
        </w:rPr>
        <w:t xml:space="preserve"> drug-susceptibility testing, 21</w:t>
      </w:r>
      <w:r w:rsidR="009537F9">
        <w:rPr>
          <w:rFonts w:ascii="Times New Roman" w:hAnsi="Times New Roman" w:cs="Times New Roman"/>
          <w:sz w:val="24"/>
          <w:szCs w:val="24"/>
        </w:rPr>
        <w:t>/261</w:t>
      </w:r>
      <w:r w:rsidR="009537F9" w:rsidRPr="00FB4C81">
        <w:rPr>
          <w:rFonts w:ascii="Times New Roman" w:hAnsi="Times New Roman" w:cs="Times New Roman"/>
          <w:sz w:val="24"/>
          <w:szCs w:val="24"/>
        </w:rPr>
        <w:t xml:space="preserve"> (6%) were drug-resistant</w:t>
      </w:r>
      <w:r w:rsidR="009537F9">
        <w:rPr>
          <w:rFonts w:ascii="Times New Roman" w:hAnsi="Times New Roman" w:cs="Times New Roman"/>
          <w:sz w:val="24"/>
          <w:szCs w:val="24"/>
        </w:rPr>
        <w:t xml:space="preserve"> and one was multi-drug-resistant</w:t>
      </w:r>
      <w:r w:rsidR="009537F9" w:rsidRPr="00FB4C81">
        <w:rPr>
          <w:rFonts w:ascii="Times New Roman" w:hAnsi="Times New Roman" w:cs="Times New Roman"/>
          <w:sz w:val="24"/>
          <w:szCs w:val="24"/>
        </w:rPr>
        <w:t>.</w:t>
      </w:r>
      <w:r w:rsidR="009537F9">
        <w:rPr>
          <w:rFonts w:ascii="Times New Roman" w:hAnsi="Times New Roman" w:cs="Times New Roman"/>
          <w:sz w:val="24"/>
          <w:szCs w:val="24"/>
        </w:rPr>
        <w:t xml:space="preserve"> TB was excluded </w:t>
      </w:r>
      <w:r w:rsidR="009537F9" w:rsidRPr="00957E32">
        <w:rPr>
          <w:rFonts w:ascii="Times New Roman" w:hAnsi="Times New Roman" w:cs="Times New Roman"/>
          <w:sz w:val="24"/>
          <w:szCs w:val="24"/>
        </w:rPr>
        <w:t>(category 4)</w:t>
      </w:r>
      <w:r w:rsidR="009537F9">
        <w:rPr>
          <w:rFonts w:ascii="Times New Roman" w:hAnsi="Times New Roman" w:cs="Times New Roman"/>
          <w:sz w:val="24"/>
          <w:szCs w:val="24"/>
        </w:rPr>
        <w:t xml:space="preserve"> in 439/845 </w:t>
      </w:r>
      <w:r w:rsidR="009537F9" w:rsidRPr="00957E32">
        <w:rPr>
          <w:rFonts w:ascii="Times New Roman" w:hAnsi="Times New Roman" w:cs="Times New Roman"/>
          <w:sz w:val="24"/>
          <w:szCs w:val="24"/>
        </w:rPr>
        <w:t>(52%)</w:t>
      </w:r>
      <w:r w:rsidR="009537F9">
        <w:rPr>
          <w:rFonts w:ascii="Times New Roman" w:hAnsi="Times New Roman" w:cs="Times New Roman"/>
          <w:sz w:val="24"/>
          <w:szCs w:val="24"/>
        </w:rPr>
        <w:t xml:space="preserve"> patients. </w:t>
      </w:r>
      <w:r w:rsidR="000D2885" w:rsidRPr="00957E32">
        <w:rPr>
          <w:rFonts w:ascii="Times New Roman" w:hAnsi="Times New Roman" w:cs="Times New Roman"/>
          <w:sz w:val="24"/>
          <w:szCs w:val="24"/>
        </w:rPr>
        <w:t>The</w:t>
      </w:r>
      <w:r w:rsidR="003E102B">
        <w:rPr>
          <w:rFonts w:ascii="Times New Roman" w:hAnsi="Times New Roman" w:cs="Times New Roman"/>
          <w:sz w:val="24"/>
          <w:szCs w:val="24"/>
        </w:rPr>
        <w:t>se were</w:t>
      </w:r>
      <w:r w:rsidR="006A07C5" w:rsidRPr="00957E32">
        <w:rPr>
          <w:rFonts w:ascii="Times New Roman" w:hAnsi="Times New Roman" w:cs="Times New Roman"/>
          <w:sz w:val="24"/>
          <w:szCs w:val="24"/>
        </w:rPr>
        <w:t xml:space="preserve"> </w:t>
      </w:r>
      <w:r w:rsidR="000D2885" w:rsidRPr="00957E32">
        <w:rPr>
          <w:rFonts w:ascii="Times New Roman" w:hAnsi="Times New Roman" w:cs="Times New Roman"/>
          <w:sz w:val="24"/>
          <w:szCs w:val="24"/>
        </w:rPr>
        <w:t xml:space="preserve">sub-classified </w:t>
      </w:r>
      <w:r w:rsidR="006A07C5" w:rsidRPr="00957E32">
        <w:rPr>
          <w:rFonts w:ascii="Times New Roman" w:hAnsi="Times New Roman" w:cs="Times New Roman"/>
          <w:sz w:val="24"/>
          <w:szCs w:val="24"/>
        </w:rPr>
        <w:t>according to risk factors for LTBI</w:t>
      </w:r>
      <w:r w:rsidR="000D2885" w:rsidRPr="00957E32">
        <w:rPr>
          <w:rFonts w:ascii="Times New Roman" w:hAnsi="Times New Roman" w:cs="Times New Roman"/>
          <w:sz w:val="24"/>
          <w:szCs w:val="24"/>
        </w:rPr>
        <w:t xml:space="preserve"> </w:t>
      </w:r>
      <w:r w:rsidR="00A12E70">
        <w:rPr>
          <w:rFonts w:ascii="Times New Roman" w:hAnsi="Times New Roman" w:cs="Times New Roman"/>
          <w:sz w:val="24"/>
          <w:szCs w:val="24"/>
        </w:rPr>
        <w:t xml:space="preserve">or inactive TB </w:t>
      </w:r>
      <w:r w:rsidR="000D2885" w:rsidRPr="00957E32">
        <w:rPr>
          <w:rFonts w:ascii="Times New Roman" w:hAnsi="Times New Roman" w:cs="Times New Roman"/>
          <w:sz w:val="24"/>
          <w:szCs w:val="24"/>
        </w:rPr>
        <w:t>into categories 4A</w:t>
      </w:r>
      <w:r w:rsidR="00DD0D50">
        <w:rPr>
          <w:rFonts w:ascii="Times New Roman" w:hAnsi="Times New Roman" w:cs="Times New Roman"/>
          <w:sz w:val="24"/>
          <w:szCs w:val="24"/>
        </w:rPr>
        <w:t>-</w:t>
      </w:r>
      <w:r w:rsidR="000D2885" w:rsidRPr="00957E32">
        <w:rPr>
          <w:rFonts w:ascii="Times New Roman" w:hAnsi="Times New Roman" w:cs="Times New Roman"/>
          <w:sz w:val="24"/>
          <w:szCs w:val="24"/>
        </w:rPr>
        <w:t xml:space="preserve">D in decreasing likelihood of having </w:t>
      </w:r>
      <w:proofErr w:type="spellStart"/>
      <w:r w:rsidR="000D2885" w:rsidRPr="00957E32">
        <w:rPr>
          <w:rFonts w:ascii="Times New Roman" w:hAnsi="Times New Roman" w:cs="Times New Roman"/>
          <w:sz w:val="24"/>
          <w:szCs w:val="24"/>
        </w:rPr>
        <w:t>Mtb</w:t>
      </w:r>
      <w:proofErr w:type="spellEnd"/>
      <w:r w:rsidR="000D2885" w:rsidRPr="00957E32">
        <w:rPr>
          <w:rFonts w:ascii="Times New Roman" w:hAnsi="Times New Roman" w:cs="Times New Roman"/>
          <w:sz w:val="24"/>
          <w:szCs w:val="24"/>
        </w:rPr>
        <w:t xml:space="preserve"> infection</w:t>
      </w:r>
      <w:r>
        <w:rPr>
          <w:rFonts w:ascii="Times New Roman" w:hAnsi="Times New Roman" w:cs="Times New Roman"/>
          <w:sz w:val="24"/>
          <w:szCs w:val="24"/>
        </w:rPr>
        <w:t xml:space="preserve"> (Table 1)</w:t>
      </w:r>
      <w:r w:rsidR="006A07C5" w:rsidRPr="00957E32">
        <w:rPr>
          <w:rFonts w:ascii="Times New Roman" w:hAnsi="Times New Roman" w:cs="Times New Roman"/>
          <w:sz w:val="24"/>
          <w:szCs w:val="24"/>
        </w:rPr>
        <w:t>.</w:t>
      </w:r>
      <w:r w:rsidR="00AE3F4D">
        <w:rPr>
          <w:rFonts w:ascii="Times New Roman" w:hAnsi="Times New Roman" w:cs="Times New Roman"/>
          <w:sz w:val="24"/>
          <w:szCs w:val="24"/>
          <w:vertAlign w:val="superscript"/>
        </w:rPr>
        <w:t>1</w:t>
      </w:r>
      <w:r w:rsidR="006A07C5" w:rsidRPr="00957E32">
        <w:rPr>
          <w:rFonts w:ascii="Times New Roman" w:hAnsi="Times New Roman" w:cs="Times New Roman"/>
          <w:sz w:val="24"/>
          <w:szCs w:val="24"/>
        </w:rPr>
        <w:t xml:space="preserve"> </w:t>
      </w:r>
      <w:r w:rsidR="00676FD3">
        <w:rPr>
          <w:rFonts w:ascii="Times New Roman" w:hAnsi="Times New Roman" w:cs="Times New Roman"/>
          <w:sz w:val="24"/>
          <w:szCs w:val="24"/>
        </w:rPr>
        <w:t>M</w:t>
      </w:r>
      <w:r w:rsidR="006A07C5" w:rsidRPr="00957E32">
        <w:rPr>
          <w:rFonts w:ascii="Times New Roman" w:hAnsi="Times New Roman" w:cs="Times New Roman"/>
          <w:sz w:val="24"/>
          <w:szCs w:val="24"/>
        </w:rPr>
        <w:t xml:space="preserve">ost common </w:t>
      </w:r>
      <w:r w:rsidR="00DD0D50">
        <w:rPr>
          <w:rFonts w:ascii="Times New Roman" w:hAnsi="Times New Roman" w:cs="Times New Roman"/>
          <w:sz w:val="24"/>
          <w:szCs w:val="24"/>
        </w:rPr>
        <w:t xml:space="preserve">non-TB </w:t>
      </w:r>
      <w:r w:rsidR="006A07C5" w:rsidRPr="00957E32">
        <w:rPr>
          <w:rFonts w:ascii="Times New Roman" w:hAnsi="Times New Roman" w:cs="Times New Roman"/>
          <w:sz w:val="24"/>
          <w:szCs w:val="24"/>
        </w:rPr>
        <w:t xml:space="preserve">diagnoses </w:t>
      </w:r>
      <w:r w:rsidR="00042FA0" w:rsidRPr="00957E32">
        <w:rPr>
          <w:rFonts w:ascii="Times New Roman" w:hAnsi="Times New Roman" w:cs="Times New Roman"/>
          <w:sz w:val="24"/>
          <w:szCs w:val="24"/>
        </w:rPr>
        <w:t xml:space="preserve">are listed in </w:t>
      </w:r>
      <w:r w:rsidR="00C62964" w:rsidRPr="00957E32">
        <w:rPr>
          <w:rFonts w:ascii="Times New Roman" w:hAnsi="Times New Roman" w:cs="Times New Roman"/>
          <w:sz w:val="24"/>
          <w:szCs w:val="24"/>
        </w:rPr>
        <w:t xml:space="preserve">Table </w:t>
      </w:r>
      <w:r w:rsidR="00C65540" w:rsidRPr="00957E32">
        <w:rPr>
          <w:rFonts w:ascii="Times New Roman" w:hAnsi="Times New Roman" w:cs="Times New Roman"/>
          <w:sz w:val="24"/>
          <w:szCs w:val="24"/>
        </w:rPr>
        <w:t>3</w:t>
      </w:r>
      <w:r w:rsidR="00C62964" w:rsidRPr="00957E32">
        <w:rPr>
          <w:rFonts w:ascii="Times New Roman" w:hAnsi="Times New Roman" w:cs="Times New Roman"/>
          <w:sz w:val="24"/>
          <w:szCs w:val="24"/>
        </w:rPr>
        <w:t>.</w:t>
      </w:r>
      <w:r w:rsidR="003E102B" w:rsidRPr="003E102B">
        <w:rPr>
          <w:rFonts w:ascii="Times New Roman" w:hAnsi="Times New Roman" w:cs="Times New Roman"/>
          <w:sz w:val="24"/>
          <w:szCs w:val="24"/>
        </w:rPr>
        <w:t xml:space="preserve"> </w:t>
      </w:r>
      <w:r w:rsidR="004D304F">
        <w:rPr>
          <w:rFonts w:ascii="Times New Roman" w:hAnsi="Times New Roman" w:cs="Times New Roman"/>
          <w:sz w:val="24"/>
          <w:szCs w:val="24"/>
        </w:rPr>
        <w:t>Only 43/845</w:t>
      </w:r>
      <w:r w:rsidR="003E102B" w:rsidRPr="00957E32">
        <w:rPr>
          <w:rFonts w:ascii="Times New Roman" w:hAnsi="Times New Roman" w:cs="Times New Roman"/>
          <w:sz w:val="24"/>
          <w:szCs w:val="24"/>
        </w:rPr>
        <w:t xml:space="preserve"> </w:t>
      </w:r>
      <w:r w:rsidR="003E102B">
        <w:rPr>
          <w:rFonts w:ascii="Times New Roman" w:hAnsi="Times New Roman" w:cs="Times New Roman"/>
          <w:sz w:val="24"/>
          <w:szCs w:val="24"/>
        </w:rPr>
        <w:t xml:space="preserve">patients </w:t>
      </w:r>
      <w:r w:rsidR="003E102B" w:rsidRPr="00957E32">
        <w:rPr>
          <w:rFonts w:ascii="Times New Roman" w:hAnsi="Times New Roman" w:cs="Times New Roman"/>
          <w:sz w:val="24"/>
          <w:szCs w:val="24"/>
        </w:rPr>
        <w:t>(5.1%) were classified as clinically indeterminate (category 3).</w:t>
      </w:r>
    </w:p>
    <w:p w14:paraId="0CF9CD7D" w14:textId="05EAC420" w:rsidR="00CF7B46" w:rsidRPr="00957E32" w:rsidRDefault="007D692F" w:rsidP="001B1048">
      <w:pPr>
        <w:spacing w:after="0" w:line="480" w:lineRule="auto"/>
        <w:jc w:val="both"/>
        <w:rPr>
          <w:rFonts w:ascii="Times New Roman" w:hAnsi="Times New Roman" w:cs="Times New Roman"/>
          <w:b/>
          <w:sz w:val="24"/>
          <w:szCs w:val="24"/>
        </w:rPr>
      </w:pPr>
      <w:r w:rsidRPr="00957E32">
        <w:rPr>
          <w:rFonts w:ascii="Times New Roman" w:hAnsi="Times New Roman" w:cs="Times New Roman"/>
          <w:b/>
          <w:sz w:val="24"/>
          <w:szCs w:val="24"/>
        </w:rPr>
        <w:t xml:space="preserve">Diagnostic accuracy of </w:t>
      </w:r>
      <w:r w:rsidR="00B45EBC">
        <w:rPr>
          <w:rFonts w:ascii="Times New Roman" w:hAnsi="Times New Roman" w:cs="Times New Roman"/>
          <w:b/>
          <w:sz w:val="24"/>
          <w:szCs w:val="24"/>
        </w:rPr>
        <w:t>T-SPOT.TB</w:t>
      </w:r>
      <w:r w:rsidR="0056018C" w:rsidRPr="00957E32">
        <w:rPr>
          <w:rFonts w:ascii="Times New Roman" w:hAnsi="Times New Roman" w:cs="Times New Roman"/>
          <w:b/>
          <w:sz w:val="24"/>
          <w:szCs w:val="24"/>
        </w:rPr>
        <w:t xml:space="preserve"> and </w:t>
      </w:r>
      <w:r w:rsidR="00A4189A" w:rsidRPr="00957E32">
        <w:rPr>
          <w:rFonts w:ascii="Times New Roman" w:hAnsi="Times New Roman" w:cs="Times New Roman"/>
          <w:b/>
          <w:sz w:val="24"/>
          <w:szCs w:val="24"/>
        </w:rPr>
        <w:t>QFT-GIT</w:t>
      </w:r>
      <w:r w:rsidRPr="00957E32">
        <w:rPr>
          <w:rFonts w:ascii="Times New Roman" w:hAnsi="Times New Roman" w:cs="Times New Roman"/>
          <w:b/>
          <w:sz w:val="24"/>
          <w:szCs w:val="24"/>
        </w:rPr>
        <w:t xml:space="preserve"> </w:t>
      </w:r>
    </w:p>
    <w:p w14:paraId="1B6A693C" w14:textId="22EDCBDB" w:rsidR="003E102B" w:rsidRDefault="00A53276" w:rsidP="001B1048">
      <w:pPr>
        <w:spacing w:after="0" w:line="480" w:lineRule="auto"/>
        <w:jc w:val="both"/>
        <w:rPr>
          <w:rFonts w:ascii="Times New Roman" w:hAnsi="Times New Roman" w:cs="Times New Roman"/>
          <w:sz w:val="24"/>
          <w:szCs w:val="24"/>
        </w:rPr>
      </w:pPr>
      <w:r w:rsidRPr="00957E32">
        <w:rPr>
          <w:rFonts w:ascii="Times New Roman" w:hAnsi="Times New Roman" w:cs="Times New Roman"/>
          <w:sz w:val="24"/>
          <w:szCs w:val="24"/>
        </w:rPr>
        <w:t>T</w:t>
      </w:r>
      <w:r w:rsidRPr="00957E32">
        <w:rPr>
          <w:rFonts w:ascii="Times New Roman" w:hAnsi="Times New Roman" w:cs="Times New Roman"/>
          <w:sz w:val="24"/>
          <w:szCs w:val="24"/>
        </w:rPr>
        <w:noBreakHyphen/>
        <w:t>SPOT.TB and QFT-GIT results were available for 809</w:t>
      </w:r>
      <w:r w:rsidR="004D304F">
        <w:rPr>
          <w:rFonts w:ascii="Times New Roman" w:hAnsi="Times New Roman" w:cs="Times New Roman"/>
          <w:sz w:val="24"/>
          <w:szCs w:val="24"/>
        </w:rPr>
        <w:t>/845</w:t>
      </w:r>
      <w:r w:rsidRPr="00957E32">
        <w:rPr>
          <w:rFonts w:ascii="Times New Roman" w:hAnsi="Times New Roman" w:cs="Times New Roman"/>
          <w:sz w:val="24"/>
          <w:szCs w:val="24"/>
        </w:rPr>
        <w:t xml:space="preserve"> (96%) and 820</w:t>
      </w:r>
      <w:r w:rsidR="004D304F">
        <w:rPr>
          <w:rFonts w:ascii="Times New Roman" w:hAnsi="Times New Roman" w:cs="Times New Roman"/>
          <w:sz w:val="24"/>
          <w:szCs w:val="24"/>
        </w:rPr>
        <w:t>/845</w:t>
      </w:r>
      <w:r w:rsidRPr="00957E32">
        <w:rPr>
          <w:rFonts w:ascii="Times New Roman" w:hAnsi="Times New Roman" w:cs="Times New Roman"/>
          <w:sz w:val="24"/>
          <w:szCs w:val="24"/>
        </w:rPr>
        <w:t xml:space="preserve"> </w:t>
      </w:r>
      <w:r w:rsidR="00454296" w:rsidRPr="00957E32">
        <w:rPr>
          <w:rFonts w:ascii="Times New Roman" w:hAnsi="Times New Roman" w:cs="Times New Roman"/>
          <w:sz w:val="24"/>
          <w:szCs w:val="24"/>
        </w:rPr>
        <w:t xml:space="preserve">(97%) </w:t>
      </w:r>
      <w:r w:rsidR="00615EFB">
        <w:rPr>
          <w:rFonts w:ascii="Times New Roman" w:hAnsi="Times New Roman" w:cs="Times New Roman"/>
          <w:sz w:val="24"/>
          <w:szCs w:val="24"/>
        </w:rPr>
        <w:t xml:space="preserve">study </w:t>
      </w:r>
      <w:r w:rsidRPr="00957E32">
        <w:rPr>
          <w:rFonts w:ascii="Times New Roman" w:hAnsi="Times New Roman" w:cs="Times New Roman"/>
          <w:sz w:val="24"/>
          <w:szCs w:val="24"/>
        </w:rPr>
        <w:t>pa</w:t>
      </w:r>
      <w:r w:rsidR="00615EFB">
        <w:rPr>
          <w:rFonts w:ascii="Times New Roman" w:hAnsi="Times New Roman" w:cs="Times New Roman"/>
          <w:sz w:val="24"/>
          <w:szCs w:val="24"/>
        </w:rPr>
        <w:t>rticipants</w:t>
      </w:r>
      <w:r w:rsidRPr="00957E32">
        <w:rPr>
          <w:rFonts w:ascii="Times New Roman" w:hAnsi="Times New Roman" w:cs="Times New Roman"/>
          <w:sz w:val="24"/>
          <w:szCs w:val="24"/>
        </w:rPr>
        <w:t>, respectively</w:t>
      </w:r>
      <w:r w:rsidR="00615EFB">
        <w:rPr>
          <w:rFonts w:ascii="Times New Roman" w:hAnsi="Times New Roman" w:cs="Times New Roman"/>
          <w:sz w:val="24"/>
          <w:szCs w:val="24"/>
        </w:rPr>
        <w:t>; 805</w:t>
      </w:r>
      <w:r w:rsidR="004D304F">
        <w:rPr>
          <w:rFonts w:ascii="Times New Roman" w:hAnsi="Times New Roman" w:cs="Times New Roman"/>
          <w:sz w:val="24"/>
          <w:szCs w:val="24"/>
        </w:rPr>
        <w:t>/845</w:t>
      </w:r>
      <w:r w:rsidR="003E102B" w:rsidRPr="00957E32">
        <w:rPr>
          <w:rFonts w:ascii="Times New Roman" w:hAnsi="Times New Roman" w:cs="Times New Roman"/>
          <w:sz w:val="24"/>
          <w:szCs w:val="24"/>
        </w:rPr>
        <w:t xml:space="preserve"> (95%) </w:t>
      </w:r>
      <w:r w:rsidR="003E102B">
        <w:rPr>
          <w:rFonts w:ascii="Times New Roman" w:hAnsi="Times New Roman" w:cs="Times New Roman"/>
          <w:sz w:val="24"/>
          <w:szCs w:val="24"/>
        </w:rPr>
        <w:t>patients had d</w:t>
      </w:r>
      <w:r w:rsidR="00CF7B46" w:rsidRPr="00957E32">
        <w:rPr>
          <w:rFonts w:ascii="Times New Roman" w:hAnsi="Times New Roman" w:cs="Times New Roman"/>
          <w:sz w:val="24"/>
          <w:szCs w:val="24"/>
        </w:rPr>
        <w:t xml:space="preserve">ata for both </w:t>
      </w:r>
      <w:r w:rsidR="003E102B">
        <w:rPr>
          <w:rFonts w:ascii="Times New Roman" w:hAnsi="Times New Roman" w:cs="Times New Roman"/>
          <w:sz w:val="24"/>
          <w:szCs w:val="24"/>
        </w:rPr>
        <w:t>IGRAs</w:t>
      </w:r>
      <w:r w:rsidR="00CF7B46" w:rsidRPr="00957E32">
        <w:rPr>
          <w:rFonts w:ascii="Times New Roman" w:hAnsi="Times New Roman" w:cs="Times New Roman"/>
          <w:sz w:val="24"/>
          <w:szCs w:val="24"/>
        </w:rPr>
        <w:t>.</w:t>
      </w:r>
      <w:r w:rsidR="009C1BC0">
        <w:rPr>
          <w:rFonts w:ascii="Times New Roman" w:hAnsi="Times New Roman" w:cs="Times New Roman"/>
          <w:sz w:val="24"/>
          <w:szCs w:val="24"/>
        </w:rPr>
        <w:t xml:space="preserve"> </w:t>
      </w:r>
      <w:r w:rsidR="00981E8E" w:rsidRPr="00957E32">
        <w:rPr>
          <w:rFonts w:ascii="Times New Roman" w:hAnsi="Times New Roman" w:cs="Times New Roman"/>
          <w:sz w:val="24"/>
          <w:szCs w:val="24"/>
        </w:rPr>
        <w:t>Diagnostic sensitivity, specificity</w:t>
      </w:r>
      <w:r w:rsidR="000C52B8">
        <w:rPr>
          <w:rFonts w:ascii="Times New Roman" w:hAnsi="Times New Roman" w:cs="Times New Roman"/>
          <w:sz w:val="24"/>
          <w:szCs w:val="24"/>
        </w:rPr>
        <w:t>, PPV, NPV,</w:t>
      </w:r>
      <w:r w:rsidR="00981E8E" w:rsidRPr="00957E32">
        <w:rPr>
          <w:rFonts w:ascii="Times New Roman" w:hAnsi="Times New Roman" w:cs="Times New Roman"/>
          <w:sz w:val="24"/>
          <w:szCs w:val="24"/>
        </w:rPr>
        <w:t xml:space="preserve"> </w:t>
      </w:r>
      <w:r w:rsidR="000C52B8">
        <w:rPr>
          <w:rFonts w:ascii="Times New Roman" w:hAnsi="Times New Roman" w:cs="Times New Roman"/>
          <w:sz w:val="24"/>
          <w:szCs w:val="24"/>
        </w:rPr>
        <w:t>PLR and NLR</w:t>
      </w:r>
      <w:r w:rsidR="00981E8E" w:rsidRPr="00957E32">
        <w:rPr>
          <w:rFonts w:ascii="Times New Roman" w:hAnsi="Times New Roman" w:cs="Times New Roman"/>
          <w:sz w:val="24"/>
          <w:szCs w:val="24"/>
        </w:rPr>
        <w:t xml:space="preserve"> are shown in Table </w:t>
      </w:r>
      <w:r w:rsidR="00C6132B" w:rsidRPr="00957E32">
        <w:rPr>
          <w:rFonts w:ascii="Times New Roman" w:hAnsi="Times New Roman" w:cs="Times New Roman"/>
          <w:sz w:val="24"/>
          <w:szCs w:val="24"/>
        </w:rPr>
        <w:t>4</w:t>
      </w:r>
      <w:r w:rsidR="001570ED">
        <w:rPr>
          <w:rFonts w:ascii="Times New Roman" w:hAnsi="Times New Roman" w:cs="Times New Roman"/>
          <w:sz w:val="24"/>
          <w:szCs w:val="24"/>
        </w:rPr>
        <w:t>,</w:t>
      </w:r>
      <w:r w:rsidR="009C1BC0">
        <w:rPr>
          <w:rFonts w:ascii="Times New Roman" w:hAnsi="Times New Roman" w:cs="Times New Roman"/>
          <w:sz w:val="24"/>
          <w:szCs w:val="24"/>
        </w:rPr>
        <w:t xml:space="preserve"> with a </w:t>
      </w:r>
      <w:r w:rsidR="009C1BC0" w:rsidRPr="009C1BC0">
        <w:rPr>
          <w:rFonts w:ascii="Times New Roman" w:hAnsi="Times New Roman" w:cs="Times New Roman"/>
          <w:sz w:val="24"/>
          <w:szCs w:val="24"/>
        </w:rPr>
        <w:t xml:space="preserve">cross-tabulation of T-SPOT.TB and QFT-GIT results in patients with active TB and non-TB diagnoses provided in </w:t>
      </w:r>
      <w:r w:rsidR="0080774C">
        <w:rPr>
          <w:rFonts w:ascii="Times New Roman" w:hAnsi="Times New Roman" w:cs="Times New Roman"/>
          <w:sz w:val="24"/>
          <w:szCs w:val="24"/>
        </w:rPr>
        <w:t>the Appendix (</w:t>
      </w:r>
      <w:r w:rsidR="009C1BC0" w:rsidRPr="009C1BC0">
        <w:rPr>
          <w:rFonts w:ascii="Times New Roman" w:hAnsi="Times New Roman" w:cs="Times New Roman"/>
          <w:sz w:val="24"/>
          <w:szCs w:val="24"/>
        </w:rPr>
        <w:t>Supplementary Table 3</w:t>
      </w:r>
      <w:r w:rsidR="0080774C">
        <w:rPr>
          <w:rFonts w:ascii="Times New Roman" w:hAnsi="Times New Roman" w:cs="Times New Roman"/>
          <w:sz w:val="24"/>
          <w:szCs w:val="24"/>
        </w:rPr>
        <w:t xml:space="preserve">, page </w:t>
      </w:r>
      <w:r w:rsidR="00C9141C">
        <w:rPr>
          <w:rFonts w:ascii="Times New Roman" w:hAnsi="Times New Roman" w:cs="Times New Roman"/>
          <w:sz w:val="24"/>
          <w:szCs w:val="24"/>
        </w:rPr>
        <w:t>8</w:t>
      </w:r>
      <w:r w:rsidR="0080774C">
        <w:rPr>
          <w:rFonts w:ascii="Times New Roman" w:hAnsi="Times New Roman" w:cs="Times New Roman"/>
          <w:sz w:val="24"/>
          <w:szCs w:val="24"/>
        </w:rPr>
        <w:t>)</w:t>
      </w:r>
      <w:r w:rsidR="009C1BC0" w:rsidRPr="009C1BC0">
        <w:rPr>
          <w:rFonts w:ascii="Times New Roman" w:hAnsi="Times New Roman" w:cs="Times New Roman"/>
          <w:sz w:val="24"/>
          <w:szCs w:val="24"/>
        </w:rPr>
        <w:t>.</w:t>
      </w:r>
      <w:r w:rsidR="009C1BC0">
        <w:rPr>
          <w:rFonts w:ascii="Times New Roman" w:hAnsi="Times New Roman" w:cs="Times New Roman"/>
          <w:sz w:val="24"/>
          <w:szCs w:val="24"/>
        </w:rPr>
        <w:t xml:space="preserve"> </w:t>
      </w:r>
      <w:bookmarkStart w:id="1" w:name="_Hlk514940559"/>
      <w:r w:rsidR="00ED3CF9" w:rsidRPr="00957E32">
        <w:rPr>
          <w:rFonts w:ascii="Times New Roman" w:hAnsi="Times New Roman" w:cs="Times New Roman"/>
          <w:sz w:val="24"/>
          <w:szCs w:val="24"/>
        </w:rPr>
        <w:t xml:space="preserve">Sensitivity of T-SPOT.TB was </w:t>
      </w:r>
      <w:r w:rsidR="00BD038C">
        <w:rPr>
          <w:rFonts w:ascii="Times New Roman" w:hAnsi="Times New Roman" w:cs="Times New Roman"/>
          <w:sz w:val="24"/>
          <w:szCs w:val="24"/>
        </w:rPr>
        <w:t>84.9</w:t>
      </w:r>
      <w:r w:rsidR="00ED3CF9" w:rsidRPr="00957E32">
        <w:rPr>
          <w:rFonts w:ascii="Times New Roman" w:hAnsi="Times New Roman" w:cs="Times New Roman"/>
          <w:sz w:val="24"/>
          <w:szCs w:val="24"/>
        </w:rPr>
        <w:t>% (</w:t>
      </w:r>
      <w:r w:rsidR="003E2465">
        <w:rPr>
          <w:rFonts w:ascii="Times New Roman" w:hAnsi="Times New Roman" w:cs="Times New Roman"/>
          <w:sz w:val="24"/>
          <w:szCs w:val="24"/>
        </w:rPr>
        <w:t>95%CI</w:t>
      </w:r>
      <w:r w:rsidR="00ED3CF9" w:rsidRPr="00957E32">
        <w:rPr>
          <w:rFonts w:ascii="Times New Roman" w:hAnsi="Times New Roman" w:cs="Times New Roman"/>
          <w:sz w:val="24"/>
          <w:szCs w:val="24"/>
        </w:rPr>
        <w:t xml:space="preserve"> </w:t>
      </w:r>
      <w:r w:rsidR="00BD038C">
        <w:rPr>
          <w:rFonts w:ascii="Times New Roman" w:hAnsi="Times New Roman" w:cs="Times New Roman"/>
          <w:sz w:val="24"/>
          <w:szCs w:val="24"/>
        </w:rPr>
        <w:t>79.5-89.0</w:t>
      </w:r>
      <w:r w:rsidR="00ED3CF9" w:rsidRPr="00957E32">
        <w:rPr>
          <w:rFonts w:ascii="Times New Roman" w:hAnsi="Times New Roman" w:cs="Times New Roman"/>
          <w:sz w:val="24"/>
          <w:szCs w:val="24"/>
        </w:rPr>
        <w:t xml:space="preserve">%) </w:t>
      </w:r>
      <w:r w:rsidR="00977405">
        <w:rPr>
          <w:rFonts w:ascii="Times New Roman" w:hAnsi="Times New Roman" w:cs="Times New Roman"/>
          <w:sz w:val="24"/>
          <w:szCs w:val="24"/>
        </w:rPr>
        <w:t>for</w:t>
      </w:r>
      <w:r w:rsidR="00ED3CF9" w:rsidRPr="00957E32">
        <w:rPr>
          <w:rFonts w:ascii="Times New Roman" w:hAnsi="Times New Roman" w:cs="Times New Roman"/>
          <w:sz w:val="24"/>
          <w:szCs w:val="24"/>
        </w:rPr>
        <w:t xml:space="preserve"> culture-confirmed TB and </w:t>
      </w:r>
      <w:r w:rsidR="00BD038C" w:rsidRPr="001B1048">
        <w:rPr>
          <w:rFonts w:ascii="Times New Roman" w:hAnsi="Times New Roman" w:cs="Times New Roman"/>
          <w:sz w:val="24"/>
          <w:szCs w:val="24"/>
        </w:rPr>
        <w:t>81.</w:t>
      </w:r>
      <w:r w:rsidR="00BD038C">
        <w:rPr>
          <w:rFonts w:ascii="Times New Roman" w:hAnsi="Times New Roman" w:cs="Times New Roman"/>
          <w:sz w:val="24"/>
          <w:szCs w:val="24"/>
        </w:rPr>
        <w:t>4</w:t>
      </w:r>
      <w:r w:rsidR="00ED3CF9" w:rsidRPr="00957E32">
        <w:rPr>
          <w:rFonts w:ascii="Times New Roman" w:hAnsi="Times New Roman" w:cs="Times New Roman"/>
          <w:sz w:val="24"/>
          <w:szCs w:val="24"/>
        </w:rPr>
        <w:t>% (</w:t>
      </w:r>
      <w:r w:rsidR="003E2465">
        <w:rPr>
          <w:rFonts w:ascii="Times New Roman" w:hAnsi="Times New Roman" w:cs="Times New Roman"/>
          <w:sz w:val="24"/>
          <w:szCs w:val="24"/>
        </w:rPr>
        <w:t>95%CI</w:t>
      </w:r>
      <w:r w:rsidR="00ED3CF9" w:rsidRPr="00957E32">
        <w:rPr>
          <w:rFonts w:ascii="Times New Roman" w:hAnsi="Times New Roman" w:cs="Times New Roman"/>
          <w:sz w:val="24"/>
          <w:szCs w:val="24"/>
        </w:rPr>
        <w:t xml:space="preserve"> </w:t>
      </w:r>
      <w:r w:rsidR="00BD038C">
        <w:rPr>
          <w:rFonts w:ascii="Times New Roman" w:hAnsi="Times New Roman" w:cs="Times New Roman"/>
          <w:sz w:val="24"/>
          <w:szCs w:val="24"/>
        </w:rPr>
        <w:t>76.6-85.3</w:t>
      </w:r>
      <w:r w:rsidR="00ED3CF9" w:rsidRPr="00957E32">
        <w:rPr>
          <w:rFonts w:ascii="Times New Roman" w:hAnsi="Times New Roman" w:cs="Times New Roman"/>
          <w:sz w:val="24"/>
          <w:szCs w:val="24"/>
        </w:rPr>
        <w:t xml:space="preserve">%) </w:t>
      </w:r>
      <w:r w:rsidR="00977405">
        <w:rPr>
          <w:rFonts w:ascii="Times New Roman" w:hAnsi="Times New Roman" w:cs="Times New Roman"/>
          <w:sz w:val="24"/>
          <w:szCs w:val="24"/>
        </w:rPr>
        <w:t>for</w:t>
      </w:r>
      <w:r w:rsidR="00ED3CF9" w:rsidRPr="00957E32">
        <w:rPr>
          <w:rFonts w:ascii="Times New Roman" w:hAnsi="Times New Roman" w:cs="Times New Roman"/>
          <w:sz w:val="24"/>
          <w:szCs w:val="24"/>
        </w:rPr>
        <w:t xml:space="preserve"> all TB</w:t>
      </w:r>
      <w:r w:rsidR="00E231BB">
        <w:rPr>
          <w:rFonts w:ascii="Times New Roman" w:hAnsi="Times New Roman" w:cs="Times New Roman"/>
          <w:sz w:val="24"/>
          <w:szCs w:val="24"/>
        </w:rPr>
        <w:t xml:space="preserve">, </w:t>
      </w:r>
      <w:r w:rsidR="00E231BB" w:rsidRPr="00C5687D">
        <w:rPr>
          <w:rFonts w:ascii="Times New Roman" w:hAnsi="Times New Roman" w:cs="Times New Roman"/>
          <w:sz w:val="24"/>
          <w:szCs w:val="24"/>
        </w:rPr>
        <w:t xml:space="preserve">giving an NPV of </w:t>
      </w:r>
      <w:r w:rsidR="00E231BB">
        <w:rPr>
          <w:rFonts w:ascii="Times New Roman" w:hAnsi="Times New Roman" w:cs="Times New Roman"/>
          <w:sz w:val="24"/>
          <w:szCs w:val="24"/>
        </w:rPr>
        <w:t>84.7</w:t>
      </w:r>
      <w:r w:rsidR="00E231BB" w:rsidRPr="00C5687D">
        <w:rPr>
          <w:rFonts w:ascii="Times New Roman" w:hAnsi="Times New Roman" w:cs="Times New Roman"/>
          <w:sz w:val="24"/>
          <w:szCs w:val="24"/>
        </w:rPr>
        <w:t>%</w:t>
      </w:r>
      <w:r w:rsidR="00E231BB">
        <w:rPr>
          <w:rFonts w:ascii="Times New Roman" w:hAnsi="Times New Roman" w:cs="Times New Roman"/>
          <w:sz w:val="24"/>
          <w:szCs w:val="24"/>
        </w:rPr>
        <w:t xml:space="preserve"> (</w:t>
      </w:r>
      <w:r w:rsidR="003E2465">
        <w:rPr>
          <w:rFonts w:ascii="Times New Roman" w:hAnsi="Times New Roman" w:cs="Times New Roman"/>
          <w:sz w:val="24"/>
          <w:szCs w:val="24"/>
        </w:rPr>
        <w:t>95%CI</w:t>
      </w:r>
      <w:r w:rsidR="00E231BB">
        <w:rPr>
          <w:rFonts w:ascii="Times New Roman" w:hAnsi="Times New Roman" w:cs="Times New Roman"/>
          <w:sz w:val="24"/>
          <w:szCs w:val="24"/>
        </w:rPr>
        <w:t xml:space="preserve"> 80.6-87.9%)</w:t>
      </w:r>
      <w:r w:rsidR="00E231BB" w:rsidRPr="00C5687D">
        <w:rPr>
          <w:rFonts w:ascii="Times New Roman" w:hAnsi="Times New Roman" w:cs="Times New Roman"/>
          <w:sz w:val="24"/>
          <w:szCs w:val="24"/>
        </w:rPr>
        <w:t xml:space="preserve"> and NLR of </w:t>
      </w:r>
      <w:r w:rsidR="00E231BB">
        <w:rPr>
          <w:rFonts w:ascii="Times New Roman" w:hAnsi="Times New Roman" w:cs="Times New Roman"/>
          <w:sz w:val="24"/>
          <w:szCs w:val="24"/>
        </w:rPr>
        <w:t>0.22 (</w:t>
      </w:r>
      <w:r w:rsidR="003E2465">
        <w:rPr>
          <w:rFonts w:ascii="Times New Roman" w:hAnsi="Times New Roman" w:cs="Times New Roman"/>
          <w:sz w:val="24"/>
          <w:szCs w:val="24"/>
        </w:rPr>
        <w:t>95%CI</w:t>
      </w:r>
      <w:r w:rsidR="00E231BB">
        <w:rPr>
          <w:rFonts w:ascii="Times New Roman" w:hAnsi="Times New Roman" w:cs="Times New Roman"/>
          <w:sz w:val="24"/>
          <w:szCs w:val="24"/>
        </w:rPr>
        <w:t xml:space="preserve"> 0.17-0.27) for all TB</w:t>
      </w:r>
      <w:r w:rsidR="00E231BB" w:rsidRPr="00957E32">
        <w:rPr>
          <w:rFonts w:ascii="Times New Roman" w:hAnsi="Times New Roman" w:cs="Times New Roman"/>
          <w:sz w:val="24"/>
          <w:szCs w:val="24"/>
        </w:rPr>
        <w:t>.</w:t>
      </w:r>
      <w:r w:rsidR="00ED3CF9" w:rsidRPr="00957E32">
        <w:rPr>
          <w:rFonts w:ascii="Times New Roman" w:hAnsi="Times New Roman" w:cs="Times New Roman"/>
          <w:sz w:val="24"/>
          <w:szCs w:val="24"/>
        </w:rPr>
        <w:t xml:space="preserve"> Specificity was </w:t>
      </w:r>
      <w:r w:rsidR="00BD038C">
        <w:rPr>
          <w:rFonts w:ascii="Times New Roman" w:hAnsi="Times New Roman" w:cs="Times New Roman"/>
          <w:sz w:val="24"/>
          <w:szCs w:val="24"/>
        </w:rPr>
        <w:t>86.2</w:t>
      </w:r>
      <w:r w:rsidR="00ED3CF9" w:rsidRPr="00957E32">
        <w:rPr>
          <w:rFonts w:ascii="Times New Roman" w:hAnsi="Times New Roman" w:cs="Times New Roman"/>
          <w:sz w:val="24"/>
          <w:szCs w:val="24"/>
        </w:rPr>
        <w:t>% (</w:t>
      </w:r>
      <w:r w:rsidR="003E2465">
        <w:rPr>
          <w:rFonts w:ascii="Times New Roman" w:hAnsi="Times New Roman" w:cs="Times New Roman"/>
          <w:sz w:val="24"/>
          <w:szCs w:val="24"/>
        </w:rPr>
        <w:t>95%CI</w:t>
      </w:r>
      <w:r w:rsidR="00ED3CF9" w:rsidRPr="00957E32">
        <w:rPr>
          <w:rFonts w:ascii="Times New Roman" w:hAnsi="Times New Roman" w:cs="Times New Roman"/>
          <w:sz w:val="24"/>
          <w:szCs w:val="24"/>
        </w:rPr>
        <w:t xml:space="preserve"> </w:t>
      </w:r>
      <w:r w:rsidR="00BD038C">
        <w:rPr>
          <w:rFonts w:ascii="Times New Roman" w:hAnsi="Times New Roman" w:cs="Times New Roman"/>
          <w:sz w:val="24"/>
          <w:szCs w:val="24"/>
        </w:rPr>
        <w:t>82.3-89.4</w:t>
      </w:r>
      <w:r w:rsidR="00ED3CF9" w:rsidRPr="00957E32">
        <w:rPr>
          <w:rFonts w:ascii="Times New Roman" w:hAnsi="Times New Roman" w:cs="Times New Roman"/>
          <w:sz w:val="24"/>
          <w:szCs w:val="24"/>
        </w:rPr>
        <w:t xml:space="preserve">%) </w:t>
      </w:r>
      <w:r w:rsidR="00977405">
        <w:rPr>
          <w:rFonts w:ascii="Times New Roman" w:hAnsi="Times New Roman" w:cs="Times New Roman"/>
          <w:sz w:val="24"/>
          <w:szCs w:val="24"/>
        </w:rPr>
        <w:t>for</w:t>
      </w:r>
      <w:r w:rsidR="00ED3CF9" w:rsidRPr="00957E32">
        <w:rPr>
          <w:rFonts w:ascii="Times New Roman" w:hAnsi="Times New Roman" w:cs="Times New Roman"/>
          <w:sz w:val="24"/>
          <w:szCs w:val="24"/>
        </w:rPr>
        <w:t xml:space="preserve"> all non-TB patients </w:t>
      </w:r>
      <w:r w:rsidR="00ED3CF9" w:rsidRPr="00BD038C">
        <w:rPr>
          <w:rFonts w:ascii="Times New Roman" w:hAnsi="Times New Roman" w:cs="Times New Roman"/>
          <w:sz w:val="24"/>
          <w:szCs w:val="24"/>
        </w:rPr>
        <w:t xml:space="preserve">and </w:t>
      </w:r>
      <w:r w:rsidR="00BD038C" w:rsidRPr="001B1048">
        <w:rPr>
          <w:rFonts w:ascii="Times New Roman" w:hAnsi="Times New Roman" w:cs="Times New Roman"/>
          <w:sz w:val="24"/>
          <w:szCs w:val="24"/>
        </w:rPr>
        <w:t>93.</w:t>
      </w:r>
      <w:r w:rsidR="00BD038C">
        <w:rPr>
          <w:rFonts w:ascii="Times New Roman" w:hAnsi="Times New Roman" w:cs="Times New Roman"/>
          <w:sz w:val="24"/>
          <w:szCs w:val="24"/>
        </w:rPr>
        <w:t>5</w:t>
      </w:r>
      <w:r w:rsidR="00ED3CF9" w:rsidRPr="00957E32">
        <w:rPr>
          <w:rFonts w:ascii="Times New Roman" w:hAnsi="Times New Roman" w:cs="Times New Roman"/>
          <w:sz w:val="24"/>
          <w:szCs w:val="24"/>
        </w:rPr>
        <w:t>% (</w:t>
      </w:r>
      <w:r w:rsidR="003E2465">
        <w:rPr>
          <w:rFonts w:ascii="Times New Roman" w:hAnsi="Times New Roman" w:cs="Times New Roman"/>
          <w:sz w:val="24"/>
          <w:szCs w:val="24"/>
        </w:rPr>
        <w:t>95%CI</w:t>
      </w:r>
      <w:r w:rsidR="00ED3CF9" w:rsidRPr="00957E32">
        <w:rPr>
          <w:rFonts w:ascii="Times New Roman" w:hAnsi="Times New Roman" w:cs="Times New Roman"/>
          <w:sz w:val="24"/>
          <w:szCs w:val="24"/>
        </w:rPr>
        <w:t xml:space="preserve"> </w:t>
      </w:r>
      <w:r w:rsidR="00BD038C">
        <w:rPr>
          <w:rFonts w:ascii="Times New Roman" w:hAnsi="Times New Roman" w:cs="Times New Roman"/>
          <w:sz w:val="24"/>
          <w:szCs w:val="24"/>
        </w:rPr>
        <w:t>86.6-97.0</w:t>
      </w:r>
      <w:r w:rsidR="00ED3CF9" w:rsidRPr="00957E32">
        <w:rPr>
          <w:rFonts w:ascii="Times New Roman" w:hAnsi="Times New Roman" w:cs="Times New Roman"/>
          <w:sz w:val="24"/>
          <w:szCs w:val="24"/>
        </w:rPr>
        <w:t xml:space="preserve">%) </w:t>
      </w:r>
      <w:r w:rsidR="00977405">
        <w:rPr>
          <w:rFonts w:ascii="Times New Roman" w:hAnsi="Times New Roman" w:cs="Times New Roman"/>
          <w:sz w:val="24"/>
          <w:szCs w:val="24"/>
        </w:rPr>
        <w:t>for</w:t>
      </w:r>
      <w:r w:rsidR="00ED3CF9" w:rsidRPr="00957E32">
        <w:rPr>
          <w:rFonts w:ascii="Times New Roman" w:hAnsi="Times New Roman" w:cs="Times New Roman"/>
          <w:sz w:val="24"/>
          <w:szCs w:val="24"/>
        </w:rPr>
        <w:t xml:space="preserve"> cases with no risk factors for LTBI</w:t>
      </w:r>
      <w:r w:rsidR="009C1BC0">
        <w:rPr>
          <w:rFonts w:ascii="Times New Roman" w:hAnsi="Times New Roman" w:cs="Times New Roman"/>
          <w:sz w:val="24"/>
          <w:szCs w:val="24"/>
        </w:rPr>
        <w:t xml:space="preserve"> (category 4D)</w:t>
      </w:r>
      <w:r w:rsidR="00ED3CF9" w:rsidRPr="00957E32">
        <w:rPr>
          <w:rFonts w:ascii="Times New Roman" w:hAnsi="Times New Roman" w:cs="Times New Roman"/>
          <w:sz w:val="24"/>
          <w:szCs w:val="24"/>
        </w:rPr>
        <w:t xml:space="preserve">. Sensitivity of QFT-GIT was </w:t>
      </w:r>
      <w:r w:rsidR="00BD038C">
        <w:rPr>
          <w:rFonts w:ascii="Times New Roman" w:hAnsi="Times New Roman" w:cs="Times New Roman"/>
          <w:sz w:val="24"/>
          <w:szCs w:val="24"/>
        </w:rPr>
        <w:t>70.6</w:t>
      </w:r>
      <w:r w:rsidR="00ED3CF9" w:rsidRPr="00957E32">
        <w:rPr>
          <w:rFonts w:ascii="Times New Roman" w:hAnsi="Times New Roman" w:cs="Times New Roman"/>
          <w:sz w:val="24"/>
          <w:szCs w:val="24"/>
        </w:rPr>
        <w:t>% (</w:t>
      </w:r>
      <w:r w:rsidR="003E2465">
        <w:rPr>
          <w:rFonts w:ascii="Times New Roman" w:hAnsi="Times New Roman" w:cs="Times New Roman"/>
          <w:sz w:val="24"/>
          <w:szCs w:val="24"/>
        </w:rPr>
        <w:t>95%CI</w:t>
      </w:r>
      <w:r w:rsidR="00ED3CF9" w:rsidRPr="00957E32">
        <w:rPr>
          <w:rFonts w:ascii="Times New Roman" w:hAnsi="Times New Roman" w:cs="Times New Roman"/>
          <w:sz w:val="24"/>
          <w:szCs w:val="24"/>
        </w:rPr>
        <w:t xml:space="preserve"> </w:t>
      </w:r>
      <w:r w:rsidR="00BD038C">
        <w:rPr>
          <w:rFonts w:ascii="Times New Roman" w:hAnsi="Times New Roman" w:cs="Times New Roman"/>
          <w:sz w:val="24"/>
          <w:szCs w:val="24"/>
        </w:rPr>
        <w:t>64.4-76.1</w:t>
      </w:r>
      <w:r w:rsidR="00ED3CF9" w:rsidRPr="00957E32">
        <w:rPr>
          <w:rFonts w:ascii="Times New Roman" w:hAnsi="Times New Roman" w:cs="Times New Roman"/>
          <w:sz w:val="24"/>
          <w:szCs w:val="24"/>
        </w:rPr>
        <w:t xml:space="preserve">%) </w:t>
      </w:r>
      <w:r w:rsidR="00977405">
        <w:rPr>
          <w:rFonts w:ascii="Times New Roman" w:hAnsi="Times New Roman" w:cs="Times New Roman"/>
          <w:sz w:val="24"/>
          <w:szCs w:val="24"/>
        </w:rPr>
        <w:t>for</w:t>
      </w:r>
      <w:r w:rsidR="00ED3CF9" w:rsidRPr="00957E32">
        <w:rPr>
          <w:rFonts w:ascii="Times New Roman" w:hAnsi="Times New Roman" w:cs="Times New Roman"/>
          <w:sz w:val="24"/>
          <w:szCs w:val="24"/>
        </w:rPr>
        <w:t xml:space="preserve"> culture-confirmed TB and </w:t>
      </w:r>
      <w:r w:rsidR="00BD038C">
        <w:rPr>
          <w:rFonts w:ascii="Times New Roman" w:hAnsi="Times New Roman" w:cs="Times New Roman"/>
          <w:sz w:val="24"/>
          <w:szCs w:val="24"/>
        </w:rPr>
        <w:t>67.3</w:t>
      </w:r>
      <w:r w:rsidR="00ED3CF9" w:rsidRPr="00957E32">
        <w:rPr>
          <w:rFonts w:ascii="Times New Roman" w:hAnsi="Times New Roman" w:cs="Times New Roman"/>
          <w:sz w:val="24"/>
          <w:szCs w:val="24"/>
        </w:rPr>
        <w:t>% (</w:t>
      </w:r>
      <w:r w:rsidR="003E2465">
        <w:rPr>
          <w:rFonts w:ascii="Times New Roman" w:hAnsi="Times New Roman" w:cs="Times New Roman"/>
          <w:sz w:val="24"/>
          <w:szCs w:val="24"/>
        </w:rPr>
        <w:t>95%CI</w:t>
      </w:r>
      <w:r w:rsidR="00ED3CF9" w:rsidRPr="00957E32">
        <w:rPr>
          <w:rFonts w:ascii="Times New Roman" w:hAnsi="Times New Roman" w:cs="Times New Roman"/>
          <w:sz w:val="24"/>
          <w:szCs w:val="24"/>
        </w:rPr>
        <w:t xml:space="preserve"> </w:t>
      </w:r>
      <w:r w:rsidR="00BD038C">
        <w:rPr>
          <w:rFonts w:ascii="Times New Roman" w:hAnsi="Times New Roman" w:cs="Times New Roman"/>
          <w:sz w:val="24"/>
          <w:szCs w:val="24"/>
        </w:rPr>
        <w:t>62.0-72.1</w:t>
      </w:r>
      <w:r w:rsidR="00ED3CF9" w:rsidRPr="00957E32">
        <w:rPr>
          <w:rFonts w:ascii="Times New Roman" w:hAnsi="Times New Roman" w:cs="Times New Roman"/>
          <w:sz w:val="24"/>
          <w:szCs w:val="24"/>
        </w:rPr>
        <w:t xml:space="preserve">%) </w:t>
      </w:r>
      <w:r w:rsidR="00977405">
        <w:rPr>
          <w:rFonts w:ascii="Times New Roman" w:hAnsi="Times New Roman" w:cs="Times New Roman"/>
          <w:sz w:val="24"/>
          <w:szCs w:val="24"/>
        </w:rPr>
        <w:t>for</w:t>
      </w:r>
      <w:r w:rsidR="00ED3CF9" w:rsidRPr="00957E32">
        <w:rPr>
          <w:rFonts w:ascii="Times New Roman" w:hAnsi="Times New Roman" w:cs="Times New Roman"/>
          <w:sz w:val="24"/>
          <w:szCs w:val="24"/>
        </w:rPr>
        <w:t xml:space="preserve"> all </w:t>
      </w:r>
      <w:r w:rsidR="00ED3CF9" w:rsidRPr="00957E32">
        <w:rPr>
          <w:rFonts w:ascii="Times New Roman" w:hAnsi="Times New Roman" w:cs="Times New Roman"/>
          <w:sz w:val="24"/>
          <w:szCs w:val="24"/>
        </w:rPr>
        <w:lastRenderedPageBreak/>
        <w:t>TB</w:t>
      </w:r>
      <w:r w:rsidR="00E231BB">
        <w:rPr>
          <w:rFonts w:ascii="Times New Roman" w:hAnsi="Times New Roman" w:cs="Times New Roman"/>
          <w:sz w:val="24"/>
          <w:szCs w:val="24"/>
        </w:rPr>
        <w:t xml:space="preserve">, </w:t>
      </w:r>
      <w:r w:rsidR="00E231BB" w:rsidRPr="00C5687D">
        <w:rPr>
          <w:rFonts w:ascii="Times New Roman" w:hAnsi="Times New Roman" w:cs="Times New Roman"/>
          <w:sz w:val="24"/>
          <w:szCs w:val="24"/>
        </w:rPr>
        <w:t xml:space="preserve">giving an NPV of </w:t>
      </w:r>
      <w:r w:rsidR="00E231BB">
        <w:rPr>
          <w:rFonts w:ascii="Times New Roman" w:hAnsi="Times New Roman" w:cs="Times New Roman"/>
          <w:sz w:val="24"/>
          <w:szCs w:val="24"/>
        </w:rPr>
        <w:t>74.0</w:t>
      </w:r>
      <w:r w:rsidR="00E231BB" w:rsidRPr="00C5687D">
        <w:rPr>
          <w:rFonts w:ascii="Times New Roman" w:hAnsi="Times New Roman" w:cs="Times New Roman"/>
          <w:sz w:val="24"/>
          <w:szCs w:val="24"/>
        </w:rPr>
        <w:t>%</w:t>
      </w:r>
      <w:r w:rsidR="00E231BB">
        <w:rPr>
          <w:rFonts w:ascii="Times New Roman" w:hAnsi="Times New Roman" w:cs="Times New Roman"/>
          <w:sz w:val="24"/>
          <w:szCs w:val="24"/>
        </w:rPr>
        <w:t xml:space="preserve"> (</w:t>
      </w:r>
      <w:r w:rsidR="003E2465">
        <w:rPr>
          <w:rFonts w:ascii="Times New Roman" w:hAnsi="Times New Roman" w:cs="Times New Roman"/>
          <w:sz w:val="24"/>
          <w:szCs w:val="24"/>
        </w:rPr>
        <w:t>95%CI</w:t>
      </w:r>
      <w:r w:rsidR="00E231BB">
        <w:rPr>
          <w:rFonts w:ascii="Times New Roman" w:hAnsi="Times New Roman" w:cs="Times New Roman"/>
          <w:sz w:val="24"/>
          <w:szCs w:val="24"/>
        </w:rPr>
        <w:t xml:space="preserve"> 69.5-78.0%)</w:t>
      </w:r>
      <w:r w:rsidR="00E231BB" w:rsidRPr="00C5687D">
        <w:rPr>
          <w:rFonts w:ascii="Times New Roman" w:hAnsi="Times New Roman" w:cs="Times New Roman"/>
          <w:sz w:val="24"/>
          <w:szCs w:val="24"/>
        </w:rPr>
        <w:t xml:space="preserve"> and NLR of </w:t>
      </w:r>
      <w:r w:rsidR="00E231BB">
        <w:rPr>
          <w:rFonts w:ascii="Times New Roman" w:hAnsi="Times New Roman" w:cs="Times New Roman"/>
          <w:sz w:val="24"/>
          <w:szCs w:val="24"/>
        </w:rPr>
        <w:t>0.41 (</w:t>
      </w:r>
      <w:r w:rsidR="003E2465">
        <w:rPr>
          <w:rFonts w:ascii="Times New Roman" w:hAnsi="Times New Roman" w:cs="Times New Roman"/>
          <w:sz w:val="24"/>
          <w:szCs w:val="24"/>
        </w:rPr>
        <w:t>95%CI</w:t>
      </w:r>
      <w:r w:rsidR="00E231BB">
        <w:rPr>
          <w:rFonts w:ascii="Times New Roman" w:hAnsi="Times New Roman" w:cs="Times New Roman"/>
          <w:sz w:val="24"/>
          <w:szCs w:val="24"/>
        </w:rPr>
        <w:t xml:space="preserve"> 0.35-0.48) for all TB</w:t>
      </w:r>
      <w:r w:rsidR="00ED3CF9" w:rsidRPr="00957E32">
        <w:rPr>
          <w:rFonts w:ascii="Times New Roman" w:hAnsi="Times New Roman" w:cs="Times New Roman"/>
          <w:sz w:val="24"/>
          <w:szCs w:val="24"/>
        </w:rPr>
        <w:t xml:space="preserve">. Specificity </w:t>
      </w:r>
      <w:r w:rsidR="00ED3CF9" w:rsidRPr="00BD038C">
        <w:rPr>
          <w:rFonts w:ascii="Times New Roman" w:hAnsi="Times New Roman" w:cs="Times New Roman"/>
          <w:sz w:val="24"/>
          <w:szCs w:val="24"/>
        </w:rPr>
        <w:t xml:space="preserve">was </w:t>
      </w:r>
      <w:r w:rsidR="00BD038C" w:rsidRPr="001B1048">
        <w:rPr>
          <w:rFonts w:ascii="Times New Roman" w:hAnsi="Times New Roman" w:cs="Times New Roman"/>
          <w:sz w:val="24"/>
          <w:szCs w:val="24"/>
        </w:rPr>
        <w:t>80.</w:t>
      </w:r>
      <w:r w:rsidR="00BD038C">
        <w:rPr>
          <w:rFonts w:ascii="Times New Roman" w:hAnsi="Times New Roman" w:cs="Times New Roman"/>
          <w:sz w:val="24"/>
          <w:szCs w:val="24"/>
        </w:rPr>
        <w:t>4%</w:t>
      </w:r>
      <w:r w:rsidR="00ED3CF9" w:rsidRPr="00957E32">
        <w:rPr>
          <w:rFonts w:ascii="Times New Roman" w:hAnsi="Times New Roman" w:cs="Times New Roman"/>
          <w:sz w:val="24"/>
          <w:szCs w:val="24"/>
        </w:rPr>
        <w:t xml:space="preserve"> (</w:t>
      </w:r>
      <w:r w:rsidR="003E2465">
        <w:rPr>
          <w:rFonts w:ascii="Times New Roman" w:hAnsi="Times New Roman" w:cs="Times New Roman"/>
          <w:sz w:val="24"/>
          <w:szCs w:val="24"/>
        </w:rPr>
        <w:t>95%CI</w:t>
      </w:r>
      <w:r w:rsidR="00ED3CF9" w:rsidRPr="00957E32">
        <w:rPr>
          <w:rFonts w:ascii="Times New Roman" w:hAnsi="Times New Roman" w:cs="Times New Roman"/>
          <w:sz w:val="24"/>
          <w:szCs w:val="24"/>
        </w:rPr>
        <w:t xml:space="preserve"> </w:t>
      </w:r>
      <w:r w:rsidR="00BD038C">
        <w:rPr>
          <w:rFonts w:ascii="Times New Roman" w:hAnsi="Times New Roman" w:cs="Times New Roman"/>
          <w:sz w:val="24"/>
          <w:szCs w:val="24"/>
        </w:rPr>
        <w:t>76.1-84.1</w:t>
      </w:r>
      <w:r w:rsidR="00ED3CF9" w:rsidRPr="00957E32">
        <w:rPr>
          <w:rFonts w:ascii="Times New Roman" w:hAnsi="Times New Roman" w:cs="Times New Roman"/>
          <w:sz w:val="24"/>
          <w:szCs w:val="24"/>
        </w:rPr>
        <w:t xml:space="preserve">%) </w:t>
      </w:r>
      <w:r w:rsidR="00977405">
        <w:rPr>
          <w:rFonts w:ascii="Times New Roman" w:hAnsi="Times New Roman" w:cs="Times New Roman"/>
          <w:sz w:val="24"/>
          <w:szCs w:val="24"/>
        </w:rPr>
        <w:t>for</w:t>
      </w:r>
      <w:r w:rsidR="00ED3CF9" w:rsidRPr="00957E32">
        <w:rPr>
          <w:rFonts w:ascii="Times New Roman" w:hAnsi="Times New Roman" w:cs="Times New Roman"/>
          <w:sz w:val="24"/>
          <w:szCs w:val="24"/>
        </w:rPr>
        <w:t xml:space="preserve"> all non-TB patients and </w:t>
      </w:r>
      <w:r w:rsidR="00BD038C">
        <w:rPr>
          <w:rFonts w:ascii="Times New Roman" w:hAnsi="Times New Roman" w:cs="Times New Roman"/>
          <w:sz w:val="24"/>
          <w:szCs w:val="24"/>
        </w:rPr>
        <w:t>93.4</w:t>
      </w:r>
      <w:r w:rsidR="00ED3CF9" w:rsidRPr="00957E32">
        <w:rPr>
          <w:rFonts w:ascii="Times New Roman" w:hAnsi="Times New Roman" w:cs="Times New Roman"/>
          <w:sz w:val="24"/>
          <w:szCs w:val="24"/>
        </w:rPr>
        <w:t>% (</w:t>
      </w:r>
      <w:r w:rsidR="003E2465">
        <w:rPr>
          <w:rFonts w:ascii="Times New Roman" w:hAnsi="Times New Roman" w:cs="Times New Roman"/>
          <w:sz w:val="24"/>
          <w:szCs w:val="24"/>
        </w:rPr>
        <w:t>95%CI</w:t>
      </w:r>
      <w:r w:rsidR="00BD038C">
        <w:rPr>
          <w:rFonts w:ascii="Times New Roman" w:hAnsi="Times New Roman" w:cs="Times New Roman"/>
          <w:sz w:val="24"/>
          <w:szCs w:val="24"/>
        </w:rPr>
        <w:t xml:space="preserve"> 86.4-96.9</w:t>
      </w:r>
      <w:r w:rsidR="00ED3CF9" w:rsidRPr="00957E32">
        <w:rPr>
          <w:rFonts w:ascii="Times New Roman" w:hAnsi="Times New Roman" w:cs="Times New Roman"/>
          <w:sz w:val="24"/>
          <w:szCs w:val="24"/>
        </w:rPr>
        <w:t xml:space="preserve">%) </w:t>
      </w:r>
      <w:r w:rsidR="00977405">
        <w:rPr>
          <w:rFonts w:ascii="Times New Roman" w:hAnsi="Times New Roman" w:cs="Times New Roman"/>
          <w:sz w:val="24"/>
          <w:szCs w:val="24"/>
        </w:rPr>
        <w:t>for</w:t>
      </w:r>
      <w:r w:rsidR="00ED3CF9" w:rsidRPr="00957E32">
        <w:rPr>
          <w:rFonts w:ascii="Times New Roman" w:hAnsi="Times New Roman" w:cs="Times New Roman"/>
          <w:sz w:val="24"/>
          <w:szCs w:val="24"/>
        </w:rPr>
        <w:t xml:space="preserve"> cases with no risk factors for LTBI.</w:t>
      </w:r>
      <w:r w:rsidR="00504A04">
        <w:rPr>
          <w:rFonts w:ascii="Times New Roman" w:hAnsi="Times New Roman" w:cs="Times New Roman"/>
          <w:sz w:val="24"/>
          <w:szCs w:val="24"/>
        </w:rPr>
        <w:t xml:space="preserve"> </w:t>
      </w:r>
      <w:r w:rsidR="005E22A0">
        <w:rPr>
          <w:rFonts w:ascii="Times New Roman" w:hAnsi="Times New Roman" w:cs="Times New Roman"/>
          <w:sz w:val="24"/>
          <w:szCs w:val="24"/>
        </w:rPr>
        <w:t>S</w:t>
      </w:r>
      <w:r w:rsidR="00D1296F" w:rsidRPr="00957E32">
        <w:rPr>
          <w:rFonts w:ascii="Times New Roman" w:hAnsi="Times New Roman" w:cs="Times New Roman"/>
          <w:sz w:val="24"/>
          <w:szCs w:val="24"/>
        </w:rPr>
        <w:t xml:space="preserve">ensitivity </w:t>
      </w:r>
      <w:r w:rsidR="003E102B">
        <w:rPr>
          <w:rFonts w:ascii="Times New Roman" w:hAnsi="Times New Roman" w:cs="Times New Roman"/>
          <w:sz w:val="24"/>
          <w:szCs w:val="24"/>
        </w:rPr>
        <w:t xml:space="preserve">and specificity </w:t>
      </w:r>
      <w:r w:rsidR="00D1296F" w:rsidRPr="00957E32">
        <w:rPr>
          <w:rFonts w:ascii="Times New Roman" w:hAnsi="Times New Roman" w:cs="Times New Roman"/>
          <w:sz w:val="24"/>
          <w:szCs w:val="24"/>
        </w:rPr>
        <w:t>of T-SPOT.TB w</w:t>
      </w:r>
      <w:r w:rsidR="00470369">
        <w:rPr>
          <w:rFonts w:ascii="Times New Roman" w:hAnsi="Times New Roman" w:cs="Times New Roman"/>
          <w:sz w:val="24"/>
          <w:szCs w:val="24"/>
        </w:rPr>
        <w:t>ere</w:t>
      </w:r>
      <w:r w:rsidR="00D1296F" w:rsidRPr="00957E32">
        <w:rPr>
          <w:rFonts w:ascii="Times New Roman" w:hAnsi="Times New Roman" w:cs="Times New Roman"/>
          <w:sz w:val="24"/>
          <w:szCs w:val="24"/>
        </w:rPr>
        <w:t xml:space="preserve"> superior to QFT-GIT</w:t>
      </w:r>
      <w:r w:rsidR="003E102B">
        <w:rPr>
          <w:rFonts w:ascii="Times New Roman" w:hAnsi="Times New Roman" w:cs="Times New Roman"/>
          <w:sz w:val="24"/>
          <w:szCs w:val="24"/>
        </w:rPr>
        <w:t xml:space="preserve">; </w:t>
      </w:r>
      <w:r w:rsidR="00D1296F" w:rsidRPr="00957E32">
        <w:rPr>
          <w:rFonts w:ascii="Times New Roman" w:hAnsi="Times New Roman" w:cs="Times New Roman"/>
          <w:sz w:val="24"/>
          <w:szCs w:val="24"/>
        </w:rPr>
        <w:t xml:space="preserve">relative sensitivity </w:t>
      </w:r>
      <w:r w:rsidR="003E102B">
        <w:rPr>
          <w:rFonts w:ascii="Times New Roman" w:hAnsi="Times New Roman" w:cs="Times New Roman"/>
          <w:sz w:val="24"/>
          <w:szCs w:val="24"/>
        </w:rPr>
        <w:t>was 1.20 (</w:t>
      </w:r>
      <w:r w:rsidR="003E2465">
        <w:rPr>
          <w:rFonts w:ascii="Times New Roman" w:hAnsi="Times New Roman" w:cs="Times New Roman"/>
          <w:sz w:val="24"/>
          <w:szCs w:val="24"/>
        </w:rPr>
        <w:t>95%CI</w:t>
      </w:r>
      <w:r w:rsidR="005E22A0">
        <w:rPr>
          <w:rFonts w:ascii="Times New Roman" w:hAnsi="Times New Roman" w:cs="Times New Roman"/>
          <w:sz w:val="24"/>
          <w:szCs w:val="24"/>
        </w:rPr>
        <w:t xml:space="preserve"> </w:t>
      </w:r>
      <w:r w:rsidR="003E102B">
        <w:rPr>
          <w:rFonts w:ascii="Times New Roman" w:hAnsi="Times New Roman" w:cs="Times New Roman"/>
          <w:sz w:val="24"/>
          <w:szCs w:val="24"/>
        </w:rPr>
        <w:t>1.12-1.29) with p&lt;0.00</w:t>
      </w:r>
      <w:r w:rsidR="009537F9">
        <w:rPr>
          <w:rFonts w:ascii="Times New Roman" w:hAnsi="Times New Roman" w:cs="Times New Roman"/>
          <w:sz w:val="24"/>
          <w:szCs w:val="24"/>
        </w:rPr>
        <w:t>0</w:t>
      </w:r>
      <w:r w:rsidR="003E102B">
        <w:rPr>
          <w:rFonts w:ascii="Times New Roman" w:hAnsi="Times New Roman" w:cs="Times New Roman"/>
          <w:sz w:val="24"/>
          <w:szCs w:val="24"/>
        </w:rPr>
        <w:t>1, and relative specificity was 1.07 (</w:t>
      </w:r>
      <w:r w:rsidR="00EC5B9A">
        <w:rPr>
          <w:rFonts w:ascii="Times New Roman" w:hAnsi="Times New Roman" w:cs="Times New Roman"/>
          <w:sz w:val="24"/>
          <w:szCs w:val="24"/>
        </w:rPr>
        <w:t xml:space="preserve">95%CI </w:t>
      </w:r>
      <w:r w:rsidR="003E102B">
        <w:rPr>
          <w:rFonts w:ascii="Times New Roman" w:hAnsi="Times New Roman" w:cs="Times New Roman"/>
          <w:sz w:val="24"/>
          <w:szCs w:val="24"/>
        </w:rPr>
        <w:t>1.02-1.12) with p=0.004.</w:t>
      </w:r>
    </w:p>
    <w:bookmarkEnd w:id="1"/>
    <w:p w14:paraId="33050329" w14:textId="21D97303" w:rsidR="00EE6C4A" w:rsidRPr="00957E32" w:rsidRDefault="007D692F" w:rsidP="001B1048">
      <w:pPr>
        <w:spacing w:after="0" w:line="480" w:lineRule="auto"/>
        <w:jc w:val="both"/>
        <w:rPr>
          <w:rFonts w:ascii="Times New Roman" w:hAnsi="Times New Roman" w:cs="Times New Roman"/>
          <w:b/>
          <w:sz w:val="24"/>
          <w:szCs w:val="24"/>
        </w:rPr>
      </w:pPr>
      <w:r w:rsidRPr="00957E32">
        <w:rPr>
          <w:rFonts w:ascii="Times New Roman" w:hAnsi="Times New Roman" w:cs="Times New Roman"/>
          <w:b/>
          <w:sz w:val="24"/>
          <w:szCs w:val="24"/>
        </w:rPr>
        <w:t xml:space="preserve">Diagnostic accuracy of </w:t>
      </w:r>
      <w:r w:rsidR="00C9141C">
        <w:rPr>
          <w:rFonts w:ascii="Times New Roman" w:hAnsi="Times New Roman" w:cs="Times New Roman"/>
          <w:b/>
          <w:sz w:val="24"/>
          <w:szCs w:val="24"/>
        </w:rPr>
        <w:t>second-generation</w:t>
      </w:r>
      <w:r w:rsidRPr="00957E32">
        <w:rPr>
          <w:rFonts w:ascii="Times New Roman" w:hAnsi="Times New Roman" w:cs="Times New Roman"/>
          <w:b/>
          <w:sz w:val="24"/>
          <w:szCs w:val="24"/>
        </w:rPr>
        <w:t xml:space="preserve"> </w:t>
      </w:r>
      <w:r w:rsidR="00073FA9" w:rsidRPr="00957E32">
        <w:rPr>
          <w:rFonts w:ascii="Times New Roman" w:hAnsi="Times New Roman" w:cs="Times New Roman"/>
          <w:b/>
          <w:sz w:val="24"/>
          <w:szCs w:val="24"/>
        </w:rPr>
        <w:t xml:space="preserve">and ESAT-6-free </w:t>
      </w:r>
      <w:r w:rsidRPr="00957E32">
        <w:rPr>
          <w:rFonts w:ascii="Times New Roman" w:hAnsi="Times New Roman" w:cs="Times New Roman"/>
          <w:b/>
          <w:sz w:val="24"/>
          <w:szCs w:val="24"/>
        </w:rPr>
        <w:t>IGRA</w:t>
      </w:r>
    </w:p>
    <w:p w14:paraId="3165793A" w14:textId="653DDBAE" w:rsidR="00DC6A63" w:rsidRPr="00741757" w:rsidRDefault="00C9141C" w:rsidP="00DC6A6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Second-generation</w:t>
      </w:r>
      <w:r w:rsidR="00520B01" w:rsidRPr="00957E32">
        <w:rPr>
          <w:rFonts w:ascii="Times New Roman" w:hAnsi="Times New Roman" w:cs="Times New Roman"/>
          <w:sz w:val="24"/>
          <w:szCs w:val="24"/>
        </w:rPr>
        <w:t xml:space="preserve"> </w:t>
      </w:r>
      <w:r w:rsidR="00073FA9" w:rsidRPr="00957E32">
        <w:rPr>
          <w:rFonts w:ascii="Times New Roman" w:hAnsi="Times New Roman" w:cs="Times New Roman"/>
          <w:sz w:val="24"/>
          <w:szCs w:val="24"/>
        </w:rPr>
        <w:t xml:space="preserve">and ESAT-6-free </w:t>
      </w:r>
      <w:r w:rsidR="00520B01" w:rsidRPr="00957E32">
        <w:rPr>
          <w:rFonts w:ascii="Times New Roman" w:hAnsi="Times New Roman" w:cs="Times New Roman"/>
          <w:sz w:val="24"/>
          <w:szCs w:val="24"/>
        </w:rPr>
        <w:t>IGRA r</w:t>
      </w:r>
      <w:r w:rsidR="00454296" w:rsidRPr="00957E32">
        <w:rPr>
          <w:rFonts w:ascii="Times New Roman" w:hAnsi="Times New Roman" w:cs="Times New Roman"/>
          <w:sz w:val="24"/>
          <w:szCs w:val="24"/>
        </w:rPr>
        <w:t>esults</w:t>
      </w:r>
      <w:r w:rsidR="00520B01" w:rsidRPr="00957E32">
        <w:rPr>
          <w:rFonts w:ascii="Times New Roman" w:hAnsi="Times New Roman" w:cs="Times New Roman"/>
          <w:sz w:val="24"/>
          <w:szCs w:val="24"/>
        </w:rPr>
        <w:t xml:space="preserve"> were</w:t>
      </w:r>
      <w:r w:rsidR="00454296" w:rsidRPr="00957E32">
        <w:rPr>
          <w:rFonts w:ascii="Times New Roman" w:hAnsi="Times New Roman" w:cs="Times New Roman"/>
          <w:sz w:val="24"/>
          <w:szCs w:val="24"/>
        </w:rPr>
        <w:t xml:space="preserve"> available for 809</w:t>
      </w:r>
      <w:r w:rsidR="004D304F">
        <w:rPr>
          <w:rFonts w:ascii="Times New Roman" w:hAnsi="Times New Roman" w:cs="Times New Roman"/>
          <w:sz w:val="24"/>
          <w:szCs w:val="24"/>
        </w:rPr>
        <w:t>/845</w:t>
      </w:r>
      <w:r w:rsidR="00454296" w:rsidRPr="00957E32">
        <w:rPr>
          <w:rFonts w:ascii="Times New Roman" w:hAnsi="Times New Roman" w:cs="Times New Roman"/>
          <w:sz w:val="24"/>
          <w:szCs w:val="24"/>
        </w:rPr>
        <w:t xml:space="preserve"> </w:t>
      </w:r>
      <w:r w:rsidR="003E2465">
        <w:rPr>
          <w:rFonts w:ascii="Times New Roman" w:hAnsi="Times New Roman" w:cs="Times New Roman"/>
          <w:sz w:val="24"/>
          <w:szCs w:val="24"/>
        </w:rPr>
        <w:t xml:space="preserve">(96%) </w:t>
      </w:r>
      <w:r w:rsidR="00454296" w:rsidRPr="00957E32">
        <w:rPr>
          <w:rFonts w:ascii="Times New Roman" w:hAnsi="Times New Roman" w:cs="Times New Roman"/>
          <w:sz w:val="24"/>
          <w:szCs w:val="24"/>
        </w:rPr>
        <w:t>patients</w:t>
      </w:r>
      <w:r w:rsidR="00073FA9" w:rsidRPr="00957E32">
        <w:rPr>
          <w:rFonts w:ascii="Times New Roman" w:hAnsi="Times New Roman" w:cs="Times New Roman"/>
          <w:sz w:val="24"/>
          <w:szCs w:val="24"/>
        </w:rPr>
        <w:t xml:space="preserve"> </w:t>
      </w:r>
      <w:r w:rsidR="00ED3CF9" w:rsidRPr="00957E32">
        <w:rPr>
          <w:rFonts w:ascii="Times New Roman" w:hAnsi="Times New Roman" w:cs="Times New Roman"/>
          <w:sz w:val="24"/>
          <w:szCs w:val="24"/>
        </w:rPr>
        <w:t>(Table 4)</w:t>
      </w:r>
      <w:r w:rsidR="00BD038C">
        <w:rPr>
          <w:rFonts w:ascii="Times New Roman" w:hAnsi="Times New Roman" w:cs="Times New Roman"/>
          <w:sz w:val="24"/>
          <w:szCs w:val="24"/>
        </w:rPr>
        <w:t>.</w:t>
      </w:r>
      <w:r w:rsidR="00AA0827">
        <w:rPr>
          <w:rFonts w:ascii="Times New Roman" w:hAnsi="Times New Roman" w:cs="Times New Roman"/>
          <w:sz w:val="24"/>
          <w:szCs w:val="24"/>
        </w:rPr>
        <w:t xml:space="preserve"> </w:t>
      </w:r>
      <w:r w:rsidR="00566E1C" w:rsidRPr="00957E32">
        <w:rPr>
          <w:rFonts w:ascii="Times New Roman" w:hAnsi="Times New Roman" w:cs="Times New Roman"/>
          <w:sz w:val="24"/>
          <w:szCs w:val="24"/>
        </w:rPr>
        <w:t>Sensitivity of</w:t>
      </w:r>
      <w:r w:rsidR="00DC6A63">
        <w:rPr>
          <w:rFonts w:ascii="Times New Roman" w:hAnsi="Times New Roman" w:cs="Times New Roman"/>
          <w:sz w:val="24"/>
          <w:szCs w:val="24"/>
        </w:rPr>
        <w:t xml:space="preserve"> </w:t>
      </w:r>
      <w:r>
        <w:rPr>
          <w:rFonts w:ascii="Times New Roman" w:hAnsi="Times New Roman" w:cs="Times New Roman"/>
          <w:sz w:val="24"/>
          <w:szCs w:val="24"/>
        </w:rPr>
        <w:t>second-generation</w:t>
      </w:r>
      <w:r w:rsidR="00073FA9" w:rsidRPr="00957E32">
        <w:rPr>
          <w:rFonts w:ascii="Times New Roman" w:hAnsi="Times New Roman" w:cs="Times New Roman"/>
          <w:sz w:val="24"/>
          <w:szCs w:val="24"/>
        </w:rPr>
        <w:t xml:space="preserve"> IGRA</w:t>
      </w:r>
      <w:r w:rsidR="00566E1C" w:rsidRPr="00957E32">
        <w:rPr>
          <w:rFonts w:ascii="Times New Roman" w:hAnsi="Times New Roman" w:cs="Times New Roman"/>
          <w:sz w:val="24"/>
          <w:szCs w:val="24"/>
        </w:rPr>
        <w:t xml:space="preserve"> was 94.0% </w:t>
      </w:r>
      <w:r w:rsidR="00073FA9" w:rsidRPr="00957E32">
        <w:rPr>
          <w:rFonts w:ascii="Times New Roman" w:hAnsi="Times New Roman" w:cs="Times New Roman"/>
          <w:sz w:val="24"/>
          <w:szCs w:val="24"/>
        </w:rPr>
        <w:t>(</w:t>
      </w:r>
      <w:r w:rsidR="003E2465">
        <w:rPr>
          <w:rFonts w:ascii="Times New Roman" w:hAnsi="Times New Roman" w:cs="Times New Roman"/>
          <w:sz w:val="24"/>
          <w:szCs w:val="24"/>
        </w:rPr>
        <w:t>95%CI</w:t>
      </w:r>
      <w:r w:rsidR="00073FA9" w:rsidRPr="00957E32">
        <w:rPr>
          <w:rFonts w:ascii="Times New Roman" w:hAnsi="Times New Roman" w:cs="Times New Roman"/>
          <w:sz w:val="24"/>
          <w:szCs w:val="24"/>
        </w:rPr>
        <w:t xml:space="preserve"> 90.0</w:t>
      </w:r>
      <w:r w:rsidR="00D0679E" w:rsidRPr="00957E32">
        <w:rPr>
          <w:rFonts w:ascii="Times New Roman" w:hAnsi="Times New Roman" w:cs="Times New Roman"/>
          <w:sz w:val="24"/>
          <w:szCs w:val="24"/>
        </w:rPr>
        <w:t>-</w:t>
      </w:r>
      <w:r w:rsidR="00073FA9" w:rsidRPr="00957E32">
        <w:rPr>
          <w:rFonts w:ascii="Times New Roman" w:hAnsi="Times New Roman" w:cs="Times New Roman"/>
          <w:sz w:val="24"/>
          <w:szCs w:val="24"/>
        </w:rPr>
        <w:t xml:space="preserve">96.4%) </w:t>
      </w:r>
      <w:r w:rsidR="00977405">
        <w:rPr>
          <w:rFonts w:ascii="Times New Roman" w:hAnsi="Times New Roman" w:cs="Times New Roman"/>
          <w:sz w:val="24"/>
          <w:szCs w:val="24"/>
        </w:rPr>
        <w:t>for</w:t>
      </w:r>
      <w:r w:rsidR="00566E1C" w:rsidRPr="00957E32">
        <w:rPr>
          <w:rFonts w:ascii="Times New Roman" w:hAnsi="Times New Roman" w:cs="Times New Roman"/>
          <w:sz w:val="24"/>
          <w:szCs w:val="24"/>
        </w:rPr>
        <w:t xml:space="preserve"> culture-confirmed TB and </w:t>
      </w:r>
      <w:r w:rsidR="00605A48" w:rsidRPr="00957E32">
        <w:rPr>
          <w:rFonts w:ascii="Times New Roman" w:hAnsi="Times New Roman" w:cs="Times New Roman"/>
          <w:sz w:val="24"/>
          <w:szCs w:val="24"/>
        </w:rPr>
        <w:t>89.</w:t>
      </w:r>
      <w:r w:rsidR="000C2D26" w:rsidRPr="00957E32">
        <w:rPr>
          <w:rFonts w:ascii="Times New Roman" w:hAnsi="Times New Roman" w:cs="Times New Roman"/>
          <w:sz w:val="24"/>
          <w:szCs w:val="24"/>
        </w:rPr>
        <w:t>2</w:t>
      </w:r>
      <w:r w:rsidR="00605A48" w:rsidRPr="00957E32">
        <w:rPr>
          <w:rFonts w:ascii="Times New Roman" w:hAnsi="Times New Roman" w:cs="Times New Roman"/>
          <w:sz w:val="24"/>
          <w:szCs w:val="24"/>
        </w:rPr>
        <w:t>% (</w:t>
      </w:r>
      <w:r w:rsidR="003E2465">
        <w:rPr>
          <w:rFonts w:ascii="Times New Roman" w:hAnsi="Times New Roman" w:cs="Times New Roman"/>
          <w:sz w:val="24"/>
          <w:szCs w:val="24"/>
        </w:rPr>
        <w:t>95%CI</w:t>
      </w:r>
      <w:r w:rsidR="00605A48" w:rsidRPr="00957E32">
        <w:rPr>
          <w:rFonts w:ascii="Times New Roman" w:hAnsi="Times New Roman" w:cs="Times New Roman"/>
          <w:sz w:val="24"/>
          <w:szCs w:val="24"/>
        </w:rPr>
        <w:t xml:space="preserve"> </w:t>
      </w:r>
      <w:r w:rsidR="000C2D26" w:rsidRPr="00957E32">
        <w:rPr>
          <w:rFonts w:ascii="Times New Roman" w:hAnsi="Times New Roman" w:cs="Times New Roman"/>
          <w:sz w:val="24"/>
          <w:szCs w:val="24"/>
        </w:rPr>
        <w:t>85</w:t>
      </w:r>
      <w:r w:rsidR="00605A48" w:rsidRPr="00957E32">
        <w:rPr>
          <w:rFonts w:ascii="Times New Roman" w:hAnsi="Times New Roman" w:cs="Times New Roman"/>
          <w:sz w:val="24"/>
          <w:szCs w:val="24"/>
        </w:rPr>
        <w:t>.2</w:t>
      </w:r>
      <w:r w:rsidR="00D0679E" w:rsidRPr="00957E32">
        <w:rPr>
          <w:rFonts w:ascii="Times New Roman" w:hAnsi="Times New Roman" w:cs="Times New Roman"/>
          <w:sz w:val="24"/>
          <w:szCs w:val="24"/>
        </w:rPr>
        <w:t>-</w:t>
      </w:r>
      <w:r w:rsidR="00605A48" w:rsidRPr="00957E32">
        <w:rPr>
          <w:rFonts w:ascii="Times New Roman" w:hAnsi="Times New Roman" w:cs="Times New Roman"/>
          <w:sz w:val="24"/>
          <w:szCs w:val="24"/>
        </w:rPr>
        <w:t>92.</w:t>
      </w:r>
      <w:r w:rsidR="000C2D26" w:rsidRPr="00957E32">
        <w:rPr>
          <w:rFonts w:ascii="Times New Roman" w:hAnsi="Times New Roman" w:cs="Times New Roman"/>
          <w:sz w:val="24"/>
          <w:szCs w:val="24"/>
        </w:rPr>
        <w:t>2</w:t>
      </w:r>
      <w:r w:rsidR="00605A48" w:rsidRPr="00957E32">
        <w:rPr>
          <w:rFonts w:ascii="Times New Roman" w:hAnsi="Times New Roman" w:cs="Times New Roman"/>
          <w:sz w:val="24"/>
          <w:szCs w:val="24"/>
        </w:rPr>
        <w:t xml:space="preserve">%) </w:t>
      </w:r>
      <w:r w:rsidR="00977405">
        <w:rPr>
          <w:rFonts w:ascii="Times New Roman" w:hAnsi="Times New Roman" w:cs="Times New Roman"/>
          <w:sz w:val="24"/>
          <w:szCs w:val="24"/>
        </w:rPr>
        <w:t>for</w:t>
      </w:r>
      <w:r w:rsidR="00605A48" w:rsidRPr="00957E32">
        <w:rPr>
          <w:rFonts w:ascii="Times New Roman" w:hAnsi="Times New Roman" w:cs="Times New Roman"/>
          <w:sz w:val="24"/>
          <w:szCs w:val="24"/>
        </w:rPr>
        <w:t xml:space="preserve"> all TB</w:t>
      </w:r>
      <w:r w:rsidR="00AA0827">
        <w:rPr>
          <w:rFonts w:ascii="Times New Roman" w:hAnsi="Times New Roman" w:cs="Times New Roman"/>
          <w:sz w:val="24"/>
          <w:szCs w:val="24"/>
        </w:rPr>
        <w:t xml:space="preserve">, </w:t>
      </w:r>
      <w:r w:rsidR="00E231BB" w:rsidRPr="00C5687D">
        <w:rPr>
          <w:rFonts w:ascii="Times New Roman" w:hAnsi="Times New Roman" w:cs="Times New Roman"/>
          <w:sz w:val="24"/>
          <w:szCs w:val="24"/>
        </w:rPr>
        <w:t>giving an NPV of 90</w:t>
      </w:r>
      <w:r w:rsidR="00E231BB">
        <w:rPr>
          <w:rFonts w:ascii="Times New Roman" w:hAnsi="Times New Roman" w:cs="Times New Roman"/>
          <w:sz w:val="24"/>
          <w:szCs w:val="24"/>
        </w:rPr>
        <w:t>.0</w:t>
      </w:r>
      <w:r w:rsidR="00E231BB" w:rsidRPr="00C5687D">
        <w:rPr>
          <w:rFonts w:ascii="Times New Roman" w:hAnsi="Times New Roman" w:cs="Times New Roman"/>
          <w:sz w:val="24"/>
          <w:szCs w:val="24"/>
        </w:rPr>
        <w:t xml:space="preserve">% </w:t>
      </w:r>
      <w:r w:rsidR="00E231BB">
        <w:rPr>
          <w:rFonts w:ascii="Times New Roman" w:hAnsi="Times New Roman" w:cs="Times New Roman"/>
          <w:sz w:val="24"/>
          <w:szCs w:val="24"/>
        </w:rPr>
        <w:t>(</w:t>
      </w:r>
      <w:r w:rsidR="003E2465">
        <w:rPr>
          <w:rFonts w:ascii="Times New Roman" w:hAnsi="Times New Roman" w:cs="Times New Roman"/>
          <w:sz w:val="24"/>
          <w:szCs w:val="24"/>
        </w:rPr>
        <w:t>95%CI</w:t>
      </w:r>
      <w:r w:rsidR="00E231BB">
        <w:rPr>
          <w:rFonts w:ascii="Times New Roman" w:hAnsi="Times New Roman" w:cs="Times New Roman"/>
          <w:sz w:val="24"/>
          <w:szCs w:val="24"/>
        </w:rPr>
        <w:t xml:space="preserve"> 86.2-92.8%) </w:t>
      </w:r>
      <w:r w:rsidR="00E231BB" w:rsidRPr="00C5687D">
        <w:rPr>
          <w:rFonts w:ascii="Times New Roman" w:hAnsi="Times New Roman" w:cs="Times New Roman"/>
          <w:sz w:val="24"/>
          <w:szCs w:val="24"/>
        </w:rPr>
        <w:t>and NLR of 0.13</w:t>
      </w:r>
      <w:r w:rsidR="00E231BB">
        <w:rPr>
          <w:rFonts w:ascii="Times New Roman" w:hAnsi="Times New Roman" w:cs="Times New Roman"/>
          <w:sz w:val="24"/>
          <w:szCs w:val="24"/>
        </w:rPr>
        <w:t xml:space="preserve"> (</w:t>
      </w:r>
      <w:r w:rsidR="003E2465">
        <w:rPr>
          <w:rFonts w:ascii="Times New Roman" w:hAnsi="Times New Roman" w:cs="Times New Roman"/>
          <w:sz w:val="24"/>
          <w:szCs w:val="24"/>
        </w:rPr>
        <w:t>95%CI</w:t>
      </w:r>
      <w:r w:rsidR="00E231BB">
        <w:rPr>
          <w:rFonts w:ascii="Times New Roman" w:hAnsi="Times New Roman" w:cs="Times New Roman"/>
          <w:sz w:val="24"/>
          <w:szCs w:val="24"/>
        </w:rPr>
        <w:t xml:space="preserve"> 0.10-0.19) for all TB</w:t>
      </w:r>
      <w:r w:rsidR="00E231BB" w:rsidRPr="00C5687D">
        <w:rPr>
          <w:rFonts w:ascii="Times New Roman" w:hAnsi="Times New Roman" w:cs="Times New Roman"/>
          <w:sz w:val="24"/>
          <w:szCs w:val="24"/>
        </w:rPr>
        <w:t>.</w:t>
      </w:r>
      <w:r w:rsidR="00E231BB">
        <w:rPr>
          <w:rFonts w:ascii="Times New Roman" w:hAnsi="Times New Roman" w:cs="Times New Roman"/>
          <w:sz w:val="24"/>
          <w:szCs w:val="24"/>
        </w:rPr>
        <w:t xml:space="preserve"> </w:t>
      </w:r>
      <w:r w:rsidR="00BD038C">
        <w:rPr>
          <w:rFonts w:ascii="Times New Roman" w:hAnsi="Times New Roman" w:cs="Times New Roman"/>
          <w:sz w:val="24"/>
          <w:szCs w:val="24"/>
        </w:rPr>
        <w:t>S</w:t>
      </w:r>
      <w:r w:rsidR="007A3B9C" w:rsidRPr="00957E32">
        <w:rPr>
          <w:rFonts w:ascii="Times New Roman" w:hAnsi="Times New Roman" w:cs="Times New Roman"/>
          <w:sz w:val="24"/>
          <w:szCs w:val="24"/>
        </w:rPr>
        <w:t>pecificity</w:t>
      </w:r>
      <w:r w:rsidR="00605A48" w:rsidRPr="00957E32">
        <w:rPr>
          <w:rFonts w:ascii="Times New Roman" w:hAnsi="Times New Roman" w:cs="Times New Roman"/>
          <w:sz w:val="24"/>
          <w:szCs w:val="24"/>
        </w:rPr>
        <w:t xml:space="preserve"> was </w:t>
      </w:r>
      <w:r w:rsidR="000C2D26" w:rsidRPr="00957E32">
        <w:rPr>
          <w:rFonts w:ascii="Times New Roman" w:hAnsi="Times New Roman" w:cs="Times New Roman"/>
          <w:sz w:val="24"/>
          <w:szCs w:val="24"/>
        </w:rPr>
        <w:t>80.0</w:t>
      </w:r>
      <w:r w:rsidR="00605A48" w:rsidRPr="00957E32">
        <w:rPr>
          <w:rFonts w:ascii="Times New Roman" w:hAnsi="Times New Roman" w:cs="Times New Roman"/>
          <w:sz w:val="24"/>
          <w:szCs w:val="24"/>
        </w:rPr>
        <w:t>% (</w:t>
      </w:r>
      <w:r w:rsidR="003E2465">
        <w:rPr>
          <w:rFonts w:ascii="Times New Roman" w:hAnsi="Times New Roman" w:cs="Times New Roman"/>
          <w:sz w:val="24"/>
          <w:szCs w:val="24"/>
        </w:rPr>
        <w:t>95%CI</w:t>
      </w:r>
      <w:r w:rsidR="00605A48" w:rsidRPr="00957E32">
        <w:rPr>
          <w:rFonts w:ascii="Times New Roman" w:hAnsi="Times New Roman" w:cs="Times New Roman"/>
          <w:sz w:val="24"/>
          <w:szCs w:val="24"/>
        </w:rPr>
        <w:t xml:space="preserve"> </w:t>
      </w:r>
      <w:r w:rsidR="000C2D26" w:rsidRPr="00957E32">
        <w:rPr>
          <w:rFonts w:ascii="Times New Roman" w:hAnsi="Times New Roman" w:cs="Times New Roman"/>
          <w:sz w:val="24"/>
          <w:szCs w:val="24"/>
        </w:rPr>
        <w:t>75</w:t>
      </w:r>
      <w:r w:rsidR="00605A48" w:rsidRPr="00957E32">
        <w:rPr>
          <w:rFonts w:ascii="Times New Roman" w:hAnsi="Times New Roman" w:cs="Times New Roman"/>
          <w:sz w:val="24"/>
          <w:szCs w:val="24"/>
        </w:rPr>
        <w:t>.</w:t>
      </w:r>
      <w:r w:rsidR="000C2D26" w:rsidRPr="00957E32">
        <w:rPr>
          <w:rFonts w:ascii="Times New Roman" w:hAnsi="Times New Roman" w:cs="Times New Roman"/>
          <w:sz w:val="24"/>
          <w:szCs w:val="24"/>
        </w:rPr>
        <w:t>6</w:t>
      </w:r>
      <w:r w:rsidR="00D0679E" w:rsidRPr="00957E32">
        <w:rPr>
          <w:rFonts w:ascii="Times New Roman" w:hAnsi="Times New Roman" w:cs="Times New Roman"/>
          <w:sz w:val="24"/>
          <w:szCs w:val="24"/>
        </w:rPr>
        <w:t>-</w:t>
      </w:r>
      <w:r w:rsidR="00605A48" w:rsidRPr="00957E32">
        <w:rPr>
          <w:rFonts w:ascii="Times New Roman" w:hAnsi="Times New Roman" w:cs="Times New Roman"/>
          <w:sz w:val="24"/>
          <w:szCs w:val="24"/>
        </w:rPr>
        <w:t>8</w:t>
      </w:r>
      <w:r w:rsidR="000C2D26" w:rsidRPr="00957E32">
        <w:rPr>
          <w:rFonts w:ascii="Times New Roman" w:hAnsi="Times New Roman" w:cs="Times New Roman"/>
          <w:sz w:val="24"/>
          <w:szCs w:val="24"/>
        </w:rPr>
        <w:t>3</w:t>
      </w:r>
      <w:r w:rsidR="00605A48" w:rsidRPr="00957E32">
        <w:rPr>
          <w:rFonts w:ascii="Times New Roman" w:hAnsi="Times New Roman" w:cs="Times New Roman"/>
          <w:sz w:val="24"/>
          <w:szCs w:val="24"/>
        </w:rPr>
        <w:t>.</w:t>
      </w:r>
      <w:r w:rsidR="000C2D26" w:rsidRPr="00957E32">
        <w:rPr>
          <w:rFonts w:ascii="Times New Roman" w:hAnsi="Times New Roman" w:cs="Times New Roman"/>
          <w:sz w:val="24"/>
          <w:szCs w:val="24"/>
        </w:rPr>
        <w:t>8</w:t>
      </w:r>
      <w:r w:rsidR="00566E1C" w:rsidRPr="00957E32">
        <w:rPr>
          <w:rFonts w:ascii="Times New Roman" w:hAnsi="Times New Roman" w:cs="Times New Roman"/>
          <w:sz w:val="24"/>
          <w:szCs w:val="24"/>
        </w:rPr>
        <w:t xml:space="preserve">%) </w:t>
      </w:r>
      <w:r w:rsidR="00977405">
        <w:rPr>
          <w:rFonts w:ascii="Times New Roman" w:hAnsi="Times New Roman" w:cs="Times New Roman"/>
          <w:sz w:val="24"/>
          <w:szCs w:val="24"/>
        </w:rPr>
        <w:t xml:space="preserve">for </w:t>
      </w:r>
      <w:r w:rsidR="00566E1C" w:rsidRPr="00957E32">
        <w:rPr>
          <w:rFonts w:ascii="Times New Roman" w:hAnsi="Times New Roman" w:cs="Times New Roman"/>
          <w:sz w:val="24"/>
          <w:szCs w:val="24"/>
        </w:rPr>
        <w:t xml:space="preserve">all non-TB patients and 91.3% </w:t>
      </w:r>
      <w:r w:rsidR="00073FA9" w:rsidRPr="00957E32">
        <w:rPr>
          <w:rFonts w:ascii="Times New Roman" w:hAnsi="Times New Roman" w:cs="Times New Roman"/>
          <w:sz w:val="24"/>
          <w:szCs w:val="24"/>
        </w:rPr>
        <w:t>(</w:t>
      </w:r>
      <w:r w:rsidR="003E2465">
        <w:rPr>
          <w:rFonts w:ascii="Times New Roman" w:hAnsi="Times New Roman" w:cs="Times New Roman"/>
          <w:sz w:val="24"/>
          <w:szCs w:val="24"/>
        </w:rPr>
        <w:t>95%CI</w:t>
      </w:r>
      <w:r w:rsidR="00073FA9" w:rsidRPr="00957E32">
        <w:rPr>
          <w:rFonts w:ascii="Times New Roman" w:hAnsi="Times New Roman" w:cs="Times New Roman"/>
          <w:sz w:val="24"/>
          <w:szCs w:val="24"/>
        </w:rPr>
        <w:t xml:space="preserve"> 83.8</w:t>
      </w:r>
      <w:r w:rsidR="00D0679E" w:rsidRPr="00957E32">
        <w:rPr>
          <w:rFonts w:ascii="Times New Roman" w:hAnsi="Times New Roman" w:cs="Times New Roman"/>
          <w:sz w:val="24"/>
          <w:szCs w:val="24"/>
        </w:rPr>
        <w:t>-</w:t>
      </w:r>
      <w:r w:rsidR="00073FA9" w:rsidRPr="00957E32">
        <w:rPr>
          <w:rFonts w:ascii="Times New Roman" w:hAnsi="Times New Roman" w:cs="Times New Roman"/>
          <w:sz w:val="24"/>
          <w:szCs w:val="24"/>
        </w:rPr>
        <w:t xml:space="preserve">95.5%) </w:t>
      </w:r>
      <w:r w:rsidR="00977405">
        <w:rPr>
          <w:rFonts w:ascii="Times New Roman" w:hAnsi="Times New Roman" w:cs="Times New Roman"/>
          <w:sz w:val="24"/>
          <w:szCs w:val="24"/>
        </w:rPr>
        <w:t>for</w:t>
      </w:r>
      <w:r w:rsidR="00566E1C" w:rsidRPr="00957E32">
        <w:rPr>
          <w:rFonts w:ascii="Times New Roman" w:hAnsi="Times New Roman" w:cs="Times New Roman"/>
          <w:sz w:val="24"/>
          <w:szCs w:val="24"/>
        </w:rPr>
        <w:t xml:space="preserve"> cases</w:t>
      </w:r>
      <w:r w:rsidR="00073FA9" w:rsidRPr="00957E32">
        <w:rPr>
          <w:rFonts w:ascii="Times New Roman" w:hAnsi="Times New Roman" w:cs="Times New Roman"/>
          <w:sz w:val="24"/>
          <w:szCs w:val="24"/>
        </w:rPr>
        <w:t xml:space="preserve"> with no risk factors for LTBI</w:t>
      </w:r>
      <w:r w:rsidR="00ED3CF9" w:rsidRPr="00957E32">
        <w:rPr>
          <w:rFonts w:ascii="Times New Roman" w:hAnsi="Times New Roman" w:cs="Times New Roman"/>
          <w:sz w:val="24"/>
          <w:szCs w:val="24"/>
        </w:rPr>
        <w:t>. Sensitivity of</w:t>
      </w:r>
      <w:r w:rsidR="00DC6A63">
        <w:rPr>
          <w:rFonts w:ascii="Times New Roman" w:hAnsi="Times New Roman" w:cs="Times New Roman"/>
          <w:sz w:val="24"/>
          <w:szCs w:val="24"/>
        </w:rPr>
        <w:t xml:space="preserve"> </w:t>
      </w:r>
      <w:r w:rsidR="00ED3CF9" w:rsidRPr="00957E32">
        <w:rPr>
          <w:rFonts w:ascii="Times New Roman" w:hAnsi="Times New Roman" w:cs="Times New Roman"/>
          <w:sz w:val="24"/>
          <w:szCs w:val="24"/>
        </w:rPr>
        <w:t xml:space="preserve">ESAT-free IGRA was </w:t>
      </w:r>
      <w:r w:rsidR="00BD038C">
        <w:rPr>
          <w:rFonts w:ascii="Times New Roman" w:hAnsi="Times New Roman" w:cs="Times New Roman"/>
          <w:sz w:val="24"/>
          <w:szCs w:val="24"/>
        </w:rPr>
        <w:t>93.4</w:t>
      </w:r>
      <w:r w:rsidR="00ED3CF9" w:rsidRPr="00957E32">
        <w:rPr>
          <w:rFonts w:ascii="Times New Roman" w:hAnsi="Times New Roman" w:cs="Times New Roman"/>
          <w:sz w:val="24"/>
          <w:szCs w:val="24"/>
        </w:rPr>
        <w:t>% (</w:t>
      </w:r>
      <w:r w:rsidR="003E2465">
        <w:rPr>
          <w:rFonts w:ascii="Times New Roman" w:hAnsi="Times New Roman" w:cs="Times New Roman"/>
          <w:sz w:val="24"/>
          <w:szCs w:val="24"/>
        </w:rPr>
        <w:t>95%CI</w:t>
      </w:r>
      <w:r w:rsidR="00ED3CF9" w:rsidRPr="00957E32">
        <w:rPr>
          <w:rFonts w:ascii="Times New Roman" w:hAnsi="Times New Roman" w:cs="Times New Roman"/>
          <w:sz w:val="24"/>
          <w:szCs w:val="24"/>
        </w:rPr>
        <w:t xml:space="preserve"> </w:t>
      </w:r>
      <w:r w:rsidR="00BD038C">
        <w:rPr>
          <w:rFonts w:ascii="Times New Roman" w:hAnsi="Times New Roman" w:cs="Times New Roman"/>
          <w:sz w:val="24"/>
          <w:szCs w:val="24"/>
        </w:rPr>
        <w:t>89.2-96.0</w:t>
      </w:r>
      <w:r w:rsidR="00ED3CF9" w:rsidRPr="00957E32">
        <w:rPr>
          <w:rFonts w:ascii="Times New Roman" w:hAnsi="Times New Roman" w:cs="Times New Roman"/>
          <w:sz w:val="24"/>
          <w:szCs w:val="24"/>
        </w:rPr>
        <w:t xml:space="preserve">%) </w:t>
      </w:r>
      <w:r w:rsidR="00977405">
        <w:rPr>
          <w:rFonts w:ascii="Times New Roman" w:hAnsi="Times New Roman" w:cs="Times New Roman"/>
          <w:sz w:val="24"/>
          <w:szCs w:val="24"/>
        </w:rPr>
        <w:t>for</w:t>
      </w:r>
      <w:r w:rsidR="00ED3CF9" w:rsidRPr="00957E32">
        <w:rPr>
          <w:rFonts w:ascii="Times New Roman" w:hAnsi="Times New Roman" w:cs="Times New Roman"/>
          <w:sz w:val="24"/>
          <w:szCs w:val="24"/>
        </w:rPr>
        <w:t xml:space="preserve"> culture-confirmed TB and </w:t>
      </w:r>
      <w:r w:rsidR="00BD038C" w:rsidRPr="001B1048">
        <w:rPr>
          <w:rFonts w:ascii="Times New Roman" w:hAnsi="Times New Roman" w:cs="Times New Roman"/>
          <w:sz w:val="24"/>
          <w:szCs w:val="24"/>
        </w:rPr>
        <w:t>88.</w:t>
      </w:r>
      <w:r w:rsidR="00BD038C" w:rsidRPr="00BD038C">
        <w:rPr>
          <w:rFonts w:ascii="Times New Roman" w:hAnsi="Times New Roman" w:cs="Times New Roman"/>
          <w:sz w:val="24"/>
          <w:szCs w:val="24"/>
        </w:rPr>
        <w:t>0</w:t>
      </w:r>
      <w:r w:rsidR="00ED3CF9" w:rsidRPr="00957E32">
        <w:rPr>
          <w:rFonts w:ascii="Times New Roman" w:hAnsi="Times New Roman" w:cs="Times New Roman"/>
          <w:sz w:val="24"/>
          <w:szCs w:val="24"/>
        </w:rPr>
        <w:t>% (</w:t>
      </w:r>
      <w:r w:rsidR="003E2465">
        <w:rPr>
          <w:rFonts w:ascii="Times New Roman" w:hAnsi="Times New Roman" w:cs="Times New Roman"/>
          <w:sz w:val="24"/>
          <w:szCs w:val="24"/>
        </w:rPr>
        <w:t>95%CI</w:t>
      </w:r>
      <w:r w:rsidR="00ED3CF9" w:rsidRPr="00957E32">
        <w:rPr>
          <w:rFonts w:ascii="Times New Roman" w:hAnsi="Times New Roman" w:cs="Times New Roman"/>
          <w:sz w:val="24"/>
          <w:szCs w:val="24"/>
        </w:rPr>
        <w:t xml:space="preserve"> </w:t>
      </w:r>
      <w:r w:rsidR="00BD038C">
        <w:rPr>
          <w:rFonts w:ascii="Times New Roman" w:hAnsi="Times New Roman" w:cs="Times New Roman"/>
          <w:sz w:val="24"/>
          <w:szCs w:val="24"/>
        </w:rPr>
        <w:t>83.8-91.2</w:t>
      </w:r>
      <w:r w:rsidR="00ED3CF9" w:rsidRPr="00957E32">
        <w:rPr>
          <w:rFonts w:ascii="Times New Roman" w:hAnsi="Times New Roman" w:cs="Times New Roman"/>
          <w:sz w:val="24"/>
          <w:szCs w:val="24"/>
        </w:rPr>
        <w:t xml:space="preserve">%) </w:t>
      </w:r>
      <w:r w:rsidR="00977405">
        <w:rPr>
          <w:rFonts w:ascii="Times New Roman" w:hAnsi="Times New Roman" w:cs="Times New Roman"/>
          <w:sz w:val="24"/>
          <w:szCs w:val="24"/>
        </w:rPr>
        <w:t>for</w:t>
      </w:r>
      <w:r w:rsidR="00ED3CF9" w:rsidRPr="00957E32">
        <w:rPr>
          <w:rFonts w:ascii="Times New Roman" w:hAnsi="Times New Roman" w:cs="Times New Roman"/>
          <w:sz w:val="24"/>
          <w:szCs w:val="24"/>
        </w:rPr>
        <w:t xml:space="preserve"> all TB</w:t>
      </w:r>
      <w:r w:rsidR="00E231BB">
        <w:rPr>
          <w:rFonts w:ascii="Times New Roman" w:hAnsi="Times New Roman" w:cs="Times New Roman"/>
          <w:sz w:val="24"/>
          <w:szCs w:val="24"/>
        </w:rPr>
        <w:t xml:space="preserve">, </w:t>
      </w:r>
      <w:r w:rsidR="00E231BB" w:rsidRPr="00C5687D">
        <w:rPr>
          <w:rFonts w:ascii="Times New Roman" w:hAnsi="Times New Roman" w:cs="Times New Roman"/>
          <w:sz w:val="24"/>
          <w:szCs w:val="24"/>
        </w:rPr>
        <w:t xml:space="preserve">giving an NPV of </w:t>
      </w:r>
      <w:r w:rsidR="00E231BB">
        <w:rPr>
          <w:rFonts w:ascii="Times New Roman" w:hAnsi="Times New Roman" w:cs="Times New Roman"/>
          <w:sz w:val="24"/>
          <w:szCs w:val="24"/>
        </w:rPr>
        <w:t>89.2</w:t>
      </w:r>
      <w:r w:rsidR="00E231BB" w:rsidRPr="00C5687D">
        <w:rPr>
          <w:rFonts w:ascii="Times New Roman" w:hAnsi="Times New Roman" w:cs="Times New Roman"/>
          <w:sz w:val="24"/>
          <w:szCs w:val="24"/>
        </w:rPr>
        <w:t>%</w:t>
      </w:r>
      <w:r w:rsidR="00E231BB">
        <w:rPr>
          <w:rFonts w:ascii="Times New Roman" w:hAnsi="Times New Roman" w:cs="Times New Roman"/>
          <w:sz w:val="24"/>
          <w:szCs w:val="24"/>
        </w:rPr>
        <w:t xml:space="preserve"> (</w:t>
      </w:r>
      <w:r w:rsidR="003E2465">
        <w:rPr>
          <w:rFonts w:ascii="Times New Roman" w:hAnsi="Times New Roman" w:cs="Times New Roman"/>
          <w:sz w:val="24"/>
          <w:szCs w:val="24"/>
        </w:rPr>
        <w:t>95%CI</w:t>
      </w:r>
      <w:r w:rsidR="00E231BB">
        <w:rPr>
          <w:rFonts w:ascii="Times New Roman" w:hAnsi="Times New Roman" w:cs="Times New Roman"/>
          <w:sz w:val="24"/>
          <w:szCs w:val="24"/>
        </w:rPr>
        <w:t xml:space="preserve"> 85.4-92.1) a</w:t>
      </w:r>
      <w:r w:rsidR="00E231BB" w:rsidRPr="00C5687D">
        <w:rPr>
          <w:rFonts w:ascii="Times New Roman" w:hAnsi="Times New Roman" w:cs="Times New Roman"/>
          <w:sz w:val="24"/>
          <w:szCs w:val="24"/>
        </w:rPr>
        <w:t>nd NLR of 0.</w:t>
      </w:r>
      <w:r w:rsidR="00E231BB">
        <w:rPr>
          <w:rFonts w:ascii="Times New Roman" w:hAnsi="Times New Roman" w:cs="Times New Roman"/>
          <w:sz w:val="24"/>
          <w:szCs w:val="24"/>
        </w:rPr>
        <w:t>15 (</w:t>
      </w:r>
      <w:r w:rsidR="003E2465">
        <w:rPr>
          <w:rFonts w:ascii="Times New Roman" w:hAnsi="Times New Roman" w:cs="Times New Roman"/>
          <w:sz w:val="24"/>
          <w:szCs w:val="24"/>
        </w:rPr>
        <w:t>95%CI</w:t>
      </w:r>
      <w:r w:rsidR="00E231BB">
        <w:rPr>
          <w:rFonts w:ascii="Times New Roman" w:hAnsi="Times New Roman" w:cs="Times New Roman"/>
          <w:sz w:val="24"/>
          <w:szCs w:val="24"/>
        </w:rPr>
        <w:t xml:space="preserve"> 0.11-0.21) for all TB</w:t>
      </w:r>
      <w:r w:rsidR="00BD038C">
        <w:rPr>
          <w:rFonts w:ascii="Times New Roman" w:hAnsi="Times New Roman" w:cs="Times New Roman"/>
          <w:sz w:val="24"/>
          <w:szCs w:val="24"/>
        </w:rPr>
        <w:t>.</w:t>
      </w:r>
      <w:r w:rsidR="00ED3CF9" w:rsidRPr="00957E32">
        <w:rPr>
          <w:rFonts w:ascii="Times New Roman" w:hAnsi="Times New Roman" w:cs="Times New Roman"/>
          <w:sz w:val="24"/>
          <w:szCs w:val="24"/>
        </w:rPr>
        <w:t xml:space="preserve"> </w:t>
      </w:r>
      <w:r w:rsidR="00BD038C">
        <w:rPr>
          <w:rFonts w:ascii="Times New Roman" w:hAnsi="Times New Roman" w:cs="Times New Roman"/>
          <w:sz w:val="24"/>
          <w:szCs w:val="24"/>
        </w:rPr>
        <w:t>S</w:t>
      </w:r>
      <w:r w:rsidR="00ED3CF9" w:rsidRPr="00957E32">
        <w:rPr>
          <w:rFonts w:ascii="Times New Roman" w:hAnsi="Times New Roman" w:cs="Times New Roman"/>
          <w:sz w:val="24"/>
          <w:szCs w:val="24"/>
        </w:rPr>
        <w:t xml:space="preserve">pecificity </w:t>
      </w:r>
      <w:r w:rsidR="00ED3CF9" w:rsidRPr="00BD038C">
        <w:rPr>
          <w:rFonts w:ascii="Times New Roman" w:hAnsi="Times New Roman" w:cs="Times New Roman"/>
          <w:sz w:val="24"/>
          <w:szCs w:val="24"/>
        </w:rPr>
        <w:t xml:space="preserve">was </w:t>
      </w:r>
      <w:r w:rsidR="00BD038C" w:rsidRPr="001B1048">
        <w:rPr>
          <w:rFonts w:ascii="Times New Roman" w:hAnsi="Times New Roman" w:cs="Times New Roman"/>
          <w:sz w:val="24"/>
          <w:szCs w:val="24"/>
        </w:rPr>
        <w:t>79.</w:t>
      </w:r>
      <w:r w:rsidR="00BD038C">
        <w:rPr>
          <w:rFonts w:ascii="Times New Roman" w:hAnsi="Times New Roman" w:cs="Times New Roman"/>
          <w:sz w:val="24"/>
          <w:szCs w:val="24"/>
        </w:rPr>
        <w:t>6</w:t>
      </w:r>
      <w:r w:rsidR="00ED3CF9" w:rsidRPr="00957E32">
        <w:rPr>
          <w:rFonts w:ascii="Times New Roman" w:hAnsi="Times New Roman" w:cs="Times New Roman"/>
          <w:sz w:val="24"/>
          <w:szCs w:val="24"/>
        </w:rPr>
        <w:t>% (</w:t>
      </w:r>
      <w:r w:rsidR="003E2465">
        <w:rPr>
          <w:rFonts w:ascii="Times New Roman" w:hAnsi="Times New Roman" w:cs="Times New Roman"/>
          <w:sz w:val="24"/>
          <w:szCs w:val="24"/>
        </w:rPr>
        <w:t>95%CI</w:t>
      </w:r>
      <w:r w:rsidR="00BD038C">
        <w:rPr>
          <w:rFonts w:ascii="Times New Roman" w:hAnsi="Times New Roman" w:cs="Times New Roman"/>
          <w:sz w:val="24"/>
          <w:szCs w:val="24"/>
        </w:rPr>
        <w:t xml:space="preserve"> 75.2-83.4</w:t>
      </w:r>
      <w:r w:rsidR="00ED3CF9" w:rsidRPr="00957E32">
        <w:rPr>
          <w:rFonts w:ascii="Times New Roman" w:hAnsi="Times New Roman" w:cs="Times New Roman"/>
          <w:sz w:val="24"/>
          <w:szCs w:val="24"/>
        </w:rPr>
        <w:t xml:space="preserve">%) </w:t>
      </w:r>
      <w:r w:rsidR="00977405">
        <w:rPr>
          <w:rFonts w:ascii="Times New Roman" w:hAnsi="Times New Roman" w:cs="Times New Roman"/>
          <w:sz w:val="24"/>
          <w:szCs w:val="24"/>
        </w:rPr>
        <w:t>for</w:t>
      </w:r>
      <w:r w:rsidR="00ED3CF9" w:rsidRPr="00957E32">
        <w:rPr>
          <w:rFonts w:ascii="Times New Roman" w:hAnsi="Times New Roman" w:cs="Times New Roman"/>
          <w:sz w:val="24"/>
          <w:szCs w:val="24"/>
        </w:rPr>
        <w:t xml:space="preserve"> all non-TB patients and</w:t>
      </w:r>
      <w:r w:rsidR="00BD038C">
        <w:rPr>
          <w:rFonts w:ascii="Times New Roman" w:hAnsi="Times New Roman" w:cs="Times New Roman"/>
          <w:sz w:val="24"/>
          <w:szCs w:val="24"/>
        </w:rPr>
        <w:t xml:space="preserve"> 90.3</w:t>
      </w:r>
      <w:r w:rsidR="00ED3CF9" w:rsidRPr="00957E32">
        <w:rPr>
          <w:rFonts w:ascii="Times New Roman" w:hAnsi="Times New Roman" w:cs="Times New Roman"/>
          <w:sz w:val="24"/>
          <w:szCs w:val="24"/>
        </w:rPr>
        <w:t>% (</w:t>
      </w:r>
      <w:r w:rsidR="003E2465">
        <w:rPr>
          <w:rFonts w:ascii="Times New Roman" w:hAnsi="Times New Roman" w:cs="Times New Roman"/>
          <w:sz w:val="24"/>
          <w:szCs w:val="24"/>
        </w:rPr>
        <w:t>95%CI</w:t>
      </w:r>
      <w:r w:rsidR="00ED3CF9" w:rsidRPr="00957E32">
        <w:rPr>
          <w:rFonts w:ascii="Times New Roman" w:hAnsi="Times New Roman" w:cs="Times New Roman"/>
          <w:sz w:val="24"/>
          <w:szCs w:val="24"/>
        </w:rPr>
        <w:t xml:space="preserve"> </w:t>
      </w:r>
      <w:r w:rsidR="00BD038C">
        <w:rPr>
          <w:rFonts w:ascii="Times New Roman" w:hAnsi="Times New Roman" w:cs="Times New Roman"/>
          <w:sz w:val="24"/>
          <w:szCs w:val="24"/>
        </w:rPr>
        <w:t>82.6-94.8</w:t>
      </w:r>
      <w:r w:rsidR="00ED3CF9" w:rsidRPr="00957E32">
        <w:rPr>
          <w:rFonts w:ascii="Times New Roman" w:hAnsi="Times New Roman" w:cs="Times New Roman"/>
          <w:sz w:val="24"/>
          <w:szCs w:val="24"/>
        </w:rPr>
        <w:t xml:space="preserve">%) </w:t>
      </w:r>
      <w:r w:rsidR="00977405">
        <w:rPr>
          <w:rFonts w:ascii="Times New Roman" w:hAnsi="Times New Roman" w:cs="Times New Roman"/>
          <w:sz w:val="24"/>
          <w:szCs w:val="24"/>
        </w:rPr>
        <w:t>for</w:t>
      </w:r>
      <w:r w:rsidR="00ED3CF9" w:rsidRPr="00957E32">
        <w:rPr>
          <w:rFonts w:ascii="Times New Roman" w:hAnsi="Times New Roman" w:cs="Times New Roman"/>
          <w:sz w:val="24"/>
          <w:szCs w:val="24"/>
        </w:rPr>
        <w:t xml:space="preserve"> cases with no risk factors for LTBI.</w:t>
      </w:r>
      <w:r w:rsidR="00504A04">
        <w:rPr>
          <w:rFonts w:ascii="Times New Roman" w:hAnsi="Times New Roman" w:cs="Times New Roman"/>
          <w:sz w:val="24"/>
          <w:szCs w:val="24"/>
        </w:rPr>
        <w:t xml:space="preserve"> </w:t>
      </w:r>
      <w:r w:rsidR="00741757" w:rsidRPr="00741757">
        <w:rPr>
          <w:rFonts w:ascii="Times New Roman" w:hAnsi="Times New Roman" w:cs="Times New Roman"/>
          <w:sz w:val="24"/>
          <w:szCs w:val="24"/>
        </w:rPr>
        <w:t>Comparing</w:t>
      </w:r>
      <w:r w:rsidR="00B45EBC">
        <w:rPr>
          <w:rFonts w:ascii="Times New Roman" w:hAnsi="Times New Roman" w:cs="Times New Roman"/>
          <w:sz w:val="24"/>
          <w:szCs w:val="24"/>
        </w:rPr>
        <w:t xml:space="preserve"> </w:t>
      </w:r>
      <w:r>
        <w:rPr>
          <w:rFonts w:ascii="Times New Roman" w:hAnsi="Times New Roman" w:cs="Times New Roman"/>
          <w:sz w:val="24"/>
          <w:szCs w:val="24"/>
        </w:rPr>
        <w:t>second-generation</w:t>
      </w:r>
      <w:r w:rsidR="00741757" w:rsidRPr="00741757">
        <w:rPr>
          <w:rFonts w:ascii="Times New Roman" w:hAnsi="Times New Roman" w:cs="Times New Roman"/>
          <w:sz w:val="24"/>
          <w:szCs w:val="24"/>
        </w:rPr>
        <w:t xml:space="preserve"> IGRA with T-SPOT.TB, relative sensitivity was 1.08 (</w:t>
      </w:r>
      <w:r w:rsidR="003E2465">
        <w:rPr>
          <w:rFonts w:ascii="Times New Roman" w:hAnsi="Times New Roman" w:cs="Times New Roman"/>
          <w:sz w:val="24"/>
          <w:szCs w:val="24"/>
        </w:rPr>
        <w:t>95%CI</w:t>
      </w:r>
      <w:r w:rsidR="00242714" w:rsidRPr="00741757">
        <w:rPr>
          <w:rFonts w:ascii="Times New Roman" w:hAnsi="Times New Roman" w:cs="Times New Roman"/>
          <w:sz w:val="24"/>
          <w:szCs w:val="24"/>
        </w:rPr>
        <w:t xml:space="preserve"> </w:t>
      </w:r>
      <w:r w:rsidR="00741757" w:rsidRPr="00741757">
        <w:rPr>
          <w:rFonts w:ascii="Times New Roman" w:hAnsi="Times New Roman" w:cs="Times New Roman"/>
          <w:sz w:val="24"/>
          <w:szCs w:val="24"/>
        </w:rPr>
        <w:t>1.04–1.11) with p&lt;0.00</w:t>
      </w:r>
      <w:r w:rsidR="00DC6A63">
        <w:rPr>
          <w:rFonts w:ascii="Times New Roman" w:hAnsi="Times New Roman" w:cs="Times New Roman"/>
          <w:sz w:val="24"/>
          <w:szCs w:val="24"/>
        </w:rPr>
        <w:t>0</w:t>
      </w:r>
      <w:r w:rsidR="00741757" w:rsidRPr="00741757">
        <w:rPr>
          <w:rFonts w:ascii="Times New Roman" w:hAnsi="Times New Roman" w:cs="Times New Roman"/>
          <w:sz w:val="24"/>
          <w:szCs w:val="24"/>
        </w:rPr>
        <w:t>1, and relative specificity was 0.94 (</w:t>
      </w:r>
      <w:r w:rsidR="003E2465">
        <w:rPr>
          <w:rFonts w:ascii="Times New Roman" w:hAnsi="Times New Roman" w:cs="Times New Roman"/>
          <w:sz w:val="24"/>
          <w:szCs w:val="24"/>
        </w:rPr>
        <w:t>95%CI</w:t>
      </w:r>
      <w:r w:rsidR="00242714" w:rsidRPr="00741757">
        <w:rPr>
          <w:rFonts w:ascii="Times New Roman" w:hAnsi="Times New Roman" w:cs="Times New Roman"/>
          <w:sz w:val="24"/>
          <w:szCs w:val="24"/>
        </w:rPr>
        <w:t xml:space="preserve"> </w:t>
      </w:r>
      <w:r w:rsidR="00741757" w:rsidRPr="00741757">
        <w:rPr>
          <w:rFonts w:ascii="Times New Roman" w:hAnsi="Times New Roman" w:cs="Times New Roman"/>
          <w:sz w:val="24"/>
          <w:szCs w:val="24"/>
        </w:rPr>
        <w:t>0.91–0.96) with p&lt;0.0</w:t>
      </w:r>
      <w:r w:rsidR="00D73AA6">
        <w:rPr>
          <w:rFonts w:ascii="Times New Roman" w:hAnsi="Times New Roman" w:cs="Times New Roman"/>
          <w:sz w:val="24"/>
          <w:szCs w:val="24"/>
        </w:rPr>
        <w:t>0</w:t>
      </w:r>
      <w:r w:rsidR="00DC6A63">
        <w:rPr>
          <w:rFonts w:ascii="Times New Roman" w:hAnsi="Times New Roman" w:cs="Times New Roman"/>
          <w:sz w:val="24"/>
          <w:szCs w:val="24"/>
        </w:rPr>
        <w:t>0</w:t>
      </w:r>
      <w:r w:rsidR="00741757" w:rsidRPr="00741757">
        <w:rPr>
          <w:rFonts w:ascii="Times New Roman" w:hAnsi="Times New Roman" w:cs="Times New Roman"/>
          <w:sz w:val="24"/>
          <w:szCs w:val="24"/>
        </w:rPr>
        <w:t>1. For ESAT-6-free IGRA versus T-SPOT.TB, relative sensitivity was 1.07 (</w:t>
      </w:r>
      <w:r w:rsidR="003E2465">
        <w:rPr>
          <w:rFonts w:ascii="Times New Roman" w:hAnsi="Times New Roman" w:cs="Times New Roman"/>
          <w:sz w:val="24"/>
          <w:szCs w:val="24"/>
        </w:rPr>
        <w:t>95%CI</w:t>
      </w:r>
      <w:r w:rsidR="00242714" w:rsidRPr="00741757">
        <w:rPr>
          <w:rFonts w:ascii="Times New Roman" w:hAnsi="Times New Roman" w:cs="Times New Roman"/>
          <w:sz w:val="24"/>
          <w:szCs w:val="24"/>
        </w:rPr>
        <w:t xml:space="preserve"> </w:t>
      </w:r>
      <w:r w:rsidR="00741757" w:rsidRPr="00741757">
        <w:rPr>
          <w:rFonts w:ascii="Times New Roman" w:hAnsi="Times New Roman" w:cs="Times New Roman"/>
          <w:sz w:val="24"/>
          <w:szCs w:val="24"/>
        </w:rPr>
        <w:t>1.03–1.10) with p</w:t>
      </w:r>
      <w:r w:rsidR="00A61AD5">
        <w:rPr>
          <w:rFonts w:ascii="Times New Roman" w:hAnsi="Times New Roman" w:cs="Times New Roman"/>
          <w:sz w:val="24"/>
          <w:szCs w:val="24"/>
        </w:rPr>
        <w:t>=</w:t>
      </w:r>
      <w:r w:rsidR="00741757" w:rsidRPr="00741757">
        <w:rPr>
          <w:rFonts w:ascii="Times New Roman" w:hAnsi="Times New Roman" w:cs="Times New Roman"/>
          <w:sz w:val="24"/>
          <w:szCs w:val="24"/>
        </w:rPr>
        <w:t>0.0</w:t>
      </w:r>
      <w:r w:rsidR="00D73AA6">
        <w:rPr>
          <w:rFonts w:ascii="Times New Roman" w:hAnsi="Times New Roman" w:cs="Times New Roman"/>
          <w:sz w:val="24"/>
          <w:szCs w:val="24"/>
        </w:rPr>
        <w:t>0</w:t>
      </w:r>
      <w:r w:rsidR="00DC6A63">
        <w:rPr>
          <w:rFonts w:ascii="Times New Roman" w:hAnsi="Times New Roman" w:cs="Times New Roman"/>
          <w:sz w:val="24"/>
          <w:szCs w:val="24"/>
        </w:rPr>
        <w:t>02</w:t>
      </w:r>
      <w:r w:rsidR="00741757" w:rsidRPr="00741757">
        <w:rPr>
          <w:rFonts w:ascii="Times New Roman" w:hAnsi="Times New Roman" w:cs="Times New Roman"/>
          <w:sz w:val="24"/>
          <w:szCs w:val="24"/>
        </w:rPr>
        <w:t>, and relative specificity was 0.93 (</w:t>
      </w:r>
      <w:r w:rsidR="003E2465">
        <w:rPr>
          <w:rFonts w:ascii="Times New Roman" w:hAnsi="Times New Roman" w:cs="Times New Roman"/>
          <w:sz w:val="24"/>
          <w:szCs w:val="24"/>
        </w:rPr>
        <w:t>95%CI</w:t>
      </w:r>
      <w:r w:rsidR="00242714" w:rsidRPr="00741757">
        <w:rPr>
          <w:rFonts w:ascii="Times New Roman" w:hAnsi="Times New Roman" w:cs="Times New Roman"/>
          <w:sz w:val="24"/>
          <w:szCs w:val="24"/>
        </w:rPr>
        <w:t xml:space="preserve"> </w:t>
      </w:r>
      <w:r w:rsidR="00741757" w:rsidRPr="00741757">
        <w:rPr>
          <w:rFonts w:ascii="Times New Roman" w:hAnsi="Times New Roman" w:cs="Times New Roman"/>
          <w:sz w:val="24"/>
          <w:szCs w:val="24"/>
        </w:rPr>
        <w:t>0.90–0.96) with p&lt;0.00</w:t>
      </w:r>
      <w:r w:rsidR="00DC6A63">
        <w:rPr>
          <w:rFonts w:ascii="Times New Roman" w:hAnsi="Times New Roman" w:cs="Times New Roman"/>
          <w:sz w:val="24"/>
          <w:szCs w:val="24"/>
        </w:rPr>
        <w:t>0</w:t>
      </w:r>
      <w:r w:rsidR="00741757" w:rsidRPr="00741757">
        <w:rPr>
          <w:rFonts w:ascii="Times New Roman" w:hAnsi="Times New Roman" w:cs="Times New Roman"/>
          <w:sz w:val="24"/>
          <w:szCs w:val="24"/>
        </w:rPr>
        <w:t>1.</w:t>
      </w:r>
      <w:r w:rsidR="00DC6A63" w:rsidRPr="00DC6A63">
        <w:rPr>
          <w:rFonts w:ascii="Times New Roman" w:hAnsi="Times New Roman" w:cs="Times New Roman"/>
          <w:sz w:val="24"/>
          <w:szCs w:val="24"/>
        </w:rPr>
        <w:t xml:space="preserve"> </w:t>
      </w:r>
      <w:r w:rsidR="00AE3F4D">
        <w:rPr>
          <w:rFonts w:ascii="Times New Roman" w:hAnsi="Times New Roman" w:cs="Times New Roman"/>
          <w:sz w:val="24"/>
          <w:szCs w:val="24"/>
        </w:rPr>
        <w:t>A c</w:t>
      </w:r>
      <w:r w:rsidR="00DC6A63">
        <w:rPr>
          <w:rFonts w:ascii="Times New Roman" w:hAnsi="Times New Roman" w:cs="Times New Roman"/>
          <w:sz w:val="24"/>
          <w:szCs w:val="24"/>
        </w:rPr>
        <w:t xml:space="preserve">ross-tabulation of </w:t>
      </w:r>
      <w:r>
        <w:rPr>
          <w:rFonts w:ascii="Times New Roman" w:hAnsi="Times New Roman" w:cs="Times New Roman"/>
          <w:sz w:val="24"/>
          <w:szCs w:val="24"/>
        </w:rPr>
        <w:t>second-generation</w:t>
      </w:r>
      <w:r w:rsidR="00DC6A63">
        <w:rPr>
          <w:rFonts w:ascii="Times New Roman" w:hAnsi="Times New Roman" w:cs="Times New Roman"/>
          <w:sz w:val="24"/>
          <w:szCs w:val="24"/>
        </w:rPr>
        <w:t xml:space="preserve"> IGRA against T-SPOT.TB results</w:t>
      </w:r>
      <w:r w:rsidR="00001E39">
        <w:rPr>
          <w:rFonts w:ascii="Times New Roman" w:hAnsi="Times New Roman" w:cs="Times New Roman"/>
          <w:sz w:val="24"/>
          <w:szCs w:val="24"/>
        </w:rPr>
        <w:t xml:space="preserve"> and table of response magnitudes for each individual antigen</w:t>
      </w:r>
      <w:r w:rsidR="00DC6A63">
        <w:rPr>
          <w:rFonts w:ascii="Times New Roman" w:hAnsi="Times New Roman" w:cs="Times New Roman"/>
          <w:sz w:val="24"/>
          <w:szCs w:val="24"/>
        </w:rPr>
        <w:t xml:space="preserve"> </w:t>
      </w:r>
      <w:r w:rsidR="00001E39">
        <w:rPr>
          <w:rFonts w:ascii="Times New Roman" w:hAnsi="Times New Roman" w:cs="Times New Roman"/>
          <w:sz w:val="24"/>
          <w:szCs w:val="24"/>
        </w:rPr>
        <w:t>are</w:t>
      </w:r>
      <w:r w:rsidR="00DC6A63">
        <w:rPr>
          <w:rFonts w:ascii="Times New Roman" w:hAnsi="Times New Roman" w:cs="Times New Roman"/>
          <w:sz w:val="24"/>
          <w:szCs w:val="24"/>
        </w:rPr>
        <w:t xml:space="preserve"> provided in the Appendix (Supplementary Table</w:t>
      </w:r>
      <w:r w:rsidR="00001E39">
        <w:rPr>
          <w:rFonts w:ascii="Times New Roman" w:hAnsi="Times New Roman" w:cs="Times New Roman"/>
          <w:sz w:val="24"/>
          <w:szCs w:val="24"/>
        </w:rPr>
        <w:t>s</w:t>
      </w:r>
      <w:r w:rsidR="00DC6A63">
        <w:rPr>
          <w:rFonts w:ascii="Times New Roman" w:hAnsi="Times New Roman" w:cs="Times New Roman"/>
          <w:sz w:val="24"/>
          <w:szCs w:val="24"/>
        </w:rPr>
        <w:t xml:space="preserve"> 4 </w:t>
      </w:r>
      <w:r w:rsidR="00001E39">
        <w:rPr>
          <w:rFonts w:ascii="Times New Roman" w:hAnsi="Times New Roman" w:cs="Times New Roman"/>
          <w:sz w:val="24"/>
          <w:szCs w:val="24"/>
        </w:rPr>
        <w:t>(</w:t>
      </w:r>
      <w:r w:rsidR="00DC6A63">
        <w:rPr>
          <w:rFonts w:ascii="Times New Roman" w:hAnsi="Times New Roman" w:cs="Times New Roman"/>
          <w:sz w:val="24"/>
          <w:szCs w:val="24"/>
        </w:rPr>
        <w:t xml:space="preserve">page </w:t>
      </w:r>
      <w:r>
        <w:rPr>
          <w:rFonts w:ascii="Times New Roman" w:hAnsi="Times New Roman" w:cs="Times New Roman"/>
          <w:sz w:val="24"/>
          <w:szCs w:val="24"/>
        </w:rPr>
        <w:t>9</w:t>
      </w:r>
      <w:r w:rsidR="00001E39">
        <w:rPr>
          <w:rFonts w:ascii="Times New Roman" w:hAnsi="Times New Roman" w:cs="Times New Roman"/>
          <w:sz w:val="24"/>
          <w:szCs w:val="24"/>
        </w:rPr>
        <w:t xml:space="preserve">) and 5 (page </w:t>
      </w:r>
      <w:r>
        <w:rPr>
          <w:rFonts w:ascii="Times New Roman" w:hAnsi="Times New Roman" w:cs="Times New Roman"/>
          <w:sz w:val="24"/>
          <w:szCs w:val="24"/>
        </w:rPr>
        <w:t>10</w:t>
      </w:r>
      <w:r w:rsidR="00001E39">
        <w:rPr>
          <w:rFonts w:ascii="Times New Roman" w:hAnsi="Times New Roman" w:cs="Times New Roman"/>
          <w:sz w:val="24"/>
          <w:szCs w:val="24"/>
        </w:rPr>
        <w:t>) respectively</w:t>
      </w:r>
      <w:r w:rsidR="00DC6A63">
        <w:rPr>
          <w:rFonts w:ascii="Times New Roman" w:hAnsi="Times New Roman" w:cs="Times New Roman"/>
          <w:sz w:val="24"/>
          <w:szCs w:val="24"/>
        </w:rPr>
        <w:t>).</w:t>
      </w:r>
    </w:p>
    <w:p w14:paraId="707D0224" w14:textId="06C80E6D" w:rsidR="006D63A5" w:rsidRPr="00957E32" w:rsidRDefault="006D63A5" w:rsidP="001B1048">
      <w:pPr>
        <w:spacing w:after="0" w:line="480" w:lineRule="auto"/>
        <w:jc w:val="both"/>
        <w:rPr>
          <w:rFonts w:ascii="Times New Roman" w:hAnsi="Times New Roman" w:cs="Times New Roman"/>
          <w:b/>
          <w:sz w:val="24"/>
          <w:szCs w:val="24"/>
        </w:rPr>
      </w:pPr>
      <w:r w:rsidRPr="00957E32">
        <w:rPr>
          <w:rFonts w:ascii="Times New Roman" w:hAnsi="Times New Roman" w:cs="Times New Roman"/>
          <w:b/>
          <w:sz w:val="24"/>
          <w:szCs w:val="24"/>
        </w:rPr>
        <w:t>Test performance in key patient subgroups</w:t>
      </w:r>
    </w:p>
    <w:p w14:paraId="5FD22CF6" w14:textId="1121A138" w:rsidR="008C5A32" w:rsidRDefault="00F03413" w:rsidP="008C5A3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Of </w:t>
      </w:r>
      <w:r w:rsidR="00933A4B">
        <w:rPr>
          <w:rFonts w:ascii="Times New Roman" w:hAnsi="Times New Roman" w:cs="Times New Roman"/>
          <w:sz w:val="24"/>
          <w:szCs w:val="24"/>
        </w:rPr>
        <w:t xml:space="preserve">culture-confirmed TB cases with available smear microscopy results, </w:t>
      </w:r>
      <w:r>
        <w:rPr>
          <w:rFonts w:ascii="Times New Roman" w:hAnsi="Times New Roman" w:cs="Times New Roman"/>
          <w:sz w:val="24"/>
          <w:szCs w:val="24"/>
        </w:rPr>
        <w:t>165/</w:t>
      </w:r>
      <w:r w:rsidR="00933A4B">
        <w:rPr>
          <w:rFonts w:ascii="Times New Roman" w:hAnsi="Times New Roman" w:cs="Times New Roman"/>
          <w:sz w:val="24"/>
          <w:szCs w:val="24"/>
        </w:rPr>
        <w:t>232</w:t>
      </w:r>
      <w:r>
        <w:rPr>
          <w:rFonts w:ascii="Times New Roman" w:hAnsi="Times New Roman" w:cs="Times New Roman"/>
          <w:sz w:val="24"/>
          <w:szCs w:val="24"/>
        </w:rPr>
        <w:t xml:space="preserve"> (</w:t>
      </w:r>
      <w:r w:rsidR="00933A4B">
        <w:rPr>
          <w:rFonts w:ascii="Times New Roman" w:hAnsi="Times New Roman" w:cs="Times New Roman"/>
          <w:sz w:val="24"/>
          <w:szCs w:val="24"/>
        </w:rPr>
        <w:t>71%)</w:t>
      </w:r>
      <w:r w:rsidR="008C5A32" w:rsidRPr="00F4469A">
        <w:rPr>
          <w:rFonts w:ascii="Times New Roman" w:hAnsi="Times New Roman" w:cs="Times New Roman"/>
          <w:sz w:val="24"/>
          <w:szCs w:val="24"/>
        </w:rPr>
        <w:t xml:space="preserve"> were smear-negative (</w:t>
      </w:r>
      <w:r w:rsidR="006F51D2" w:rsidRPr="00F4469A">
        <w:rPr>
          <w:rFonts w:ascii="Times New Roman" w:hAnsi="Times New Roman" w:cs="Times New Roman"/>
          <w:sz w:val="24"/>
          <w:szCs w:val="24"/>
        </w:rPr>
        <w:t>57</w:t>
      </w:r>
      <w:r w:rsidR="004D304F">
        <w:rPr>
          <w:rFonts w:ascii="Times New Roman" w:hAnsi="Times New Roman" w:cs="Times New Roman"/>
          <w:sz w:val="24"/>
          <w:szCs w:val="24"/>
        </w:rPr>
        <w:t>/165</w:t>
      </w:r>
      <w:r w:rsidR="006F51D2" w:rsidRPr="00F4469A">
        <w:rPr>
          <w:rFonts w:ascii="Times New Roman" w:hAnsi="Times New Roman" w:cs="Times New Roman"/>
          <w:sz w:val="24"/>
          <w:szCs w:val="24"/>
        </w:rPr>
        <w:t xml:space="preserve"> </w:t>
      </w:r>
      <w:r w:rsidR="008C5A32" w:rsidRPr="00F4469A">
        <w:rPr>
          <w:rFonts w:ascii="Times New Roman" w:hAnsi="Times New Roman" w:cs="Times New Roman"/>
          <w:sz w:val="24"/>
          <w:szCs w:val="24"/>
        </w:rPr>
        <w:t xml:space="preserve">with pulmonary TB, </w:t>
      </w:r>
      <w:r w:rsidR="006F51D2" w:rsidRPr="00F4469A">
        <w:rPr>
          <w:rFonts w:ascii="Times New Roman" w:hAnsi="Times New Roman" w:cs="Times New Roman"/>
          <w:sz w:val="24"/>
          <w:szCs w:val="24"/>
        </w:rPr>
        <w:t>80</w:t>
      </w:r>
      <w:r w:rsidR="004D304F">
        <w:rPr>
          <w:rFonts w:ascii="Times New Roman" w:hAnsi="Times New Roman" w:cs="Times New Roman"/>
          <w:sz w:val="24"/>
          <w:szCs w:val="24"/>
        </w:rPr>
        <w:t>/165</w:t>
      </w:r>
      <w:r w:rsidR="006F51D2" w:rsidRPr="00F4469A">
        <w:rPr>
          <w:rFonts w:ascii="Times New Roman" w:hAnsi="Times New Roman" w:cs="Times New Roman"/>
          <w:sz w:val="24"/>
          <w:szCs w:val="24"/>
        </w:rPr>
        <w:t xml:space="preserve"> </w:t>
      </w:r>
      <w:r w:rsidR="008C5A32" w:rsidRPr="00F4469A">
        <w:rPr>
          <w:rFonts w:ascii="Times New Roman" w:hAnsi="Times New Roman" w:cs="Times New Roman"/>
          <w:sz w:val="24"/>
          <w:szCs w:val="24"/>
        </w:rPr>
        <w:t xml:space="preserve">with extra-pulmonary TB and </w:t>
      </w:r>
      <w:r w:rsidR="005E7D54" w:rsidRPr="00F4469A">
        <w:rPr>
          <w:rFonts w:ascii="Times New Roman" w:hAnsi="Times New Roman" w:cs="Times New Roman"/>
          <w:sz w:val="24"/>
          <w:szCs w:val="24"/>
        </w:rPr>
        <w:t>28</w:t>
      </w:r>
      <w:r w:rsidR="004D304F">
        <w:rPr>
          <w:rFonts w:ascii="Times New Roman" w:hAnsi="Times New Roman" w:cs="Times New Roman"/>
          <w:sz w:val="24"/>
          <w:szCs w:val="24"/>
        </w:rPr>
        <w:t>/165</w:t>
      </w:r>
      <w:r w:rsidR="005E7D54" w:rsidRPr="00F4469A">
        <w:rPr>
          <w:rFonts w:ascii="Times New Roman" w:hAnsi="Times New Roman" w:cs="Times New Roman"/>
          <w:sz w:val="24"/>
          <w:szCs w:val="24"/>
        </w:rPr>
        <w:t xml:space="preserve"> </w:t>
      </w:r>
      <w:r w:rsidR="008C5A32" w:rsidRPr="00F4469A">
        <w:rPr>
          <w:rFonts w:ascii="Times New Roman" w:hAnsi="Times New Roman" w:cs="Times New Roman"/>
          <w:sz w:val="24"/>
          <w:szCs w:val="24"/>
        </w:rPr>
        <w:t xml:space="preserve">with </w:t>
      </w:r>
      <w:r w:rsidR="008C5A32" w:rsidRPr="00F4469A">
        <w:rPr>
          <w:rFonts w:ascii="Times New Roman" w:hAnsi="Times New Roman" w:cs="Times New Roman"/>
          <w:sz w:val="24"/>
          <w:szCs w:val="24"/>
        </w:rPr>
        <w:lastRenderedPageBreak/>
        <w:t xml:space="preserve">both). Sensitivities of T-SPOT.TB, QFT-GIT, </w:t>
      </w:r>
      <w:r w:rsidR="00C9141C">
        <w:rPr>
          <w:rFonts w:ascii="Times New Roman" w:hAnsi="Times New Roman" w:cs="Times New Roman"/>
          <w:sz w:val="24"/>
          <w:szCs w:val="24"/>
        </w:rPr>
        <w:t>second-generation</w:t>
      </w:r>
      <w:r w:rsidR="008C5A32" w:rsidRPr="00F4469A">
        <w:rPr>
          <w:rFonts w:ascii="Times New Roman" w:hAnsi="Times New Roman" w:cs="Times New Roman"/>
          <w:sz w:val="24"/>
          <w:szCs w:val="24"/>
        </w:rPr>
        <w:t xml:space="preserve"> IGRA and ESAT-6-free IGRA in this population were 85.9% (</w:t>
      </w:r>
      <w:r w:rsidR="00EC5B9A">
        <w:rPr>
          <w:rFonts w:ascii="Times New Roman" w:hAnsi="Times New Roman" w:cs="Times New Roman"/>
          <w:sz w:val="24"/>
          <w:szCs w:val="24"/>
        </w:rPr>
        <w:t>95%</w:t>
      </w:r>
      <w:r w:rsidR="008C5A32" w:rsidRPr="00F4469A">
        <w:rPr>
          <w:rFonts w:ascii="Times New Roman" w:hAnsi="Times New Roman" w:cs="Times New Roman"/>
          <w:sz w:val="24"/>
          <w:szCs w:val="24"/>
        </w:rPr>
        <w:t>CI 79.</w:t>
      </w:r>
      <w:r w:rsidR="006F51D2" w:rsidRPr="00F4469A">
        <w:rPr>
          <w:rFonts w:ascii="Times New Roman" w:hAnsi="Times New Roman" w:cs="Times New Roman"/>
          <w:sz w:val="24"/>
          <w:szCs w:val="24"/>
        </w:rPr>
        <w:t>2</w:t>
      </w:r>
      <w:r w:rsidR="008C5A32" w:rsidRPr="00F4469A">
        <w:rPr>
          <w:rFonts w:ascii="Times New Roman" w:hAnsi="Times New Roman" w:cs="Times New Roman"/>
          <w:sz w:val="24"/>
          <w:szCs w:val="24"/>
        </w:rPr>
        <w:t>%-90.7%)</w:t>
      </w:r>
      <w:r w:rsidR="00F344B0" w:rsidRPr="00F4469A">
        <w:rPr>
          <w:rFonts w:ascii="Times New Roman" w:hAnsi="Times New Roman" w:cs="Times New Roman"/>
          <w:sz w:val="24"/>
          <w:szCs w:val="24"/>
        </w:rPr>
        <w:t>,</w:t>
      </w:r>
      <w:r w:rsidR="008C5A32" w:rsidRPr="00F4469A">
        <w:rPr>
          <w:rFonts w:ascii="Times New Roman" w:hAnsi="Times New Roman" w:cs="Times New Roman"/>
          <w:sz w:val="24"/>
          <w:szCs w:val="24"/>
        </w:rPr>
        <w:t xml:space="preserve"> 68.6% (</w:t>
      </w:r>
      <w:r w:rsidR="00EC5B9A">
        <w:rPr>
          <w:rFonts w:ascii="Times New Roman" w:hAnsi="Times New Roman" w:cs="Times New Roman"/>
          <w:sz w:val="24"/>
          <w:szCs w:val="24"/>
        </w:rPr>
        <w:t>95%</w:t>
      </w:r>
      <w:r w:rsidR="008C5A32" w:rsidRPr="00F4469A">
        <w:rPr>
          <w:rFonts w:ascii="Times New Roman" w:hAnsi="Times New Roman" w:cs="Times New Roman"/>
          <w:sz w:val="24"/>
          <w:szCs w:val="24"/>
        </w:rPr>
        <w:t>CI 60.9%-75.4%)</w:t>
      </w:r>
      <w:r w:rsidR="00F344B0" w:rsidRPr="00F4469A">
        <w:rPr>
          <w:rFonts w:ascii="Times New Roman" w:hAnsi="Times New Roman" w:cs="Times New Roman"/>
          <w:sz w:val="24"/>
          <w:szCs w:val="24"/>
        </w:rPr>
        <w:t>,</w:t>
      </w:r>
      <w:r w:rsidR="008C5A32" w:rsidRPr="00F4469A">
        <w:rPr>
          <w:rFonts w:ascii="Times New Roman" w:hAnsi="Times New Roman" w:cs="Times New Roman"/>
          <w:sz w:val="24"/>
          <w:szCs w:val="24"/>
        </w:rPr>
        <w:t xml:space="preserve"> 93.8% (</w:t>
      </w:r>
      <w:r w:rsidR="00EC5B9A">
        <w:rPr>
          <w:rFonts w:ascii="Times New Roman" w:hAnsi="Times New Roman" w:cs="Times New Roman"/>
          <w:sz w:val="24"/>
          <w:szCs w:val="24"/>
        </w:rPr>
        <w:t>95%</w:t>
      </w:r>
      <w:r w:rsidR="008C5A32" w:rsidRPr="00F4469A">
        <w:rPr>
          <w:rFonts w:ascii="Times New Roman" w:hAnsi="Times New Roman" w:cs="Times New Roman"/>
          <w:sz w:val="24"/>
          <w:szCs w:val="24"/>
        </w:rPr>
        <w:t>CI 88.</w:t>
      </w:r>
      <w:r w:rsidR="006F51D2" w:rsidRPr="00F4469A">
        <w:rPr>
          <w:rFonts w:ascii="Times New Roman" w:hAnsi="Times New Roman" w:cs="Times New Roman"/>
          <w:sz w:val="24"/>
          <w:szCs w:val="24"/>
        </w:rPr>
        <w:t>5</w:t>
      </w:r>
      <w:r w:rsidR="008C5A32" w:rsidRPr="00F4469A">
        <w:rPr>
          <w:rFonts w:ascii="Times New Roman" w:hAnsi="Times New Roman" w:cs="Times New Roman"/>
          <w:sz w:val="24"/>
          <w:szCs w:val="24"/>
        </w:rPr>
        <w:t>%-96.7%) and 92.9% (</w:t>
      </w:r>
      <w:r w:rsidR="00EC5B9A">
        <w:rPr>
          <w:rFonts w:ascii="Times New Roman" w:hAnsi="Times New Roman" w:cs="Times New Roman"/>
          <w:sz w:val="24"/>
          <w:szCs w:val="24"/>
        </w:rPr>
        <w:t>95%</w:t>
      </w:r>
      <w:r w:rsidR="008C5A32" w:rsidRPr="00F4469A">
        <w:rPr>
          <w:rFonts w:ascii="Times New Roman" w:hAnsi="Times New Roman" w:cs="Times New Roman"/>
          <w:sz w:val="24"/>
          <w:szCs w:val="24"/>
        </w:rPr>
        <w:t>CI 87.4%-96.1%), respectively.</w:t>
      </w:r>
    </w:p>
    <w:p w14:paraId="38F418D9" w14:textId="2D551756" w:rsidR="00775D61" w:rsidRDefault="009F75CD" w:rsidP="003746A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Among</w:t>
      </w:r>
      <w:r w:rsidR="00D0679E" w:rsidRPr="00957E32">
        <w:rPr>
          <w:rFonts w:ascii="Times New Roman" w:hAnsi="Times New Roman" w:cs="Times New Roman"/>
          <w:sz w:val="24"/>
          <w:szCs w:val="24"/>
        </w:rPr>
        <w:t xml:space="preserve"> HIV-infected </w:t>
      </w:r>
      <w:r w:rsidR="00BA2AAE">
        <w:rPr>
          <w:rFonts w:ascii="Times New Roman" w:hAnsi="Times New Roman" w:cs="Times New Roman"/>
          <w:sz w:val="24"/>
          <w:szCs w:val="24"/>
        </w:rPr>
        <w:t>study</w:t>
      </w:r>
      <w:r w:rsidR="00BA2AAE" w:rsidRPr="00957E32">
        <w:rPr>
          <w:rFonts w:ascii="Times New Roman" w:hAnsi="Times New Roman" w:cs="Times New Roman"/>
          <w:sz w:val="24"/>
          <w:szCs w:val="24"/>
        </w:rPr>
        <w:t xml:space="preserve"> </w:t>
      </w:r>
      <w:r w:rsidR="00D0679E" w:rsidRPr="00957E32">
        <w:rPr>
          <w:rFonts w:ascii="Times New Roman" w:hAnsi="Times New Roman" w:cs="Times New Roman"/>
          <w:sz w:val="24"/>
          <w:szCs w:val="24"/>
        </w:rPr>
        <w:t>participants, 25</w:t>
      </w:r>
      <w:r w:rsidR="00933A4B">
        <w:rPr>
          <w:rFonts w:ascii="Times New Roman" w:hAnsi="Times New Roman" w:cs="Times New Roman"/>
          <w:sz w:val="24"/>
          <w:szCs w:val="24"/>
        </w:rPr>
        <w:t>/135</w:t>
      </w:r>
      <w:r w:rsidR="00D0679E" w:rsidRPr="00957E32">
        <w:rPr>
          <w:rFonts w:ascii="Times New Roman" w:hAnsi="Times New Roman" w:cs="Times New Roman"/>
          <w:sz w:val="24"/>
          <w:szCs w:val="24"/>
        </w:rPr>
        <w:t xml:space="preserve"> (19%) had a final diagnosis of active TB and 108</w:t>
      </w:r>
      <w:r w:rsidR="00933A4B">
        <w:rPr>
          <w:rFonts w:ascii="Times New Roman" w:hAnsi="Times New Roman" w:cs="Times New Roman"/>
          <w:sz w:val="24"/>
          <w:szCs w:val="24"/>
        </w:rPr>
        <w:t>/135</w:t>
      </w:r>
      <w:r w:rsidR="00D0679E" w:rsidRPr="00957E32">
        <w:rPr>
          <w:rFonts w:ascii="Times New Roman" w:hAnsi="Times New Roman" w:cs="Times New Roman"/>
          <w:sz w:val="24"/>
          <w:szCs w:val="24"/>
        </w:rPr>
        <w:t xml:space="preserve"> (8</w:t>
      </w:r>
      <w:r w:rsidR="00933A4B">
        <w:rPr>
          <w:rFonts w:ascii="Times New Roman" w:hAnsi="Times New Roman" w:cs="Times New Roman"/>
          <w:sz w:val="24"/>
          <w:szCs w:val="24"/>
        </w:rPr>
        <w:t>0</w:t>
      </w:r>
      <w:r w:rsidR="00D0679E" w:rsidRPr="00957E32">
        <w:rPr>
          <w:rFonts w:ascii="Times New Roman" w:hAnsi="Times New Roman" w:cs="Times New Roman"/>
          <w:sz w:val="24"/>
          <w:szCs w:val="24"/>
        </w:rPr>
        <w:t xml:space="preserve">%) </w:t>
      </w:r>
      <w:r w:rsidR="003E2465">
        <w:rPr>
          <w:rFonts w:ascii="Times New Roman" w:hAnsi="Times New Roman" w:cs="Times New Roman"/>
          <w:sz w:val="24"/>
          <w:szCs w:val="24"/>
        </w:rPr>
        <w:t>had TB excluded</w:t>
      </w:r>
      <w:r w:rsidR="00BA2AAE">
        <w:rPr>
          <w:rFonts w:ascii="Times New Roman" w:hAnsi="Times New Roman" w:cs="Times New Roman"/>
          <w:sz w:val="24"/>
          <w:szCs w:val="24"/>
        </w:rPr>
        <w:t>;</w:t>
      </w:r>
      <w:r w:rsidR="006D63A5" w:rsidRPr="00957E32">
        <w:rPr>
          <w:rFonts w:ascii="Times New Roman" w:hAnsi="Times New Roman" w:cs="Times New Roman"/>
          <w:sz w:val="24"/>
          <w:szCs w:val="24"/>
        </w:rPr>
        <w:t xml:space="preserve"> </w:t>
      </w:r>
      <w:r w:rsidR="00933A4B" w:rsidRPr="00FB4C81">
        <w:rPr>
          <w:rFonts w:ascii="Times New Roman" w:hAnsi="Times New Roman" w:cs="Times New Roman"/>
          <w:sz w:val="24"/>
          <w:szCs w:val="24"/>
        </w:rPr>
        <w:t>27</w:t>
      </w:r>
      <w:r w:rsidR="00933A4B">
        <w:rPr>
          <w:rFonts w:ascii="Times New Roman" w:hAnsi="Times New Roman" w:cs="Times New Roman"/>
          <w:sz w:val="24"/>
          <w:szCs w:val="24"/>
        </w:rPr>
        <w:t>/88</w:t>
      </w:r>
      <w:r w:rsidR="00933A4B" w:rsidRPr="00FB4C81">
        <w:rPr>
          <w:rFonts w:ascii="Times New Roman" w:hAnsi="Times New Roman" w:cs="Times New Roman"/>
          <w:sz w:val="24"/>
          <w:szCs w:val="24"/>
        </w:rPr>
        <w:t xml:space="preserve"> (31%) </w:t>
      </w:r>
      <w:r w:rsidR="00933A4B">
        <w:rPr>
          <w:rFonts w:ascii="Times New Roman" w:hAnsi="Times New Roman" w:cs="Times New Roman"/>
          <w:sz w:val="24"/>
          <w:szCs w:val="24"/>
        </w:rPr>
        <w:t>diabetic</w:t>
      </w:r>
      <w:r w:rsidR="00474165" w:rsidRPr="00FB4C81">
        <w:rPr>
          <w:rFonts w:ascii="Times New Roman" w:hAnsi="Times New Roman" w:cs="Times New Roman"/>
          <w:sz w:val="24"/>
          <w:szCs w:val="24"/>
        </w:rPr>
        <w:t xml:space="preserve"> </w:t>
      </w:r>
      <w:r w:rsidR="00474165">
        <w:rPr>
          <w:rFonts w:ascii="Times New Roman" w:hAnsi="Times New Roman" w:cs="Times New Roman"/>
          <w:sz w:val="24"/>
          <w:szCs w:val="24"/>
        </w:rPr>
        <w:t>participants</w:t>
      </w:r>
      <w:r w:rsidR="00474165" w:rsidRPr="00FB4C81">
        <w:rPr>
          <w:rFonts w:ascii="Times New Roman" w:hAnsi="Times New Roman" w:cs="Times New Roman"/>
          <w:sz w:val="24"/>
          <w:szCs w:val="24"/>
        </w:rPr>
        <w:t xml:space="preserve"> had a final diagnosis of TB (Table 2). </w:t>
      </w:r>
      <w:r w:rsidR="004E490B">
        <w:rPr>
          <w:rFonts w:ascii="Times New Roman" w:hAnsi="Times New Roman" w:cs="Times New Roman"/>
          <w:sz w:val="24"/>
          <w:szCs w:val="24"/>
        </w:rPr>
        <w:t>S</w:t>
      </w:r>
      <w:r w:rsidR="004E038F">
        <w:rPr>
          <w:rFonts w:ascii="Times New Roman" w:hAnsi="Times New Roman" w:cs="Times New Roman"/>
          <w:sz w:val="24"/>
          <w:szCs w:val="24"/>
        </w:rPr>
        <w:t>ens</w:t>
      </w:r>
      <w:r w:rsidR="00BA2AAE">
        <w:rPr>
          <w:rFonts w:ascii="Times New Roman" w:hAnsi="Times New Roman" w:cs="Times New Roman"/>
          <w:sz w:val="24"/>
          <w:szCs w:val="24"/>
        </w:rPr>
        <w:t>itivity</w:t>
      </w:r>
      <w:r w:rsidR="004E038F">
        <w:rPr>
          <w:rFonts w:ascii="Times New Roman" w:hAnsi="Times New Roman" w:cs="Times New Roman"/>
          <w:sz w:val="24"/>
          <w:szCs w:val="24"/>
        </w:rPr>
        <w:t xml:space="preserve"> </w:t>
      </w:r>
      <w:r w:rsidR="00154BA8">
        <w:rPr>
          <w:rFonts w:ascii="Times New Roman" w:hAnsi="Times New Roman" w:cs="Times New Roman"/>
          <w:sz w:val="24"/>
          <w:szCs w:val="24"/>
        </w:rPr>
        <w:t xml:space="preserve">and </w:t>
      </w:r>
      <w:r w:rsidR="004E038F">
        <w:rPr>
          <w:rFonts w:ascii="Times New Roman" w:hAnsi="Times New Roman" w:cs="Times New Roman"/>
          <w:sz w:val="24"/>
          <w:szCs w:val="24"/>
        </w:rPr>
        <w:t>spec</w:t>
      </w:r>
      <w:r w:rsidR="00BA2AAE">
        <w:rPr>
          <w:rFonts w:ascii="Times New Roman" w:hAnsi="Times New Roman" w:cs="Times New Roman"/>
          <w:sz w:val="24"/>
          <w:szCs w:val="24"/>
        </w:rPr>
        <w:t>ificity</w:t>
      </w:r>
      <w:r w:rsidR="008E79D5">
        <w:rPr>
          <w:rFonts w:ascii="Times New Roman" w:hAnsi="Times New Roman" w:cs="Times New Roman"/>
          <w:sz w:val="24"/>
          <w:szCs w:val="24"/>
        </w:rPr>
        <w:t xml:space="preserve"> </w:t>
      </w:r>
      <w:r w:rsidR="00154BA8">
        <w:rPr>
          <w:rFonts w:ascii="Times New Roman" w:hAnsi="Times New Roman" w:cs="Times New Roman"/>
          <w:sz w:val="24"/>
          <w:szCs w:val="24"/>
        </w:rPr>
        <w:t xml:space="preserve">of </w:t>
      </w:r>
      <w:r w:rsidR="00775D61">
        <w:rPr>
          <w:rFonts w:ascii="Times New Roman" w:hAnsi="Times New Roman" w:cs="Times New Roman"/>
          <w:sz w:val="24"/>
          <w:szCs w:val="24"/>
        </w:rPr>
        <w:t>all IGRAs</w:t>
      </w:r>
      <w:r w:rsidR="00470369">
        <w:rPr>
          <w:rFonts w:ascii="Times New Roman" w:hAnsi="Times New Roman" w:cs="Times New Roman"/>
          <w:sz w:val="24"/>
          <w:szCs w:val="24"/>
        </w:rPr>
        <w:t xml:space="preserve"> </w:t>
      </w:r>
      <w:r w:rsidR="00BA2AAE">
        <w:rPr>
          <w:rFonts w:ascii="Times New Roman" w:hAnsi="Times New Roman" w:cs="Times New Roman"/>
          <w:sz w:val="24"/>
          <w:szCs w:val="24"/>
        </w:rPr>
        <w:t xml:space="preserve">for active TB </w:t>
      </w:r>
      <w:r w:rsidR="007B235D">
        <w:rPr>
          <w:rFonts w:ascii="Times New Roman" w:hAnsi="Times New Roman" w:cs="Times New Roman"/>
          <w:sz w:val="24"/>
          <w:szCs w:val="24"/>
        </w:rPr>
        <w:t xml:space="preserve">in </w:t>
      </w:r>
      <w:r w:rsidR="004E490B">
        <w:rPr>
          <w:rFonts w:ascii="Times New Roman" w:hAnsi="Times New Roman" w:cs="Times New Roman"/>
          <w:sz w:val="24"/>
          <w:szCs w:val="24"/>
        </w:rPr>
        <w:t xml:space="preserve">patients with HIV-infection and diabetes </w:t>
      </w:r>
      <w:r w:rsidR="002635D9">
        <w:rPr>
          <w:rFonts w:ascii="Times New Roman" w:hAnsi="Times New Roman" w:cs="Times New Roman"/>
          <w:sz w:val="24"/>
          <w:szCs w:val="24"/>
        </w:rPr>
        <w:t>are</w:t>
      </w:r>
      <w:r w:rsidR="004E038F">
        <w:rPr>
          <w:rFonts w:ascii="Times New Roman" w:hAnsi="Times New Roman" w:cs="Times New Roman"/>
          <w:sz w:val="24"/>
          <w:szCs w:val="24"/>
        </w:rPr>
        <w:t xml:space="preserve"> shown in </w:t>
      </w:r>
      <w:r w:rsidR="0080774C">
        <w:rPr>
          <w:rFonts w:ascii="Times New Roman" w:hAnsi="Times New Roman" w:cs="Times New Roman"/>
          <w:sz w:val="24"/>
          <w:szCs w:val="24"/>
        </w:rPr>
        <w:t>the Appendix (</w:t>
      </w:r>
      <w:r w:rsidR="00BA2AAE">
        <w:rPr>
          <w:rFonts w:ascii="Times New Roman" w:hAnsi="Times New Roman" w:cs="Times New Roman"/>
          <w:sz w:val="24"/>
          <w:szCs w:val="24"/>
        </w:rPr>
        <w:t xml:space="preserve">Supplementary </w:t>
      </w:r>
      <w:r w:rsidR="00BA2AAE" w:rsidRPr="00C34816">
        <w:rPr>
          <w:rFonts w:ascii="Times New Roman" w:hAnsi="Times New Roman" w:cs="Times New Roman"/>
          <w:sz w:val="24"/>
          <w:szCs w:val="24"/>
        </w:rPr>
        <w:t>T</w:t>
      </w:r>
      <w:r w:rsidR="004E038F" w:rsidRPr="00C34816">
        <w:rPr>
          <w:rFonts w:ascii="Times New Roman" w:hAnsi="Times New Roman" w:cs="Times New Roman"/>
          <w:sz w:val="24"/>
          <w:szCs w:val="24"/>
        </w:rPr>
        <w:t>able</w:t>
      </w:r>
      <w:r w:rsidR="00775D61" w:rsidRPr="00C34816">
        <w:rPr>
          <w:rFonts w:ascii="Times New Roman" w:hAnsi="Times New Roman" w:cs="Times New Roman"/>
          <w:sz w:val="24"/>
          <w:szCs w:val="24"/>
        </w:rPr>
        <w:t>s</w:t>
      </w:r>
      <w:r w:rsidR="00BA2AAE" w:rsidRPr="00C34816">
        <w:rPr>
          <w:rFonts w:ascii="Times New Roman" w:hAnsi="Times New Roman" w:cs="Times New Roman"/>
          <w:sz w:val="24"/>
          <w:szCs w:val="24"/>
        </w:rPr>
        <w:t xml:space="preserve"> </w:t>
      </w:r>
      <w:r w:rsidR="00417EAF">
        <w:rPr>
          <w:rFonts w:ascii="Times New Roman" w:hAnsi="Times New Roman" w:cs="Times New Roman"/>
          <w:sz w:val="24"/>
          <w:szCs w:val="24"/>
        </w:rPr>
        <w:t>6</w:t>
      </w:r>
      <w:r w:rsidR="0080774C">
        <w:rPr>
          <w:rFonts w:ascii="Times New Roman" w:hAnsi="Times New Roman" w:cs="Times New Roman"/>
          <w:sz w:val="24"/>
          <w:szCs w:val="24"/>
        </w:rPr>
        <w:t xml:space="preserve"> (page </w:t>
      </w:r>
      <w:r w:rsidR="006260A3">
        <w:rPr>
          <w:rFonts w:ascii="Times New Roman" w:hAnsi="Times New Roman" w:cs="Times New Roman"/>
          <w:sz w:val="24"/>
          <w:szCs w:val="24"/>
        </w:rPr>
        <w:t>1</w:t>
      </w:r>
      <w:r w:rsidR="00C9141C">
        <w:rPr>
          <w:rFonts w:ascii="Times New Roman" w:hAnsi="Times New Roman" w:cs="Times New Roman"/>
          <w:sz w:val="24"/>
          <w:szCs w:val="24"/>
        </w:rPr>
        <w:t>1</w:t>
      </w:r>
      <w:r w:rsidR="0080774C">
        <w:rPr>
          <w:rFonts w:ascii="Times New Roman" w:hAnsi="Times New Roman" w:cs="Times New Roman"/>
          <w:sz w:val="24"/>
          <w:szCs w:val="24"/>
        </w:rPr>
        <w:t>)</w:t>
      </w:r>
      <w:r w:rsidR="00775D61" w:rsidRPr="00C34816">
        <w:rPr>
          <w:rFonts w:ascii="Times New Roman" w:hAnsi="Times New Roman" w:cs="Times New Roman"/>
          <w:sz w:val="24"/>
          <w:szCs w:val="24"/>
        </w:rPr>
        <w:t xml:space="preserve"> and </w:t>
      </w:r>
      <w:r w:rsidR="00417EAF">
        <w:rPr>
          <w:rFonts w:ascii="Times New Roman" w:hAnsi="Times New Roman" w:cs="Times New Roman"/>
          <w:sz w:val="24"/>
          <w:szCs w:val="24"/>
        </w:rPr>
        <w:t>7</w:t>
      </w:r>
      <w:r w:rsidR="0080774C">
        <w:rPr>
          <w:rFonts w:ascii="Times New Roman" w:hAnsi="Times New Roman" w:cs="Times New Roman"/>
          <w:sz w:val="24"/>
          <w:szCs w:val="24"/>
        </w:rPr>
        <w:t xml:space="preserve"> (page </w:t>
      </w:r>
      <w:r w:rsidR="006260A3">
        <w:rPr>
          <w:rFonts w:ascii="Times New Roman" w:hAnsi="Times New Roman" w:cs="Times New Roman"/>
          <w:sz w:val="24"/>
          <w:szCs w:val="24"/>
        </w:rPr>
        <w:t>1</w:t>
      </w:r>
      <w:r w:rsidR="00C9141C">
        <w:rPr>
          <w:rFonts w:ascii="Times New Roman" w:hAnsi="Times New Roman" w:cs="Times New Roman"/>
          <w:sz w:val="24"/>
          <w:szCs w:val="24"/>
        </w:rPr>
        <w:t>2</w:t>
      </w:r>
      <w:r w:rsidR="0080774C">
        <w:rPr>
          <w:rFonts w:ascii="Times New Roman" w:hAnsi="Times New Roman" w:cs="Times New Roman"/>
          <w:sz w:val="24"/>
          <w:szCs w:val="24"/>
        </w:rPr>
        <w:t>)</w:t>
      </w:r>
      <w:r w:rsidR="00775D61" w:rsidRPr="00C34816">
        <w:rPr>
          <w:rFonts w:ascii="Times New Roman" w:hAnsi="Times New Roman" w:cs="Times New Roman"/>
          <w:sz w:val="24"/>
          <w:szCs w:val="24"/>
        </w:rPr>
        <w:t>,</w:t>
      </w:r>
      <w:r w:rsidR="00775D61">
        <w:rPr>
          <w:rFonts w:ascii="Times New Roman" w:hAnsi="Times New Roman" w:cs="Times New Roman"/>
          <w:sz w:val="24"/>
          <w:szCs w:val="24"/>
        </w:rPr>
        <w:t xml:space="preserve"> respectively</w:t>
      </w:r>
      <w:r w:rsidR="0080774C">
        <w:rPr>
          <w:rFonts w:ascii="Times New Roman" w:hAnsi="Times New Roman" w:cs="Times New Roman"/>
          <w:sz w:val="24"/>
          <w:szCs w:val="24"/>
        </w:rPr>
        <w:t>)</w:t>
      </w:r>
      <w:r w:rsidR="00BA2AAE">
        <w:rPr>
          <w:rFonts w:ascii="Times New Roman" w:hAnsi="Times New Roman" w:cs="Times New Roman"/>
          <w:sz w:val="24"/>
          <w:szCs w:val="24"/>
        </w:rPr>
        <w:t>.</w:t>
      </w:r>
      <w:r w:rsidR="00775D61">
        <w:rPr>
          <w:rFonts w:ascii="Times New Roman" w:hAnsi="Times New Roman" w:cs="Times New Roman"/>
          <w:sz w:val="24"/>
          <w:szCs w:val="24"/>
        </w:rPr>
        <w:t xml:space="preserve"> </w:t>
      </w:r>
    </w:p>
    <w:p w14:paraId="00786AE0" w14:textId="26A8C521" w:rsidR="00E36ABA" w:rsidRPr="00957E32" w:rsidRDefault="00E36ABA" w:rsidP="001B1048">
      <w:pPr>
        <w:spacing w:after="0" w:line="480" w:lineRule="auto"/>
        <w:jc w:val="both"/>
        <w:rPr>
          <w:rFonts w:ascii="Times New Roman" w:hAnsi="Times New Roman" w:cs="Times New Roman"/>
          <w:b/>
          <w:sz w:val="24"/>
          <w:szCs w:val="24"/>
        </w:rPr>
      </w:pPr>
      <w:r w:rsidRPr="00957E32">
        <w:rPr>
          <w:rFonts w:ascii="Times New Roman" w:hAnsi="Times New Roman" w:cs="Times New Roman"/>
          <w:b/>
          <w:sz w:val="24"/>
          <w:szCs w:val="24"/>
        </w:rPr>
        <w:t>Indeterminate and borderline results</w:t>
      </w:r>
    </w:p>
    <w:p w14:paraId="383AE360" w14:textId="2A4ACAD4" w:rsidR="00E36ABA" w:rsidRDefault="00DC6A63" w:rsidP="001B1048">
      <w:pPr>
        <w:spacing w:after="0" w:line="480" w:lineRule="auto"/>
        <w:jc w:val="both"/>
        <w:rPr>
          <w:rFonts w:ascii="Times New Roman" w:hAnsi="Times New Roman" w:cs="Times New Roman"/>
          <w:sz w:val="24"/>
          <w:szCs w:val="24"/>
        </w:rPr>
      </w:pPr>
      <w:r w:rsidRPr="00957E32">
        <w:rPr>
          <w:rFonts w:ascii="Times New Roman" w:hAnsi="Times New Roman" w:cs="Times New Roman"/>
          <w:sz w:val="24"/>
          <w:szCs w:val="24"/>
        </w:rPr>
        <w:t>The</w:t>
      </w:r>
      <w:r>
        <w:rPr>
          <w:rFonts w:ascii="Times New Roman" w:hAnsi="Times New Roman" w:cs="Times New Roman"/>
          <w:sz w:val="24"/>
          <w:szCs w:val="24"/>
        </w:rPr>
        <w:t>re was a trend towards a higher</w:t>
      </w:r>
      <w:r w:rsidRPr="00957E32">
        <w:rPr>
          <w:rFonts w:ascii="Times New Roman" w:hAnsi="Times New Roman" w:cs="Times New Roman"/>
          <w:sz w:val="24"/>
          <w:szCs w:val="24"/>
        </w:rPr>
        <w:t xml:space="preserve"> indeterminate rate for QFT-GIT (79</w:t>
      </w:r>
      <w:r>
        <w:rPr>
          <w:rFonts w:ascii="Times New Roman" w:hAnsi="Times New Roman" w:cs="Times New Roman"/>
          <w:sz w:val="24"/>
          <w:szCs w:val="24"/>
        </w:rPr>
        <w:t>/820</w:t>
      </w:r>
      <w:r w:rsidRPr="00957E32">
        <w:rPr>
          <w:rFonts w:ascii="Times New Roman" w:hAnsi="Times New Roman" w:cs="Times New Roman"/>
          <w:sz w:val="24"/>
          <w:szCs w:val="24"/>
        </w:rPr>
        <w:t>; 9.6%) than T</w:t>
      </w:r>
      <w:r w:rsidRPr="00957E32">
        <w:rPr>
          <w:rFonts w:ascii="Times New Roman" w:hAnsi="Times New Roman" w:cs="Times New Roman"/>
          <w:sz w:val="24"/>
          <w:szCs w:val="24"/>
        </w:rPr>
        <w:noBreakHyphen/>
        <w:t>SPOT.TB (57</w:t>
      </w:r>
      <w:r>
        <w:rPr>
          <w:rFonts w:ascii="Times New Roman" w:hAnsi="Times New Roman" w:cs="Times New Roman"/>
          <w:sz w:val="24"/>
          <w:szCs w:val="24"/>
        </w:rPr>
        <w:t>/809</w:t>
      </w:r>
      <w:r w:rsidRPr="00957E32">
        <w:rPr>
          <w:rFonts w:ascii="Times New Roman" w:hAnsi="Times New Roman" w:cs="Times New Roman"/>
          <w:sz w:val="24"/>
          <w:szCs w:val="24"/>
        </w:rPr>
        <w:t>; 7.0%; p=0.07),</w:t>
      </w:r>
      <w:r>
        <w:rPr>
          <w:rFonts w:ascii="Times New Roman" w:hAnsi="Times New Roman" w:cs="Times New Roman"/>
          <w:sz w:val="24"/>
          <w:szCs w:val="24"/>
        </w:rPr>
        <w:t xml:space="preserve"> and rates for QFT-GIT were higher than </w:t>
      </w:r>
      <w:r w:rsidR="00C9141C">
        <w:rPr>
          <w:rFonts w:ascii="Times New Roman" w:hAnsi="Times New Roman" w:cs="Times New Roman"/>
          <w:sz w:val="24"/>
          <w:szCs w:val="24"/>
        </w:rPr>
        <w:t>second-generation</w:t>
      </w:r>
      <w:r w:rsidRPr="00957E32">
        <w:rPr>
          <w:rFonts w:ascii="Times New Roman" w:hAnsi="Times New Roman" w:cs="Times New Roman"/>
          <w:sz w:val="24"/>
          <w:szCs w:val="24"/>
        </w:rPr>
        <w:t xml:space="preserve"> IGRA (55</w:t>
      </w:r>
      <w:r>
        <w:rPr>
          <w:rFonts w:ascii="Times New Roman" w:hAnsi="Times New Roman" w:cs="Times New Roman"/>
          <w:sz w:val="24"/>
          <w:szCs w:val="24"/>
        </w:rPr>
        <w:t>/809</w:t>
      </w:r>
      <w:r w:rsidRPr="00957E32">
        <w:rPr>
          <w:rFonts w:ascii="Times New Roman" w:hAnsi="Times New Roman" w:cs="Times New Roman"/>
          <w:sz w:val="24"/>
          <w:szCs w:val="24"/>
        </w:rPr>
        <w:t>; 6.8%; p=0.04) and ESAT-6-free IGRA</w:t>
      </w:r>
      <w:r>
        <w:rPr>
          <w:rFonts w:ascii="Times New Roman" w:hAnsi="Times New Roman" w:cs="Times New Roman"/>
          <w:sz w:val="24"/>
          <w:szCs w:val="24"/>
        </w:rPr>
        <w:t xml:space="preserve"> (</w:t>
      </w:r>
      <w:r w:rsidRPr="00957E32">
        <w:rPr>
          <w:rFonts w:ascii="Times New Roman" w:hAnsi="Times New Roman" w:cs="Times New Roman"/>
          <w:sz w:val="24"/>
          <w:szCs w:val="24"/>
        </w:rPr>
        <w:t>55</w:t>
      </w:r>
      <w:r>
        <w:rPr>
          <w:rFonts w:ascii="Times New Roman" w:hAnsi="Times New Roman" w:cs="Times New Roman"/>
          <w:sz w:val="24"/>
          <w:szCs w:val="24"/>
        </w:rPr>
        <w:t>/809</w:t>
      </w:r>
      <w:r w:rsidRPr="00957E32">
        <w:rPr>
          <w:rFonts w:ascii="Times New Roman" w:hAnsi="Times New Roman" w:cs="Times New Roman"/>
          <w:sz w:val="24"/>
          <w:szCs w:val="24"/>
        </w:rPr>
        <w:t>; 6.8%; p=0.04)</w:t>
      </w:r>
      <w:r>
        <w:rPr>
          <w:rFonts w:ascii="Times New Roman" w:hAnsi="Times New Roman" w:cs="Times New Roman"/>
          <w:sz w:val="24"/>
          <w:szCs w:val="24"/>
        </w:rPr>
        <w:t>.</w:t>
      </w:r>
      <w:r w:rsidRPr="00957E32">
        <w:rPr>
          <w:rFonts w:ascii="Times New Roman" w:hAnsi="Times New Roman" w:cs="Times New Roman"/>
          <w:sz w:val="24"/>
          <w:szCs w:val="24"/>
        </w:rPr>
        <w:t xml:space="preserve"> </w:t>
      </w:r>
      <w:r>
        <w:rPr>
          <w:rFonts w:ascii="Times New Roman" w:hAnsi="Times New Roman" w:cs="Times New Roman"/>
          <w:sz w:val="24"/>
          <w:szCs w:val="24"/>
        </w:rPr>
        <w:t xml:space="preserve">Most indeterminate results </w:t>
      </w:r>
      <w:r w:rsidRPr="00957E32">
        <w:rPr>
          <w:rFonts w:ascii="Times New Roman" w:hAnsi="Times New Roman" w:cs="Times New Roman"/>
          <w:sz w:val="24"/>
          <w:szCs w:val="24"/>
        </w:rPr>
        <w:t>occurr</w:t>
      </w:r>
      <w:r>
        <w:rPr>
          <w:rFonts w:ascii="Times New Roman" w:hAnsi="Times New Roman" w:cs="Times New Roman"/>
          <w:sz w:val="24"/>
          <w:szCs w:val="24"/>
        </w:rPr>
        <w:t>ed</w:t>
      </w:r>
      <w:r w:rsidRPr="00957E32">
        <w:rPr>
          <w:rFonts w:ascii="Times New Roman" w:hAnsi="Times New Roman" w:cs="Times New Roman"/>
          <w:sz w:val="24"/>
          <w:szCs w:val="24"/>
        </w:rPr>
        <w:t xml:space="preserve"> in non-TB patients</w:t>
      </w:r>
      <w:r>
        <w:rPr>
          <w:rFonts w:ascii="Times New Roman" w:hAnsi="Times New Roman" w:cs="Times New Roman"/>
          <w:sz w:val="24"/>
          <w:szCs w:val="24"/>
        </w:rPr>
        <w:t xml:space="preserve"> (Appendix: Supplementary Tables 3 (page </w:t>
      </w:r>
      <w:r w:rsidR="00C9141C">
        <w:rPr>
          <w:rFonts w:ascii="Times New Roman" w:hAnsi="Times New Roman" w:cs="Times New Roman"/>
          <w:sz w:val="24"/>
          <w:szCs w:val="24"/>
        </w:rPr>
        <w:t>8</w:t>
      </w:r>
      <w:r>
        <w:rPr>
          <w:rFonts w:ascii="Times New Roman" w:hAnsi="Times New Roman" w:cs="Times New Roman"/>
          <w:sz w:val="24"/>
          <w:szCs w:val="24"/>
        </w:rPr>
        <w:t xml:space="preserve">) and 4 (page </w:t>
      </w:r>
      <w:r w:rsidR="00C9141C">
        <w:rPr>
          <w:rFonts w:ascii="Times New Roman" w:hAnsi="Times New Roman" w:cs="Times New Roman"/>
          <w:sz w:val="24"/>
          <w:szCs w:val="24"/>
        </w:rPr>
        <w:t>9</w:t>
      </w:r>
      <w:r>
        <w:rPr>
          <w:rFonts w:ascii="Times New Roman" w:hAnsi="Times New Roman" w:cs="Times New Roman"/>
          <w:sz w:val="24"/>
          <w:szCs w:val="24"/>
        </w:rPr>
        <w:t>))</w:t>
      </w:r>
      <w:r w:rsidRPr="00957E32">
        <w:rPr>
          <w:rFonts w:ascii="Times New Roman" w:hAnsi="Times New Roman" w:cs="Times New Roman"/>
          <w:sz w:val="24"/>
          <w:szCs w:val="24"/>
        </w:rPr>
        <w:t>.</w:t>
      </w:r>
      <w:r>
        <w:rPr>
          <w:rFonts w:ascii="Times New Roman" w:hAnsi="Times New Roman" w:cs="Times New Roman"/>
          <w:sz w:val="24"/>
          <w:szCs w:val="24"/>
        </w:rPr>
        <w:t xml:space="preserve"> </w:t>
      </w:r>
      <w:r w:rsidR="00DA09DE">
        <w:rPr>
          <w:rFonts w:ascii="Times New Roman" w:hAnsi="Times New Roman" w:cs="Times New Roman"/>
          <w:sz w:val="24"/>
          <w:szCs w:val="24"/>
        </w:rPr>
        <w:t xml:space="preserve">T-SPOT.TB results </w:t>
      </w:r>
      <w:r w:rsidR="003459DB">
        <w:rPr>
          <w:rFonts w:ascii="Times New Roman" w:hAnsi="Times New Roman" w:cs="Times New Roman"/>
          <w:sz w:val="24"/>
          <w:szCs w:val="24"/>
        </w:rPr>
        <w:t>were borderline in 17</w:t>
      </w:r>
      <w:r w:rsidR="00806CF7">
        <w:rPr>
          <w:rFonts w:ascii="Times New Roman" w:hAnsi="Times New Roman" w:cs="Times New Roman"/>
          <w:sz w:val="24"/>
          <w:szCs w:val="24"/>
        </w:rPr>
        <w:t>/345</w:t>
      </w:r>
      <w:r w:rsidR="003459DB">
        <w:rPr>
          <w:rFonts w:ascii="Times New Roman" w:hAnsi="Times New Roman" w:cs="Times New Roman"/>
          <w:sz w:val="24"/>
          <w:szCs w:val="24"/>
        </w:rPr>
        <w:t xml:space="preserve"> (4.</w:t>
      </w:r>
      <w:r w:rsidR="00806CF7">
        <w:rPr>
          <w:rFonts w:ascii="Times New Roman" w:hAnsi="Times New Roman" w:cs="Times New Roman"/>
          <w:sz w:val="24"/>
          <w:szCs w:val="24"/>
        </w:rPr>
        <w:t>9</w:t>
      </w:r>
      <w:r w:rsidR="003459DB">
        <w:rPr>
          <w:rFonts w:ascii="Times New Roman" w:hAnsi="Times New Roman" w:cs="Times New Roman"/>
          <w:sz w:val="24"/>
          <w:szCs w:val="24"/>
        </w:rPr>
        <w:t>%) patients with active TB and 16</w:t>
      </w:r>
      <w:r w:rsidR="00806CF7">
        <w:rPr>
          <w:rFonts w:ascii="Times New Roman" w:hAnsi="Times New Roman" w:cs="Times New Roman"/>
          <w:sz w:val="24"/>
          <w:szCs w:val="24"/>
        </w:rPr>
        <w:t>/423</w:t>
      </w:r>
      <w:r w:rsidR="003459DB">
        <w:rPr>
          <w:rFonts w:ascii="Times New Roman" w:hAnsi="Times New Roman" w:cs="Times New Roman"/>
          <w:sz w:val="24"/>
          <w:szCs w:val="24"/>
        </w:rPr>
        <w:t xml:space="preserve"> (3.</w:t>
      </w:r>
      <w:r w:rsidR="00806CF7">
        <w:rPr>
          <w:rFonts w:ascii="Times New Roman" w:hAnsi="Times New Roman" w:cs="Times New Roman"/>
          <w:sz w:val="24"/>
          <w:szCs w:val="24"/>
        </w:rPr>
        <w:t>8</w:t>
      </w:r>
      <w:r w:rsidR="003459DB">
        <w:rPr>
          <w:rFonts w:ascii="Times New Roman" w:hAnsi="Times New Roman" w:cs="Times New Roman"/>
          <w:sz w:val="24"/>
          <w:szCs w:val="24"/>
        </w:rPr>
        <w:t>%) with non-TB diagnoses.</w:t>
      </w:r>
      <w:r w:rsidR="004E490B">
        <w:rPr>
          <w:rFonts w:ascii="Times New Roman" w:hAnsi="Times New Roman" w:cs="Times New Roman"/>
          <w:sz w:val="24"/>
          <w:szCs w:val="24"/>
        </w:rPr>
        <w:t xml:space="preserve"> </w:t>
      </w:r>
      <w:r w:rsidR="008C0032">
        <w:rPr>
          <w:rFonts w:ascii="Times New Roman" w:hAnsi="Times New Roman" w:cs="Times New Roman"/>
          <w:sz w:val="24"/>
          <w:szCs w:val="24"/>
        </w:rPr>
        <w:t xml:space="preserve">Lowering the cut-off of T-SPOT.TB from </w:t>
      </w:r>
      <w:r w:rsidR="0051066F">
        <w:rPr>
          <w:rFonts w:ascii="Times New Roman" w:hAnsi="Times New Roman" w:cs="Times New Roman"/>
          <w:sz w:val="24"/>
          <w:szCs w:val="24"/>
        </w:rPr>
        <w:t>eight</w:t>
      </w:r>
      <w:r w:rsidR="008C0032">
        <w:rPr>
          <w:rFonts w:ascii="Times New Roman" w:hAnsi="Times New Roman" w:cs="Times New Roman"/>
          <w:sz w:val="24"/>
          <w:szCs w:val="24"/>
        </w:rPr>
        <w:t xml:space="preserve"> to </w:t>
      </w:r>
      <w:r w:rsidR="0051066F">
        <w:rPr>
          <w:rFonts w:ascii="Times New Roman" w:hAnsi="Times New Roman" w:cs="Times New Roman"/>
          <w:sz w:val="24"/>
          <w:szCs w:val="24"/>
        </w:rPr>
        <w:t>five</w:t>
      </w:r>
      <w:r w:rsidR="008C0032">
        <w:rPr>
          <w:rFonts w:ascii="Times New Roman" w:hAnsi="Times New Roman" w:cs="Times New Roman"/>
          <w:sz w:val="24"/>
          <w:szCs w:val="24"/>
        </w:rPr>
        <w:t xml:space="preserve"> SFCs (thereby scoring all borderline results as positive) did not improve diagnostic performance of T-SPOT.TB or either of the second-generation IGRAs, giving only a marginal increase in sensitivity at the cost of a decrease in specificity (Supplementary Table 8; page 13). </w:t>
      </w:r>
      <w:r w:rsidR="00DF1081">
        <w:rPr>
          <w:rFonts w:ascii="Times New Roman" w:hAnsi="Times New Roman" w:cs="Times New Roman"/>
          <w:sz w:val="24"/>
          <w:szCs w:val="24"/>
        </w:rPr>
        <w:t>S</w:t>
      </w:r>
      <w:r w:rsidR="00212C3D">
        <w:rPr>
          <w:rFonts w:ascii="Times New Roman" w:hAnsi="Times New Roman" w:cs="Times New Roman"/>
          <w:sz w:val="24"/>
          <w:szCs w:val="24"/>
        </w:rPr>
        <w:t>coring</w:t>
      </w:r>
      <w:r w:rsidR="008C0032">
        <w:rPr>
          <w:rFonts w:ascii="Times New Roman" w:hAnsi="Times New Roman" w:cs="Times New Roman"/>
          <w:sz w:val="24"/>
          <w:szCs w:val="24"/>
        </w:rPr>
        <w:t xml:space="preserve"> both</w:t>
      </w:r>
      <w:r w:rsidR="00212C3D">
        <w:rPr>
          <w:rFonts w:ascii="Times New Roman" w:hAnsi="Times New Roman" w:cs="Times New Roman"/>
          <w:sz w:val="24"/>
          <w:szCs w:val="24"/>
        </w:rPr>
        <w:t xml:space="preserve"> indeterminate and borderline results as positives </w:t>
      </w:r>
      <w:r w:rsidR="008C0032">
        <w:rPr>
          <w:rFonts w:ascii="Times New Roman" w:hAnsi="Times New Roman" w:cs="Times New Roman"/>
          <w:sz w:val="24"/>
          <w:szCs w:val="24"/>
        </w:rPr>
        <w:t xml:space="preserve">also </w:t>
      </w:r>
      <w:r w:rsidR="00212C3D">
        <w:rPr>
          <w:rFonts w:ascii="Times New Roman" w:hAnsi="Times New Roman" w:cs="Times New Roman"/>
          <w:sz w:val="24"/>
          <w:szCs w:val="24"/>
        </w:rPr>
        <w:t>did not affect test performance</w:t>
      </w:r>
      <w:r w:rsidR="00DF1081">
        <w:rPr>
          <w:rFonts w:ascii="Times New Roman" w:hAnsi="Times New Roman" w:cs="Times New Roman"/>
          <w:sz w:val="24"/>
          <w:szCs w:val="24"/>
        </w:rPr>
        <w:t xml:space="preserve"> in sensitivity analyses</w:t>
      </w:r>
      <w:r w:rsidR="00212C3D">
        <w:rPr>
          <w:rFonts w:ascii="Times New Roman" w:hAnsi="Times New Roman" w:cs="Times New Roman"/>
          <w:sz w:val="24"/>
          <w:szCs w:val="24"/>
        </w:rPr>
        <w:t xml:space="preserve"> (Table 4, footnote</w:t>
      </w:r>
      <w:r w:rsidR="009641F8">
        <w:rPr>
          <w:rFonts w:ascii="Times New Roman" w:hAnsi="Times New Roman" w:cs="Times New Roman"/>
          <w:sz w:val="24"/>
          <w:szCs w:val="24"/>
        </w:rPr>
        <w:t xml:space="preserve"> f</w:t>
      </w:r>
      <w:r w:rsidR="00212C3D">
        <w:rPr>
          <w:rFonts w:ascii="Times New Roman" w:hAnsi="Times New Roman" w:cs="Times New Roman"/>
          <w:sz w:val="24"/>
          <w:szCs w:val="24"/>
        </w:rPr>
        <w:t>)</w:t>
      </w:r>
      <w:r w:rsidR="0037691A">
        <w:rPr>
          <w:rFonts w:ascii="Times New Roman" w:hAnsi="Times New Roman" w:cs="Times New Roman"/>
          <w:sz w:val="24"/>
          <w:szCs w:val="24"/>
        </w:rPr>
        <w:t xml:space="preserve">. </w:t>
      </w:r>
    </w:p>
    <w:p w14:paraId="3FC332EE" w14:textId="77777777" w:rsidR="00741757" w:rsidRDefault="00741757" w:rsidP="001B1048">
      <w:pPr>
        <w:spacing w:after="0" w:line="480" w:lineRule="auto"/>
        <w:jc w:val="both"/>
        <w:rPr>
          <w:rFonts w:ascii="Times New Roman" w:hAnsi="Times New Roman" w:cs="Times New Roman"/>
          <w:b/>
          <w:sz w:val="24"/>
          <w:szCs w:val="24"/>
        </w:rPr>
      </w:pPr>
    </w:p>
    <w:p w14:paraId="5A934C03" w14:textId="0FA372AC" w:rsidR="00B8611B" w:rsidRDefault="0013011B" w:rsidP="001B1048">
      <w:pPr>
        <w:spacing w:after="0" w:line="480" w:lineRule="auto"/>
        <w:jc w:val="both"/>
        <w:rPr>
          <w:rFonts w:ascii="Times New Roman" w:hAnsi="Times New Roman" w:cs="Times New Roman"/>
          <w:sz w:val="24"/>
          <w:szCs w:val="24"/>
        </w:rPr>
      </w:pPr>
      <w:r w:rsidRPr="00957E32">
        <w:rPr>
          <w:rFonts w:ascii="Times New Roman" w:hAnsi="Times New Roman" w:cs="Times New Roman"/>
          <w:b/>
          <w:sz w:val="24"/>
          <w:szCs w:val="24"/>
        </w:rPr>
        <w:t>DISCUSSION</w:t>
      </w:r>
      <w:r w:rsidR="00B42CAB" w:rsidRPr="00957E32">
        <w:rPr>
          <w:rFonts w:ascii="Times New Roman" w:hAnsi="Times New Roman" w:cs="Times New Roman"/>
          <w:b/>
          <w:sz w:val="24"/>
          <w:szCs w:val="24"/>
        </w:rPr>
        <w:t xml:space="preserve"> </w:t>
      </w:r>
    </w:p>
    <w:p w14:paraId="04086DED" w14:textId="1253F638" w:rsidR="00DC6A63" w:rsidRDefault="00465E3D" w:rsidP="001B1048">
      <w:pPr>
        <w:spacing w:after="0" w:line="480" w:lineRule="auto"/>
        <w:jc w:val="both"/>
        <w:rPr>
          <w:rFonts w:ascii="Times New Roman" w:hAnsi="Times New Roman" w:cs="Times New Roman"/>
          <w:sz w:val="24"/>
          <w:szCs w:val="24"/>
        </w:rPr>
      </w:pPr>
      <w:r w:rsidRPr="00957E32">
        <w:rPr>
          <w:rFonts w:ascii="Times New Roman" w:hAnsi="Times New Roman" w:cs="Times New Roman"/>
          <w:sz w:val="24"/>
          <w:szCs w:val="24"/>
        </w:rPr>
        <w:t xml:space="preserve">This is the largest prospective </w:t>
      </w:r>
      <w:r w:rsidR="00856F3D" w:rsidRPr="00957E32">
        <w:rPr>
          <w:rFonts w:ascii="Times New Roman" w:hAnsi="Times New Roman" w:cs="Times New Roman"/>
          <w:sz w:val="24"/>
          <w:szCs w:val="24"/>
        </w:rPr>
        <w:t xml:space="preserve">cohort study </w:t>
      </w:r>
      <w:r w:rsidR="0041173A">
        <w:rPr>
          <w:rFonts w:ascii="Times New Roman" w:hAnsi="Times New Roman" w:cs="Times New Roman"/>
          <w:sz w:val="24"/>
          <w:szCs w:val="24"/>
        </w:rPr>
        <w:t xml:space="preserve">embedded in </w:t>
      </w:r>
      <w:r w:rsidR="0041173A" w:rsidRPr="00957E32">
        <w:rPr>
          <w:rFonts w:ascii="Times New Roman" w:hAnsi="Times New Roman" w:cs="Times New Roman"/>
          <w:sz w:val="24"/>
          <w:szCs w:val="24"/>
        </w:rPr>
        <w:t>real-life</w:t>
      </w:r>
      <w:r w:rsidR="0041173A">
        <w:rPr>
          <w:rFonts w:ascii="Times New Roman" w:hAnsi="Times New Roman" w:cs="Times New Roman"/>
          <w:sz w:val="24"/>
          <w:szCs w:val="24"/>
        </w:rPr>
        <w:t xml:space="preserve"> clinical practice</w:t>
      </w:r>
      <w:r w:rsidR="0041173A" w:rsidRPr="00957E32">
        <w:rPr>
          <w:rFonts w:ascii="Times New Roman" w:hAnsi="Times New Roman" w:cs="Times New Roman"/>
          <w:sz w:val="24"/>
          <w:szCs w:val="24"/>
        </w:rPr>
        <w:t xml:space="preserve"> </w:t>
      </w:r>
      <w:r w:rsidR="00856F3D" w:rsidRPr="00957E32">
        <w:rPr>
          <w:rFonts w:ascii="Times New Roman" w:hAnsi="Times New Roman" w:cs="Times New Roman"/>
          <w:sz w:val="24"/>
          <w:szCs w:val="24"/>
        </w:rPr>
        <w:t xml:space="preserve">to assess and compare the role of IGRAs in the evaluation of suspected </w:t>
      </w:r>
      <w:r w:rsidR="00FA78A2" w:rsidRPr="00957E32">
        <w:rPr>
          <w:rFonts w:ascii="Times New Roman" w:hAnsi="Times New Roman" w:cs="Times New Roman"/>
          <w:sz w:val="24"/>
          <w:szCs w:val="24"/>
        </w:rPr>
        <w:t xml:space="preserve">pulmonary and extrapulmonary </w:t>
      </w:r>
      <w:r w:rsidR="00856F3D" w:rsidRPr="00957E32">
        <w:rPr>
          <w:rFonts w:ascii="Times New Roman" w:hAnsi="Times New Roman" w:cs="Times New Roman"/>
          <w:sz w:val="24"/>
          <w:szCs w:val="24"/>
        </w:rPr>
        <w:t>TB</w:t>
      </w:r>
      <w:r w:rsidR="003F6BA0" w:rsidRPr="003F6BA0">
        <w:rPr>
          <w:rFonts w:ascii="Times New Roman" w:hAnsi="Times New Roman" w:cs="Times New Roman"/>
          <w:sz w:val="24"/>
          <w:szCs w:val="24"/>
        </w:rPr>
        <w:t xml:space="preserve"> </w:t>
      </w:r>
      <w:r w:rsidR="003F6BA0">
        <w:rPr>
          <w:rFonts w:ascii="Times New Roman" w:hAnsi="Times New Roman" w:cs="Times New Roman"/>
          <w:sz w:val="24"/>
          <w:szCs w:val="24"/>
        </w:rPr>
        <w:t>in a low TB-incidence setting</w:t>
      </w:r>
      <w:r w:rsidR="00296FC5" w:rsidRPr="00957E32">
        <w:rPr>
          <w:rFonts w:ascii="Times New Roman" w:hAnsi="Times New Roman" w:cs="Times New Roman"/>
          <w:sz w:val="24"/>
          <w:szCs w:val="24"/>
        </w:rPr>
        <w:t>.</w:t>
      </w:r>
      <w:r w:rsidR="00856F3D" w:rsidRPr="00957E32">
        <w:rPr>
          <w:rFonts w:ascii="Times New Roman" w:hAnsi="Times New Roman" w:cs="Times New Roman"/>
          <w:sz w:val="24"/>
          <w:szCs w:val="24"/>
        </w:rPr>
        <w:t xml:space="preserve"> </w:t>
      </w:r>
      <w:r w:rsidR="00A03032" w:rsidRPr="00957E32">
        <w:rPr>
          <w:rFonts w:ascii="Times New Roman" w:hAnsi="Times New Roman" w:cs="Times New Roman"/>
          <w:sz w:val="24"/>
          <w:szCs w:val="24"/>
        </w:rPr>
        <w:t>Although T-SPOT.TB had significantly higher sensitivity tha</w:t>
      </w:r>
      <w:r w:rsidR="006412AF">
        <w:rPr>
          <w:rFonts w:ascii="Times New Roman" w:hAnsi="Times New Roman" w:cs="Times New Roman"/>
          <w:sz w:val="24"/>
          <w:szCs w:val="24"/>
        </w:rPr>
        <w:t>n</w:t>
      </w:r>
      <w:r w:rsidR="00A03032" w:rsidRPr="00957E32">
        <w:rPr>
          <w:rFonts w:ascii="Times New Roman" w:hAnsi="Times New Roman" w:cs="Times New Roman"/>
          <w:sz w:val="24"/>
          <w:szCs w:val="24"/>
        </w:rPr>
        <w:t xml:space="preserve"> </w:t>
      </w:r>
      <w:r w:rsidR="00A03032" w:rsidRPr="00957E32">
        <w:rPr>
          <w:rFonts w:ascii="Times New Roman" w:hAnsi="Times New Roman" w:cs="Times New Roman"/>
          <w:sz w:val="24"/>
          <w:szCs w:val="24"/>
        </w:rPr>
        <w:lastRenderedPageBreak/>
        <w:t xml:space="preserve">QFT-GIT, neither assay had sufficient sensitivity </w:t>
      </w:r>
      <w:r w:rsidR="000A144F" w:rsidRPr="00957E32">
        <w:rPr>
          <w:rFonts w:ascii="Times New Roman" w:hAnsi="Times New Roman" w:cs="Times New Roman"/>
          <w:sz w:val="24"/>
          <w:szCs w:val="24"/>
        </w:rPr>
        <w:t xml:space="preserve">or NPV </w:t>
      </w:r>
      <w:r w:rsidR="00A03032" w:rsidRPr="00957E32">
        <w:rPr>
          <w:rFonts w:ascii="Times New Roman" w:hAnsi="Times New Roman" w:cs="Times New Roman"/>
          <w:sz w:val="24"/>
          <w:szCs w:val="24"/>
        </w:rPr>
        <w:t>to rule out a diagnosis of active TB</w:t>
      </w:r>
      <w:r w:rsidR="000033E9" w:rsidRPr="00957E32">
        <w:rPr>
          <w:rFonts w:ascii="Times New Roman" w:hAnsi="Times New Roman" w:cs="Times New Roman"/>
          <w:sz w:val="24"/>
          <w:szCs w:val="24"/>
        </w:rPr>
        <w:t xml:space="preserve">. In contrast, the </w:t>
      </w:r>
      <w:r w:rsidR="00C9141C">
        <w:rPr>
          <w:rFonts w:ascii="Times New Roman" w:hAnsi="Times New Roman" w:cs="Times New Roman"/>
          <w:sz w:val="24"/>
          <w:szCs w:val="24"/>
        </w:rPr>
        <w:t>second-generation</w:t>
      </w:r>
      <w:r w:rsidR="000033E9" w:rsidRPr="00957E32">
        <w:rPr>
          <w:rFonts w:ascii="Times New Roman" w:hAnsi="Times New Roman" w:cs="Times New Roman"/>
          <w:sz w:val="24"/>
          <w:szCs w:val="24"/>
        </w:rPr>
        <w:t xml:space="preserve"> IGRA</w:t>
      </w:r>
      <w:r w:rsidR="00C47228">
        <w:rPr>
          <w:rFonts w:ascii="Times New Roman" w:hAnsi="Times New Roman" w:cs="Times New Roman"/>
          <w:sz w:val="24"/>
          <w:szCs w:val="24"/>
        </w:rPr>
        <w:t>,</w:t>
      </w:r>
      <w:r w:rsidR="00204A63" w:rsidRPr="00957E32">
        <w:rPr>
          <w:rFonts w:ascii="Times New Roman" w:hAnsi="Times New Roman" w:cs="Times New Roman"/>
          <w:sz w:val="24"/>
          <w:szCs w:val="24"/>
        </w:rPr>
        <w:t xml:space="preserve"> </w:t>
      </w:r>
      <w:r w:rsidR="00856F3D" w:rsidRPr="00957E32">
        <w:rPr>
          <w:rFonts w:ascii="Times New Roman" w:hAnsi="Times New Roman" w:cs="Times New Roman"/>
          <w:sz w:val="24"/>
          <w:szCs w:val="24"/>
        </w:rPr>
        <w:t>incorporating</w:t>
      </w:r>
      <w:r w:rsidR="00204A63" w:rsidRPr="00957E32">
        <w:rPr>
          <w:rFonts w:ascii="Times New Roman" w:hAnsi="Times New Roman" w:cs="Times New Roman"/>
          <w:sz w:val="24"/>
          <w:szCs w:val="24"/>
        </w:rPr>
        <w:t xml:space="preserve"> Rv3615c alongside ESAT-6 and CFP-10</w:t>
      </w:r>
      <w:r w:rsidR="00C47228">
        <w:rPr>
          <w:rFonts w:ascii="Times New Roman" w:hAnsi="Times New Roman" w:cs="Times New Roman"/>
          <w:sz w:val="24"/>
          <w:szCs w:val="24"/>
        </w:rPr>
        <w:t>,</w:t>
      </w:r>
      <w:r w:rsidR="00204A63" w:rsidRPr="00957E32">
        <w:rPr>
          <w:rFonts w:ascii="Times New Roman" w:hAnsi="Times New Roman" w:cs="Times New Roman"/>
          <w:sz w:val="24"/>
          <w:szCs w:val="24"/>
        </w:rPr>
        <w:t xml:space="preserve"> had</w:t>
      </w:r>
      <w:r w:rsidR="000A144F" w:rsidRPr="00957E32">
        <w:rPr>
          <w:rFonts w:ascii="Times New Roman" w:hAnsi="Times New Roman" w:cs="Times New Roman"/>
          <w:sz w:val="24"/>
          <w:szCs w:val="24"/>
        </w:rPr>
        <w:t xml:space="preserve"> </w:t>
      </w:r>
      <w:r w:rsidR="00EC4472">
        <w:rPr>
          <w:rFonts w:ascii="Times New Roman" w:hAnsi="Times New Roman" w:cs="Times New Roman"/>
          <w:sz w:val="24"/>
          <w:szCs w:val="24"/>
        </w:rPr>
        <w:t xml:space="preserve">significantly </w:t>
      </w:r>
      <w:r w:rsidR="000A144F" w:rsidRPr="00957E32">
        <w:rPr>
          <w:rFonts w:ascii="Times New Roman" w:hAnsi="Times New Roman" w:cs="Times New Roman"/>
          <w:sz w:val="24"/>
          <w:szCs w:val="24"/>
        </w:rPr>
        <w:t xml:space="preserve">higher </w:t>
      </w:r>
      <w:r w:rsidR="00EC4472">
        <w:rPr>
          <w:rFonts w:ascii="Times New Roman" w:hAnsi="Times New Roman" w:cs="Times New Roman"/>
          <w:sz w:val="24"/>
          <w:szCs w:val="24"/>
        </w:rPr>
        <w:t xml:space="preserve">diagnostic </w:t>
      </w:r>
      <w:r w:rsidR="00204A63" w:rsidRPr="00957E32">
        <w:rPr>
          <w:rFonts w:ascii="Times New Roman" w:hAnsi="Times New Roman" w:cs="Times New Roman"/>
          <w:sz w:val="24"/>
          <w:szCs w:val="24"/>
        </w:rPr>
        <w:t xml:space="preserve">sensitivity </w:t>
      </w:r>
      <w:r w:rsidR="00FD7FB8" w:rsidRPr="00957E32">
        <w:rPr>
          <w:rFonts w:ascii="Times New Roman" w:hAnsi="Times New Roman" w:cs="Times New Roman"/>
          <w:sz w:val="24"/>
          <w:szCs w:val="24"/>
        </w:rPr>
        <w:t>than T-SPOT.TB and QFT-GIT</w:t>
      </w:r>
      <w:r w:rsidR="00204A63" w:rsidRPr="00957E32">
        <w:rPr>
          <w:rFonts w:ascii="Times New Roman" w:hAnsi="Times New Roman" w:cs="Times New Roman"/>
          <w:sz w:val="24"/>
          <w:szCs w:val="24"/>
        </w:rPr>
        <w:t xml:space="preserve">. </w:t>
      </w:r>
      <w:r w:rsidR="00DC6A63">
        <w:rPr>
          <w:rFonts w:ascii="Times New Roman" w:hAnsi="Times New Roman" w:cs="Times New Roman"/>
          <w:sz w:val="24"/>
          <w:szCs w:val="24"/>
        </w:rPr>
        <w:t>Interestingly, and reflecting common practice despite the absence of good evidence or guidelines supporting use of IGRAs in this setting, 35% of study patients</w:t>
      </w:r>
      <w:r w:rsidR="00562881">
        <w:rPr>
          <w:rFonts w:ascii="Times New Roman" w:hAnsi="Times New Roman" w:cs="Times New Roman"/>
          <w:sz w:val="24"/>
          <w:szCs w:val="24"/>
        </w:rPr>
        <w:t xml:space="preserve">, distributed across the recruiting sites, </w:t>
      </w:r>
      <w:r w:rsidR="00DC6A63">
        <w:rPr>
          <w:rFonts w:ascii="Times New Roman" w:hAnsi="Times New Roman" w:cs="Times New Roman"/>
          <w:sz w:val="24"/>
          <w:szCs w:val="24"/>
        </w:rPr>
        <w:t>had IGRAs performed as part of their routine diagnostic work-up for active TB (data not shown).</w:t>
      </w:r>
    </w:p>
    <w:p w14:paraId="38AF896F" w14:textId="54C608A4" w:rsidR="00165D5E" w:rsidRPr="004F6809" w:rsidRDefault="0060585F">
      <w:pPr>
        <w:spacing w:after="0" w:line="480" w:lineRule="auto"/>
        <w:jc w:val="both"/>
        <w:rPr>
          <w:rFonts w:ascii="Times New Roman" w:hAnsi="Times New Roman" w:cs="Times New Roman"/>
          <w:sz w:val="24"/>
          <w:szCs w:val="24"/>
        </w:rPr>
      </w:pPr>
      <w:r w:rsidRPr="00957E32">
        <w:rPr>
          <w:rFonts w:ascii="Times New Roman" w:hAnsi="Times New Roman" w:cs="Times New Roman"/>
          <w:sz w:val="24"/>
          <w:szCs w:val="24"/>
        </w:rPr>
        <w:t xml:space="preserve">The </w:t>
      </w:r>
      <w:r w:rsidR="007E6D33">
        <w:rPr>
          <w:rFonts w:ascii="Times New Roman" w:hAnsi="Times New Roman" w:cs="Times New Roman"/>
          <w:sz w:val="24"/>
          <w:szCs w:val="24"/>
        </w:rPr>
        <w:t>NLR</w:t>
      </w:r>
      <w:r w:rsidRPr="00957E32">
        <w:rPr>
          <w:rFonts w:ascii="Times New Roman" w:hAnsi="Times New Roman" w:cs="Times New Roman"/>
          <w:sz w:val="24"/>
          <w:szCs w:val="24"/>
        </w:rPr>
        <w:t xml:space="preserve"> of 0.13</w:t>
      </w:r>
      <w:r w:rsidR="008E1D9D">
        <w:rPr>
          <w:rFonts w:ascii="Times New Roman" w:hAnsi="Times New Roman" w:cs="Times New Roman"/>
          <w:sz w:val="24"/>
          <w:szCs w:val="24"/>
        </w:rPr>
        <w:t xml:space="preserve"> </w:t>
      </w:r>
      <w:r w:rsidR="00EC4472">
        <w:rPr>
          <w:rFonts w:ascii="Times New Roman" w:hAnsi="Times New Roman" w:cs="Times New Roman"/>
          <w:sz w:val="24"/>
          <w:szCs w:val="24"/>
        </w:rPr>
        <w:t>for</w:t>
      </w:r>
      <w:r w:rsidR="00EC4472" w:rsidRPr="00957E32">
        <w:rPr>
          <w:rFonts w:ascii="Times New Roman" w:hAnsi="Times New Roman" w:cs="Times New Roman"/>
          <w:sz w:val="24"/>
          <w:szCs w:val="24"/>
        </w:rPr>
        <w:t xml:space="preserve"> </w:t>
      </w:r>
      <w:r w:rsidR="00C9141C">
        <w:rPr>
          <w:rFonts w:ascii="Times New Roman" w:hAnsi="Times New Roman" w:cs="Times New Roman"/>
          <w:sz w:val="24"/>
          <w:szCs w:val="24"/>
        </w:rPr>
        <w:t>second-generation</w:t>
      </w:r>
      <w:r w:rsidR="00EC4472" w:rsidRPr="00957E32">
        <w:rPr>
          <w:rFonts w:ascii="Times New Roman" w:hAnsi="Times New Roman" w:cs="Times New Roman"/>
          <w:sz w:val="24"/>
          <w:szCs w:val="24"/>
        </w:rPr>
        <w:t xml:space="preserve"> IGRA </w:t>
      </w:r>
      <w:r w:rsidRPr="00957E32">
        <w:rPr>
          <w:rFonts w:ascii="Times New Roman" w:hAnsi="Times New Roman" w:cs="Times New Roman"/>
          <w:sz w:val="24"/>
          <w:szCs w:val="24"/>
        </w:rPr>
        <w:t xml:space="preserve">means </w:t>
      </w:r>
      <w:r w:rsidR="004714B5" w:rsidRPr="00957E32">
        <w:rPr>
          <w:rFonts w:ascii="Times New Roman" w:hAnsi="Times New Roman" w:cs="Times New Roman"/>
          <w:sz w:val="24"/>
          <w:szCs w:val="24"/>
        </w:rPr>
        <w:t xml:space="preserve">a negative </w:t>
      </w:r>
      <w:r w:rsidR="00CE0215">
        <w:rPr>
          <w:rFonts w:ascii="Times New Roman" w:hAnsi="Times New Roman" w:cs="Times New Roman"/>
          <w:sz w:val="24"/>
          <w:szCs w:val="24"/>
        </w:rPr>
        <w:t xml:space="preserve">test </w:t>
      </w:r>
      <w:r w:rsidR="004714B5" w:rsidRPr="00957E32">
        <w:rPr>
          <w:rFonts w:ascii="Times New Roman" w:hAnsi="Times New Roman" w:cs="Times New Roman"/>
          <w:sz w:val="24"/>
          <w:szCs w:val="24"/>
        </w:rPr>
        <w:t>result would</w:t>
      </w:r>
      <w:r w:rsidR="00CE0215">
        <w:rPr>
          <w:rFonts w:ascii="Times New Roman" w:hAnsi="Times New Roman" w:cs="Times New Roman"/>
          <w:sz w:val="24"/>
          <w:szCs w:val="24"/>
        </w:rPr>
        <w:t xml:space="preserve"> reduce the odds of TB </w:t>
      </w:r>
      <w:r w:rsidR="00FF6F48">
        <w:rPr>
          <w:rFonts w:ascii="Times New Roman" w:hAnsi="Times New Roman" w:cs="Times New Roman"/>
          <w:sz w:val="24"/>
          <w:szCs w:val="24"/>
        </w:rPr>
        <w:t xml:space="preserve">post-test </w:t>
      </w:r>
      <w:r w:rsidR="002D41A2">
        <w:rPr>
          <w:rFonts w:ascii="Times New Roman" w:hAnsi="Times New Roman" w:cs="Times New Roman"/>
          <w:sz w:val="24"/>
          <w:szCs w:val="24"/>
        </w:rPr>
        <w:t xml:space="preserve">by a </w:t>
      </w:r>
      <w:r w:rsidR="002D41A2" w:rsidRPr="00957E32">
        <w:rPr>
          <w:rFonts w:ascii="Times New Roman" w:hAnsi="Times New Roman" w:cs="Times New Roman"/>
          <w:sz w:val="24"/>
          <w:szCs w:val="24"/>
        </w:rPr>
        <w:t>clinically</w:t>
      </w:r>
      <w:r w:rsidR="002D41A2">
        <w:rPr>
          <w:rFonts w:ascii="Times New Roman" w:hAnsi="Times New Roman" w:cs="Times New Roman"/>
          <w:sz w:val="24"/>
          <w:szCs w:val="24"/>
        </w:rPr>
        <w:t>-</w:t>
      </w:r>
      <w:r w:rsidR="002D41A2" w:rsidRPr="00957E32">
        <w:rPr>
          <w:rFonts w:ascii="Times New Roman" w:hAnsi="Times New Roman" w:cs="Times New Roman"/>
          <w:sz w:val="24"/>
          <w:szCs w:val="24"/>
        </w:rPr>
        <w:t xml:space="preserve">meaningful factor of </w:t>
      </w:r>
      <w:r w:rsidR="002D41A2" w:rsidRPr="000F13AD">
        <w:rPr>
          <w:rFonts w:ascii="Times New Roman" w:hAnsi="Times New Roman" w:cs="Times New Roman"/>
          <w:sz w:val="24"/>
          <w:szCs w:val="24"/>
        </w:rPr>
        <w:t>7.7</w:t>
      </w:r>
      <w:r w:rsidR="002D41A2" w:rsidRPr="00957E32">
        <w:rPr>
          <w:rFonts w:ascii="Times New Roman" w:hAnsi="Times New Roman" w:cs="Times New Roman"/>
          <w:sz w:val="24"/>
          <w:szCs w:val="24"/>
        </w:rPr>
        <w:t>-fold</w:t>
      </w:r>
      <w:r w:rsidR="002D41A2">
        <w:rPr>
          <w:rFonts w:ascii="Times New Roman" w:hAnsi="Times New Roman" w:cs="Times New Roman"/>
          <w:sz w:val="24"/>
          <w:szCs w:val="24"/>
        </w:rPr>
        <w:t xml:space="preserve"> </w:t>
      </w:r>
      <w:r w:rsidR="00FF6F48">
        <w:rPr>
          <w:rFonts w:ascii="Times New Roman" w:hAnsi="Times New Roman" w:cs="Times New Roman"/>
          <w:sz w:val="24"/>
          <w:szCs w:val="24"/>
        </w:rPr>
        <w:t>compared to pre-test</w:t>
      </w:r>
      <w:r w:rsidR="00CE0215">
        <w:rPr>
          <w:rFonts w:ascii="Times New Roman" w:hAnsi="Times New Roman" w:cs="Times New Roman"/>
          <w:sz w:val="24"/>
          <w:szCs w:val="24"/>
        </w:rPr>
        <w:t>.</w:t>
      </w:r>
      <w:r w:rsidR="004714B5" w:rsidRPr="00957E32">
        <w:rPr>
          <w:rFonts w:ascii="Times New Roman" w:hAnsi="Times New Roman" w:cs="Times New Roman"/>
          <w:sz w:val="24"/>
          <w:szCs w:val="24"/>
        </w:rPr>
        <w:t xml:space="preserve"> </w:t>
      </w:r>
      <w:r w:rsidR="00856F3D" w:rsidRPr="00957E32">
        <w:rPr>
          <w:rFonts w:ascii="Times New Roman" w:hAnsi="Times New Roman" w:cs="Times New Roman"/>
          <w:sz w:val="24"/>
          <w:szCs w:val="24"/>
        </w:rPr>
        <w:t xml:space="preserve">The NPV for all TB, including </w:t>
      </w:r>
      <w:r w:rsidR="00BD038C">
        <w:rPr>
          <w:rFonts w:ascii="Times New Roman" w:hAnsi="Times New Roman" w:cs="Times New Roman"/>
          <w:sz w:val="24"/>
          <w:szCs w:val="24"/>
        </w:rPr>
        <w:t>highly-probable</w:t>
      </w:r>
      <w:r w:rsidR="00856F3D" w:rsidRPr="00957E32">
        <w:rPr>
          <w:rFonts w:ascii="Times New Roman" w:hAnsi="Times New Roman" w:cs="Times New Roman"/>
          <w:sz w:val="24"/>
          <w:szCs w:val="24"/>
        </w:rPr>
        <w:t xml:space="preserve"> cases, was 90% despite the 43% prevalence in this population presenting</w:t>
      </w:r>
      <w:r w:rsidR="004714B5" w:rsidRPr="00957E32">
        <w:rPr>
          <w:rFonts w:ascii="Times New Roman" w:hAnsi="Times New Roman" w:cs="Times New Roman"/>
          <w:sz w:val="24"/>
          <w:szCs w:val="24"/>
        </w:rPr>
        <w:t xml:space="preserve"> to </w:t>
      </w:r>
      <w:r w:rsidR="00A5630C" w:rsidRPr="00957E32">
        <w:rPr>
          <w:rFonts w:ascii="Times New Roman" w:hAnsi="Times New Roman" w:cs="Times New Roman"/>
          <w:sz w:val="24"/>
          <w:szCs w:val="24"/>
        </w:rPr>
        <w:t xml:space="preserve">urban </w:t>
      </w:r>
      <w:r w:rsidR="004714B5" w:rsidRPr="00957E32">
        <w:rPr>
          <w:rFonts w:ascii="Times New Roman" w:hAnsi="Times New Roman" w:cs="Times New Roman"/>
          <w:sz w:val="24"/>
          <w:szCs w:val="24"/>
        </w:rPr>
        <w:t>infectious diseases and respiratory medicine services with suspected TB</w:t>
      </w:r>
      <w:r w:rsidR="00A5630C" w:rsidRPr="00957E32">
        <w:rPr>
          <w:rFonts w:ascii="Times New Roman" w:hAnsi="Times New Roman" w:cs="Times New Roman"/>
          <w:sz w:val="24"/>
          <w:szCs w:val="24"/>
        </w:rPr>
        <w:t xml:space="preserve">. </w:t>
      </w:r>
      <w:r w:rsidR="00EC4472">
        <w:rPr>
          <w:rFonts w:ascii="Times New Roman" w:hAnsi="Times New Roman" w:cs="Times New Roman"/>
          <w:sz w:val="24"/>
          <w:szCs w:val="24"/>
        </w:rPr>
        <w:t>Since our study was performed in routine clinical pr</w:t>
      </w:r>
      <w:r w:rsidR="00297B3B">
        <w:rPr>
          <w:rFonts w:ascii="Times New Roman" w:hAnsi="Times New Roman" w:cs="Times New Roman"/>
          <w:sz w:val="24"/>
          <w:szCs w:val="24"/>
        </w:rPr>
        <w:t xml:space="preserve">actice and encompassed the full, natural </w:t>
      </w:r>
      <w:r w:rsidR="00EC4472">
        <w:rPr>
          <w:rFonts w:ascii="Times New Roman" w:hAnsi="Times New Roman" w:cs="Times New Roman"/>
          <w:sz w:val="24"/>
          <w:szCs w:val="24"/>
        </w:rPr>
        <w:t>clinical spectrum of TB and non-TB diagnoses</w:t>
      </w:r>
      <w:r w:rsidR="00297B3B">
        <w:rPr>
          <w:rFonts w:ascii="Times New Roman" w:hAnsi="Times New Roman" w:cs="Times New Roman"/>
          <w:sz w:val="24"/>
          <w:szCs w:val="24"/>
        </w:rPr>
        <w:t>, the results are likely generalizable</w:t>
      </w:r>
      <w:r w:rsidR="006E6909">
        <w:rPr>
          <w:rFonts w:ascii="Times New Roman" w:hAnsi="Times New Roman" w:cs="Times New Roman"/>
          <w:sz w:val="24"/>
          <w:szCs w:val="24"/>
        </w:rPr>
        <w:t xml:space="preserve"> across clinical practice in </w:t>
      </w:r>
      <w:r w:rsidR="006E6909" w:rsidRPr="006E6909">
        <w:rPr>
          <w:rFonts w:ascii="Times New Roman" w:hAnsi="Times New Roman" w:cs="Times New Roman"/>
          <w:sz w:val="24"/>
          <w:szCs w:val="24"/>
        </w:rPr>
        <w:t>high-income, low-incidence countries</w:t>
      </w:r>
      <w:r w:rsidR="00EC4472">
        <w:rPr>
          <w:rFonts w:ascii="Times New Roman" w:hAnsi="Times New Roman" w:cs="Times New Roman"/>
          <w:sz w:val="24"/>
          <w:szCs w:val="24"/>
        </w:rPr>
        <w:t xml:space="preserve">. </w:t>
      </w:r>
      <w:r w:rsidR="00297B3B">
        <w:rPr>
          <w:rFonts w:ascii="Times New Roman" w:hAnsi="Times New Roman" w:cs="Times New Roman"/>
          <w:sz w:val="24"/>
          <w:szCs w:val="24"/>
        </w:rPr>
        <w:t>Accordingly, i</w:t>
      </w:r>
      <w:r w:rsidR="00A5630C" w:rsidRPr="00957E32">
        <w:rPr>
          <w:rFonts w:ascii="Times New Roman" w:hAnsi="Times New Roman" w:cs="Times New Roman"/>
          <w:sz w:val="24"/>
          <w:szCs w:val="24"/>
        </w:rPr>
        <w:t xml:space="preserve">n </w:t>
      </w:r>
      <w:r w:rsidR="00154BA8">
        <w:rPr>
          <w:rFonts w:ascii="Times New Roman" w:hAnsi="Times New Roman" w:cs="Times New Roman"/>
          <w:sz w:val="24"/>
          <w:szCs w:val="24"/>
        </w:rPr>
        <w:t xml:space="preserve">clinical </w:t>
      </w:r>
      <w:r w:rsidR="00A5630C" w:rsidRPr="00957E32">
        <w:rPr>
          <w:rFonts w:ascii="Times New Roman" w:hAnsi="Times New Roman" w:cs="Times New Roman"/>
          <w:sz w:val="24"/>
          <w:szCs w:val="24"/>
        </w:rPr>
        <w:t xml:space="preserve">settings with a low-to-moderate pre-test probability of TB, such as general medical inpatient and outpatient services or primary care, </w:t>
      </w:r>
      <w:r w:rsidR="00C9141C">
        <w:rPr>
          <w:rFonts w:ascii="Times New Roman" w:hAnsi="Times New Roman" w:cs="Times New Roman"/>
          <w:sz w:val="24"/>
          <w:szCs w:val="24"/>
        </w:rPr>
        <w:t>second-generation</w:t>
      </w:r>
      <w:r w:rsidR="00A5630C" w:rsidRPr="00957E32">
        <w:rPr>
          <w:rFonts w:ascii="Times New Roman" w:hAnsi="Times New Roman" w:cs="Times New Roman"/>
          <w:sz w:val="24"/>
          <w:szCs w:val="24"/>
        </w:rPr>
        <w:t xml:space="preserve"> IGRA </w:t>
      </w:r>
      <w:r w:rsidR="006E6909">
        <w:rPr>
          <w:rFonts w:ascii="Times New Roman" w:hAnsi="Times New Roman" w:cs="Times New Roman"/>
          <w:sz w:val="24"/>
          <w:szCs w:val="24"/>
        </w:rPr>
        <w:t>ha</w:t>
      </w:r>
      <w:r w:rsidR="00560E78">
        <w:rPr>
          <w:rFonts w:ascii="Times New Roman" w:hAnsi="Times New Roman" w:cs="Times New Roman"/>
          <w:sz w:val="24"/>
          <w:szCs w:val="24"/>
        </w:rPr>
        <w:t>s</w:t>
      </w:r>
      <w:r w:rsidR="00A5630C" w:rsidRPr="00957E32">
        <w:rPr>
          <w:rFonts w:ascii="Times New Roman" w:hAnsi="Times New Roman" w:cs="Times New Roman"/>
          <w:sz w:val="24"/>
          <w:szCs w:val="24"/>
        </w:rPr>
        <w:t xml:space="preserve"> sufficiently low </w:t>
      </w:r>
      <w:r w:rsidR="007E6D33">
        <w:rPr>
          <w:rFonts w:ascii="Times New Roman" w:hAnsi="Times New Roman" w:cs="Times New Roman"/>
          <w:sz w:val="24"/>
          <w:szCs w:val="24"/>
        </w:rPr>
        <w:t>NLR</w:t>
      </w:r>
      <w:r w:rsidR="00A5630C" w:rsidRPr="00957E32">
        <w:rPr>
          <w:rFonts w:ascii="Times New Roman" w:hAnsi="Times New Roman" w:cs="Times New Roman"/>
          <w:sz w:val="24"/>
          <w:szCs w:val="24"/>
        </w:rPr>
        <w:t xml:space="preserve"> to </w:t>
      </w:r>
      <w:r w:rsidR="0051234A">
        <w:rPr>
          <w:rFonts w:ascii="Times New Roman" w:hAnsi="Times New Roman" w:cs="Times New Roman"/>
          <w:sz w:val="24"/>
          <w:szCs w:val="24"/>
        </w:rPr>
        <w:t xml:space="preserve">almost </w:t>
      </w:r>
      <w:r w:rsidR="00A5630C" w:rsidRPr="00957E32">
        <w:rPr>
          <w:rFonts w:ascii="Times New Roman" w:hAnsi="Times New Roman" w:cs="Times New Roman"/>
          <w:sz w:val="24"/>
          <w:szCs w:val="24"/>
        </w:rPr>
        <w:t xml:space="preserve">rule out TB. </w:t>
      </w:r>
      <w:r w:rsidR="00753D30">
        <w:rPr>
          <w:rFonts w:ascii="Times New Roman" w:hAnsi="Times New Roman" w:cs="Times New Roman"/>
          <w:sz w:val="24"/>
          <w:szCs w:val="24"/>
        </w:rPr>
        <w:t>For example, a</w:t>
      </w:r>
      <w:r w:rsidR="00A5630C" w:rsidRPr="00957E32">
        <w:rPr>
          <w:rFonts w:ascii="Times New Roman" w:hAnsi="Times New Roman" w:cs="Times New Roman"/>
          <w:sz w:val="24"/>
          <w:szCs w:val="24"/>
        </w:rPr>
        <w:t xml:space="preserve"> negative test result </w:t>
      </w:r>
      <w:r w:rsidR="00297B3B">
        <w:rPr>
          <w:rFonts w:ascii="Times New Roman" w:hAnsi="Times New Roman" w:cs="Times New Roman"/>
          <w:sz w:val="24"/>
          <w:szCs w:val="24"/>
        </w:rPr>
        <w:t>would</w:t>
      </w:r>
      <w:r w:rsidR="00297B3B" w:rsidRPr="00957E32">
        <w:rPr>
          <w:rFonts w:ascii="Times New Roman" w:hAnsi="Times New Roman" w:cs="Times New Roman"/>
          <w:sz w:val="24"/>
          <w:szCs w:val="24"/>
        </w:rPr>
        <w:t xml:space="preserve"> </w:t>
      </w:r>
      <w:r w:rsidR="00A5630C" w:rsidRPr="00957E32">
        <w:rPr>
          <w:rFonts w:ascii="Times New Roman" w:hAnsi="Times New Roman" w:cs="Times New Roman"/>
          <w:sz w:val="24"/>
          <w:szCs w:val="24"/>
        </w:rPr>
        <w:t>convert pre-test probabilities of 20</w:t>
      </w:r>
      <w:r w:rsidR="002703B3">
        <w:rPr>
          <w:rFonts w:ascii="Times New Roman" w:hAnsi="Times New Roman" w:cs="Times New Roman"/>
          <w:sz w:val="24"/>
          <w:szCs w:val="24"/>
        </w:rPr>
        <w:t>%</w:t>
      </w:r>
      <w:r w:rsidR="00A5630C" w:rsidRPr="00957E32">
        <w:rPr>
          <w:rFonts w:ascii="Times New Roman" w:hAnsi="Times New Roman" w:cs="Times New Roman"/>
          <w:sz w:val="24"/>
          <w:szCs w:val="24"/>
        </w:rPr>
        <w:t xml:space="preserve"> and 10% to </w:t>
      </w:r>
      <w:r w:rsidR="008E1D9D">
        <w:rPr>
          <w:rFonts w:ascii="Times New Roman" w:hAnsi="Times New Roman" w:cs="Times New Roman"/>
          <w:sz w:val="24"/>
          <w:szCs w:val="24"/>
        </w:rPr>
        <w:t xml:space="preserve">post-test probabilities </w:t>
      </w:r>
      <w:r w:rsidR="00741757">
        <w:rPr>
          <w:rFonts w:ascii="Times New Roman" w:hAnsi="Times New Roman" w:cs="Times New Roman"/>
          <w:sz w:val="24"/>
          <w:szCs w:val="24"/>
        </w:rPr>
        <w:t xml:space="preserve">of </w:t>
      </w:r>
      <w:r w:rsidR="00A5630C" w:rsidRPr="00957E32">
        <w:rPr>
          <w:rFonts w:ascii="Times New Roman" w:hAnsi="Times New Roman" w:cs="Times New Roman"/>
          <w:sz w:val="24"/>
          <w:szCs w:val="24"/>
        </w:rPr>
        <w:t>3</w:t>
      </w:r>
      <w:r w:rsidR="00983EC7">
        <w:rPr>
          <w:rFonts w:ascii="Times New Roman" w:hAnsi="Times New Roman" w:cs="Times New Roman"/>
          <w:sz w:val="24"/>
          <w:szCs w:val="24"/>
        </w:rPr>
        <w:t>.1</w:t>
      </w:r>
      <w:r w:rsidR="00A5630C" w:rsidRPr="00957E32">
        <w:rPr>
          <w:rFonts w:ascii="Times New Roman" w:hAnsi="Times New Roman" w:cs="Times New Roman"/>
          <w:sz w:val="24"/>
          <w:szCs w:val="24"/>
        </w:rPr>
        <w:t>% and 1.</w:t>
      </w:r>
      <w:r w:rsidR="00983EC7">
        <w:rPr>
          <w:rFonts w:ascii="Times New Roman" w:hAnsi="Times New Roman" w:cs="Times New Roman"/>
          <w:sz w:val="24"/>
          <w:szCs w:val="24"/>
        </w:rPr>
        <w:t>4</w:t>
      </w:r>
      <w:r w:rsidR="00A5630C" w:rsidRPr="00957E32">
        <w:rPr>
          <w:rFonts w:ascii="Times New Roman" w:hAnsi="Times New Roman" w:cs="Times New Roman"/>
          <w:sz w:val="24"/>
          <w:szCs w:val="24"/>
        </w:rPr>
        <w:t>%</w:t>
      </w:r>
      <w:r w:rsidR="00560E78">
        <w:rPr>
          <w:rFonts w:ascii="Times New Roman" w:hAnsi="Times New Roman" w:cs="Times New Roman"/>
          <w:sz w:val="24"/>
          <w:szCs w:val="24"/>
        </w:rPr>
        <w:t>,</w:t>
      </w:r>
      <w:r w:rsidR="00A5630C" w:rsidRPr="00957E32">
        <w:rPr>
          <w:rFonts w:ascii="Times New Roman" w:hAnsi="Times New Roman" w:cs="Times New Roman"/>
          <w:sz w:val="24"/>
          <w:szCs w:val="24"/>
        </w:rPr>
        <w:t xml:space="preserve"> respectively</w:t>
      </w:r>
      <w:r w:rsidR="00E3654A">
        <w:rPr>
          <w:rFonts w:ascii="Times New Roman" w:hAnsi="Times New Roman" w:cs="Times New Roman"/>
          <w:sz w:val="24"/>
          <w:szCs w:val="24"/>
        </w:rPr>
        <w:t xml:space="preserve">. This would </w:t>
      </w:r>
      <w:r w:rsidR="00856F3D" w:rsidRPr="00957E32">
        <w:rPr>
          <w:rFonts w:ascii="Times New Roman" w:hAnsi="Times New Roman" w:cs="Times New Roman"/>
          <w:sz w:val="24"/>
          <w:szCs w:val="24"/>
        </w:rPr>
        <w:t>provid</w:t>
      </w:r>
      <w:r w:rsidR="00E3654A">
        <w:rPr>
          <w:rFonts w:ascii="Times New Roman" w:hAnsi="Times New Roman" w:cs="Times New Roman"/>
          <w:sz w:val="24"/>
          <w:szCs w:val="24"/>
        </w:rPr>
        <w:t xml:space="preserve">e </w:t>
      </w:r>
      <w:r w:rsidR="00856F3D" w:rsidRPr="00957E32">
        <w:rPr>
          <w:rFonts w:ascii="Times New Roman" w:hAnsi="Times New Roman" w:cs="Times New Roman"/>
          <w:sz w:val="24"/>
          <w:szCs w:val="24"/>
        </w:rPr>
        <w:t xml:space="preserve">a useful </w:t>
      </w:r>
      <w:r w:rsidR="00562881">
        <w:rPr>
          <w:rFonts w:ascii="Times New Roman" w:hAnsi="Times New Roman" w:cs="Times New Roman"/>
          <w:sz w:val="24"/>
          <w:szCs w:val="24"/>
        </w:rPr>
        <w:t xml:space="preserve">prompt </w:t>
      </w:r>
      <w:r w:rsidR="00856F3D" w:rsidRPr="00957E32">
        <w:rPr>
          <w:rFonts w:ascii="Times New Roman" w:hAnsi="Times New Roman" w:cs="Times New Roman"/>
          <w:sz w:val="24"/>
          <w:szCs w:val="24"/>
        </w:rPr>
        <w:t xml:space="preserve">triage of patients on initial presentation, similar to the role played by </w:t>
      </w:r>
      <w:r w:rsidR="00202673" w:rsidRPr="00957E32">
        <w:rPr>
          <w:rFonts w:ascii="Times New Roman" w:hAnsi="Times New Roman" w:cs="Times New Roman"/>
          <w:sz w:val="24"/>
          <w:szCs w:val="24"/>
        </w:rPr>
        <w:t xml:space="preserve">other </w:t>
      </w:r>
      <w:r w:rsidR="00856F3D" w:rsidRPr="00957E32">
        <w:rPr>
          <w:rFonts w:ascii="Times New Roman" w:hAnsi="Times New Roman" w:cs="Times New Roman"/>
          <w:sz w:val="24"/>
          <w:szCs w:val="24"/>
        </w:rPr>
        <w:t xml:space="preserve">diagnostic tests </w:t>
      </w:r>
      <w:r w:rsidR="00202673" w:rsidRPr="00957E32">
        <w:rPr>
          <w:rFonts w:ascii="Times New Roman" w:hAnsi="Times New Roman" w:cs="Times New Roman"/>
          <w:sz w:val="24"/>
          <w:szCs w:val="24"/>
        </w:rPr>
        <w:t xml:space="preserve">of high sensitivity and limited specificity, </w:t>
      </w:r>
      <w:r w:rsidR="00856F3D" w:rsidRPr="00957E32">
        <w:rPr>
          <w:rFonts w:ascii="Times New Roman" w:hAnsi="Times New Roman" w:cs="Times New Roman"/>
          <w:sz w:val="24"/>
          <w:szCs w:val="24"/>
        </w:rPr>
        <w:t>such</w:t>
      </w:r>
      <w:r w:rsidR="00E3654A">
        <w:rPr>
          <w:rFonts w:ascii="Times New Roman" w:hAnsi="Times New Roman" w:cs="Times New Roman"/>
          <w:sz w:val="24"/>
          <w:szCs w:val="24"/>
        </w:rPr>
        <w:t xml:space="preserve"> a</w:t>
      </w:r>
      <w:r w:rsidR="00753D30">
        <w:rPr>
          <w:rFonts w:ascii="Times New Roman" w:hAnsi="Times New Roman" w:cs="Times New Roman"/>
          <w:sz w:val="24"/>
          <w:szCs w:val="24"/>
        </w:rPr>
        <w:t>s</w:t>
      </w:r>
      <w:r w:rsidR="00856F3D" w:rsidRPr="00957E32">
        <w:rPr>
          <w:rFonts w:ascii="Times New Roman" w:hAnsi="Times New Roman" w:cs="Times New Roman"/>
          <w:sz w:val="24"/>
          <w:szCs w:val="24"/>
        </w:rPr>
        <w:t xml:space="preserve"> serum D-dimer to triage patients with low-to-moderate suspicion of venous thromboembolism.</w:t>
      </w:r>
      <w:r w:rsidR="00740116">
        <w:rPr>
          <w:rFonts w:ascii="Times New Roman" w:hAnsi="Times New Roman" w:cs="Times New Roman"/>
          <w:sz w:val="24"/>
          <w:szCs w:val="24"/>
          <w:vertAlign w:val="superscript"/>
        </w:rPr>
        <w:t>21</w:t>
      </w:r>
      <w:r w:rsidR="00165D5E" w:rsidRPr="00586AC1">
        <w:rPr>
          <w:rFonts w:ascii="Times New Roman" w:hAnsi="Times New Roman" w:cs="Times New Roman"/>
          <w:sz w:val="24"/>
          <w:szCs w:val="24"/>
        </w:rPr>
        <w:t xml:space="preserve"> </w:t>
      </w:r>
      <w:r w:rsidR="004F6809">
        <w:rPr>
          <w:rFonts w:ascii="Times New Roman" w:eastAsia="Times New Roman" w:hAnsi="Times New Roman" w:cs="Times New Roman"/>
          <w:sz w:val="24"/>
          <w:szCs w:val="24"/>
        </w:rPr>
        <w:t xml:space="preserve">To our knowledge, </w:t>
      </w:r>
      <w:r w:rsidR="00165D5E" w:rsidRPr="00586AC1">
        <w:rPr>
          <w:rFonts w:ascii="Times New Roman" w:eastAsia="Times New Roman" w:hAnsi="Times New Roman" w:cs="Times New Roman"/>
          <w:sz w:val="24"/>
          <w:szCs w:val="24"/>
        </w:rPr>
        <w:t>other currently-available test</w:t>
      </w:r>
      <w:r w:rsidR="001015A9">
        <w:rPr>
          <w:rFonts w:ascii="Times New Roman" w:eastAsia="Times New Roman" w:hAnsi="Times New Roman" w:cs="Times New Roman"/>
          <w:sz w:val="24"/>
          <w:szCs w:val="24"/>
        </w:rPr>
        <w:t>s</w:t>
      </w:r>
      <w:r w:rsidR="00165D5E" w:rsidRPr="00586AC1">
        <w:rPr>
          <w:rFonts w:ascii="Times New Roman" w:eastAsia="Times New Roman" w:hAnsi="Times New Roman" w:cs="Times New Roman"/>
          <w:sz w:val="24"/>
          <w:szCs w:val="24"/>
        </w:rPr>
        <w:t xml:space="preserve"> for TB </w:t>
      </w:r>
      <w:r w:rsidR="001015A9">
        <w:rPr>
          <w:rFonts w:ascii="Times New Roman" w:eastAsia="Times New Roman" w:hAnsi="Times New Roman" w:cs="Times New Roman"/>
          <w:sz w:val="24"/>
          <w:szCs w:val="24"/>
        </w:rPr>
        <w:t>lack</w:t>
      </w:r>
      <w:r w:rsidR="001015A9" w:rsidRPr="00586AC1">
        <w:rPr>
          <w:rFonts w:ascii="Times New Roman" w:eastAsia="Times New Roman" w:hAnsi="Times New Roman" w:cs="Times New Roman"/>
          <w:sz w:val="24"/>
          <w:szCs w:val="24"/>
        </w:rPr>
        <w:t xml:space="preserve"> </w:t>
      </w:r>
      <w:r w:rsidR="00165D5E" w:rsidRPr="00586AC1">
        <w:rPr>
          <w:rFonts w:ascii="Times New Roman" w:eastAsia="Times New Roman" w:hAnsi="Times New Roman" w:cs="Times New Roman"/>
          <w:sz w:val="24"/>
          <w:szCs w:val="24"/>
        </w:rPr>
        <w:t xml:space="preserve">required diagnostic </w:t>
      </w:r>
      <w:r w:rsidR="008C5A32">
        <w:rPr>
          <w:rFonts w:ascii="Times New Roman" w:eastAsia="Times New Roman" w:hAnsi="Times New Roman" w:cs="Times New Roman"/>
          <w:sz w:val="24"/>
          <w:szCs w:val="24"/>
        </w:rPr>
        <w:t>sensitivity</w:t>
      </w:r>
      <w:r w:rsidR="008C5A32" w:rsidRPr="00586AC1">
        <w:rPr>
          <w:rFonts w:ascii="Times New Roman" w:eastAsia="Times New Roman" w:hAnsi="Times New Roman" w:cs="Times New Roman"/>
          <w:sz w:val="24"/>
          <w:szCs w:val="24"/>
        </w:rPr>
        <w:t xml:space="preserve"> </w:t>
      </w:r>
      <w:r w:rsidR="00165D5E" w:rsidRPr="00586AC1">
        <w:rPr>
          <w:rFonts w:ascii="Times New Roman" w:eastAsia="Times New Roman" w:hAnsi="Times New Roman" w:cs="Times New Roman"/>
          <w:sz w:val="24"/>
          <w:szCs w:val="24"/>
        </w:rPr>
        <w:t xml:space="preserve">to fulfil this role. Although </w:t>
      </w:r>
      <w:proofErr w:type="spellStart"/>
      <w:r w:rsidR="008674BB" w:rsidRPr="004D4BE0">
        <w:rPr>
          <w:rFonts w:ascii="Times New Roman" w:hAnsi="Times New Roman" w:cs="Times New Roman"/>
          <w:sz w:val="24"/>
          <w:szCs w:val="24"/>
          <w:lang w:val="en"/>
        </w:rPr>
        <w:t>Xpert</w:t>
      </w:r>
      <w:proofErr w:type="spellEnd"/>
      <w:r w:rsidR="008674BB" w:rsidRPr="004D4BE0">
        <w:rPr>
          <w:rFonts w:ascii="Times New Roman" w:hAnsi="Times New Roman" w:cs="Times New Roman"/>
          <w:sz w:val="24"/>
          <w:szCs w:val="24"/>
          <w:lang w:val="en"/>
        </w:rPr>
        <w:t xml:space="preserve"> MTB/RIF</w:t>
      </w:r>
      <w:r w:rsidR="004F6809">
        <w:rPr>
          <w:rFonts w:ascii="Times New Roman" w:hAnsi="Times New Roman" w:cs="Times New Roman"/>
          <w:sz w:val="24"/>
          <w:szCs w:val="24"/>
          <w:lang w:val="en"/>
        </w:rPr>
        <w:t xml:space="preserve"> </w:t>
      </w:r>
      <w:r w:rsidR="008674BB" w:rsidRPr="004D4BE0">
        <w:rPr>
          <w:rFonts w:ascii="Times New Roman" w:hAnsi="Times New Roman" w:cs="Times New Roman"/>
          <w:sz w:val="24"/>
          <w:szCs w:val="24"/>
          <w:lang w:val="en"/>
        </w:rPr>
        <w:t>Ultra</w:t>
      </w:r>
      <w:r w:rsidR="00165D5E" w:rsidRPr="00586AC1">
        <w:rPr>
          <w:rFonts w:ascii="Times New Roman" w:eastAsia="Times New Roman" w:hAnsi="Times New Roman" w:cs="Times New Roman"/>
          <w:sz w:val="24"/>
          <w:szCs w:val="24"/>
        </w:rPr>
        <w:t xml:space="preserve"> has shown </w:t>
      </w:r>
      <w:r w:rsidR="005120E5">
        <w:rPr>
          <w:rFonts w:ascii="Times New Roman" w:eastAsia="Times New Roman" w:hAnsi="Times New Roman" w:cs="Times New Roman"/>
          <w:sz w:val="24"/>
          <w:szCs w:val="24"/>
        </w:rPr>
        <w:t xml:space="preserve">diagnostic </w:t>
      </w:r>
      <w:r w:rsidR="00165D5E" w:rsidRPr="00586AC1">
        <w:rPr>
          <w:rFonts w:ascii="Times New Roman" w:eastAsia="Times New Roman" w:hAnsi="Times New Roman" w:cs="Times New Roman"/>
          <w:sz w:val="24"/>
          <w:szCs w:val="24"/>
        </w:rPr>
        <w:t>sensitivity of 88%, its sensitivity in smear</w:t>
      </w:r>
      <w:r w:rsidR="008674BB">
        <w:rPr>
          <w:rFonts w:ascii="Times New Roman" w:eastAsia="Times New Roman" w:hAnsi="Times New Roman" w:cs="Times New Roman"/>
          <w:sz w:val="24"/>
          <w:szCs w:val="24"/>
        </w:rPr>
        <w:t>-</w:t>
      </w:r>
      <w:r w:rsidR="00165D5E" w:rsidRPr="00586AC1">
        <w:rPr>
          <w:rFonts w:ascii="Times New Roman" w:eastAsia="Times New Roman" w:hAnsi="Times New Roman" w:cs="Times New Roman"/>
          <w:sz w:val="24"/>
          <w:szCs w:val="24"/>
        </w:rPr>
        <w:t>negative, culture-positive TB is only 63%</w:t>
      </w:r>
      <w:r w:rsidR="00740116">
        <w:rPr>
          <w:rFonts w:ascii="Times New Roman" w:eastAsia="Times New Roman" w:hAnsi="Times New Roman" w:cs="Times New Roman"/>
          <w:sz w:val="24"/>
          <w:szCs w:val="24"/>
          <w:vertAlign w:val="superscript"/>
        </w:rPr>
        <w:t>3</w:t>
      </w:r>
      <w:r w:rsidR="00AF2A34">
        <w:rPr>
          <w:rFonts w:ascii="Times New Roman" w:eastAsia="Times New Roman" w:hAnsi="Times New Roman" w:cs="Times New Roman"/>
          <w:sz w:val="24"/>
          <w:szCs w:val="24"/>
          <w:vertAlign w:val="superscript"/>
        </w:rPr>
        <w:t xml:space="preserve"> </w:t>
      </w:r>
      <w:r w:rsidR="00AF2A34">
        <w:rPr>
          <w:rFonts w:ascii="Times New Roman" w:eastAsia="Times New Roman" w:hAnsi="Times New Roman" w:cs="Times New Roman"/>
          <w:sz w:val="24"/>
          <w:szCs w:val="24"/>
        </w:rPr>
        <w:t xml:space="preserve">(and sensitivity </w:t>
      </w:r>
      <w:r w:rsidR="009367FF">
        <w:rPr>
          <w:rFonts w:ascii="Times New Roman" w:eastAsia="Times New Roman" w:hAnsi="Times New Roman" w:cs="Times New Roman"/>
          <w:sz w:val="24"/>
          <w:szCs w:val="24"/>
        </w:rPr>
        <w:t xml:space="preserve">of </w:t>
      </w:r>
      <w:proofErr w:type="spellStart"/>
      <w:r w:rsidR="00AF2A34">
        <w:rPr>
          <w:rFonts w:ascii="Times New Roman" w:eastAsia="Times New Roman" w:hAnsi="Times New Roman" w:cs="Times New Roman"/>
          <w:sz w:val="24"/>
          <w:szCs w:val="24"/>
        </w:rPr>
        <w:t>Xpert</w:t>
      </w:r>
      <w:proofErr w:type="spellEnd"/>
      <w:r w:rsidR="00AF2A34">
        <w:rPr>
          <w:rFonts w:ascii="Times New Roman" w:eastAsia="Times New Roman" w:hAnsi="Times New Roman" w:cs="Times New Roman"/>
          <w:sz w:val="24"/>
          <w:szCs w:val="24"/>
        </w:rPr>
        <w:t xml:space="preserve"> even lower</w:t>
      </w:r>
      <w:r w:rsidR="00740116">
        <w:rPr>
          <w:rFonts w:ascii="Times New Roman" w:eastAsia="Times New Roman" w:hAnsi="Times New Roman" w:cs="Times New Roman"/>
          <w:sz w:val="24"/>
          <w:szCs w:val="24"/>
          <w:vertAlign w:val="superscript"/>
        </w:rPr>
        <w:t>4</w:t>
      </w:r>
      <w:r w:rsidR="00AF2A34">
        <w:rPr>
          <w:rFonts w:ascii="Times New Roman" w:eastAsia="Times New Roman" w:hAnsi="Times New Roman" w:cs="Times New Roman"/>
          <w:sz w:val="24"/>
          <w:szCs w:val="24"/>
        </w:rPr>
        <w:t>)</w:t>
      </w:r>
      <w:r w:rsidR="00A329B8">
        <w:rPr>
          <w:rFonts w:ascii="Times New Roman" w:eastAsia="Times New Roman" w:hAnsi="Times New Roman" w:cs="Times New Roman"/>
          <w:sz w:val="24"/>
          <w:szCs w:val="24"/>
        </w:rPr>
        <w:t xml:space="preserve">, </w:t>
      </w:r>
      <w:r w:rsidR="004F6809">
        <w:rPr>
          <w:rFonts w:ascii="Times New Roman" w:eastAsia="Times New Roman" w:hAnsi="Times New Roman" w:cs="Times New Roman"/>
          <w:sz w:val="24"/>
          <w:szCs w:val="24"/>
        </w:rPr>
        <w:t xml:space="preserve">compared to </w:t>
      </w:r>
      <w:r w:rsidR="004F6809" w:rsidRPr="004F6809">
        <w:rPr>
          <w:rFonts w:ascii="Times New Roman" w:eastAsia="Times New Roman" w:hAnsi="Times New Roman" w:cs="Times New Roman"/>
          <w:sz w:val="24"/>
          <w:szCs w:val="24"/>
        </w:rPr>
        <w:t>93.8% (CI 88.6%-96.7%)</w:t>
      </w:r>
      <w:r w:rsidR="004F6809">
        <w:rPr>
          <w:rFonts w:ascii="Times New Roman" w:eastAsia="Times New Roman" w:hAnsi="Times New Roman" w:cs="Times New Roman"/>
          <w:sz w:val="24"/>
          <w:szCs w:val="24"/>
        </w:rPr>
        <w:t xml:space="preserve"> for </w:t>
      </w:r>
      <w:r w:rsidR="00C9141C">
        <w:rPr>
          <w:rFonts w:ascii="Times New Roman" w:eastAsia="Times New Roman" w:hAnsi="Times New Roman" w:cs="Times New Roman"/>
          <w:sz w:val="24"/>
          <w:szCs w:val="24"/>
        </w:rPr>
        <w:t>second-generation</w:t>
      </w:r>
      <w:r w:rsidR="004F6809">
        <w:rPr>
          <w:rFonts w:ascii="Times New Roman" w:eastAsia="Times New Roman" w:hAnsi="Times New Roman" w:cs="Times New Roman"/>
          <w:sz w:val="24"/>
          <w:szCs w:val="24"/>
        </w:rPr>
        <w:t xml:space="preserve"> IGRA in this </w:t>
      </w:r>
      <w:r w:rsidR="001015A9">
        <w:rPr>
          <w:rFonts w:ascii="Times New Roman" w:eastAsia="Times New Roman" w:hAnsi="Times New Roman" w:cs="Times New Roman"/>
          <w:sz w:val="24"/>
          <w:szCs w:val="24"/>
        </w:rPr>
        <w:t xml:space="preserve">diagnostically </w:t>
      </w:r>
      <w:r w:rsidR="001015A9">
        <w:rPr>
          <w:rFonts w:ascii="Times New Roman" w:eastAsia="Times New Roman" w:hAnsi="Times New Roman" w:cs="Times New Roman"/>
          <w:sz w:val="24"/>
          <w:szCs w:val="24"/>
        </w:rPr>
        <w:lastRenderedPageBreak/>
        <w:t>challenging</w:t>
      </w:r>
      <w:r w:rsidR="004F6809">
        <w:rPr>
          <w:rFonts w:ascii="Times New Roman" w:eastAsia="Times New Roman" w:hAnsi="Times New Roman" w:cs="Times New Roman"/>
          <w:sz w:val="24"/>
          <w:szCs w:val="24"/>
        </w:rPr>
        <w:t xml:space="preserve"> </w:t>
      </w:r>
      <w:r w:rsidR="001015A9">
        <w:rPr>
          <w:rFonts w:ascii="Times New Roman" w:eastAsia="Times New Roman" w:hAnsi="Times New Roman" w:cs="Times New Roman"/>
          <w:sz w:val="24"/>
          <w:szCs w:val="24"/>
        </w:rPr>
        <w:t>sub</w:t>
      </w:r>
      <w:r w:rsidR="004F6809">
        <w:rPr>
          <w:rFonts w:ascii="Times New Roman" w:eastAsia="Times New Roman" w:hAnsi="Times New Roman" w:cs="Times New Roman"/>
          <w:sz w:val="24"/>
          <w:szCs w:val="24"/>
        </w:rPr>
        <w:t>group</w:t>
      </w:r>
      <w:r w:rsidR="001015A9">
        <w:rPr>
          <w:rFonts w:ascii="Times New Roman" w:eastAsia="Times New Roman" w:hAnsi="Times New Roman" w:cs="Times New Roman"/>
          <w:sz w:val="24"/>
          <w:szCs w:val="24"/>
        </w:rPr>
        <w:t xml:space="preserve"> who frequently have paucibacillary disease</w:t>
      </w:r>
      <w:r w:rsidR="004F6809">
        <w:rPr>
          <w:rFonts w:ascii="Times New Roman" w:eastAsia="Times New Roman" w:hAnsi="Times New Roman" w:cs="Times New Roman"/>
          <w:sz w:val="24"/>
          <w:szCs w:val="24"/>
        </w:rPr>
        <w:t>.</w:t>
      </w:r>
      <w:r w:rsidR="008C5A32">
        <w:rPr>
          <w:rFonts w:ascii="Times New Roman" w:eastAsia="Times New Roman" w:hAnsi="Times New Roman" w:cs="Times New Roman"/>
          <w:sz w:val="24"/>
          <w:szCs w:val="24"/>
        </w:rPr>
        <w:t xml:space="preserve"> </w:t>
      </w:r>
      <w:r w:rsidR="001015A9">
        <w:rPr>
          <w:rFonts w:ascii="Times New Roman" w:eastAsia="Times New Roman" w:hAnsi="Times New Roman" w:cs="Times New Roman"/>
          <w:sz w:val="24"/>
          <w:szCs w:val="24"/>
        </w:rPr>
        <w:t>However, t</w:t>
      </w:r>
      <w:r w:rsidR="008C5A32">
        <w:rPr>
          <w:rFonts w:ascii="Times New Roman" w:eastAsia="Times New Roman" w:hAnsi="Times New Roman" w:cs="Times New Roman"/>
          <w:sz w:val="24"/>
          <w:szCs w:val="24"/>
        </w:rPr>
        <w:t>he very high specificity of molecular tests such as</w:t>
      </w:r>
      <w:r w:rsidR="001015A9">
        <w:rPr>
          <w:rFonts w:ascii="Times New Roman" w:eastAsia="Times New Roman" w:hAnsi="Times New Roman" w:cs="Times New Roman"/>
          <w:sz w:val="24"/>
          <w:szCs w:val="24"/>
        </w:rPr>
        <w:t xml:space="preserve"> </w:t>
      </w:r>
      <w:proofErr w:type="spellStart"/>
      <w:r w:rsidR="001015A9">
        <w:rPr>
          <w:rFonts w:ascii="Times New Roman" w:eastAsia="Times New Roman" w:hAnsi="Times New Roman" w:cs="Times New Roman"/>
          <w:sz w:val="24"/>
          <w:szCs w:val="24"/>
        </w:rPr>
        <w:t>Xpert</w:t>
      </w:r>
      <w:proofErr w:type="spellEnd"/>
      <w:r w:rsidR="001015A9">
        <w:rPr>
          <w:rFonts w:ascii="Times New Roman" w:eastAsia="Times New Roman" w:hAnsi="Times New Roman" w:cs="Times New Roman"/>
          <w:sz w:val="24"/>
          <w:szCs w:val="24"/>
        </w:rPr>
        <w:t xml:space="preserve"> </w:t>
      </w:r>
      <w:r w:rsidR="005120E5">
        <w:rPr>
          <w:rFonts w:ascii="Times New Roman" w:eastAsia="Times New Roman" w:hAnsi="Times New Roman" w:cs="Times New Roman"/>
          <w:sz w:val="24"/>
          <w:szCs w:val="24"/>
        </w:rPr>
        <w:t>provides</w:t>
      </w:r>
      <w:r w:rsidR="001015A9">
        <w:rPr>
          <w:rFonts w:ascii="Times New Roman" w:eastAsia="Times New Roman" w:hAnsi="Times New Roman" w:cs="Times New Roman"/>
          <w:sz w:val="24"/>
          <w:szCs w:val="24"/>
        </w:rPr>
        <w:t xml:space="preserve"> high </w:t>
      </w:r>
      <w:r w:rsidR="00B872D2">
        <w:rPr>
          <w:rFonts w:ascii="Times New Roman" w:eastAsia="Times New Roman" w:hAnsi="Times New Roman" w:cs="Times New Roman"/>
          <w:sz w:val="24"/>
          <w:szCs w:val="24"/>
        </w:rPr>
        <w:t>PPV</w:t>
      </w:r>
      <w:r w:rsidR="00C34816">
        <w:rPr>
          <w:rFonts w:ascii="Times New Roman" w:eastAsia="Times New Roman" w:hAnsi="Times New Roman" w:cs="Times New Roman"/>
          <w:sz w:val="24"/>
          <w:szCs w:val="24"/>
        </w:rPr>
        <w:t>,</w:t>
      </w:r>
      <w:r w:rsidR="001015A9">
        <w:rPr>
          <w:rFonts w:ascii="Times New Roman" w:eastAsia="Times New Roman" w:hAnsi="Times New Roman" w:cs="Times New Roman"/>
          <w:sz w:val="24"/>
          <w:szCs w:val="24"/>
        </w:rPr>
        <w:t xml:space="preserve"> </w:t>
      </w:r>
      <w:r w:rsidR="005120E5">
        <w:rPr>
          <w:rFonts w:ascii="Times New Roman" w:eastAsia="Times New Roman" w:hAnsi="Times New Roman" w:cs="Times New Roman"/>
          <w:sz w:val="24"/>
          <w:szCs w:val="24"/>
        </w:rPr>
        <w:t>enabling rule-</w:t>
      </w:r>
      <w:r w:rsidR="001015A9">
        <w:rPr>
          <w:rFonts w:ascii="Times New Roman" w:eastAsia="Times New Roman" w:hAnsi="Times New Roman" w:cs="Times New Roman"/>
          <w:sz w:val="24"/>
          <w:szCs w:val="24"/>
        </w:rPr>
        <w:t xml:space="preserve">in of active TB. </w:t>
      </w:r>
      <w:r w:rsidR="00C9141C">
        <w:rPr>
          <w:rFonts w:ascii="Times New Roman" w:eastAsia="Times New Roman" w:hAnsi="Times New Roman" w:cs="Times New Roman"/>
          <w:sz w:val="24"/>
          <w:szCs w:val="24"/>
        </w:rPr>
        <w:t>Second-generation</w:t>
      </w:r>
      <w:r w:rsidR="001015A9">
        <w:rPr>
          <w:rFonts w:ascii="Times New Roman" w:eastAsia="Times New Roman" w:hAnsi="Times New Roman" w:cs="Times New Roman"/>
          <w:sz w:val="24"/>
          <w:szCs w:val="24"/>
        </w:rPr>
        <w:t xml:space="preserve"> IGRA may thus play a complementary role to</w:t>
      </w:r>
      <w:r w:rsidR="005120E5">
        <w:rPr>
          <w:rFonts w:ascii="Times New Roman" w:eastAsia="Times New Roman" w:hAnsi="Times New Roman" w:cs="Times New Roman"/>
          <w:sz w:val="24"/>
          <w:szCs w:val="24"/>
        </w:rPr>
        <w:t xml:space="preserve"> </w:t>
      </w:r>
      <w:r w:rsidR="001015A9">
        <w:rPr>
          <w:rFonts w:ascii="Times New Roman" w:eastAsia="Times New Roman" w:hAnsi="Times New Roman" w:cs="Times New Roman"/>
          <w:sz w:val="24"/>
          <w:szCs w:val="24"/>
        </w:rPr>
        <w:t xml:space="preserve">rapid molecular tests in the diagnostic work-up of suspected TB. </w:t>
      </w:r>
    </w:p>
    <w:p w14:paraId="551501BF" w14:textId="45698BF3" w:rsidR="00AE72D2" w:rsidRDefault="009D1AE1" w:rsidP="009C2BA9">
      <w:pPr>
        <w:spacing w:after="0" w:line="480" w:lineRule="auto"/>
        <w:jc w:val="both"/>
        <w:rPr>
          <w:rFonts w:ascii="Times New Roman" w:hAnsi="Times New Roman" w:cs="Times New Roman"/>
          <w:sz w:val="24"/>
          <w:szCs w:val="24"/>
        </w:rPr>
      </w:pPr>
      <w:r w:rsidRPr="00957E32">
        <w:rPr>
          <w:rFonts w:ascii="Times New Roman" w:hAnsi="Times New Roman" w:cs="Times New Roman"/>
          <w:sz w:val="24"/>
          <w:szCs w:val="24"/>
        </w:rPr>
        <w:t>Given that IGRAs are the standard-of-care for detecting LTB</w:t>
      </w:r>
      <w:r w:rsidR="009723B6">
        <w:rPr>
          <w:rFonts w:ascii="Times New Roman" w:hAnsi="Times New Roman" w:cs="Times New Roman"/>
          <w:sz w:val="24"/>
          <w:szCs w:val="24"/>
        </w:rPr>
        <w:t>I</w:t>
      </w:r>
      <w:r w:rsidRPr="00957E32">
        <w:rPr>
          <w:rFonts w:ascii="Times New Roman" w:hAnsi="Times New Roman" w:cs="Times New Roman"/>
          <w:sz w:val="24"/>
          <w:szCs w:val="24"/>
        </w:rPr>
        <w:t>,</w:t>
      </w:r>
      <w:r w:rsidR="00740116">
        <w:rPr>
          <w:rFonts w:ascii="Times New Roman" w:hAnsi="Times New Roman" w:cs="Times New Roman"/>
          <w:sz w:val="24"/>
          <w:szCs w:val="24"/>
          <w:vertAlign w:val="superscript"/>
        </w:rPr>
        <w:t>10</w:t>
      </w:r>
      <w:r w:rsidR="003F6BA0">
        <w:rPr>
          <w:rFonts w:ascii="Times New Roman" w:hAnsi="Times New Roman" w:cs="Times New Roman"/>
          <w:sz w:val="24"/>
          <w:szCs w:val="24"/>
          <w:vertAlign w:val="superscript"/>
        </w:rPr>
        <w:t>,</w:t>
      </w:r>
      <w:r w:rsidR="00740116">
        <w:rPr>
          <w:rFonts w:ascii="Times New Roman" w:hAnsi="Times New Roman" w:cs="Times New Roman"/>
          <w:sz w:val="24"/>
          <w:szCs w:val="24"/>
          <w:vertAlign w:val="superscript"/>
        </w:rPr>
        <w:t>11</w:t>
      </w:r>
      <w:r w:rsidR="009723B6" w:rsidRPr="00957E32">
        <w:rPr>
          <w:rFonts w:ascii="Times New Roman" w:hAnsi="Times New Roman" w:cs="Times New Roman"/>
          <w:sz w:val="24"/>
          <w:szCs w:val="24"/>
        </w:rPr>
        <w:t xml:space="preserve"> </w:t>
      </w:r>
      <w:r w:rsidRPr="00957E32">
        <w:rPr>
          <w:rFonts w:ascii="Times New Roman" w:hAnsi="Times New Roman" w:cs="Times New Roman"/>
          <w:sz w:val="24"/>
          <w:szCs w:val="24"/>
        </w:rPr>
        <w:t xml:space="preserve">they will inevitably </w:t>
      </w:r>
      <w:r w:rsidR="00F047F0">
        <w:rPr>
          <w:rFonts w:ascii="Times New Roman" w:hAnsi="Times New Roman" w:cs="Times New Roman"/>
          <w:sz w:val="24"/>
          <w:szCs w:val="24"/>
        </w:rPr>
        <w:t>identify</w:t>
      </w:r>
      <w:r w:rsidRPr="00957E32">
        <w:rPr>
          <w:rFonts w:ascii="Times New Roman" w:hAnsi="Times New Roman" w:cs="Times New Roman"/>
          <w:sz w:val="24"/>
          <w:szCs w:val="24"/>
        </w:rPr>
        <w:t xml:space="preserve"> LTBI</w:t>
      </w:r>
      <w:r w:rsidR="0021622A">
        <w:rPr>
          <w:rFonts w:ascii="Times New Roman" w:hAnsi="Times New Roman" w:cs="Times New Roman"/>
          <w:sz w:val="24"/>
          <w:szCs w:val="24"/>
        </w:rPr>
        <w:t xml:space="preserve"> in</w:t>
      </w:r>
      <w:r w:rsidRPr="00957E32">
        <w:rPr>
          <w:rFonts w:ascii="Times New Roman" w:hAnsi="Times New Roman" w:cs="Times New Roman"/>
          <w:sz w:val="24"/>
          <w:szCs w:val="24"/>
        </w:rPr>
        <w:t xml:space="preserve"> </w:t>
      </w:r>
      <w:r w:rsidR="00862949">
        <w:rPr>
          <w:rFonts w:ascii="Times New Roman" w:hAnsi="Times New Roman" w:cs="Times New Roman"/>
          <w:sz w:val="24"/>
          <w:szCs w:val="24"/>
        </w:rPr>
        <w:t>cases where</w:t>
      </w:r>
      <w:r w:rsidRPr="00957E32">
        <w:rPr>
          <w:rFonts w:ascii="Times New Roman" w:hAnsi="Times New Roman" w:cs="Times New Roman"/>
          <w:sz w:val="24"/>
          <w:szCs w:val="24"/>
        </w:rPr>
        <w:t xml:space="preserve"> active TB has been excluded. Because most </w:t>
      </w:r>
      <w:r w:rsidR="00753D30">
        <w:rPr>
          <w:rFonts w:ascii="Times New Roman" w:hAnsi="Times New Roman" w:cs="Times New Roman"/>
          <w:sz w:val="24"/>
          <w:szCs w:val="24"/>
        </w:rPr>
        <w:t>people with possible TB</w:t>
      </w:r>
      <w:r w:rsidRPr="00957E32">
        <w:rPr>
          <w:rFonts w:ascii="Times New Roman" w:hAnsi="Times New Roman" w:cs="Times New Roman"/>
          <w:sz w:val="24"/>
          <w:szCs w:val="24"/>
        </w:rPr>
        <w:t xml:space="preserve"> in low-burden countries are from ethnic groups with a high prevalence of LTBI,</w:t>
      </w:r>
      <w:r w:rsidR="00165D5E">
        <w:rPr>
          <w:rFonts w:ascii="Times New Roman" w:hAnsi="Times New Roman" w:cs="Times New Roman"/>
          <w:sz w:val="24"/>
          <w:szCs w:val="24"/>
          <w:vertAlign w:val="superscript"/>
        </w:rPr>
        <w:t>2</w:t>
      </w:r>
      <w:r w:rsidR="00200C5F">
        <w:rPr>
          <w:rFonts w:ascii="Times New Roman" w:hAnsi="Times New Roman" w:cs="Times New Roman"/>
          <w:sz w:val="24"/>
          <w:szCs w:val="24"/>
          <w:vertAlign w:val="superscript"/>
        </w:rPr>
        <w:t>2</w:t>
      </w:r>
      <w:r w:rsidRPr="00957E32">
        <w:rPr>
          <w:rFonts w:ascii="Times New Roman" w:hAnsi="Times New Roman" w:cs="Times New Roman"/>
          <w:sz w:val="24"/>
          <w:szCs w:val="24"/>
        </w:rPr>
        <w:t xml:space="preserve"> as in our study, </w:t>
      </w:r>
      <w:r w:rsidR="00FE02BC" w:rsidRPr="00957E32">
        <w:rPr>
          <w:rFonts w:ascii="Times New Roman" w:hAnsi="Times New Roman" w:cs="Times New Roman"/>
          <w:sz w:val="24"/>
          <w:szCs w:val="24"/>
        </w:rPr>
        <w:t>the diagnostic specificity for active TB is low for all IGRAs</w:t>
      </w:r>
      <w:r w:rsidR="00562881">
        <w:rPr>
          <w:rFonts w:ascii="Times New Roman" w:hAnsi="Times New Roman" w:cs="Times New Roman"/>
          <w:sz w:val="24"/>
          <w:szCs w:val="24"/>
        </w:rPr>
        <w:t>, and would be lower still in high-burden countries</w:t>
      </w:r>
      <w:r w:rsidR="00FE02BC" w:rsidRPr="00957E32">
        <w:rPr>
          <w:rFonts w:ascii="Times New Roman" w:hAnsi="Times New Roman" w:cs="Times New Roman"/>
          <w:sz w:val="24"/>
          <w:szCs w:val="24"/>
        </w:rPr>
        <w:t>.</w:t>
      </w:r>
      <w:r w:rsidRPr="00957E32">
        <w:rPr>
          <w:rFonts w:ascii="Times New Roman" w:hAnsi="Times New Roman" w:cs="Times New Roman"/>
          <w:sz w:val="24"/>
          <w:szCs w:val="24"/>
        </w:rPr>
        <w:t xml:space="preserve"> The enhanced diagnostic sensitivity of the </w:t>
      </w:r>
      <w:r w:rsidR="00C9141C">
        <w:rPr>
          <w:rFonts w:ascii="Times New Roman" w:hAnsi="Times New Roman" w:cs="Times New Roman"/>
          <w:sz w:val="24"/>
          <w:szCs w:val="24"/>
        </w:rPr>
        <w:t>second-generation</w:t>
      </w:r>
      <w:r w:rsidRPr="00957E32">
        <w:rPr>
          <w:rFonts w:ascii="Times New Roman" w:hAnsi="Times New Roman" w:cs="Times New Roman"/>
          <w:sz w:val="24"/>
          <w:szCs w:val="24"/>
        </w:rPr>
        <w:t xml:space="preserve"> IGRA was accompanied by </w:t>
      </w:r>
      <w:r w:rsidR="00C03D86">
        <w:rPr>
          <w:rFonts w:ascii="Times New Roman" w:hAnsi="Times New Roman" w:cs="Times New Roman"/>
          <w:sz w:val="24"/>
          <w:szCs w:val="24"/>
        </w:rPr>
        <w:t xml:space="preserve">only </w:t>
      </w:r>
      <w:r w:rsidRPr="00957E32">
        <w:rPr>
          <w:rFonts w:ascii="Times New Roman" w:hAnsi="Times New Roman" w:cs="Times New Roman"/>
          <w:sz w:val="24"/>
          <w:szCs w:val="24"/>
        </w:rPr>
        <w:t xml:space="preserve">a modest </w:t>
      </w:r>
      <w:r w:rsidR="00FE02BC" w:rsidRPr="00957E32">
        <w:rPr>
          <w:rFonts w:ascii="Times New Roman" w:hAnsi="Times New Roman" w:cs="Times New Roman"/>
          <w:sz w:val="24"/>
          <w:szCs w:val="24"/>
        </w:rPr>
        <w:t>reduction</w:t>
      </w:r>
      <w:r w:rsidRPr="00957E32">
        <w:rPr>
          <w:rFonts w:ascii="Times New Roman" w:hAnsi="Times New Roman" w:cs="Times New Roman"/>
          <w:sz w:val="24"/>
          <w:szCs w:val="24"/>
        </w:rPr>
        <w:t xml:space="preserve"> in specificity to </w:t>
      </w:r>
      <w:r w:rsidR="00FE02BC" w:rsidRPr="00957E32">
        <w:rPr>
          <w:rFonts w:ascii="Times New Roman" w:hAnsi="Times New Roman" w:cs="Times New Roman"/>
          <w:sz w:val="24"/>
          <w:szCs w:val="24"/>
        </w:rPr>
        <w:t xml:space="preserve">80%, </w:t>
      </w:r>
      <w:r w:rsidRPr="00957E32">
        <w:rPr>
          <w:rFonts w:ascii="Times New Roman" w:hAnsi="Times New Roman" w:cs="Times New Roman"/>
          <w:sz w:val="24"/>
          <w:szCs w:val="24"/>
        </w:rPr>
        <w:t>similar to QFT-GIT</w:t>
      </w:r>
      <w:r w:rsidR="00FE02BC" w:rsidRPr="00957E32">
        <w:rPr>
          <w:rFonts w:ascii="Times New Roman" w:hAnsi="Times New Roman" w:cs="Times New Roman"/>
          <w:sz w:val="24"/>
          <w:szCs w:val="24"/>
        </w:rPr>
        <w:t xml:space="preserve">. Our study </w:t>
      </w:r>
      <w:r w:rsidR="00643587" w:rsidRPr="00957E32">
        <w:rPr>
          <w:rFonts w:ascii="Times New Roman" w:hAnsi="Times New Roman" w:cs="Times New Roman"/>
          <w:sz w:val="24"/>
          <w:szCs w:val="24"/>
        </w:rPr>
        <w:t>confirms</w:t>
      </w:r>
      <w:r w:rsidR="00FE02BC" w:rsidRPr="00957E32">
        <w:rPr>
          <w:rFonts w:ascii="Times New Roman" w:hAnsi="Times New Roman" w:cs="Times New Roman"/>
          <w:sz w:val="24"/>
          <w:szCs w:val="24"/>
        </w:rPr>
        <w:t xml:space="preserve"> that the low specificity </w:t>
      </w:r>
      <w:r w:rsidR="00355667">
        <w:rPr>
          <w:rFonts w:ascii="Times New Roman" w:hAnsi="Times New Roman" w:cs="Times New Roman"/>
          <w:sz w:val="24"/>
          <w:szCs w:val="24"/>
        </w:rPr>
        <w:t xml:space="preserve">and </w:t>
      </w:r>
      <w:r w:rsidR="007E6D33">
        <w:rPr>
          <w:rFonts w:ascii="Times New Roman" w:hAnsi="Times New Roman" w:cs="Times New Roman"/>
          <w:sz w:val="24"/>
          <w:szCs w:val="24"/>
        </w:rPr>
        <w:t>PLR</w:t>
      </w:r>
      <w:r w:rsidR="00355667">
        <w:rPr>
          <w:rFonts w:ascii="Times New Roman" w:hAnsi="Times New Roman" w:cs="Times New Roman"/>
          <w:sz w:val="24"/>
          <w:szCs w:val="24"/>
        </w:rPr>
        <w:t xml:space="preserve"> </w:t>
      </w:r>
      <w:r w:rsidR="00FE02BC" w:rsidRPr="00957E32">
        <w:rPr>
          <w:rFonts w:ascii="Times New Roman" w:hAnsi="Times New Roman" w:cs="Times New Roman"/>
          <w:sz w:val="24"/>
          <w:szCs w:val="24"/>
        </w:rPr>
        <w:t xml:space="preserve">of </w:t>
      </w:r>
      <w:r w:rsidR="007E6D33">
        <w:rPr>
          <w:rFonts w:ascii="Times New Roman" w:hAnsi="Times New Roman" w:cs="Times New Roman"/>
          <w:sz w:val="24"/>
          <w:szCs w:val="24"/>
        </w:rPr>
        <w:t>current</w:t>
      </w:r>
      <w:r w:rsidR="00297B3B">
        <w:rPr>
          <w:rFonts w:ascii="Times New Roman" w:hAnsi="Times New Roman" w:cs="Times New Roman"/>
          <w:sz w:val="24"/>
          <w:szCs w:val="24"/>
        </w:rPr>
        <w:t xml:space="preserve"> and </w:t>
      </w:r>
      <w:r w:rsidR="00C9141C">
        <w:rPr>
          <w:rFonts w:ascii="Times New Roman" w:hAnsi="Times New Roman" w:cs="Times New Roman"/>
          <w:sz w:val="24"/>
          <w:szCs w:val="24"/>
        </w:rPr>
        <w:t>second-generation</w:t>
      </w:r>
      <w:r w:rsidR="00297B3B">
        <w:rPr>
          <w:rFonts w:ascii="Times New Roman" w:hAnsi="Times New Roman" w:cs="Times New Roman"/>
          <w:sz w:val="24"/>
          <w:szCs w:val="24"/>
        </w:rPr>
        <w:t xml:space="preserve"> IGRAs</w:t>
      </w:r>
      <w:r w:rsidR="00FE02BC" w:rsidRPr="00957E32">
        <w:rPr>
          <w:rFonts w:ascii="Times New Roman" w:hAnsi="Times New Roman" w:cs="Times New Roman"/>
          <w:sz w:val="24"/>
          <w:szCs w:val="24"/>
        </w:rPr>
        <w:t xml:space="preserve"> mean that</w:t>
      </w:r>
      <w:r w:rsidR="007E6D33">
        <w:rPr>
          <w:rFonts w:ascii="Times New Roman" w:hAnsi="Times New Roman" w:cs="Times New Roman"/>
          <w:sz w:val="24"/>
          <w:szCs w:val="24"/>
        </w:rPr>
        <w:t xml:space="preserve"> a</w:t>
      </w:r>
      <w:r w:rsidR="00FE02BC" w:rsidRPr="00957E32">
        <w:rPr>
          <w:rFonts w:ascii="Times New Roman" w:hAnsi="Times New Roman" w:cs="Times New Roman"/>
          <w:sz w:val="24"/>
          <w:szCs w:val="24"/>
        </w:rPr>
        <w:t xml:space="preserve"> </w:t>
      </w:r>
      <w:r w:rsidR="00AE72D2" w:rsidRPr="00957E32">
        <w:rPr>
          <w:rFonts w:ascii="Times New Roman" w:hAnsi="Times New Roman" w:cs="Times New Roman"/>
          <w:sz w:val="24"/>
          <w:szCs w:val="24"/>
        </w:rPr>
        <w:t>positive result cannot rule</w:t>
      </w:r>
      <w:r w:rsidR="002703B3">
        <w:rPr>
          <w:rFonts w:ascii="Times New Roman" w:hAnsi="Times New Roman" w:cs="Times New Roman"/>
          <w:sz w:val="24"/>
          <w:szCs w:val="24"/>
        </w:rPr>
        <w:t xml:space="preserve"> </w:t>
      </w:r>
      <w:r w:rsidR="00FE02BC" w:rsidRPr="00957E32">
        <w:rPr>
          <w:rFonts w:ascii="Times New Roman" w:hAnsi="Times New Roman" w:cs="Times New Roman"/>
          <w:sz w:val="24"/>
          <w:szCs w:val="24"/>
        </w:rPr>
        <w:t>in a diagnosis of TB. Interestingly, the specificity of all IGRAs increased to 90-93% in patients with active TB excluded and no risk factors for LTBI</w:t>
      </w:r>
      <w:r w:rsidR="00CE588B">
        <w:rPr>
          <w:rFonts w:ascii="Times New Roman" w:hAnsi="Times New Roman" w:cs="Times New Roman"/>
          <w:sz w:val="24"/>
          <w:szCs w:val="24"/>
        </w:rPr>
        <w:t xml:space="preserve"> (Category 4D)</w:t>
      </w:r>
      <w:r w:rsidR="00FE02BC" w:rsidRPr="00957E32">
        <w:rPr>
          <w:rFonts w:ascii="Times New Roman" w:hAnsi="Times New Roman" w:cs="Times New Roman"/>
          <w:sz w:val="24"/>
          <w:szCs w:val="24"/>
        </w:rPr>
        <w:t xml:space="preserve">. Thus, a positive IGRA result may help to keep a diagnosis of active TB in the differential diagnosis in </w:t>
      </w:r>
      <w:r w:rsidR="00AE72D2" w:rsidRPr="00957E32">
        <w:rPr>
          <w:rFonts w:ascii="Times New Roman" w:hAnsi="Times New Roman" w:cs="Times New Roman"/>
          <w:sz w:val="24"/>
          <w:szCs w:val="24"/>
        </w:rPr>
        <w:t>populations</w:t>
      </w:r>
      <w:r w:rsidR="00FE02BC" w:rsidRPr="00957E32">
        <w:rPr>
          <w:rFonts w:ascii="Times New Roman" w:hAnsi="Times New Roman" w:cs="Times New Roman"/>
          <w:sz w:val="24"/>
          <w:szCs w:val="24"/>
        </w:rPr>
        <w:t xml:space="preserve"> with a very low prevalence of LTBI</w:t>
      </w:r>
      <w:r w:rsidR="00297B3B">
        <w:rPr>
          <w:rFonts w:ascii="Times New Roman" w:hAnsi="Times New Roman" w:cs="Times New Roman"/>
          <w:sz w:val="24"/>
          <w:szCs w:val="24"/>
        </w:rPr>
        <w:t xml:space="preserve">, which however is not </w:t>
      </w:r>
      <w:r w:rsidR="007E6D33">
        <w:rPr>
          <w:rFonts w:ascii="Times New Roman" w:hAnsi="Times New Roman" w:cs="Times New Roman"/>
          <w:sz w:val="24"/>
          <w:szCs w:val="24"/>
        </w:rPr>
        <w:t xml:space="preserve">usually </w:t>
      </w:r>
      <w:r w:rsidR="00297B3B">
        <w:rPr>
          <w:rFonts w:ascii="Times New Roman" w:hAnsi="Times New Roman" w:cs="Times New Roman"/>
          <w:sz w:val="24"/>
          <w:szCs w:val="24"/>
        </w:rPr>
        <w:t>the case in patient populations being assessed for possible TB</w:t>
      </w:r>
      <w:r w:rsidR="00643587" w:rsidRPr="00957E32">
        <w:rPr>
          <w:rFonts w:ascii="Times New Roman" w:hAnsi="Times New Roman" w:cs="Times New Roman"/>
          <w:sz w:val="24"/>
          <w:szCs w:val="24"/>
        </w:rPr>
        <w:t>.</w:t>
      </w:r>
    </w:p>
    <w:p w14:paraId="43763066" w14:textId="2433AFD9" w:rsidR="009D1AE1" w:rsidRPr="00957E32" w:rsidRDefault="00562881" w:rsidP="009C2BA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Two</w:t>
      </w:r>
      <w:r w:rsidRPr="00957E32">
        <w:rPr>
          <w:rFonts w:ascii="Times New Roman" w:hAnsi="Times New Roman" w:cs="Times New Roman"/>
          <w:sz w:val="24"/>
          <w:szCs w:val="24"/>
        </w:rPr>
        <w:t xml:space="preserve"> of the leading new TB vaccine candidates, </w:t>
      </w:r>
      <w:r>
        <w:rPr>
          <w:rFonts w:ascii="Times New Roman" w:hAnsi="Times New Roman" w:cs="Times New Roman"/>
          <w:sz w:val="24"/>
          <w:szCs w:val="24"/>
        </w:rPr>
        <w:t>Hybrid 1-IC31</w:t>
      </w:r>
      <w:r w:rsidRPr="003F6BA0">
        <w:rPr>
          <w:rFonts w:ascii="Times New Roman" w:hAnsi="Times New Roman" w:cs="Times New Roman"/>
          <w:sz w:val="24"/>
          <w:szCs w:val="24"/>
          <w:vertAlign w:val="superscript"/>
        </w:rPr>
        <w:t>2</w:t>
      </w:r>
      <w:r>
        <w:rPr>
          <w:rFonts w:ascii="Times New Roman" w:hAnsi="Times New Roman" w:cs="Times New Roman"/>
          <w:sz w:val="24"/>
          <w:szCs w:val="24"/>
          <w:vertAlign w:val="superscript"/>
        </w:rPr>
        <w:t>3</w:t>
      </w:r>
      <w:r>
        <w:rPr>
          <w:rFonts w:ascii="Times New Roman" w:hAnsi="Times New Roman" w:cs="Times New Roman"/>
          <w:sz w:val="24"/>
          <w:szCs w:val="24"/>
        </w:rPr>
        <w:t xml:space="preserve"> and </w:t>
      </w:r>
      <w:r w:rsidRPr="00957E32">
        <w:rPr>
          <w:rFonts w:ascii="Times New Roman" w:hAnsi="Times New Roman" w:cs="Times New Roman"/>
          <w:sz w:val="24"/>
          <w:szCs w:val="24"/>
        </w:rPr>
        <w:t>H56:IC31</w:t>
      </w:r>
      <w:r>
        <w:rPr>
          <w:rFonts w:ascii="Times New Roman" w:hAnsi="Times New Roman" w:cs="Times New Roman"/>
          <w:sz w:val="24"/>
          <w:szCs w:val="24"/>
        </w:rPr>
        <w:t>,</w:t>
      </w:r>
      <w:r w:rsidRPr="001B1048">
        <w:rPr>
          <w:rFonts w:ascii="Times New Roman" w:hAnsi="Times New Roman" w:cs="Times New Roman"/>
          <w:sz w:val="24"/>
          <w:szCs w:val="24"/>
          <w:vertAlign w:val="superscript"/>
        </w:rPr>
        <w:t>2</w:t>
      </w:r>
      <w:r>
        <w:rPr>
          <w:rFonts w:ascii="Times New Roman" w:hAnsi="Times New Roman" w:cs="Times New Roman"/>
          <w:sz w:val="24"/>
          <w:szCs w:val="24"/>
          <w:vertAlign w:val="superscript"/>
        </w:rPr>
        <w:t>4</w:t>
      </w:r>
      <w:r w:rsidRPr="00957E32">
        <w:rPr>
          <w:rFonts w:ascii="Times New Roman" w:hAnsi="Times New Roman" w:cs="Times New Roman"/>
          <w:sz w:val="24"/>
          <w:szCs w:val="24"/>
        </w:rPr>
        <w:t xml:space="preserve"> </w:t>
      </w:r>
      <w:r w:rsidR="00AE72D2" w:rsidRPr="00957E32">
        <w:rPr>
          <w:rFonts w:ascii="Times New Roman" w:hAnsi="Times New Roman" w:cs="Times New Roman"/>
          <w:sz w:val="24"/>
          <w:szCs w:val="24"/>
        </w:rPr>
        <w:t xml:space="preserve">contain ESAT-6 and </w:t>
      </w:r>
      <w:r w:rsidR="00DF291E">
        <w:rPr>
          <w:rFonts w:ascii="Times New Roman" w:hAnsi="Times New Roman" w:cs="Times New Roman"/>
          <w:sz w:val="24"/>
          <w:szCs w:val="24"/>
        </w:rPr>
        <w:t>may</w:t>
      </w:r>
      <w:r w:rsidR="00DC4CD1" w:rsidRPr="00957E32">
        <w:rPr>
          <w:rFonts w:ascii="Times New Roman" w:hAnsi="Times New Roman" w:cs="Times New Roman"/>
          <w:sz w:val="24"/>
          <w:szCs w:val="24"/>
        </w:rPr>
        <w:t xml:space="preserve"> </w:t>
      </w:r>
      <w:r w:rsidR="00AE72D2" w:rsidRPr="00957E32">
        <w:rPr>
          <w:rFonts w:ascii="Times New Roman" w:hAnsi="Times New Roman" w:cs="Times New Roman"/>
          <w:sz w:val="24"/>
          <w:szCs w:val="24"/>
        </w:rPr>
        <w:t>induce conversion of IGRA results in vaccin</w:t>
      </w:r>
      <w:r w:rsidR="006C460D" w:rsidRPr="00957E32">
        <w:rPr>
          <w:rFonts w:ascii="Times New Roman" w:hAnsi="Times New Roman" w:cs="Times New Roman"/>
          <w:sz w:val="24"/>
          <w:szCs w:val="24"/>
        </w:rPr>
        <w:t>ated individuals</w:t>
      </w:r>
      <w:r w:rsidR="00AE72D2" w:rsidRPr="00957E32">
        <w:rPr>
          <w:rFonts w:ascii="Times New Roman" w:hAnsi="Times New Roman" w:cs="Times New Roman"/>
          <w:sz w:val="24"/>
          <w:szCs w:val="24"/>
        </w:rPr>
        <w:t>. If th</w:t>
      </w:r>
      <w:r w:rsidR="00C873D7">
        <w:rPr>
          <w:rFonts w:ascii="Times New Roman" w:hAnsi="Times New Roman" w:cs="Times New Roman"/>
          <w:sz w:val="24"/>
          <w:szCs w:val="24"/>
        </w:rPr>
        <w:t>ese</w:t>
      </w:r>
      <w:r w:rsidR="00AE72D2" w:rsidRPr="00957E32">
        <w:rPr>
          <w:rFonts w:ascii="Times New Roman" w:hAnsi="Times New Roman" w:cs="Times New Roman"/>
          <w:sz w:val="24"/>
          <w:szCs w:val="24"/>
        </w:rPr>
        <w:t xml:space="preserve"> vaccine</w:t>
      </w:r>
      <w:r w:rsidR="00C873D7">
        <w:rPr>
          <w:rFonts w:ascii="Times New Roman" w:hAnsi="Times New Roman" w:cs="Times New Roman"/>
          <w:sz w:val="24"/>
          <w:szCs w:val="24"/>
        </w:rPr>
        <w:t>s</w:t>
      </w:r>
      <w:r w:rsidR="00AE72D2" w:rsidRPr="00957E32">
        <w:rPr>
          <w:rFonts w:ascii="Times New Roman" w:hAnsi="Times New Roman" w:cs="Times New Roman"/>
          <w:sz w:val="24"/>
          <w:szCs w:val="24"/>
        </w:rPr>
        <w:t xml:space="preserve"> show protective efficacy in ongoing clinical trials and achieve licensure, ESAT-6-contai</w:t>
      </w:r>
      <w:r w:rsidR="006E6909">
        <w:rPr>
          <w:rFonts w:ascii="Times New Roman" w:hAnsi="Times New Roman" w:cs="Times New Roman"/>
          <w:sz w:val="24"/>
          <w:szCs w:val="24"/>
        </w:rPr>
        <w:t>ni</w:t>
      </w:r>
      <w:r w:rsidR="00AE72D2" w:rsidRPr="00957E32">
        <w:rPr>
          <w:rFonts w:ascii="Times New Roman" w:hAnsi="Times New Roman" w:cs="Times New Roman"/>
          <w:sz w:val="24"/>
          <w:szCs w:val="24"/>
        </w:rPr>
        <w:t xml:space="preserve">ng IGRAs will give false-positive results in </w:t>
      </w:r>
      <w:r w:rsidR="00702C3C">
        <w:rPr>
          <w:rFonts w:ascii="Times New Roman" w:hAnsi="Times New Roman" w:cs="Times New Roman"/>
          <w:sz w:val="24"/>
          <w:szCs w:val="24"/>
        </w:rPr>
        <w:t xml:space="preserve">vaccinated </w:t>
      </w:r>
      <w:r w:rsidR="00AE72D2" w:rsidRPr="00957E32">
        <w:rPr>
          <w:rFonts w:ascii="Times New Roman" w:hAnsi="Times New Roman" w:cs="Times New Roman"/>
          <w:sz w:val="24"/>
          <w:szCs w:val="24"/>
        </w:rPr>
        <w:t xml:space="preserve">persons who are not </w:t>
      </w:r>
      <w:proofErr w:type="spellStart"/>
      <w:r w:rsidR="00AE72D2" w:rsidRPr="00957E32">
        <w:rPr>
          <w:rFonts w:ascii="Times New Roman" w:hAnsi="Times New Roman" w:cs="Times New Roman"/>
          <w:sz w:val="24"/>
          <w:szCs w:val="24"/>
        </w:rPr>
        <w:t>Mtb</w:t>
      </w:r>
      <w:proofErr w:type="spellEnd"/>
      <w:r w:rsidR="00AE72D2" w:rsidRPr="00957E32">
        <w:rPr>
          <w:rFonts w:ascii="Times New Roman" w:hAnsi="Times New Roman" w:cs="Times New Roman"/>
          <w:sz w:val="24"/>
          <w:szCs w:val="24"/>
        </w:rPr>
        <w:t xml:space="preserve">-infected, analogous to false-positive TST results in </w:t>
      </w:r>
      <w:proofErr w:type="spellStart"/>
      <w:r w:rsidR="00AE72D2" w:rsidRPr="00957E32">
        <w:rPr>
          <w:rFonts w:ascii="Times New Roman" w:hAnsi="Times New Roman" w:cs="Times New Roman"/>
          <w:sz w:val="24"/>
          <w:szCs w:val="24"/>
        </w:rPr>
        <w:t>Mtb</w:t>
      </w:r>
      <w:proofErr w:type="spellEnd"/>
      <w:r w:rsidR="00384523">
        <w:rPr>
          <w:rFonts w:ascii="Times New Roman" w:hAnsi="Times New Roman" w:cs="Times New Roman"/>
          <w:sz w:val="24"/>
          <w:szCs w:val="24"/>
        </w:rPr>
        <w:t>-</w:t>
      </w:r>
      <w:r w:rsidR="00AE72D2" w:rsidRPr="00957E32">
        <w:rPr>
          <w:rFonts w:ascii="Times New Roman" w:hAnsi="Times New Roman" w:cs="Times New Roman"/>
          <w:sz w:val="24"/>
          <w:szCs w:val="24"/>
        </w:rPr>
        <w:t xml:space="preserve">uninfected persons with prior BCG vaccination. </w:t>
      </w:r>
      <w:r w:rsidR="00384523">
        <w:rPr>
          <w:rFonts w:ascii="Times New Roman" w:hAnsi="Times New Roman" w:cs="Times New Roman"/>
          <w:sz w:val="24"/>
          <w:szCs w:val="24"/>
        </w:rPr>
        <w:t>D</w:t>
      </w:r>
      <w:r w:rsidR="00384523" w:rsidRPr="00957E32">
        <w:rPr>
          <w:rFonts w:ascii="Times New Roman" w:hAnsi="Times New Roman" w:cs="Times New Roman"/>
          <w:sz w:val="24"/>
          <w:szCs w:val="24"/>
        </w:rPr>
        <w:t xml:space="preserve">iagnostic accuracy </w:t>
      </w:r>
      <w:r w:rsidR="00384523">
        <w:rPr>
          <w:rFonts w:ascii="Times New Roman" w:hAnsi="Times New Roman" w:cs="Times New Roman"/>
          <w:sz w:val="24"/>
          <w:szCs w:val="24"/>
        </w:rPr>
        <w:t>of</w:t>
      </w:r>
      <w:r w:rsidR="00816D0D">
        <w:rPr>
          <w:rFonts w:ascii="Times New Roman" w:hAnsi="Times New Roman" w:cs="Times New Roman"/>
          <w:sz w:val="24"/>
          <w:szCs w:val="24"/>
        </w:rPr>
        <w:t xml:space="preserve"> </w:t>
      </w:r>
      <w:r w:rsidR="00202673" w:rsidRPr="00957E32">
        <w:rPr>
          <w:rFonts w:ascii="Times New Roman" w:hAnsi="Times New Roman" w:cs="Times New Roman"/>
          <w:sz w:val="24"/>
          <w:szCs w:val="24"/>
        </w:rPr>
        <w:t>ESAT-6</w:t>
      </w:r>
      <w:r w:rsidR="00384523">
        <w:rPr>
          <w:rFonts w:ascii="Times New Roman" w:hAnsi="Times New Roman" w:cs="Times New Roman"/>
          <w:sz w:val="24"/>
          <w:szCs w:val="24"/>
        </w:rPr>
        <w:t>-free IGRA</w:t>
      </w:r>
      <w:r w:rsidR="00202673" w:rsidRPr="00957E32">
        <w:rPr>
          <w:rFonts w:ascii="Times New Roman" w:hAnsi="Times New Roman" w:cs="Times New Roman"/>
          <w:sz w:val="24"/>
          <w:szCs w:val="24"/>
        </w:rPr>
        <w:t xml:space="preserve"> </w:t>
      </w:r>
      <w:r w:rsidR="00AE72D2" w:rsidRPr="00957E32">
        <w:rPr>
          <w:rFonts w:ascii="Times New Roman" w:hAnsi="Times New Roman" w:cs="Times New Roman"/>
          <w:sz w:val="24"/>
          <w:szCs w:val="24"/>
        </w:rPr>
        <w:t xml:space="preserve">was very similar to </w:t>
      </w:r>
      <w:r w:rsidR="00C9141C">
        <w:rPr>
          <w:rFonts w:ascii="Times New Roman" w:hAnsi="Times New Roman" w:cs="Times New Roman"/>
          <w:sz w:val="24"/>
          <w:szCs w:val="24"/>
        </w:rPr>
        <w:t>second-generation</w:t>
      </w:r>
      <w:r w:rsidR="00AE72D2" w:rsidRPr="00957E32">
        <w:rPr>
          <w:rFonts w:ascii="Times New Roman" w:hAnsi="Times New Roman" w:cs="Times New Roman"/>
          <w:sz w:val="24"/>
          <w:szCs w:val="24"/>
        </w:rPr>
        <w:t xml:space="preserve"> IGRA</w:t>
      </w:r>
      <w:r w:rsidR="00702C3C">
        <w:rPr>
          <w:rFonts w:ascii="Times New Roman" w:hAnsi="Times New Roman" w:cs="Times New Roman"/>
          <w:sz w:val="24"/>
          <w:szCs w:val="24"/>
        </w:rPr>
        <w:t xml:space="preserve"> and</w:t>
      </w:r>
      <w:r w:rsidR="00384523">
        <w:rPr>
          <w:rFonts w:ascii="Times New Roman" w:hAnsi="Times New Roman" w:cs="Times New Roman"/>
          <w:sz w:val="24"/>
          <w:szCs w:val="24"/>
        </w:rPr>
        <w:t xml:space="preserve"> </w:t>
      </w:r>
      <w:r w:rsidR="00C03D86">
        <w:rPr>
          <w:rFonts w:ascii="Times New Roman" w:hAnsi="Times New Roman" w:cs="Times New Roman"/>
          <w:sz w:val="24"/>
          <w:szCs w:val="24"/>
        </w:rPr>
        <w:t>th</w:t>
      </w:r>
      <w:r w:rsidR="00702C3C">
        <w:rPr>
          <w:rFonts w:ascii="Times New Roman" w:hAnsi="Times New Roman" w:cs="Times New Roman"/>
          <w:sz w:val="24"/>
          <w:szCs w:val="24"/>
        </w:rPr>
        <w:t>us</w:t>
      </w:r>
      <w:r w:rsidR="00C03D86" w:rsidDel="00753D30">
        <w:rPr>
          <w:rFonts w:ascii="Times New Roman" w:hAnsi="Times New Roman" w:cs="Times New Roman"/>
          <w:sz w:val="24"/>
          <w:szCs w:val="24"/>
        </w:rPr>
        <w:t xml:space="preserve"> </w:t>
      </w:r>
      <w:r w:rsidR="00753D30">
        <w:rPr>
          <w:rFonts w:ascii="Times New Roman" w:hAnsi="Times New Roman" w:cs="Times New Roman"/>
          <w:sz w:val="24"/>
          <w:szCs w:val="24"/>
        </w:rPr>
        <w:t>has potential to</w:t>
      </w:r>
      <w:r w:rsidR="00384523">
        <w:rPr>
          <w:rFonts w:ascii="Times New Roman" w:hAnsi="Times New Roman" w:cs="Times New Roman"/>
          <w:sz w:val="24"/>
          <w:szCs w:val="24"/>
        </w:rPr>
        <w:t xml:space="preserve"> replace other IGRAs in populations immunised against TB with ESAT-6-based vaccine</w:t>
      </w:r>
      <w:r w:rsidR="00277EF5">
        <w:rPr>
          <w:rFonts w:ascii="Times New Roman" w:hAnsi="Times New Roman" w:cs="Times New Roman"/>
          <w:sz w:val="24"/>
          <w:szCs w:val="24"/>
        </w:rPr>
        <w:t>s</w:t>
      </w:r>
      <w:r w:rsidR="00384523">
        <w:rPr>
          <w:rFonts w:ascii="Times New Roman" w:hAnsi="Times New Roman" w:cs="Times New Roman"/>
          <w:sz w:val="24"/>
          <w:szCs w:val="24"/>
        </w:rPr>
        <w:t>.</w:t>
      </w:r>
    </w:p>
    <w:p w14:paraId="27612A9C" w14:textId="62D0887F" w:rsidR="00D64799" w:rsidRPr="00957E32" w:rsidRDefault="006D63A5" w:rsidP="00A227A2">
      <w:pPr>
        <w:spacing w:after="0" w:line="480" w:lineRule="auto"/>
        <w:jc w:val="both"/>
        <w:rPr>
          <w:rFonts w:ascii="Times New Roman" w:hAnsi="Times New Roman" w:cs="Times New Roman"/>
          <w:sz w:val="24"/>
          <w:szCs w:val="24"/>
        </w:rPr>
      </w:pPr>
      <w:r w:rsidRPr="00957E32">
        <w:rPr>
          <w:rFonts w:ascii="Times New Roman" w:hAnsi="Times New Roman" w:cs="Times New Roman"/>
          <w:sz w:val="24"/>
          <w:szCs w:val="24"/>
        </w:rPr>
        <w:lastRenderedPageBreak/>
        <w:t xml:space="preserve">Two </w:t>
      </w:r>
      <w:r w:rsidR="00011E5E" w:rsidRPr="00957E32">
        <w:rPr>
          <w:rFonts w:ascii="Times New Roman" w:hAnsi="Times New Roman" w:cs="Times New Roman"/>
          <w:sz w:val="24"/>
          <w:szCs w:val="24"/>
        </w:rPr>
        <w:t>of the most important global</w:t>
      </w:r>
      <w:r w:rsidRPr="00957E32">
        <w:rPr>
          <w:rFonts w:ascii="Times New Roman" w:hAnsi="Times New Roman" w:cs="Times New Roman"/>
          <w:sz w:val="24"/>
          <w:szCs w:val="24"/>
        </w:rPr>
        <w:t xml:space="preserve"> </w:t>
      </w:r>
      <w:r w:rsidR="00011E5E" w:rsidRPr="00957E32">
        <w:rPr>
          <w:rFonts w:ascii="Times New Roman" w:hAnsi="Times New Roman" w:cs="Times New Roman"/>
          <w:sz w:val="24"/>
          <w:szCs w:val="24"/>
        </w:rPr>
        <w:t>risk factors for TB are HIV co-infection</w:t>
      </w:r>
      <w:r w:rsidR="00D6460C" w:rsidRPr="001B1048">
        <w:rPr>
          <w:rFonts w:ascii="Times New Roman" w:hAnsi="Times New Roman" w:cs="Times New Roman"/>
          <w:sz w:val="24"/>
          <w:szCs w:val="24"/>
          <w:vertAlign w:val="superscript"/>
        </w:rPr>
        <w:t>2</w:t>
      </w:r>
      <w:r w:rsidR="00AF2A34">
        <w:rPr>
          <w:rFonts w:ascii="Times New Roman" w:hAnsi="Times New Roman" w:cs="Times New Roman"/>
          <w:sz w:val="24"/>
          <w:szCs w:val="24"/>
          <w:vertAlign w:val="superscript"/>
        </w:rPr>
        <w:t>5</w:t>
      </w:r>
      <w:r w:rsidR="00011E5E" w:rsidRPr="00957E32">
        <w:rPr>
          <w:rFonts w:ascii="Times New Roman" w:hAnsi="Times New Roman" w:cs="Times New Roman"/>
          <w:sz w:val="24"/>
          <w:szCs w:val="24"/>
        </w:rPr>
        <w:t xml:space="preserve"> and diabetes</w:t>
      </w:r>
      <w:r w:rsidR="00DC4CD1" w:rsidRPr="00957E32">
        <w:rPr>
          <w:rFonts w:ascii="Times New Roman" w:hAnsi="Times New Roman" w:cs="Times New Roman"/>
          <w:sz w:val="24"/>
          <w:szCs w:val="24"/>
        </w:rPr>
        <w:t>,</w:t>
      </w:r>
      <w:r w:rsidR="00D6460C" w:rsidRPr="001B1048">
        <w:rPr>
          <w:rFonts w:ascii="Times New Roman" w:hAnsi="Times New Roman" w:cs="Times New Roman"/>
          <w:sz w:val="24"/>
          <w:szCs w:val="24"/>
          <w:vertAlign w:val="superscript"/>
        </w:rPr>
        <w:t>2</w:t>
      </w:r>
      <w:r w:rsidR="00AF2A34">
        <w:rPr>
          <w:rFonts w:ascii="Times New Roman" w:hAnsi="Times New Roman" w:cs="Times New Roman"/>
          <w:sz w:val="24"/>
          <w:szCs w:val="24"/>
          <w:vertAlign w:val="superscript"/>
        </w:rPr>
        <w:t xml:space="preserve">6 </w:t>
      </w:r>
      <w:r w:rsidR="00DC4CD1" w:rsidRPr="00957E32">
        <w:rPr>
          <w:rFonts w:ascii="Times New Roman" w:hAnsi="Times New Roman" w:cs="Times New Roman"/>
          <w:sz w:val="24"/>
          <w:szCs w:val="24"/>
        </w:rPr>
        <w:t>both of which</w:t>
      </w:r>
      <w:r w:rsidR="00011E5E" w:rsidRPr="00957E32">
        <w:rPr>
          <w:rFonts w:ascii="Times New Roman" w:hAnsi="Times New Roman" w:cs="Times New Roman"/>
          <w:sz w:val="24"/>
          <w:szCs w:val="24"/>
        </w:rPr>
        <w:t xml:space="preserve"> </w:t>
      </w:r>
      <w:r w:rsidRPr="00957E32">
        <w:rPr>
          <w:rFonts w:ascii="Times New Roman" w:hAnsi="Times New Roman" w:cs="Times New Roman"/>
          <w:sz w:val="24"/>
          <w:szCs w:val="24"/>
        </w:rPr>
        <w:t>have been reported to adversely affect IGRA performanc</w:t>
      </w:r>
      <w:r w:rsidR="006C610F">
        <w:rPr>
          <w:rFonts w:ascii="Times New Roman" w:hAnsi="Times New Roman" w:cs="Times New Roman"/>
          <w:sz w:val="24"/>
          <w:szCs w:val="24"/>
        </w:rPr>
        <w:t>e</w:t>
      </w:r>
      <w:r w:rsidRPr="00957E32">
        <w:rPr>
          <w:rFonts w:ascii="Times New Roman" w:hAnsi="Times New Roman" w:cs="Times New Roman"/>
          <w:sz w:val="24"/>
          <w:szCs w:val="24"/>
        </w:rPr>
        <w:t>.</w:t>
      </w:r>
      <w:r w:rsidR="002D2187" w:rsidRPr="001B1048">
        <w:rPr>
          <w:rFonts w:ascii="Times New Roman" w:hAnsi="Times New Roman" w:cs="Times New Roman"/>
          <w:sz w:val="24"/>
          <w:szCs w:val="24"/>
          <w:vertAlign w:val="superscript"/>
        </w:rPr>
        <w:t>2</w:t>
      </w:r>
      <w:r w:rsidR="00AF2A34">
        <w:rPr>
          <w:rFonts w:ascii="Times New Roman" w:hAnsi="Times New Roman" w:cs="Times New Roman"/>
          <w:sz w:val="24"/>
          <w:szCs w:val="24"/>
          <w:vertAlign w:val="superscript"/>
        </w:rPr>
        <w:t>7</w:t>
      </w:r>
      <w:r w:rsidR="002D2187" w:rsidRPr="001B1048">
        <w:rPr>
          <w:rFonts w:ascii="Times New Roman" w:hAnsi="Times New Roman" w:cs="Times New Roman"/>
          <w:sz w:val="24"/>
          <w:szCs w:val="24"/>
          <w:vertAlign w:val="superscript"/>
        </w:rPr>
        <w:t>,2</w:t>
      </w:r>
      <w:r w:rsidR="00AF2A34">
        <w:rPr>
          <w:rFonts w:ascii="Times New Roman" w:hAnsi="Times New Roman" w:cs="Times New Roman"/>
          <w:sz w:val="24"/>
          <w:szCs w:val="24"/>
          <w:vertAlign w:val="superscript"/>
        </w:rPr>
        <w:t>8</w:t>
      </w:r>
      <w:r w:rsidR="00933B8B" w:rsidRPr="00957E32">
        <w:rPr>
          <w:rFonts w:ascii="Times New Roman" w:hAnsi="Times New Roman" w:cs="Times New Roman"/>
          <w:sz w:val="24"/>
          <w:szCs w:val="24"/>
        </w:rPr>
        <w:t xml:space="preserve"> </w:t>
      </w:r>
      <w:r w:rsidR="004F6809">
        <w:rPr>
          <w:rFonts w:ascii="Times New Roman" w:hAnsi="Times New Roman" w:cs="Times New Roman"/>
          <w:sz w:val="24"/>
          <w:szCs w:val="24"/>
        </w:rPr>
        <w:t>P</w:t>
      </w:r>
      <w:r w:rsidR="004146B8">
        <w:rPr>
          <w:rFonts w:ascii="Times New Roman" w:hAnsi="Times New Roman" w:cs="Times New Roman"/>
          <w:sz w:val="24"/>
          <w:szCs w:val="24"/>
        </w:rPr>
        <w:t xml:space="preserve">erformance of current IGRAs in </w:t>
      </w:r>
      <w:r w:rsidR="004F6809">
        <w:rPr>
          <w:rFonts w:ascii="Times New Roman" w:hAnsi="Times New Roman" w:cs="Times New Roman"/>
          <w:sz w:val="24"/>
          <w:szCs w:val="24"/>
        </w:rPr>
        <w:t>patients</w:t>
      </w:r>
      <w:r w:rsidR="004146B8">
        <w:rPr>
          <w:rFonts w:ascii="Times New Roman" w:hAnsi="Times New Roman" w:cs="Times New Roman"/>
          <w:sz w:val="24"/>
          <w:szCs w:val="24"/>
        </w:rPr>
        <w:t xml:space="preserve"> with HIV-infection and diabetes in </w:t>
      </w:r>
      <w:r w:rsidR="004F6809">
        <w:rPr>
          <w:rFonts w:ascii="Times New Roman" w:hAnsi="Times New Roman" w:cs="Times New Roman"/>
          <w:sz w:val="24"/>
          <w:szCs w:val="24"/>
        </w:rPr>
        <w:t>this</w:t>
      </w:r>
      <w:r w:rsidR="004146B8">
        <w:rPr>
          <w:rFonts w:ascii="Times New Roman" w:hAnsi="Times New Roman" w:cs="Times New Roman"/>
          <w:sz w:val="24"/>
          <w:szCs w:val="24"/>
        </w:rPr>
        <w:t xml:space="preserve"> </w:t>
      </w:r>
      <w:r w:rsidR="00F8099B">
        <w:rPr>
          <w:rFonts w:ascii="Times New Roman" w:hAnsi="Times New Roman" w:cs="Times New Roman"/>
          <w:sz w:val="24"/>
          <w:szCs w:val="24"/>
        </w:rPr>
        <w:t xml:space="preserve">study </w:t>
      </w:r>
      <w:r w:rsidR="004146B8">
        <w:rPr>
          <w:rFonts w:ascii="Times New Roman" w:hAnsi="Times New Roman" w:cs="Times New Roman"/>
          <w:sz w:val="24"/>
          <w:szCs w:val="24"/>
        </w:rPr>
        <w:t>was insufficient to be of value in the diagnosis of active TB. Performance appeared to be lower in HIV-</w:t>
      </w:r>
      <w:r w:rsidR="004F6809">
        <w:rPr>
          <w:rFonts w:ascii="Times New Roman" w:hAnsi="Times New Roman" w:cs="Times New Roman"/>
          <w:sz w:val="24"/>
          <w:szCs w:val="24"/>
        </w:rPr>
        <w:t>infected</w:t>
      </w:r>
      <w:r w:rsidR="004146B8">
        <w:rPr>
          <w:rFonts w:ascii="Times New Roman" w:hAnsi="Times New Roman" w:cs="Times New Roman"/>
          <w:sz w:val="24"/>
          <w:szCs w:val="24"/>
        </w:rPr>
        <w:t xml:space="preserve"> and diabetic </w:t>
      </w:r>
      <w:r w:rsidR="004F6809">
        <w:rPr>
          <w:rFonts w:ascii="Times New Roman" w:hAnsi="Times New Roman" w:cs="Times New Roman"/>
          <w:sz w:val="24"/>
          <w:szCs w:val="24"/>
        </w:rPr>
        <w:t>subgroups</w:t>
      </w:r>
      <w:r w:rsidR="004146B8">
        <w:rPr>
          <w:rFonts w:ascii="Times New Roman" w:hAnsi="Times New Roman" w:cs="Times New Roman"/>
          <w:sz w:val="24"/>
          <w:szCs w:val="24"/>
        </w:rPr>
        <w:t xml:space="preserve">, but </w:t>
      </w:r>
      <w:r w:rsidR="001B0318">
        <w:rPr>
          <w:rFonts w:ascii="Times New Roman" w:hAnsi="Times New Roman" w:cs="Times New Roman"/>
          <w:sz w:val="24"/>
          <w:szCs w:val="24"/>
        </w:rPr>
        <w:t xml:space="preserve">the small numbers of patients with TB in these subgroups precluded </w:t>
      </w:r>
      <w:r w:rsidR="004146B8">
        <w:rPr>
          <w:rFonts w:ascii="Times New Roman" w:hAnsi="Times New Roman" w:cs="Times New Roman"/>
          <w:sz w:val="24"/>
          <w:szCs w:val="24"/>
        </w:rPr>
        <w:t>statistical comparisons</w:t>
      </w:r>
      <w:r w:rsidR="00586AC1">
        <w:rPr>
          <w:rFonts w:ascii="Times New Roman" w:hAnsi="Times New Roman" w:cs="Times New Roman"/>
          <w:sz w:val="24"/>
          <w:szCs w:val="24"/>
        </w:rPr>
        <w:t>.</w:t>
      </w:r>
      <w:r w:rsidR="001B0318">
        <w:rPr>
          <w:rFonts w:ascii="Times New Roman" w:hAnsi="Times New Roman" w:cs="Times New Roman"/>
          <w:sz w:val="24"/>
          <w:szCs w:val="24"/>
        </w:rPr>
        <w:t xml:space="preserve"> </w:t>
      </w:r>
      <w:r w:rsidR="00586AC1">
        <w:rPr>
          <w:rFonts w:ascii="Times New Roman" w:hAnsi="Times New Roman" w:cs="Times New Roman"/>
          <w:sz w:val="24"/>
          <w:szCs w:val="24"/>
        </w:rPr>
        <w:t>T</w:t>
      </w:r>
      <w:r w:rsidR="001B0318">
        <w:rPr>
          <w:rFonts w:ascii="Times New Roman" w:hAnsi="Times New Roman" w:cs="Times New Roman"/>
          <w:sz w:val="24"/>
          <w:szCs w:val="24"/>
        </w:rPr>
        <w:t xml:space="preserve">his was also the case for </w:t>
      </w:r>
      <w:r w:rsidR="003027AB" w:rsidRPr="00957E32">
        <w:rPr>
          <w:rFonts w:ascii="Times New Roman" w:hAnsi="Times New Roman" w:cs="Times New Roman"/>
          <w:sz w:val="24"/>
          <w:szCs w:val="24"/>
        </w:rPr>
        <w:t xml:space="preserve">other types of immunosuppression associated with TB, </w:t>
      </w:r>
      <w:r w:rsidR="00DC4CD1" w:rsidRPr="00957E32">
        <w:rPr>
          <w:rFonts w:ascii="Times New Roman" w:hAnsi="Times New Roman" w:cs="Times New Roman"/>
          <w:sz w:val="24"/>
          <w:szCs w:val="24"/>
        </w:rPr>
        <w:t>such as</w:t>
      </w:r>
      <w:r w:rsidR="003027AB" w:rsidRPr="00957E32">
        <w:rPr>
          <w:rFonts w:ascii="Times New Roman" w:hAnsi="Times New Roman" w:cs="Times New Roman"/>
          <w:sz w:val="24"/>
          <w:szCs w:val="24"/>
        </w:rPr>
        <w:t xml:space="preserve"> </w:t>
      </w:r>
      <w:r w:rsidR="00753D30">
        <w:rPr>
          <w:rFonts w:ascii="Times New Roman" w:hAnsi="Times New Roman" w:cs="Times New Roman"/>
          <w:sz w:val="24"/>
          <w:szCs w:val="24"/>
        </w:rPr>
        <w:t>chronic kidney disease</w:t>
      </w:r>
      <w:r w:rsidR="003027AB" w:rsidRPr="00957E32">
        <w:rPr>
          <w:rFonts w:ascii="Times New Roman" w:hAnsi="Times New Roman" w:cs="Times New Roman"/>
          <w:sz w:val="24"/>
          <w:szCs w:val="24"/>
        </w:rPr>
        <w:t xml:space="preserve"> and immunosuppressive medication.</w:t>
      </w:r>
    </w:p>
    <w:p w14:paraId="2D77787E" w14:textId="45992A41" w:rsidR="00816D0D" w:rsidRPr="00957E32" w:rsidRDefault="004A7F08" w:rsidP="009C2BA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w:t>
      </w:r>
      <w:r w:rsidR="00816D0D" w:rsidRPr="00957E32">
        <w:rPr>
          <w:rFonts w:ascii="Times New Roman" w:hAnsi="Times New Roman" w:cs="Times New Roman"/>
          <w:sz w:val="24"/>
          <w:szCs w:val="24"/>
        </w:rPr>
        <w:t>trength</w:t>
      </w:r>
      <w:r>
        <w:rPr>
          <w:rFonts w:ascii="Times New Roman" w:hAnsi="Times New Roman" w:cs="Times New Roman"/>
          <w:sz w:val="24"/>
          <w:szCs w:val="24"/>
        </w:rPr>
        <w:t>s</w:t>
      </w:r>
      <w:r w:rsidR="00816D0D" w:rsidRPr="00957E32">
        <w:rPr>
          <w:rFonts w:ascii="Times New Roman" w:hAnsi="Times New Roman" w:cs="Times New Roman"/>
          <w:sz w:val="24"/>
          <w:szCs w:val="24"/>
        </w:rPr>
        <w:t xml:space="preserve"> of our study </w:t>
      </w:r>
      <w:r>
        <w:rPr>
          <w:rFonts w:ascii="Times New Roman" w:hAnsi="Times New Roman" w:cs="Times New Roman"/>
          <w:sz w:val="24"/>
          <w:szCs w:val="24"/>
        </w:rPr>
        <w:t>include</w:t>
      </w:r>
      <w:r w:rsidRPr="00957E32">
        <w:rPr>
          <w:rFonts w:ascii="Times New Roman" w:hAnsi="Times New Roman" w:cs="Times New Roman"/>
          <w:sz w:val="24"/>
          <w:szCs w:val="24"/>
        </w:rPr>
        <w:t xml:space="preserve"> </w:t>
      </w:r>
      <w:r w:rsidR="00816D0D" w:rsidRPr="00957E32">
        <w:rPr>
          <w:rFonts w:ascii="Times New Roman" w:hAnsi="Times New Roman" w:cs="Times New Roman"/>
          <w:sz w:val="24"/>
          <w:szCs w:val="24"/>
        </w:rPr>
        <w:t>the rigorous case definitions</w:t>
      </w:r>
      <w:r w:rsidR="00816D0D">
        <w:rPr>
          <w:rFonts w:ascii="Times New Roman" w:hAnsi="Times New Roman" w:cs="Times New Roman"/>
          <w:sz w:val="24"/>
          <w:szCs w:val="24"/>
        </w:rPr>
        <w:t>, including six</w:t>
      </w:r>
      <w:r w:rsidR="007E6D33">
        <w:rPr>
          <w:rFonts w:ascii="Times New Roman" w:hAnsi="Times New Roman" w:cs="Times New Roman"/>
          <w:sz w:val="24"/>
          <w:szCs w:val="24"/>
        </w:rPr>
        <w:t>-</w:t>
      </w:r>
      <w:r w:rsidR="00816D0D">
        <w:rPr>
          <w:rFonts w:ascii="Times New Roman" w:hAnsi="Times New Roman" w:cs="Times New Roman"/>
          <w:sz w:val="24"/>
          <w:szCs w:val="24"/>
        </w:rPr>
        <w:t>months follow-up to confirm that a diagnosis of TB was excluded where a non-TB diagnosis was not made at presentation</w:t>
      </w:r>
      <w:r w:rsidR="00816D0D" w:rsidRPr="00957E32">
        <w:rPr>
          <w:rFonts w:ascii="Times New Roman" w:hAnsi="Times New Roman" w:cs="Times New Roman"/>
          <w:sz w:val="24"/>
          <w:szCs w:val="24"/>
        </w:rPr>
        <w:t xml:space="preserve">. For </w:t>
      </w:r>
      <w:r w:rsidR="00816D0D">
        <w:rPr>
          <w:rFonts w:ascii="Times New Roman" w:hAnsi="Times New Roman" w:cs="Times New Roman"/>
          <w:sz w:val="24"/>
          <w:szCs w:val="24"/>
        </w:rPr>
        <w:t>highly-probable</w:t>
      </w:r>
      <w:r w:rsidR="00816D0D" w:rsidRPr="00957E32">
        <w:rPr>
          <w:rFonts w:ascii="Times New Roman" w:hAnsi="Times New Roman" w:cs="Times New Roman"/>
          <w:sz w:val="24"/>
          <w:szCs w:val="24"/>
        </w:rPr>
        <w:t xml:space="preserve"> </w:t>
      </w:r>
      <w:r>
        <w:rPr>
          <w:rFonts w:ascii="Times New Roman" w:hAnsi="Times New Roman" w:cs="Times New Roman"/>
          <w:sz w:val="24"/>
          <w:szCs w:val="24"/>
        </w:rPr>
        <w:t>TB</w:t>
      </w:r>
      <w:r w:rsidR="00FA44AD">
        <w:rPr>
          <w:rFonts w:ascii="Times New Roman" w:hAnsi="Times New Roman" w:cs="Times New Roman"/>
          <w:sz w:val="24"/>
          <w:szCs w:val="24"/>
        </w:rPr>
        <w:t>,</w:t>
      </w:r>
      <w:r>
        <w:rPr>
          <w:rFonts w:ascii="Times New Roman" w:hAnsi="Times New Roman" w:cs="Times New Roman"/>
          <w:sz w:val="24"/>
          <w:szCs w:val="24"/>
        </w:rPr>
        <w:t xml:space="preserve"> </w:t>
      </w:r>
      <w:r w:rsidR="00816D0D" w:rsidRPr="00957E32">
        <w:rPr>
          <w:rFonts w:ascii="Times New Roman" w:hAnsi="Times New Roman" w:cs="Times New Roman"/>
          <w:sz w:val="24"/>
          <w:szCs w:val="24"/>
        </w:rPr>
        <w:t>we used a composite reference standard</w:t>
      </w:r>
      <w:r w:rsidR="00816D0D" w:rsidRPr="001B1048">
        <w:rPr>
          <w:rFonts w:ascii="Times New Roman" w:hAnsi="Times New Roman" w:cs="Times New Roman"/>
          <w:sz w:val="24"/>
          <w:szCs w:val="24"/>
          <w:vertAlign w:val="superscript"/>
        </w:rPr>
        <w:t>1</w:t>
      </w:r>
      <w:r w:rsidR="00816D0D" w:rsidRPr="00957E32">
        <w:rPr>
          <w:rFonts w:ascii="Times New Roman" w:hAnsi="Times New Roman" w:cs="Times New Roman"/>
          <w:sz w:val="24"/>
          <w:szCs w:val="24"/>
        </w:rPr>
        <w:t xml:space="preserve"> that was applied by a panel of expert and experienced clinicians, blinded to IGRA results. Despite this stringent case definition, it is likely that a proportion of patients without TB were incorrectly categorised as </w:t>
      </w:r>
      <w:r w:rsidR="00B11A38">
        <w:rPr>
          <w:rFonts w:ascii="Times New Roman" w:hAnsi="Times New Roman" w:cs="Times New Roman"/>
          <w:sz w:val="24"/>
          <w:szCs w:val="24"/>
        </w:rPr>
        <w:t xml:space="preserve">having </w:t>
      </w:r>
      <w:r w:rsidR="00816D0D" w:rsidRPr="00957E32">
        <w:rPr>
          <w:rFonts w:ascii="Times New Roman" w:hAnsi="Times New Roman" w:cs="Times New Roman"/>
          <w:sz w:val="24"/>
          <w:szCs w:val="24"/>
        </w:rPr>
        <w:t>highly-probable TB, which would explain why all IGRAs had lower sensitivity for highly-probable TB than for all TB</w:t>
      </w:r>
      <w:r>
        <w:rPr>
          <w:rFonts w:ascii="Times New Roman" w:hAnsi="Times New Roman" w:cs="Times New Roman"/>
          <w:sz w:val="24"/>
          <w:szCs w:val="24"/>
        </w:rPr>
        <w:t>, which includes culture-confirmed cases</w:t>
      </w:r>
      <w:r w:rsidR="00816D0D" w:rsidRPr="00957E32">
        <w:rPr>
          <w:rFonts w:ascii="Times New Roman" w:hAnsi="Times New Roman" w:cs="Times New Roman"/>
          <w:sz w:val="24"/>
          <w:szCs w:val="24"/>
        </w:rPr>
        <w:t>.</w:t>
      </w:r>
      <w:r w:rsidR="00816D0D">
        <w:rPr>
          <w:rFonts w:ascii="Times New Roman" w:hAnsi="Times New Roman" w:cs="Times New Roman"/>
          <w:sz w:val="24"/>
          <w:szCs w:val="24"/>
        </w:rPr>
        <w:t xml:space="preserve"> </w:t>
      </w:r>
      <w:r w:rsidR="00AF6551">
        <w:rPr>
          <w:rFonts w:ascii="Times New Roman" w:hAnsi="Times New Roman" w:cs="Times New Roman"/>
          <w:sz w:val="24"/>
          <w:szCs w:val="24"/>
        </w:rPr>
        <w:t xml:space="preserve">Thus, our estimates </w:t>
      </w:r>
      <w:r w:rsidR="006E6909">
        <w:rPr>
          <w:rFonts w:ascii="Times New Roman" w:hAnsi="Times New Roman" w:cs="Times New Roman"/>
          <w:sz w:val="24"/>
          <w:szCs w:val="24"/>
        </w:rPr>
        <w:t xml:space="preserve">of diagnostic </w:t>
      </w:r>
      <w:r w:rsidR="006E6909" w:rsidRPr="006E6909">
        <w:rPr>
          <w:rFonts w:ascii="Times New Roman" w:hAnsi="Times New Roman" w:cs="Times New Roman"/>
          <w:sz w:val="24"/>
          <w:szCs w:val="24"/>
        </w:rPr>
        <w:t xml:space="preserve">sensitivity </w:t>
      </w:r>
      <w:r w:rsidR="00AF6551">
        <w:rPr>
          <w:rFonts w:ascii="Times New Roman" w:hAnsi="Times New Roman" w:cs="Times New Roman"/>
          <w:sz w:val="24"/>
          <w:szCs w:val="24"/>
        </w:rPr>
        <w:t>for all TB</w:t>
      </w:r>
      <w:r w:rsidR="006E6909">
        <w:rPr>
          <w:rFonts w:ascii="Times New Roman" w:hAnsi="Times New Roman" w:cs="Times New Roman"/>
          <w:sz w:val="24"/>
          <w:szCs w:val="24"/>
        </w:rPr>
        <w:t>, which includes highly-probable TB</w:t>
      </w:r>
      <w:r>
        <w:rPr>
          <w:rFonts w:ascii="Times New Roman" w:hAnsi="Times New Roman" w:cs="Times New Roman"/>
          <w:sz w:val="24"/>
          <w:szCs w:val="24"/>
        </w:rPr>
        <w:t xml:space="preserve">, </w:t>
      </w:r>
      <w:r w:rsidR="00AF6551">
        <w:rPr>
          <w:rFonts w:ascii="Times New Roman" w:hAnsi="Times New Roman" w:cs="Times New Roman"/>
          <w:sz w:val="24"/>
          <w:szCs w:val="24"/>
        </w:rPr>
        <w:t xml:space="preserve">are likely conservative. </w:t>
      </w:r>
      <w:r w:rsidR="00B11A38">
        <w:rPr>
          <w:rFonts w:ascii="Times New Roman" w:hAnsi="Times New Roman" w:cs="Times New Roman"/>
          <w:sz w:val="24"/>
          <w:szCs w:val="24"/>
        </w:rPr>
        <w:t xml:space="preserve">This highlights the significance of </w:t>
      </w:r>
      <w:r w:rsidR="00C52390">
        <w:rPr>
          <w:rFonts w:ascii="Times New Roman" w:hAnsi="Times New Roman" w:cs="Times New Roman"/>
          <w:sz w:val="24"/>
          <w:szCs w:val="24"/>
        </w:rPr>
        <w:t>increased</w:t>
      </w:r>
      <w:r w:rsidR="00B11A38">
        <w:rPr>
          <w:rFonts w:ascii="Times New Roman" w:hAnsi="Times New Roman" w:cs="Times New Roman"/>
          <w:sz w:val="24"/>
          <w:szCs w:val="24"/>
        </w:rPr>
        <w:t xml:space="preserve"> </w:t>
      </w:r>
      <w:r w:rsidR="00AF6551">
        <w:rPr>
          <w:rFonts w:ascii="Times New Roman" w:hAnsi="Times New Roman" w:cs="Times New Roman"/>
          <w:sz w:val="24"/>
          <w:szCs w:val="24"/>
        </w:rPr>
        <w:t xml:space="preserve">IGRA </w:t>
      </w:r>
      <w:r w:rsidR="00B11A38">
        <w:rPr>
          <w:rFonts w:ascii="Times New Roman" w:hAnsi="Times New Roman" w:cs="Times New Roman"/>
          <w:sz w:val="24"/>
          <w:szCs w:val="24"/>
        </w:rPr>
        <w:t>sensitivity in culture-</w:t>
      </w:r>
      <w:r>
        <w:rPr>
          <w:rFonts w:ascii="Times New Roman" w:hAnsi="Times New Roman" w:cs="Times New Roman"/>
          <w:sz w:val="24"/>
          <w:szCs w:val="24"/>
        </w:rPr>
        <w:t>confirmed</w:t>
      </w:r>
      <w:r w:rsidR="00B11A38">
        <w:rPr>
          <w:rFonts w:ascii="Times New Roman" w:hAnsi="Times New Roman" w:cs="Times New Roman"/>
          <w:sz w:val="24"/>
          <w:szCs w:val="24"/>
        </w:rPr>
        <w:t xml:space="preserve"> TB (and the importance of </w:t>
      </w:r>
      <w:r w:rsidR="00FB7D97">
        <w:rPr>
          <w:rFonts w:ascii="Times New Roman" w:hAnsi="Times New Roman" w:cs="Times New Roman"/>
          <w:sz w:val="24"/>
          <w:szCs w:val="24"/>
        </w:rPr>
        <w:t xml:space="preserve">including </w:t>
      </w:r>
      <w:r w:rsidR="00B11A38">
        <w:rPr>
          <w:rFonts w:ascii="Times New Roman" w:hAnsi="Times New Roman" w:cs="Times New Roman"/>
          <w:sz w:val="24"/>
          <w:szCs w:val="24"/>
        </w:rPr>
        <w:t xml:space="preserve">this sub-group in study analyses) as this is the </w:t>
      </w:r>
      <w:r>
        <w:rPr>
          <w:rFonts w:ascii="Times New Roman" w:hAnsi="Times New Roman" w:cs="Times New Roman"/>
          <w:sz w:val="24"/>
          <w:szCs w:val="24"/>
        </w:rPr>
        <w:t xml:space="preserve">only </w:t>
      </w:r>
      <w:r w:rsidR="00B11A38">
        <w:rPr>
          <w:rFonts w:ascii="Times New Roman" w:hAnsi="Times New Roman" w:cs="Times New Roman"/>
          <w:sz w:val="24"/>
          <w:szCs w:val="24"/>
        </w:rPr>
        <w:t xml:space="preserve">population in </w:t>
      </w:r>
      <w:r>
        <w:rPr>
          <w:rFonts w:ascii="Times New Roman" w:hAnsi="Times New Roman" w:cs="Times New Roman"/>
          <w:sz w:val="24"/>
          <w:szCs w:val="24"/>
        </w:rPr>
        <w:t>whom</w:t>
      </w:r>
      <w:r w:rsidR="00B11A38">
        <w:rPr>
          <w:rFonts w:ascii="Times New Roman" w:hAnsi="Times New Roman" w:cs="Times New Roman"/>
          <w:sz w:val="24"/>
          <w:szCs w:val="24"/>
        </w:rPr>
        <w:t xml:space="preserve"> TB diagnoses are definitive. </w:t>
      </w:r>
    </w:p>
    <w:p w14:paraId="7E8BB28B" w14:textId="45A3C576" w:rsidR="00816D0D" w:rsidRDefault="009D5625" w:rsidP="009C2BA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Our study has some limitations. First, it does not include children, in whom the unmet clinical need for improved diagnosis of TB is high. Second, the numbers of patients with risk-factors associated with immunosuppression that do</w:t>
      </w:r>
      <w:r w:rsidR="00C52390">
        <w:rPr>
          <w:rFonts w:ascii="Times New Roman" w:hAnsi="Times New Roman" w:cs="Times New Roman"/>
          <w:sz w:val="24"/>
          <w:szCs w:val="24"/>
        </w:rPr>
        <w:t xml:space="preserve"> (</w:t>
      </w:r>
      <w:r>
        <w:rPr>
          <w:rFonts w:ascii="Times New Roman" w:hAnsi="Times New Roman" w:cs="Times New Roman"/>
          <w:sz w:val="24"/>
          <w:szCs w:val="24"/>
        </w:rPr>
        <w:t>e</w:t>
      </w:r>
      <w:r w:rsidR="00873D1D">
        <w:rPr>
          <w:rFonts w:ascii="Times New Roman" w:hAnsi="Times New Roman" w:cs="Times New Roman"/>
          <w:sz w:val="24"/>
          <w:szCs w:val="24"/>
        </w:rPr>
        <w:t>.</w:t>
      </w:r>
      <w:r>
        <w:rPr>
          <w:rFonts w:ascii="Times New Roman" w:hAnsi="Times New Roman" w:cs="Times New Roman"/>
          <w:sz w:val="24"/>
          <w:szCs w:val="24"/>
        </w:rPr>
        <w:t>g</w:t>
      </w:r>
      <w:r w:rsidR="00873D1D">
        <w:rPr>
          <w:rFonts w:ascii="Times New Roman" w:hAnsi="Times New Roman" w:cs="Times New Roman"/>
          <w:sz w:val="24"/>
          <w:szCs w:val="24"/>
        </w:rPr>
        <w:t>.</w:t>
      </w:r>
      <w:r>
        <w:rPr>
          <w:rFonts w:ascii="Times New Roman" w:hAnsi="Times New Roman" w:cs="Times New Roman"/>
          <w:sz w:val="24"/>
          <w:szCs w:val="24"/>
        </w:rPr>
        <w:t xml:space="preserve"> HIV-infection</w:t>
      </w:r>
      <w:r w:rsidR="00C52390">
        <w:rPr>
          <w:rFonts w:ascii="Times New Roman" w:hAnsi="Times New Roman" w:cs="Times New Roman"/>
          <w:sz w:val="24"/>
          <w:szCs w:val="24"/>
        </w:rPr>
        <w:t>)</w:t>
      </w:r>
      <w:r>
        <w:rPr>
          <w:rFonts w:ascii="Times New Roman" w:hAnsi="Times New Roman" w:cs="Times New Roman"/>
          <w:sz w:val="24"/>
          <w:szCs w:val="24"/>
        </w:rPr>
        <w:t xml:space="preserve"> or might</w:t>
      </w:r>
      <w:r w:rsidR="00C52390">
        <w:rPr>
          <w:rFonts w:ascii="Times New Roman" w:hAnsi="Times New Roman" w:cs="Times New Roman"/>
          <w:sz w:val="24"/>
          <w:szCs w:val="24"/>
        </w:rPr>
        <w:t xml:space="preserve"> (</w:t>
      </w:r>
      <w:r>
        <w:rPr>
          <w:rFonts w:ascii="Times New Roman" w:hAnsi="Times New Roman" w:cs="Times New Roman"/>
          <w:sz w:val="24"/>
          <w:szCs w:val="24"/>
        </w:rPr>
        <w:t>e</w:t>
      </w:r>
      <w:r w:rsidR="00873D1D">
        <w:rPr>
          <w:rFonts w:ascii="Times New Roman" w:hAnsi="Times New Roman" w:cs="Times New Roman"/>
          <w:sz w:val="24"/>
          <w:szCs w:val="24"/>
        </w:rPr>
        <w:t>.</w:t>
      </w:r>
      <w:r>
        <w:rPr>
          <w:rFonts w:ascii="Times New Roman" w:hAnsi="Times New Roman" w:cs="Times New Roman"/>
          <w:sz w:val="24"/>
          <w:szCs w:val="24"/>
        </w:rPr>
        <w:t>g</w:t>
      </w:r>
      <w:r w:rsidR="00873D1D">
        <w:rPr>
          <w:rFonts w:ascii="Times New Roman" w:hAnsi="Times New Roman" w:cs="Times New Roman"/>
          <w:sz w:val="24"/>
          <w:szCs w:val="24"/>
        </w:rPr>
        <w:t>.</w:t>
      </w:r>
      <w:r>
        <w:rPr>
          <w:rFonts w:ascii="Times New Roman" w:hAnsi="Times New Roman" w:cs="Times New Roman"/>
          <w:sz w:val="24"/>
          <w:szCs w:val="24"/>
        </w:rPr>
        <w:t xml:space="preserve"> diabetes</w:t>
      </w:r>
      <w:r w:rsidR="00C52390">
        <w:rPr>
          <w:rFonts w:ascii="Times New Roman" w:hAnsi="Times New Roman" w:cs="Times New Roman"/>
          <w:sz w:val="24"/>
          <w:szCs w:val="24"/>
        </w:rPr>
        <w:t>)</w:t>
      </w:r>
      <w:r>
        <w:rPr>
          <w:rFonts w:ascii="Times New Roman" w:hAnsi="Times New Roman" w:cs="Times New Roman"/>
          <w:sz w:val="24"/>
          <w:szCs w:val="24"/>
        </w:rPr>
        <w:t xml:space="preserve"> affect test performance were modest, precluding clear conclusions about test performance in these subpopulations. </w:t>
      </w:r>
      <w:r w:rsidR="00562881">
        <w:rPr>
          <w:rFonts w:ascii="Times New Roman" w:hAnsi="Times New Roman" w:cs="Times New Roman"/>
          <w:sz w:val="24"/>
          <w:szCs w:val="24"/>
        </w:rPr>
        <w:t xml:space="preserve">Third, whilst blood collection and assays were performed strictly in accordance with manufacturers’ instructions, IGRAs were not performed in a routine </w:t>
      </w:r>
      <w:r w:rsidR="00562881">
        <w:rPr>
          <w:rFonts w:ascii="Times New Roman" w:hAnsi="Times New Roman" w:cs="Times New Roman"/>
          <w:sz w:val="24"/>
          <w:szCs w:val="24"/>
        </w:rPr>
        <w:lastRenderedPageBreak/>
        <w:t>diagnostic service laboratory, and</w:t>
      </w:r>
      <w:r w:rsidR="00562881" w:rsidDel="00D73AA6">
        <w:rPr>
          <w:rFonts w:ascii="Times New Roman" w:hAnsi="Times New Roman" w:cs="Times New Roman"/>
          <w:sz w:val="24"/>
          <w:szCs w:val="24"/>
        </w:rPr>
        <w:t xml:space="preserve"> </w:t>
      </w:r>
      <w:r w:rsidR="00562881">
        <w:rPr>
          <w:rFonts w:ascii="Times New Roman" w:hAnsi="Times New Roman" w:cs="Times New Roman"/>
          <w:sz w:val="24"/>
          <w:szCs w:val="24"/>
        </w:rPr>
        <w:t xml:space="preserve"> re-testing of new samples was not performed in cases where initial results were indeterminate or borderline (as recommended by manufacturers).</w:t>
      </w:r>
    </w:p>
    <w:p w14:paraId="2A5F47F9" w14:textId="5A26FE96" w:rsidR="00816D0D" w:rsidRDefault="00816D0D" w:rsidP="009C2BA9">
      <w:pPr>
        <w:spacing w:after="0" w:line="480" w:lineRule="auto"/>
        <w:jc w:val="both"/>
        <w:rPr>
          <w:rFonts w:ascii="Times New Roman" w:hAnsi="Times New Roman" w:cs="Times New Roman"/>
          <w:sz w:val="24"/>
          <w:szCs w:val="24"/>
        </w:rPr>
      </w:pPr>
      <w:r w:rsidRPr="00957E32">
        <w:rPr>
          <w:rFonts w:ascii="Times New Roman" w:hAnsi="Times New Roman" w:cs="Times New Roman"/>
          <w:sz w:val="24"/>
          <w:szCs w:val="24"/>
        </w:rPr>
        <w:t xml:space="preserve">Although the QFT-GIT has been replaced by the QFT-GIT-Plus since our study was conducted, </w:t>
      </w:r>
      <w:r w:rsidRPr="009D5625">
        <w:rPr>
          <w:rFonts w:ascii="Times New Roman" w:hAnsi="Times New Roman" w:cs="Times New Roman"/>
          <w:sz w:val="24"/>
          <w:szCs w:val="24"/>
        </w:rPr>
        <w:t xml:space="preserve">its </w:t>
      </w:r>
      <w:r>
        <w:rPr>
          <w:rFonts w:ascii="Times New Roman" w:hAnsi="Times New Roman" w:cs="Times New Roman"/>
          <w:sz w:val="24"/>
          <w:szCs w:val="24"/>
        </w:rPr>
        <w:t>diagnostic accuracy does</w:t>
      </w:r>
      <w:r w:rsidRPr="009D5625">
        <w:rPr>
          <w:rFonts w:ascii="Times New Roman" w:hAnsi="Times New Roman" w:cs="Times New Roman"/>
          <w:sz w:val="24"/>
          <w:szCs w:val="24"/>
        </w:rPr>
        <w:t xml:space="preserve"> not appear to be significantly </w:t>
      </w:r>
      <w:r>
        <w:rPr>
          <w:rFonts w:ascii="Times New Roman" w:hAnsi="Times New Roman" w:cs="Times New Roman"/>
          <w:sz w:val="24"/>
          <w:szCs w:val="24"/>
        </w:rPr>
        <w:t>better than</w:t>
      </w:r>
      <w:r w:rsidRPr="009D5625">
        <w:rPr>
          <w:rFonts w:ascii="Times New Roman" w:hAnsi="Times New Roman" w:cs="Times New Roman"/>
          <w:sz w:val="24"/>
          <w:szCs w:val="24"/>
        </w:rPr>
        <w:t xml:space="preserve"> QFT-GIT </w:t>
      </w:r>
      <w:r>
        <w:rPr>
          <w:rFonts w:ascii="Times New Roman" w:hAnsi="Times New Roman" w:cs="Times New Roman"/>
          <w:sz w:val="24"/>
          <w:szCs w:val="24"/>
        </w:rPr>
        <w:t xml:space="preserve">and </w:t>
      </w:r>
      <w:r w:rsidRPr="00957E32">
        <w:rPr>
          <w:rFonts w:ascii="Times New Roman" w:hAnsi="Times New Roman" w:cs="Times New Roman"/>
          <w:sz w:val="24"/>
          <w:szCs w:val="24"/>
        </w:rPr>
        <w:t>there is</w:t>
      </w:r>
      <w:r>
        <w:rPr>
          <w:rFonts w:ascii="Times New Roman" w:hAnsi="Times New Roman" w:cs="Times New Roman"/>
          <w:sz w:val="24"/>
          <w:szCs w:val="24"/>
        </w:rPr>
        <w:t xml:space="preserve"> </w:t>
      </w:r>
      <w:r w:rsidRPr="00957E32">
        <w:rPr>
          <w:rFonts w:ascii="Times New Roman" w:hAnsi="Times New Roman" w:cs="Times New Roman"/>
          <w:sz w:val="24"/>
          <w:szCs w:val="24"/>
        </w:rPr>
        <w:t xml:space="preserve">no evidence </w:t>
      </w:r>
      <w:r>
        <w:rPr>
          <w:rFonts w:ascii="Times New Roman" w:hAnsi="Times New Roman" w:cs="Times New Roman"/>
          <w:sz w:val="24"/>
          <w:szCs w:val="24"/>
        </w:rPr>
        <w:t>it</w:t>
      </w:r>
      <w:r w:rsidRPr="00957E32">
        <w:rPr>
          <w:rFonts w:ascii="Times New Roman" w:hAnsi="Times New Roman" w:cs="Times New Roman"/>
          <w:sz w:val="24"/>
          <w:szCs w:val="24"/>
        </w:rPr>
        <w:t xml:space="preserve"> is as sensitive </w:t>
      </w:r>
      <w:r w:rsidR="0070750C">
        <w:rPr>
          <w:rFonts w:ascii="Times New Roman" w:hAnsi="Times New Roman" w:cs="Times New Roman"/>
          <w:sz w:val="24"/>
          <w:szCs w:val="24"/>
        </w:rPr>
        <w:t>as</w:t>
      </w:r>
      <w:r w:rsidR="0070750C" w:rsidRPr="00957E32">
        <w:rPr>
          <w:rFonts w:ascii="Times New Roman" w:hAnsi="Times New Roman" w:cs="Times New Roman"/>
          <w:sz w:val="24"/>
          <w:szCs w:val="24"/>
        </w:rPr>
        <w:t xml:space="preserve"> </w:t>
      </w:r>
      <w:r w:rsidRPr="00957E32">
        <w:rPr>
          <w:rFonts w:ascii="Times New Roman" w:hAnsi="Times New Roman" w:cs="Times New Roman"/>
          <w:sz w:val="24"/>
          <w:szCs w:val="24"/>
        </w:rPr>
        <w:t>T-SPOT.TB.</w:t>
      </w:r>
      <w:r w:rsidRPr="001B1048">
        <w:rPr>
          <w:rFonts w:ascii="Times New Roman" w:hAnsi="Times New Roman" w:cs="Times New Roman"/>
          <w:sz w:val="24"/>
          <w:szCs w:val="24"/>
          <w:vertAlign w:val="superscript"/>
        </w:rPr>
        <w:t>2</w:t>
      </w:r>
      <w:r w:rsidR="00AF2A34">
        <w:rPr>
          <w:rFonts w:ascii="Times New Roman" w:hAnsi="Times New Roman" w:cs="Times New Roman"/>
          <w:sz w:val="24"/>
          <w:szCs w:val="24"/>
          <w:vertAlign w:val="superscript"/>
        </w:rPr>
        <w:t>9</w:t>
      </w:r>
      <w:r>
        <w:rPr>
          <w:rFonts w:ascii="Times New Roman" w:hAnsi="Times New Roman" w:cs="Times New Roman"/>
          <w:sz w:val="24"/>
          <w:szCs w:val="24"/>
          <w:vertAlign w:val="superscript"/>
        </w:rPr>
        <w:t>,</w:t>
      </w:r>
      <w:r w:rsidR="00AF2A34">
        <w:rPr>
          <w:rFonts w:ascii="Times New Roman" w:hAnsi="Times New Roman" w:cs="Times New Roman"/>
          <w:sz w:val="24"/>
          <w:szCs w:val="24"/>
          <w:vertAlign w:val="superscript"/>
        </w:rPr>
        <w:t>30</w:t>
      </w:r>
      <w:r w:rsidRPr="00957E32">
        <w:rPr>
          <w:rFonts w:ascii="Times New Roman" w:hAnsi="Times New Roman" w:cs="Times New Roman"/>
          <w:sz w:val="24"/>
          <w:szCs w:val="24"/>
        </w:rPr>
        <w:t xml:space="preserve"> Therefore, our conclusion that neither existing IGRA has a clinically useful role in the evaluation of suspected active TB is unaffected by availability of QFT-GIT-Plus.</w:t>
      </w:r>
    </w:p>
    <w:p w14:paraId="56C6FDE6" w14:textId="6DEDCAB5" w:rsidR="00504A04" w:rsidRDefault="00504A04" w:rsidP="009C2BA9">
      <w:pPr>
        <w:spacing w:after="0" w:line="480" w:lineRule="auto"/>
        <w:jc w:val="both"/>
        <w:rPr>
          <w:rFonts w:ascii="Times New Roman" w:hAnsi="Times New Roman" w:cs="Times New Roman"/>
          <w:sz w:val="24"/>
          <w:szCs w:val="24"/>
        </w:rPr>
      </w:pPr>
      <w:r w:rsidRPr="00504A04">
        <w:rPr>
          <w:rFonts w:ascii="Times New Roman" w:hAnsi="Times New Roman" w:cs="Times New Roman"/>
          <w:sz w:val="24"/>
          <w:szCs w:val="24"/>
        </w:rPr>
        <w:t xml:space="preserve">In conclusion, our study provides </w:t>
      </w:r>
      <w:r w:rsidR="00714C66">
        <w:rPr>
          <w:rFonts w:ascii="Times New Roman" w:hAnsi="Times New Roman" w:cs="Times New Roman"/>
          <w:sz w:val="24"/>
          <w:szCs w:val="24"/>
        </w:rPr>
        <w:t xml:space="preserve">conclusive and </w:t>
      </w:r>
      <w:r w:rsidR="00671684">
        <w:rPr>
          <w:rFonts w:ascii="Times New Roman" w:hAnsi="Times New Roman" w:cs="Times New Roman"/>
          <w:sz w:val="24"/>
          <w:szCs w:val="24"/>
        </w:rPr>
        <w:t>generali</w:t>
      </w:r>
      <w:r w:rsidR="0070750C">
        <w:rPr>
          <w:rFonts w:ascii="Times New Roman" w:hAnsi="Times New Roman" w:cs="Times New Roman"/>
          <w:sz w:val="24"/>
          <w:szCs w:val="24"/>
        </w:rPr>
        <w:t>z</w:t>
      </w:r>
      <w:r w:rsidR="00671684">
        <w:rPr>
          <w:rFonts w:ascii="Times New Roman" w:hAnsi="Times New Roman" w:cs="Times New Roman"/>
          <w:sz w:val="24"/>
          <w:szCs w:val="24"/>
        </w:rPr>
        <w:t>able</w:t>
      </w:r>
      <w:r w:rsidR="00714C66" w:rsidRPr="00504A04">
        <w:rPr>
          <w:rFonts w:ascii="Times New Roman" w:hAnsi="Times New Roman" w:cs="Times New Roman"/>
          <w:sz w:val="24"/>
          <w:szCs w:val="24"/>
        </w:rPr>
        <w:t xml:space="preserve"> </w:t>
      </w:r>
      <w:r w:rsidRPr="00504A04">
        <w:rPr>
          <w:rFonts w:ascii="Times New Roman" w:hAnsi="Times New Roman" w:cs="Times New Roman"/>
          <w:sz w:val="24"/>
          <w:szCs w:val="24"/>
        </w:rPr>
        <w:t>evidence that existing IGRAs do not have a useful role as rule</w:t>
      </w:r>
      <w:r w:rsidR="00873D1D">
        <w:rPr>
          <w:rFonts w:ascii="Times New Roman" w:hAnsi="Times New Roman" w:cs="Times New Roman"/>
          <w:sz w:val="24"/>
          <w:szCs w:val="24"/>
        </w:rPr>
        <w:t>-</w:t>
      </w:r>
      <w:r w:rsidRPr="00504A04">
        <w:rPr>
          <w:rFonts w:ascii="Times New Roman" w:hAnsi="Times New Roman" w:cs="Times New Roman"/>
          <w:sz w:val="24"/>
          <w:szCs w:val="24"/>
        </w:rPr>
        <w:t>in or rule</w:t>
      </w:r>
      <w:r w:rsidR="00873D1D">
        <w:rPr>
          <w:rFonts w:ascii="Times New Roman" w:hAnsi="Times New Roman" w:cs="Times New Roman"/>
          <w:sz w:val="24"/>
          <w:szCs w:val="24"/>
        </w:rPr>
        <w:t>-</w:t>
      </w:r>
      <w:r w:rsidRPr="00504A04">
        <w:rPr>
          <w:rFonts w:ascii="Times New Roman" w:hAnsi="Times New Roman" w:cs="Times New Roman"/>
          <w:sz w:val="24"/>
          <w:szCs w:val="24"/>
        </w:rPr>
        <w:t xml:space="preserve">out tests in routine clinical practice. However, </w:t>
      </w:r>
      <w:r w:rsidR="00C9141C">
        <w:rPr>
          <w:rFonts w:ascii="Times New Roman" w:hAnsi="Times New Roman" w:cs="Times New Roman"/>
          <w:sz w:val="24"/>
          <w:szCs w:val="24"/>
        </w:rPr>
        <w:t>second-generation</w:t>
      </w:r>
      <w:r w:rsidRPr="00504A04">
        <w:rPr>
          <w:rFonts w:ascii="Times New Roman" w:hAnsi="Times New Roman" w:cs="Times New Roman"/>
          <w:sz w:val="24"/>
          <w:szCs w:val="24"/>
        </w:rPr>
        <w:t xml:space="preserve"> IGRAs have high</w:t>
      </w:r>
      <w:r w:rsidR="00741757">
        <w:rPr>
          <w:rFonts w:ascii="Times New Roman" w:hAnsi="Times New Roman" w:cs="Times New Roman"/>
          <w:sz w:val="24"/>
          <w:szCs w:val="24"/>
        </w:rPr>
        <w:t>er</w:t>
      </w:r>
      <w:r w:rsidRPr="00504A04">
        <w:rPr>
          <w:rFonts w:ascii="Times New Roman" w:hAnsi="Times New Roman" w:cs="Times New Roman"/>
          <w:sz w:val="24"/>
          <w:szCs w:val="24"/>
        </w:rPr>
        <w:t xml:space="preserve"> sensitivity and NPV</w:t>
      </w:r>
      <w:r w:rsidR="00EC4472">
        <w:rPr>
          <w:rFonts w:ascii="Times New Roman" w:hAnsi="Times New Roman" w:cs="Times New Roman"/>
          <w:sz w:val="24"/>
          <w:szCs w:val="24"/>
        </w:rPr>
        <w:t xml:space="preserve"> which </w:t>
      </w:r>
      <w:r w:rsidR="00741757">
        <w:rPr>
          <w:rFonts w:ascii="Times New Roman" w:hAnsi="Times New Roman" w:cs="Times New Roman"/>
          <w:sz w:val="24"/>
          <w:szCs w:val="24"/>
        </w:rPr>
        <w:t>may</w:t>
      </w:r>
      <w:r w:rsidRPr="00504A04">
        <w:rPr>
          <w:rFonts w:ascii="Times New Roman" w:hAnsi="Times New Roman" w:cs="Times New Roman"/>
          <w:sz w:val="24"/>
          <w:szCs w:val="24"/>
        </w:rPr>
        <w:t xml:space="preserve"> help</w:t>
      </w:r>
      <w:r w:rsidR="00671684">
        <w:rPr>
          <w:rFonts w:ascii="Times New Roman" w:hAnsi="Times New Roman" w:cs="Times New Roman"/>
          <w:sz w:val="24"/>
          <w:szCs w:val="24"/>
        </w:rPr>
        <w:t xml:space="preserve"> to</w:t>
      </w:r>
      <w:r w:rsidRPr="00504A04">
        <w:rPr>
          <w:rFonts w:ascii="Times New Roman" w:hAnsi="Times New Roman" w:cs="Times New Roman"/>
          <w:sz w:val="24"/>
          <w:szCs w:val="24"/>
        </w:rPr>
        <w:t xml:space="preserve"> rule out a diagnosis of TB in </w:t>
      </w:r>
      <w:r w:rsidR="00154BA8">
        <w:rPr>
          <w:rFonts w:ascii="Times New Roman" w:hAnsi="Times New Roman" w:cs="Times New Roman"/>
          <w:sz w:val="24"/>
          <w:szCs w:val="24"/>
        </w:rPr>
        <w:t xml:space="preserve">clinical </w:t>
      </w:r>
      <w:r w:rsidRPr="00504A04">
        <w:rPr>
          <w:rFonts w:ascii="Times New Roman" w:hAnsi="Times New Roman" w:cs="Times New Roman"/>
          <w:sz w:val="24"/>
          <w:szCs w:val="24"/>
        </w:rPr>
        <w:t xml:space="preserve">settings with a low-to-moderate prevalence of TB. </w:t>
      </w:r>
    </w:p>
    <w:p w14:paraId="5E3A7BD0" w14:textId="77777777" w:rsidR="009F5498" w:rsidRPr="00504A04" w:rsidRDefault="009F5498" w:rsidP="009C2BA9">
      <w:pPr>
        <w:spacing w:after="0" w:line="480" w:lineRule="auto"/>
        <w:jc w:val="both"/>
        <w:rPr>
          <w:rFonts w:ascii="Times New Roman" w:hAnsi="Times New Roman" w:cs="Times New Roman"/>
          <w:sz w:val="24"/>
          <w:szCs w:val="24"/>
        </w:rPr>
      </w:pPr>
    </w:p>
    <w:p w14:paraId="577522AC" w14:textId="77777777" w:rsidR="00562881" w:rsidRDefault="00562881" w:rsidP="00562881">
      <w:pPr>
        <w:spacing w:after="0" w:line="480" w:lineRule="auto"/>
        <w:rPr>
          <w:rFonts w:ascii="Times New Roman" w:hAnsi="Times New Roman" w:cs="Times New Roman"/>
          <w:b/>
          <w:sz w:val="24"/>
          <w:szCs w:val="24"/>
        </w:rPr>
      </w:pPr>
      <w:r>
        <w:rPr>
          <w:rFonts w:ascii="Times New Roman" w:hAnsi="Times New Roman" w:cs="Times New Roman"/>
          <w:b/>
          <w:sz w:val="24"/>
          <w:szCs w:val="24"/>
        </w:rPr>
        <w:t>CONTRIBUTORS</w:t>
      </w:r>
    </w:p>
    <w:p w14:paraId="3ADB66D2" w14:textId="7D79AEB6" w:rsidR="00562881" w:rsidRDefault="00562881" w:rsidP="0056288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H</w:t>
      </w:r>
      <w:r w:rsidR="00AD5EB7">
        <w:rPr>
          <w:rFonts w:ascii="Times New Roman" w:hAnsi="Times New Roman" w:cs="Times New Roman"/>
          <w:sz w:val="24"/>
          <w:szCs w:val="24"/>
        </w:rPr>
        <w:t>S</w:t>
      </w:r>
      <w:r>
        <w:rPr>
          <w:rFonts w:ascii="Times New Roman" w:hAnsi="Times New Roman" w:cs="Times New Roman"/>
          <w:sz w:val="24"/>
          <w:szCs w:val="24"/>
        </w:rPr>
        <w:t>W</w:t>
      </w:r>
      <w:r w:rsidRPr="00A72DC6">
        <w:rPr>
          <w:rFonts w:ascii="Times New Roman" w:hAnsi="Times New Roman" w:cs="Times New Roman"/>
          <w:sz w:val="24"/>
          <w:szCs w:val="24"/>
        </w:rPr>
        <w:t xml:space="preserve"> was responsible for day-to-day management of the IDEA study, including oversight of clinical and laboratory data collection and management. </w:t>
      </w:r>
      <w:r>
        <w:rPr>
          <w:rFonts w:ascii="Times New Roman" w:hAnsi="Times New Roman" w:cs="Times New Roman"/>
          <w:sz w:val="24"/>
          <w:szCs w:val="24"/>
        </w:rPr>
        <w:t>AB</w:t>
      </w:r>
      <w:r w:rsidRPr="00A72DC6">
        <w:rPr>
          <w:rFonts w:ascii="Times New Roman" w:hAnsi="Times New Roman" w:cs="Times New Roman"/>
          <w:sz w:val="24"/>
          <w:szCs w:val="24"/>
        </w:rPr>
        <w:t xml:space="preserve"> managed participant recruitment</w:t>
      </w:r>
      <w:r w:rsidR="009F5498">
        <w:rPr>
          <w:rFonts w:ascii="Times New Roman" w:hAnsi="Times New Roman" w:cs="Times New Roman"/>
          <w:sz w:val="24"/>
          <w:szCs w:val="24"/>
        </w:rPr>
        <w:t>,</w:t>
      </w:r>
      <w:r w:rsidRPr="00A72DC6">
        <w:rPr>
          <w:rFonts w:ascii="Times New Roman" w:hAnsi="Times New Roman" w:cs="Times New Roman"/>
          <w:sz w:val="24"/>
          <w:szCs w:val="24"/>
        </w:rPr>
        <w:t xml:space="preserve"> follow-up activities and clinical data collection</w:t>
      </w:r>
      <w:r>
        <w:rPr>
          <w:rFonts w:ascii="Times New Roman" w:hAnsi="Times New Roman" w:cs="Times New Roman"/>
          <w:sz w:val="24"/>
          <w:szCs w:val="24"/>
        </w:rPr>
        <w:t xml:space="preserve">, and </w:t>
      </w:r>
      <w:r w:rsidRPr="00A72DC6">
        <w:rPr>
          <w:rFonts w:ascii="Times New Roman" w:hAnsi="Times New Roman" w:cs="Times New Roman"/>
          <w:sz w:val="24"/>
          <w:szCs w:val="24"/>
        </w:rPr>
        <w:t>contributed to data management.</w:t>
      </w:r>
      <w:r>
        <w:rPr>
          <w:rFonts w:ascii="Times New Roman" w:hAnsi="Times New Roman" w:cs="Times New Roman"/>
          <w:sz w:val="24"/>
          <w:szCs w:val="24"/>
        </w:rPr>
        <w:t xml:space="preserve"> A</w:t>
      </w:r>
      <w:r w:rsidR="004E20F8">
        <w:rPr>
          <w:rFonts w:ascii="Times New Roman" w:hAnsi="Times New Roman" w:cs="Times New Roman"/>
          <w:sz w:val="24"/>
          <w:szCs w:val="24"/>
        </w:rPr>
        <w:t>A</w:t>
      </w:r>
      <w:r>
        <w:rPr>
          <w:rFonts w:ascii="Times New Roman" w:hAnsi="Times New Roman" w:cs="Times New Roman"/>
          <w:sz w:val="24"/>
          <w:szCs w:val="24"/>
        </w:rPr>
        <w:t>B</w:t>
      </w:r>
      <w:r w:rsidRPr="00A72DC6">
        <w:rPr>
          <w:rFonts w:ascii="Times New Roman" w:hAnsi="Times New Roman" w:cs="Times New Roman"/>
          <w:sz w:val="24"/>
          <w:szCs w:val="24"/>
        </w:rPr>
        <w:t xml:space="preserve"> contributed to laboratory data collection, data management</w:t>
      </w:r>
      <w:r>
        <w:rPr>
          <w:rFonts w:ascii="Times New Roman" w:hAnsi="Times New Roman" w:cs="Times New Roman"/>
          <w:sz w:val="24"/>
          <w:szCs w:val="24"/>
        </w:rPr>
        <w:t xml:space="preserve"> and</w:t>
      </w:r>
      <w:r w:rsidRPr="00A72DC6">
        <w:rPr>
          <w:rFonts w:ascii="Times New Roman" w:hAnsi="Times New Roman" w:cs="Times New Roman"/>
          <w:sz w:val="24"/>
          <w:szCs w:val="24"/>
        </w:rPr>
        <w:t xml:space="preserve"> quality assurance.</w:t>
      </w:r>
      <w:r>
        <w:rPr>
          <w:rFonts w:ascii="Times New Roman" w:hAnsi="Times New Roman" w:cs="Times New Roman"/>
          <w:sz w:val="24"/>
          <w:szCs w:val="24"/>
        </w:rPr>
        <w:t xml:space="preserve"> YT</w:t>
      </w:r>
      <w:r w:rsidRPr="00A72DC6">
        <w:rPr>
          <w:rFonts w:ascii="Times New Roman" w:hAnsi="Times New Roman" w:cs="Times New Roman"/>
          <w:sz w:val="24"/>
          <w:szCs w:val="24"/>
        </w:rPr>
        <w:t xml:space="preserve"> led statistical analyses and producing data tables and figures</w:t>
      </w:r>
      <w:r>
        <w:rPr>
          <w:rFonts w:ascii="Times New Roman" w:hAnsi="Times New Roman" w:cs="Times New Roman"/>
          <w:sz w:val="24"/>
          <w:szCs w:val="24"/>
        </w:rPr>
        <w:t>, and</w:t>
      </w:r>
      <w:r w:rsidRPr="00A72DC6">
        <w:rPr>
          <w:rFonts w:ascii="Times New Roman" w:hAnsi="Times New Roman" w:cs="Times New Roman"/>
          <w:sz w:val="24"/>
          <w:szCs w:val="24"/>
        </w:rPr>
        <w:t xml:space="preserve"> contributed to data interpretation.</w:t>
      </w:r>
      <w:r>
        <w:rPr>
          <w:rFonts w:ascii="Times New Roman" w:hAnsi="Times New Roman" w:cs="Times New Roman"/>
          <w:sz w:val="24"/>
          <w:szCs w:val="24"/>
        </w:rPr>
        <w:t xml:space="preserve"> MRR</w:t>
      </w:r>
      <w:r w:rsidRPr="00A72DC6">
        <w:rPr>
          <w:rFonts w:ascii="Times New Roman" w:hAnsi="Times New Roman" w:cs="Times New Roman"/>
          <w:sz w:val="24"/>
          <w:szCs w:val="24"/>
        </w:rPr>
        <w:t xml:space="preserve"> </w:t>
      </w:r>
      <w:r>
        <w:rPr>
          <w:rFonts w:ascii="Times New Roman" w:hAnsi="Times New Roman" w:cs="Times New Roman"/>
          <w:sz w:val="24"/>
          <w:szCs w:val="24"/>
        </w:rPr>
        <w:t>led the</w:t>
      </w:r>
      <w:r w:rsidRPr="00A72DC6">
        <w:rPr>
          <w:rFonts w:ascii="Times New Roman" w:hAnsi="Times New Roman" w:cs="Times New Roman"/>
          <w:sz w:val="24"/>
          <w:szCs w:val="24"/>
        </w:rPr>
        <w:t xml:space="preserve"> study set-up and </w:t>
      </w:r>
      <w:r>
        <w:rPr>
          <w:rFonts w:ascii="Times New Roman" w:hAnsi="Times New Roman" w:cs="Times New Roman"/>
          <w:sz w:val="24"/>
          <w:szCs w:val="24"/>
        </w:rPr>
        <w:t xml:space="preserve">initial </w:t>
      </w:r>
      <w:r w:rsidRPr="00A72DC6">
        <w:rPr>
          <w:rFonts w:ascii="Times New Roman" w:hAnsi="Times New Roman" w:cs="Times New Roman"/>
          <w:sz w:val="24"/>
          <w:szCs w:val="24"/>
        </w:rPr>
        <w:t>management</w:t>
      </w:r>
      <w:r>
        <w:rPr>
          <w:rFonts w:ascii="Times New Roman" w:hAnsi="Times New Roman" w:cs="Times New Roman"/>
          <w:sz w:val="24"/>
          <w:szCs w:val="24"/>
        </w:rPr>
        <w:t xml:space="preserve">, </w:t>
      </w:r>
      <w:r w:rsidRPr="00A72DC6">
        <w:rPr>
          <w:rFonts w:ascii="Times New Roman" w:hAnsi="Times New Roman" w:cs="Times New Roman"/>
          <w:sz w:val="24"/>
          <w:szCs w:val="24"/>
        </w:rPr>
        <w:t xml:space="preserve">and built the study databases. </w:t>
      </w:r>
      <w:r>
        <w:rPr>
          <w:rFonts w:ascii="Times New Roman" w:hAnsi="Times New Roman" w:cs="Times New Roman"/>
          <w:sz w:val="24"/>
          <w:szCs w:val="24"/>
        </w:rPr>
        <w:t>CP</w:t>
      </w:r>
      <w:r w:rsidRPr="00A72DC6">
        <w:rPr>
          <w:rFonts w:ascii="Times New Roman" w:hAnsi="Times New Roman" w:cs="Times New Roman"/>
          <w:sz w:val="24"/>
          <w:szCs w:val="24"/>
        </w:rPr>
        <w:t xml:space="preserve"> contributed to statistical analyses and producing data tables and figures. </w:t>
      </w:r>
      <w:r>
        <w:rPr>
          <w:rFonts w:ascii="Times New Roman" w:hAnsi="Times New Roman" w:cs="Times New Roman"/>
          <w:sz w:val="24"/>
          <w:szCs w:val="24"/>
        </w:rPr>
        <w:t>HL</w:t>
      </w:r>
      <w:r w:rsidRPr="00A72DC6">
        <w:rPr>
          <w:rFonts w:ascii="Times New Roman" w:hAnsi="Times New Roman" w:cs="Times New Roman"/>
          <w:sz w:val="24"/>
          <w:szCs w:val="24"/>
        </w:rPr>
        <w:t xml:space="preserve"> contributed to laboratory data collection and managed the laboratory database. </w:t>
      </w:r>
      <w:r>
        <w:rPr>
          <w:rFonts w:ascii="Times New Roman" w:hAnsi="Times New Roman" w:cs="Times New Roman"/>
          <w:sz w:val="24"/>
          <w:szCs w:val="24"/>
        </w:rPr>
        <w:t>JI</w:t>
      </w:r>
      <w:r w:rsidRPr="00A72DC6">
        <w:rPr>
          <w:rFonts w:ascii="Times New Roman" w:hAnsi="Times New Roman" w:cs="Times New Roman"/>
          <w:sz w:val="24"/>
          <w:szCs w:val="24"/>
        </w:rPr>
        <w:t xml:space="preserve"> </w:t>
      </w:r>
      <w:r>
        <w:rPr>
          <w:rFonts w:ascii="Times New Roman" w:hAnsi="Times New Roman" w:cs="Times New Roman"/>
          <w:sz w:val="24"/>
          <w:szCs w:val="24"/>
        </w:rPr>
        <w:t>l</w:t>
      </w:r>
      <w:r w:rsidRPr="00A72DC6">
        <w:rPr>
          <w:rFonts w:ascii="Times New Roman" w:hAnsi="Times New Roman" w:cs="Times New Roman"/>
          <w:sz w:val="24"/>
          <w:szCs w:val="24"/>
        </w:rPr>
        <w:t>ed</w:t>
      </w:r>
      <w:r>
        <w:rPr>
          <w:rFonts w:ascii="Times New Roman" w:hAnsi="Times New Roman" w:cs="Times New Roman"/>
          <w:sz w:val="24"/>
          <w:szCs w:val="24"/>
        </w:rPr>
        <w:t xml:space="preserve"> the</w:t>
      </w:r>
      <w:r w:rsidRPr="00A72DC6">
        <w:rPr>
          <w:rFonts w:ascii="Times New Roman" w:hAnsi="Times New Roman" w:cs="Times New Roman"/>
          <w:sz w:val="24"/>
          <w:szCs w:val="24"/>
        </w:rPr>
        <w:t xml:space="preserve"> </w:t>
      </w:r>
      <w:r>
        <w:rPr>
          <w:rFonts w:ascii="Times New Roman" w:hAnsi="Times New Roman" w:cs="Times New Roman"/>
          <w:sz w:val="24"/>
          <w:szCs w:val="24"/>
        </w:rPr>
        <w:t>e</w:t>
      </w:r>
      <w:r w:rsidRPr="00A72DC6">
        <w:rPr>
          <w:rFonts w:ascii="Times New Roman" w:hAnsi="Times New Roman" w:cs="Times New Roman"/>
          <w:sz w:val="24"/>
          <w:szCs w:val="24"/>
        </w:rPr>
        <w:t>xpert</w:t>
      </w:r>
      <w:r>
        <w:rPr>
          <w:rFonts w:ascii="Times New Roman" w:hAnsi="Times New Roman" w:cs="Times New Roman"/>
          <w:sz w:val="24"/>
          <w:szCs w:val="24"/>
        </w:rPr>
        <w:t xml:space="preserve"> clinical</w:t>
      </w:r>
      <w:r w:rsidRPr="00A72DC6">
        <w:rPr>
          <w:rFonts w:ascii="Times New Roman" w:hAnsi="Times New Roman" w:cs="Times New Roman"/>
          <w:sz w:val="24"/>
          <w:szCs w:val="24"/>
        </w:rPr>
        <w:t xml:space="preserve"> panel.</w:t>
      </w:r>
      <w:r>
        <w:rPr>
          <w:rFonts w:ascii="Times New Roman" w:hAnsi="Times New Roman" w:cs="Times New Roman"/>
          <w:sz w:val="24"/>
          <w:szCs w:val="24"/>
        </w:rPr>
        <w:t xml:space="preserve"> GC, ML, CC, DM,  FC, FP, MW and GW </w:t>
      </w:r>
      <w:r w:rsidRPr="00A72DC6">
        <w:rPr>
          <w:rFonts w:ascii="Times New Roman" w:hAnsi="Times New Roman" w:cs="Times New Roman"/>
          <w:sz w:val="24"/>
          <w:szCs w:val="24"/>
        </w:rPr>
        <w:t>contributed to patient recruitment, data collection and the study expert diagnostic clinical panel.</w:t>
      </w:r>
      <w:r>
        <w:rPr>
          <w:rFonts w:ascii="Times New Roman" w:hAnsi="Times New Roman" w:cs="Times New Roman"/>
          <w:sz w:val="24"/>
          <w:szCs w:val="24"/>
        </w:rPr>
        <w:t xml:space="preserve"> JD</w:t>
      </w:r>
      <w:r w:rsidRPr="00A72DC6">
        <w:rPr>
          <w:rFonts w:ascii="Times New Roman" w:hAnsi="Times New Roman" w:cs="Times New Roman"/>
          <w:sz w:val="24"/>
          <w:szCs w:val="24"/>
        </w:rPr>
        <w:t xml:space="preserve"> contributed to study design, data analyses</w:t>
      </w:r>
      <w:r>
        <w:rPr>
          <w:rFonts w:ascii="Times New Roman" w:hAnsi="Times New Roman" w:cs="Times New Roman"/>
          <w:sz w:val="24"/>
          <w:szCs w:val="24"/>
        </w:rPr>
        <w:t xml:space="preserve"> and </w:t>
      </w:r>
      <w:r w:rsidRPr="00A72DC6">
        <w:rPr>
          <w:rFonts w:ascii="Times New Roman" w:hAnsi="Times New Roman" w:cs="Times New Roman"/>
          <w:sz w:val="24"/>
          <w:szCs w:val="24"/>
        </w:rPr>
        <w:t>interpretation of results.</w:t>
      </w:r>
      <w:r>
        <w:rPr>
          <w:rFonts w:ascii="Times New Roman" w:hAnsi="Times New Roman" w:cs="Times New Roman"/>
          <w:sz w:val="24"/>
          <w:szCs w:val="24"/>
        </w:rPr>
        <w:t xml:space="preserve"> OMK and AL</w:t>
      </w:r>
      <w:r w:rsidRPr="00A72DC6">
        <w:rPr>
          <w:rFonts w:ascii="Times New Roman" w:hAnsi="Times New Roman" w:cs="Times New Roman"/>
          <w:sz w:val="24"/>
          <w:szCs w:val="24"/>
        </w:rPr>
        <w:t xml:space="preserve"> co-led study conceptualisation, design, oversight and interpretation of </w:t>
      </w:r>
      <w:r w:rsidRPr="00A72DC6">
        <w:rPr>
          <w:rFonts w:ascii="Times New Roman" w:hAnsi="Times New Roman" w:cs="Times New Roman"/>
          <w:sz w:val="24"/>
          <w:szCs w:val="24"/>
        </w:rPr>
        <w:lastRenderedPageBreak/>
        <w:t xml:space="preserve">results. </w:t>
      </w:r>
      <w:r>
        <w:rPr>
          <w:rFonts w:ascii="Times New Roman" w:hAnsi="Times New Roman" w:cs="Times New Roman"/>
          <w:sz w:val="24"/>
          <w:szCs w:val="24"/>
        </w:rPr>
        <w:t>W</w:t>
      </w:r>
      <w:r w:rsidRPr="00A72DC6">
        <w:rPr>
          <w:rFonts w:ascii="Times New Roman" w:hAnsi="Times New Roman" w:cs="Times New Roman"/>
          <w:sz w:val="24"/>
          <w:szCs w:val="24"/>
        </w:rPr>
        <w:t>riting</w:t>
      </w:r>
      <w:r>
        <w:rPr>
          <w:rFonts w:ascii="Times New Roman" w:hAnsi="Times New Roman" w:cs="Times New Roman"/>
          <w:sz w:val="24"/>
          <w:szCs w:val="24"/>
        </w:rPr>
        <w:t xml:space="preserve"> of</w:t>
      </w:r>
      <w:r w:rsidRPr="00A72DC6">
        <w:rPr>
          <w:rFonts w:ascii="Times New Roman" w:hAnsi="Times New Roman" w:cs="Times New Roman"/>
          <w:sz w:val="24"/>
          <w:szCs w:val="24"/>
        </w:rPr>
        <w:t xml:space="preserve"> the manuscript</w:t>
      </w:r>
      <w:r>
        <w:rPr>
          <w:rFonts w:ascii="Times New Roman" w:hAnsi="Times New Roman" w:cs="Times New Roman"/>
          <w:sz w:val="24"/>
          <w:szCs w:val="24"/>
        </w:rPr>
        <w:t xml:space="preserve"> was co-led by HSW and AL, and all authors contributed to its drafting and revision</w:t>
      </w:r>
      <w:r w:rsidRPr="00A72DC6">
        <w:rPr>
          <w:rFonts w:ascii="Times New Roman" w:hAnsi="Times New Roman" w:cs="Times New Roman"/>
          <w:sz w:val="24"/>
          <w:szCs w:val="24"/>
        </w:rPr>
        <w:t xml:space="preserve">.  </w:t>
      </w:r>
    </w:p>
    <w:p w14:paraId="2CCC0FFC" w14:textId="6E65A8BA" w:rsidR="003E4FF3" w:rsidRDefault="003E4FF3" w:rsidP="00562881">
      <w:pPr>
        <w:spacing w:after="0" w:line="480" w:lineRule="auto"/>
        <w:jc w:val="both"/>
        <w:rPr>
          <w:rFonts w:ascii="Times New Roman" w:hAnsi="Times New Roman" w:cs="Times New Roman"/>
          <w:sz w:val="24"/>
          <w:szCs w:val="24"/>
        </w:rPr>
      </w:pPr>
    </w:p>
    <w:p w14:paraId="4D06CDD9" w14:textId="0D4DCF95" w:rsidR="003E4FF3" w:rsidRDefault="003E4FF3" w:rsidP="00562881">
      <w:pPr>
        <w:spacing w:after="0" w:line="480" w:lineRule="auto"/>
        <w:jc w:val="both"/>
        <w:rPr>
          <w:rFonts w:ascii="Times New Roman" w:hAnsi="Times New Roman" w:cs="Times New Roman"/>
          <w:b/>
          <w:sz w:val="24"/>
          <w:szCs w:val="24"/>
        </w:rPr>
      </w:pPr>
      <w:r w:rsidRPr="0070258D">
        <w:rPr>
          <w:rFonts w:ascii="Times New Roman" w:hAnsi="Times New Roman" w:cs="Times New Roman"/>
          <w:b/>
          <w:sz w:val="24"/>
          <w:szCs w:val="24"/>
        </w:rPr>
        <w:t>STUDY GROUP MEMBERS</w:t>
      </w:r>
    </w:p>
    <w:p w14:paraId="781CF3E8" w14:textId="77777777" w:rsidR="00310445" w:rsidRDefault="00310445" w:rsidP="00562881">
      <w:pPr>
        <w:spacing w:after="0" w:line="480" w:lineRule="auto"/>
        <w:jc w:val="both"/>
        <w:rPr>
          <w:rFonts w:ascii="Times New Roman" w:hAnsi="Times New Roman" w:cs="Times New Roman"/>
          <w:sz w:val="24"/>
          <w:szCs w:val="24"/>
        </w:rPr>
      </w:pPr>
      <w:r w:rsidRPr="00C942D5">
        <w:rPr>
          <w:rFonts w:ascii="Times New Roman" w:hAnsi="Times New Roman" w:cs="Times New Roman"/>
          <w:sz w:val="24"/>
          <w:szCs w:val="24"/>
        </w:rPr>
        <w:t>David</w:t>
      </w:r>
      <w:r w:rsidRPr="00310445">
        <w:rPr>
          <w:rFonts w:ascii="Times New Roman" w:hAnsi="Times New Roman" w:cs="Times New Roman"/>
          <w:sz w:val="24"/>
          <w:szCs w:val="24"/>
        </w:rPr>
        <w:t xml:space="preserve"> </w:t>
      </w:r>
      <w:proofErr w:type="spellStart"/>
      <w:r w:rsidRPr="00BC76E4">
        <w:rPr>
          <w:rFonts w:ascii="Times New Roman" w:hAnsi="Times New Roman" w:cs="Times New Roman"/>
          <w:sz w:val="24"/>
          <w:szCs w:val="24"/>
        </w:rPr>
        <w:t>Abdoyeku</w:t>
      </w:r>
      <w:proofErr w:type="spellEnd"/>
      <w:r>
        <w:rPr>
          <w:rFonts w:ascii="Times New Roman" w:hAnsi="Times New Roman" w:cs="Times New Roman"/>
          <w:sz w:val="24"/>
          <w:szCs w:val="24"/>
        </w:rPr>
        <w:t xml:space="preserve">, </w:t>
      </w:r>
      <w:r w:rsidRPr="00381F6E">
        <w:rPr>
          <w:rFonts w:ascii="Times New Roman" w:hAnsi="Times New Roman" w:cs="Times New Roman"/>
          <w:sz w:val="24"/>
          <w:szCs w:val="24"/>
        </w:rPr>
        <w:t>Northwest London Hospitals NHS Trust</w:t>
      </w:r>
      <w:r w:rsidRPr="00310445">
        <w:rPr>
          <w:rFonts w:ascii="Times New Roman" w:hAnsi="Times New Roman" w:cs="Times New Roman"/>
          <w:sz w:val="24"/>
          <w:szCs w:val="24"/>
        </w:rPr>
        <w:t xml:space="preserve"> </w:t>
      </w:r>
    </w:p>
    <w:p w14:paraId="7F5287EC" w14:textId="77777777" w:rsidR="00310445" w:rsidRDefault="00310445" w:rsidP="00562881">
      <w:pPr>
        <w:spacing w:after="0" w:line="480" w:lineRule="auto"/>
        <w:jc w:val="both"/>
        <w:rPr>
          <w:rFonts w:ascii="Times New Roman" w:hAnsi="Times New Roman" w:cs="Times New Roman"/>
          <w:sz w:val="24"/>
          <w:szCs w:val="24"/>
        </w:rPr>
      </w:pPr>
      <w:r w:rsidRPr="001B7D79">
        <w:rPr>
          <w:rFonts w:ascii="Times New Roman" w:hAnsi="Times New Roman" w:cs="Times New Roman"/>
          <w:sz w:val="24"/>
          <w:szCs w:val="24"/>
        </w:rPr>
        <w:t>Robert</w:t>
      </w:r>
      <w:r w:rsidRPr="00310445">
        <w:rPr>
          <w:rFonts w:ascii="Times New Roman" w:hAnsi="Times New Roman" w:cs="Times New Roman"/>
          <w:sz w:val="24"/>
          <w:szCs w:val="24"/>
        </w:rPr>
        <w:t xml:space="preserve"> </w:t>
      </w:r>
      <w:r w:rsidRPr="00DC5F11">
        <w:rPr>
          <w:rFonts w:ascii="Times New Roman" w:hAnsi="Times New Roman" w:cs="Times New Roman"/>
          <w:sz w:val="24"/>
          <w:szCs w:val="24"/>
        </w:rPr>
        <w:t>Davidson</w:t>
      </w:r>
      <w:r>
        <w:rPr>
          <w:rFonts w:ascii="Times New Roman" w:hAnsi="Times New Roman" w:cs="Times New Roman"/>
          <w:sz w:val="24"/>
          <w:szCs w:val="24"/>
        </w:rPr>
        <w:t xml:space="preserve">, </w:t>
      </w:r>
      <w:r w:rsidRPr="00361495">
        <w:rPr>
          <w:rFonts w:ascii="Times New Roman" w:hAnsi="Times New Roman" w:cs="Times New Roman"/>
          <w:sz w:val="24"/>
          <w:szCs w:val="24"/>
        </w:rPr>
        <w:t>Northwest London Hospitals NHS Trust</w:t>
      </w:r>
      <w:r w:rsidRPr="00310445">
        <w:rPr>
          <w:rFonts w:ascii="Times New Roman" w:hAnsi="Times New Roman" w:cs="Times New Roman"/>
          <w:sz w:val="24"/>
          <w:szCs w:val="24"/>
        </w:rPr>
        <w:t xml:space="preserve"> </w:t>
      </w:r>
    </w:p>
    <w:p w14:paraId="7D2140F8" w14:textId="6C613E7E" w:rsidR="00310445" w:rsidRDefault="00310445" w:rsidP="00562881">
      <w:pPr>
        <w:spacing w:after="0" w:line="480" w:lineRule="auto"/>
        <w:jc w:val="both"/>
        <w:rPr>
          <w:rFonts w:ascii="Times New Roman" w:hAnsi="Times New Roman" w:cs="Times New Roman"/>
          <w:color w:val="000000" w:themeColor="text1"/>
          <w:sz w:val="24"/>
          <w:szCs w:val="24"/>
        </w:rPr>
      </w:pPr>
      <w:r w:rsidRPr="00453632">
        <w:rPr>
          <w:rFonts w:ascii="Times New Roman" w:hAnsi="Times New Roman" w:cs="Times New Roman"/>
          <w:sz w:val="24"/>
          <w:szCs w:val="24"/>
        </w:rPr>
        <w:t>Martin</w:t>
      </w:r>
      <w:r w:rsidRPr="00310445">
        <w:rPr>
          <w:rFonts w:ascii="Times New Roman" w:hAnsi="Times New Roman" w:cs="Times New Roman"/>
          <w:sz w:val="24"/>
          <w:szCs w:val="24"/>
        </w:rPr>
        <w:t xml:space="preserve"> </w:t>
      </w:r>
      <w:r w:rsidRPr="00C91B70">
        <w:rPr>
          <w:rFonts w:ascii="Times New Roman" w:hAnsi="Times New Roman" w:cs="Times New Roman"/>
          <w:sz w:val="24"/>
          <w:szCs w:val="24"/>
        </w:rPr>
        <w:t>Dedicoat</w:t>
      </w:r>
      <w:r>
        <w:rPr>
          <w:rFonts w:ascii="Times New Roman" w:hAnsi="Times New Roman" w:cs="Times New Roman"/>
          <w:sz w:val="24"/>
          <w:szCs w:val="24"/>
        </w:rPr>
        <w:t xml:space="preserve">, </w:t>
      </w:r>
      <w:r w:rsidRPr="00F76508">
        <w:rPr>
          <w:rFonts w:ascii="Times New Roman" w:hAnsi="Times New Roman" w:cs="Times New Roman"/>
          <w:color w:val="000000" w:themeColor="text1"/>
          <w:sz w:val="24"/>
          <w:szCs w:val="24"/>
        </w:rPr>
        <w:t>University Hospitals Birmingham Foundation Trust</w:t>
      </w:r>
    </w:p>
    <w:p w14:paraId="69A76401" w14:textId="281EC6AF" w:rsidR="00310445" w:rsidRDefault="00310445" w:rsidP="00562881">
      <w:pPr>
        <w:spacing w:after="0" w:line="480" w:lineRule="auto"/>
        <w:jc w:val="both"/>
        <w:rPr>
          <w:rFonts w:ascii="Times New Roman" w:hAnsi="Times New Roman" w:cs="Times New Roman"/>
          <w:color w:val="000000" w:themeColor="text1"/>
          <w:sz w:val="24"/>
          <w:szCs w:val="24"/>
        </w:rPr>
      </w:pPr>
      <w:r w:rsidRPr="00083985">
        <w:rPr>
          <w:rFonts w:ascii="Times New Roman" w:hAnsi="Times New Roman" w:cs="Times New Roman"/>
          <w:sz w:val="24"/>
          <w:szCs w:val="24"/>
        </w:rPr>
        <w:t>Heinke</w:t>
      </w:r>
      <w:r w:rsidRPr="00310445">
        <w:rPr>
          <w:rFonts w:ascii="Times New Roman" w:hAnsi="Times New Roman" w:cs="Times New Roman"/>
          <w:sz w:val="24"/>
          <w:szCs w:val="24"/>
        </w:rPr>
        <w:t xml:space="preserve"> </w:t>
      </w:r>
      <w:r w:rsidRPr="007863CF">
        <w:rPr>
          <w:rFonts w:ascii="Times New Roman" w:hAnsi="Times New Roman" w:cs="Times New Roman"/>
          <w:sz w:val="24"/>
          <w:szCs w:val="24"/>
        </w:rPr>
        <w:t>Kunst</w:t>
      </w:r>
      <w:r>
        <w:rPr>
          <w:rFonts w:ascii="Times New Roman" w:hAnsi="Times New Roman" w:cs="Times New Roman"/>
          <w:sz w:val="24"/>
          <w:szCs w:val="24"/>
        </w:rPr>
        <w:t>,</w:t>
      </w:r>
      <w:r w:rsidRPr="00310445">
        <w:rPr>
          <w:rFonts w:ascii="Times New Roman" w:hAnsi="Times New Roman" w:cs="Times New Roman"/>
          <w:color w:val="000000" w:themeColor="text1"/>
          <w:sz w:val="24"/>
          <w:szCs w:val="24"/>
        </w:rPr>
        <w:t xml:space="preserve"> </w:t>
      </w:r>
      <w:r w:rsidRPr="0077322C">
        <w:rPr>
          <w:rFonts w:ascii="Times New Roman" w:hAnsi="Times New Roman" w:cs="Times New Roman"/>
          <w:color w:val="000000" w:themeColor="text1"/>
          <w:sz w:val="24"/>
          <w:szCs w:val="24"/>
        </w:rPr>
        <w:t xml:space="preserve">Queen Mary University </w:t>
      </w:r>
      <w:proofErr w:type="spellStart"/>
      <w:r w:rsidRPr="0077322C">
        <w:rPr>
          <w:rFonts w:ascii="Times New Roman" w:hAnsi="Times New Roman" w:cs="Times New Roman"/>
          <w:color w:val="000000" w:themeColor="text1"/>
          <w:sz w:val="24"/>
          <w:szCs w:val="24"/>
        </w:rPr>
        <w:t>Blizard</w:t>
      </w:r>
      <w:proofErr w:type="spellEnd"/>
      <w:r w:rsidRPr="0077322C">
        <w:rPr>
          <w:rFonts w:ascii="Times New Roman" w:hAnsi="Times New Roman" w:cs="Times New Roman"/>
          <w:color w:val="000000" w:themeColor="text1"/>
          <w:sz w:val="24"/>
          <w:szCs w:val="24"/>
        </w:rPr>
        <w:t xml:space="preserve"> Institute</w:t>
      </w:r>
    </w:p>
    <w:p w14:paraId="3FB8E5B1" w14:textId="2C96C8C8" w:rsidR="00310445" w:rsidRDefault="00310445" w:rsidP="00562881">
      <w:pPr>
        <w:spacing w:after="0" w:line="480" w:lineRule="auto"/>
        <w:jc w:val="both"/>
        <w:rPr>
          <w:rFonts w:ascii="Times New Roman" w:hAnsi="Times New Roman" w:cs="Times New Roman"/>
          <w:sz w:val="24"/>
          <w:szCs w:val="24"/>
        </w:rPr>
      </w:pPr>
      <w:r w:rsidRPr="005B12B1">
        <w:rPr>
          <w:rFonts w:ascii="Times New Roman" w:hAnsi="Times New Roman" w:cs="Times New Roman"/>
          <w:sz w:val="24"/>
          <w:szCs w:val="24"/>
        </w:rPr>
        <w:t>Michael R</w:t>
      </w:r>
      <w:r w:rsidRPr="00310445">
        <w:rPr>
          <w:rFonts w:ascii="Times New Roman" w:hAnsi="Times New Roman" w:cs="Times New Roman"/>
          <w:sz w:val="24"/>
          <w:szCs w:val="24"/>
        </w:rPr>
        <w:t xml:space="preserve"> </w:t>
      </w:r>
      <w:proofErr w:type="spellStart"/>
      <w:r w:rsidRPr="00332CE4">
        <w:rPr>
          <w:rFonts w:ascii="Times New Roman" w:hAnsi="Times New Roman" w:cs="Times New Roman"/>
          <w:sz w:val="24"/>
          <w:szCs w:val="24"/>
        </w:rPr>
        <w:t>Loebingher</w:t>
      </w:r>
      <w:proofErr w:type="spellEnd"/>
      <w:r>
        <w:rPr>
          <w:rFonts w:ascii="Times New Roman" w:hAnsi="Times New Roman" w:cs="Times New Roman"/>
          <w:sz w:val="24"/>
          <w:szCs w:val="24"/>
        </w:rPr>
        <w:t>,</w:t>
      </w:r>
      <w:r w:rsidRPr="00310445">
        <w:rPr>
          <w:rFonts w:ascii="Times New Roman" w:hAnsi="Times New Roman" w:cs="Times New Roman"/>
          <w:sz w:val="24"/>
          <w:szCs w:val="24"/>
        </w:rPr>
        <w:t xml:space="preserve"> </w:t>
      </w:r>
      <w:r w:rsidRPr="00C342B4">
        <w:rPr>
          <w:rFonts w:ascii="Times New Roman" w:hAnsi="Times New Roman" w:cs="Times New Roman"/>
          <w:sz w:val="24"/>
          <w:szCs w:val="24"/>
        </w:rPr>
        <w:t>Chelsea and Westminster Hospital NHS Foundation Trust</w:t>
      </w:r>
    </w:p>
    <w:p w14:paraId="057991F1" w14:textId="77777777" w:rsidR="00310445" w:rsidRDefault="00310445" w:rsidP="00562881">
      <w:pPr>
        <w:spacing w:after="0" w:line="480" w:lineRule="auto"/>
        <w:jc w:val="both"/>
        <w:rPr>
          <w:rFonts w:ascii="Times New Roman" w:hAnsi="Times New Roman" w:cs="Times New Roman"/>
          <w:sz w:val="24"/>
          <w:szCs w:val="24"/>
        </w:rPr>
      </w:pPr>
      <w:r w:rsidRPr="00F179DC">
        <w:rPr>
          <w:rFonts w:ascii="Times New Roman" w:hAnsi="Times New Roman" w:cs="Times New Roman"/>
          <w:sz w:val="24"/>
          <w:szCs w:val="24"/>
        </w:rPr>
        <w:t>William</w:t>
      </w:r>
      <w:r w:rsidRPr="00310445">
        <w:rPr>
          <w:rFonts w:ascii="Times New Roman" w:hAnsi="Times New Roman" w:cs="Times New Roman"/>
          <w:sz w:val="24"/>
          <w:szCs w:val="24"/>
        </w:rPr>
        <w:t xml:space="preserve"> </w:t>
      </w:r>
      <w:r w:rsidRPr="00BD6A08">
        <w:rPr>
          <w:rFonts w:ascii="Times New Roman" w:hAnsi="Times New Roman" w:cs="Times New Roman"/>
          <w:sz w:val="24"/>
          <w:szCs w:val="24"/>
        </w:rPr>
        <w:t>Lynn</w:t>
      </w:r>
      <w:r>
        <w:rPr>
          <w:rFonts w:ascii="Times New Roman" w:hAnsi="Times New Roman" w:cs="Times New Roman"/>
          <w:sz w:val="24"/>
          <w:szCs w:val="24"/>
        </w:rPr>
        <w:t>,</w:t>
      </w:r>
      <w:r w:rsidRPr="00310445">
        <w:rPr>
          <w:rFonts w:ascii="Times New Roman" w:hAnsi="Times New Roman" w:cs="Times New Roman"/>
          <w:sz w:val="24"/>
          <w:szCs w:val="24"/>
        </w:rPr>
        <w:t xml:space="preserve"> </w:t>
      </w:r>
      <w:r w:rsidRPr="00646BF7">
        <w:rPr>
          <w:rFonts w:ascii="Times New Roman" w:hAnsi="Times New Roman" w:cs="Times New Roman"/>
          <w:sz w:val="24"/>
          <w:szCs w:val="24"/>
        </w:rPr>
        <w:t>Ealing NHS Trust</w:t>
      </w:r>
      <w:r w:rsidRPr="00310445">
        <w:rPr>
          <w:rFonts w:ascii="Times New Roman" w:hAnsi="Times New Roman" w:cs="Times New Roman"/>
          <w:sz w:val="24"/>
          <w:szCs w:val="24"/>
        </w:rPr>
        <w:t xml:space="preserve"> </w:t>
      </w:r>
    </w:p>
    <w:p w14:paraId="2FA15F13" w14:textId="61B77C47" w:rsidR="00310445" w:rsidRDefault="00310445" w:rsidP="00562881">
      <w:pPr>
        <w:spacing w:after="0" w:line="480" w:lineRule="auto"/>
        <w:jc w:val="both"/>
        <w:rPr>
          <w:rFonts w:ascii="Times New Roman" w:hAnsi="Times New Roman" w:cs="Times New Roman"/>
          <w:sz w:val="24"/>
          <w:szCs w:val="24"/>
        </w:rPr>
      </w:pPr>
      <w:r w:rsidRPr="00B3066B">
        <w:rPr>
          <w:rFonts w:ascii="Times New Roman" w:hAnsi="Times New Roman" w:cs="Times New Roman"/>
          <w:sz w:val="24"/>
          <w:szCs w:val="24"/>
        </w:rPr>
        <w:t>Nazim</w:t>
      </w:r>
      <w:r w:rsidRPr="00310445">
        <w:rPr>
          <w:rFonts w:ascii="Times New Roman" w:hAnsi="Times New Roman" w:cs="Times New Roman"/>
          <w:sz w:val="24"/>
          <w:szCs w:val="24"/>
        </w:rPr>
        <w:t xml:space="preserve"> </w:t>
      </w:r>
      <w:proofErr w:type="spellStart"/>
      <w:r w:rsidRPr="000F6614">
        <w:rPr>
          <w:rFonts w:ascii="Times New Roman" w:hAnsi="Times New Roman" w:cs="Times New Roman"/>
          <w:sz w:val="24"/>
          <w:szCs w:val="24"/>
        </w:rPr>
        <w:t>Nathani</w:t>
      </w:r>
      <w:proofErr w:type="spellEnd"/>
      <w:r>
        <w:rPr>
          <w:rFonts w:ascii="Times New Roman" w:hAnsi="Times New Roman" w:cs="Times New Roman"/>
          <w:sz w:val="24"/>
          <w:szCs w:val="24"/>
        </w:rPr>
        <w:t>,</w:t>
      </w:r>
      <w:r w:rsidRPr="00310445">
        <w:rPr>
          <w:rFonts w:ascii="Times New Roman" w:hAnsi="Times New Roman" w:cs="Times New Roman"/>
          <w:sz w:val="24"/>
          <w:szCs w:val="24"/>
        </w:rPr>
        <w:t xml:space="preserve"> </w:t>
      </w:r>
      <w:r w:rsidRPr="00E92406">
        <w:rPr>
          <w:rFonts w:ascii="Times New Roman" w:hAnsi="Times New Roman" w:cs="Times New Roman"/>
          <w:sz w:val="24"/>
          <w:szCs w:val="24"/>
        </w:rPr>
        <w:t>Sandwell and West Birmingham Hospitals NHS Trust</w:t>
      </w:r>
    </w:p>
    <w:p w14:paraId="57279458" w14:textId="7B5EDB6D" w:rsidR="00310445" w:rsidRDefault="00310445" w:rsidP="00562881">
      <w:pPr>
        <w:spacing w:after="0" w:line="480" w:lineRule="auto"/>
        <w:jc w:val="both"/>
        <w:rPr>
          <w:rFonts w:ascii="Times New Roman" w:hAnsi="Times New Roman" w:cs="Times New Roman"/>
          <w:sz w:val="24"/>
          <w:szCs w:val="24"/>
        </w:rPr>
      </w:pPr>
      <w:r w:rsidRPr="00BA3EAB">
        <w:rPr>
          <w:rFonts w:ascii="Times New Roman" w:hAnsi="Times New Roman" w:cs="Times New Roman"/>
          <w:sz w:val="24"/>
          <w:szCs w:val="24"/>
        </w:rPr>
        <w:t>Rebecca</w:t>
      </w:r>
      <w:r w:rsidRPr="00310445">
        <w:rPr>
          <w:rFonts w:ascii="Times New Roman" w:hAnsi="Times New Roman" w:cs="Times New Roman"/>
          <w:sz w:val="24"/>
          <w:szCs w:val="24"/>
        </w:rPr>
        <w:t xml:space="preserve"> </w:t>
      </w:r>
      <w:r w:rsidRPr="008F4F42">
        <w:rPr>
          <w:rFonts w:ascii="Times New Roman" w:hAnsi="Times New Roman" w:cs="Times New Roman"/>
          <w:sz w:val="24"/>
          <w:szCs w:val="24"/>
        </w:rPr>
        <w:t>O’ Connell</w:t>
      </w:r>
      <w:r>
        <w:rPr>
          <w:rFonts w:ascii="Times New Roman" w:hAnsi="Times New Roman" w:cs="Times New Roman"/>
          <w:sz w:val="24"/>
          <w:szCs w:val="24"/>
        </w:rPr>
        <w:t xml:space="preserve">, </w:t>
      </w:r>
      <w:r w:rsidRPr="006F5DDB">
        <w:rPr>
          <w:rFonts w:ascii="Times New Roman" w:hAnsi="Times New Roman" w:cs="Times New Roman"/>
          <w:sz w:val="24"/>
          <w:szCs w:val="24"/>
        </w:rPr>
        <w:t>Bart’s Healthcare NHS Trust</w:t>
      </w:r>
    </w:p>
    <w:p w14:paraId="0114D538" w14:textId="27A34DE5" w:rsidR="00310445" w:rsidRDefault="00310445" w:rsidP="00562881">
      <w:pPr>
        <w:spacing w:after="0" w:line="480" w:lineRule="auto"/>
        <w:jc w:val="both"/>
        <w:rPr>
          <w:rFonts w:ascii="Times New Roman" w:hAnsi="Times New Roman" w:cs="Times New Roman"/>
          <w:sz w:val="24"/>
          <w:szCs w:val="24"/>
        </w:rPr>
      </w:pPr>
      <w:r w:rsidRPr="001213A6">
        <w:rPr>
          <w:rFonts w:ascii="Times New Roman" w:hAnsi="Times New Roman" w:cs="Times New Roman"/>
          <w:sz w:val="24"/>
          <w:szCs w:val="24"/>
        </w:rPr>
        <w:t>Anton</w:t>
      </w:r>
      <w:r w:rsidRPr="00310445">
        <w:rPr>
          <w:rFonts w:ascii="Times New Roman" w:hAnsi="Times New Roman" w:cs="Times New Roman"/>
          <w:sz w:val="24"/>
          <w:szCs w:val="24"/>
        </w:rPr>
        <w:t xml:space="preserve"> </w:t>
      </w:r>
      <w:proofErr w:type="spellStart"/>
      <w:r w:rsidRPr="0044566A">
        <w:rPr>
          <w:rFonts w:ascii="Times New Roman" w:hAnsi="Times New Roman" w:cs="Times New Roman"/>
          <w:sz w:val="24"/>
          <w:szCs w:val="24"/>
        </w:rPr>
        <w:t>Pozniak</w:t>
      </w:r>
      <w:proofErr w:type="spellEnd"/>
      <w:r>
        <w:rPr>
          <w:rFonts w:ascii="Times New Roman" w:hAnsi="Times New Roman" w:cs="Times New Roman"/>
          <w:sz w:val="24"/>
          <w:szCs w:val="24"/>
        </w:rPr>
        <w:t xml:space="preserve">, </w:t>
      </w:r>
      <w:r w:rsidRPr="00FF304C">
        <w:rPr>
          <w:rFonts w:ascii="Times New Roman" w:hAnsi="Times New Roman" w:cs="Times New Roman"/>
          <w:sz w:val="24"/>
          <w:szCs w:val="24"/>
        </w:rPr>
        <w:t>Chelsea and Westminster Hospital NHS Foundation Trust</w:t>
      </w:r>
    </w:p>
    <w:p w14:paraId="3EF00BAE" w14:textId="6C486FE7" w:rsidR="00310445" w:rsidRPr="0070258D" w:rsidRDefault="00310445" w:rsidP="00562881">
      <w:pPr>
        <w:spacing w:after="0" w:line="480" w:lineRule="auto"/>
        <w:jc w:val="both"/>
        <w:rPr>
          <w:rFonts w:ascii="Times New Roman" w:hAnsi="Times New Roman" w:cs="Times New Roman"/>
          <w:b/>
          <w:sz w:val="24"/>
          <w:szCs w:val="24"/>
        </w:rPr>
      </w:pPr>
      <w:r w:rsidRPr="00DA4514">
        <w:rPr>
          <w:rFonts w:ascii="Times New Roman" w:hAnsi="Times New Roman" w:cs="Times New Roman"/>
          <w:sz w:val="24"/>
          <w:szCs w:val="24"/>
        </w:rPr>
        <w:t>Sarah</w:t>
      </w:r>
      <w:r w:rsidRPr="00310445">
        <w:rPr>
          <w:rFonts w:ascii="Times New Roman" w:hAnsi="Times New Roman" w:cs="Times New Roman"/>
          <w:sz w:val="24"/>
          <w:szCs w:val="24"/>
        </w:rPr>
        <w:t xml:space="preserve"> </w:t>
      </w:r>
      <w:r w:rsidRPr="00771A71">
        <w:rPr>
          <w:rFonts w:ascii="Times New Roman" w:hAnsi="Times New Roman" w:cs="Times New Roman"/>
          <w:sz w:val="24"/>
          <w:szCs w:val="24"/>
        </w:rPr>
        <w:t>Menzies</w:t>
      </w:r>
      <w:r>
        <w:rPr>
          <w:rFonts w:ascii="Times New Roman" w:hAnsi="Times New Roman" w:cs="Times New Roman"/>
          <w:sz w:val="24"/>
          <w:szCs w:val="24"/>
        </w:rPr>
        <w:t xml:space="preserve">, </w:t>
      </w:r>
      <w:r w:rsidRPr="00C2291D">
        <w:rPr>
          <w:rFonts w:ascii="Times New Roman" w:eastAsia="Times New Roman" w:hAnsi="Times New Roman" w:cs="Times New Roman"/>
          <w:sz w:val="24"/>
          <w:szCs w:val="24"/>
        </w:rPr>
        <w:t>Wexham Park Hospital, Frimley Health NHS Foundation Trust</w:t>
      </w:r>
    </w:p>
    <w:p w14:paraId="6556BF5E" w14:textId="77777777" w:rsidR="009F27A4" w:rsidRPr="00A72DC6" w:rsidRDefault="009F27A4" w:rsidP="00562881">
      <w:pPr>
        <w:spacing w:after="0" w:line="480" w:lineRule="auto"/>
        <w:jc w:val="both"/>
        <w:rPr>
          <w:rFonts w:ascii="Times New Roman" w:hAnsi="Times New Roman" w:cs="Times New Roman"/>
          <w:sz w:val="24"/>
          <w:szCs w:val="24"/>
        </w:rPr>
      </w:pPr>
    </w:p>
    <w:p w14:paraId="4443E6C1" w14:textId="7E32C668" w:rsidR="00BD654F" w:rsidRPr="003377BC" w:rsidRDefault="00BD654F" w:rsidP="00BD654F">
      <w:pPr>
        <w:spacing w:after="0" w:line="480" w:lineRule="auto"/>
        <w:rPr>
          <w:rFonts w:ascii="Times New Roman" w:hAnsi="Times New Roman" w:cs="Times New Roman"/>
          <w:b/>
          <w:sz w:val="24"/>
          <w:szCs w:val="24"/>
        </w:rPr>
      </w:pPr>
      <w:r w:rsidRPr="003377BC">
        <w:rPr>
          <w:rFonts w:ascii="Times New Roman" w:hAnsi="Times New Roman" w:cs="Times New Roman"/>
          <w:b/>
          <w:sz w:val="24"/>
          <w:szCs w:val="24"/>
        </w:rPr>
        <w:t>DECLARATION OF INTERESTS</w:t>
      </w:r>
    </w:p>
    <w:p w14:paraId="7BF84317" w14:textId="56866868" w:rsidR="00BD654F" w:rsidRPr="00EB4901" w:rsidRDefault="00BD654F" w:rsidP="00BD654F">
      <w:pPr>
        <w:spacing w:after="0" w:line="480" w:lineRule="auto"/>
        <w:jc w:val="both"/>
        <w:rPr>
          <w:rFonts w:ascii="Times New Roman" w:hAnsi="Times New Roman" w:cs="Times New Roman"/>
          <w:sz w:val="24"/>
          <w:szCs w:val="24"/>
        </w:rPr>
      </w:pPr>
      <w:r w:rsidRPr="00EB4901">
        <w:rPr>
          <w:rFonts w:ascii="Times New Roman" w:hAnsi="Times New Roman" w:cs="Times New Roman"/>
          <w:sz w:val="24"/>
          <w:szCs w:val="24"/>
        </w:rPr>
        <w:t>H</w:t>
      </w:r>
      <w:r w:rsidR="00AD5EB7">
        <w:rPr>
          <w:rFonts w:ascii="Times New Roman" w:hAnsi="Times New Roman" w:cs="Times New Roman"/>
          <w:sz w:val="24"/>
          <w:szCs w:val="24"/>
        </w:rPr>
        <w:t>S</w:t>
      </w:r>
      <w:r w:rsidRPr="00EB4901">
        <w:rPr>
          <w:rFonts w:ascii="Times New Roman" w:hAnsi="Times New Roman" w:cs="Times New Roman"/>
          <w:sz w:val="24"/>
          <w:szCs w:val="24"/>
        </w:rPr>
        <w:t>W, AB, A</w:t>
      </w:r>
      <w:r w:rsidR="00E939FC">
        <w:rPr>
          <w:rFonts w:ascii="Times New Roman" w:hAnsi="Times New Roman" w:cs="Times New Roman"/>
          <w:sz w:val="24"/>
          <w:szCs w:val="24"/>
        </w:rPr>
        <w:t>A</w:t>
      </w:r>
      <w:r w:rsidRPr="00EB4901">
        <w:rPr>
          <w:rFonts w:ascii="Times New Roman" w:hAnsi="Times New Roman" w:cs="Times New Roman"/>
          <w:sz w:val="24"/>
          <w:szCs w:val="24"/>
        </w:rPr>
        <w:t>B, MRR and HL were employed by Imperial College London using grant funding from NIHR to conduct the work described in this paper. JD, YT and CP, whilst working for the University of Birmingham, received grant funding from NIHR to conduct the work described in this paper. The funding contributed to their salary costs. JI, GC, ML, CC, DM, FC, FP</w:t>
      </w:r>
      <w:r w:rsidR="00BB614D">
        <w:rPr>
          <w:rFonts w:ascii="Times New Roman" w:hAnsi="Times New Roman" w:cs="Times New Roman"/>
          <w:sz w:val="24"/>
          <w:szCs w:val="24"/>
        </w:rPr>
        <w:t xml:space="preserve">, </w:t>
      </w:r>
      <w:r w:rsidRPr="00EB4901">
        <w:rPr>
          <w:rFonts w:ascii="Times New Roman" w:hAnsi="Times New Roman" w:cs="Times New Roman"/>
          <w:sz w:val="24"/>
          <w:szCs w:val="24"/>
        </w:rPr>
        <w:t>MW</w:t>
      </w:r>
      <w:r w:rsidR="00175F1D">
        <w:rPr>
          <w:rFonts w:ascii="Times New Roman" w:hAnsi="Times New Roman" w:cs="Times New Roman"/>
          <w:sz w:val="24"/>
          <w:szCs w:val="24"/>
        </w:rPr>
        <w:t xml:space="preserve"> and</w:t>
      </w:r>
      <w:r w:rsidR="00BB614D">
        <w:rPr>
          <w:rFonts w:ascii="Times New Roman" w:hAnsi="Times New Roman" w:cs="Times New Roman"/>
          <w:sz w:val="24"/>
          <w:szCs w:val="24"/>
        </w:rPr>
        <w:t xml:space="preserve"> GW</w:t>
      </w:r>
      <w:r w:rsidRPr="00EB4901">
        <w:rPr>
          <w:rFonts w:ascii="Times New Roman" w:hAnsi="Times New Roman" w:cs="Times New Roman"/>
          <w:sz w:val="24"/>
          <w:szCs w:val="24"/>
        </w:rPr>
        <w:t xml:space="preserve"> have no conflicts of interest to declare. JD r</w:t>
      </w:r>
      <w:r w:rsidRPr="00D55385">
        <w:rPr>
          <w:rFonts w:ascii="Times New Roman" w:hAnsi="Times New Roman" w:cs="Times New Roman"/>
          <w:sz w:val="24"/>
          <w:szCs w:val="24"/>
        </w:rPr>
        <w:t xml:space="preserve">eports grants from NIHR during the conduct of the study outside the submitted work. OMK is employed by Imperial Healthcare Trust and was partially paid by the NIHR grant from Imperial College London. </w:t>
      </w:r>
      <w:r w:rsidRPr="00EB4901">
        <w:rPr>
          <w:rFonts w:ascii="Times New Roman" w:hAnsi="Times New Roman" w:cs="Times New Roman"/>
          <w:sz w:val="24"/>
          <w:szCs w:val="24"/>
        </w:rPr>
        <w:t>OMK r</w:t>
      </w:r>
      <w:r w:rsidRPr="00D55385">
        <w:rPr>
          <w:rFonts w:ascii="Times New Roman" w:hAnsi="Times New Roman" w:cs="Times New Roman"/>
          <w:sz w:val="24"/>
          <w:szCs w:val="24"/>
        </w:rPr>
        <w:t>e</w:t>
      </w:r>
      <w:r>
        <w:rPr>
          <w:rFonts w:ascii="Times New Roman" w:hAnsi="Times New Roman" w:cs="Times New Roman"/>
          <w:sz w:val="24"/>
          <w:szCs w:val="24"/>
        </w:rPr>
        <w:t>ceived</w:t>
      </w:r>
      <w:r w:rsidRPr="00D55385">
        <w:rPr>
          <w:rFonts w:ascii="Times New Roman" w:hAnsi="Times New Roman" w:cs="Times New Roman"/>
          <w:sz w:val="24"/>
          <w:szCs w:val="24"/>
        </w:rPr>
        <w:t xml:space="preserve"> </w:t>
      </w:r>
      <w:r>
        <w:rPr>
          <w:rFonts w:ascii="Times New Roman" w:hAnsi="Times New Roman" w:cs="Times New Roman"/>
          <w:sz w:val="24"/>
          <w:szCs w:val="24"/>
        </w:rPr>
        <w:t xml:space="preserve">other </w:t>
      </w:r>
      <w:r w:rsidRPr="00D55385">
        <w:rPr>
          <w:rFonts w:ascii="Times New Roman" w:hAnsi="Times New Roman" w:cs="Times New Roman"/>
          <w:sz w:val="24"/>
          <w:szCs w:val="24"/>
        </w:rPr>
        <w:t xml:space="preserve">grants from NIHR during the conduct of the study and has received speaker fees from Oxford </w:t>
      </w:r>
      <w:proofErr w:type="spellStart"/>
      <w:r w:rsidRPr="00D55385">
        <w:rPr>
          <w:rFonts w:ascii="Times New Roman" w:hAnsi="Times New Roman" w:cs="Times New Roman"/>
          <w:sz w:val="24"/>
          <w:szCs w:val="24"/>
        </w:rPr>
        <w:t>Immunotec</w:t>
      </w:r>
      <w:proofErr w:type="spellEnd"/>
      <w:r w:rsidRPr="00D55385">
        <w:rPr>
          <w:rFonts w:ascii="Times New Roman" w:hAnsi="Times New Roman" w:cs="Times New Roman"/>
          <w:sz w:val="24"/>
          <w:szCs w:val="24"/>
        </w:rPr>
        <w:t xml:space="preserve">. He chairs a non-remunerated independent </w:t>
      </w:r>
      <w:r w:rsidRPr="00D55385">
        <w:rPr>
          <w:rFonts w:ascii="Times New Roman" w:hAnsi="Times New Roman" w:cs="Times New Roman"/>
          <w:sz w:val="24"/>
          <w:szCs w:val="24"/>
        </w:rPr>
        <w:lastRenderedPageBreak/>
        <w:t>committee that organizes an annual educational symposium on tuberculosis</w:t>
      </w:r>
      <w:r>
        <w:rPr>
          <w:rFonts w:ascii="Times New Roman" w:hAnsi="Times New Roman" w:cs="Times New Roman"/>
          <w:sz w:val="24"/>
          <w:szCs w:val="24"/>
        </w:rPr>
        <w:t>,</w:t>
      </w:r>
      <w:r w:rsidRPr="00D55385">
        <w:rPr>
          <w:rFonts w:ascii="Times New Roman" w:hAnsi="Times New Roman" w:cs="Times New Roman"/>
          <w:sz w:val="24"/>
          <w:szCs w:val="24"/>
        </w:rPr>
        <w:t xml:space="preserve"> sponsored by Qiagen. </w:t>
      </w:r>
      <w:r w:rsidRPr="00EB4901">
        <w:rPr>
          <w:rFonts w:ascii="Times New Roman" w:hAnsi="Times New Roman" w:cs="Times New Roman"/>
          <w:sz w:val="24"/>
          <w:szCs w:val="24"/>
        </w:rPr>
        <w:t xml:space="preserve">AL is named inventor on patents pertaining to T cell-based diagnosis, including </w:t>
      </w:r>
      <w:r>
        <w:rPr>
          <w:rFonts w:ascii="Times New Roman" w:hAnsi="Times New Roman" w:cs="Times New Roman"/>
          <w:sz w:val="24"/>
          <w:szCs w:val="24"/>
        </w:rPr>
        <w:t xml:space="preserve">current and </w:t>
      </w:r>
      <w:r w:rsidR="00C9141C">
        <w:rPr>
          <w:rFonts w:ascii="Times New Roman" w:hAnsi="Times New Roman" w:cs="Times New Roman"/>
          <w:sz w:val="24"/>
          <w:szCs w:val="24"/>
        </w:rPr>
        <w:t>second-generation</w:t>
      </w:r>
      <w:r>
        <w:rPr>
          <w:rFonts w:ascii="Times New Roman" w:hAnsi="Times New Roman" w:cs="Times New Roman"/>
          <w:sz w:val="24"/>
          <w:szCs w:val="24"/>
        </w:rPr>
        <w:t xml:space="preserve"> </w:t>
      </w:r>
      <w:r w:rsidRPr="00EB4901">
        <w:rPr>
          <w:rFonts w:ascii="Times New Roman" w:hAnsi="Times New Roman" w:cs="Times New Roman"/>
          <w:sz w:val="24"/>
          <w:szCs w:val="24"/>
        </w:rPr>
        <w:t xml:space="preserve">IGRA technologies. Some of these patents were assigned by the University of Oxford to Oxford </w:t>
      </w:r>
      <w:proofErr w:type="spellStart"/>
      <w:r w:rsidRPr="00EB4901">
        <w:rPr>
          <w:rFonts w:ascii="Times New Roman" w:hAnsi="Times New Roman" w:cs="Times New Roman"/>
          <w:sz w:val="24"/>
          <w:szCs w:val="24"/>
        </w:rPr>
        <w:t>Immunotec</w:t>
      </w:r>
      <w:proofErr w:type="spellEnd"/>
      <w:r w:rsidRPr="00EB4901">
        <w:rPr>
          <w:rFonts w:ascii="Times New Roman" w:hAnsi="Times New Roman" w:cs="Times New Roman"/>
          <w:sz w:val="24"/>
          <w:szCs w:val="24"/>
        </w:rPr>
        <w:t xml:space="preserve"> plc, resulting in royalty entitlements for the University of Oxford and AL.  </w:t>
      </w:r>
    </w:p>
    <w:p w14:paraId="61F256B7" w14:textId="7AE291B8" w:rsidR="00BD654F" w:rsidRDefault="00BD654F" w:rsidP="00E231BB">
      <w:pPr>
        <w:spacing w:after="0" w:line="480" w:lineRule="auto"/>
        <w:rPr>
          <w:rFonts w:ascii="Times New Roman" w:hAnsi="Times New Roman" w:cs="Times New Roman"/>
          <w:b/>
          <w:sz w:val="24"/>
          <w:szCs w:val="24"/>
        </w:rPr>
      </w:pPr>
    </w:p>
    <w:p w14:paraId="53119816" w14:textId="0A2BD4E5" w:rsidR="00E231BB" w:rsidRPr="00187B31" w:rsidRDefault="00E231BB" w:rsidP="00E231BB">
      <w:pPr>
        <w:spacing w:after="0" w:line="480" w:lineRule="auto"/>
        <w:rPr>
          <w:rFonts w:ascii="Times New Roman" w:hAnsi="Times New Roman" w:cs="Times New Roman"/>
          <w:b/>
          <w:sz w:val="24"/>
          <w:szCs w:val="24"/>
        </w:rPr>
      </w:pPr>
      <w:r w:rsidRPr="001B1048">
        <w:rPr>
          <w:rFonts w:ascii="Times New Roman" w:hAnsi="Times New Roman" w:cs="Times New Roman"/>
          <w:b/>
          <w:sz w:val="24"/>
          <w:szCs w:val="24"/>
        </w:rPr>
        <w:t>FUNDING AND ACKNOWLEDGEMENTS</w:t>
      </w:r>
    </w:p>
    <w:p w14:paraId="650471AF" w14:textId="4AB0F838" w:rsidR="00E231BB" w:rsidRDefault="00E231BB" w:rsidP="00E231B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above study was funded by the NIHR HTA programme (grant number: </w:t>
      </w:r>
      <w:r w:rsidRPr="00D55385">
        <w:rPr>
          <w:rFonts w:ascii="Times New Roman" w:hAnsi="Times New Roman" w:cs="Times New Roman"/>
          <w:sz w:val="24"/>
          <w:szCs w:val="24"/>
        </w:rPr>
        <w:t>08/106/02</w:t>
      </w:r>
      <w:r w:rsidRPr="00BB05CA">
        <w:rPr>
          <w:rFonts w:ascii="Times New Roman" w:hAnsi="Times New Roman" w:cs="Times New Roman"/>
          <w:sz w:val="24"/>
          <w:szCs w:val="24"/>
        </w:rPr>
        <w:t>).</w:t>
      </w:r>
      <w:r>
        <w:rPr>
          <w:rFonts w:ascii="Times New Roman" w:hAnsi="Times New Roman" w:cs="Times New Roman"/>
          <w:sz w:val="24"/>
          <w:szCs w:val="24"/>
        </w:rPr>
        <w:t xml:space="preserve"> AL, OMK and GC are supported in part by the NIHR Imperial BRC HPRU.</w:t>
      </w:r>
      <w:r w:rsidRPr="00113B04">
        <w:rPr>
          <w:rFonts w:ascii="Times New Roman" w:hAnsi="Times New Roman" w:cs="Times New Roman"/>
          <w:sz w:val="24"/>
          <w:szCs w:val="24"/>
        </w:rPr>
        <w:t xml:space="preserve"> We would like to thank</w:t>
      </w:r>
      <w:r>
        <w:rPr>
          <w:rFonts w:ascii="Times New Roman" w:hAnsi="Times New Roman" w:cs="Times New Roman"/>
          <w:sz w:val="24"/>
          <w:szCs w:val="24"/>
        </w:rPr>
        <w:t xml:space="preserve"> the Research Nurses at each of the study sites for their work in recruitment of participants, and the Research Assistants at the TB Research Centre, in particular </w:t>
      </w:r>
      <w:r w:rsidR="007E6D33">
        <w:rPr>
          <w:rFonts w:ascii="Times New Roman" w:hAnsi="Times New Roman" w:cs="Times New Roman"/>
          <w:sz w:val="24"/>
          <w:szCs w:val="24"/>
        </w:rPr>
        <w:t xml:space="preserve">Ms </w:t>
      </w:r>
      <w:r>
        <w:rPr>
          <w:rFonts w:ascii="Times New Roman" w:hAnsi="Times New Roman" w:cs="Times New Roman"/>
          <w:sz w:val="24"/>
          <w:szCs w:val="24"/>
        </w:rPr>
        <w:t xml:space="preserve">Bianca </w:t>
      </w:r>
      <w:r w:rsidR="00CB7588">
        <w:rPr>
          <w:rFonts w:ascii="Times New Roman" w:hAnsi="Times New Roman" w:cs="Times New Roman"/>
          <w:sz w:val="24"/>
          <w:szCs w:val="24"/>
        </w:rPr>
        <w:t>Bartlett</w:t>
      </w:r>
      <w:r>
        <w:rPr>
          <w:rFonts w:ascii="Times New Roman" w:hAnsi="Times New Roman" w:cs="Times New Roman"/>
          <w:sz w:val="24"/>
          <w:szCs w:val="24"/>
        </w:rPr>
        <w:t xml:space="preserve">, </w:t>
      </w:r>
      <w:r w:rsidR="007E6D33">
        <w:rPr>
          <w:rFonts w:ascii="Times New Roman" w:hAnsi="Times New Roman" w:cs="Times New Roman"/>
          <w:sz w:val="24"/>
          <w:szCs w:val="24"/>
        </w:rPr>
        <w:t xml:space="preserve">Dr </w:t>
      </w:r>
      <w:r>
        <w:rPr>
          <w:rFonts w:ascii="Times New Roman" w:hAnsi="Times New Roman" w:cs="Times New Roman"/>
          <w:sz w:val="24"/>
          <w:szCs w:val="24"/>
        </w:rPr>
        <w:t xml:space="preserve">Ann-Kathrin Reuschl and </w:t>
      </w:r>
      <w:r w:rsidR="007E6D33">
        <w:rPr>
          <w:rFonts w:ascii="Times New Roman" w:hAnsi="Times New Roman" w:cs="Times New Roman"/>
          <w:sz w:val="24"/>
          <w:szCs w:val="24"/>
        </w:rPr>
        <w:t xml:space="preserve">Dr </w:t>
      </w:r>
      <w:r w:rsidRPr="001B1048">
        <w:rPr>
          <w:rFonts w:ascii="Times New Roman" w:hAnsi="Times New Roman" w:cs="Times New Roman"/>
          <w:sz w:val="24"/>
          <w:szCs w:val="24"/>
        </w:rPr>
        <w:t>Luigi Marongiu</w:t>
      </w:r>
      <w:r>
        <w:rPr>
          <w:rFonts w:ascii="Times New Roman" w:hAnsi="Times New Roman" w:cs="Times New Roman"/>
          <w:sz w:val="24"/>
          <w:szCs w:val="24"/>
        </w:rPr>
        <w:t>, who contributed to processing of participant samples and performing t</w:t>
      </w:r>
      <w:r w:rsidRPr="00E85E40">
        <w:rPr>
          <w:rFonts w:ascii="Times New Roman" w:hAnsi="Times New Roman" w:cs="Times New Roman"/>
          <w:sz w:val="24"/>
          <w:szCs w:val="24"/>
        </w:rPr>
        <w:t>he study assays. We additionally would like to thank the members of the Study Steering Committee</w:t>
      </w:r>
      <w:r>
        <w:rPr>
          <w:rFonts w:ascii="Times New Roman" w:hAnsi="Times New Roman" w:cs="Times New Roman"/>
          <w:sz w:val="24"/>
          <w:szCs w:val="24"/>
        </w:rPr>
        <w:t>,</w:t>
      </w:r>
      <w:r w:rsidRPr="00E85E40">
        <w:rPr>
          <w:rFonts w:ascii="Times New Roman" w:hAnsi="Times New Roman" w:cs="Times New Roman"/>
          <w:sz w:val="24"/>
          <w:szCs w:val="24"/>
        </w:rPr>
        <w:t xml:space="preserve"> </w:t>
      </w:r>
      <w:r w:rsidRPr="00A227A2">
        <w:rPr>
          <w:rFonts w:ascii="Times New Roman" w:hAnsi="Times New Roman" w:cs="Times New Roman"/>
          <w:sz w:val="24"/>
          <w:szCs w:val="24"/>
        </w:rPr>
        <w:t xml:space="preserve">Professor Khalid Khan, Professor Stephen Gordon, Dr James </w:t>
      </w:r>
      <w:proofErr w:type="spellStart"/>
      <w:r w:rsidRPr="00A227A2">
        <w:rPr>
          <w:rFonts w:ascii="Times New Roman" w:hAnsi="Times New Roman" w:cs="Times New Roman"/>
          <w:sz w:val="24"/>
          <w:szCs w:val="24"/>
        </w:rPr>
        <w:t>Gray</w:t>
      </w:r>
      <w:proofErr w:type="spellEnd"/>
      <w:r w:rsidR="006A1251">
        <w:rPr>
          <w:rFonts w:ascii="Times New Roman" w:hAnsi="Times New Roman" w:cs="Times New Roman"/>
          <w:sz w:val="24"/>
          <w:szCs w:val="24"/>
        </w:rPr>
        <w:t>,</w:t>
      </w:r>
      <w:r w:rsidRPr="00A227A2">
        <w:rPr>
          <w:rFonts w:ascii="Times New Roman" w:hAnsi="Times New Roman" w:cs="Times New Roman"/>
          <w:sz w:val="24"/>
          <w:szCs w:val="24"/>
        </w:rPr>
        <w:t xml:space="preserve"> Dr Johannes </w:t>
      </w:r>
      <w:proofErr w:type="spellStart"/>
      <w:r w:rsidRPr="00A227A2">
        <w:rPr>
          <w:rFonts w:ascii="Times New Roman" w:hAnsi="Times New Roman" w:cs="Times New Roman"/>
          <w:sz w:val="24"/>
          <w:szCs w:val="24"/>
        </w:rPr>
        <w:t>Reitsma</w:t>
      </w:r>
      <w:proofErr w:type="spellEnd"/>
      <w:r w:rsidR="006A1251">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7E6D33">
        <w:rPr>
          <w:rFonts w:ascii="Times New Roman" w:hAnsi="Times New Roman" w:cs="Times New Roman"/>
          <w:sz w:val="24"/>
          <w:szCs w:val="24"/>
        </w:rPr>
        <w:t xml:space="preserve">Ms </w:t>
      </w:r>
      <w:r>
        <w:rPr>
          <w:rFonts w:ascii="Times New Roman" w:hAnsi="Times New Roman" w:cs="Times New Roman"/>
          <w:sz w:val="24"/>
          <w:szCs w:val="24"/>
        </w:rPr>
        <w:t xml:space="preserve">Nisha </w:t>
      </w:r>
      <w:proofErr w:type="spellStart"/>
      <w:r>
        <w:rPr>
          <w:rFonts w:ascii="Times New Roman" w:hAnsi="Times New Roman" w:cs="Times New Roman"/>
          <w:sz w:val="24"/>
          <w:szCs w:val="24"/>
        </w:rPr>
        <w:t>Karnani</w:t>
      </w:r>
      <w:proofErr w:type="spellEnd"/>
      <w:r>
        <w:rPr>
          <w:rFonts w:ascii="Times New Roman" w:hAnsi="Times New Roman" w:cs="Times New Roman"/>
          <w:sz w:val="24"/>
          <w:szCs w:val="24"/>
        </w:rPr>
        <w:t xml:space="preserve"> (lay member) for their support and advice throughout the study</w:t>
      </w:r>
      <w:r w:rsidRPr="00A227A2">
        <w:rPr>
          <w:rFonts w:ascii="Times New Roman" w:hAnsi="Times New Roman" w:cs="Times New Roman"/>
          <w:sz w:val="24"/>
          <w:szCs w:val="24"/>
        </w:rPr>
        <w:t>.</w:t>
      </w:r>
    </w:p>
    <w:p w14:paraId="278472B1" w14:textId="1F4ED874" w:rsidR="00A95D36" w:rsidRDefault="00A95D36" w:rsidP="00E231BB">
      <w:pPr>
        <w:spacing w:after="0" w:line="480" w:lineRule="auto"/>
        <w:jc w:val="both"/>
        <w:rPr>
          <w:rFonts w:ascii="Times New Roman" w:hAnsi="Times New Roman" w:cs="Times New Roman"/>
          <w:sz w:val="24"/>
          <w:szCs w:val="24"/>
        </w:rPr>
      </w:pPr>
    </w:p>
    <w:p w14:paraId="07BB742F" w14:textId="1B97D505" w:rsidR="00BC2259" w:rsidRDefault="003101AF" w:rsidP="001B1048">
      <w:pPr>
        <w:spacing w:after="0" w:line="480" w:lineRule="auto"/>
        <w:rPr>
          <w:rFonts w:ascii="Times New Roman" w:hAnsi="Times New Roman" w:cs="Times New Roman"/>
          <w:sz w:val="24"/>
          <w:szCs w:val="24"/>
        </w:rPr>
      </w:pPr>
      <w:r w:rsidRPr="001B1048">
        <w:rPr>
          <w:rFonts w:ascii="Times New Roman" w:hAnsi="Times New Roman" w:cs="Times New Roman"/>
          <w:b/>
          <w:sz w:val="24"/>
          <w:szCs w:val="24"/>
        </w:rPr>
        <w:t>REFERENCES</w:t>
      </w:r>
      <w:r w:rsidR="00957E32">
        <w:rPr>
          <w:rFonts w:ascii="Times New Roman" w:hAnsi="Times New Roman" w:cs="Times New Roman"/>
          <w:sz w:val="24"/>
          <w:szCs w:val="24"/>
        </w:rPr>
        <w:t xml:space="preserve"> </w:t>
      </w:r>
    </w:p>
    <w:p w14:paraId="2BB0ECC4" w14:textId="698E7789" w:rsidR="00E370E9" w:rsidRPr="00EB23E9" w:rsidRDefault="00E370E9" w:rsidP="00A227A2">
      <w:pPr>
        <w:pStyle w:val="EndNoteBibliography"/>
        <w:numPr>
          <w:ilvl w:val="0"/>
          <w:numId w:val="14"/>
        </w:numPr>
        <w:spacing w:after="0" w:line="480" w:lineRule="auto"/>
        <w:jc w:val="both"/>
      </w:pPr>
      <w:r w:rsidRPr="00EB23E9">
        <w:t>Dosanjh DP, Hinks TS, Innes JA, Deeks JJ, Pasvol G, Hackforth S</w:t>
      </w:r>
      <w:r w:rsidRPr="00EB23E9">
        <w:rPr>
          <w:i/>
        </w:rPr>
        <w:t>, et al.</w:t>
      </w:r>
      <w:r w:rsidRPr="00EB23E9">
        <w:t xml:space="preserve"> Improved diagnostic evaluation of suspected tuberculosis. </w:t>
      </w:r>
      <w:r w:rsidRPr="00EB23E9">
        <w:rPr>
          <w:i/>
        </w:rPr>
        <w:t>Ann Intern Med</w:t>
      </w:r>
      <w:r w:rsidRPr="00EB23E9">
        <w:t xml:space="preserve"> 2008;</w:t>
      </w:r>
      <w:r w:rsidRPr="00EB23E9">
        <w:rPr>
          <w:b/>
        </w:rPr>
        <w:t>148</w:t>
      </w:r>
      <w:r w:rsidRPr="00EB23E9">
        <w:t>:325-36.</w:t>
      </w:r>
    </w:p>
    <w:p w14:paraId="5EC88AD6" w14:textId="3D8D8E13" w:rsidR="00E370E9" w:rsidRPr="00A56550" w:rsidRDefault="00E370E9" w:rsidP="00A227A2">
      <w:pPr>
        <w:pStyle w:val="ListParagraph"/>
        <w:numPr>
          <w:ilvl w:val="0"/>
          <w:numId w:val="14"/>
        </w:numPr>
        <w:spacing w:after="0" w:line="480" w:lineRule="auto"/>
        <w:jc w:val="both"/>
      </w:pPr>
      <w:r>
        <w:rPr>
          <w:rFonts w:ascii="Times New Roman" w:hAnsi="Times New Roman" w:cs="Times New Roman"/>
          <w:sz w:val="24"/>
          <w:szCs w:val="24"/>
        </w:rPr>
        <w:t xml:space="preserve">Whitworth HS, </w:t>
      </w:r>
      <w:proofErr w:type="spellStart"/>
      <w:r w:rsidR="00762CBB">
        <w:rPr>
          <w:rFonts w:ascii="Times New Roman" w:hAnsi="Times New Roman" w:cs="Times New Roman"/>
          <w:sz w:val="24"/>
          <w:szCs w:val="24"/>
        </w:rPr>
        <w:t>Aranday</w:t>
      </w:r>
      <w:proofErr w:type="spellEnd"/>
      <w:r w:rsidR="00762CBB">
        <w:rPr>
          <w:rFonts w:ascii="Times New Roman" w:hAnsi="Times New Roman" w:cs="Times New Roman"/>
          <w:sz w:val="24"/>
          <w:szCs w:val="24"/>
        </w:rPr>
        <w:t xml:space="preserve">-Cortes, Lalvani A. Biomarkers of tuberculosis: A research roadmap. </w:t>
      </w:r>
      <w:proofErr w:type="spellStart"/>
      <w:r w:rsidR="00762CBB" w:rsidRPr="001B1048">
        <w:rPr>
          <w:rFonts w:ascii="Times New Roman" w:hAnsi="Times New Roman" w:cs="Times New Roman"/>
          <w:i/>
          <w:sz w:val="24"/>
          <w:szCs w:val="24"/>
        </w:rPr>
        <w:t>Biomark</w:t>
      </w:r>
      <w:proofErr w:type="spellEnd"/>
      <w:r w:rsidR="00762CBB" w:rsidRPr="001B1048">
        <w:rPr>
          <w:rFonts w:ascii="Times New Roman" w:hAnsi="Times New Roman" w:cs="Times New Roman"/>
          <w:i/>
          <w:sz w:val="24"/>
          <w:szCs w:val="24"/>
        </w:rPr>
        <w:t xml:space="preserve"> Med</w:t>
      </w:r>
      <w:r w:rsidR="007E6D33">
        <w:rPr>
          <w:rFonts w:ascii="Times New Roman" w:hAnsi="Times New Roman" w:cs="Times New Roman"/>
          <w:sz w:val="24"/>
          <w:szCs w:val="24"/>
        </w:rPr>
        <w:t xml:space="preserve"> </w:t>
      </w:r>
      <w:r w:rsidR="00762CBB">
        <w:rPr>
          <w:rFonts w:ascii="Times New Roman" w:hAnsi="Times New Roman" w:cs="Times New Roman"/>
          <w:sz w:val="24"/>
          <w:szCs w:val="24"/>
        </w:rPr>
        <w:t>2013</w:t>
      </w:r>
      <w:r w:rsidR="003E43D6">
        <w:rPr>
          <w:rFonts w:ascii="Times New Roman" w:hAnsi="Times New Roman" w:cs="Times New Roman"/>
          <w:sz w:val="24"/>
          <w:szCs w:val="24"/>
        </w:rPr>
        <w:t>;</w:t>
      </w:r>
      <w:r w:rsidR="00762CBB" w:rsidRPr="001B1048">
        <w:rPr>
          <w:rFonts w:ascii="Times New Roman" w:hAnsi="Times New Roman" w:cs="Times New Roman"/>
          <w:b/>
          <w:sz w:val="24"/>
          <w:szCs w:val="24"/>
        </w:rPr>
        <w:t>7</w:t>
      </w:r>
      <w:r w:rsidR="00762CBB">
        <w:rPr>
          <w:rFonts w:ascii="Times New Roman" w:hAnsi="Times New Roman" w:cs="Times New Roman"/>
          <w:sz w:val="24"/>
          <w:szCs w:val="24"/>
        </w:rPr>
        <w:t>(3):349-62.</w:t>
      </w:r>
    </w:p>
    <w:p w14:paraId="7745EDA3" w14:textId="77777777" w:rsidR="00740116" w:rsidRDefault="00A8040B" w:rsidP="00740116">
      <w:pPr>
        <w:pStyle w:val="ListParagraph"/>
        <w:numPr>
          <w:ilvl w:val="0"/>
          <w:numId w:val="14"/>
        </w:numPr>
        <w:shd w:val="clear" w:color="auto" w:fill="FFFFFF"/>
        <w:spacing w:after="0" w:line="480" w:lineRule="auto"/>
        <w:ind w:left="714" w:hanging="357"/>
        <w:jc w:val="both"/>
        <w:rPr>
          <w:rFonts w:ascii="Times New Roman" w:hAnsi="Times New Roman" w:cs="Times New Roman"/>
          <w:sz w:val="24"/>
          <w:szCs w:val="24"/>
          <w:lang w:val="en"/>
        </w:rPr>
      </w:pPr>
      <w:hyperlink r:id="rId10" w:history="1">
        <w:r w:rsidR="00740116" w:rsidRPr="006248F3">
          <w:rPr>
            <w:rFonts w:ascii="Times New Roman" w:hAnsi="Times New Roman" w:cs="Times New Roman"/>
            <w:sz w:val="24"/>
            <w:szCs w:val="24"/>
            <w:lang w:val="en"/>
          </w:rPr>
          <w:t>Dorman SE</w:t>
        </w:r>
      </w:hyperlink>
      <w:r w:rsidR="00740116" w:rsidRPr="006248F3">
        <w:rPr>
          <w:rFonts w:ascii="Times New Roman" w:hAnsi="Times New Roman" w:cs="Times New Roman"/>
          <w:sz w:val="24"/>
          <w:szCs w:val="24"/>
          <w:lang w:val="en"/>
        </w:rPr>
        <w:t xml:space="preserve">, </w:t>
      </w:r>
      <w:hyperlink r:id="rId11" w:history="1">
        <w:r w:rsidR="00740116" w:rsidRPr="006248F3">
          <w:rPr>
            <w:rFonts w:ascii="Times New Roman" w:hAnsi="Times New Roman" w:cs="Times New Roman"/>
            <w:sz w:val="24"/>
            <w:szCs w:val="24"/>
            <w:lang w:val="en"/>
          </w:rPr>
          <w:t>Schumacher SG</w:t>
        </w:r>
      </w:hyperlink>
      <w:r w:rsidR="00740116" w:rsidRPr="006248F3">
        <w:rPr>
          <w:rFonts w:ascii="Times New Roman" w:hAnsi="Times New Roman" w:cs="Times New Roman"/>
          <w:sz w:val="24"/>
          <w:szCs w:val="24"/>
          <w:lang w:val="en"/>
        </w:rPr>
        <w:t xml:space="preserve">, </w:t>
      </w:r>
      <w:hyperlink r:id="rId12" w:history="1">
        <w:proofErr w:type="spellStart"/>
        <w:r w:rsidR="00740116" w:rsidRPr="006248F3">
          <w:rPr>
            <w:rFonts w:ascii="Times New Roman" w:hAnsi="Times New Roman" w:cs="Times New Roman"/>
            <w:sz w:val="24"/>
            <w:szCs w:val="24"/>
            <w:lang w:val="en"/>
          </w:rPr>
          <w:t>Alland</w:t>
        </w:r>
        <w:proofErr w:type="spellEnd"/>
        <w:r w:rsidR="00740116" w:rsidRPr="006248F3">
          <w:rPr>
            <w:rFonts w:ascii="Times New Roman" w:hAnsi="Times New Roman" w:cs="Times New Roman"/>
            <w:sz w:val="24"/>
            <w:szCs w:val="24"/>
            <w:lang w:val="en"/>
          </w:rPr>
          <w:t xml:space="preserve"> D</w:t>
        </w:r>
      </w:hyperlink>
      <w:r w:rsidR="00740116" w:rsidRPr="006248F3">
        <w:rPr>
          <w:rFonts w:ascii="Times New Roman" w:hAnsi="Times New Roman" w:cs="Times New Roman"/>
          <w:sz w:val="24"/>
          <w:szCs w:val="24"/>
          <w:lang w:val="en"/>
        </w:rPr>
        <w:t xml:space="preserve">, </w:t>
      </w:r>
      <w:hyperlink r:id="rId13" w:history="1">
        <w:proofErr w:type="spellStart"/>
        <w:r w:rsidR="00740116" w:rsidRPr="006248F3">
          <w:rPr>
            <w:rFonts w:ascii="Times New Roman" w:hAnsi="Times New Roman" w:cs="Times New Roman"/>
            <w:sz w:val="24"/>
            <w:szCs w:val="24"/>
            <w:lang w:val="en"/>
          </w:rPr>
          <w:t>Nabeta</w:t>
        </w:r>
        <w:proofErr w:type="spellEnd"/>
        <w:r w:rsidR="00740116" w:rsidRPr="006248F3">
          <w:rPr>
            <w:rFonts w:ascii="Times New Roman" w:hAnsi="Times New Roman" w:cs="Times New Roman"/>
            <w:sz w:val="24"/>
            <w:szCs w:val="24"/>
            <w:lang w:val="en"/>
          </w:rPr>
          <w:t xml:space="preserve"> P</w:t>
        </w:r>
      </w:hyperlink>
      <w:r w:rsidR="00740116" w:rsidRPr="006248F3">
        <w:rPr>
          <w:rFonts w:ascii="Times New Roman" w:hAnsi="Times New Roman" w:cs="Times New Roman"/>
          <w:sz w:val="24"/>
          <w:szCs w:val="24"/>
          <w:lang w:val="en"/>
        </w:rPr>
        <w:t xml:space="preserve">, </w:t>
      </w:r>
      <w:hyperlink r:id="rId14" w:history="1">
        <w:r w:rsidR="00740116" w:rsidRPr="006248F3">
          <w:rPr>
            <w:rFonts w:ascii="Times New Roman" w:hAnsi="Times New Roman" w:cs="Times New Roman"/>
            <w:sz w:val="24"/>
            <w:szCs w:val="24"/>
            <w:lang w:val="en"/>
          </w:rPr>
          <w:t>Armstrong DT</w:t>
        </w:r>
      </w:hyperlink>
      <w:r w:rsidR="00740116" w:rsidRPr="006248F3">
        <w:rPr>
          <w:rFonts w:ascii="Times New Roman" w:hAnsi="Times New Roman" w:cs="Times New Roman"/>
          <w:sz w:val="24"/>
          <w:szCs w:val="24"/>
          <w:lang w:val="en"/>
        </w:rPr>
        <w:t xml:space="preserve">, </w:t>
      </w:r>
      <w:hyperlink r:id="rId15" w:history="1">
        <w:r w:rsidR="00740116" w:rsidRPr="006248F3">
          <w:rPr>
            <w:rFonts w:ascii="Times New Roman" w:hAnsi="Times New Roman" w:cs="Times New Roman"/>
            <w:sz w:val="24"/>
            <w:szCs w:val="24"/>
            <w:lang w:val="en"/>
          </w:rPr>
          <w:t>King B</w:t>
        </w:r>
      </w:hyperlink>
      <w:r w:rsidR="00740116">
        <w:rPr>
          <w:rFonts w:ascii="Times New Roman" w:hAnsi="Times New Roman" w:cs="Times New Roman"/>
          <w:sz w:val="24"/>
          <w:szCs w:val="24"/>
          <w:lang w:val="en"/>
        </w:rPr>
        <w:t xml:space="preserve"> </w:t>
      </w:r>
      <w:r w:rsidR="00740116" w:rsidRPr="004D4BE0">
        <w:rPr>
          <w:rFonts w:ascii="Times New Roman" w:hAnsi="Times New Roman" w:cs="Times New Roman"/>
          <w:i/>
          <w:sz w:val="24"/>
          <w:szCs w:val="24"/>
          <w:lang w:val="en"/>
        </w:rPr>
        <w:t>et al</w:t>
      </w:r>
      <w:r w:rsidR="00740116">
        <w:rPr>
          <w:rFonts w:ascii="Times New Roman" w:hAnsi="Times New Roman" w:cs="Times New Roman"/>
          <w:sz w:val="24"/>
          <w:szCs w:val="24"/>
          <w:lang w:val="en"/>
        </w:rPr>
        <w:t>.</w:t>
      </w:r>
      <w:r w:rsidR="00740116" w:rsidRPr="004D4BE0">
        <w:rPr>
          <w:rFonts w:ascii="Times New Roman" w:eastAsia="Times New Roman" w:hAnsi="Times New Roman" w:cs="Times New Roman"/>
          <w:sz w:val="24"/>
          <w:szCs w:val="24"/>
        </w:rPr>
        <w:t xml:space="preserve"> </w:t>
      </w:r>
      <w:proofErr w:type="spellStart"/>
      <w:r w:rsidR="00740116" w:rsidRPr="004D4BE0">
        <w:rPr>
          <w:rFonts w:ascii="Times New Roman" w:hAnsi="Times New Roman" w:cs="Times New Roman"/>
          <w:sz w:val="24"/>
          <w:szCs w:val="24"/>
          <w:lang w:val="en"/>
        </w:rPr>
        <w:t>Xpert</w:t>
      </w:r>
      <w:proofErr w:type="spellEnd"/>
      <w:r w:rsidR="00740116" w:rsidRPr="004D4BE0">
        <w:rPr>
          <w:rFonts w:ascii="Times New Roman" w:hAnsi="Times New Roman" w:cs="Times New Roman"/>
          <w:sz w:val="24"/>
          <w:szCs w:val="24"/>
          <w:lang w:val="en"/>
        </w:rPr>
        <w:t xml:space="preserve"> MTB/RIF Ultra for detection of Mycobacterium tuberculosis and rifampicin resistance: </w:t>
      </w:r>
      <w:r w:rsidR="00740116" w:rsidRPr="004D4BE0">
        <w:rPr>
          <w:rFonts w:ascii="Times New Roman" w:hAnsi="Times New Roman" w:cs="Times New Roman"/>
          <w:sz w:val="24"/>
          <w:szCs w:val="24"/>
          <w:lang w:val="en"/>
        </w:rPr>
        <w:lastRenderedPageBreak/>
        <w:t xml:space="preserve">a prospective </w:t>
      </w:r>
      <w:proofErr w:type="spellStart"/>
      <w:r w:rsidR="00740116" w:rsidRPr="004D4BE0">
        <w:rPr>
          <w:rFonts w:ascii="Times New Roman" w:hAnsi="Times New Roman" w:cs="Times New Roman"/>
          <w:sz w:val="24"/>
          <w:szCs w:val="24"/>
          <w:lang w:val="en"/>
        </w:rPr>
        <w:t>multicentre</w:t>
      </w:r>
      <w:proofErr w:type="spellEnd"/>
      <w:r w:rsidR="00740116" w:rsidRPr="004D4BE0">
        <w:rPr>
          <w:rFonts w:ascii="Times New Roman" w:hAnsi="Times New Roman" w:cs="Times New Roman"/>
          <w:sz w:val="24"/>
          <w:szCs w:val="24"/>
          <w:lang w:val="en"/>
        </w:rPr>
        <w:t xml:space="preserve"> diagnostic accuracy study.</w:t>
      </w:r>
      <w:r w:rsidR="00740116">
        <w:rPr>
          <w:rFonts w:ascii="Times New Roman" w:hAnsi="Times New Roman" w:cs="Times New Roman"/>
          <w:sz w:val="24"/>
          <w:szCs w:val="24"/>
          <w:lang w:val="en"/>
        </w:rPr>
        <w:t xml:space="preserve"> </w:t>
      </w:r>
      <w:r w:rsidR="00740116" w:rsidRPr="004D4BE0">
        <w:rPr>
          <w:rFonts w:ascii="Times New Roman" w:hAnsi="Times New Roman" w:cs="Times New Roman"/>
          <w:i/>
          <w:sz w:val="24"/>
          <w:szCs w:val="24"/>
          <w:lang w:val="en"/>
        </w:rPr>
        <w:t>Lancet Infect Dis</w:t>
      </w:r>
      <w:r w:rsidR="00740116">
        <w:rPr>
          <w:rFonts w:ascii="Times New Roman" w:hAnsi="Times New Roman" w:cs="Times New Roman"/>
          <w:sz w:val="24"/>
          <w:szCs w:val="24"/>
          <w:lang w:val="en"/>
        </w:rPr>
        <w:t xml:space="preserve"> 2018;</w:t>
      </w:r>
      <w:r w:rsidR="00740116" w:rsidRPr="004D4BE0">
        <w:rPr>
          <w:rFonts w:ascii="Times New Roman" w:hAnsi="Times New Roman" w:cs="Times New Roman"/>
          <w:b/>
          <w:sz w:val="24"/>
          <w:szCs w:val="24"/>
          <w:lang w:val="en"/>
        </w:rPr>
        <w:t>18</w:t>
      </w:r>
      <w:r w:rsidR="00740116">
        <w:rPr>
          <w:rFonts w:ascii="Times New Roman" w:hAnsi="Times New Roman" w:cs="Times New Roman"/>
          <w:sz w:val="24"/>
          <w:szCs w:val="24"/>
          <w:lang w:val="en"/>
        </w:rPr>
        <w:t xml:space="preserve">(1):76-84. </w:t>
      </w:r>
    </w:p>
    <w:p w14:paraId="50BA8AC3" w14:textId="77777777" w:rsidR="00740116" w:rsidRPr="00AB4704" w:rsidRDefault="00740116" w:rsidP="00740116">
      <w:pPr>
        <w:pStyle w:val="ListParagraph"/>
        <w:numPr>
          <w:ilvl w:val="0"/>
          <w:numId w:val="14"/>
        </w:numPr>
        <w:shd w:val="clear" w:color="auto" w:fill="FFFFFF"/>
        <w:spacing w:after="0" w:line="480" w:lineRule="auto"/>
        <w:ind w:left="714" w:hanging="357"/>
        <w:jc w:val="both"/>
        <w:rPr>
          <w:rFonts w:ascii="Times New Roman" w:hAnsi="Times New Roman" w:cs="Times New Roman"/>
          <w:sz w:val="24"/>
          <w:szCs w:val="24"/>
          <w:lang w:val="en"/>
        </w:rPr>
      </w:pPr>
      <w:r w:rsidRPr="00AB4704">
        <w:rPr>
          <w:rFonts w:ascii="Times New Roman" w:hAnsi="Times New Roman" w:cs="Times New Roman"/>
          <w:sz w:val="24"/>
          <w:szCs w:val="24"/>
          <w:lang w:val="en"/>
        </w:rPr>
        <w:t xml:space="preserve">Sohn H, Aero AD, Menzies D, Behr M, Schwartzman K, Alvarez GG </w:t>
      </w:r>
      <w:r w:rsidRPr="00AB4704">
        <w:rPr>
          <w:rFonts w:ascii="Times New Roman" w:hAnsi="Times New Roman" w:cs="Times New Roman"/>
          <w:i/>
          <w:sz w:val="24"/>
          <w:szCs w:val="24"/>
          <w:lang w:val="en"/>
        </w:rPr>
        <w:t>et al</w:t>
      </w:r>
      <w:r w:rsidRPr="00AB4704">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Xpert</w:t>
      </w:r>
      <w:proofErr w:type="spellEnd"/>
      <w:r>
        <w:rPr>
          <w:rFonts w:ascii="Times New Roman" w:hAnsi="Times New Roman" w:cs="Times New Roman"/>
          <w:sz w:val="24"/>
          <w:szCs w:val="24"/>
          <w:lang w:val="en"/>
        </w:rPr>
        <w:t xml:space="preserve"> MTB/RIF testing in a low tuberculosis incidence, high-resource setting: limitations in accuracy and clinical impact. </w:t>
      </w:r>
      <w:r w:rsidRPr="00AB4704">
        <w:rPr>
          <w:rFonts w:ascii="Times New Roman" w:hAnsi="Times New Roman" w:cs="Times New Roman"/>
          <w:i/>
          <w:sz w:val="24"/>
          <w:szCs w:val="24"/>
          <w:lang w:val="en"/>
        </w:rPr>
        <w:t>Clin Infect Dis</w:t>
      </w:r>
      <w:r>
        <w:rPr>
          <w:rFonts w:ascii="Times New Roman" w:hAnsi="Times New Roman" w:cs="Times New Roman"/>
          <w:sz w:val="24"/>
          <w:szCs w:val="24"/>
          <w:lang w:val="en"/>
        </w:rPr>
        <w:t>. 2014;</w:t>
      </w:r>
      <w:r w:rsidRPr="00AB4704">
        <w:rPr>
          <w:rFonts w:ascii="Times New Roman" w:hAnsi="Times New Roman" w:cs="Times New Roman"/>
          <w:b/>
          <w:sz w:val="24"/>
          <w:szCs w:val="24"/>
          <w:lang w:val="en"/>
        </w:rPr>
        <w:t>58</w:t>
      </w:r>
      <w:r>
        <w:rPr>
          <w:rFonts w:ascii="Times New Roman" w:hAnsi="Times New Roman" w:cs="Times New Roman"/>
          <w:sz w:val="24"/>
          <w:szCs w:val="24"/>
          <w:lang w:val="en"/>
        </w:rPr>
        <w:t>(7):970-6.</w:t>
      </w:r>
    </w:p>
    <w:p w14:paraId="0A3A3AF0" w14:textId="7A9037A8" w:rsidR="00A56550" w:rsidRPr="00663604" w:rsidRDefault="006858A7" w:rsidP="00A227A2">
      <w:pPr>
        <w:pStyle w:val="ListParagraph"/>
        <w:numPr>
          <w:ilvl w:val="0"/>
          <w:numId w:val="14"/>
        </w:numPr>
        <w:spacing w:after="0" w:line="480" w:lineRule="auto"/>
        <w:jc w:val="both"/>
        <w:rPr>
          <w:rFonts w:ascii="Times New Roman" w:hAnsi="Times New Roman" w:cs="Times New Roman"/>
          <w:sz w:val="24"/>
          <w:szCs w:val="24"/>
        </w:rPr>
      </w:pPr>
      <w:proofErr w:type="spellStart"/>
      <w:r w:rsidRPr="00663604">
        <w:rPr>
          <w:rFonts w:ascii="Times New Roman" w:hAnsi="Times New Roman" w:cs="Times New Roman"/>
          <w:sz w:val="24"/>
          <w:szCs w:val="24"/>
        </w:rPr>
        <w:t>Garcίa</w:t>
      </w:r>
      <w:r w:rsidR="00663604" w:rsidRPr="00663604">
        <w:rPr>
          <w:rFonts w:ascii="Times New Roman" w:hAnsi="Times New Roman" w:cs="Times New Roman"/>
          <w:sz w:val="24"/>
          <w:szCs w:val="24"/>
        </w:rPr>
        <w:t>-Basterio</w:t>
      </w:r>
      <w:proofErr w:type="spellEnd"/>
      <w:r w:rsidR="00663604" w:rsidRPr="00663604">
        <w:rPr>
          <w:rFonts w:ascii="Times New Roman" w:hAnsi="Times New Roman" w:cs="Times New Roman"/>
          <w:sz w:val="24"/>
          <w:szCs w:val="24"/>
        </w:rPr>
        <w:t xml:space="preserve"> AL and </w:t>
      </w:r>
      <w:proofErr w:type="spellStart"/>
      <w:r w:rsidR="00663604" w:rsidRPr="00663604">
        <w:rPr>
          <w:rFonts w:ascii="Times New Roman" w:hAnsi="Times New Roman" w:cs="Times New Roman"/>
          <w:sz w:val="24"/>
          <w:szCs w:val="24"/>
        </w:rPr>
        <w:t>Cobelens</w:t>
      </w:r>
      <w:proofErr w:type="spellEnd"/>
      <w:r w:rsidR="00663604" w:rsidRPr="00663604">
        <w:rPr>
          <w:rFonts w:ascii="Times New Roman" w:hAnsi="Times New Roman" w:cs="Times New Roman"/>
          <w:sz w:val="24"/>
          <w:szCs w:val="24"/>
        </w:rPr>
        <w:t xml:space="preserve"> F. Triage tests: a new priority for tuberculosis diagnostics. </w:t>
      </w:r>
      <w:r w:rsidR="00663604" w:rsidRPr="00663604">
        <w:rPr>
          <w:rFonts w:ascii="Times New Roman" w:hAnsi="Times New Roman" w:cs="Times New Roman"/>
          <w:i/>
          <w:sz w:val="24"/>
          <w:szCs w:val="24"/>
        </w:rPr>
        <w:t>Lancet</w:t>
      </w:r>
      <w:r w:rsidR="00663604" w:rsidRPr="00663604">
        <w:rPr>
          <w:rFonts w:ascii="Times New Roman" w:hAnsi="Times New Roman" w:cs="Times New Roman"/>
          <w:sz w:val="24"/>
          <w:szCs w:val="24"/>
        </w:rPr>
        <w:t xml:space="preserve"> 2015;</w:t>
      </w:r>
      <w:r w:rsidR="00663604" w:rsidRPr="00663604">
        <w:rPr>
          <w:rFonts w:ascii="Times New Roman" w:hAnsi="Times New Roman" w:cs="Times New Roman"/>
          <w:b/>
          <w:sz w:val="24"/>
          <w:szCs w:val="24"/>
        </w:rPr>
        <w:t>3</w:t>
      </w:r>
      <w:r w:rsidR="00663604" w:rsidRPr="00663604">
        <w:rPr>
          <w:rFonts w:ascii="Times New Roman" w:hAnsi="Times New Roman" w:cs="Times New Roman"/>
          <w:sz w:val="24"/>
          <w:szCs w:val="24"/>
        </w:rPr>
        <w:t>(3):177-178.</w:t>
      </w:r>
    </w:p>
    <w:p w14:paraId="3DC88EAF" w14:textId="09B4102F" w:rsidR="00E370E9" w:rsidRPr="00EB23E9" w:rsidRDefault="00E370E9" w:rsidP="00A227A2">
      <w:pPr>
        <w:pStyle w:val="EndNoteBibliography"/>
        <w:numPr>
          <w:ilvl w:val="0"/>
          <w:numId w:val="14"/>
        </w:numPr>
        <w:spacing w:after="0" w:line="480" w:lineRule="auto"/>
        <w:jc w:val="both"/>
      </w:pPr>
      <w:r w:rsidRPr="00EB23E9">
        <w:t xml:space="preserve">Whitworth HS, Scott M, Connell DW, Donges B, Lalvani A. IGRAs–the gateway to T cell based TB diagnosis. </w:t>
      </w:r>
      <w:r w:rsidRPr="00EB23E9">
        <w:rPr>
          <w:i/>
        </w:rPr>
        <w:t>Methods</w:t>
      </w:r>
      <w:r w:rsidRPr="00EB23E9">
        <w:t xml:space="preserve"> 2013;</w:t>
      </w:r>
      <w:r w:rsidRPr="00EB23E9">
        <w:rPr>
          <w:b/>
        </w:rPr>
        <w:t>61</w:t>
      </w:r>
      <w:r w:rsidRPr="00EB23E9">
        <w:t xml:space="preserve">:52-62. </w:t>
      </w:r>
    </w:p>
    <w:p w14:paraId="6B1408D6" w14:textId="5BDDA121" w:rsidR="00A56550" w:rsidRDefault="00A56550" w:rsidP="00A56550">
      <w:pPr>
        <w:pStyle w:val="EndNoteBibliography"/>
        <w:numPr>
          <w:ilvl w:val="0"/>
          <w:numId w:val="14"/>
        </w:numPr>
        <w:spacing w:after="0" w:line="480" w:lineRule="auto"/>
        <w:jc w:val="both"/>
      </w:pPr>
      <w:r w:rsidRPr="00EB23E9">
        <w:t xml:space="preserve">Pai M, Zwerling A, Menzies D. Systematic review: T-cell-based assays for the diagnosis of latent tuberculosis infection: an update. </w:t>
      </w:r>
      <w:r w:rsidRPr="00EB23E9">
        <w:rPr>
          <w:i/>
        </w:rPr>
        <w:t>Ann Intern Med</w:t>
      </w:r>
      <w:r w:rsidRPr="00EB23E9">
        <w:t xml:space="preserve"> 2008;</w:t>
      </w:r>
      <w:r w:rsidRPr="00EB23E9">
        <w:rPr>
          <w:b/>
        </w:rPr>
        <w:t>149</w:t>
      </w:r>
      <w:r w:rsidRPr="00EB23E9">
        <w:t>:177-84.</w:t>
      </w:r>
    </w:p>
    <w:p w14:paraId="7AA3FB5D" w14:textId="39DF4852" w:rsidR="00A56550" w:rsidRPr="0030462A" w:rsidRDefault="00A56550" w:rsidP="00882001">
      <w:pPr>
        <w:pStyle w:val="ListParagraph"/>
        <w:numPr>
          <w:ilvl w:val="0"/>
          <w:numId w:val="14"/>
        </w:numPr>
        <w:spacing w:after="0" w:line="480" w:lineRule="auto"/>
        <w:jc w:val="both"/>
        <w:rPr>
          <w:rFonts w:ascii="Times New Roman" w:hAnsi="Times New Roman" w:cs="Times New Roman"/>
          <w:sz w:val="24"/>
          <w:szCs w:val="24"/>
        </w:rPr>
      </w:pPr>
      <w:r w:rsidRPr="0042378B">
        <w:rPr>
          <w:rFonts w:ascii="Times New Roman" w:hAnsi="Times New Roman" w:cs="Times New Roman"/>
          <w:sz w:val="24"/>
          <w:szCs w:val="24"/>
          <w:lang w:val="it-IT"/>
        </w:rPr>
        <w:t>Goletti D, Carrara S, Butera O, Amicosante M, Ernst M</w:t>
      </w:r>
      <w:r w:rsidRPr="00882001">
        <w:rPr>
          <w:rFonts w:ascii="Times New Roman" w:hAnsi="Times New Roman" w:cs="Times New Roman"/>
          <w:sz w:val="24"/>
          <w:szCs w:val="24"/>
          <w:lang w:val="it-IT"/>
        </w:rPr>
        <w:t>, Sauzullo I</w:t>
      </w:r>
      <w:r w:rsidRPr="00882001">
        <w:rPr>
          <w:rFonts w:ascii="Times New Roman" w:hAnsi="Times New Roman" w:cs="Times New Roman"/>
          <w:i/>
          <w:sz w:val="24"/>
          <w:szCs w:val="24"/>
          <w:lang w:val="it-IT"/>
        </w:rPr>
        <w:t>, et al.</w:t>
      </w:r>
      <w:r w:rsidRPr="00882001">
        <w:rPr>
          <w:rFonts w:ascii="Times New Roman" w:hAnsi="Times New Roman" w:cs="Times New Roman"/>
          <w:sz w:val="24"/>
          <w:szCs w:val="24"/>
          <w:lang w:val="it-IT"/>
        </w:rPr>
        <w:t xml:space="preserve"> </w:t>
      </w:r>
      <w:r w:rsidRPr="00882001">
        <w:rPr>
          <w:rFonts w:ascii="Times New Roman" w:hAnsi="Times New Roman" w:cs="Times New Roman"/>
          <w:sz w:val="24"/>
          <w:szCs w:val="24"/>
        </w:rPr>
        <w:t xml:space="preserve">Accuracy of immunodiagnostic tests for active tuberculosis using single and combined results: a </w:t>
      </w:r>
      <w:proofErr w:type="spellStart"/>
      <w:r w:rsidRPr="0030462A">
        <w:rPr>
          <w:rFonts w:ascii="Times New Roman" w:hAnsi="Times New Roman" w:cs="Times New Roman"/>
          <w:sz w:val="24"/>
          <w:szCs w:val="24"/>
        </w:rPr>
        <w:t>multicenter</w:t>
      </w:r>
      <w:proofErr w:type="spellEnd"/>
      <w:r w:rsidRPr="0030462A">
        <w:rPr>
          <w:rFonts w:ascii="Times New Roman" w:hAnsi="Times New Roman" w:cs="Times New Roman"/>
          <w:sz w:val="24"/>
          <w:szCs w:val="24"/>
        </w:rPr>
        <w:t xml:space="preserve"> TBNET-Study. </w:t>
      </w:r>
      <w:proofErr w:type="spellStart"/>
      <w:r w:rsidRPr="0030462A">
        <w:rPr>
          <w:rFonts w:ascii="Times New Roman" w:hAnsi="Times New Roman" w:cs="Times New Roman"/>
          <w:i/>
          <w:sz w:val="24"/>
          <w:szCs w:val="24"/>
        </w:rPr>
        <w:t>PLoS</w:t>
      </w:r>
      <w:proofErr w:type="spellEnd"/>
      <w:r w:rsidRPr="0030462A">
        <w:rPr>
          <w:rFonts w:ascii="Times New Roman" w:hAnsi="Times New Roman" w:cs="Times New Roman"/>
          <w:i/>
          <w:sz w:val="24"/>
          <w:szCs w:val="24"/>
        </w:rPr>
        <w:t xml:space="preserve"> One</w:t>
      </w:r>
      <w:r w:rsidRPr="0030462A">
        <w:rPr>
          <w:rFonts w:ascii="Times New Roman" w:hAnsi="Times New Roman" w:cs="Times New Roman"/>
          <w:sz w:val="24"/>
          <w:szCs w:val="24"/>
        </w:rPr>
        <w:t xml:space="preserve"> 2008;</w:t>
      </w:r>
      <w:r w:rsidRPr="0030462A">
        <w:rPr>
          <w:rFonts w:ascii="Times New Roman" w:hAnsi="Times New Roman" w:cs="Times New Roman"/>
          <w:b/>
          <w:sz w:val="24"/>
          <w:szCs w:val="24"/>
        </w:rPr>
        <w:t>3</w:t>
      </w:r>
      <w:r w:rsidRPr="0030462A">
        <w:rPr>
          <w:rFonts w:ascii="Times New Roman" w:hAnsi="Times New Roman" w:cs="Times New Roman"/>
          <w:sz w:val="24"/>
          <w:szCs w:val="24"/>
        </w:rPr>
        <w:t>:e3417.</w:t>
      </w:r>
    </w:p>
    <w:p w14:paraId="37B73C16" w14:textId="022F5DAE" w:rsidR="00562881" w:rsidRPr="0030462A" w:rsidRDefault="00A8040B" w:rsidP="00562881">
      <w:pPr>
        <w:pStyle w:val="ListParagraph"/>
        <w:numPr>
          <w:ilvl w:val="0"/>
          <w:numId w:val="14"/>
        </w:numPr>
        <w:spacing w:after="0" w:line="480" w:lineRule="auto"/>
        <w:jc w:val="both"/>
        <w:rPr>
          <w:rFonts w:ascii="Times New Roman" w:hAnsi="Times New Roman" w:cs="Times New Roman"/>
          <w:sz w:val="24"/>
          <w:szCs w:val="24"/>
        </w:rPr>
      </w:pPr>
      <w:hyperlink r:id="rId16" w:history="1">
        <w:r w:rsidR="00562881" w:rsidRPr="0030462A">
          <w:rPr>
            <w:rStyle w:val="Hyperlink"/>
            <w:rFonts w:ascii="Times New Roman" w:hAnsi="Times New Roman" w:cs="Times New Roman"/>
            <w:color w:val="auto"/>
            <w:sz w:val="24"/>
            <w:szCs w:val="24"/>
            <w:lang w:val="it-IT"/>
          </w:rPr>
          <w:t>Sester M</w:t>
        </w:r>
      </w:hyperlink>
      <w:r w:rsidR="00562881" w:rsidRPr="0030462A">
        <w:rPr>
          <w:rFonts w:ascii="Times New Roman" w:hAnsi="Times New Roman" w:cs="Times New Roman"/>
          <w:sz w:val="24"/>
          <w:szCs w:val="24"/>
          <w:lang w:val="it-IT"/>
        </w:rPr>
        <w:t xml:space="preserve">, </w:t>
      </w:r>
      <w:hyperlink r:id="rId17" w:history="1">
        <w:r w:rsidR="00562881" w:rsidRPr="0030462A">
          <w:rPr>
            <w:rStyle w:val="Hyperlink"/>
            <w:rFonts w:ascii="Times New Roman" w:hAnsi="Times New Roman" w:cs="Times New Roman"/>
            <w:color w:val="auto"/>
            <w:sz w:val="24"/>
            <w:szCs w:val="24"/>
            <w:lang w:val="it-IT"/>
          </w:rPr>
          <w:t>Sotgiu G</w:t>
        </w:r>
      </w:hyperlink>
      <w:r w:rsidR="00562881" w:rsidRPr="0030462A">
        <w:rPr>
          <w:rFonts w:ascii="Times New Roman" w:hAnsi="Times New Roman" w:cs="Times New Roman"/>
          <w:sz w:val="24"/>
          <w:szCs w:val="24"/>
          <w:lang w:val="it-IT"/>
        </w:rPr>
        <w:t xml:space="preserve">, </w:t>
      </w:r>
      <w:hyperlink r:id="rId18" w:history="1">
        <w:r w:rsidR="00562881" w:rsidRPr="0030462A">
          <w:rPr>
            <w:rStyle w:val="Hyperlink"/>
            <w:rFonts w:ascii="Times New Roman" w:hAnsi="Times New Roman" w:cs="Times New Roman"/>
            <w:color w:val="auto"/>
            <w:sz w:val="24"/>
            <w:szCs w:val="24"/>
            <w:lang w:val="it-IT"/>
          </w:rPr>
          <w:t>Lange C</w:t>
        </w:r>
      </w:hyperlink>
      <w:r w:rsidR="00562881" w:rsidRPr="0030462A">
        <w:rPr>
          <w:rFonts w:ascii="Times New Roman" w:hAnsi="Times New Roman" w:cs="Times New Roman"/>
          <w:sz w:val="24"/>
          <w:szCs w:val="24"/>
          <w:lang w:val="it-IT"/>
        </w:rPr>
        <w:t xml:space="preserve">, </w:t>
      </w:r>
      <w:hyperlink r:id="rId19" w:history="1">
        <w:r w:rsidR="00562881" w:rsidRPr="0030462A">
          <w:rPr>
            <w:rStyle w:val="Hyperlink"/>
            <w:rFonts w:ascii="Times New Roman" w:hAnsi="Times New Roman" w:cs="Times New Roman"/>
            <w:color w:val="auto"/>
            <w:sz w:val="24"/>
            <w:szCs w:val="24"/>
            <w:lang w:val="it-IT"/>
          </w:rPr>
          <w:t>Giehl C</w:t>
        </w:r>
      </w:hyperlink>
      <w:r w:rsidR="00562881" w:rsidRPr="0030462A">
        <w:rPr>
          <w:rFonts w:ascii="Times New Roman" w:hAnsi="Times New Roman" w:cs="Times New Roman"/>
          <w:sz w:val="24"/>
          <w:szCs w:val="24"/>
          <w:lang w:val="it-IT"/>
        </w:rPr>
        <w:t xml:space="preserve">, </w:t>
      </w:r>
      <w:hyperlink r:id="rId20" w:history="1">
        <w:r w:rsidR="00562881" w:rsidRPr="0030462A">
          <w:rPr>
            <w:rStyle w:val="Hyperlink"/>
            <w:rFonts w:ascii="Times New Roman" w:hAnsi="Times New Roman" w:cs="Times New Roman"/>
            <w:color w:val="auto"/>
            <w:sz w:val="24"/>
            <w:szCs w:val="24"/>
            <w:lang w:val="it-IT"/>
          </w:rPr>
          <w:t>Girardi E</w:t>
        </w:r>
      </w:hyperlink>
      <w:r w:rsidR="00562881" w:rsidRPr="0030462A">
        <w:rPr>
          <w:rFonts w:ascii="Times New Roman" w:hAnsi="Times New Roman" w:cs="Times New Roman"/>
          <w:sz w:val="24"/>
          <w:szCs w:val="24"/>
          <w:lang w:val="it-IT"/>
        </w:rPr>
        <w:t xml:space="preserve">, </w:t>
      </w:r>
      <w:hyperlink r:id="rId21" w:history="1">
        <w:r w:rsidR="00562881" w:rsidRPr="0030462A">
          <w:rPr>
            <w:rStyle w:val="Hyperlink"/>
            <w:rFonts w:ascii="Times New Roman" w:hAnsi="Times New Roman" w:cs="Times New Roman"/>
            <w:color w:val="auto"/>
            <w:sz w:val="24"/>
            <w:szCs w:val="24"/>
            <w:lang w:val="it-IT"/>
          </w:rPr>
          <w:t>Migliori GB</w:t>
        </w:r>
      </w:hyperlink>
      <w:r w:rsidR="00562881" w:rsidRPr="0030462A">
        <w:rPr>
          <w:rFonts w:ascii="Times New Roman" w:hAnsi="Times New Roman" w:cs="Times New Roman"/>
          <w:sz w:val="24"/>
          <w:szCs w:val="24"/>
          <w:lang w:val="it-IT"/>
        </w:rPr>
        <w:t xml:space="preserve"> et al. </w:t>
      </w:r>
      <w:r w:rsidR="00562881" w:rsidRPr="0030462A">
        <w:rPr>
          <w:rFonts w:ascii="Times New Roman" w:hAnsi="Times New Roman" w:cs="Times New Roman"/>
          <w:sz w:val="24"/>
          <w:szCs w:val="24"/>
        </w:rPr>
        <w:t xml:space="preserve">Interferon-γ </w:t>
      </w:r>
      <w:r w:rsidR="00562881" w:rsidRPr="0030462A">
        <w:rPr>
          <w:rStyle w:val="highlight"/>
          <w:rFonts w:ascii="Times New Roman" w:hAnsi="Times New Roman" w:cs="Times New Roman"/>
          <w:sz w:val="24"/>
          <w:szCs w:val="24"/>
        </w:rPr>
        <w:t>release</w:t>
      </w:r>
      <w:r w:rsidR="00562881" w:rsidRPr="0030462A">
        <w:rPr>
          <w:rFonts w:ascii="Times New Roman" w:hAnsi="Times New Roman" w:cs="Times New Roman"/>
          <w:sz w:val="24"/>
          <w:szCs w:val="24"/>
        </w:rPr>
        <w:t xml:space="preserve"> assays for the diagnosis of </w:t>
      </w:r>
      <w:r w:rsidR="00562881" w:rsidRPr="0030462A">
        <w:rPr>
          <w:rStyle w:val="highlight"/>
          <w:rFonts w:ascii="Times New Roman" w:hAnsi="Times New Roman" w:cs="Times New Roman"/>
          <w:sz w:val="24"/>
          <w:szCs w:val="24"/>
        </w:rPr>
        <w:t>active</w:t>
      </w:r>
      <w:r w:rsidR="00562881" w:rsidRPr="0030462A">
        <w:rPr>
          <w:rFonts w:ascii="Times New Roman" w:hAnsi="Times New Roman" w:cs="Times New Roman"/>
          <w:sz w:val="24"/>
          <w:szCs w:val="24"/>
        </w:rPr>
        <w:t xml:space="preserve"> tuberculosis: a </w:t>
      </w:r>
      <w:r w:rsidR="00562881" w:rsidRPr="0030462A">
        <w:rPr>
          <w:rStyle w:val="highlight"/>
          <w:rFonts w:ascii="Times New Roman" w:hAnsi="Times New Roman" w:cs="Times New Roman"/>
          <w:sz w:val="24"/>
          <w:szCs w:val="24"/>
        </w:rPr>
        <w:t>systematic review</w:t>
      </w:r>
      <w:r w:rsidR="00562881" w:rsidRPr="0030462A">
        <w:rPr>
          <w:rFonts w:ascii="Times New Roman" w:hAnsi="Times New Roman" w:cs="Times New Roman"/>
          <w:sz w:val="24"/>
          <w:szCs w:val="24"/>
        </w:rPr>
        <w:t xml:space="preserve"> and meta-analysis. </w:t>
      </w:r>
      <w:hyperlink r:id="rId22" w:tooltip="The European respiratory journal." w:history="1">
        <w:r w:rsidR="00562881" w:rsidRPr="0030462A">
          <w:rPr>
            <w:rStyle w:val="Hyperlink"/>
            <w:rFonts w:ascii="Times New Roman" w:hAnsi="Times New Roman" w:cs="Times New Roman"/>
            <w:color w:val="auto"/>
            <w:sz w:val="24"/>
            <w:szCs w:val="24"/>
          </w:rPr>
          <w:t>Eur Respir J.</w:t>
        </w:r>
      </w:hyperlink>
      <w:r w:rsidR="00562881" w:rsidRPr="0030462A">
        <w:rPr>
          <w:rFonts w:ascii="Times New Roman" w:hAnsi="Times New Roman" w:cs="Times New Roman"/>
          <w:sz w:val="24"/>
          <w:szCs w:val="24"/>
        </w:rPr>
        <w:t xml:space="preserve"> 2011;37(1):100-11.</w:t>
      </w:r>
    </w:p>
    <w:p w14:paraId="3ED5E1C7" w14:textId="29D68178" w:rsidR="00762CBB" w:rsidRDefault="00762CBB" w:rsidP="00882001">
      <w:pPr>
        <w:pStyle w:val="EndNoteBibliography"/>
        <w:numPr>
          <w:ilvl w:val="0"/>
          <w:numId w:val="14"/>
        </w:numPr>
        <w:spacing w:after="0" w:line="480" w:lineRule="auto"/>
        <w:jc w:val="both"/>
        <w:rPr>
          <w:szCs w:val="24"/>
        </w:rPr>
      </w:pPr>
      <w:r w:rsidRPr="00882001">
        <w:rPr>
          <w:szCs w:val="24"/>
        </w:rPr>
        <w:t xml:space="preserve">UK ICGT. Tuberculosis: Prevention, diagnosis, management and service organisation. </w:t>
      </w:r>
      <w:r w:rsidRPr="00882001">
        <w:rPr>
          <w:i/>
          <w:szCs w:val="24"/>
        </w:rPr>
        <w:t>National Institute for Health and Care Excellence (UK) NICE guidelines [NG33]</w:t>
      </w:r>
      <w:r w:rsidRPr="00882001">
        <w:rPr>
          <w:szCs w:val="24"/>
        </w:rPr>
        <w:t xml:space="preserve"> 2016.</w:t>
      </w:r>
    </w:p>
    <w:p w14:paraId="7EBC4E6B" w14:textId="77777777" w:rsidR="00562881" w:rsidRPr="00882001" w:rsidRDefault="00562881" w:rsidP="00562881">
      <w:pPr>
        <w:pStyle w:val="ListParagraph"/>
        <w:numPr>
          <w:ilvl w:val="0"/>
          <w:numId w:val="14"/>
        </w:numPr>
        <w:spacing w:after="0" w:line="480" w:lineRule="auto"/>
        <w:jc w:val="both"/>
        <w:rPr>
          <w:rFonts w:ascii="Times New Roman" w:hAnsi="Times New Roman" w:cs="Times New Roman"/>
          <w:sz w:val="24"/>
          <w:szCs w:val="24"/>
        </w:rPr>
      </w:pPr>
      <w:r w:rsidRPr="00F4469A">
        <w:rPr>
          <w:rFonts w:ascii="Times New Roman" w:hAnsi="Times New Roman" w:cs="Times New Roman"/>
          <w:sz w:val="24"/>
          <w:szCs w:val="24"/>
        </w:rPr>
        <w:t>European Centre for Disease Prevention and Control. Use of interferon-gamma release assays in support of TB diagnosis. Stockholm: ECDC; 2011.</w:t>
      </w:r>
    </w:p>
    <w:p w14:paraId="15DFCC62" w14:textId="0503DEA5" w:rsidR="00A56550" w:rsidRPr="00882001" w:rsidRDefault="00A56550" w:rsidP="00882001">
      <w:pPr>
        <w:pStyle w:val="ListParagraph"/>
        <w:numPr>
          <w:ilvl w:val="0"/>
          <w:numId w:val="14"/>
        </w:numPr>
        <w:spacing w:after="0" w:line="480" w:lineRule="auto"/>
        <w:jc w:val="both"/>
        <w:rPr>
          <w:rFonts w:ascii="Times New Roman" w:hAnsi="Times New Roman" w:cs="Times New Roman"/>
          <w:sz w:val="24"/>
          <w:szCs w:val="24"/>
        </w:rPr>
      </w:pPr>
      <w:r w:rsidRPr="00882001">
        <w:rPr>
          <w:rFonts w:ascii="Times New Roman" w:hAnsi="Times New Roman" w:cs="Times New Roman"/>
          <w:sz w:val="24"/>
          <w:szCs w:val="24"/>
          <w:lang w:val="fr-FR"/>
        </w:rPr>
        <w:t>Du</w:t>
      </w:r>
      <w:r w:rsidR="00882001" w:rsidRPr="00882001">
        <w:rPr>
          <w:rFonts w:ascii="Times New Roman" w:hAnsi="Times New Roman" w:cs="Times New Roman"/>
          <w:sz w:val="24"/>
          <w:szCs w:val="24"/>
          <w:lang w:val="fr-FR"/>
        </w:rPr>
        <w:t xml:space="preserve"> F, Xie L, Zhang Y, Gao F, Zhang H, Chen W</w:t>
      </w:r>
      <w:r w:rsidRPr="00882001">
        <w:rPr>
          <w:rFonts w:ascii="Times New Roman" w:hAnsi="Times New Roman" w:cs="Times New Roman"/>
          <w:sz w:val="24"/>
          <w:szCs w:val="24"/>
          <w:lang w:val="fr-FR"/>
        </w:rPr>
        <w:t xml:space="preserve"> </w:t>
      </w:r>
      <w:r w:rsidRPr="00882001">
        <w:rPr>
          <w:rFonts w:ascii="Times New Roman" w:hAnsi="Times New Roman" w:cs="Times New Roman"/>
          <w:i/>
          <w:sz w:val="24"/>
          <w:szCs w:val="24"/>
          <w:lang w:val="fr-FR"/>
        </w:rPr>
        <w:t>et al</w:t>
      </w:r>
      <w:r w:rsidR="00882001" w:rsidRPr="00882001">
        <w:rPr>
          <w:rFonts w:ascii="Times New Roman" w:hAnsi="Times New Roman" w:cs="Times New Roman"/>
          <w:sz w:val="24"/>
          <w:szCs w:val="24"/>
          <w:lang w:val="fr-FR"/>
        </w:rPr>
        <w:t xml:space="preserve">. </w:t>
      </w:r>
      <w:r w:rsidR="00882001" w:rsidRPr="00882001">
        <w:rPr>
          <w:rFonts w:ascii="Times New Roman" w:hAnsi="Times New Roman" w:cs="Times New Roman"/>
          <w:sz w:val="24"/>
          <w:szCs w:val="24"/>
        </w:rPr>
        <w:t>Prospective comparison of QFT-GIT and T-SPOT.TB assays for diagnosis of active Tuberculos</w:t>
      </w:r>
      <w:r w:rsidR="00882001">
        <w:rPr>
          <w:rFonts w:ascii="Times New Roman" w:hAnsi="Times New Roman" w:cs="Times New Roman"/>
          <w:sz w:val="24"/>
          <w:szCs w:val="24"/>
        </w:rPr>
        <w:t xml:space="preserve">is. </w:t>
      </w:r>
      <w:r w:rsidR="00882001" w:rsidRPr="00882001">
        <w:rPr>
          <w:rFonts w:ascii="Times New Roman" w:hAnsi="Times New Roman" w:cs="Times New Roman"/>
          <w:i/>
          <w:sz w:val="24"/>
          <w:szCs w:val="24"/>
        </w:rPr>
        <w:t>Sci Rep</w:t>
      </w:r>
      <w:r w:rsidR="00882001">
        <w:rPr>
          <w:rFonts w:ascii="Times New Roman" w:hAnsi="Times New Roman" w:cs="Times New Roman"/>
          <w:sz w:val="24"/>
          <w:szCs w:val="24"/>
        </w:rPr>
        <w:t xml:space="preserve"> 2018;</w:t>
      </w:r>
      <w:r w:rsidR="00882001" w:rsidRPr="00882001">
        <w:rPr>
          <w:rFonts w:ascii="Times New Roman" w:hAnsi="Times New Roman" w:cs="Times New Roman"/>
          <w:b/>
          <w:sz w:val="24"/>
          <w:szCs w:val="24"/>
        </w:rPr>
        <w:t>8</w:t>
      </w:r>
      <w:r w:rsidR="00882001">
        <w:rPr>
          <w:rFonts w:ascii="Times New Roman" w:hAnsi="Times New Roman" w:cs="Times New Roman"/>
          <w:sz w:val="24"/>
          <w:szCs w:val="24"/>
        </w:rPr>
        <w:t>(1):5882.</w:t>
      </w:r>
    </w:p>
    <w:p w14:paraId="658086D7" w14:textId="00810E54" w:rsidR="00E370E9" w:rsidRPr="00882001" w:rsidRDefault="00E370E9" w:rsidP="00882001">
      <w:pPr>
        <w:pStyle w:val="ListParagraph"/>
        <w:numPr>
          <w:ilvl w:val="0"/>
          <w:numId w:val="14"/>
        </w:numPr>
        <w:spacing w:after="0" w:line="480" w:lineRule="auto"/>
        <w:jc w:val="both"/>
        <w:rPr>
          <w:rFonts w:ascii="Times New Roman" w:hAnsi="Times New Roman" w:cs="Times New Roman"/>
          <w:sz w:val="24"/>
          <w:szCs w:val="24"/>
        </w:rPr>
      </w:pPr>
      <w:r w:rsidRPr="00882001">
        <w:rPr>
          <w:rFonts w:ascii="Times New Roman" w:hAnsi="Times New Roman" w:cs="Times New Roman"/>
          <w:sz w:val="24"/>
          <w:szCs w:val="24"/>
        </w:rPr>
        <w:lastRenderedPageBreak/>
        <w:t xml:space="preserve">Liu </w:t>
      </w:r>
      <w:r w:rsidR="00762CBB" w:rsidRPr="00882001">
        <w:rPr>
          <w:rFonts w:ascii="Times New Roman" w:hAnsi="Times New Roman" w:cs="Times New Roman"/>
          <w:sz w:val="24"/>
          <w:szCs w:val="24"/>
        </w:rPr>
        <w:t xml:space="preserve">XQ, Dosanjh D, </w:t>
      </w:r>
      <w:proofErr w:type="spellStart"/>
      <w:r w:rsidR="00762CBB" w:rsidRPr="00882001">
        <w:rPr>
          <w:rFonts w:ascii="Times New Roman" w:hAnsi="Times New Roman" w:cs="Times New Roman"/>
          <w:sz w:val="24"/>
          <w:szCs w:val="24"/>
        </w:rPr>
        <w:t>Varia</w:t>
      </w:r>
      <w:proofErr w:type="spellEnd"/>
      <w:r w:rsidR="00762CBB" w:rsidRPr="00882001">
        <w:rPr>
          <w:rFonts w:ascii="Times New Roman" w:hAnsi="Times New Roman" w:cs="Times New Roman"/>
          <w:sz w:val="24"/>
          <w:szCs w:val="24"/>
        </w:rPr>
        <w:t xml:space="preserve"> H, Ewer K, Cockle P, </w:t>
      </w:r>
      <w:proofErr w:type="spellStart"/>
      <w:r w:rsidR="00762CBB" w:rsidRPr="00882001">
        <w:rPr>
          <w:rFonts w:ascii="Times New Roman" w:hAnsi="Times New Roman" w:cs="Times New Roman"/>
          <w:sz w:val="24"/>
          <w:szCs w:val="24"/>
        </w:rPr>
        <w:t>Pasvol</w:t>
      </w:r>
      <w:proofErr w:type="spellEnd"/>
      <w:r w:rsidR="00762CBB" w:rsidRPr="00882001">
        <w:rPr>
          <w:rFonts w:ascii="Times New Roman" w:hAnsi="Times New Roman" w:cs="Times New Roman"/>
          <w:sz w:val="24"/>
          <w:szCs w:val="24"/>
        </w:rPr>
        <w:t xml:space="preserve"> G </w:t>
      </w:r>
      <w:r w:rsidRPr="00882001">
        <w:rPr>
          <w:rFonts w:ascii="Times New Roman" w:hAnsi="Times New Roman" w:cs="Times New Roman"/>
          <w:i/>
          <w:sz w:val="24"/>
          <w:szCs w:val="24"/>
        </w:rPr>
        <w:t>et al</w:t>
      </w:r>
      <w:r w:rsidRPr="00882001">
        <w:rPr>
          <w:rFonts w:ascii="Times New Roman" w:hAnsi="Times New Roman" w:cs="Times New Roman"/>
          <w:sz w:val="24"/>
          <w:szCs w:val="24"/>
        </w:rPr>
        <w:t xml:space="preserve">. </w:t>
      </w:r>
      <w:r w:rsidR="00762CBB" w:rsidRPr="00882001">
        <w:rPr>
          <w:rFonts w:ascii="Times New Roman" w:hAnsi="Times New Roman" w:cs="Times New Roman"/>
          <w:sz w:val="24"/>
          <w:szCs w:val="24"/>
        </w:rPr>
        <w:t xml:space="preserve">Evaluation of T cell responses to novel RD1 and RD2 encoded </w:t>
      </w:r>
      <w:r w:rsidR="00762CBB" w:rsidRPr="00882001">
        <w:rPr>
          <w:rFonts w:ascii="Times New Roman" w:hAnsi="Times New Roman" w:cs="Times New Roman"/>
          <w:i/>
          <w:sz w:val="24"/>
          <w:szCs w:val="24"/>
        </w:rPr>
        <w:t>Mycobacterium tuberculosis</w:t>
      </w:r>
      <w:r w:rsidR="00762CBB" w:rsidRPr="00882001">
        <w:rPr>
          <w:rFonts w:ascii="Times New Roman" w:hAnsi="Times New Roman" w:cs="Times New Roman"/>
          <w:sz w:val="24"/>
          <w:szCs w:val="24"/>
        </w:rPr>
        <w:t xml:space="preserve"> gene products for specific detection of human tuberculosis infection. </w:t>
      </w:r>
      <w:r w:rsidR="00762CBB" w:rsidRPr="00882001">
        <w:rPr>
          <w:rFonts w:ascii="Times New Roman" w:hAnsi="Times New Roman" w:cs="Times New Roman"/>
          <w:i/>
          <w:sz w:val="24"/>
          <w:szCs w:val="24"/>
        </w:rPr>
        <w:t xml:space="preserve">Infect </w:t>
      </w:r>
      <w:proofErr w:type="spellStart"/>
      <w:r w:rsidR="00762CBB" w:rsidRPr="00882001">
        <w:rPr>
          <w:rFonts w:ascii="Times New Roman" w:hAnsi="Times New Roman" w:cs="Times New Roman"/>
          <w:i/>
          <w:sz w:val="24"/>
          <w:szCs w:val="24"/>
        </w:rPr>
        <w:t>Immun</w:t>
      </w:r>
      <w:proofErr w:type="spellEnd"/>
      <w:r w:rsidR="00762CBB" w:rsidRPr="00882001">
        <w:rPr>
          <w:rFonts w:ascii="Times New Roman" w:hAnsi="Times New Roman" w:cs="Times New Roman"/>
          <w:sz w:val="24"/>
          <w:szCs w:val="24"/>
        </w:rPr>
        <w:t xml:space="preserve"> 2004;</w:t>
      </w:r>
      <w:r w:rsidR="00762CBB" w:rsidRPr="00882001">
        <w:rPr>
          <w:rFonts w:ascii="Times New Roman" w:hAnsi="Times New Roman" w:cs="Times New Roman"/>
          <w:b/>
          <w:sz w:val="24"/>
          <w:szCs w:val="24"/>
        </w:rPr>
        <w:t>72</w:t>
      </w:r>
      <w:r w:rsidR="00762CBB" w:rsidRPr="00882001">
        <w:rPr>
          <w:rFonts w:ascii="Times New Roman" w:hAnsi="Times New Roman" w:cs="Times New Roman"/>
          <w:sz w:val="24"/>
          <w:szCs w:val="24"/>
        </w:rPr>
        <w:t>:2574-81.</w:t>
      </w:r>
    </w:p>
    <w:p w14:paraId="78BD6CF1" w14:textId="720F4A56" w:rsidR="003E43D6" w:rsidRPr="00882001" w:rsidRDefault="003E43D6" w:rsidP="00882001">
      <w:pPr>
        <w:pStyle w:val="ListParagraph"/>
        <w:numPr>
          <w:ilvl w:val="0"/>
          <w:numId w:val="14"/>
        </w:numPr>
        <w:spacing w:after="0" w:line="480" w:lineRule="auto"/>
        <w:jc w:val="both"/>
        <w:rPr>
          <w:rFonts w:ascii="Times New Roman" w:hAnsi="Times New Roman" w:cs="Times New Roman"/>
          <w:sz w:val="24"/>
          <w:szCs w:val="24"/>
        </w:rPr>
      </w:pPr>
      <w:r w:rsidRPr="00882001">
        <w:rPr>
          <w:rFonts w:ascii="Times New Roman" w:hAnsi="Times New Roman" w:cs="Times New Roman"/>
          <w:sz w:val="24"/>
          <w:szCs w:val="24"/>
        </w:rPr>
        <w:t xml:space="preserve">Millington KA, Fortune SM, Low J, Garces A, </w:t>
      </w:r>
      <w:proofErr w:type="spellStart"/>
      <w:r w:rsidRPr="00882001">
        <w:rPr>
          <w:rFonts w:ascii="Times New Roman" w:hAnsi="Times New Roman" w:cs="Times New Roman"/>
          <w:sz w:val="24"/>
          <w:szCs w:val="24"/>
        </w:rPr>
        <w:t>Hingley</w:t>
      </w:r>
      <w:proofErr w:type="spellEnd"/>
      <w:r w:rsidRPr="00882001">
        <w:rPr>
          <w:rFonts w:ascii="Times New Roman" w:hAnsi="Times New Roman" w:cs="Times New Roman"/>
          <w:sz w:val="24"/>
          <w:szCs w:val="24"/>
        </w:rPr>
        <w:t xml:space="preserve">-Wilson SM, Wickremasinghe M </w:t>
      </w:r>
      <w:r w:rsidRPr="00882001">
        <w:rPr>
          <w:rFonts w:ascii="Times New Roman" w:hAnsi="Times New Roman" w:cs="Times New Roman"/>
          <w:i/>
          <w:sz w:val="24"/>
          <w:szCs w:val="24"/>
        </w:rPr>
        <w:t>et al</w:t>
      </w:r>
      <w:r w:rsidRPr="00882001">
        <w:rPr>
          <w:rFonts w:ascii="Times New Roman" w:hAnsi="Times New Roman" w:cs="Times New Roman"/>
          <w:sz w:val="24"/>
          <w:szCs w:val="24"/>
        </w:rPr>
        <w:t xml:space="preserve">. Rv3615c is a highly immunodominant RD1 (Region of Difference 1)-dependent secreted antigen specific for Mycobacterium tuberculosis infection. </w:t>
      </w:r>
      <w:r w:rsidRPr="00882001">
        <w:rPr>
          <w:rFonts w:ascii="Times New Roman" w:hAnsi="Times New Roman" w:cs="Times New Roman"/>
          <w:i/>
          <w:sz w:val="24"/>
          <w:szCs w:val="24"/>
        </w:rPr>
        <w:t xml:space="preserve">Proc Natl </w:t>
      </w:r>
      <w:proofErr w:type="spellStart"/>
      <w:r w:rsidRPr="00882001">
        <w:rPr>
          <w:rFonts w:ascii="Times New Roman" w:hAnsi="Times New Roman" w:cs="Times New Roman"/>
          <w:i/>
          <w:sz w:val="24"/>
          <w:szCs w:val="24"/>
        </w:rPr>
        <w:t>Acad</w:t>
      </w:r>
      <w:proofErr w:type="spellEnd"/>
      <w:r w:rsidRPr="00882001">
        <w:rPr>
          <w:rFonts w:ascii="Times New Roman" w:hAnsi="Times New Roman" w:cs="Times New Roman"/>
          <w:i/>
          <w:sz w:val="24"/>
          <w:szCs w:val="24"/>
        </w:rPr>
        <w:t xml:space="preserve"> Sci USA </w:t>
      </w:r>
      <w:r w:rsidRPr="00882001">
        <w:rPr>
          <w:rFonts w:ascii="Times New Roman" w:hAnsi="Times New Roman" w:cs="Times New Roman"/>
          <w:sz w:val="24"/>
          <w:szCs w:val="24"/>
        </w:rPr>
        <w:t>2011;</w:t>
      </w:r>
      <w:r w:rsidRPr="00882001">
        <w:rPr>
          <w:rFonts w:ascii="Times New Roman" w:hAnsi="Times New Roman" w:cs="Times New Roman"/>
          <w:b/>
          <w:sz w:val="24"/>
          <w:szCs w:val="24"/>
        </w:rPr>
        <w:t>108</w:t>
      </w:r>
      <w:r w:rsidRPr="00882001">
        <w:rPr>
          <w:rFonts w:ascii="Times New Roman" w:hAnsi="Times New Roman" w:cs="Times New Roman"/>
          <w:sz w:val="24"/>
          <w:szCs w:val="24"/>
        </w:rPr>
        <w:t>(14):5730-5.</w:t>
      </w:r>
    </w:p>
    <w:p w14:paraId="36FCD511" w14:textId="54C9F284" w:rsidR="00FC446C" w:rsidRPr="00882001" w:rsidRDefault="00E370E9" w:rsidP="00882001">
      <w:pPr>
        <w:pStyle w:val="ListParagraph"/>
        <w:numPr>
          <w:ilvl w:val="0"/>
          <w:numId w:val="14"/>
        </w:numPr>
        <w:spacing w:after="0" w:line="480" w:lineRule="auto"/>
        <w:jc w:val="both"/>
        <w:rPr>
          <w:rFonts w:ascii="Times New Roman" w:hAnsi="Times New Roman" w:cs="Times New Roman"/>
          <w:sz w:val="24"/>
          <w:szCs w:val="24"/>
        </w:rPr>
      </w:pPr>
      <w:r w:rsidRPr="00882001">
        <w:rPr>
          <w:rFonts w:ascii="Times New Roman" w:hAnsi="Times New Roman" w:cs="Times New Roman"/>
          <w:sz w:val="24"/>
          <w:szCs w:val="24"/>
          <w:lang w:val="de-DE"/>
        </w:rPr>
        <w:t>Ruhwald</w:t>
      </w:r>
      <w:r w:rsidR="00762CBB" w:rsidRPr="00882001">
        <w:rPr>
          <w:rFonts w:ascii="Times New Roman" w:hAnsi="Times New Roman" w:cs="Times New Roman"/>
          <w:sz w:val="24"/>
          <w:szCs w:val="24"/>
          <w:lang w:val="de-DE"/>
        </w:rPr>
        <w:t xml:space="preserve"> M, de Thurah L, Kuchaka D, Zaher MR, Salman AM, Abdel</w:t>
      </w:r>
      <w:r w:rsidR="004D4BE0">
        <w:rPr>
          <w:rFonts w:ascii="Times New Roman" w:hAnsi="Times New Roman" w:cs="Times New Roman"/>
          <w:sz w:val="24"/>
          <w:szCs w:val="24"/>
          <w:lang w:val="de-DE"/>
        </w:rPr>
        <w:t>-</w:t>
      </w:r>
      <w:r w:rsidR="00762CBB" w:rsidRPr="00882001">
        <w:rPr>
          <w:rFonts w:ascii="Times New Roman" w:hAnsi="Times New Roman" w:cs="Times New Roman"/>
          <w:sz w:val="24"/>
          <w:szCs w:val="24"/>
          <w:lang w:val="de-DE"/>
        </w:rPr>
        <w:t>Ghaffer AR</w:t>
      </w:r>
      <w:r w:rsidR="00762CBB" w:rsidRPr="00882001">
        <w:rPr>
          <w:rFonts w:ascii="Times New Roman" w:hAnsi="Times New Roman" w:cs="Times New Roman"/>
          <w:i/>
          <w:sz w:val="24"/>
          <w:szCs w:val="24"/>
          <w:lang w:val="de-DE"/>
        </w:rPr>
        <w:t xml:space="preserve"> et al</w:t>
      </w:r>
      <w:r w:rsidR="00762CBB" w:rsidRPr="00882001">
        <w:rPr>
          <w:rFonts w:ascii="Times New Roman" w:hAnsi="Times New Roman" w:cs="Times New Roman"/>
          <w:sz w:val="24"/>
          <w:szCs w:val="24"/>
          <w:lang w:val="de-DE"/>
        </w:rPr>
        <w:t xml:space="preserve">. </w:t>
      </w:r>
      <w:r w:rsidR="00762CBB" w:rsidRPr="00882001">
        <w:rPr>
          <w:rFonts w:ascii="Times New Roman" w:hAnsi="Times New Roman" w:cs="Times New Roman"/>
          <w:sz w:val="24"/>
          <w:szCs w:val="24"/>
        </w:rPr>
        <w:t>Introducing the ESAT-6 free IGRA, a companion diagnostic for TB vaccines based on ESAT-6.</w:t>
      </w:r>
      <w:r w:rsidRPr="00882001">
        <w:rPr>
          <w:rFonts w:ascii="Times New Roman" w:hAnsi="Times New Roman" w:cs="Times New Roman"/>
          <w:sz w:val="24"/>
          <w:szCs w:val="24"/>
        </w:rPr>
        <w:t xml:space="preserve"> </w:t>
      </w:r>
      <w:r w:rsidRPr="00882001">
        <w:rPr>
          <w:rFonts w:ascii="Times New Roman" w:hAnsi="Times New Roman" w:cs="Times New Roman"/>
          <w:i/>
          <w:sz w:val="24"/>
          <w:szCs w:val="24"/>
        </w:rPr>
        <w:t>Sci Rep</w:t>
      </w:r>
      <w:r w:rsidR="00762CBB" w:rsidRPr="00882001">
        <w:rPr>
          <w:rFonts w:ascii="Times New Roman" w:hAnsi="Times New Roman" w:cs="Times New Roman"/>
          <w:sz w:val="24"/>
          <w:szCs w:val="24"/>
        </w:rPr>
        <w:t xml:space="preserve"> 2017;</w:t>
      </w:r>
      <w:r w:rsidR="00762CBB" w:rsidRPr="00882001">
        <w:rPr>
          <w:rFonts w:ascii="Times New Roman" w:hAnsi="Times New Roman" w:cs="Times New Roman"/>
          <w:b/>
          <w:sz w:val="24"/>
          <w:szCs w:val="24"/>
        </w:rPr>
        <w:t>7</w:t>
      </w:r>
      <w:r w:rsidR="00762CBB" w:rsidRPr="00882001">
        <w:rPr>
          <w:rFonts w:ascii="Times New Roman" w:hAnsi="Times New Roman" w:cs="Times New Roman"/>
          <w:sz w:val="24"/>
          <w:szCs w:val="24"/>
        </w:rPr>
        <w:t>:45969.</w:t>
      </w:r>
    </w:p>
    <w:p w14:paraId="3FBE09B4" w14:textId="4D380C0A" w:rsidR="00FC446C" w:rsidRPr="00882001" w:rsidRDefault="00FC446C" w:rsidP="00882001">
      <w:pPr>
        <w:pStyle w:val="ListParagraph"/>
        <w:numPr>
          <w:ilvl w:val="0"/>
          <w:numId w:val="14"/>
        </w:numPr>
        <w:spacing w:after="0" w:line="480" w:lineRule="auto"/>
        <w:jc w:val="both"/>
        <w:rPr>
          <w:rFonts w:ascii="Times New Roman" w:hAnsi="Times New Roman" w:cs="Times New Roman"/>
          <w:sz w:val="24"/>
          <w:szCs w:val="24"/>
        </w:rPr>
      </w:pPr>
      <w:r w:rsidRPr="00882001">
        <w:rPr>
          <w:rFonts w:ascii="Times New Roman" w:hAnsi="Times New Roman" w:cs="Times New Roman"/>
          <w:sz w:val="24"/>
          <w:szCs w:val="24"/>
          <w:lang w:val="it-IT"/>
        </w:rPr>
        <w:t xml:space="preserve">Li G, Li F, Zhao HM, Wen HL, Li HC, Li CL </w:t>
      </w:r>
      <w:r w:rsidRPr="00882001">
        <w:rPr>
          <w:rFonts w:ascii="Times New Roman" w:hAnsi="Times New Roman" w:cs="Times New Roman"/>
          <w:i/>
          <w:sz w:val="24"/>
          <w:szCs w:val="24"/>
          <w:lang w:val="it-IT"/>
        </w:rPr>
        <w:t>et al</w:t>
      </w:r>
      <w:r w:rsidRPr="00882001">
        <w:rPr>
          <w:rFonts w:ascii="Times New Roman" w:hAnsi="Times New Roman" w:cs="Times New Roman"/>
          <w:sz w:val="24"/>
          <w:szCs w:val="24"/>
          <w:lang w:val="it-IT"/>
        </w:rPr>
        <w:t xml:space="preserve">. </w:t>
      </w:r>
      <w:r w:rsidRPr="00882001">
        <w:rPr>
          <w:rFonts w:ascii="Times New Roman" w:hAnsi="Times New Roman" w:cs="Times New Roman"/>
          <w:sz w:val="24"/>
          <w:szCs w:val="24"/>
        </w:rPr>
        <w:t xml:space="preserve">Evaluation of a new </w:t>
      </w:r>
      <w:r w:rsidR="00973B50">
        <w:rPr>
          <w:rFonts w:ascii="Times New Roman" w:hAnsi="Times New Roman" w:cs="Times New Roman"/>
          <w:sz w:val="24"/>
          <w:szCs w:val="24"/>
        </w:rPr>
        <w:t>IFN-γ</w:t>
      </w:r>
      <w:r w:rsidRPr="00882001">
        <w:rPr>
          <w:rFonts w:ascii="Times New Roman" w:hAnsi="Times New Roman" w:cs="Times New Roman"/>
          <w:sz w:val="24"/>
          <w:szCs w:val="24"/>
        </w:rPr>
        <w:t xml:space="preserve"> release assay for </w:t>
      </w:r>
      <w:r w:rsidR="00816913">
        <w:rPr>
          <w:rFonts w:ascii="Times New Roman" w:hAnsi="Times New Roman" w:cs="Times New Roman"/>
          <w:sz w:val="24"/>
          <w:szCs w:val="24"/>
        </w:rPr>
        <w:t>rapid</w:t>
      </w:r>
      <w:r w:rsidR="00816913" w:rsidRPr="00882001">
        <w:rPr>
          <w:rFonts w:ascii="Times New Roman" w:hAnsi="Times New Roman" w:cs="Times New Roman"/>
          <w:sz w:val="24"/>
          <w:szCs w:val="24"/>
        </w:rPr>
        <w:t xml:space="preserve"> </w:t>
      </w:r>
      <w:r w:rsidRPr="00882001">
        <w:rPr>
          <w:rFonts w:ascii="Times New Roman" w:hAnsi="Times New Roman" w:cs="Times New Roman"/>
          <w:sz w:val="24"/>
          <w:szCs w:val="24"/>
        </w:rPr>
        <w:t xml:space="preserve">diagnosis of active tuberculosis in a high incidence setting. </w:t>
      </w:r>
      <w:r w:rsidRPr="00882001">
        <w:rPr>
          <w:rFonts w:ascii="Times New Roman" w:hAnsi="Times New Roman" w:cs="Times New Roman"/>
          <w:i/>
          <w:sz w:val="24"/>
          <w:szCs w:val="24"/>
        </w:rPr>
        <w:t xml:space="preserve">Front Cell Infect </w:t>
      </w:r>
      <w:proofErr w:type="spellStart"/>
      <w:r w:rsidRPr="00882001">
        <w:rPr>
          <w:rFonts w:ascii="Times New Roman" w:hAnsi="Times New Roman" w:cs="Times New Roman"/>
          <w:i/>
          <w:sz w:val="24"/>
          <w:szCs w:val="24"/>
        </w:rPr>
        <w:t>Microbiol</w:t>
      </w:r>
      <w:proofErr w:type="spellEnd"/>
      <w:r w:rsidRPr="00882001">
        <w:rPr>
          <w:rFonts w:ascii="Times New Roman" w:hAnsi="Times New Roman" w:cs="Times New Roman"/>
          <w:sz w:val="24"/>
          <w:szCs w:val="24"/>
        </w:rPr>
        <w:t xml:space="preserve"> 2017;</w:t>
      </w:r>
      <w:r w:rsidRPr="00882001">
        <w:rPr>
          <w:rFonts w:ascii="Times New Roman" w:hAnsi="Times New Roman" w:cs="Times New Roman"/>
          <w:b/>
          <w:sz w:val="24"/>
          <w:szCs w:val="24"/>
        </w:rPr>
        <w:t>7</w:t>
      </w:r>
      <w:r w:rsidRPr="00882001">
        <w:rPr>
          <w:rFonts w:ascii="Times New Roman" w:hAnsi="Times New Roman" w:cs="Times New Roman"/>
          <w:sz w:val="24"/>
          <w:szCs w:val="24"/>
        </w:rPr>
        <w:t>:117.</w:t>
      </w:r>
    </w:p>
    <w:p w14:paraId="7F196A38" w14:textId="407D629F" w:rsidR="00E665EC" w:rsidRPr="00882001" w:rsidRDefault="00E665EC" w:rsidP="00882001">
      <w:pPr>
        <w:pStyle w:val="ListParagraph"/>
        <w:numPr>
          <w:ilvl w:val="0"/>
          <w:numId w:val="14"/>
        </w:numPr>
        <w:spacing w:after="0" w:line="480" w:lineRule="auto"/>
        <w:jc w:val="both"/>
        <w:rPr>
          <w:rFonts w:ascii="Times New Roman" w:hAnsi="Times New Roman" w:cs="Times New Roman"/>
          <w:sz w:val="24"/>
          <w:szCs w:val="24"/>
        </w:rPr>
      </w:pPr>
      <w:r w:rsidRPr="00882001">
        <w:rPr>
          <w:rFonts w:ascii="Times New Roman" w:hAnsi="Times New Roman" w:cs="Times New Roman"/>
          <w:sz w:val="24"/>
          <w:szCs w:val="24"/>
          <w:lang w:val="fr-FR"/>
        </w:rPr>
        <w:t xml:space="preserve">Alonzo TA, Pepe MS, </w:t>
      </w:r>
      <w:proofErr w:type="spellStart"/>
      <w:r w:rsidRPr="00882001">
        <w:rPr>
          <w:rFonts w:ascii="Times New Roman" w:hAnsi="Times New Roman" w:cs="Times New Roman"/>
          <w:sz w:val="24"/>
          <w:szCs w:val="24"/>
          <w:lang w:val="fr-FR"/>
        </w:rPr>
        <w:t>Moskowitz</w:t>
      </w:r>
      <w:proofErr w:type="spellEnd"/>
      <w:r w:rsidRPr="00882001">
        <w:rPr>
          <w:rFonts w:ascii="Times New Roman" w:hAnsi="Times New Roman" w:cs="Times New Roman"/>
          <w:sz w:val="24"/>
          <w:szCs w:val="24"/>
          <w:lang w:val="fr-FR"/>
        </w:rPr>
        <w:t xml:space="preserve"> CS. </w:t>
      </w:r>
      <w:r w:rsidRPr="00882001">
        <w:rPr>
          <w:rFonts w:ascii="Times New Roman" w:hAnsi="Times New Roman" w:cs="Times New Roman"/>
          <w:sz w:val="24"/>
          <w:szCs w:val="24"/>
        </w:rPr>
        <w:t xml:space="preserve">Sample size calculations for comparative studies of medical tests for detecting presence of disease. </w:t>
      </w:r>
      <w:r w:rsidRPr="00882001">
        <w:rPr>
          <w:rFonts w:ascii="Times New Roman" w:hAnsi="Times New Roman" w:cs="Times New Roman"/>
          <w:i/>
          <w:sz w:val="24"/>
          <w:szCs w:val="24"/>
        </w:rPr>
        <w:t>Stat Med</w:t>
      </w:r>
      <w:r w:rsidRPr="00882001">
        <w:rPr>
          <w:rFonts w:ascii="Times New Roman" w:hAnsi="Times New Roman" w:cs="Times New Roman"/>
          <w:sz w:val="24"/>
          <w:szCs w:val="24"/>
        </w:rPr>
        <w:t xml:space="preserve"> 2002;</w:t>
      </w:r>
      <w:r w:rsidRPr="00882001">
        <w:rPr>
          <w:rFonts w:ascii="Times New Roman" w:hAnsi="Times New Roman" w:cs="Times New Roman"/>
          <w:b/>
          <w:sz w:val="24"/>
          <w:szCs w:val="24"/>
        </w:rPr>
        <w:t>21</w:t>
      </w:r>
      <w:r w:rsidRPr="00882001">
        <w:rPr>
          <w:rFonts w:ascii="Times New Roman" w:hAnsi="Times New Roman" w:cs="Times New Roman"/>
          <w:sz w:val="24"/>
          <w:szCs w:val="24"/>
        </w:rPr>
        <w:t>:835-52.</w:t>
      </w:r>
    </w:p>
    <w:p w14:paraId="135298CC" w14:textId="7C636E0E" w:rsidR="00BC2259" w:rsidRPr="00882001" w:rsidRDefault="00BC2259" w:rsidP="00882001">
      <w:pPr>
        <w:pStyle w:val="EndNoteBibliography"/>
        <w:numPr>
          <w:ilvl w:val="0"/>
          <w:numId w:val="14"/>
        </w:numPr>
        <w:spacing w:after="0" w:line="480" w:lineRule="auto"/>
        <w:jc w:val="both"/>
        <w:rPr>
          <w:szCs w:val="24"/>
        </w:rPr>
      </w:pPr>
      <w:r w:rsidRPr="00882001">
        <w:rPr>
          <w:szCs w:val="24"/>
        </w:rPr>
        <w:t xml:space="preserve">Wilson EB. Probable inference, the law of succession, and statistical inference. </w:t>
      </w:r>
      <w:r w:rsidRPr="00882001">
        <w:rPr>
          <w:i/>
          <w:szCs w:val="24"/>
        </w:rPr>
        <w:t>J</w:t>
      </w:r>
      <w:r w:rsidR="00533F3A">
        <w:rPr>
          <w:i/>
          <w:szCs w:val="24"/>
        </w:rPr>
        <w:t xml:space="preserve"> </w:t>
      </w:r>
      <w:r w:rsidRPr="00882001">
        <w:rPr>
          <w:i/>
          <w:szCs w:val="24"/>
        </w:rPr>
        <w:t>Amer Stat Assoc</w:t>
      </w:r>
      <w:r w:rsidRPr="00882001">
        <w:rPr>
          <w:szCs w:val="24"/>
        </w:rPr>
        <w:t xml:space="preserve"> 1927;</w:t>
      </w:r>
      <w:r w:rsidRPr="00882001">
        <w:rPr>
          <w:b/>
          <w:szCs w:val="24"/>
        </w:rPr>
        <w:t>22</w:t>
      </w:r>
      <w:r w:rsidRPr="00882001">
        <w:rPr>
          <w:szCs w:val="24"/>
        </w:rPr>
        <w:t>:209-12.</w:t>
      </w:r>
    </w:p>
    <w:p w14:paraId="62BC8CA5" w14:textId="53298944" w:rsidR="00BC2259" w:rsidRPr="00882001" w:rsidRDefault="00BC2259" w:rsidP="00882001">
      <w:pPr>
        <w:pStyle w:val="EndNoteBibliography"/>
        <w:numPr>
          <w:ilvl w:val="0"/>
          <w:numId w:val="14"/>
        </w:numPr>
        <w:spacing w:after="0" w:line="480" w:lineRule="auto"/>
        <w:jc w:val="both"/>
        <w:rPr>
          <w:szCs w:val="24"/>
        </w:rPr>
      </w:pPr>
      <w:r w:rsidRPr="00882001">
        <w:rPr>
          <w:szCs w:val="24"/>
        </w:rPr>
        <w:t xml:space="preserve">Brown LD, Cai TT, DasGupta A. Interval Estimation for a Binomial Proportion. </w:t>
      </w:r>
      <w:r w:rsidR="00533F3A" w:rsidRPr="00882001">
        <w:rPr>
          <w:i/>
          <w:szCs w:val="24"/>
        </w:rPr>
        <w:t>Stat</w:t>
      </w:r>
      <w:r w:rsidR="00533F3A">
        <w:rPr>
          <w:i/>
          <w:szCs w:val="24"/>
        </w:rPr>
        <w:t xml:space="preserve"> </w:t>
      </w:r>
      <w:r w:rsidRPr="00882001">
        <w:rPr>
          <w:i/>
          <w:szCs w:val="24"/>
        </w:rPr>
        <w:t>Sci</w:t>
      </w:r>
      <w:r w:rsidRPr="00882001">
        <w:rPr>
          <w:szCs w:val="24"/>
        </w:rPr>
        <w:t xml:space="preserve"> 2001;</w:t>
      </w:r>
      <w:r w:rsidRPr="00882001">
        <w:rPr>
          <w:b/>
          <w:szCs w:val="24"/>
        </w:rPr>
        <w:t>16</w:t>
      </w:r>
      <w:r w:rsidRPr="00882001">
        <w:rPr>
          <w:szCs w:val="24"/>
        </w:rPr>
        <w:t>:101-17.</w:t>
      </w:r>
    </w:p>
    <w:p w14:paraId="766C7B2B" w14:textId="7B83CC51" w:rsidR="00BC2259" w:rsidRPr="00882001" w:rsidRDefault="00BC2259" w:rsidP="00882001">
      <w:pPr>
        <w:pStyle w:val="EndNoteBibliography"/>
        <w:numPr>
          <w:ilvl w:val="0"/>
          <w:numId w:val="14"/>
        </w:numPr>
        <w:spacing w:after="0" w:line="480" w:lineRule="auto"/>
        <w:jc w:val="both"/>
        <w:rPr>
          <w:szCs w:val="24"/>
        </w:rPr>
      </w:pPr>
      <w:r w:rsidRPr="00882001">
        <w:rPr>
          <w:szCs w:val="24"/>
        </w:rPr>
        <w:t xml:space="preserve">Simel DL, Samsa GP, Matchar DB. Likelihood ratios with confidence: sample size estimation for diagnostic test studies. </w:t>
      </w:r>
      <w:r w:rsidRPr="00882001">
        <w:rPr>
          <w:i/>
          <w:szCs w:val="24"/>
        </w:rPr>
        <w:t>J Clin Epidemiol</w:t>
      </w:r>
      <w:r w:rsidR="003E3EC4" w:rsidRPr="00882001">
        <w:rPr>
          <w:szCs w:val="24"/>
        </w:rPr>
        <w:t xml:space="preserve"> </w:t>
      </w:r>
      <w:r w:rsidRPr="00882001">
        <w:rPr>
          <w:szCs w:val="24"/>
        </w:rPr>
        <w:t>1991;</w:t>
      </w:r>
      <w:r w:rsidRPr="00882001">
        <w:rPr>
          <w:b/>
          <w:szCs w:val="24"/>
        </w:rPr>
        <w:t>44</w:t>
      </w:r>
      <w:r w:rsidRPr="00882001">
        <w:rPr>
          <w:szCs w:val="24"/>
        </w:rPr>
        <w:t>:763-70.</w:t>
      </w:r>
    </w:p>
    <w:p w14:paraId="7F67ACC8" w14:textId="0A423EBC" w:rsidR="00D6460C" w:rsidRPr="004D4BE0" w:rsidRDefault="009723B6" w:rsidP="00882001">
      <w:pPr>
        <w:pStyle w:val="ListParagraph"/>
        <w:numPr>
          <w:ilvl w:val="0"/>
          <w:numId w:val="14"/>
        </w:numPr>
        <w:spacing w:after="0" w:line="480" w:lineRule="auto"/>
        <w:ind w:left="714" w:hanging="357"/>
        <w:jc w:val="both"/>
        <w:rPr>
          <w:rFonts w:ascii="Times New Roman" w:hAnsi="Times New Roman" w:cs="Times New Roman"/>
          <w:sz w:val="24"/>
          <w:szCs w:val="24"/>
        </w:rPr>
      </w:pPr>
      <w:r w:rsidRPr="00882001">
        <w:rPr>
          <w:rFonts w:ascii="Times New Roman" w:hAnsi="Times New Roman" w:cs="Times New Roman"/>
          <w:sz w:val="24"/>
          <w:szCs w:val="24"/>
          <w:lang w:val="nl-NL"/>
        </w:rPr>
        <w:t xml:space="preserve"> </w:t>
      </w:r>
      <w:r w:rsidR="003E3EC4" w:rsidRPr="00882001">
        <w:rPr>
          <w:rFonts w:ascii="Times New Roman" w:hAnsi="Times New Roman" w:cs="Times New Roman"/>
          <w:sz w:val="24"/>
          <w:szCs w:val="24"/>
          <w:lang w:val="nl-NL"/>
        </w:rPr>
        <w:t xml:space="preserve">Van der Hulle T, Cheung WY, Kooij S, Beenen LFM, van Bemmel T, van Es J </w:t>
      </w:r>
      <w:r w:rsidR="003E3EC4" w:rsidRPr="00882001">
        <w:rPr>
          <w:rFonts w:ascii="Times New Roman" w:hAnsi="Times New Roman" w:cs="Times New Roman"/>
          <w:i/>
          <w:sz w:val="24"/>
          <w:szCs w:val="24"/>
          <w:lang w:val="nl-NL"/>
        </w:rPr>
        <w:t>et al</w:t>
      </w:r>
      <w:r w:rsidR="003E3EC4" w:rsidRPr="00882001">
        <w:rPr>
          <w:rFonts w:ascii="Times New Roman" w:hAnsi="Times New Roman" w:cs="Times New Roman"/>
          <w:sz w:val="24"/>
          <w:szCs w:val="24"/>
          <w:lang w:val="nl-NL"/>
        </w:rPr>
        <w:t xml:space="preserve">. </w:t>
      </w:r>
      <w:r w:rsidR="003E3EC4" w:rsidRPr="00882001">
        <w:rPr>
          <w:rFonts w:ascii="Times New Roman" w:hAnsi="Times New Roman" w:cs="Times New Roman"/>
          <w:sz w:val="24"/>
          <w:szCs w:val="24"/>
        </w:rPr>
        <w:t xml:space="preserve">Simplified diagnostic management of suspected pulmonary embolism (the YEARS study): a </w:t>
      </w:r>
      <w:r w:rsidR="003E3EC4" w:rsidRPr="004D4BE0">
        <w:rPr>
          <w:rFonts w:ascii="Times New Roman" w:hAnsi="Times New Roman" w:cs="Times New Roman"/>
          <w:sz w:val="24"/>
          <w:szCs w:val="24"/>
        </w:rPr>
        <w:t xml:space="preserve">prospective, multicentre cohort study. </w:t>
      </w:r>
      <w:r w:rsidR="003E3EC4" w:rsidRPr="004D4BE0">
        <w:rPr>
          <w:rFonts w:ascii="Times New Roman" w:hAnsi="Times New Roman" w:cs="Times New Roman"/>
          <w:i/>
          <w:sz w:val="24"/>
          <w:szCs w:val="24"/>
        </w:rPr>
        <w:t>Lancet</w:t>
      </w:r>
      <w:r w:rsidR="00533F3A" w:rsidRPr="004D4BE0">
        <w:rPr>
          <w:rFonts w:ascii="Times New Roman" w:hAnsi="Times New Roman" w:cs="Times New Roman"/>
          <w:sz w:val="24"/>
          <w:szCs w:val="24"/>
        </w:rPr>
        <w:t xml:space="preserve"> </w:t>
      </w:r>
      <w:r w:rsidR="003E3EC4" w:rsidRPr="004D4BE0">
        <w:rPr>
          <w:rFonts w:ascii="Times New Roman" w:hAnsi="Times New Roman" w:cs="Times New Roman"/>
          <w:sz w:val="24"/>
          <w:szCs w:val="24"/>
        </w:rPr>
        <w:t>2017;390(10091):289-297.</w:t>
      </w:r>
    </w:p>
    <w:p w14:paraId="4E568DEE" w14:textId="2A6D56CA" w:rsidR="008107D1" w:rsidRPr="00882001" w:rsidRDefault="00D6460C" w:rsidP="00882001">
      <w:pPr>
        <w:pStyle w:val="ListParagraph"/>
        <w:numPr>
          <w:ilvl w:val="0"/>
          <w:numId w:val="14"/>
        </w:numPr>
        <w:spacing w:after="0" w:line="480" w:lineRule="auto"/>
        <w:ind w:left="714" w:hanging="357"/>
        <w:jc w:val="both"/>
        <w:rPr>
          <w:rFonts w:ascii="Times New Roman" w:hAnsi="Times New Roman" w:cs="Times New Roman"/>
          <w:sz w:val="24"/>
          <w:szCs w:val="24"/>
        </w:rPr>
      </w:pPr>
      <w:proofErr w:type="spellStart"/>
      <w:r w:rsidRPr="00882001">
        <w:rPr>
          <w:rFonts w:ascii="Times New Roman" w:hAnsi="Times New Roman" w:cs="Times New Roman"/>
          <w:sz w:val="24"/>
          <w:szCs w:val="24"/>
        </w:rPr>
        <w:lastRenderedPageBreak/>
        <w:t>Pareek</w:t>
      </w:r>
      <w:proofErr w:type="spellEnd"/>
      <w:r w:rsidRPr="00882001">
        <w:rPr>
          <w:rFonts w:ascii="Times New Roman" w:hAnsi="Times New Roman" w:cs="Times New Roman"/>
          <w:sz w:val="24"/>
          <w:szCs w:val="24"/>
        </w:rPr>
        <w:t xml:space="preserve"> M, Greenaway C, Noori T, Munoz J, Zenner D. The impact of migration on tuberculosis epidemiology and control in high-income countries: a review. </w:t>
      </w:r>
      <w:r w:rsidRPr="00882001">
        <w:rPr>
          <w:rFonts w:ascii="Times New Roman" w:hAnsi="Times New Roman" w:cs="Times New Roman"/>
          <w:i/>
          <w:sz w:val="24"/>
          <w:szCs w:val="24"/>
        </w:rPr>
        <w:t>BMC Med</w:t>
      </w:r>
      <w:r w:rsidRPr="00882001">
        <w:rPr>
          <w:rFonts w:ascii="Times New Roman" w:hAnsi="Times New Roman" w:cs="Times New Roman"/>
          <w:sz w:val="24"/>
          <w:szCs w:val="24"/>
        </w:rPr>
        <w:t xml:space="preserve"> 2016;</w:t>
      </w:r>
      <w:r w:rsidRPr="00882001">
        <w:rPr>
          <w:rFonts w:ascii="Times New Roman" w:hAnsi="Times New Roman" w:cs="Times New Roman"/>
          <w:b/>
          <w:sz w:val="24"/>
          <w:szCs w:val="24"/>
        </w:rPr>
        <w:t>14</w:t>
      </w:r>
      <w:r w:rsidRPr="00882001">
        <w:rPr>
          <w:rFonts w:ascii="Times New Roman" w:hAnsi="Times New Roman" w:cs="Times New Roman"/>
          <w:sz w:val="24"/>
          <w:szCs w:val="24"/>
        </w:rPr>
        <w:t>;48.</w:t>
      </w:r>
    </w:p>
    <w:p w14:paraId="02F54F43" w14:textId="3FA74878" w:rsidR="00E50B1B" w:rsidRPr="00882001" w:rsidRDefault="00E50B1B" w:rsidP="00882001">
      <w:pPr>
        <w:pStyle w:val="ListParagraph"/>
        <w:numPr>
          <w:ilvl w:val="0"/>
          <w:numId w:val="14"/>
        </w:numPr>
        <w:spacing w:after="0" w:line="480" w:lineRule="auto"/>
        <w:ind w:left="714" w:hanging="357"/>
        <w:jc w:val="both"/>
        <w:rPr>
          <w:rFonts w:ascii="Times New Roman" w:eastAsia="Times New Roman" w:hAnsi="Times New Roman" w:cs="Times New Roman"/>
          <w:color w:val="333333"/>
          <w:sz w:val="24"/>
          <w:szCs w:val="24"/>
          <w:lang w:eastAsia="en-GB"/>
        </w:rPr>
      </w:pPr>
      <w:r w:rsidRPr="00882001">
        <w:rPr>
          <w:rFonts w:ascii="Times New Roman" w:hAnsi="Times New Roman" w:cs="Times New Roman"/>
          <w:sz w:val="24"/>
          <w:szCs w:val="24"/>
        </w:rPr>
        <w:t xml:space="preserve">Mearns H, Geldenhuys HD, </w:t>
      </w:r>
      <w:proofErr w:type="spellStart"/>
      <w:r w:rsidRPr="00882001">
        <w:rPr>
          <w:rFonts w:ascii="Times New Roman" w:hAnsi="Times New Roman" w:cs="Times New Roman"/>
          <w:sz w:val="24"/>
          <w:szCs w:val="24"/>
        </w:rPr>
        <w:t>Kagina</w:t>
      </w:r>
      <w:proofErr w:type="spellEnd"/>
      <w:r w:rsidRPr="00882001">
        <w:rPr>
          <w:rFonts w:ascii="Times New Roman" w:hAnsi="Times New Roman" w:cs="Times New Roman"/>
          <w:sz w:val="24"/>
          <w:szCs w:val="24"/>
        </w:rPr>
        <w:t xml:space="preserve"> BM, </w:t>
      </w:r>
      <w:proofErr w:type="spellStart"/>
      <w:r w:rsidRPr="00882001">
        <w:rPr>
          <w:rFonts w:ascii="Times New Roman" w:hAnsi="Times New Roman" w:cs="Times New Roman"/>
          <w:sz w:val="24"/>
          <w:szCs w:val="24"/>
        </w:rPr>
        <w:t>Musvosvi</w:t>
      </w:r>
      <w:proofErr w:type="spellEnd"/>
      <w:r w:rsidRPr="00882001">
        <w:rPr>
          <w:rFonts w:ascii="Times New Roman" w:hAnsi="Times New Roman" w:cs="Times New Roman"/>
          <w:sz w:val="24"/>
          <w:szCs w:val="24"/>
        </w:rPr>
        <w:t xml:space="preserve"> M, Little F, </w:t>
      </w:r>
      <w:proofErr w:type="spellStart"/>
      <w:r w:rsidRPr="00882001">
        <w:rPr>
          <w:rFonts w:ascii="Times New Roman" w:hAnsi="Times New Roman" w:cs="Times New Roman"/>
          <w:sz w:val="24"/>
          <w:szCs w:val="24"/>
        </w:rPr>
        <w:t>Ratangee</w:t>
      </w:r>
      <w:proofErr w:type="spellEnd"/>
      <w:r w:rsidRPr="00882001">
        <w:rPr>
          <w:rFonts w:ascii="Times New Roman" w:hAnsi="Times New Roman" w:cs="Times New Roman"/>
          <w:sz w:val="24"/>
          <w:szCs w:val="24"/>
        </w:rPr>
        <w:t xml:space="preserve"> F </w:t>
      </w:r>
      <w:r w:rsidRPr="00882001">
        <w:rPr>
          <w:rFonts w:ascii="Times New Roman" w:hAnsi="Times New Roman" w:cs="Times New Roman"/>
          <w:i/>
          <w:sz w:val="24"/>
          <w:szCs w:val="24"/>
        </w:rPr>
        <w:t>et al</w:t>
      </w:r>
      <w:r w:rsidRPr="00882001">
        <w:rPr>
          <w:rFonts w:ascii="Times New Roman" w:hAnsi="Times New Roman" w:cs="Times New Roman"/>
          <w:sz w:val="24"/>
          <w:szCs w:val="24"/>
        </w:rPr>
        <w:t>. H1:IC31 vaccination is safe and induces long-lived TNF-</w:t>
      </w:r>
      <w:r w:rsidRPr="00882001">
        <w:rPr>
          <w:rFonts w:ascii="Times New Roman" w:hAnsi="Times New Roman" w:cs="Times New Roman"/>
          <w:sz w:val="24"/>
          <w:szCs w:val="24"/>
          <w:lang w:val="nl-NL"/>
        </w:rPr>
        <w:t>α</w:t>
      </w:r>
      <w:r w:rsidRPr="00882001">
        <w:rPr>
          <w:rFonts w:ascii="Times New Roman" w:hAnsi="Times New Roman" w:cs="Times New Roman"/>
          <w:sz w:val="24"/>
          <w:szCs w:val="24"/>
          <w:vertAlign w:val="superscript"/>
        </w:rPr>
        <w:t>+</w:t>
      </w:r>
      <w:r w:rsidRPr="00882001">
        <w:rPr>
          <w:rFonts w:ascii="Times New Roman" w:hAnsi="Times New Roman" w:cs="Times New Roman"/>
          <w:sz w:val="24"/>
          <w:szCs w:val="24"/>
        </w:rPr>
        <w:t>IL-2</w:t>
      </w:r>
      <w:r w:rsidRPr="00882001">
        <w:rPr>
          <w:rFonts w:ascii="Times New Roman" w:hAnsi="Times New Roman" w:cs="Times New Roman"/>
          <w:sz w:val="24"/>
          <w:szCs w:val="24"/>
          <w:vertAlign w:val="superscript"/>
        </w:rPr>
        <w:t>+</w:t>
      </w:r>
      <w:r w:rsidRPr="00882001">
        <w:rPr>
          <w:rFonts w:ascii="Times New Roman" w:hAnsi="Times New Roman" w:cs="Times New Roman"/>
          <w:sz w:val="24"/>
          <w:szCs w:val="24"/>
        </w:rPr>
        <w:t xml:space="preserve">CD4 T cell responses in M. tuberculosis infected and uninfected adolescents: A randomised trial. </w:t>
      </w:r>
      <w:r w:rsidRPr="00882001">
        <w:rPr>
          <w:rFonts w:ascii="Times New Roman" w:hAnsi="Times New Roman" w:cs="Times New Roman"/>
          <w:i/>
          <w:sz w:val="24"/>
          <w:szCs w:val="24"/>
        </w:rPr>
        <w:t>Vaccine</w:t>
      </w:r>
      <w:r w:rsidRPr="00882001">
        <w:rPr>
          <w:rFonts w:ascii="Times New Roman" w:hAnsi="Times New Roman" w:cs="Times New Roman"/>
          <w:sz w:val="24"/>
          <w:szCs w:val="24"/>
        </w:rPr>
        <w:t xml:space="preserve"> 2017;</w:t>
      </w:r>
      <w:r w:rsidRPr="00882001">
        <w:rPr>
          <w:rFonts w:ascii="Times New Roman" w:hAnsi="Times New Roman" w:cs="Times New Roman"/>
          <w:b/>
          <w:sz w:val="24"/>
          <w:szCs w:val="24"/>
        </w:rPr>
        <w:t>35</w:t>
      </w:r>
      <w:r w:rsidRPr="00882001">
        <w:rPr>
          <w:rFonts w:ascii="Times New Roman" w:hAnsi="Times New Roman" w:cs="Times New Roman"/>
          <w:sz w:val="24"/>
          <w:szCs w:val="24"/>
        </w:rPr>
        <w:t>(1):132-141.</w:t>
      </w:r>
    </w:p>
    <w:p w14:paraId="6BB2E293" w14:textId="38663FEA" w:rsidR="00E50B1B" w:rsidRPr="00882001" w:rsidRDefault="00E50B1B" w:rsidP="00882001">
      <w:pPr>
        <w:pStyle w:val="ListParagraph"/>
        <w:numPr>
          <w:ilvl w:val="0"/>
          <w:numId w:val="14"/>
        </w:numPr>
        <w:spacing w:after="0" w:line="480" w:lineRule="auto"/>
        <w:ind w:left="714" w:hanging="357"/>
        <w:jc w:val="both"/>
        <w:rPr>
          <w:rFonts w:ascii="Times New Roman" w:hAnsi="Times New Roman" w:cs="Times New Roman"/>
          <w:sz w:val="24"/>
          <w:szCs w:val="24"/>
          <w:lang w:eastAsia="en-GB"/>
        </w:rPr>
      </w:pPr>
      <w:proofErr w:type="spellStart"/>
      <w:r w:rsidRPr="00882001">
        <w:rPr>
          <w:rFonts w:ascii="Times New Roman" w:hAnsi="Times New Roman" w:cs="Times New Roman"/>
          <w:sz w:val="24"/>
          <w:szCs w:val="24"/>
        </w:rPr>
        <w:t>Luabeya</w:t>
      </w:r>
      <w:proofErr w:type="spellEnd"/>
      <w:r w:rsidRPr="00882001">
        <w:rPr>
          <w:rFonts w:ascii="Times New Roman" w:hAnsi="Times New Roman" w:cs="Times New Roman"/>
          <w:sz w:val="24"/>
          <w:szCs w:val="24"/>
        </w:rPr>
        <w:t xml:space="preserve"> AK, </w:t>
      </w:r>
      <w:proofErr w:type="spellStart"/>
      <w:r w:rsidRPr="00882001">
        <w:rPr>
          <w:rFonts w:ascii="Times New Roman" w:hAnsi="Times New Roman" w:cs="Times New Roman"/>
          <w:sz w:val="24"/>
          <w:szCs w:val="24"/>
        </w:rPr>
        <w:t>Kagina</w:t>
      </w:r>
      <w:proofErr w:type="spellEnd"/>
      <w:r w:rsidRPr="00882001">
        <w:rPr>
          <w:rFonts w:ascii="Times New Roman" w:hAnsi="Times New Roman" w:cs="Times New Roman"/>
          <w:sz w:val="24"/>
          <w:szCs w:val="24"/>
        </w:rPr>
        <w:t xml:space="preserve"> BM, </w:t>
      </w:r>
      <w:proofErr w:type="spellStart"/>
      <w:r w:rsidRPr="00882001">
        <w:rPr>
          <w:rFonts w:ascii="Times New Roman" w:hAnsi="Times New Roman" w:cs="Times New Roman"/>
          <w:sz w:val="24"/>
          <w:szCs w:val="24"/>
        </w:rPr>
        <w:t>Tameris</w:t>
      </w:r>
      <w:proofErr w:type="spellEnd"/>
      <w:r w:rsidRPr="00882001">
        <w:rPr>
          <w:rFonts w:ascii="Times New Roman" w:hAnsi="Times New Roman" w:cs="Times New Roman"/>
          <w:sz w:val="24"/>
          <w:szCs w:val="24"/>
        </w:rPr>
        <w:t xml:space="preserve"> MD, Geldenhuys H, Hoff ST, Shi Z </w:t>
      </w:r>
      <w:r w:rsidRPr="00882001">
        <w:rPr>
          <w:rFonts w:ascii="Times New Roman" w:hAnsi="Times New Roman" w:cs="Times New Roman"/>
          <w:i/>
          <w:sz w:val="24"/>
          <w:szCs w:val="24"/>
        </w:rPr>
        <w:t xml:space="preserve">et al. </w:t>
      </w:r>
      <w:r w:rsidRPr="00882001">
        <w:rPr>
          <w:rFonts w:ascii="Times New Roman" w:hAnsi="Times New Roman" w:cs="Times New Roman"/>
          <w:sz w:val="24"/>
          <w:szCs w:val="24"/>
        </w:rPr>
        <w:t xml:space="preserve">First-in-human trial of the post-exposure tuberculosis vaccine H56:IC31 in Mycobacterium tuberculosis infected and non-infected healthy adults. </w:t>
      </w:r>
      <w:r w:rsidRPr="00882001">
        <w:rPr>
          <w:rFonts w:ascii="Times New Roman" w:hAnsi="Times New Roman" w:cs="Times New Roman"/>
          <w:i/>
          <w:sz w:val="24"/>
          <w:szCs w:val="24"/>
        </w:rPr>
        <w:t>Vaccine</w:t>
      </w:r>
      <w:r w:rsidRPr="00882001">
        <w:rPr>
          <w:rFonts w:ascii="Times New Roman" w:hAnsi="Times New Roman" w:cs="Times New Roman"/>
          <w:sz w:val="24"/>
          <w:szCs w:val="24"/>
        </w:rPr>
        <w:t xml:space="preserve"> 2015;</w:t>
      </w:r>
      <w:r w:rsidRPr="00882001">
        <w:rPr>
          <w:rFonts w:ascii="Times New Roman" w:hAnsi="Times New Roman" w:cs="Times New Roman"/>
          <w:b/>
          <w:sz w:val="24"/>
          <w:szCs w:val="24"/>
        </w:rPr>
        <w:t>33</w:t>
      </w:r>
      <w:r w:rsidRPr="00882001">
        <w:rPr>
          <w:rFonts w:ascii="Times New Roman" w:hAnsi="Times New Roman" w:cs="Times New Roman"/>
          <w:sz w:val="24"/>
          <w:szCs w:val="24"/>
        </w:rPr>
        <w:t>(33):4130-40.</w:t>
      </w:r>
    </w:p>
    <w:p w14:paraId="7BA1E0F8" w14:textId="45AECD8C" w:rsidR="00E50B1B" w:rsidRPr="00882001" w:rsidRDefault="004C1851" w:rsidP="00882001">
      <w:pPr>
        <w:pStyle w:val="ListParagraph"/>
        <w:numPr>
          <w:ilvl w:val="0"/>
          <w:numId w:val="14"/>
        </w:numPr>
        <w:spacing w:after="0" w:line="480" w:lineRule="auto"/>
        <w:jc w:val="both"/>
        <w:rPr>
          <w:rFonts w:ascii="Times New Roman" w:hAnsi="Times New Roman" w:cs="Times New Roman"/>
          <w:sz w:val="24"/>
          <w:szCs w:val="24"/>
          <w:lang w:eastAsia="en-GB"/>
        </w:rPr>
      </w:pPr>
      <w:proofErr w:type="spellStart"/>
      <w:r w:rsidRPr="00882001">
        <w:rPr>
          <w:rFonts w:ascii="Times New Roman" w:hAnsi="Times New Roman" w:cs="Times New Roman"/>
          <w:sz w:val="24"/>
          <w:szCs w:val="24"/>
          <w:lang w:eastAsia="en-GB"/>
        </w:rPr>
        <w:t>Esmail</w:t>
      </w:r>
      <w:proofErr w:type="spellEnd"/>
      <w:r w:rsidRPr="00882001">
        <w:rPr>
          <w:rFonts w:ascii="Times New Roman" w:hAnsi="Times New Roman" w:cs="Times New Roman"/>
          <w:sz w:val="24"/>
          <w:szCs w:val="24"/>
          <w:lang w:eastAsia="en-GB"/>
        </w:rPr>
        <w:t xml:space="preserve"> H, </w:t>
      </w:r>
      <w:proofErr w:type="spellStart"/>
      <w:r w:rsidRPr="00882001">
        <w:rPr>
          <w:rFonts w:ascii="Times New Roman" w:hAnsi="Times New Roman" w:cs="Times New Roman"/>
          <w:sz w:val="24"/>
          <w:szCs w:val="24"/>
          <w:lang w:eastAsia="en-GB"/>
        </w:rPr>
        <w:t>Riou</w:t>
      </w:r>
      <w:proofErr w:type="spellEnd"/>
      <w:r w:rsidRPr="00882001">
        <w:rPr>
          <w:rFonts w:ascii="Times New Roman" w:hAnsi="Times New Roman" w:cs="Times New Roman"/>
          <w:sz w:val="24"/>
          <w:szCs w:val="24"/>
          <w:lang w:eastAsia="en-GB"/>
        </w:rPr>
        <w:t xml:space="preserve"> C, </w:t>
      </w:r>
      <w:proofErr w:type="spellStart"/>
      <w:r w:rsidRPr="00882001">
        <w:rPr>
          <w:rFonts w:ascii="Times New Roman" w:hAnsi="Times New Roman" w:cs="Times New Roman"/>
          <w:sz w:val="24"/>
          <w:szCs w:val="24"/>
          <w:lang w:eastAsia="en-GB"/>
        </w:rPr>
        <w:t>Bruyn</w:t>
      </w:r>
      <w:proofErr w:type="spellEnd"/>
      <w:r w:rsidRPr="00882001">
        <w:rPr>
          <w:rFonts w:ascii="Times New Roman" w:hAnsi="Times New Roman" w:cs="Times New Roman"/>
          <w:sz w:val="24"/>
          <w:szCs w:val="24"/>
          <w:lang w:eastAsia="en-GB"/>
        </w:rPr>
        <w:t xml:space="preserve"> ED, Lai RP, Harley YXR, </w:t>
      </w:r>
      <w:proofErr w:type="spellStart"/>
      <w:r w:rsidRPr="00882001">
        <w:rPr>
          <w:rFonts w:ascii="Times New Roman" w:hAnsi="Times New Roman" w:cs="Times New Roman"/>
          <w:sz w:val="24"/>
          <w:szCs w:val="24"/>
          <w:lang w:eastAsia="en-GB"/>
        </w:rPr>
        <w:t>Meintjes</w:t>
      </w:r>
      <w:proofErr w:type="spellEnd"/>
      <w:r w:rsidRPr="00882001">
        <w:rPr>
          <w:rFonts w:ascii="Times New Roman" w:hAnsi="Times New Roman" w:cs="Times New Roman"/>
          <w:sz w:val="24"/>
          <w:szCs w:val="24"/>
          <w:lang w:eastAsia="en-GB"/>
        </w:rPr>
        <w:t xml:space="preserve"> G</w:t>
      </w:r>
      <w:r w:rsidR="002D2187" w:rsidRPr="00882001">
        <w:rPr>
          <w:rFonts w:ascii="Times New Roman" w:hAnsi="Times New Roman" w:cs="Times New Roman"/>
          <w:sz w:val="24"/>
          <w:szCs w:val="24"/>
          <w:lang w:eastAsia="en-GB"/>
        </w:rPr>
        <w:t xml:space="preserve"> </w:t>
      </w:r>
      <w:r w:rsidR="002D2187" w:rsidRPr="00882001">
        <w:rPr>
          <w:rFonts w:ascii="Times New Roman" w:hAnsi="Times New Roman" w:cs="Times New Roman"/>
          <w:i/>
          <w:sz w:val="24"/>
          <w:szCs w:val="24"/>
          <w:lang w:eastAsia="en-GB"/>
        </w:rPr>
        <w:t>et al</w:t>
      </w:r>
      <w:r w:rsidR="002D2187" w:rsidRPr="00882001">
        <w:rPr>
          <w:rFonts w:ascii="Times New Roman" w:hAnsi="Times New Roman" w:cs="Times New Roman"/>
          <w:sz w:val="24"/>
          <w:szCs w:val="24"/>
          <w:lang w:eastAsia="en-GB"/>
        </w:rPr>
        <w:t xml:space="preserve">. The immune response to Mycobacterium tuberculosis in HIV-1-coinfected persons. </w:t>
      </w:r>
      <w:proofErr w:type="spellStart"/>
      <w:r w:rsidR="002D2187" w:rsidRPr="00882001">
        <w:rPr>
          <w:rFonts w:ascii="Times New Roman" w:hAnsi="Times New Roman" w:cs="Times New Roman"/>
          <w:i/>
          <w:sz w:val="24"/>
          <w:szCs w:val="24"/>
          <w:lang w:eastAsia="en-GB"/>
        </w:rPr>
        <w:t>Annu</w:t>
      </w:r>
      <w:proofErr w:type="spellEnd"/>
      <w:r w:rsidR="002D2187" w:rsidRPr="00882001">
        <w:rPr>
          <w:rFonts w:ascii="Times New Roman" w:hAnsi="Times New Roman" w:cs="Times New Roman"/>
          <w:i/>
          <w:sz w:val="24"/>
          <w:szCs w:val="24"/>
          <w:lang w:eastAsia="en-GB"/>
        </w:rPr>
        <w:t xml:space="preserve"> Rev Immunol</w:t>
      </w:r>
      <w:r w:rsidR="002D2187" w:rsidRPr="00882001">
        <w:rPr>
          <w:rFonts w:ascii="Times New Roman" w:hAnsi="Times New Roman" w:cs="Times New Roman"/>
          <w:sz w:val="24"/>
          <w:szCs w:val="24"/>
          <w:lang w:eastAsia="en-GB"/>
        </w:rPr>
        <w:t xml:space="preserve"> 2018;</w:t>
      </w:r>
      <w:r w:rsidR="002D2187" w:rsidRPr="00882001">
        <w:rPr>
          <w:rFonts w:ascii="Times New Roman" w:hAnsi="Times New Roman" w:cs="Times New Roman"/>
          <w:b/>
          <w:sz w:val="24"/>
          <w:szCs w:val="24"/>
          <w:lang w:eastAsia="en-GB"/>
        </w:rPr>
        <w:t>36:</w:t>
      </w:r>
      <w:r w:rsidR="002D2187" w:rsidRPr="00882001">
        <w:rPr>
          <w:rFonts w:ascii="Times New Roman" w:hAnsi="Times New Roman" w:cs="Times New Roman"/>
          <w:sz w:val="24"/>
          <w:szCs w:val="24"/>
          <w:lang w:eastAsia="en-GB"/>
        </w:rPr>
        <w:t>603-638.</w:t>
      </w:r>
    </w:p>
    <w:p w14:paraId="74128458" w14:textId="5E105005" w:rsidR="002D2187" w:rsidRPr="00882001" w:rsidRDefault="002D2187" w:rsidP="00882001">
      <w:pPr>
        <w:pStyle w:val="ListParagraph"/>
        <w:numPr>
          <w:ilvl w:val="0"/>
          <w:numId w:val="14"/>
        </w:numPr>
        <w:spacing w:after="0" w:line="480" w:lineRule="auto"/>
        <w:jc w:val="both"/>
        <w:rPr>
          <w:rFonts w:ascii="Times New Roman" w:hAnsi="Times New Roman" w:cs="Times New Roman"/>
          <w:sz w:val="24"/>
          <w:szCs w:val="24"/>
          <w:lang w:eastAsia="en-GB"/>
        </w:rPr>
      </w:pPr>
      <w:proofErr w:type="spellStart"/>
      <w:r w:rsidRPr="00882001">
        <w:rPr>
          <w:rFonts w:ascii="Times New Roman" w:hAnsi="Times New Roman" w:cs="Times New Roman"/>
          <w:sz w:val="24"/>
          <w:szCs w:val="24"/>
          <w:lang w:eastAsia="en-GB"/>
        </w:rPr>
        <w:t>Kuo</w:t>
      </w:r>
      <w:proofErr w:type="spellEnd"/>
      <w:r w:rsidRPr="00882001">
        <w:rPr>
          <w:rFonts w:ascii="Times New Roman" w:hAnsi="Times New Roman" w:cs="Times New Roman"/>
          <w:sz w:val="24"/>
          <w:szCs w:val="24"/>
          <w:lang w:eastAsia="en-GB"/>
        </w:rPr>
        <w:t xml:space="preserve"> MC, Lin SH, Lin CH, Mao IC, Chang SJ, Hsieh MC. Type 2 diabetes: an independent risk factor for tuberculosis: a nationwide population-based study. </w:t>
      </w:r>
      <w:proofErr w:type="spellStart"/>
      <w:r w:rsidRPr="00882001">
        <w:rPr>
          <w:rFonts w:ascii="Times New Roman" w:hAnsi="Times New Roman" w:cs="Times New Roman"/>
          <w:i/>
          <w:sz w:val="24"/>
          <w:szCs w:val="24"/>
          <w:lang w:eastAsia="en-GB"/>
        </w:rPr>
        <w:t>PLoS</w:t>
      </w:r>
      <w:proofErr w:type="spellEnd"/>
      <w:r w:rsidRPr="00882001">
        <w:rPr>
          <w:rFonts w:ascii="Times New Roman" w:hAnsi="Times New Roman" w:cs="Times New Roman"/>
          <w:i/>
          <w:sz w:val="24"/>
          <w:szCs w:val="24"/>
          <w:lang w:eastAsia="en-GB"/>
        </w:rPr>
        <w:t xml:space="preserve"> One</w:t>
      </w:r>
      <w:r w:rsidRPr="00882001">
        <w:rPr>
          <w:rFonts w:ascii="Times New Roman" w:hAnsi="Times New Roman" w:cs="Times New Roman"/>
          <w:sz w:val="24"/>
          <w:szCs w:val="24"/>
          <w:lang w:eastAsia="en-GB"/>
        </w:rPr>
        <w:t xml:space="preserve"> 2013;</w:t>
      </w:r>
      <w:r w:rsidRPr="00882001">
        <w:rPr>
          <w:rFonts w:ascii="Times New Roman" w:hAnsi="Times New Roman" w:cs="Times New Roman"/>
          <w:b/>
          <w:sz w:val="24"/>
          <w:szCs w:val="24"/>
          <w:lang w:eastAsia="en-GB"/>
        </w:rPr>
        <w:t>8</w:t>
      </w:r>
      <w:r w:rsidRPr="00882001">
        <w:rPr>
          <w:rFonts w:ascii="Times New Roman" w:hAnsi="Times New Roman" w:cs="Times New Roman"/>
          <w:sz w:val="24"/>
          <w:szCs w:val="24"/>
          <w:lang w:eastAsia="en-GB"/>
        </w:rPr>
        <w:t>(11):e78924.</w:t>
      </w:r>
    </w:p>
    <w:p w14:paraId="6FAE89DC" w14:textId="7E4EDBA0" w:rsidR="002D2187" w:rsidRPr="00882001" w:rsidRDefault="002D2187" w:rsidP="00882001">
      <w:pPr>
        <w:pStyle w:val="ListParagraph"/>
        <w:numPr>
          <w:ilvl w:val="0"/>
          <w:numId w:val="14"/>
        </w:numPr>
        <w:spacing w:after="0" w:line="480" w:lineRule="auto"/>
        <w:jc w:val="both"/>
        <w:rPr>
          <w:rFonts w:ascii="Times New Roman" w:hAnsi="Times New Roman" w:cs="Times New Roman"/>
          <w:sz w:val="24"/>
          <w:szCs w:val="24"/>
          <w:lang w:eastAsia="en-GB"/>
        </w:rPr>
      </w:pPr>
      <w:r w:rsidRPr="00882001">
        <w:rPr>
          <w:rFonts w:ascii="Times New Roman" w:hAnsi="Times New Roman" w:cs="Times New Roman"/>
          <w:sz w:val="24"/>
          <w:szCs w:val="24"/>
          <w:lang w:val="it-IT" w:eastAsia="en-GB"/>
        </w:rPr>
        <w:t xml:space="preserve">Cattamanchi A, Smith R, Steingart KR, Metcalfe JZ, Date A, Coleman C et al. </w:t>
      </w:r>
      <w:r w:rsidRPr="00882001">
        <w:rPr>
          <w:rFonts w:ascii="Times New Roman" w:hAnsi="Times New Roman" w:cs="Times New Roman"/>
          <w:sz w:val="24"/>
          <w:szCs w:val="24"/>
          <w:lang w:eastAsia="en-GB"/>
        </w:rPr>
        <w:t xml:space="preserve">Interferon-gamma release assays for the diagnosis of latent tuberculosis infection in HIV-infected individuals: a systematic review and meta-analysis. J </w:t>
      </w:r>
      <w:proofErr w:type="spellStart"/>
      <w:r w:rsidRPr="00882001">
        <w:rPr>
          <w:rFonts w:ascii="Times New Roman" w:hAnsi="Times New Roman" w:cs="Times New Roman"/>
          <w:sz w:val="24"/>
          <w:szCs w:val="24"/>
          <w:lang w:eastAsia="en-GB"/>
        </w:rPr>
        <w:t>Acquir</w:t>
      </w:r>
      <w:proofErr w:type="spellEnd"/>
      <w:r w:rsidRPr="00882001">
        <w:rPr>
          <w:rFonts w:ascii="Times New Roman" w:hAnsi="Times New Roman" w:cs="Times New Roman"/>
          <w:sz w:val="24"/>
          <w:szCs w:val="24"/>
          <w:lang w:eastAsia="en-GB"/>
        </w:rPr>
        <w:t xml:space="preserve"> Immune </w:t>
      </w:r>
      <w:proofErr w:type="spellStart"/>
      <w:r w:rsidRPr="00882001">
        <w:rPr>
          <w:rFonts w:ascii="Times New Roman" w:hAnsi="Times New Roman" w:cs="Times New Roman"/>
          <w:sz w:val="24"/>
          <w:szCs w:val="24"/>
          <w:lang w:eastAsia="en-GB"/>
        </w:rPr>
        <w:t>Defic</w:t>
      </w:r>
      <w:proofErr w:type="spellEnd"/>
      <w:r w:rsidRPr="00882001">
        <w:rPr>
          <w:rFonts w:ascii="Times New Roman" w:hAnsi="Times New Roman" w:cs="Times New Roman"/>
          <w:sz w:val="24"/>
          <w:szCs w:val="24"/>
          <w:lang w:eastAsia="en-GB"/>
        </w:rPr>
        <w:t xml:space="preserve"> </w:t>
      </w:r>
      <w:proofErr w:type="spellStart"/>
      <w:r w:rsidRPr="00882001">
        <w:rPr>
          <w:rFonts w:ascii="Times New Roman" w:hAnsi="Times New Roman" w:cs="Times New Roman"/>
          <w:sz w:val="24"/>
          <w:szCs w:val="24"/>
          <w:lang w:eastAsia="en-GB"/>
        </w:rPr>
        <w:t>Syndr</w:t>
      </w:r>
      <w:proofErr w:type="spellEnd"/>
      <w:r w:rsidRPr="00882001">
        <w:rPr>
          <w:rFonts w:ascii="Times New Roman" w:hAnsi="Times New Roman" w:cs="Times New Roman"/>
          <w:sz w:val="24"/>
          <w:szCs w:val="24"/>
          <w:lang w:eastAsia="en-GB"/>
        </w:rPr>
        <w:t>. 2011;56(3):230-8.</w:t>
      </w:r>
    </w:p>
    <w:p w14:paraId="150B395E" w14:textId="77777777" w:rsidR="00A56550" w:rsidRPr="00882001" w:rsidRDefault="00A56550" w:rsidP="00882001">
      <w:pPr>
        <w:pStyle w:val="ListParagraph"/>
        <w:numPr>
          <w:ilvl w:val="0"/>
          <w:numId w:val="14"/>
        </w:numPr>
        <w:spacing w:after="0" w:line="480" w:lineRule="auto"/>
        <w:jc w:val="both"/>
        <w:rPr>
          <w:rFonts w:ascii="Times New Roman" w:hAnsi="Times New Roman" w:cs="Times New Roman"/>
          <w:sz w:val="24"/>
          <w:szCs w:val="24"/>
          <w:lang w:eastAsia="en-GB"/>
        </w:rPr>
      </w:pPr>
      <w:proofErr w:type="spellStart"/>
      <w:r w:rsidRPr="00882001">
        <w:rPr>
          <w:rFonts w:ascii="Times New Roman" w:hAnsi="Times New Roman" w:cs="Times New Roman"/>
          <w:sz w:val="24"/>
          <w:szCs w:val="24"/>
          <w:lang w:eastAsia="en-GB"/>
        </w:rPr>
        <w:t>Faurholt</w:t>
      </w:r>
      <w:proofErr w:type="spellEnd"/>
      <w:r w:rsidRPr="00882001">
        <w:rPr>
          <w:rFonts w:ascii="Times New Roman" w:hAnsi="Times New Roman" w:cs="Times New Roman"/>
          <w:sz w:val="24"/>
          <w:szCs w:val="24"/>
          <w:lang w:eastAsia="en-GB"/>
        </w:rPr>
        <w:t xml:space="preserve">-Jepson D, </w:t>
      </w:r>
      <w:proofErr w:type="spellStart"/>
      <w:r w:rsidRPr="00882001">
        <w:rPr>
          <w:rFonts w:ascii="Times New Roman" w:hAnsi="Times New Roman" w:cs="Times New Roman"/>
          <w:sz w:val="24"/>
          <w:szCs w:val="24"/>
          <w:lang w:eastAsia="en-GB"/>
        </w:rPr>
        <w:t>Aabye</w:t>
      </w:r>
      <w:proofErr w:type="spellEnd"/>
      <w:r w:rsidRPr="00882001">
        <w:rPr>
          <w:rFonts w:ascii="Times New Roman" w:hAnsi="Times New Roman" w:cs="Times New Roman"/>
          <w:sz w:val="24"/>
          <w:szCs w:val="24"/>
          <w:lang w:eastAsia="en-GB"/>
        </w:rPr>
        <w:t xml:space="preserve"> MG, Jenson AV, </w:t>
      </w:r>
      <w:proofErr w:type="spellStart"/>
      <w:r w:rsidRPr="00882001">
        <w:rPr>
          <w:rFonts w:ascii="Times New Roman" w:hAnsi="Times New Roman" w:cs="Times New Roman"/>
          <w:sz w:val="24"/>
          <w:szCs w:val="24"/>
          <w:lang w:eastAsia="en-GB"/>
        </w:rPr>
        <w:t>Rangge</w:t>
      </w:r>
      <w:proofErr w:type="spellEnd"/>
      <w:r w:rsidRPr="00882001">
        <w:rPr>
          <w:rFonts w:ascii="Times New Roman" w:hAnsi="Times New Roman" w:cs="Times New Roman"/>
          <w:sz w:val="24"/>
          <w:szCs w:val="24"/>
          <w:lang w:eastAsia="en-GB"/>
        </w:rPr>
        <w:t xml:space="preserve"> N, PrayGod G, Jeremiah K </w:t>
      </w:r>
      <w:r w:rsidRPr="00882001">
        <w:rPr>
          <w:rFonts w:ascii="Times New Roman" w:hAnsi="Times New Roman" w:cs="Times New Roman"/>
          <w:i/>
          <w:sz w:val="24"/>
          <w:szCs w:val="24"/>
          <w:lang w:eastAsia="en-GB"/>
        </w:rPr>
        <w:t>et al</w:t>
      </w:r>
      <w:r w:rsidRPr="00882001">
        <w:rPr>
          <w:rFonts w:ascii="Times New Roman" w:hAnsi="Times New Roman" w:cs="Times New Roman"/>
          <w:sz w:val="24"/>
          <w:szCs w:val="24"/>
          <w:lang w:eastAsia="en-GB"/>
        </w:rPr>
        <w:t xml:space="preserve">. Diabetes is associated with lower tuberculosis antigen-specific interferon gamma release in Tanzanian tuberculosis patients and non-tuberculosis controls. </w:t>
      </w:r>
      <w:proofErr w:type="spellStart"/>
      <w:r w:rsidRPr="00882001">
        <w:rPr>
          <w:rFonts w:ascii="Times New Roman" w:hAnsi="Times New Roman" w:cs="Times New Roman"/>
          <w:i/>
          <w:sz w:val="24"/>
          <w:szCs w:val="24"/>
          <w:lang w:eastAsia="en-GB"/>
        </w:rPr>
        <w:t>Scand</w:t>
      </w:r>
      <w:proofErr w:type="spellEnd"/>
      <w:r w:rsidRPr="00882001">
        <w:rPr>
          <w:rFonts w:ascii="Times New Roman" w:hAnsi="Times New Roman" w:cs="Times New Roman"/>
          <w:i/>
          <w:sz w:val="24"/>
          <w:szCs w:val="24"/>
          <w:lang w:eastAsia="en-GB"/>
        </w:rPr>
        <w:t xml:space="preserve"> J Infect Dis</w:t>
      </w:r>
      <w:r w:rsidRPr="00882001">
        <w:rPr>
          <w:rFonts w:ascii="Times New Roman" w:hAnsi="Times New Roman" w:cs="Times New Roman"/>
          <w:sz w:val="24"/>
          <w:szCs w:val="24"/>
          <w:lang w:eastAsia="en-GB"/>
        </w:rPr>
        <w:t>. 2014;</w:t>
      </w:r>
      <w:r w:rsidRPr="00882001">
        <w:rPr>
          <w:rFonts w:ascii="Times New Roman" w:hAnsi="Times New Roman" w:cs="Times New Roman"/>
          <w:b/>
          <w:sz w:val="24"/>
          <w:szCs w:val="24"/>
          <w:lang w:eastAsia="en-GB"/>
        </w:rPr>
        <w:t>46</w:t>
      </w:r>
      <w:r w:rsidRPr="00882001">
        <w:rPr>
          <w:rFonts w:ascii="Times New Roman" w:hAnsi="Times New Roman" w:cs="Times New Roman"/>
          <w:sz w:val="24"/>
          <w:szCs w:val="24"/>
          <w:lang w:eastAsia="en-GB"/>
        </w:rPr>
        <w:t xml:space="preserve">:384-391.  </w:t>
      </w:r>
    </w:p>
    <w:p w14:paraId="677B53D7" w14:textId="32DAB9B1" w:rsidR="00515B55" w:rsidRPr="00882001" w:rsidRDefault="00515B55" w:rsidP="00882001">
      <w:pPr>
        <w:pStyle w:val="ListParagraph"/>
        <w:numPr>
          <w:ilvl w:val="0"/>
          <w:numId w:val="14"/>
        </w:numPr>
        <w:spacing w:after="0" w:line="480" w:lineRule="auto"/>
        <w:jc w:val="both"/>
        <w:rPr>
          <w:rFonts w:ascii="Times New Roman" w:hAnsi="Times New Roman" w:cs="Times New Roman"/>
          <w:sz w:val="24"/>
          <w:szCs w:val="24"/>
          <w:lang w:eastAsia="en-GB"/>
        </w:rPr>
      </w:pPr>
      <w:r w:rsidRPr="00882001">
        <w:rPr>
          <w:rFonts w:ascii="Times New Roman" w:hAnsi="Times New Roman" w:cs="Times New Roman"/>
          <w:sz w:val="24"/>
          <w:szCs w:val="24"/>
          <w:lang w:val="it-IT" w:eastAsia="en-GB"/>
        </w:rPr>
        <w:lastRenderedPageBreak/>
        <w:t xml:space="preserve">Takasaki J, Manabe T, Morino E, Muto Y, Hashimoto M, </w:t>
      </w:r>
      <w:r w:rsidR="00CF05CB" w:rsidRPr="00882001">
        <w:rPr>
          <w:rFonts w:ascii="Times New Roman" w:hAnsi="Times New Roman" w:cs="Times New Roman"/>
          <w:sz w:val="24"/>
          <w:szCs w:val="24"/>
          <w:lang w:val="it-IT" w:eastAsia="en-GB"/>
        </w:rPr>
        <w:t xml:space="preserve">Iikura M et al. </w:t>
      </w:r>
      <w:r w:rsidR="00CF05CB" w:rsidRPr="00882001">
        <w:rPr>
          <w:rFonts w:ascii="Times New Roman" w:hAnsi="Times New Roman" w:cs="Times New Roman"/>
          <w:sz w:val="24"/>
          <w:szCs w:val="24"/>
          <w:lang w:eastAsia="en-GB"/>
        </w:rPr>
        <w:t>Sensitivity and specific</w:t>
      </w:r>
      <w:r w:rsidR="004D4BE0">
        <w:rPr>
          <w:rFonts w:ascii="Times New Roman" w:hAnsi="Times New Roman" w:cs="Times New Roman"/>
          <w:sz w:val="24"/>
          <w:szCs w:val="24"/>
          <w:lang w:eastAsia="en-GB"/>
        </w:rPr>
        <w:t>i</w:t>
      </w:r>
      <w:r w:rsidR="00CF05CB" w:rsidRPr="00882001">
        <w:rPr>
          <w:rFonts w:ascii="Times New Roman" w:hAnsi="Times New Roman" w:cs="Times New Roman"/>
          <w:sz w:val="24"/>
          <w:szCs w:val="24"/>
          <w:lang w:eastAsia="en-GB"/>
        </w:rPr>
        <w:t>ty of QuantiFERON-TB Gold Plus compared to QuantiFERON-TB Gold In-Tube and T-SPOT.TB on active tuberculosis in Japan. J Infect Chemother. 2018;24(3):188-192.</w:t>
      </w:r>
    </w:p>
    <w:p w14:paraId="3239A2A3" w14:textId="6274C218" w:rsidR="00873D1D" w:rsidRDefault="004F20BD" w:rsidP="00882001">
      <w:pPr>
        <w:pStyle w:val="ListParagraph"/>
        <w:numPr>
          <w:ilvl w:val="0"/>
          <w:numId w:val="14"/>
        </w:numPr>
        <w:spacing w:after="0" w:line="480" w:lineRule="auto"/>
        <w:jc w:val="both"/>
        <w:rPr>
          <w:rFonts w:ascii="Times New Roman" w:hAnsi="Times New Roman" w:cs="Times New Roman"/>
          <w:sz w:val="24"/>
          <w:szCs w:val="24"/>
          <w:lang w:val="it-IT" w:eastAsia="en-GB"/>
        </w:rPr>
      </w:pPr>
      <w:r w:rsidRPr="00882001">
        <w:rPr>
          <w:rFonts w:ascii="Times New Roman" w:hAnsi="Times New Roman" w:cs="Times New Roman"/>
          <w:sz w:val="24"/>
          <w:szCs w:val="24"/>
          <w:lang w:val="it-IT"/>
        </w:rPr>
        <w:t xml:space="preserve">Barcellini L, Borroni E, Brown J, Brunetti E, Codecasa L, Cugnata F, et al. </w:t>
      </w:r>
      <w:r w:rsidR="00873D1D" w:rsidRPr="00882001">
        <w:rPr>
          <w:rFonts w:ascii="Times New Roman" w:hAnsi="Times New Roman" w:cs="Times New Roman"/>
          <w:sz w:val="24"/>
          <w:szCs w:val="24"/>
        </w:rPr>
        <w:t>First independent evaluation of QuantiFERON-TB Plus</w:t>
      </w:r>
      <w:r w:rsidR="00873D1D" w:rsidRPr="00A227A2">
        <w:rPr>
          <w:rFonts w:ascii="Times New Roman" w:hAnsi="Times New Roman" w:cs="Times New Roman"/>
          <w:sz w:val="24"/>
          <w:szCs w:val="24"/>
        </w:rPr>
        <w:t xml:space="preserve"> performance. </w:t>
      </w:r>
      <w:r w:rsidR="00873D1D" w:rsidRPr="00A227A2">
        <w:rPr>
          <w:rFonts w:ascii="Times New Roman" w:hAnsi="Times New Roman" w:cs="Times New Roman"/>
          <w:sz w:val="24"/>
          <w:szCs w:val="24"/>
          <w:lang w:val="it-IT"/>
        </w:rPr>
        <w:t>Eur Respir J. 2016;47:1587-90.</w:t>
      </w:r>
    </w:p>
    <w:p w14:paraId="202787D5" w14:textId="37C56ADB" w:rsidR="00D4284C" w:rsidRDefault="00D4284C" w:rsidP="001B1048">
      <w:pPr>
        <w:spacing w:after="0" w:line="360" w:lineRule="auto"/>
        <w:rPr>
          <w:rFonts w:ascii="Times New Roman" w:hAnsi="Times New Roman" w:cs="Times New Roman"/>
          <w:sz w:val="24"/>
          <w:szCs w:val="24"/>
        </w:rPr>
      </w:pPr>
    </w:p>
    <w:p w14:paraId="2BA13198" w14:textId="1B9FD09B" w:rsidR="0051234A" w:rsidRDefault="0051234A" w:rsidP="001B1048">
      <w:pPr>
        <w:spacing w:after="0" w:line="360" w:lineRule="auto"/>
        <w:rPr>
          <w:rFonts w:ascii="Times New Roman" w:hAnsi="Times New Roman" w:cs="Times New Roman"/>
          <w:sz w:val="24"/>
          <w:szCs w:val="24"/>
        </w:rPr>
      </w:pPr>
    </w:p>
    <w:p w14:paraId="5D1297C8" w14:textId="39E7430A" w:rsidR="0051234A" w:rsidRDefault="0051234A" w:rsidP="001B1048">
      <w:pPr>
        <w:spacing w:after="0" w:line="360" w:lineRule="auto"/>
        <w:rPr>
          <w:rFonts w:ascii="Times New Roman" w:hAnsi="Times New Roman" w:cs="Times New Roman"/>
          <w:sz w:val="24"/>
          <w:szCs w:val="24"/>
        </w:rPr>
      </w:pPr>
    </w:p>
    <w:p w14:paraId="7803B770" w14:textId="5B88F8A6" w:rsidR="0051234A" w:rsidRDefault="0051234A" w:rsidP="001B1048">
      <w:pPr>
        <w:spacing w:after="0" w:line="360" w:lineRule="auto"/>
        <w:rPr>
          <w:rFonts w:ascii="Times New Roman" w:hAnsi="Times New Roman" w:cs="Times New Roman"/>
          <w:sz w:val="24"/>
          <w:szCs w:val="24"/>
        </w:rPr>
      </w:pPr>
    </w:p>
    <w:p w14:paraId="30B7D48B" w14:textId="562EF73D" w:rsidR="0051234A" w:rsidRDefault="0051234A" w:rsidP="001B1048">
      <w:pPr>
        <w:spacing w:after="0" w:line="360" w:lineRule="auto"/>
        <w:rPr>
          <w:rFonts w:ascii="Times New Roman" w:hAnsi="Times New Roman" w:cs="Times New Roman"/>
          <w:sz w:val="24"/>
          <w:szCs w:val="24"/>
        </w:rPr>
      </w:pPr>
    </w:p>
    <w:p w14:paraId="62CFC895" w14:textId="24F0ACAB" w:rsidR="0051234A" w:rsidRDefault="0051234A" w:rsidP="001B1048">
      <w:pPr>
        <w:spacing w:after="0" w:line="360" w:lineRule="auto"/>
        <w:rPr>
          <w:rFonts w:ascii="Times New Roman" w:hAnsi="Times New Roman" w:cs="Times New Roman"/>
          <w:sz w:val="24"/>
          <w:szCs w:val="24"/>
        </w:rPr>
      </w:pPr>
    </w:p>
    <w:p w14:paraId="401CE0E8" w14:textId="498663B6" w:rsidR="0051234A" w:rsidRDefault="0051234A" w:rsidP="001B1048">
      <w:pPr>
        <w:spacing w:after="0" w:line="360" w:lineRule="auto"/>
        <w:rPr>
          <w:rFonts w:ascii="Times New Roman" w:hAnsi="Times New Roman" w:cs="Times New Roman"/>
          <w:sz w:val="24"/>
          <w:szCs w:val="24"/>
        </w:rPr>
      </w:pPr>
    </w:p>
    <w:p w14:paraId="43AC2545" w14:textId="3703662E" w:rsidR="0051234A" w:rsidRDefault="0051234A" w:rsidP="001B1048">
      <w:pPr>
        <w:spacing w:after="0" w:line="360" w:lineRule="auto"/>
        <w:rPr>
          <w:rFonts w:ascii="Times New Roman" w:hAnsi="Times New Roman" w:cs="Times New Roman"/>
          <w:sz w:val="24"/>
          <w:szCs w:val="24"/>
        </w:rPr>
      </w:pPr>
    </w:p>
    <w:p w14:paraId="1873C9C8" w14:textId="76F2C256" w:rsidR="0051234A" w:rsidRDefault="0051234A" w:rsidP="001B1048">
      <w:pPr>
        <w:spacing w:after="0" w:line="360" w:lineRule="auto"/>
        <w:rPr>
          <w:rFonts w:ascii="Times New Roman" w:hAnsi="Times New Roman" w:cs="Times New Roman"/>
          <w:sz w:val="24"/>
          <w:szCs w:val="24"/>
        </w:rPr>
      </w:pPr>
    </w:p>
    <w:p w14:paraId="5A164BAF" w14:textId="5D67A4E6" w:rsidR="0051234A" w:rsidRDefault="0051234A" w:rsidP="001B1048">
      <w:pPr>
        <w:spacing w:after="0" w:line="360" w:lineRule="auto"/>
        <w:rPr>
          <w:rFonts w:ascii="Times New Roman" w:hAnsi="Times New Roman" w:cs="Times New Roman"/>
          <w:sz w:val="24"/>
          <w:szCs w:val="24"/>
        </w:rPr>
      </w:pPr>
    </w:p>
    <w:p w14:paraId="6C2DFA72" w14:textId="1FF97EC3" w:rsidR="0051234A" w:rsidRDefault="0051234A" w:rsidP="001B1048">
      <w:pPr>
        <w:spacing w:after="0" w:line="360" w:lineRule="auto"/>
        <w:rPr>
          <w:rFonts w:ascii="Times New Roman" w:hAnsi="Times New Roman" w:cs="Times New Roman"/>
          <w:sz w:val="24"/>
          <w:szCs w:val="24"/>
        </w:rPr>
      </w:pPr>
    </w:p>
    <w:p w14:paraId="4180D023" w14:textId="18C2B22B" w:rsidR="0051234A" w:rsidRDefault="0051234A" w:rsidP="001B1048">
      <w:pPr>
        <w:spacing w:after="0" w:line="360" w:lineRule="auto"/>
        <w:rPr>
          <w:rFonts w:ascii="Times New Roman" w:hAnsi="Times New Roman" w:cs="Times New Roman"/>
          <w:sz w:val="24"/>
          <w:szCs w:val="24"/>
        </w:rPr>
      </w:pPr>
    </w:p>
    <w:p w14:paraId="0039E9DA" w14:textId="61791338" w:rsidR="0051234A" w:rsidRDefault="0051234A" w:rsidP="001B1048">
      <w:pPr>
        <w:spacing w:after="0" w:line="360" w:lineRule="auto"/>
        <w:rPr>
          <w:rFonts w:ascii="Times New Roman" w:hAnsi="Times New Roman" w:cs="Times New Roman"/>
          <w:sz w:val="24"/>
          <w:szCs w:val="24"/>
        </w:rPr>
      </w:pPr>
    </w:p>
    <w:p w14:paraId="7CE33717" w14:textId="1A3EBAE8" w:rsidR="00B15969" w:rsidRDefault="00B15969" w:rsidP="001B1048">
      <w:pPr>
        <w:spacing w:after="0" w:line="360" w:lineRule="auto"/>
        <w:rPr>
          <w:rFonts w:ascii="Times New Roman" w:hAnsi="Times New Roman" w:cs="Times New Roman"/>
          <w:sz w:val="24"/>
          <w:szCs w:val="24"/>
        </w:rPr>
      </w:pPr>
    </w:p>
    <w:p w14:paraId="739514B2" w14:textId="6C264FB3" w:rsidR="00B15969" w:rsidRDefault="00B15969" w:rsidP="001B1048">
      <w:pPr>
        <w:spacing w:after="0" w:line="360" w:lineRule="auto"/>
        <w:rPr>
          <w:rFonts w:ascii="Times New Roman" w:hAnsi="Times New Roman" w:cs="Times New Roman"/>
          <w:sz w:val="24"/>
          <w:szCs w:val="24"/>
        </w:rPr>
      </w:pPr>
    </w:p>
    <w:p w14:paraId="14CC8482" w14:textId="20B8888D" w:rsidR="00B15969" w:rsidRDefault="00B15969" w:rsidP="001B1048">
      <w:pPr>
        <w:spacing w:after="0" w:line="360" w:lineRule="auto"/>
        <w:rPr>
          <w:rFonts w:ascii="Times New Roman" w:hAnsi="Times New Roman" w:cs="Times New Roman"/>
          <w:sz w:val="24"/>
          <w:szCs w:val="24"/>
        </w:rPr>
      </w:pPr>
    </w:p>
    <w:p w14:paraId="625B5AE5" w14:textId="50A923AB" w:rsidR="00B15969" w:rsidRDefault="00B15969" w:rsidP="001B1048">
      <w:pPr>
        <w:spacing w:after="0" w:line="360" w:lineRule="auto"/>
        <w:rPr>
          <w:rFonts w:ascii="Times New Roman" w:hAnsi="Times New Roman" w:cs="Times New Roman"/>
          <w:sz w:val="24"/>
          <w:szCs w:val="24"/>
        </w:rPr>
      </w:pPr>
    </w:p>
    <w:p w14:paraId="03CA36BC" w14:textId="6D424DB5" w:rsidR="00B15969" w:rsidRDefault="00B15969" w:rsidP="001B1048">
      <w:pPr>
        <w:spacing w:after="0" w:line="360" w:lineRule="auto"/>
        <w:rPr>
          <w:rFonts w:ascii="Times New Roman" w:hAnsi="Times New Roman" w:cs="Times New Roman"/>
          <w:sz w:val="24"/>
          <w:szCs w:val="24"/>
        </w:rPr>
      </w:pPr>
    </w:p>
    <w:p w14:paraId="23AC010E" w14:textId="705B30A5" w:rsidR="00B15969" w:rsidRDefault="00B15969" w:rsidP="001B1048">
      <w:pPr>
        <w:spacing w:after="0" w:line="360" w:lineRule="auto"/>
        <w:rPr>
          <w:rFonts w:ascii="Times New Roman" w:hAnsi="Times New Roman" w:cs="Times New Roman"/>
          <w:sz w:val="24"/>
          <w:szCs w:val="24"/>
        </w:rPr>
      </w:pPr>
    </w:p>
    <w:p w14:paraId="75662D5D" w14:textId="364606F3" w:rsidR="00B15969" w:rsidRDefault="00B15969" w:rsidP="001B1048">
      <w:pPr>
        <w:spacing w:after="0" w:line="360" w:lineRule="auto"/>
        <w:rPr>
          <w:rFonts w:ascii="Times New Roman" w:hAnsi="Times New Roman" w:cs="Times New Roman"/>
          <w:sz w:val="24"/>
          <w:szCs w:val="24"/>
        </w:rPr>
      </w:pPr>
    </w:p>
    <w:p w14:paraId="37855DE3" w14:textId="77777777" w:rsidR="00B15969" w:rsidRDefault="00B15969" w:rsidP="001B1048">
      <w:pPr>
        <w:spacing w:after="0" w:line="360" w:lineRule="auto"/>
        <w:rPr>
          <w:rFonts w:ascii="Times New Roman" w:hAnsi="Times New Roman" w:cs="Times New Roman"/>
          <w:sz w:val="24"/>
          <w:szCs w:val="24"/>
        </w:rPr>
      </w:pPr>
    </w:p>
    <w:p w14:paraId="30A44582" w14:textId="45959E1A" w:rsidR="0051234A" w:rsidRDefault="0051234A" w:rsidP="001B1048">
      <w:pPr>
        <w:spacing w:after="0" w:line="360" w:lineRule="auto"/>
        <w:rPr>
          <w:rFonts w:ascii="Times New Roman" w:hAnsi="Times New Roman" w:cs="Times New Roman"/>
          <w:sz w:val="24"/>
          <w:szCs w:val="24"/>
        </w:rPr>
      </w:pPr>
    </w:p>
    <w:p w14:paraId="17DF322D" w14:textId="247BB225" w:rsidR="0051234A" w:rsidRDefault="0051234A" w:rsidP="001B1048">
      <w:pPr>
        <w:spacing w:after="0" w:line="360" w:lineRule="auto"/>
        <w:rPr>
          <w:rFonts w:ascii="Times New Roman" w:hAnsi="Times New Roman" w:cs="Times New Roman"/>
          <w:sz w:val="24"/>
          <w:szCs w:val="24"/>
        </w:rPr>
      </w:pPr>
    </w:p>
    <w:p w14:paraId="386DE8D8" w14:textId="5C5360A5" w:rsidR="0051234A" w:rsidRDefault="0051234A" w:rsidP="001B1048">
      <w:pPr>
        <w:spacing w:after="0" w:line="360" w:lineRule="auto"/>
        <w:rPr>
          <w:rFonts w:ascii="Times New Roman" w:hAnsi="Times New Roman" w:cs="Times New Roman"/>
          <w:sz w:val="24"/>
          <w:szCs w:val="24"/>
        </w:rPr>
      </w:pPr>
    </w:p>
    <w:p w14:paraId="2ACAACB7" w14:textId="058CC263" w:rsidR="008E5953" w:rsidRPr="0070258D" w:rsidRDefault="008E5953">
      <w:pPr>
        <w:pStyle w:val="Caption"/>
        <w:spacing w:after="0" w:line="360" w:lineRule="auto"/>
        <w:rPr>
          <w:rFonts w:cs="Times New Roman"/>
          <w:color w:val="auto"/>
          <w:sz w:val="20"/>
          <w:szCs w:val="24"/>
          <w:vertAlign w:val="superscript"/>
        </w:rPr>
      </w:pPr>
      <w:bookmarkStart w:id="2" w:name="_Toc449781067"/>
      <w:r w:rsidRPr="007562CB">
        <w:rPr>
          <w:rFonts w:cs="Times New Roman"/>
          <w:color w:val="auto"/>
          <w:sz w:val="20"/>
          <w:szCs w:val="24"/>
        </w:rPr>
        <w:lastRenderedPageBreak/>
        <w:t>Table 1</w:t>
      </w:r>
      <w:r w:rsidR="00796E65" w:rsidRPr="007562CB">
        <w:rPr>
          <w:rFonts w:cs="Times New Roman"/>
          <w:color w:val="auto"/>
          <w:sz w:val="20"/>
          <w:szCs w:val="24"/>
        </w:rPr>
        <w:t>:</w:t>
      </w:r>
      <w:r w:rsidRPr="007562CB">
        <w:rPr>
          <w:rFonts w:cs="Times New Roman"/>
          <w:color w:val="auto"/>
          <w:sz w:val="20"/>
          <w:szCs w:val="24"/>
        </w:rPr>
        <w:t xml:space="preserve"> </w:t>
      </w:r>
      <w:bookmarkEnd w:id="2"/>
      <w:r w:rsidR="00E736C7" w:rsidRPr="007562CB">
        <w:rPr>
          <w:rFonts w:cs="Times New Roman"/>
          <w:color w:val="auto"/>
          <w:sz w:val="20"/>
          <w:szCs w:val="24"/>
        </w:rPr>
        <w:t>Pre-defined criteria for case definitions and diagnostic categories</w:t>
      </w:r>
      <w:r w:rsidR="00E07DE0">
        <w:rPr>
          <w:rFonts w:cs="Times New Roman"/>
          <w:color w:val="auto"/>
          <w:sz w:val="20"/>
          <w:szCs w:val="24"/>
        </w:rPr>
        <w:t>.</w:t>
      </w:r>
      <w:r w:rsidR="00294D0B">
        <w:rPr>
          <w:rFonts w:cs="Times New Roman"/>
          <w:color w:val="auto"/>
          <w:sz w:val="20"/>
          <w:szCs w:val="24"/>
          <w:vertAlign w:val="superscript"/>
        </w:rPr>
        <w:t>1</w:t>
      </w:r>
    </w:p>
    <w:tbl>
      <w:tblPr>
        <w:tblStyle w:val="TableGrid"/>
        <w:tblW w:w="89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53"/>
        <w:gridCol w:w="4536"/>
        <w:gridCol w:w="1275"/>
      </w:tblGrid>
      <w:tr w:rsidR="008E5953" w:rsidRPr="00957E32" w14:paraId="40848AF1" w14:textId="77777777" w:rsidTr="004872E9">
        <w:tc>
          <w:tcPr>
            <w:tcW w:w="3153" w:type="dxa"/>
            <w:tcBorders>
              <w:top w:val="single" w:sz="12" w:space="0" w:color="auto"/>
              <w:left w:val="nil"/>
              <w:bottom w:val="single" w:sz="4" w:space="0" w:color="auto"/>
              <w:right w:val="nil"/>
            </w:tcBorders>
            <w:hideMark/>
          </w:tcPr>
          <w:p w14:paraId="3C50A03A" w14:textId="5DCAB1F2" w:rsidR="008E5953" w:rsidRPr="003F6BA0" w:rsidRDefault="008E5953">
            <w:pPr>
              <w:spacing w:line="360" w:lineRule="auto"/>
              <w:rPr>
                <w:rFonts w:ascii="Times New Roman" w:hAnsi="Times New Roman" w:cs="Times New Roman"/>
                <w:b/>
                <w:sz w:val="20"/>
                <w:szCs w:val="24"/>
                <w:vertAlign w:val="superscript"/>
              </w:rPr>
            </w:pPr>
            <w:r w:rsidRPr="00A227A2">
              <w:rPr>
                <w:rFonts w:ascii="Times New Roman" w:hAnsi="Times New Roman" w:cs="Times New Roman"/>
                <w:b/>
                <w:sz w:val="20"/>
                <w:szCs w:val="24"/>
              </w:rPr>
              <w:t>Diagnostic category</w:t>
            </w:r>
          </w:p>
        </w:tc>
        <w:tc>
          <w:tcPr>
            <w:tcW w:w="4536" w:type="dxa"/>
            <w:tcBorders>
              <w:top w:val="single" w:sz="12" w:space="0" w:color="auto"/>
              <w:left w:val="nil"/>
              <w:bottom w:val="single" w:sz="4" w:space="0" w:color="auto"/>
              <w:right w:val="nil"/>
            </w:tcBorders>
            <w:hideMark/>
          </w:tcPr>
          <w:p w14:paraId="7C1FB04D" w14:textId="77777777" w:rsidR="008E5953" w:rsidRPr="00A227A2" w:rsidRDefault="008E5953">
            <w:pPr>
              <w:spacing w:line="360" w:lineRule="auto"/>
              <w:rPr>
                <w:rFonts w:ascii="Times New Roman" w:hAnsi="Times New Roman" w:cs="Times New Roman"/>
                <w:b/>
                <w:sz w:val="20"/>
                <w:szCs w:val="24"/>
              </w:rPr>
            </w:pPr>
            <w:r w:rsidRPr="00A227A2">
              <w:rPr>
                <w:rFonts w:ascii="Times New Roman" w:hAnsi="Times New Roman" w:cs="Times New Roman"/>
                <w:b/>
                <w:sz w:val="20"/>
                <w:szCs w:val="24"/>
              </w:rPr>
              <w:t>Criteria</w:t>
            </w:r>
          </w:p>
        </w:tc>
        <w:tc>
          <w:tcPr>
            <w:tcW w:w="1275" w:type="dxa"/>
            <w:tcBorders>
              <w:top w:val="single" w:sz="12" w:space="0" w:color="auto"/>
              <w:left w:val="nil"/>
              <w:bottom w:val="single" w:sz="4" w:space="0" w:color="auto"/>
              <w:right w:val="nil"/>
            </w:tcBorders>
            <w:hideMark/>
          </w:tcPr>
          <w:p w14:paraId="66BB7501" w14:textId="77777777" w:rsidR="008E5953" w:rsidRPr="00A227A2" w:rsidRDefault="008E5953">
            <w:pPr>
              <w:spacing w:line="360" w:lineRule="auto"/>
              <w:rPr>
                <w:rFonts w:ascii="Times New Roman" w:hAnsi="Times New Roman" w:cs="Times New Roman"/>
                <w:b/>
                <w:sz w:val="20"/>
                <w:szCs w:val="24"/>
              </w:rPr>
            </w:pPr>
            <w:r w:rsidRPr="00A227A2">
              <w:rPr>
                <w:rFonts w:ascii="Times New Roman" w:hAnsi="Times New Roman" w:cs="Times New Roman"/>
                <w:b/>
                <w:sz w:val="20"/>
                <w:szCs w:val="24"/>
              </w:rPr>
              <w:t>Number of Patients</w:t>
            </w:r>
          </w:p>
        </w:tc>
      </w:tr>
      <w:tr w:rsidR="008E5953" w:rsidRPr="00957E32" w14:paraId="1AAB141F" w14:textId="77777777" w:rsidTr="004872E9">
        <w:tc>
          <w:tcPr>
            <w:tcW w:w="3153" w:type="dxa"/>
            <w:tcBorders>
              <w:top w:val="single" w:sz="4" w:space="0" w:color="auto"/>
              <w:left w:val="nil"/>
              <w:bottom w:val="nil"/>
              <w:right w:val="nil"/>
            </w:tcBorders>
            <w:hideMark/>
          </w:tcPr>
          <w:p w14:paraId="37D328C0" w14:textId="4B92CBFF" w:rsidR="008E5953" w:rsidRPr="001A64BE" w:rsidRDefault="008E5953">
            <w:pPr>
              <w:spacing w:line="360" w:lineRule="auto"/>
              <w:rPr>
                <w:rFonts w:ascii="Times New Roman" w:hAnsi="Times New Roman" w:cs="Times New Roman"/>
                <w:sz w:val="20"/>
                <w:szCs w:val="24"/>
                <w:vertAlign w:val="superscript"/>
              </w:rPr>
            </w:pPr>
            <w:r w:rsidRPr="00A227A2">
              <w:rPr>
                <w:rFonts w:ascii="Times New Roman" w:hAnsi="Times New Roman" w:cs="Times New Roman"/>
                <w:sz w:val="20"/>
                <w:szCs w:val="24"/>
              </w:rPr>
              <w:t xml:space="preserve">1: </w:t>
            </w:r>
            <w:r w:rsidR="00BD038C" w:rsidRPr="00A227A2">
              <w:rPr>
                <w:rFonts w:ascii="Times New Roman" w:hAnsi="Times New Roman" w:cs="Times New Roman"/>
                <w:sz w:val="20"/>
                <w:szCs w:val="24"/>
              </w:rPr>
              <w:t>Culture-confirmed</w:t>
            </w:r>
            <w:r w:rsidRPr="00A227A2">
              <w:rPr>
                <w:rFonts w:ascii="Times New Roman" w:hAnsi="Times New Roman" w:cs="Times New Roman"/>
                <w:sz w:val="20"/>
                <w:szCs w:val="24"/>
              </w:rPr>
              <w:t xml:space="preserve"> </w:t>
            </w:r>
            <w:proofErr w:type="spellStart"/>
            <w:r w:rsidRPr="00A227A2">
              <w:rPr>
                <w:rFonts w:ascii="Times New Roman" w:hAnsi="Times New Roman" w:cs="Times New Roman"/>
                <w:sz w:val="20"/>
                <w:szCs w:val="24"/>
              </w:rPr>
              <w:t>TB</w:t>
            </w:r>
            <w:r w:rsidR="00294D0B">
              <w:rPr>
                <w:rFonts w:ascii="Times New Roman" w:hAnsi="Times New Roman" w:cs="Times New Roman"/>
                <w:sz w:val="20"/>
                <w:szCs w:val="24"/>
                <w:vertAlign w:val="superscript"/>
              </w:rPr>
              <w:t>a</w:t>
            </w:r>
            <w:proofErr w:type="spellEnd"/>
          </w:p>
        </w:tc>
        <w:tc>
          <w:tcPr>
            <w:tcW w:w="4536" w:type="dxa"/>
            <w:tcBorders>
              <w:top w:val="single" w:sz="4" w:space="0" w:color="auto"/>
              <w:left w:val="nil"/>
              <w:bottom w:val="nil"/>
              <w:right w:val="nil"/>
            </w:tcBorders>
            <w:hideMark/>
          </w:tcPr>
          <w:p w14:paraId="3ACF287D" w14:textId="77777777" w:rsidR="008E5953" w:rsidRPr="00A227A2" w:rsidRDefault="008E5953">
            <w:pPr>
              <w:autoSpaceDE w:val="0"/>
              <w:autoSpaceDN w:val="0"/>
              <w:adjustRightInd w:val="0"/>
              <w:spacing w:line="360" w:lineRule="auto"/>
              <w:rPr>
                <w:rFonts w:ascii="Times New Roman" w:hAnsi="Times New Roman" w:cs="Times New Roman"/>
                <w:sz w:val="20"/>
                <w:szCs w:val="24"/>
              </w:rPr>
            </w:pPr>
            <w:r w:rsidRPr="00A227A2">
              <w:rPr>
                <w:rFonts w:ascii="Times New Roman" w:hAnsi="Times New Roman" w:cs="Times New Roman"/>
                <w:sz w:val="20"/>
                <w:szCs w:val="24"/>
              </w:rPr>
              <w:t>Microbiological culture of M. tuberculosis, AND suggestive clinical and radiological findings.</w:t>
            </w:r>
          </w:p>
        </w:tc>
        <w:tc>
          <w:tcPr>
            <w:tcW w:w="1275" w:type="dxa"/>
            <w:tcBorders>
              <w:top w:val="single" w:sz="4" w:space="0" w:color="auto"/>
              <w:left w:val="nil"/>
              <w:bottom w:val="nil"/>
              <w:right w:val="nil"/>
            </w:tcBorders>
            <w:hideMark/>
          </w:tcPr>
          <w:p w14:paraId="38511BFA" w14:textId="77777777" w:rsidR="008E5953" w:rsidRPr="00A227A2" w:rsidRDefault="008E5953">
            <w:pPr>
              <w:spacing w:line="360" w:lineRule="auto"/>
              <w:rPr>
                <w:rFonts w:ascii="Times New Roman" w:hAnsi="Times New Roman" w:cs="Times New Roman"/>
                <w:sz w:val="20"/>
                <w:szCs w:val="24"/>
              </w:rPr>
            </w:pPr>
            <w:r w:rsidRPr="00A227A2">
              <w:rPr>
                <w:rFonts w:ascii="Times New Roman" w:hAnsi="Times New Roman" w:cs="Times New Roman"/>
                <w:sz w:val="20"/>
                <w:szCs w:val="24"/>
              </w:rPr>
              <w:t>261</w:t>
            </w:r>
          </w:p>
        </w:tc>
      </w:tr>
      <w:tr w:rsidR="008E5953" w:rsidRPr="00957E32" w14:paraId="64A497D8" w14:textId="77777777" w:rsidTr="004872E9">
        <w:tc>
          <w:tcPr>
            <w:tcW w:w="3153" w:type="dxa"/>
            <w:hideMark/>
          </w:tcPr>
          <w:p w14:paraId="302FBBFC" w14:textId="3F45A94C" w:rsidR="008E5953" w:rsidRPr="00A227A2" w:rsidRDefault="008E5953">
            <w:pPr>
              <w:spacing w:line="360" w:lineRule="auto"/>
              <w:rPr>
                <w:rFonts w:ascii="Times New Roman" w:hAnsi="Times New Roman" w:cs="Times New Roman"/>
                <w:sz w:val="20"/>
                <w:szCs w:val="24"/>
              </w:rPr>
            </w:pPr>
            <w:r w:rsidRPr="00A227A2">
              <w:rPr>
                <w:rFonts w:ascii="Times New Roman" w:hAnsi="Times New Roman" w:cs="Times New Roman"/>
                <w:sz w:val="20"/>
                <w:szCs w:val="24"/>
              </w:rPr>
              <w:t xml:space="preserve">2: </w:t>
            </w:r>
            <w:r w:rsidR="00BD038C" w:rsidRPr="00A227A2">
              <w:rPr>
                <w:rFonts w:ascii="Times New Roman" w:hAnsi="Times New Roman" w:cs="Times New Roman"/>
                <w:sz w:val="20"/>
                <w:szCs w:val="24"/>
              </w:rPr>
              <w:t>Highly-probable</w:t>
            </w:r>
            <w:r w:rsidRPr="00A227A2">
              <w:rPr>
                <w:rFonts w:ascii="Times New Roman" w:hAnsi="Times New Roman" w:cs="Times New Roman"/>
                <w:sz w:val="20"/>
                <w:szCs w:val="24"/>
              </w:rPr>
              <w:t xml:space="preserve"> </w:t>
            </w:r>
            <w:proofErr w:type="spellStart"/>
            <w:r w:rsidRPr="00A227A2">
              <w:rPr>
                <w:rFonts w:ascii="Times New Roman" w:hAnsi="Times New Roman" w:cs="Times New Roman"/>
                <w:sz w:val="20"/>
                <w:szCs w:val="24"/>
              </w:rPr>
              <w:t>TB</w:t>
            </w:r>
            <w:r w:rsidR="00294D0B">
              <w:rPr>
                <w:rFonts w:ascii="Times New Roman" w:hAnsi="Times New Roman" w:cs="Times New Roman"/>
                <w:sz w:val="20"/>
                <w:szCs w:val="24"/>
                <w:vertAlign w:val="superscript"/>
              </w:rPr>
              <w:t>a</w:t>
            </w:r>
            <w:proofErr w:type="spellEnd"/>
          </w:p>
        </w:tc>
        <w:tc>
          <w:tcPr>
            <w:tcW w:w="4536" w:type="dxa"/>
            <w:hideMark/>
          </w:tcPr>
          <w:p w14:paraId="324B7A67" w14:textId="77777777" w:rsidR="008E5953" w:rsidRPr="00A227A2" w:rsidRDefault="008E5953">
            <w:pPr>
              <w:autoSpaceDE w:val="0"/>
              <w:autoSpaceDN w:val="0"/>
              <w:adjustRightInd w:val="0"/>
              <w:spacing w:line="360" w:lineRule="auto"/>
              <w:rPr>
                <w:rFonts w:ascii="Times New Roman" w:hAnsi="Times New Roman" w:cs="Times New Roman"/>
                <w:sz w:val="20"/>
                <w:szCs w:val="24"/>
              </w:rPr>
            </w:pPr>
            <w:r w:rsidRPr="00A227A2">
              <w:rPr>
                <w:rFonts w:ascii="Times New Roman" w:hAnsi="Times New Roman" w:cs="Times New Roman"/>
                <w:sz w:val="20"/>
                <w:szCs w:val="24"/>
              </w:rPr>
              <w:t xml:space="preserve">Clinical and radiological features highly suggestive of TB unlikely to be caused by other disease, AND </w:t>
            </w:r>
            <w:r w:rsidRPr="00A227A2">
              <w:rPr>
                <w:rFonts w:ascii="Times New Roman" w:hAnsi="Times New Roman" w:cs="Times New Roman"/>
                <w:bCs/>
                <w:sz w:val="20"/>
                <w:szCs w:val="24"/>
              </w:rPr>
              <w:t>a</w:t>
            </w:r>
            <w:r w:rsidRPr="00A227A2">
              <w:rPr>
                <w:rFonts w:ascii="Times New Roman" w:hAnsi="Times New Roman" w:cs="Times New Roman"/>
                <w:sz w:val="20"/>
                <w:szCs w:val="24"/>
              </w:rPr>
              <w:t xml:space="preserve"> decision to treat made by a clinician, AND appropriate response to therapy, AND histology supportive if available.</w:t>
            </w:r>
          </w:p>
        </w:tc>
        <w:tc>
          <w:tcPr>
            <w:tcW w:w="1275" w:type="dxa"/>
            <w:hideMark/>
          </w:tcPr>
          <w:p w14:paraId="14A3A2AE" w14:textId="77777777" w:rsidR="008E5953" w:rsidRPr="00A227A2" w:rsidRDefault="008E5953">
            <w:pPr>
              <w:spacing w:line="360" w:lineRule="auto"/>
              <w:rPr>
                <w:rFonts w:ascii="Times New Roman" w:hAnsi="Times New Roman" w:cs="Times New Roman"/>
                <w:sz w:val="20"/>
                <w:szCs w:val="24"/>
              </w:rPr>
            </w:pPr>
            <w:r w:rsidRPr="00A227A2">
              <w:rPr>
                <w:rFonts w:ascii="Times New Roman" w:hAnsi="Times New Roman" w:cs="Times New Roman"/>
                <w:sz w:val="20"/>
                <w:szCs w:val="24"/>
              </w:rPr>
              <w:t>102</w:t>
            </w:r>
          </w:p>
        </w:tc>
      </w:tr>
      <w:tr w:rsidR="008E5953" w:rsidRPr="00957E32" w14:paraId="673F08D7" w14:textId="77777777" w:rsidTr="004872E9">
        <w:tc>
          <w:tcPr>
            <w:tcW w:w="3153" w:type="dxa"/>
            <w:hideMark/>
          </w:tcPr>
          <w:p w14:paraId="196220DF" w14:textId="77777777" w:rsidR="008E5953" w:rsidRPr="00A227A2" w:rsidRDefault="008E5953">
            <w:pPr>
              <w:spacing w:line="360" w:lineRule="auto"/>
              <w:rPr>
                <w:rFonts w:ascii="Times New Roman" w:hAnsi="Times New Roman" w:cs="Times New Roman"/>
                <w:sz w:val="20"/>
                <w:szCs w:val="24"/>
              </w:rPr>
            </w:pPr>
            <w:r w:rsidRPr="00A227A2">
              <w:rPr>
                <w:rFonts w:ascii="Times New Roman" w:hAnsi="Times New Roman" w:cs="Times New Roman"/>
                <w:sz w:val="20"/>
                <w:szCs w:val="24"/>
              </w:rPr>
              <w:t>3: Clinically indeterminate</w:t>
            </w:r>
          </w:p>
        </w:tc>
        <w:tc>
          <w:tcPr>
            <w:tcW w:w="4536" w:type="dxa"/>
            <w:hideMark/>
          </w:tcPr>
          <w:p w14:paraId="6493D7F6" w14:textId="7D9EA434" w:rsidR="008E5953" w:rsidRPr="00A227A2" w:rsidRDefault="008E5953">
            <w:pPr>
              <w:spacing w:line="360" w:lineRule="auto"/>
              <w:rPr>
                <w:rFonts w:ascii="Times New Roman" w:hAnsi="Times New Roman" w:cs="Times New Roman"/>
                <w:sz w:val="20"/>
                <w:szCs w:val="24"/>
              </w:rPr>
            </w:pPr>
            <w:r w:rsidRPr="00A227A2">
              <w:rPr>
                <w:rFonts w:ascii="Times New Roman" w:hAnsi="Times New Roman" w:cs="Times New Roman"/>
                <w:sz w:val="20"/>
                <w:szCs w:val="24"/>
              </w:rPr>
              <w:t xml:space="preserve">Final diagnosis of TB neither </w:t>
            </w:r>
            <w:r w:rsidR="00BD038C" w:rsidRPr="00A227A2">
              <w:rPr>
                <w:rFonts w:ascii="Times New Roman" w:hAnsi="Times New Roman" w:cs="Times New Roman"/>
                <w:sz w:val="20"/>
                <w:szCs w:val="24"/>
              </w:rPr>
              <w:t>highly-probable</w:t>
            </w:r>
            <w:r w:rsidRPr="00A227A2">
              <w:rPr>
                <w:rFonts w:ascii="Times New Roman" w:hAnsi="Times New Roman" w:cs="Times New Roman"/>
                <w:sz w:val="20"/>
                <w:szCs w:val="24"/>
              </w:rPr>
              <w:t>, nor reliably excluded.</w:t>
            </w:r>
          </w:p>
        </w:tc>
        <w:tc>
          <w:tcPr>
            <w:tcW w:w="1275" w:type="dxa"/>
            <w:hideMark/>
          </w:tcPr>
          <w:p w14:paraId="16D0E71D" w14:textId="77777777" w:rsidR="008E5953" w:rsidRPr="00A227A2" w:rsidRDefault="008E5953">
            <w:pPr>
              <w:spacing w:line="360" w:lineRule="auto"/>
              <w:rPr>
                <w:rFonts w:ascii="Times New Roman" w:hAnsi="Times New Roman" w:cs="Times New Roman"/>
                <w:sz w:val="20"/>
                <w:szCs w:val="24"/>
              </w:rPr>
            </w:pPr>
            <w:r w:rsidRPr="00A227A2">
              <w:rPr>
                <w:rFonts w:ascii="Times New Roman" w:hAnsi="Times New Roman" w:cs="Times New Roman"/>
                <w:sz w:val="20"/>
                <w:szCs w:val="24"/>
              </w:rPr>
              <w:t>43</w:t>
            </w:r>
          </w:p>
        </w:tc>
      </w:tr>
      <w:tr w:rsidR="008E5953" w:rsidRPr="00957E32" w14:paraId="138946D7" w14:textId="77777777" w:rsidTr="004872E9">
        <w:tc>
          <w:tcPr>
            <w:tcW w:w="3153" w:type="dxa"/>
            <w:hideMark/>
          </w:tcPr>
          <w:p w14:paraId="784320FB" w14:textId="77777777" w:rsidR="008E5953" w:rsidRPr="00A227A2" w:rsidRDefault="008E5953">
            <w:pPr>
              <w:spacing w:line="360" w:lineRule="auto"/>
              <w:rPr>
                <w:rFonts w:ascii="Times New Roman" w:hAnsi="Times New Roman" w:cs="Times New Roman"/>
                <w:sz w:val="20"/>
                <w:szCs w:val="24"/>
              </w:rPr>
            </w:pPr>
            <w:r w:rsidRPr="00A227A2">
              <w:rPr>
                <w:rFonts w:ascii="Times New Roman" w:hAnsi="Times New Roman" w:cs="Times New Roman"/>
                <w:sz w:val="20"/>
                <w:szCs w:val="24"/>
              </w:rPr>
              <w:t>4: Active TB excluded</w:t>
            </w:r>
          </w:p>
        </w:tc>
        <w:tc>
          <w:tcPr>
            <w:tcW w:w="4536" w:type="dxa"/>
          </w:tcPr>
          <w:p w14:paraId="42552735" w14:textId="77777777" w:rsidR="008E5953" w:rsidRPr="00A227A2" w:rsidRDefault="008E5953">
            <w:pPr>
              <w:spacing w:line="360" w:lineRule="auto"/>
              <w:rPr>
                <w:rFonts w:ascii="Times New Roman" w:hAnsi="Times New Roman" w:cs="Times New Roman"/>
                <w:sz w:val="20"/>
                <w:szCs w:val="24"/>
              </w:rPr>
            </w:pPr>
          </w:p>
        </w:tc>
        <w:tc>
          <w:tcPr>
            <w:tcW w:w="1275" w:type="dxa"/>
          </w:tcPr>
          <w:p w14:paraId="57CDF6FE" w14:textId="77777777" w:rsidR="008E5953" w:rsidRPr="00A227A2" w:rsidRDefault="008E5953">
            <w:pPr>
              <w:spacing w:line="360" w:lineRule="auto"/>
              <w:rPr>
                <w:rFonts w:ascii="Times New Roman" w:hAnsi="Times New Roman" w:cs="Times New Roman"/>
                <w:sz w:val="20"/>
                <w:szCs w:val="24"/>
              </w:rPr>
            </w:pPr>
          </w:p>
        </w:tc>
      </w:tr>
      <w:tr w:rsidR="008E5953" w:rsidRPr="00957E32" w14:paraId="28DD8C1A" w14:textId="77777777" w:rsidTr="004872E9">
        <w:tc>
          <w:tcPr>
            <w:tcW w:w="3153" w:type="dxa"/>
            <w:hideMark/>
          </w:tcPr>
          <w:p w14:paraId="146F7469" w14:textId="77777777" w:rsidR="008E5953" w:rsidRPr="00A227A2" w:rsidRDefault="008E5953">
            <w:pPr>
              <w:spacing w:line="360" w:lineRule="auto"/>
              <w:rPr>
                <w:rFonts w:ascii="Times New Roman" w:hAnsi="Times New Roman" w:cs="Times New Roman"/>
                <w:sz w:val="20"/>
                <w:szCs w:val="24"/>
              </w:rPr>
            </w:pPr>
            <w:r w:rsidRPr="00A227A2">
              <w:rPr>
                <w:rFonts w:ascii="Times New Roman" w:hAnsi="Times New Roman" w:cs="Times New Roman"/>
                <w:sz w:val="20"/>
                <w:szCs w:val="24"/>
              </w:rPr>
              <w:t>Sub-classification</w:t>
            </w:r>
          </w:p>
        </w:tc>
        <w:tc>
          <w:tcPr>
            <w:tcW w:w="4536" w:type="dxa"/>
          </w:tcPr>
          <w:p w14:paraId="12D18C81" w14:textId="77777777" w:rsidR="008E5953" w:rsidRPr="00A227A2" w:rsidRDefault="008E5953">
            <w:pPr>
              <w:autoSpaceDE w:val="0"/>
              <w:autoSpaceDN w:val="0"/>
              <w:adjustRightInd w:val="0"/>
              <w:spacing w:line="360" w:lineRule="auto"/>
              <w:rPr>
                <w:rFonts w:ascii="Times New Roman" w:hAnsi="Times New Roman" w:cs="Times New Roman"/>
                <w:sz w:val="20"/>
                <w:szCs w:val="24"/>
              </w:rPr>
            </w:pPr>
          </w:p>
        </w:tc>
        <w:tc>
          <w:tcPr>
            <w:tcW w:w="1275" w:type="dxa"/>
          </w:tcPr>
          <w:p w14:paraId="0C07F8B9" w14:textId="77777777" w:rsidR="008E5953" w:rsidRPr="00A227A2" w:rsidRDefault="008E5953">
            <w:pPr>
              <w:spacing w:line="360" w:lineRule="auto"/>
              <w:rPr>
                <w:rFonts w:ascii="Times New Roman" w:hAnsi="Times New Roman" w:cs="Times New Roman"/>
                <w:sz w:val="20"/>
                <w:szCs w:val="24"/>
              </w:rPr>
            </w:pPr>
          </w:p>
        </w:tc>
      </w:tr>
      <w:tr w:rsidR="008E5953" w:rsidRPr="00957E32" w14:paraId="0323541B" w14:textId="77777777" w:rsidTr="004872E9">
        <w:tc>
          <w:tcPr>
            <w:tcW w:w="3153" w:type="dxa"/>
            <w:hideMark/>
          </w:tcPr>
          <w:p w14:paraId="56549271" w14:textId="77777777" w:rsidR="008E5953" w:rsidRPr="00A227A2" w:rsidRDefault="008E5953">
            <w:pPr>
              <w:spacing w:line="360" w:lineRule="auto"/>
              <w:rPr>
                <w:rFonts w:ascii="Times New Roman" w:hAnsi="Times New Roman" w:cs="Times New Roman"/>
                <w:sz w:val="20"/>
                <w:szCs w:val="24"/>
              </w:rPr>
            </w:pPr>
            <w:r w:rsidRPr="00A227A2">
              <w:rPr>
                <w:rFonts w:ascii="Times New Roman" w:hAnsi="Times New Roman" w:cs="Times New Roman"/>
                <w:sz w:val="20"/>
                <w:szCs w:val="24"/>
              </w:rPr>
              <w:t xml:space="preserve">     4A: Inactive TB</w:t>
            </w:r>
          </w:p>
        </w:tc>
        <w:tc>
          <w:tcPr>
            <w:tcW w:w="4536" w:type="dxa"/>
            <w:hideMark/>
          </w:tcPr>
          <w:p w14:paraId="0582E075" w14:textId="44198BDF" w:rsidR="008E5953" w:rsidRPr="00A227A2" w:rsidRDefault="008E5953">
            <w:pPr>
              <w:autoSpaceDE w:val="0"/>
              <w:autoSpaceDN w:val="0"/>
              <w:adjustRightInd w:val="0"/>
              <w:spacing w:line="360" w:lineRule="auto"/>
              <w:rPr>
                <w:rFonts w:ascii="Times New Roman" w:hAnsi="Times New Roman" w:cs="Times New Roman"/>
                <w:sz w:val="20"/>
                <w:szCs w:val="24"/>
              </w:rPr>
            </w:pPr>
            <w:r w:rsidRPr="00A227A2">
              <w:rPr>
                <w:rFonts w:ascii="Times New Roman" w:hAnsi="Times New Roman" w:cs="Times New Roman"/>
                <w:sz w:val="20"/>
                <w:szCs w:val="24"/>
              </w:rPr>
              <w:t xml:space="preserve">Stable CXR changes, AND TST </w:t>
            </w:r>
            <w:proofErr w:type="spellStart"/>
            <w:r w:rsidRPr="00A227A2">
              <w:rPr>
                <w:rFonts w:ascii="Times New Roman" w:hAnsi="Times New Roman" w:cs="Times New Roman"/>
                <w:sz w:val="20"/>
                <w:szCs w:val="24"/>
              </w:rPr>
              <w:t>positive</w:t>
            </w:r>
            <w:r w:rsidR="00294D0B">
              <w:rPr>
                <w:rFonts w:ascii="Times New Roman" w:hAnsi="Times New Roman" w:cs="Times New Roman"/>
                <w:sz w:val="20"/>
                <w:szCs w:val="24"/>
                <w:vertAlign w:val="superscript"/>
              </w:rPr>
              <w:t>b</w:t>
            </w:r>
            <w:proofErr w:type="spellEnd"/>
            <w:r w:rsidRPr="00A227A2">
              <w:rPr>
                <w:rFonts w:ascii="Times New Roman" w:hAnsi="Times New Roman" w:cs="Times New Roman"/>
                <w:sz w:val="20"/>
                <w:szCs w:val="24"/>
              </w:rPr>
              <w:t xml:space="preserve"> (if done), AND bacteriologically negative (if done), AND no clinical evidence of active disease.</w:t>
            </w:r>
          </w:p>
        </w:tc>
        <w:tc>
          <w:tcPr>
            <w:tcW w:w="1275" w:type="dxa"/>
            <w:hideMark/>
          </w:tcPr>
          <w:p w14:paraId="08E98F18" w14:textId="77777777" w:rsidR="008E5953" w:rsidRPr="00A227A2" w:rsidRDefault="008E5953">
            <w:pPr>
              <w:spacing w:line="360" w:lineRule="auto"/>
              <w:rPr>
                <w:rFonts w:ascii="Times New Roman" w:hAnsi="Times New Roman" w:cs="Times New Roman"/>
                <w:sz w:val="20"/>
                <w:szCs w:val="24"/>
              </w:rPr>
            </w:pPr>
            <w:r w:rsidRPr="00A227A2">
              <w:rPr>
                <w:rFonts w:ascii="Times New Roman" w:hAnsi="Times New Roman" w:cs="Times New Roman"/>
                <w:sz w:val="20"/>
                <w:szCs w:val="24"/>
              </w:rPr>
              <w:t>7</w:t>
            </w:r>
          </w:p>
        </w:tc>
      </w:tr>
      <w:tr w:rsidR="008E5953" w:rsidRPr="00957E32" w14:paraId="4A8254E5" w14:textId="77777777" w:rsidTr="004872E9">
        <w:tc>
          <w:tcPr>
            <w:tcW w:w="3153" w:type="dxa"/>
            <w:hideMark/>
          </w:tcPr>
          <w:p w14:paraId="7D5E2EC0" w14:textId="622BAF15" w:rsidR="008E5953" w:rsidRPr="00A227A2" w:rsidRDefault="008E5953">
            <w:pPr>
              <w:spacing w:line="360" w:lineRule="auto"/>
              <w:ind w:left="601" w:hanging="601"/>
              <w:rPr>
                <w:rFonts w:ascii="Times New Roman" w:hAnsi="Times New Roman" w:cs="Times New Roman"/>
                <w:sz w:val="20"/>
                <w:szCs w:val="24"/>
              </w:rPr>
            </w:pPr>
            <w:r w:rsidRPr="00A227A2">
              <w:rPr>
                <w:rFonts w:ascii="Times New Roman" w:hAnsi="Times New Roman" w:cs="Times New Roman"/>
                <w:sz w:val="20"/>
                <w:szCs w:val="24"/>
              </w:rPr>
              <w:t xml:space="preserve">     4B:  One or more risk factors for TB </w:t>
            </w:r>
            <w:proofErr w:type="spellStart"/>
            <w:r w:rsidRPr="00A227A2">
              <w:rPr>
                <w:rFonts w:ascii="Times New Roman" w:hAnsi="Times New Roman" w:cs="Times New Roman"/>
                <w:sz w:val="20"/>
                <w:szCs w:val="24"/>
              </w:rPr>
              <w:t>exposure</w:t>
            </w:r>
            <w:r w:rsidR="00294D0B">
              <w:rPr>
                <w:rFonts w:ascii="Times New Roman" w:hAnsi="Times New Roman" w:cs="Times New Roman"/>
                <w:sz w:val="20"/>
                <w:szCs w:val="24"/>
                <w:vertAlign w:val="superscript"/>
              </w:rPr>
              <w:t>c</w:t>
            </w:r>
            <w:proofErr w:type="spellEnd"/>
            <w:r w:rsidRPr="00A227A2">
              <w:rPr>
                <w:rFonts w:ascii="Times New Roman" w:hAnsi="Times New Roman" w:cs="Times New Roman"/>
                <w:sz w:val="20"/>
                <w:szCs w:val="24"/>
              </w:rPr>
              <w:t xml:space="preserve">, TST </w:t>
            </w:r>
            <w:proofErr w:type="spellStart"/>
            <w:r w:rsidRPr="00A227A2">
              <w:rPr>
                <w:rFonts w:ascii="Times New Roman" w:hAnsi="Times New Roman" w:cs="Times New Roman"/>
                <w:sz w:val="20"/>
                <w:szCs w:val="24"/>
              </w:rPr>
              <w:t>positive</w:t>
            </w:r>
            <w:r w:rsidR="00294D0B">
              <w:rPr>
                <w:rFonts w:ascii="Times New Roman" w:hAnsi="Times New Roman" w:cs="Times New Roman"/>
                <w:sz w:val="20"/>
                <w:szCs w:val="24"/>
                <w:vertAlign w:val="superscript"/>
              </w:rPr>
              <w:t>b</w:t>
            </w:r>
            <w:proofErr w:type="spellEnd"/>
          </w:p>
        </w:tc>
        <w:tc>
          <w:tcPr>
            <w:tcW w:w="4536" w:type="dxa"/>
            <w:hideMark/>
          </w:tcPr>
          <w:p w14:paraId="21347CA2" w14:textId="40E892FE" w:rsidR="008E5953" w:rsidRPr="00A227A2" w:rsidRDefault="008E5953">
            <w:pPr>
              <w:autoSpaceDE w:val="0"/>
              <w:autoSpaceDN w:val="0"/>
              <w:adjustRightInd w:val="0"/>
              <w:spacing w:line="360" w:lineRule="auto"/>
              <w:rPr>
                <w:rFonts w:ascii="Times New Roman" w:hAnsi="Times New Roman" w:cs="Times New Roman"/>
                <w:sz w:val="20"/>
                <w:szCs w:val="24"/>
              </w:rPr>
            </w:pPr>
            <w:r w:rsidRPr="00A227A2">
              <w:rPr>
                <w:rFonts w:ascii="Times New Roman" w:hAnsi="Times New Roman" w:cs="Times New Roman"/>
                <w:sz w:val="20"/>
                <w:szCs w:val="24"/>
              </w:rPr>
              <w:t xml:space="preserve">TST </w:t>
            </w:r>
            <w:proofErr w:type="spellStart"/>
            <w:r w:rsidRPr="00A227A2">
              <w:rPr>
                <w:rFonts w:ascii="Times New Roman" w:hAnsi="Times New Roman" w:cs="Times New Roman"/>
                <w:sz w:val="20"/>
                <w:szCs w:val="24"/>
              </w:rPr>
              <w:t>positive</w:t>
            </w:r>
            <w:r w:rsidR="00294D0B">
              <w:rPr>
                <w:rFonts w:ascii="Times New Roman" w:hAnsi="Times New Roman" w:cs="Times New Roman"/>
                <w:sz w:val="20"/>
                <w:szCs w:val="24"/>
                <w:vertAlign w:val="superscript"/>
              </w:rPr>
              <w:t>b</w:t>
            </w:r>
            <w:proofErr w:type="spellEnd"/>
            <w:r w:rsidRPr="00A227A2">
              <w:rPr>
                <w:rFonts w:ascii="Times New Roman" w:hAnsi="Times New Roman" w:cs="Times New Roman"/>
                <w:sz w:val="20"/>
                <w:szCs w:val="24"/>
              </w:rPr>
              <w:t>, AND bacteriologically negative (if done) AND no clinical evidence of active disease.</w:t>
            </w:r>
          </w:p>
        </w:tc>
        <w:tc>
          <w:tcPr>
            <w:tcW w:w="1275" w:type="dxa"/>
            <w:hideMark/>
          </w:tcPr>
          <w:p w14:paraId="759E0713" w14:textId="77777777" w:rsidR="008E5953" w:rsidRPr="00A227A2" w:rsidRDefault="008E5953">
            <w:pPr>
              <w:spacing w:line="360" w:lineRule="auto"/>
              <w:rPr>
                <w:rFonts w:ascii="Times New Roman" w:hAnsi="Times New Roman" w:cs="Times New Roman"/>
                <w:sz w:val="20"/>
                <w:szCs w:val="24"/>
              </w:rPr>
            </w:pPr>
            <w:r w:rsidRPr="00A227A2">
              <w:rPr>
                <w:rFonts w:ascii="Times New Roman" w:hAnsi="Times New Roman" w:cs="Times New Roman"/>
                <w:sz w:val="20"/>
                <w:szCs w:val="24"/>
              </w:rPr>
              <w:t>48</w:t>
            </w:r>
          </w:p>
        </w:tc>
      </w:tr>
      <w:tr w:rsidR="008E5953" w:rsidRPr="00957E32" w14:paraId="42641DD6" w14:textId="77777777" w:rsidTr="004872E9">
        <w:tc>
          <w:tcPr>
            <w:tcW w:w="3153" w:type="dxa"/>
            <w:hideMark/>
          </w:tcPr>
          <w:p w14:paraId="04FFABBD" w14:textId="355BF65C" w:rsidR="008E5953" w:rsidRPr="00A227A2" w:rsidRDefault="008E5953">
            <w:pPr>
              <w:autoSpaceDE w:val="0"/>
              <w:autoSpaceDN w:val="0"/>
              <w:adjustRightInd w:val="0"/>
              <w:spacing w:line="360" w:lineRule="auto"/>
              <w:ind w:left="601" w:hanging="567"/>
              <w:rPr>
                <w:rFonts w:ascii="Times New Roman" w:hAnsi="Times New Roman" w:cs="Times New Roman"/>
                <w:sz w:val="20"/>
                <w:szCs w:val="24"/>
              </w:rPr>
            </w:pPr>
            <w:r w:rsidRPr="00A227A2">
              <w:rPr>
                <w:rFonts w:ascii="Times New Roman" w:hAnsi="Times New Roman" w:cs="Times New Roman"/>
                <w:sz w:val="20"/>
                <w:szCs w:val="24"/>
              </w:rPr>
              <w:t xml:space="preserve">     4C:</w:t>
            </w:r>
            <w:r w:rsidRPr="00A227A2">
              <w:rPr>
                <w:rFonts w:ascii="Times New Roman" w:hAnsi="Times New Roman" w:cs="Times New Roman"/>
                <w:b/>
                <w:bCs/>
                <w:sz w:val="20"/>
                <w:szCs w:val="24"/>
              </w:rPr>
              <w:t xml:space="preserve"> </w:t>
            </w:r>
            <w:r w:rsidRPr="00A227A2">
              <w:rPr>
                <w:rFonts w:ascii="Times New Roman" w:hAnsi="Times New Roman" w:cs="Times New Roman"/>
                <w:sz w:val="20"/>
                <w:szCs w:val="24"/>
              </w:rPr>
              <w:t xml:space="preserve">One or more risk factors for TB </w:t>
            </w:r>
            <w:proofErr w:type="spellStart"/>
            <w:r w:rsidRPr="00A227A2">
              <w:rPr>
                <w:rFonts w:ascii="Times New Roman" w:hAnsi="Times New Roman" w:cs="Times New Roman"/>
                <w:sz w:val="20"/>
                <w:szCs w:val="24"/>
              </w:rPr>
              <w:t>exposure</w:t>
            </w:r>
            <w:r w:rsidR="00294D0B">
              <w:rPr>
                <w:rFonts w:ascii="Times New Roman" w:hAnsi="Times New Roman" w:cs="Times New Roman"/>
                <w:sz w:val="20"/>
                <w:szCs w:val="24"/>
                <w:vertAlign w:val="superscript"/>
              </w:rPr>
              <w:t>c</w:t>
            </w:r>
            <w:proofErr w:type="spellEnd"/>
            <w:r w:rsidRPr="00A227A2">
              <w:rPr>
                <w:rFonts w:ascii="Times New Roman" w:hAnsi="Times New Roman" w:cs="Times New Roman"/>
                <w:sz w:val="20"/>
                <w:szCs w:val="24"/>
              </w:rPr>
              <w:t>, TST negative</w:t>
            </w:r>
          </w:p>
        </w:tc>
        <w:tc>
          <w:tcPr>
            <w:tcW w:w="4536" w:type="dxa"/>
            <w:hideMark/>
          </w:tcPr>
          <w:p w14:paraId="5F6C1D44" w14:textId="77777777" w:rsidR="008E5953" w:rsidRPr="00A227A2" w:rsidRDefault="008E5953">
            <w:pPr>
              <w:autoSpaceDE w:val="0"/>
              <w:autoSpaceDN w:val="0"/>
              <w:adjustRightInd w:val="0"/>
              <w:spacing w:line="360" w:lineRule="auto"/>
              <w:rPr>
                <w:rFonts w:ascii="Times New Roman" w:hAnsi="Times New Roman" w:cs="Times New Roman"/>
                <w:sz w:val="20"/>
                <w:szCs w:val="24"/>
              </w:rPr>
            </w:pPr>
            <w:r w:rsidRPr="00A227A2">
              <w:rPr>
                <w:rFonts w:ascii="Times New Roman" w:hAnsi="Times New Roman" w:cs="Times New Roman"/>
                <w:sz w:val="20"/>
                <w:szCs w:val="24"/>
              </w:rPr>
              <w:t>History of TB exposure, AND TST negative (if done).</w:t>
            </w:r>
          </w:p>
        </w:tc>
        <w:tc>
          <w:tcPr>
            <w:tcW w:w="1275" w:type="dxa"/>
            <w:hideMark/>
          </w:tcPr>
          <w:p w14:paraId="51ABAEF7" w14:textId="77777777" w:rsidR="008E5953" w:rsidRPr="00A227A2" w:rsidRDefault="008E5953">
            <w:pPr>
              <w:spacing w:line="360" w:lineRule="auto"/>
              <w:rPr>
                <w:rFonts w:ascii="Times New Roman" w:hAnsi="Times New Roman" w:cs="Times New Roman"/>
                <w:sz w:val="20"/>
                <w:szCs w:val="24"/>
              </w:rPr>
            </w:pPr>
            <w:r w:rsidRPr="00A227A2">
              <w:rPr>
                <w:rFonts w:ascii="Times New Roman" w:hAnsi="Times New Roman" w:cs="Times New Roman"/>
                <w:sz w:val="20"/>
                <w:szCs w:val="24"/>
              </w:rPr>
              <w:t>267</w:t>
            </w:r>
          </w:p>
        </w:tc>
      </w:tr>
      <w:tr w:rsidR="008E5953" w:rsidRPr="00957E32" w14:paraId="0F3B4873" w14:textId="77777777" w:rsidTr="004872E9">
        <w:tc>
          <w:tcPr>
            <w:tcW w:w="3153" w:type="dxa"/>
            <w:tcBorders>
              <w:top w:val="nil"/>
              <w:left w:val="nil"/>
              <w:bottom w:val="single" w:sz="4" w:space="0" w:color="auto"/>
              <w:right w:val="nil"/>
            </w:tcBorders>
            <w:hideMark/>
          </w:tcPr>
          <w:p w14:paraId="15D967FF" w14:textId="24070A54" w:rsidR="008E5953" w:rsidRPr="00A227A2" w:rsidRDefault="008E5953">
            <w:pPr>
              <w:autoSpaceDE w:val="0"/>
              <w:autoSpaceDN w:val="0"/>
              <w:adjustRightInd w:val="0"/>
              <w:spacing w:line="360" w:lineRule="auto"/>
              <w:ind w:left="601" w:hanging="567"/>
              <w:rPr>
                <w:rFonts w:ascii="Times New Roman" w:hAnsi="Times New Roman" w:cs="Times New Roman"/>
                <w:sz w:val="20"/>
                <w:szCs w:val="24"/>
              </w:rPr>
            </w:pPr>
            <w:r w:rsidRPr="00A227A2">
              <w:rPr>
                <w:rFonts w:ascii="Times New Roman" w:hAnsi="Times New Roman" w:cs="Times New Roman"/>
                <w:sz w:val="20"/>
                <w:szCs w:val="24"/>
              </w:rPr>
              <w:t xml:space="preserve">     4D: No risk factors for TB </w:t>
            </w:r>
            <w:proofErr w:type="spellStart"/>
            <w:r w:rsidRPr="00A227A2">
              <w:rPr>
                <w:rFonts w:ascii="Times New Roman" w:hAnsi="Times New Roman" w:cs="Times New Roman"/>
                <w:sz w:val="20"/>
                <w:szCs w:val="24"/>
              </w:rPr>
              <w:t>exposure</w:t>
            </w:r>
            <w:r w:rsidR="00294D0B">
              <w:rPr>
                <w:rFonts w:ascii="Times New Roman" w:hAnsi="Times New Roman" w:cs="Times New Roman"/>
                <w:sz w:val="20"/>
                <w:szCs w:val="24"/>
                <w:vertAlign w:val="superscript"/>
              </w:rPr>
              <w:t>c</w:t>
            </w:r>
            <w:proofErr w:type="spellEnd"/>
            <w:r w:rsidRPr="00A227A2">
              <w:rPr>
                <w:rFonts w:ascii="Times New Roman" w:hAnsi="Times New Roman" w:cs="Times New Roman"/>
                <w:sz w:val="20"/>
                <w:szCs w:val="24"/>
              </w:rPr>
              <w:t>, TST negative</w:t>
            </w:r>
          </w:p>
        </w:tc>
        <w:tc>
          <w:tcPr>
            <w:tcW w:w="4536" w:type="dxa"/>
            <w:tcBorders>
              <w:top w:val="nil"/>
              <w:left w:val="nil"/>
              <w:bottom w:val="single" w:sz="4" w:space="0" w:color="auto"/>
              <w:right w:val="nil"/>
            </w:tcBorders>
            <w:hideMark/>
          </w:tcPr>
          <w:p w14:paraId="50775F87" w14:textId="77777777" w:rsidR="008E5953" w:rsidRPr="00A227A2" w:rsidRDefault="008E5953">
            <w:pPr>
              <w:autoSpaceDE w:val="0"/>
              <w:autoSpaceDN w:val="0"/>
              <w:adjustRightInd w:val="0"/>
              <w:spacing w:line="360" w:lineRule="auto"/>
              <w:rPr>
                <w:rFonts w:ascii="Times New Roman" w:hAnsi="Times New Roman" w:cs="Times New Roman"/>
                <w:sz w:val="20"/>
                <w:szCs w:val="24"/>
              </w:rPr>
            </w:pPr>
            <w:r w:rsidRPr="00A227A2">
              <w:rPr>
                <w:rFonts w:ascii="Times New Roman" w:hAnsi="Times New Roman" w:cs="Times New Roman"/>
                <w:sz w:val="20"/>
                <w:szCs w:val="24"/>
              </w:rPr>
              <w:t>No history of TB exposure, AND</w:t>
            </w:r>
            <w:r w:rsidRPr="00A227A2">
              <w:rPr>
                <w:rFonts w:ascii="Times New Roman" w:hAnsi="Times New Roman" w:cs="Times New Roman"/>
                <w:b/>
                <w:bCs/>
                <w:sz w:val="20"/>
                <w:szCs w:val="24"/>
              </w:rPr>
              <w:t xml:space="preserve"> </w:t>
            </w:r>
            <w:r w:rsidRPr="00A227A2">
              <w:rPr>
                <w:rFonts w:ascii="Times New Roman" w:hAnsi="Times New Roman" w:cs="Times New Roman"/>
                <w:sz w:val="20"/>
                <w:szCs w:val="24"/>
              </w:rPr>
              <w:t>TST negative (if done)</w:t>
            </w:r>
          </w:p>
        </w:tc>
        <w:tc>
          <w:tcPr>
            <w:tcW w:w="1275" w:type="dxa"/>
            <w:tcBorders>
              <w:top w:val="nil"/>
              <w:left w:val="nil"/>
              <w:bottom w:val="single" w:sz="4" w:space="0" w:color="auto"/>
              <w:right w:val="nil"/>
            </w:tcBorders>
            <w:hideMark/>
          </w:tcPr>
          <w:p w14:paraId="0E98993C" w14:textId="77777777" w:rsidR="008E5953" w:rsidRPr="00A227A2" w:rsidRDefault="008E5953">
            <w:pPr>
              <w:spacing w:line="360" w:lineRule="auto"/>
              <w:rPr>
                <w:rFonts w:ascii="Times New Roman" w:hAnsi="Times New Roman" w:cs="Times New Roman"/>
                <w:sz w:val="20"/>
                <w:szCs w:val="24"/>
              </w:rPr>
            </w:pPr>
            <w:r w:rsidRPr="00A227A2">
              <w:rPr>
                <w:rFonts w:ascii="Times New Roman" w:hAnsi="Times New Roman" w:cs="Times New Roman"/>
                <w:sz w:val="20"/>
                <w:szCs w:val="24"/>
              </w:rPr>
              <w:t>117</w:t>
            </w:r>
          </w:p>
        </w:tc>
      </w:tr>
      <w:tr w:rsidR="008E5953" w:rsidRPr="00957E32" w14:paraId="24F73D8D" w14:textId="77777777" w:rsidTr="004872E9">
        <w:tc>
          <w:tcPr>
            <w:tcW w:w="3153" w:type="dxa"/>
            <w:tcBorders>
              <w:top w:val="single" w:sz="4" w:space="0" w:color="auto"/>
              <w:left w:val="nil"/>
              <w:bottom w:val="single" w:sz="12" w:space="0" w:color="auto"/>
              <w:right w:val="nil"/>
            </w:tcBorders>
            <w:hideMark/>
          </w:tcPr>
          <w:p w14:paraId="70571959" w14:textId="77777777" w:rsidR="008E5953" w:rsidRPr="00A227A2" w:rsidRDefault="008E5953">
            <w:pPr>
              <w:autoSpaceDE w:val="0"/>
              <w:autoSpaceDN w:val="0"/>
              <w:adjustRightInd w:val="0"/>
              <w:spacing w:line="360" w:lineRule="auto"/>
              <w:rPr>
                <w:rFonts w:ascii="Times New Roman" w:hAnsi="Times New Roman" w:cs="Times New Roman"/>
                <w:b/>
                <w:sz w:val="20"/>
                <w:szCs w:val="24"/>
              </w:rPr>
            </w:pPr>
            <w:r w:rsidRPr="00A227A2">
              <w:rPr>
                <w:rFonts w:ascii="Times New Roman" w:hAnsi="Times New Roman" w:cs="Times New Roman"/>
                <w:b/>
                <w:sz w:val="20"/>
                <w:szCs w:val="24"/>
              </w:rPr>
              <w:t>Total</w:t>
            </w:r>
          </w:p>
        </w:tc>
        <w:tc>
          <w:tcPr>
            <w:tcW w:w="4536" w:type="dxa"/>
            <w:tcBorders>
              <w:top w:val="single" w:sz="4" w:space="0" w:color="auto"/>
              <w:left w:val="nil"/>
              <w:bottom w:val="single" w:sz="12" w:space="0" w:color="auto"/>
              <w:right w:val="nil"/>
            </w:tcBorders>
          </w:tcPr>
          <w:p w14:paraId="587466AA" w14:textId="77777777" w:rsidR="008E5953" w:rsidRPr="00A227A2" w:rsidRDefault="008E5953">
            <w:pPr>
              <w:autoSpaceDE w:val="0"/>
              <w:autoSpaceDN w:val="0"/>
              <w:adjustRightInd w:val="0"/>
              <w:spacing w:line="360" w:lineRule="auto"/>
              <w:rPr>
                <w:rFonts w:ascii="Times New Roman" w:hAnsi="Times New Roman" w:cs="Times New Roman"/>
                <w:b/>
                <w:sz w:val="20"/>
                <w:szCs w:val="24"/>
              </w:rPr>
            </w:pPr>
          </w:p>
        </w:tc>
        <w:tc>
          <w:tcPr>
            <w:tcW w:w="1275" w:type="dxa"/>
            <w:tcBorders>
              <w:top w:val="single" w:sz="4" w:space="0" w:color="auto"/>
              <w:left w:val="nil"/>
              <w:bottom w:val="single" w:sz="12" w:space="0" w:color="auto"/>
              <w:right w:val="nil"/>
            </w:tcBorders>
            <w:hideMark/>
          </w:tcPr>
          <w:p w14:paraId="049360DA" w14:textId="77777777" w:rsidR="008E5953" w:rsidRPr="00A227A2" w:rsidRDefault="008E5953">
            <w:pPr>
              <w:spacing w:line="360" w:lineRule="auto"/>
              <w:rPr>
                <w:rFonts w:ascii="Times New Roman" w:hAnsi="Times New Roman" w:cs="Times New Roman"/>
                <w:b/>
                <w:sz w:val="20"/>
                <w:szCs w:val="24"/>
              </w:rPr>
            </w:pPr>
            <w:r w:rsidRPr="00A227A2">
              <w:rPr>
                <w:rFonts w:ascii="Times New Roman" w:hAnsi="Times New Roman" w:cs="Times New Roman"/>
                <w:b/>
                <w:sz w:val="20"/>
                <w:szCs w:val="24"/>
              </w:rPr>
              <w:t>845</w:t>
            </w:r>
          </w:p>
        </w:tc>
      </w:tr>
    </w:tbl>
    <w:p w14:paraId="3C010019" w14:textId="77777777" w:rsidR="008E5953" w:rsidRPr="00A227A2" w:rsidRDefault="008E5953">
      <w:pPr>
        <w:spacing w:after="0" w:line="360" w:lineRule="auto"/>
        <w:rPr>
          <w:rFonts w:ascii="Times New Roman" w:hAnsi="Times New Roman" w:cs="Times New Roman"/>
          <w:sz w:val="20"/>
          <w:szCs w:val="24"/>
        </w:rPr>
      </w:pPr>
      <w:r w:rsidRPr="00A227A2">
        <w:rPr>
          <w:rFonts w:ascii="Times New Roman" w:hAnsi="Times New Roman" w:cs="Times New Roman"/>
          <w:sz w:val="20"/>
          <w:szCs w:val="24"/>
        </w:rPr>
        <w:t>CXR, chest radiograph; TB, tuberculosis; TST, tuberculin skin test.</w:t>
      </w:r>
    </w:p>
    <w:p w14:paraId="68C02A7A" w14:textId="3FB0D5C4" w:rsidR="00E07DE0" w:rsidRPr="001A64BE" w:rsidRDefault="00294D0B" w:rsidP="001A64BE">
      <w:pPr>
        <w:spacing w:after="0" w:line="360" w:lineRule="auto"/>
        <w:jc w:val="both"/>
        <w:rPr>
          <w:rFonts w:ascii="Times New Roman" w:hAnsi="Times New Roman" w:cs="Times New Roman"/>
          <w:sz w:val="20"/>
          <w:szCs w:val="24"/>
        </w:rPr>
      </w:pPr>
      <w:proofErr w:type="spellStart"/>
      <w:r w:rsidRPr="00EC5B9A">
        <w:rPr>
          <w:rFonts w:ascii="Times New Roman" w:hAnsi="Times New Roman" w:cs="Times New Roman"/>
          <w:sz w:val="20"/>
          <w:szCs w:val="24"/>
          <w:vertAlign w:val="superscript"/>
        </w:rPr>
        <w:t>a</w:t>
      </w:r>
      <w:r w:rsidR="00E07DE0">
        <w:rPr>
          <w:rFonts w:ascii="Times New Roman" w:hAnsi="Times New Roman" w:cs="Times New Roman"/>
          <w:sz w:val="20"/>
          <w:szCs w:val="24"/>
        </w:rPr>
        <w:t>Mtb</w:t>
      </w:r>
      <w:proofErr w:type="spellEnd"/>
      <w:r w:rsidR="00E07DE0">
        <w:rPr>
          <w:rFonts w:ascii="Times New Roman" w:hAnsi="Times New Roman" w:cs="Times New Roman"/>
          <w:sz w:val="20"/>
          <w:szCs w:val="24"/>
        </w:rPr>
        <w:t xml:space="preserve"> culture is the gold standard test for diagnosis of active TB. However, given that even culture does not detect all TB cases, our</w:t>
      </w:r>
      <w:r w:rsidR="004802AF">
        <w:rPr>
          <w:rFonts w:ascii="Times New Roman" w:hAnsi="Times New Roman" w:cs="Times New Roman"/>
          <w:sz w:val="20"/>
          <w:szCs w:val="24"/>
        </w:rPr>
        <w:t xml:space="preserve"> previously-validated</w:t>
      </w:r>
      <w:r w:rsidR="00E07DE0">
        <w:rPr>
          <w:rFonts w:ascii="Times New Roman" w:hAnsi="Times New Roman" w:cs="Times New Roman"/>
          <w:sz w:val="20"/>
          <w:szCs w:val="24"/>
        </w:rPr>
        <w:t xml:space="preserve"> reference standard includes a second category for culture-negative but highly-probable active TB diagnoses</w:t>
      </w:r>
      <w:r w:rsidR="006A1251">
        <w:rPr>
          <w:rFonts w:ascii="Times New Roman" w:hAnsi="Times New Roman" w:cs="Times New Roman"/>
          <w:sz w:val="20"/>
          <w:szCs w:val="24"/>
        </w:rPr>
        <w:t>, made based on other available evidence</w:t>
      </w:r>
      <w:r w:rsidR="00E07DE0">
        <w:rPr>
          <w:rFonts w:ascii="Times New Roman" w:hAnsi="Times New Roman" w:cs="Times New Roman"/>
          <w:sz w:val="20"/>
          <w:szCs w:val="24"/>
        </w:rPr>
        <w:t>.</w:t>
      </w:r>
      <w:r w:rsidR="004802AF" w:rsidRPr="0070258D">
        <w:rPr>
          <w:rFonts w:ascii="Times New Roman" w:hAnsi="Times New Roman" w:cs="Times New Roman"/>
          <w:sz w:val="20"/>
          <w:szCs w:val="24"/>
          <w:vertAlign w:val="superscript"/>
        </w:rPr>
        <w:t>1</w:t>
      </w:r>
    </w:p>
    <w:p w14:paraId="0D6D8990" w14:textId="3D24095D" w:rsidR="008E5953" w:rsidRPr="00A227A2" w:rsidRDefault="00294D0B" w:rsidP="001A64BE">
      <w:pPr>
        <w:spacing w:after="0" w:line="360" w:lineRule="auto"/>
        <w:jc w:val="both"/>
        <w:rPr>
          <w:rFonts w:ascii="Times New Roman" w:hAnsi="Times New Roman" w:cs="Times New Roman"/>
          <w:sz w:val="20"/>
          <w:szCs w:val="24"/>
        </w:rPr>
      </w:pPr>
      <w:proofErr w:type="spellStart"/>
      <w:r>
        <w:rPr>
          <w:rFonts w:ascii="Times New Roman" w:hAnsi="Times New Roman" w:cs="Times New Roman"/>
          <w:sz w:val="20"/>
          <w:szCs w:val="24"/>
          <w:vertAlign w:val="superscript"/>
        </w:rPr>
        <w:t>b</w:t>
      </w:r>
      <w:r w:rsidR="008E5953" w:rsidRPr="00A227A2">
        <w:rPr>
          <w:rFonts w:ascii="Times New Roman" w:hAnsi="Times New Roman" w:cs="Times New Roman"/>
          <w:sz w:val="20"/>
          <w:szCs w:val="24"/>
        </w:rPr>
        <w:t>TST</w:t>
      </w:r>
      <w:proofErr w:type="spellEnd"/>
      <w:r w:rsidR="008E5953" w:rsidRPr="00A227A2">
        <w:rPr>
          <w:rFonts w:ascii="Times New Roman" w:hAnsi="Times New Roman" w:cs="Times New Roman"/>
          <w:sz w:val="20"/>
          <w:szCs w:val="24"/>
        </w:rPr>
        <w:t xml:space="preserve"> using Mantoux test with  threshold ≥15mm considered positive </w:t>
      </w:r>
    </w:p>
    <w:p w14:paraId="3E4321EB" w14:textId="2A880E40" w:rsidR="008E5953" w:rsidRPr="00A227A2" w:rsidRDefault="00294D0B" w:rsidP="001A64BE">
      <w:pPr>
        <w:autoSpaceDE w:val="0"/>
        <w:autoSpaceDN w:val="0"/>
        <w:adjustRightInd w:val="0"/>
        <w:spacing w:after="0" w:line="360" w:lineRule="auto"/>
        <w:jc w:val="both"/>
        <w:rPr>
          <w:rFonts w:ascii="Times New Roman" w:hAnsi="Times New Roman" w:cs="Times New Roman"/>
          <w:sz w:val="20"/>
          <w:szCs w:val="24"/>
        </w:rPr>
      </w:pPr>
      <w:proofErr w:type="spellStart"/>
      <w:r>
        <w:rPr>
          <w:rFonts w:ascii="Times New Roman" w:hAnsi="Times New Roman" w:cs="Times New Roman"/>
          <w:sz w:val="20"/>
          <w:szCs w:val="24"/>
          <w:vertAlign w:val="superscript"/>
        </w:rPr>
        <w:t>c</w:t>
      </w:r>
      <w:r w:rsidR="008E5953" w:rsidRPr="00A227A2">
        <w:rPr>
          <w:rFonts w:ascii="Times New Roman" w:hAnsi="Times New Roman" w:cs="Times New Roman"/>
          <w:sz w:val="20"/>
          <w:szCs w:val="24"/>
        </w:rPr>
        <w:t>Risk</w:t>
      </w:r>
      <w:proofErr w:type="spellEnd"/>
      <w:r w:rsidR="008E5953" w:rsidRPr="00A227A2">
        <w:rPr>
          <w:rFonts w:ascii="Times New Roman" w:hAnsi="Times New Roman" w:cs="Times New Roman"/>
          <w:sz w:val="20"/>
          <w:szCs w:val="24"/>
        </w:rPr>
        <w:t xml:space="preserve"> factors for TB exposure: recent exposure to active TB patient; born in country of high prevalence; or belonging to an ethnic group with a very high prevalence of TB (incidence &gt;100/100,000).</w:t>
      </w:r>
    </w:p>
    <w:p w14:paraId="30790E96" w14:textId="19DDA50F" w:rsidR="008E5953" w:rsidRDefault="008E5953">
      <w:pPr>
        <w:pStyle w:val="Caption"/>
        <w:spacing w:after="0" w:line="360" w:lineRule="auto"/>
        <w:rPr>
          <w:rFonts w:cs="Times New Roman"/>
          <w:b w:val="0"/>
          <w:bCs w:val="0"/>
          <w:color w:val="auto"/>
          <w:szCs w:val="24"/>
        </w:rPr>
      </w:pPr>
    </w:p>
    <w:p w14:paraId="6711F322" w14:textId="0C68A056" w:rsidR="007A4E70" w:rsidRDefault="007A4E70" w:rsidP="007A4E70"/>
    <w:p w14:paraId="24DBB8E5" w14:textId="1C50DEC5" w:rsidR="007A4E70" w:rsidRDefault="007A4E70" w:rsidP="007A4E70"/>
    <w:p w14:paraId="657EDA2B" w14:textId="4E84A313" w:rsidR="007A4E70" w:rsidRDefault="007A4E70" w:rsidP="007A4E70"/>
    <w:p w14:paraId="5170E89E" w14:textId="77777777" w:rsidR="007A4E70" w:rsidRDefault="007A4E70" w:rsidP="007A4E70"/>
    <w:p w14:paraId="18CF72C3" w14:textId="69727063" w:rsidR="007A4E70" w:rsidRDefault="007A4E70" w:rsidP="007A4E70"/>
    <w:p w14:paraId="664E8617" w14:textId="6D7B116B" w:rsidR="007A4E70" w:rsidRDefault="007A4E70" w:rsidP="007A4E70"/>
    <w:p w14:paraId="35C6E615" w14:textId="4C9DD8E3" w:rsidR="00C57C37" w:rsidRPr="007562CB" w:rsidRDefault="008E5953" w:rsidP="00C57C37">
      <w:pPr>
        <w:spacing w:after="0" w:line="360" w:lineRule="auto"/>
        <w:jc w:val="both"/>
        <w:rPr>
          <w:rFonts w:ascii="Times New Roman" w:hAnsi="Times New Roman" w:cs="Times New Roman"/>
          <w:sz w:val="20"/>
          <w:szCs w:val="24"/>
        </w:rPr>
      </w:pPr>
      <w:bookmarkStart w:id="3" w:name="_Ref447629240"/>
      <w:bookmarkStart w:id="4" w:name="_Toc460878434"/>
      <w:r w:rsidRPr="007562CB">
        <w:rPr>
          <w:rFonts w:ascii="Times New Roman" w:hAnsi="Times New Roman" w:cs="Times New Roman"/>
          <w:b/>
          <w:sz w:val="20"/>
          <w:szCs w:val="24"/>
        </w:rPr>
        <w:lastRenderedPageBreak/>
        <w:t xml:space="preserve">Table </w:t>
      </w:r>
      <w:bookmarkEnd w:id="3"/>
      <w:r w:rsidRPr="007562CB">
        <w:rPr>
          <w:rFonts w:ascii="Times New Roman" w:hAnsi="Times New Roman" w:cs="Times New Roman"/>
          <w:b/>
          <w:noProof/>
          <w:sz w:val="20"/>
          <w:szCs w:val="24"/>
        </w:rPr>
        <w:t>2</w:t>
      </w:r>
      <w:r w:rsidR="00796E65" w:rsidRPr="007562CB">
        <w:rPr>
          <w:rFonts w:ascii="Times New Roman" w:hAnsi="Times New Roman" w:cs="Times New Roman"/>
          <w:b/>
          <w:noProof/>
          <w:sz w:val="20"/>
          <w:szCs w:val="24"/>
        </w:rPr>
        <w:t>:</w:t>
      </w:r>
      <w:r w:rsidRPr="007562CB">
        <w:rPr>
          <w:rFonts w:ascii="Times New Roman" w:hAnsi="Times New Roman" w:cs="Times New Roman"/>
          <w:b/>
          <w:sz w:val="20"/>
          <w:szCs w:val="24"/>
        </w:rPr>
        <w:t xml:space="preserve"> Demographics</w:t>
      </w:r>
      <w:bookmarkEnd w:id="4"/>
      <w:r w:rsidRPr="007562CB">
        <w:rPr>
          <w:rFonts w:ascii="Times New Roman" w:hAnsi="Times New Roman" w:cs="Times New Roman"/>
          <w:b/>
          <w:sz w:val="20"/>
          <w:szCs w:val="24"/>
        </w:rPr>
        <w:t xml:space="preserve"> and clinical characteristics</w:t>
      </w:r>
      <w:r w:rsidR="00C57C37" w:rsidRPr="007562CB">
        <w:rPr>
          <w:rFonts w:ascii="Times New Roman" w:hAnsi="Times New Roman" w:cs="Times New Roman"/>
          <w:b/>
          <w:sz w:val="20"/>
          <w:szCs w:val="24"/>
        </w:rPr>
        <w:t>.</w:t>
      </w:r>
      <w:r w:rsidR="00C57C37" w:rsidRPr="007562CB">
        <w:rPr>
          <w:rFonts w:ascii="Times New Roman" w:hAnsi="Times New Roman" w:cs="Times New Roman"/>
          <w:sz w:val="20"/>
          <w:szCs w:val="24"/>
        </w:rPr>
        <w:t xml:space="preserve"> Column percentages for each characteristic are shown.</w:t>
      </w:r>
    </w:p>
    <w:tbl>
      <w:tblPr>
        <w:tblStyle w:val="TableGridLight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560"/>
        <w:gridCol w:w="1417"/>
        <w:gridCol w:w="1559"/>
        <w:gridCol w:w="1560"/>
        <w:gridCol w:w="1417"/>
      </w:tblGrid>
      <w:tr w:rsidR="009C2E75" w:rsidRPr="00957E32" w14:paraId="7EC545A9" w14:textId="77777777" w:rsidTr="00E80544">
        <w:tc>
          <w:tcPr>
            <w:tcW w:w="2268" w:type="dxa"/>
            <w:vMerge w:val="restart"/>
            <w:tcBorders>
              <w:top w:val="single" w:sz="12" w:space="0" w:color="auto"/>
              <w:left w:val="nil"/>
              <w:bottom w:val="single" w:sz="4" w:space="0" w:color="auto"/>
              <w:right w:val="nil"/>
            </w:tcBorders>
            <w:hideMark/>
          </w:tcPr>
          <w:p w14:paraId="44D5728C" w14:textId="77777777" w:rsidR="009C2E75" w:rsidRPr="00A227A2" w:rsidRDefault="009C2E75" w:rsidP="009C2E75">
            <w:pPr>
              <w:spacing w:line="360" w:lineRule="auto"/>
              <w:rPr>
                <w:rFonts w:ascii="Times New Roman" w:hAnsi="Times New Roman" w:cs="Times New Roman"/>
                <w:b/>
                <w:sz w:val="20"/>
                <w:szCs w:val="20"/>
              </w:rPr>
            </w:pPr>
          </w:p>
          <w:p w14:paraId="67924265" w14:textId="713CCEC6" w:rsidR="008E5953" w:rsidRPr="00A227A2" w:rsidRDefault="008E5953">
            <w:pPr>
              <w:spacing w:line="360" w:lineRule="auto"/>
              <w:rPr>
                <w:rFonts w:ascii="Times New Roman" w:hAnsi="Times New Roman" w:cs="Times New Roman"/>
                <w:b/>
                <w:sz w:val="20"/>
                <w:szCs w:val="20"/>
              </w:rPr>
            </w:pPr>
            <w:r w:rsidRPr="00A227A2">
              <w:rPr>
                <w:rFonts w:ascii="Times New Roman" w:hAnsi="Times New Roman" w:cs="Times New Roman"/>
                <w:b/>
                <w:sz w:val="20"/>
                <w:szCs w:val="20"/>
              </w:rPr>
              <w:t>Characteristic</w:t>
            </w:r>
          </w:p>
        </w:tc>
        <w:tc>
          <w:tcPr>
            <w:tcW w:w="6096" w:type="dxa"/>
            <w:gridSpan w:val="4"/>
            <w:tcBorders>
              <w:top w:val="single" w:sz="12" w:space="0" w:color="auto"/>
              <w:left w:val="nil"/>
              <w:bottom w:val="single" w:sz="4" w:space="0" w:color="auto"/>
              <w:right w:val="nil"/>
            </w:tcBorders>
            <w:hideMark/>
          </w:tcPr>
          <w:p w14:paraId="710A0B22" w14:textId="03F9B0DC" w:rsidR="008E5953" w:rsidRPr="00A227A2" w:rsidRDefault="00F62DB5">
            <w:pPr>
              <w:spacing w:line="360" w:lineRule="auto"/>
              <w:jc w:val="center"/>
              <w:rPr>
                <w:rFonts w:ascii="Times New Roman" w:hAnsi="Times New Roman" w:cs="Times New Roman"/>
                <w:b/>
                <w:sz w:val="20"/>
                <w:szCs w:val="20"/>
              </w:rPr>
            </w:pPr>
            <w:r w:rsidRPr="00A227A2">
              <w:rPr>
                <w:rFonts w:ascii="Times New Roman" w:hAnsi="Times New Roman" w:cs="Times New Roman"/>
                <w:b/>
                <w:sz w:val="20"/>
                <w:szCs w:val="20"/>
              </w:rPr>
              <w:t xml:space="preserve">Diagnosis </w:t>
            </w:r>
            <w:r w:rsidR="003F6BA0">
              <w:rPr>
                <w:rFonts w:ascii="Times New Roman" w:hAnsi="Times New Roman" w:cs="Times New Roman"/>
                <w:b/>
                <w:sz w:val="20"/>
                <w:szCs w:val="20"/>
              </w:rPr>
              <w:t xml:space="preserve">as </w:t>
            </w:r>
            <w:r w:rsidRPr="00A227A2">
              <w:rPr>
                <w:rFonts w:ascii="Times New Roman" w:hAnsi="Times New Roman" w:cs="Times New Roman"/>
                <w:b/>
                <w:sz w:val="20"/>
                <w:szCs w:val="20"/>
              </w:rPr>
              <w:t>per Reference Standard</w:t>
            </w:r>
            <w:r w:rsidRPr="00A227A2">
              <w:rPr>
                <w:rFonts w:ascii="Times New Roman" w:hAnsi="Times New Roman" w:cs="Times New Roman"/>
                <w:b/>
                <w:sz w:val="20"/>
                <w:szCs w:val="20"/>
                <w:vertAlign w:val="superscript"/>
              </w:rPr>
              <w:t>1</w:t>
            </w:r>
          </w:p>
        </w:tc>
        <w:tc>
          <w:tcPr>
            <w:tcW w:w="1417" w:type="dxa"/>
            <w:vMerge w:val="restart"/>
            <w:tcBorders>
              <w:top w:val="single" w:sz="12" w:space="0" w:color="auto"/>
              <w:left w:val="nil"/>
              <w:bottom w:val="single" w:sz="4" w:space="0" w:color="auto"/>
              <w:right w:val="nil"/>
            </w:tcBorders>
            <w:vAlign w:val="center"/>
            <w:hideMark/>
          </w:tcPr>
          <w:p w14:paraId="60106D45" w14:textId="77777777" w:rsidR="009C2E75" w:rsidRPr="00A227A2" w:rsidRDefault="009C2E75" w:rsidP="009C2E75">
            <w:pPr>
              <w:spacing w:line="360" w:lineRule="auto"/>
              <w:rPr>
                <w:rFonts w:ascii="Times New Roman" w:hAnsi="Times New Roman" w:cs="Times New Roman"/>
                <w:b/>
                <w:sz w:val="20"/>
                <w:szCs w:val="20"/>
              </w:rPr>
            </w:pPr>
          </w:p>
          <w:p w14:paraId="1262A03A" w14:textId="4E4F16F6" w:rsidR="00093D5F" w:rsidRPr="00A227A2" w:rsidRDefault="008E5953">
            <w:pPr>
              <w:spacing w:line="360" w:lineRule="auto"/>
              <w:rPr>
                <w:rFonts w:ascii="Times New Roman" w:hAnsi="Times New Roman" w:cs="Times New Roman"/>
                <w:b/>
                <w:sz w:val="20"/>
                <w:szCs w:val="20"/>
              </w:rPr>
            </w:pPr>
            <w:r w:rsidRPr="00A227A2">
              <w:rPr>
                <w:rFonts w:ascii="Times New Roman" w:hAnsi="Times New Roman" w:cs="Times New Roman"/>
                <w:b/>
                <w:sz w:val="20"/>
                <w:szCs w:val="20"/>
              </w:rPr>
              <w:t>Total</w:t>
            </w:r>
          </w:p>
          <w:p w14:paraId="4BF9BD59" w14:textId="77777777" w:rsidR="009C2E75" w:rsidRPr="00A227A2" w:rsidRDefault="009C2E75" w:rsidP="009C2E75">
            <w:pPr>
              <w:spacing w:line="360" w:lineRule="auto"/>
              <w:rPr>
                <w:rFonts w:ascii="Times New Roman" w:hAnsi="Times New Roman" w:cs="Times New Roman"/>
                <w:b/>
                <w:sz w:val="20"/>
                <w:szCs w:val="20"/>
              </w:rPr>
            </w:pPr>
          </w:p>
          <w:p w14:paraId="295A0D84" w14:textId="61B731AE" w:rsidR="00093D5F" w:rsidRPr="00A227A2" w:rsidRDefault="00093D5F">
            <w:pPr>
              <w:spacing w:line="360" w:lineRule="auto"/>
              <w:rPr>
                <w:rFonts w:ascii="Times New Roman" w:hAnsi="Times New Roman" w:cs="Times New Roman"/>
                <w:b/>
                <w:sz w:val="20"/>
                <w:szCs w:val="20"/>
              </w:rPr>
            </w:pPr>
            <w:r w:rsidRPr="00A227A2">
              <w:rPr>
                <w:rFonts w:ascii="Times New Roman" w:hAnsi="Times New Roman" w:cs="Times New Roman"/>
                <w:b/>
                <w:sz w:val="20"/>
                <w:szCs w:val="20"/>
              </w:rPr>
              <w:t>N=845</w:t>
            </w:r>
          </w:p>
        </w:tc>
      </w:tr>
      <w:tr w:rsidR="007A4E70" w:rsidRPr="00957E32" w14:paraId="6701AB9D" w14:textId="77777777" w:rsidTr="00E80544">
        <w:tc>
          <w:tcPr>
            <w:tcW w:w="2268" w:type="dxa"/>
            <w:vMerge/>
            <w:tcBorders>
              <w:top w:val="single" w:sz="12" w:space="0" w:color="auto"/>
              <w:left w:val="nil"/>
              <w:bottom w:val="single" w:sz="4" w:space="0" w:color="auto"/>
              <w:right w:val="nil"/>
            </w:tcBorders>
            <w:vAlign w:val="center"/>
            <w:hideMark/>
          </w:tcPr>
          <w:p w14:paraId="710E53E3" w14:textId="77777777" w:rsidR="008E5953" w:rsidRPr="00A227A2" w:rsidRDefault="008E5953" w:rsidP="001B1048">
            <w:pPr>
              <w:spacing w:line="360" w:lineRule="auto"/>
              <w:rPr>
                <w:rFonts w:ascii="Times New Roman" w:hAnsi="Times New Roman" w:cs="Times New Roman"/>
                <w:b/>
                <w:sz w:val="20"/>
                <w:szCs w:val="20"/>
              </w:rPr>
            </w:pPr>
          </w:p>
        </w:tc>
        <w:tc>
          <w:tcPr>
            <w:tcW w:w="1560" w:type="dxa"/>
            <w:tcBorders>
              <w:top w:val="single" w:sz="4" w:space="0" w:color="auto"/>
              <w:left w:val="nil"/>
              <w:bottom w:val="single" w:sz="4" w:space="0" w:color="auto"/>
              <w:right w:val="nil"/>
            </w:tcBorders>
            <w:hideMark/>
          </w:tcPr>
          <w:p w14:paraId="14AF3F31" w14:textId="4A0E6A08" w:rsidR="008E5953" w:rsidRPr="00A227A2" w:rsidRDefault="00BD038C">
            <w:pPr>
              <w:spacing w:line="360" w:lineRule="auto"/>
              <w:rPr>
                <w:rFonts w:ascii="Times New Roman" w:hAnsi="Times New Roman" w:cs="Times New Roman"/>
                <w:b/>
                <w:sz w:val="20"/>
                <w:szCs w:val="20"/>
              </w:rPr>
            </w:pPr>
            <w:r w:rsidRPr="00A227A2">
              <w:rPr>
                <w:rFonts w:ascii="Times New Roman" w:hAnsi="Times New Roman" w:cs="Times New Roman"/>
                <w:b/>
                <w:sz w:val="20"/>
                <w:szCs w:val="20"/>
              </w:rPr>
              <w:t>Culture-confirmed</w:t>
            </w:r>
            <w:r w:rsidR="008E5953" w:rsidRPr="00A227A2">
              <w:rPr>
                <w:rFonts w:ascii="Times New Roman" w:hAnsi="Times New Roman" w:cs="Times New Roman"/>
                <w:b/>
                <w:sz w:val="20"/>
                <w:szCs w:val="20"/>
              </w:rPr>
              <w:t xml:space="preserve"> TB</w:t>
            </w:r>
          </w:p>
          <w:p w14:paraId="4DB51018" w14:textId="3520AF44" w:rsidR="00093D5F" w:rsidRPr="00A227A2" w:rsidRDefault="00093D5F">
            <w:pPr>
              <w:spacing w:line="360" w:lineRule="auto"/>
              <w:rPr>
                <w:rFonts w:ascii="Times New Roman" w:hAnsi="Times New Roman" w:cs="Times New Roman"/>
                <w:b/>
                <w:sz w:val="20"/>
                <w:szCs w:val="20"/>
              </w:rPr>
            </w:pPr>
            <w:r w:rsidRPr="00A227A2">
              <w:rPr>
                <w:rFonts w:ascii="Times New Roman" w:hAnsi="Times New Roman" w:cs="Times New Roman"/>
                <w:b/>
                <w:sz w:val="20"/>
                <w:szCs w:val="20"/>
              </w:rPr>
              <w:t>N=261</w:t>
            </w:r>
          </w:p>
        </w:tc>
        <w:tc>
          <w:tcPr>
            <w:tcW w:w="1417" w:type="dxa"/>
            <w:tcBorders>
              <w:top w:val="single" w:sz="4" w:space="0" w:color="auto"/>
              <w:left w:val="nil"/>
              <w:bottom w:val="single" w:sz="4" w:space="0" w:color="auto"/>
              <w:right w:val="nil"/>
            </w:tcBorders>
            <w:hideMark/>
          </w:tcPr>
          <w:p w14:paraId="41F08891" w14:textId="26069A96" w:rsidR="008E5953" w:rsidRPr="00A227A2" w:rsidRDefault="00BD038C">
            <w:pPr>
              <w:spacing w:line="360" w:lineRule="auto"/>
              <w:rPr>
                <w:rFonts w:ascii="Times New Roman" w:hAnsi="Times New Roman" w:cs="Times New Roman"/>
                <w:b/>
                <w:sz w:val="20"/>
                <w:szCs w:val="20"/>
              </w:rPr>
            </w:pPr>
            <w:r w:rsidRPr="00A227A2">
              <w:rPr>
                <w:rFonts w:ascii="Times New Roman" w:hAnsi="Times New Roman" w:cs="Times New Roman"/>
                <w:b/>
                <w:sz w:val="20"/>
                <w:szCs w:val="20"/>
              </w:rPr>
              <w:t>Highly-probable</w:t>
            </w:r>
            <w:r w:rsidR="008E5953" w:rsidRPr="00A227A2">
              <w:rPr>
                <w:rFonts w:ascii="Times New Roman" w:hAnsi="Times New Roman" w:cs="Times New Roman"/>
                <w:b/>
                <w:sz w:val="20"/>
                <w:szCs w:val="20"/>
              </w:rPr>
              <w:t xml:space="preserve"> TB</w:t>
            </w:r>
          </w:p>
          <w:p w14:paraId="36374076" w14:textId="78A0791B" w:rsidR="00093D5F" w:rsidRPr="00A227A2" w:rsidRDefault="00093D5F">
            <w:pPr>
              <w:spacing w:line="360" w:lineRule="auto"/>
              <w:rPr>
                <w:rFonts w:ascii="Times New Roman" w:hAnsi="Times New Roman" w:cs="Times New Roman"/>
                <w:b/>
                <w:sz w:val="20"/>
                <w:szCs w:val="20"/>
              </w:rPr>
            </w:pPr>
            <w:r w:rsidRPr="00A227A2">
              <w:rPr>
                <w:rFonts w:ascii="Times New Roman" w:hAnsi="Times New Roman" w:cs="Times New Roman"/>
                <w:b/>
                <w:sz w:val="20"/>
                <w:szCs w:val="20"/>
              </w:rPr>
              <w:t>N=102</w:t>
            </w:r>
          </w:p>
        </w:tc>
        <w:tc>
          <w:tcPr>
            <w:tcW w:w="1559" w:type="dxa"/>
            <w:tcBorders>
              <w:top w:val="single" w:sz="4" w:space="0" w:color="auto"/>
              <w:left w:val="nil"/>
              <w:bottom w:val="single" w:sz="4" w:space="0" w:color="auto"/>
              <w:right w:val="nil"/>
            </w:tcBorders>
            <w:hideMark/>
          </w:tcPr>
          <w:p w14:paraId="3F52FB2B" w14:textId="77777777" w:rsidR="008E5953" w:rsidRPr="00A227A2" w:rsidRDefault="008E5953">
            <w:pPr>
              <w:spacing w:line="360" w:lineRule="auto"/>
              <w:rPr>
                <w:rFonts w:ascii="Times New Roman" w:hAnsi="Times New Roman" w:cs="Times New Roman"/>
                <w:b/>
                <w:sz w:val="20"/>
                <w:szCs w:val="20"/>
              </w:rPr>
            </w:pPr>
            <w:r w:rsidRPr="00A227A2">
              <w:rPr>
                <w:rFonts w:ascii="Times New Roman" w:hAnsi="Times New Roman" w:cs="Times New Roman"/>
                <w:b/>
                <w:sz w:val="20"/>
                <w:szCs w:val="20"/>
              </w:rPr>
              <w:t>Clinically indeterminate</w:t>
            </w:r>
          </w:p>
          <w:p w14:paraId="00B0BD3F" w14:textId="20AB0892" w:rsidR="00093D5F" w:rsidRPr="00A227A2" w:rsidRDefault="00093D5F">
            <w:pPr>
              <w:spacing w:line="360" w:lineRule="auto"/>
              <w:rPr>
                <w:rFonts w:ascii="Times New Roman" w:hAnsi="Times New Roman" w:cs="Times New Roman"/>
                <w:b/>
                <w:sz w:val="20"/>
                <w:szCs w:val="20"/>
              </w:rPr>
            </w:pPr>
            <w:r w:rsidRPr="00A227A2">
              <w:rPr>
                <w:rFonts w:ascii="Times New Roman" w:hAnsi="Times New Roman" w:cs="Times New Roman"/>
                <w:b/>
                <w:sz w:val="20"/>
                <w:szCs w:val="20"/>
              </w:rPr>
              <w:t>N=43</w:t>
            </w:r>
          </w:p>
        </w:tc>
        <w:tc>
          <w:tcPr>
            <w:tcW w:w="1560" w:type="dxa"/>
            <w:tcBorders>
              <w:top w:val="single" w:sz="4" w:space="0" w:color="auto"/>
              <w:left w:val="nil"/>
              <w:bottom w:val="single" w:sz="4" w:space="0" w:color="auto"/>
              <w:right w:val="nil"/>
            </w:tcBorders>
            <w:hideMark/>
          </w:tcPr>
          <w:p w14:paraId="5C748D72" w14:textId="77777777" w:rsidR="008E5953" w:rsidRPr="00A227A2" w:rsidRDefault="008E5953">
            <w:pPr>
              <w:spacing w:line="360" w:lineRule="auto"/>
              <w:rPr>
                <w:rFonts w:ascii="Times New Roman" w:hAnsi="Times New Roman" w:cs="Times New Roman"/>
                <w:b/>
                <w:sz w:val="20"/>
                <w:szCs w:val="20"/>
              </w:rPr>
            </w:pPr>
            <w:r w:rsidRPr="00A227A2">
              <w:rPr>
                <w:rFonts w:ascii="Times New Roman" w:hAnsi="Times New Roman" w:cs="Times New Roman"/>
                <w:b/>
                <w:sz w:val="20"/>
                <w:szCs w:val="20"/>
              </w:rPr>
              <w:t>Active TB excluded</w:t>
            </w:r>
          </w:p>
          <w:p w14:paraId="1758CD37" w14:textId="060813BB" w:rsidR="00093D5F" w:rsidRPr="00A227A2" w:rsidRDefault="00093D5F">
            <w:pPr>
              <w:spacing w:line="360" w:lineRule="auto"/>
              <w:rPr>
                <w:rFonts w:ascii="Times New Roman" w:hAnsi="Times New Roman" w:cs="Times New Roman"/>
                <w:b/>
                <w:sz w:val="20"/>
                <w:szCs w:val="20"/>
              </w:rPr>
            </w:pPr>
            <w:r w:rsidRPr="00A227A2">
              <w:rPr>
                <w:rFonts w:ascii="Times New Roman" w:hAnsi="Times New Roman" w:cs="Times New Roman"/>
                <w:b/>
                <w:sz w:val="20"/>
                <w:szCs w:val="20"/>
              </w:rPr>
              <w:t>N=439</w:t>
            </w:r>
          </w:p>
        </w:tc>
        <w:tc>
          <w:tcPr>
            <w:tcW w:w="1417" w:type="dxa"/>
            <w:vMerge/>
            <w:tcBorders>
              <w:top w:val="single" w:sz="12" w:space="0" w:color="auto"/>
              <w:left w:val="nil"/>
              <w:bottom w:val="single" w:sz="4" w:space="0" w:color="auto"/>
              <w:right w:val="nil"/>
            </w:tcBorders>
            <w:vAlign w:val="center"/>
            <w:hideMark/>
          </w:tcPr>
          <w:p w14:paraId="44C57AB8" w14:textId="77777777" w:rsidR="008E5953" w:rsidRPr="00A227A2" w:rsidRDefault="008E5953" w:rsidP="001B1048">
            <w:pPr>
              <w:spacing w:line="360" w:lineRule="auto"/>
              <w:rPr>
                <w:rFonts w:ascii="Times New Roman" w:hAnsi="Times New Roman" w:cs="Times New Roman"/>
                <w:b/>
                <w:sz w:val="20"/>
                <w:szCs w:val="20"/>
              </w:rPr>
            </w:pPr>
          </w:p>
        </w:tc>
      </w:tr>
      <w:tr w:rsidR="007A4E70" w:rsidRPr="00957E32" w14:paraId="13E1C9E9" w14:textId="77777777" w:rsidTr="00E80544">
        <w:tc>
          <w:tcPr>
            <w:tcW w:w="2268" w:type="dxa"/>
            <w:tcBorders>
              <w:top w:val="single" w:sz="4" w:space="0" w:color="auto"/>
              <w:left w:val="nil"/>
              <w:bottom w:val="nil"/>
              <w:right w:val="nil"/>
            </w:tcBorders>
            <w:hideMark/>
          </w:tcPr>
          <w:p w14:paraId="46218232" w14:textId="77777777" w:rsidR="008E5953" w:rsidRPr="00A227A2" w:rsidRDefault="008E5953">
            <w:pPr>
              <w:spacing w:line="360" w:lineRule="auto"/>
              <w:rPr>
                <w:rFonts w:ascii="Times New Roman" w:hAnsi="Times New Roman" w:cs="Times New Roman"/>
                <w:sz w:val="20"/>
                <w:szCs w:val="20"/>
              </w:rPr>
            </w:pPr>
            <w:r w:rsidRPr="00A227A2">
              <w:rPr>
                <w:rFonts w:ascii="Times New Roman" w:hAnsi="Times New Roman" w:cs="Times New Roman"/>
                <w:sz w:val="20"/>
                <w:szCs w:val="20"/>
              </w:rPr>
              <w:t>Clinical setting, n (%)</w:t>
            </w:r>
          </w:p>
        </w:tc>
        <w:tc>
          <w:tcPr>
            <w:tcW w:w="1560" w:type="dxa"/>
            <w:tcBorders>
              <w:top w:val="single" w:sz="4" w:space="0" w:color="auto"/>
              <w:left w:val="nil"/>
              <w:bottom w:val="nil"/>
              <w:right w:val="nil"/>
            </w:tcBorders>
          </w:tcPr>
          <w:p w14:paraId="0E8CA20B" w14:textId="77777777" w:rsidR="008E5953" w:rsidRPr="00A227A2" w:rsidRDefault="008E5953">
            <w:pPr>
              <w:spacing w:line="360" w:lineRule="auto"/>
              <w:rPr>
                <w:rFonts w:ascii="Times New Roman" w:hAnsi="Times New Roman" w:cs="Times New Roman"/>
                <w:sz w:val="20"/>
                <w:szCs w:val="20"/>
              </w:rPr>
            </w:pPr>
          </w:p>
        </w:tc>
        <w:tc>
          <w:tcPr>
            <w:tcW w:w="1417" w:type="dxa"/>
            <w:tcBorders>
              <w:top w:val="single" w:sz="4" w:space="0" w:color="auto"/>
              <w:left w:val="nil"/>
              <w:bottom w:val="nil"/>
              <w:right w:val="nil"/>
            </w:tcBorders>
          </w:tcPr>
          <w:p w14:paraId="4431265C" w14:textId="77777777" w:rsidR="008E5953" w:rsidRPr="00A227A2" w:rsidRDefault="008E5953">
            <w:pPr>
              <w:spacing w:line="360" w:lineRule="auto"/>
              <w:rPr>
                <w:rFonts w:ascii="Times New Roman" w:hAnsi="Times New Roman" w:cs="Times New Roman"/>
                <w:sz w:val="20"/>
                <w:szCs w:val="20"/>
              </w:rPr>
            </w:pPr>
          </w:p>
        </w:tc>
        <w:tc>
          <w:tcPr>
            <w:tcW w:w="1559" w:type="dxa"/>
            <w:tcBorders>
              <w:top w:val="single" w:sz="4" w:space="0" w:color="auto"/>
              <w:left w:val="nil"/>
              <w:bottom w:val="nil"/>
              <w:right w:val="nil"/>
            </w:tcBorders>
          </w:tcPr>
          <w:p w14:paraId="2C997143" w14:textId="77777777" w:rsidR="008E5953" w:rsidRPr="00A227A2" w:rsidRDefault="008E5953">
            <w:pPr>
              <w:spacing w:line="360" w:lineRule="auto"/>
              <w:rPr>
                <w:rFonts w:ascii="Times New Roman" w:hAnsi="Times New Roman" w:cs="Times New Roman"/>
                <w:sz w:val="20"/>
                <w:szCs w:val="20"/>
              </w:rPr>
            </w:pPr>
          </w:p>
        </w:tc>
        <w:tc>
          <w:tcPr>
            <w:tcW w:w="1560" w:type="dxa"/>
            <w:tcBorders>
              <w:top w:val="single" w:sz="4" w:space="0" w:color="auto"/>
              <w:left w:val="nil"/>
              <w:bottom w:val="nil"/>
              <w:right w:val="nil"/>
            </w:tcBorders>
          </w:tcPr>
          <w:p w14:paraId="159AE904" w14:textId="77777777" w:rsidR="008E5953" w:rsidRPr="00A227A2" w:rsidRDefault="008E5953">
            <w:pPr>
              <w:spacing w:line="360" w:lineRule="auto"/>
              <w:rPr>
                <w:rFonts w:ascii="Times New Roman" w:hAnsi="Times New Roman" w:cs="Times New Roman"/>
                <w:sz w:val="20"/>
                <w:szCs w:val="20"/>
              </w:rPr>
            </w:pPr>
          </w:p>
        </w:tc>
        <w:tc>
          <w:tcPr>
            <w:tcW w:w="1417" w:type="dxa"/>
            <w:tcBorders>
              <w:top w:val="single" w:sz="4" w:space="0" w:color="auto"/>
              <w:left w:val="nil"/>
              <w:bottom w:val="nil"/>
              <w:right w:val="nil"/>
            </w:tcBorders>
          </w:tcPr>
          <w:p w14:paraId="72E9F17A" w14:textId="77777777" w:rsidR="008E5953" w:rsidRPr="00A227A2" w:rsidRDefault="008E5953">
            <w:pPr>
              <w:spacing w:line="360" w:lineRule="auto"/>
              <w:rPr>
                <w:rFonts w:ascii="Times New Roman" w:hAnsi="Times New Roman" w:cs="Times New Roman"/>
                <w:sz w:val="20"/>
                <w:szCs w:val="20"/>
              </w:rPr>
            </w:pPr>
          </w:p>
        </w:tc>
      </w:tr>
      <w:tr w:rsidR="007A4E70" w:rsidRPr="00957E32" w14:paraId="69C0443D" w14:textId="77777777" w:rsidTr="00E80544">
        <w:tc>
          <w:tcPr>
            <w:tcW w:w="2268" w:type="dxa"/>
          </w:tcPr>
          <w:p w14:paraId="08C09B99" w14:textId="4691F247" w:rsidR="00C57C37" w:rsidRPr="00A227A2" w:rsidRDefault="00C57C37" w:rsidP="00C57C37">
            <w:pPr>
              <w:tabs>
                <w:tab w:val="left" w:pos="176"/>
              </w:tabs>
              <w:spacing w:line="360" w:lineRule="auto"/>
              <w:ind w:left="176"/>
              <w:rPr>
                <w:rFonts w:ascii="Times New Roman" w:hAnsi="Times New Roman" w:cs="Times New Roman"/>
                <w:sz w:val="20"/>
                <w:szCs w:val="20"/>
              </w:rPr>
            </w:pPr>
            <w:r w:rsidRPr="00A227A2">
              <w:rPr>
                <w:rFonts w:ascii="Times New Roman" w:hAnsi="Times New Roman" w:cs="Times New Roman"/>
                <w:sz w:val="20"/>
                <w:szCs w:val="20"/>
              </w:rPr>
              <w:t xml:space="preserve">Outpatient </w:t>
            </w:r>
          </w:p>
        </w:tc>
        <w:tc>
          <w:tcPr>
            <w:tcW w:w="1560" w:type="dxa"/>
          </w:tcPr>
          <w:p w14:paraId="601DE079" w14:textId="6808671B"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171 (65.5)</w:t>
            </w:r>
          </w:p>
        </w:tc>
        <w:tc>
          <w:tcPr>
            <w:tcW w:w="1417" w:type="dxa"/>
          </w:tcPr>
          <w:p w14:paraId="75395C05" w14:textId="2568646E"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72 (70.6)</w:t>
            </w:r>
          </w:p>
        </w:tc>
        <w:tc>
          <w:tcPr>
            <w:tcW w:w="1559" w:type="dxa"/>
          </w:tcPr>
          <w:p w14:paraId="348C1265" w14:textId="30E19FD6"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32 (74.4)</w:t>
            </w:r>
          </w:p>
        </w:tc>
        <w:tc>
          <w:tcPr>
            <w:tcW w:w="1560" w:type="dxa"/>
          </w:tcPr>
          <w:p w14:paraId="7CAA79CA" w14:textId="5ABDA058"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269 (61.3)</w:t>
            </w:r>
          </w:p>
        </w:tc>
        <w:tc>
          <w:tcPr>
            <w:tcW w:w="1417" w:type="dxa"/>
          </w:tcPr>
          <w:p w14:paraId="330F3711" w14:textId="37BD3460"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544 (64.4)</w:t>
            </w:r>
          </w:p>
        </w:tc>
      </w:tr>
      <w:tr w:rsidR="007A4E70" w:rsidRPr="00957E32" w14:paraId="72DD5850" w14:textId="77777777" w:rsidTr="00E80544">
        <w:tc>
          <w:tcPr>
            <w:tcW w:w="2268" w:type="dxa"/>
            <w:hideMark/>
          </w:tcPr>
          <w:p w14:paraId="580BBB65" w14:textId="77777777" w:rsidR="00C57C37" w:rsidRPr="00A227A2" w:rsidRDefault="00C57C37" w:rsidP="00C57C37">
            <w:pPr>
              <w:tabs>
                <w:tab w:val="left" w:pos="176"/>
              </w:tabs>
              <w:spacing w:line="360" w:lineRule="auto"/>
              <w:ind w:left="176"/>
              <w:rPr>
                <w:rFonts w:ascii="Times New Roman" w:hAnsi="Times New Roman" w:cs="Times New Roman"/>
                <w:sz w:val="20"/>
                <w:szCs w:val="20"/>
              </w:rPr>
            </w:pPr>
            <w:r w:rsidRPr="00A227A2">
              <w:rPr>
                <w:rFonts w:ascii="Times New Roman" w:hAnsi="Times New Roman" w:cs="Times New Roman"/>
                <w:sz w:val="20"/>
                <w:szCs w:val="20"/>
              </w:rPr>
              <w:t>Inpatient</w:t>
            </w:r>
          </w:p>
        </w:tc>
        <w:tc>
          <w:tcPr>
            <w:tcW w:w="1560" w:type="dxa"/>
            <w:hideMark/>
          </w:tcPr>
          <w:p w14:paraId="55210408"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90 (34.5)</w:t>
            </w:r>
          </w:p>
        </w:tc>
        <w:tc>
          <w:tcPr>
            <w:tcW w:w="1417" w:type="dxa"/>
            <w:hideMark/>
          </w:tcPr>
          <w:p w14:paraId="6EA487C9"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30 (29.4)</w:t>
            </w:r>
          </w:p>
        </w:tc>
        <w:tc>
          <w:tcPr>
            <w:tcW w:w="1559" w:type="dxa"/>
            <w:hideMark/>
          </w:tcPr>
          <w:p w14:paraId="38FA24E7"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11 (25.6)</w:t>
            </w:r>
          </w:p>
        </w:tc>
        <w:tc>
          <w:tcPr>
            <w:tcW w:w="1560" w:type="dxa"/>
            <w:hideMark/>
          </w:tcPr>
          <w:p w14:paraId="6F66878F"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170 (38.7)</w:t>
            </w:r>
          </w:p>
        </w:tc>
        <w:tc>
          <w:tcPr>
            <w:tcW w:w="1417" w:type="dxa"/>
            <w:hideMark/>
          </w:tcPr>
          <w:p w14:paraId="4B6B6A64"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301 (35.6)</w:t>
            </w:r>
          </w:p>
        </w:tc>
      </w:tr>
      <w:tr w:rsidR="007A4E70" w:rsidRPr="00957E32" w14:paraId="5C406DBE" w14:textId="77777777" w:rsidTr="00E80544">
        <w:tc>
          <w:tcPr>
            <w:tcW w:w="2268" w:type="dxa"/>
            <w:hideMark/>
          </w:tcPr>
          <w:p w14:paraId="7A504B0F"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Median age (range), years</w:t>
            </w:r>
          </w:p>
        </w:tc>
        <w:tc>
          <w:tcPr>
            <w:tcW w:w="1560" w:type="dxa"/>
            <w:hideMark/>
          </w:tcPr>
          <w:p w14:paraId="755C829F"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32 (16–81)</w:t>
            </w:r>
          </w:p>
        </w:tc>
        <w:tc>
          <w:tcPr>
            <w:tcW w:w="1417" w:type="dxa"/>
            <w:hideMark/>
          </w:tcPr>
          <w:p w14:paraId="790BF77B"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36 (18–76)</w:t>
            </w:r>
          </w:p>
        </w:tc>
        <w:tc>
          <w:tcPr>
            <w:tcW w:w="1559" w:type="dxa"/>
            <w:hideMark/>
          </w:tcPr>
          <w:p w14:paraId="5B223546"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38 (16–79)</w:t>
            </w:r>
          </w:p>
        </w:tc>
        <w:tc>
          <w:tcPr>
            <w:tcW w:w="1560" w:type="dxa"/>
            <w:hideMark/>
          </w:tcPr>
          <w:p w14:paraId="4A62A78E"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44 (17–86)</w:t>
            </w:r>
          </w:p>
        </w:tc>
        <w:tc>
          <w:tcPr>
            <w:tcW w:w="1417" w:type="dxa"/>
            <w:hideMark/>
          </w:tcPr>
          <w:p w14:paraId="45C2C65B"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38 (16–86)</w:t>
            </w:r>
          </w:p>
        </w:tc>
      </w:tr>
      <w:tr w:rsidR="007A4E70" w:rsidRPr="00957E32" w14:paraId="3989975A" w14:textId="77777777" w:rsidTr="00E80544">
        <w:tc>
          <w:tcPr>
            <w:tcW w:w="2268" w:type="dxa"/>
            <w:hideMark/>
          </w:tcPr>
          <w:p w14:paraId="2EBF0650"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Male, n (%)</w:t>
            </w:r>
          </w:p>
        </w:tc>
        <w:tc>
          <w:tcPr>
            <w:tcW w:w="1560" w:type="dxa"/>
            <w:hideMark/>
          </w:tcPr>
          <w:p w14:paraId="7162014D"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177 (67.8)</w:t>
            </w:r>
          </w:p>
        </w:tc>
        <w:tc>
          <w:tcPr>
            <w:tcW w:w="1417" w:type="dxa"/>
            <w:hideMark/>
          </w:tcPr>
          <w:p w14:paraId="57D8E9CC"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53 (52.0)</w:t>
            </w:r>
          </w:p>
        </w:tc>
        <w:tc>
          <w:tcPr>
            <w:tcW w:w="1559" w:type="dxa"/>
            <w:hideMark/>
          </w:tcPr>
          <w:p w14:paraId="378E167E"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21 (48.8)</w:t>
            </w:r>
          </w:p>
        </w:tc>
        <w:tc>
          <w:tcPr>
            <w:tcW w:w="1560" w:type="dxa"/>
            <w:hideMark/>
          </w:tcPr>
          <w:p w14:paraId="6101C261"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250 (56.9)</w:t>
            </w:r>
          </w:p>
        </w:tc>
        <w:tc>
          <w:tcPr>
            <w:tcW w:w="1417" w:type="dxa"/>
            <w:hideMark/>
          </w:tcPr>
          <w:p w14:paraId="1B8ADE94"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501 (59.3)</w:t>
            </w:r>
          </w:p>
        </w:tc>
      </w:tr>
      <w:tr w:rsidR="007A4E70" w:rsidRPr="00957E32" w14:paraId="1A1EA1F6" w14:textId="77777777" w:rsidTr="00E80544">
        <w:tc>
          <w:tcPr>
            <w:tcW w:w="2268" w:type="dxa"/>
            <w:hideMark/>
          </w:tcPr>
          <w:p w14:paraId="6E802B63"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Ethnic origin, n (%)</w:t>
            </w:r>
          </w:p>
        </w:tc>
        <w:tc>
          <w:tcPr>
            <w:tcW w:w="1560" w:type="dxa"/>
          </w:tcPr>
          <w:p w14:paraId="460D710C" w14:textId="77777777" w:rsidR="00C57C37" w:rsidRPr="00A227A2" w:rsidRDefault="00C57C37" w:rsidP="00C57C37">
            <w:pPr>
              <w:spacing w:line="360" w:lineRule="auto"/>
              <w:rPr>
                <w:rFonts w:ascii="Times New Roman" w:hAnsi="Times New Roman" w:cs="Times New Roman"/>
                <w:sz w:val="20"/>
                <w:szCs w:val="20"/>
              </w:rPr>
            </w:pPr>
          </w:p>
        </w:tc>
        <w:tc>
          <w:tcPr>
            <w:tcW w:w="1417" w:type="dxa"/>
          </w:tcPr>
          <w:p w14:paraId="0CB6AB69" w14:textId="77777777" w:rsidR="00C57C37" w:rsidRPr="00A227A2" w:rsidRDefault="00C57C37" w:rsidP="00C57C37">
            <w:pPr>
              <w:spacing w:line="360" w:lineRule="auto"/>
              <w:rPr>
                <w:rFonts w:ascii="Times New Roman" w:hAnsi="Times New Roman" w:cs="Times New Roman"/>
                <w:sz w:val="20"/>
                <w:szCs w:val="20"/>
              </w:rPr>
            </w:pPr>
          </w:p>
        </w:tc>
        <w:tc>
          <w:tcPr>
            <w:tcW w:w="1559" w:type="dxa"/>
          </w:tcPr>
          <w:p w14:paraId="56DA8AA6" w14:textId="77777777" w:rsidR="00C57C37" w:rsidRPr="00A227A2" w:rsidRDefault="00C57C37" w:rsidP="00C57C37">
            <w:pPr>
              <w:spacing w:line="360" w:lineRule="auto"/>
              <w:rPr>
                <w:rFonts w:ascii="Times New Roman" w:hAnsi="Times New Roman" w:cs="Times New Roman"/>
                <w:sz w:val="20"/>
                <w:szCs w:val="20"/>
              </w:rPr>
            </w:pPr>
          </w:p>
        </w:tc>
        <w:tc>
          <w:tcPr>
            <w:tcW w:w="1560" w:type="dxa"/>
          </w:tcPr>
          <w:p w14:paraId="1905E24A" w14:textId="77777777" w:rsidR="00C57C37" w:rsidRPr="00A227A2" w:rsidRDefault="00C57C37" w:rsidP="00C57C37">
            <w:pPr>
              <w:spacing w:line="360" w:lineRule="auto"/>
              <w:rPr>
                <w:rFonts w:ascii="Times New Roman" w:hAnsi="Times New Roman" w:cs="Times New Roman"/>
                <w:sz w:val="20"/>
                <w:szCs w:val="20"/>
              </w:rPr>
            </w:pPr>
          </w:p>
        </w:tc>
        <w:tc>
          <w:tcPr>
            <w:tcW w:w="1417" w:type="dxa"/>
          </w:tcPr>
          <w:p w14:paraId="11C6FE83" w14:textId="77777777" w:rsidR="00C57C37" w:rsidRPr="00A227A2" w:rsidRDefault="00C57C37" w:rsidP="00C57C37">
            <w:pPr>
              <w:spacing w:line="360" w:lineRule="auto"/>
              <w:rPr>
                <w:rFonts w:ascii="Times New Roman" w:hAnsi="Times New Roman" w:cs="Times New Roman"/>
                <w:sz w:val="20"/>
                <w:szCs w:val="20"/>
              </w:rPr>
            </w:pPr>
          </w:p>
        </w:tc>
      </w:tr>
      <w:tr w:rsidR="007A4E70" w:rsidRPr="00957E32" w14:paraId="0BBC6F2E" w14:textId="77777777" w:rsidTr="00E80544">
        <w:tc>
          <w:tcPr>
            <w:tcW w:w="2268" w:type="dxa"/>
          </w:tcPr>
          <w:p w14:paraId="30075CD8" w14:textId="1424E777" w:rsidR="00C57C37" w:rsidRPr="00A227A2" w:rsidRDefault="00C57C37" w:rsidP="00C57C37">
            <w:pPr>
              <w:spacing w:line="360" w:lineRule="auto"/>
              <w:ind w:left="142"/>
              <w:rPr>
                <w:rFonts w:ascii="Times New Roman" w:hAnsi="Times New Roman" w:cs="Times New Roman"/>
                <w:sz w:val="20"/>
                <w:szCs w:val="20"/>
              </w:rPr>
            </w:pPr>
            <w:r w:rsidRPr="00A227A2">
              <w:rPr>
                <w:rFonts w:ascii="Times New Roman" w:hAnsi="Times New Roman" w:cs="Times New Roman"/>
                <w:sz w:val="20"/>
                <w:szCs w:val="20"/>
              </w:rPr>
              <w:t>Indian Subcontinent</w:t>
            </w:r>
          </w:p>
        </w:tc>
        <w:tc>
          <w:tcPr>
            <w:tcW w:w="1560" w:type="dxa"/>
          </w:tcPr>
          <w:p w14:paraId="25819360" w14:textId="66AE8AFA"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167 (64.0)</w:t>
            </w:r>
          </w:p>
        </w:tc>
        <w:tc>
          <w:tcPr>
            <w:tcW w:w="1417" w:type="dxa"/>
          </w:tcPr>
          <w:p w14:paraId="76FF9998" w14:textId="51167A3A"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61 (59.8)</w:t>
            </w:r>
          </w:p>
        </w:tc>
        <w:tc>
          <w:tcPr>
            <w:tcW w:w="1559" w:type="dxa"/>
          </w:tcPr>
          <w:p w14:paraId="46B4669C" w14:textId="665BE201"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16 (37.2)</w:t>
            </w:r>
          </w:p>
        </w:tc>
        <w:tc>
          <w:tcPr>
            <w:tcW w:w="1560" w:type="dxa"/>
          </w:tcPr>
          <w:p w14:paraId="11D15B65" w14:textId="6DFA1F85"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168 (38.3)</w:t>
            </w:r>
          </w:p>
        </w:tc>
        <w:tc>
          <w:tcPr>
            <w:tcW w:w="1417" w:type="dxa"/>
          </w:tcPr>
          <w:p w14:paraId="27ABFAAC" w14:textId="2F982562"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412 (48.8)</w:t>
            </w:r>
          </w:p>
        </w:tc>
      </w:tr>
      <w:tr w:rsidR="007A4E70" w:rsidRPr="00957E32" w14:paraId="2B6F49BA" w14:textId="77777777" w:rsidTr="00E80544">
        <w:tc>
          <w:tcPr>
            <w:tcW w:w="2268" w:type="dxa"/>
          </w:tcPr>
          <w:p w14:paraId="243820F4" w14:textId="4B30B355" w:rsidR="00C57C37" w:rsidRPr="00A227A2" w:rsidRDefault="00C57C37" w:rsidP="00C57C37">
            <w:pPr>
              <w:spacing w:line="360" w:lineRule="auto"/>
              <w:ind w:left="142"/>
              <w:rPr>
                <w:rFonts w:ascii="Times New Roman" w:hAnsi="Times New Roman" w:cs="Times New Roman"/>
                <w:sz w:val="20"/>
                <w:szCs w:val="20"/>
              </w:rPr>
            </w:pPr>
            <w:r w:rsidRPr="00A227A2">
              <w:rPr>
                <w:rFonts w:ascii="Times New Roman" w:hAnsi="Times New Roman" w:cs="Times New Roman"/>
                <w:sz w:val="20"/>
                <w:szCs w:val="20"/>
              </w:rPr>
              <w:t>Black</w:t>
            </w:r>
          </w:p>
        </w:tc>
        <w:tc>
          <w:tcPr>
            <w:tcW w:w="1560" w:type="dxa"/>
          </w:tcPr>
          <w:p w14:paraId="1854E82A" w14:textId="265CA729"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50 (19.2)</w:t>
            </w:r>
          </w:p>
        </w:tc>
        <w:tc>
          <w:tcPr>
            <w:tcW w:w="1417" w:type="dxa"/>
          </w:tcPr>
          <w:p w14:paraId="0C5B5D97" w14:textId="4B859D38"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22 (21.6)</w:t>
            </w:r>
          </w:p>
        </w:tc>
        <w:tc>
          <w:tcPr>
            <w:tcW w:w="1559" w:type="dxa"/>
          </w:tcPr>
          <w:p w14:paraId="28222487" w14:textId="5FED5891"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10 (23.3)</w:t>
            </w:r>
          </w:p>
        </w:tc>
        <w:tc>
          <w:tcPr>
            <w:tcW w:w="1560" w:type="dxa"/>
          </w:tcPr>
          <w:p w14:paraId="40E00B23" w14:textId="2F6B89BE"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102 (23.2)</w:t>
            </w:r>
          </w:p>
        </w:tc>
        <w:tc>
          <w:tcPr>
            <w:tcW w:w="1417" w:type="dxa"/>
          </w:tcPr>
          <w:p w14:paraId="6E180B1D" w14:textId="4B901A69"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184 (21.8)</w:t>
            </w:r>
          </w:p>
        </w:tc>
      </w:tr>
      <w:tr w:rsidR="007A4E70" w:rsidRPr="00957E32" w14:paraId="34BBB290" w14:textId="77777777" w:rsidTr="00E80544">
        <w:tc>
          <w:tcPr>
            <w:tcW w:w="2268" w:type="dxa"/>
          </w:tcPr>
          <w:p w14:paraId="48E43751" w14:textId="718768BF" w:rsidR="00C57C37" w:rsidRPr="00A227A2" w:rsidRDefault="00C57C37" w:rsidP="00C57C37">
            <w:pPr>
              <w:spacing w:line="360" w:lineRule="auto"/>
              <w:ind w:left="142"/>
              <w:rPr>
                <w:rFonts w:ascii="Times New Roman" w:hAnsi="Times New Roman" w:cs="Times New Roman"/>
                <w:sz w:val="20"/>
                <w:szCs w:val="20"/>
              </w:rPr>
            </w:pPr>
            <w:r w:rsidRPr="00A227A2">
              <w:rPr>
                <w:rFonts w:ascii="Times New Roman" w:hAnsi="Times New Roman" w:cs="Times New Roman"/>
                <w:sz w:val="20"/>
                <w:szCs w:val="20"/>
              </w:rPr>
              <w:t>White</w:t>
            </w:r>
          </w:p>
        </w:tc>
        <w:tc>
          <w:tcPr>
            <w:tcW w:w="1560" w:type="dxa"/>
          </w:tcPr>
          <w:p w14:paraId="762B08AC" w14:textId="72CA5DC5"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22 (8.4)</w:t>
            </w:r>
          </w:p>
        </w:tc>
        <w:tc>
          <w:tcPr>
            <w:tcW w:w="1417" w:type="dxa"/>
          </w:tcPr>
          <w:p w14:paraId="6BF89E0D" w14:textId="587C4E78"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9 (8.8)</w:t>
            </w:r>
          </w:p>
        </w:tc>
        <w:tc>
          <w:tcPr>
            <w:tcW w:w="1559" w:type="dxa"/>
          </w:tcPr>
          <w:p w14:paraId="3BD44465" w14:textId="33DB2DD5"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12 (27.9)</w:t>
            </w:r>
          </w:p>
        </w:tc>
        <w:tc>
          <w:tcPr>
            <w:tcW w:w="1560" w:type="dxa"/>
          </w:tcPr>
          <w:p w14:paraId="5950B147" w14:textId="7A7A0EDB"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126 (28.7)</w:t>
            </w:r>
          </w:p>
        </w:tc>
        <w:tc>
          <w:tcPr>
            <w:tcW w:w="1417" w:type="dxa"/>
          </w:tcPr>
          <w:p w14:paraId="07ADE1CA" w14:textId="3798D68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169 (20.0)</w:t>
            </w:r>
          </w:p>
        </w:tc>
      </w:tr>
      <w:tr w:rsidR="007A4E70" w:rsidRPr="00957E32" w14:paraId="1532624B" w14:textId="77777777" w:rsidTr="00E80544">
        <w:tc>
          <w:tcPr>
            <w:tcW w:w="2268" w:type="dxa"/>
          </w:tcPr>
          <w:p w14:paraId="676C3784" w14:textId="7252068F" w:rsidR="00C57C37" w:rsidRPr="00A227A2" w:rsidRDefault="00C57C37" w:rsidP="00C57C37">
            <w:pPr>
              <w:spacing w:line="360" w:lineRule="auto"/>
              <w:ind w:left="142"/>
              <w:rPr>
                <w:rFonts w:ascii="Times New Roman" w:hAnsi="Times New Roman" w:cs="Times New Roman"/>
                <w:sz w:val="20"/>
                <w:szCs w:val="20"/>
              </w:rPr>
            </w:pPr>
            <w:r w:rsidRPr="00A227A2">
              <w:rPr>
                <w:rFonts w:ascii="Times New Roman" w:hAnsi="Times New Roman" w:cs="Times New Roman"/>
                <w:sz w:val="20"/>
                <w:szCs w:val="20"/>
              </w:rPr>
              <w:t>Asian</w:t>
            </w:r>
          </w:p>
        </w:tc>
        <w:tc>
          <w:tcPr>
            <w:tcW w:w="1560" w:type="dxa"/>
          </w:tcPr>
          <w:p w14:paraId="3D9A9FB7" w14:textId="4FD282AD"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16 (6.1)</w:t>
            </w:r>
          </w:p>
        </w:tc>
        <w:tc>
          <w:tcPr>
            <w:tcW w:w="1417" w:type="dxa"/>
          </w:tcPr>
          <w:p w14:paraId="6FEE045F" w14:textId="59EC01E2"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6 (5.9)</w:t>
            </w:r>
          </w:p>
        </w:tc>
        <w:tc>
          <w:tcPr>
            <w:tcW w:w="1559" w:type="dxa"/>
          </w:tcPr>
          <w:p w14:paraId="192AA900" w14:textId="4E112F8A"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5 (11.6)</w:t>
            </w:r>
          </w:p>
        </w:tc>
        <w:tc>
          <w:tcPr>
            <w:tcW w:w="1560" w:type="dxa"/>
          </w:tcPr>
          <w:p w14:paraId="14A21B7A" w14:textId="0459A551"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14 (3.2)</w:t>
            </w:r>
          </w:p>
        </w:tc>
        <w:tc>
          <w:tcPr>
            <w:tcW w:w="1417" w:type="dxa"/>
          </w:tcPr>
          <w:p w14:paraId="2A04CCD2" w14:textId="7E27C24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41 (4.9)</w:t>
            </w:r>
          </w:p>
        </w:tc>
      </w:tr>
      <w:tr w:rsidR="007A4E70" w:rsidRPr="00957E32" w14:paraId="3B087E61" w14:textId="77777777" w:rsidTr="00E80544">
        <w:tc>
          <w:tcPr>
            <w:tcW w:w="2268" w:type="dxa"/>
            <w:hideMark/>
          </w:tcPr>
          <w:p w14:paraId="450DE550" w14:textId="77777777" w:rsidR="00C57C37" w:rsidRPr="00A227A2" w:rsidRDefault="00C57C37" w:rsidP="00C57C37">
            <w:pPr>
              <w:spacing w:line="360" w:lineRule="auto"/>
              <w:ind w:left="142"/>
              <w:rPr>
                <w:rFonts w:ascii="Times New Roman" w:hAnsi="Times New Roman" w:cs="Times New Roman"/>
                <w:sz w:val="20"/>
                <w:szCs w:val="20"/>
              </w:rPr>
            </w:pPr>
            <w:r w:rsidRPr="00A227A2">
              <w:rPr>
                <w:rFonts w:ascii="Times New Roman" w:hAnsi="Times New Roman" w:cs="Times New Roman"/>
                <w:sz w:val="20"/>
                <w:szCs w:val="20"/>
              </w:rPr>
              <w:t>Middle Eastern</w:t>
            </w:r>
          </w:p>
        </w:tc>
        <w:tc>
          <w:tcPr>
            <w:tcW w:w="1560" w:type="dxa"/>
            <w:hideMark/>
          </w:tcPr>
          <w:p w14:paraId="4123037B"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4 (1.5)</w:t>
            </w:r>
          </w:p>
        </w:tc>
        <w:tc>
          <w:tcPr>
            <w:tcW w:w="1417" w:type="dxa"/>
            <w:hideMark/>
          </w:tcPr>
          <w:p w14:paraId="77496238"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0</w:t>
            </w:r>
          </w:p>
        </w:tc>
        <w:tc>
          <w:tcPr>
            <w:tcW w:w="1559" w:type="dxa"/>
            <w:hideMark/>
          </w:tcPr>
          <w:p w14:paraId="5549E4B2"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0</w:t>
            </w:r>
          </w:p>
        </w:tc>
        <w:tc>
          <w:tcPr>
            <w:tcW w:w="1560" w:type="dxa"/>
            <w:hideMark/>
          </w:tcPr>
          <w:p w14:paraId="0ED75F27"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12 (2.7)</w:t>
            </w:r>
          </w:p>
        </w:tc>
        <w:tc>
          <w:tcPr>
            <w:tcW w:w="1417" w:type="dxa"/>
            <w:hideMark/>
          </w:tcPr>
          <w:p w14:paraId="776A1084"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16 (1.9)</w:t>
            </w:r>
          </w:p>
        </w:tc>
      </w:tr>
      <w:tr w:rsidR="007A4E70" w:rsidRPr="00957E32" w14:paraId="729D634B" w14:textId="77777777" w:rsidTr="00E80544">
        <w:tc>
          <w:tcPr>
            <w:tcW w:w="2268" w:type="dxa"/>
            <w:hideMark/>
          </w:tcPr>
          <w:p w14:paraId="4FE534C4" w14:textId="77777777" w:rsidR="00C57C37" w:rsidRPr="00A227A2" w:rsidRDefault="00C57C37" w:rsidP="00C57C37">
            <w:pPr>
              <w:spacing w:line="360" w:lineRule="auto"/>
              <w:ind w:left="142"/>
              <w:rPr>
                <w:rFonts w:ascii="Times New Roman" w:hAnsi="Times New Roman" w:cs="Times New Roman"/>
                <w:sz w:val="20"/>
                <w:szCs w:val="20"/>
              </w:rPr>
            </w:pPr>
            <w:r w:rsidRPr="00A227A2">
              <w:rPr>
                <w:rFonts w:ascii="Times New Roman" w:hAnsi="Times New Roman" w:cs="Times New Roman"/>
                <w:sz w:val="20"/>
                <w:szCs w:val="20"/>
              </w:rPr>
              <w:t>Mixed</w:t>
            </w:r>
          </w:p>
        </w:tc>
        <w:tc>
          <w:tcPr>
            <w:tcW w:w="1560" w:type="dxa"/>
            <w:hideMark/>
          </w:tcPr>
          <w:p w14:paraId="272621C4"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1 (0.4)</w:t>
            </w:r>
          </w:p>
        </w:tc>
        <w:tc>
          <w:tcPr>
            <w:tcW w:w="1417" w:type="dxa"/>
            <w:hideMark/>
          </w:tcPr>
          <w:p w14:paraId="7CEA1884"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4 (3.9)</w:t>
            </w:r>
          </w:p>
        </w:tc>
        <w:tc>
          <w:tcPr>
            <w:tcW w:w="1559" w:type="dxa"/>
            <w:hideMark/>
          </w:tcPr>
          <w:p w14:paraId="3BBB889F"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0</w:t>
            </w:r>
          </w:p>
        </w:tc>
        <w:tc>
          <w:tcPr>
            <w:tcW w:w="1560" w:type="dxa"/>
            <w:hideMark/>
          </w:tcPr>
          <w:p w14:paraId="24752197"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8 (1.8)</w:t>
            </w:r>
          </w:p>
        </w:tc>
        <w:tc>
          <w:tcPr>
            <w:tcW w:w="1417" w:type="dxa"/>
            <w:hideMark/>
          </w:tcPr>
          <w:p w14:paraId="3C9671ED"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13 (1.5)</w:t>
            </w:r>
          </w:p>
        </w:tc>
      </w:tr>
      <w:tr w:rsidR="007A4E70" w:rsidRPr="00957E32" w14:paraId="549B1CF0" w14:textId="77777777" w:rsidTr="00E80544">
        <w:tc>
          <w:tcPr>
            <w:tcW w:w="2268" w:type="dxa"/>
          </w:tcPr>
          <w:p w14:paraId="1AF7180E" w14:textId="5655244A" w:rsidR="00C57C37" w:rsidRPr="00A227A2" w:rsidRDefault="00C57C37" w:rsidP="00C57C37">
            <w:pPr>
              <w:spacing w:line="360" w:lineRule="auto"/>
              <w:ind w:left="142"/>
              <w:rPr>
                <w:rFonts w:ascii="Times New Roman" w:hAnsi="Times New Roman" w:cs="Times New Roman"/>
                <w:sz w:val="20"/>
                <w:szCs w:val="20"/>
              </w:rPr>
            </w:pPr>
            <w:r w:rsidRPr="00A227A2">
              <w:rPr>
                <w:rFonts w:ascii="Times New Roman" w:hAnsi="Times New Roman" w:cs="Times New Roman"/>
                <w:sz w:val="20"/>
                <w:szCs w:val="20"/>
              </w:rPr>
              <w:t>Hispanic</w:t>
            </w:r>
          </w:p>
        </w:tc>
        <w:tc>
          <w:tcPr>
            <w:tcW w:w="1560" w:type="dxa"/>
          </w:tcPr>
          <w:p w14:paraId="14628277" w14:textId="1B5E0686"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1 (0.4)</w:t>
            </w:r>
          </w:p>
        </w:tc>
        <w:tc>
          <w:tcPr>
            <w:tcW w:w="1417" w:type="dxa"/>
          </w:tcPr>
          <w:p w14:paraId="2233DD9C" w14:textId="012CFBC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0</w:t>
            </w:r>
          </w:p>
        </w:tc>
        <w:tc>
          <w:tcPr>
            <w:tcW w:w="1559" w:type="dxa"/>
          </w:tcPr>
          <w:p w14:paraId="3AC95D00" w14:textId="35C3C481"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0</w:t>
            </w:r>
          </w:p>
        </w:tc>
        <w:tc>
          <w:tcPr>
            <w:tcW w:w="1560" w:type="dxa"/>
          </w:tcPr>
          <w:p w14:paraId="5A018CBC" w14:textId="32566015"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7 (1.6)</w:t>
            </w:r>
          </w:p>
        </w:tc>
        <w:tc>
          <w:tcPr>
            <w:tcW w:w="1417" w:type="dxa"/>
          </w:tcPr>
          <w:p w14:paraId="0880E9EF" w14:textId="36B0D50E"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8 (0.9)</w:t>
            </w:r>
          </w:p>
        </w:tc>
      </w:tr>
      <w:tr w:rsidR="007A4E70" w:rsidRPr="00957E32" w14:paraId="46CEDF69" w14:textId="77777777" w:rsidTr="00E80544">
        <w:tc>
          <w:tcPr>
            <w:tcW w:w="2268" w:type="dxa"/>
            <w:hideMark/>
          </w:tcPr>
          <w:p w14:paraId="5DB1F5FB" w14:textId="77777777" w:rsidR="00C57C37" w:rsidRPr="00A227A2" w:rsidRDefault="00C57C37" w:rsidP="00C57C37">
            <w:pPr>
              <w:spacing w:line="360" w:lineRule="auto"/>
              <w:ind w:left="142"/>
              <w:rPr>
                <w:rFonts w:ascii="Times New Roman" w:hAnsi="Times New Roman" w:cs="Times New Roman"/>
                <w:sz w:val="20"/>
                <w:szCs w:val="20"/>
              </w:rPr>
            </w:pPr>
            <w:r w:rsidRPr="00A227A2">
              <w:rPr>
                <w:rFonts w:ascii="Times New Roman" w:hAnsi="Times New Roman" w:cs="Times New Roman"/>
                <w:sz w:val="20"/>
                <w:szCs w:val="20"/>
              </w:rPr>
              <w:t>Unknown</w:t>
            </w:r>
          </w:p>
        </w:tc>
        <w:tc>
          <w:tcPr>
            <w:tcW w:w="1560" w:type="dxa"/>
            <w:hideMark/>
          </w:tcPr>
          <w:p w14:paraId="0F369360"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0</w:t>
            </w:r>
          </w:p>
        </w:tc>
        <w:tc>
          <w:tcPr>
            <w:tcW w:w="1417" w:type="dxa"/>
            <w:hideMark/>
          </w:tcPr>
          <w:p w14:paraId="3BC080A6"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0</w:t>
            </w:r>
          </w:p>
        </w:tc>
        <w:tc>
          <w:tcPr>
            <w:tcW w:w="1559" w:type="dxa"/>
            <w:hideMark/>
          </w:tcPr>
          <w:p w14:paraId="631431AD"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0</w:t>
            </w:r>
          </w:p>
        </w:tc>
        <w:tc>
          <w:tcPr>
            <w:tcW w:w="1560" w:type="dxa"/>
            <w:hideMark/>
          </w:tcPr>
          <w:p w14:paraId="18C29DBB"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2 (0.5)</w:t>
            </w:r>
          </w:p>
        </w:tc>
        <w:tc>
          <w:tcPr>
            <w:tcW w:w="1417" w:type="dxa"/>
            <w:hideMark/>
          </w:tcPr>
          <w:p w14:paraId="7D29C747"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2 (0.2)</w:t>
            </w:r>
          </w:p>
        </w:tc>
      </w:tr>
      <w:tr w:rsidR="007A4E70" w:rsidRPr="00957E32" w14:paraId="5982B979" w14:textId="77777777" w:rsidTr="00E80544">
        <w:tc>
          <w:tcPr>
            <w:tcW w:w="2268" w:type="dxa"/>
            <w:hideMark/>
          </w:tcPr>
          <w:p w14:paraId="095D9949"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Median years in UK (range)</w:t>
            </w:r>
          </w:p>
        </w:tc>
        <w:tc>
          <w:tcPr>
            <w:tcW w:w="1560" w:type="dxa"/>
            <w:hideMark/>
          </w:tcPr>
          <w:p w14:paraId="66CE4CB3"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4.9 (0.1–52.9)</w:t>
            </w:r>
          </w:p>
        </w:tc>
        <w:tc>
          <w:tcPr>
            <w:tcW w:w="1417" w:type="dxa"/>
            <w:hideMark/>
          </w:tcPr>
          <w:p w14:paraId="13615E4D"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6.1 (0.3–59.7)</w:t>
            </w:r>
          </w:p>
        </w:tc>
        <w:tc>
          <w:tcPr>
            <w:tcW w:w="1559" w:type="dxa"/>
            <w:hideMark/>
          </w:tcPr>
          <w:p w14:paraId="196B5956"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10.5 (0.4–56.9)</w:t>
            </w:r>
          </w:p>
        </w:tc>
        <w:tc>
          <w:tcPr>
            <w:tcW w:w="1560" w:type="dxa"/>
            <w:hideMark/>
          </w:tcPr>
          <w:p w14:paraId="464EF5E8"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13.2 (0.0–60.3)</w:t>
            </w:r>
          </w:p>
        </w:tc>
        <w:tc>
          <w:tcPr>
            <w:tcW w:w="1417" w:type="dxa"/>
            <w:hideMark/>
          </w:tcPr>
          <w:p w14:paraId="5E3CB1ED"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8.3 (0.0–60.3)</w:t>
            </w:r>
          </w:p>
        </w:tc>
      </w:tr>
      <w:tr w:rsidR="007A4E70" w:rsidRPr="00957E32" w14:paraId="4E494E2D" w14:textId="77777777" w:rsidTr="00E80544">
        <w:tc>
          <w:tcPr>
            <w:tcW w:w="2268" w:type="dxa"/>
            <w:hideMark/>
          </w:tcPr>
          <w:p w14:paraId="071231C6"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Profession, n (%)</w:t>
            </w:r>
            <w:r w:rsidRPr="00A227A2">
              <w:rPr>
                <w:rFonts w:ascii="Times New Roman" w:hAnsi="Times New Roman" w:cs="Times New Roman"/>
                <w:sz w:val="20"/>
                <w:szCs w:val="20"/>
                <w:vertAlign w:val="superscript"/>
              </w:rPr>
              <w:t>a</w:t>
            </w:r>
          </w:p>
        </w:tc>
        <w:tc>
          <w:tcPr>
            <w:tcW w:w="1560" w:type="dxa"/>
          </w:tcPr>
          <w:p w14:paraId="600C3219" w14:textId="77777777" w:rsidR="00C57C37" w:rsidRPr="00A227A2" w:rsidRDefault="00C57C37" w:rsidP="00C57C37">
            <w:pPr>
              <w:spacing w:line="360" w:lineRule="auto"/>
              <w:rPr>
                <w:rFonts w:ascii="Times New Roman" w:hAnsi="Times New Roman" w:cs="Times New Roman"/>
                <w:sz w:val="20"/>
                <w:szCs w:val="20"/>
              </w:rPr>
            </w:pPr>
          </w:p>
        </w:tc>
        <w:tc>
          <w:tcPr>
            <w:tcW w:w="1417" w:type="dxa"/>
          </w:tcPr>
          <w:p w14:paraId="4EEAD9A0" w14:textId="77777777" w:rsidR="00C57C37" w:rsidRPr="00A227A2" w:rsidRDefault="00C57C37" w:rsidP="00C57C37">
            <w:pPr>
              <w:spacing w:line="360" w:lineRule="auto"/>
              <w:rPr>
                <w:rFonts w:ascii="Times New Roman" w:hAnsi="Times New Roman" w:cs="Times New Roman"/>
                <w:sz w:val="20"/>
                <w:szCs w:val="20"/>
              </w:rPr>
            </w:pPr>
          </w:p>
        </w:tc>
        <w:tc>
          <w:tcPr>
            <w:tcW w:w="1559" w:type="dxa"/>
          </w:tcPr>
          <w:p w14:paraId="22ABA239" w14:textId="77777777" w:rsidR="00C57C37" w:rsidRPr="00A227A2" w:rsidRDefault="00C57C37" w:rsidP="00C57C37">
            <w:pPr>
              <w:spacing w:line="360" w:lineRule="auto"/>
              <w:rPr>
                <w:rFonts w:ascii="Times New Roman" w:hAnsi="Times New Roman" w:cs="Times New Roman"/>
                <w:sz w:val="20"/>
                <w:szCs w:val="20"/>
              </w:rPr>
            </w:pPr>
          </w:p>
        </w:tc>
        <w:tc>
          <w:tcPr>
            <w:tcW w:w="1560" w:type="dxa"/>
          </w:tcPr>
          <w:p w14:paraId="2D7B290B" w14:textId="77777777" w:rsidR="00C57C37" w:rsidRPr="00A227A2" w:rsidRDefault="00C57C37" w:rsidP="00C57C37">
            <w:pPr>
              <w:spacing w:line="360" w:lineRule="auto"/>
              <w:rPr>
                <w:rFonts w:ascii="Times New Roman" w:hAnsi="Times New Roman" w:cs="Times New Roman"/>
                <w:sz w:val="20"/>
                <w:szCs w:val="20"/>
              </w:rPr>
            </w:pPr>
          </w:p>
        </w:tc>
        <w:tc>
          <w:tcPr>
            <w:tcW w:w="1417" w:type="dxa"/>
          </w:tcPr>
          <w:p w14:paraId="68E257A5" w14:textId="77777777" w:rsidR="00C57C37" w:rsidRPr="00A227A2" w:rsidRDefault="00C57C37" w:rsidP="00C57C37">
            <w:pPr>
              <w:spacing w:line="360" w:lineRule="auto"/>
              <w:rPr>
                <w:rFonts w:ascii="Times New Roman" w:hAnsi="Times New Roman" w:cs="Times New Roman"/>
                <w:sz w:val="20"/>
                <w:szCs w:val="20"/>
              </w:rPr>
            </w:pPr>
          </w:p>
        </w:tc>
      </w:tr>
      <w:tr w:rsidR="007A4E70" w:rsidRPr="00957E32" w14:paraId="2208C298" w14:textId="77777777" w:rsidTr="00E80544">
        <w:tc>
          <w:tcPr>
            <w:tcW w:w="2268" w:type="dxa"/>
            <w:hideMark/>
          </w:tcPr>
          <w:p w14:paraId="6D48EA23" w14:textId="77777777" w:rsidR="00C57C37" w:rsidRPr="00A227A2" w:rsidRDefault="00C57C37" w:rsidP="00C57C37">
            <w:pPr>
              <w:spacing w:line="360" w:lineRule="auto"/>
              <w:ind w:left="142"/>
              <w:rPr>
                <w:rFonts w:ascii="Times New Roman" w:hAnsi="Times New Roman" w:cs="Times New Roman"/>
                <w:sz w:val="20"/>
                <w:szCs w:val="20"/>
              </w:rPr>
            </w:pPr>
            <w:r w:rsidRPr="00A227A2">
              <w:rPr>
                <w:rFonts w:ascii="Times New Roman" w:hAnsi="Times New Roman" w:cs="Times New Roman"/>
                <w:sz w:val="20"/>
                <w:szCs w:val="20"/>
              </w:rPr>
              <w:t>Paid employment</w:t>
            </w:r>
          </w:p>
        </w:tc>
        <w:tc>
          <w:tcPr>
            <w:tcW w:w="1560" w:type="dxa"/>
            <w:hideMark/>
          </w:tcPr>
          <w:p w14:paraId="214B4018"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130 (49.8)</w:t>
            </w:r>
          </w:p>
        </w:tc>
        <w:tc>
          <w:tcPr>
            <w:tcW w:w="1417" w:type="dxa"/>
            <w:hideMark/>
          </w:tcPr>
          <w:p w14:paraId="5EE6AA77"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52 (51.0)</w:t>
            </w:r>
          </w:p>
        </w:tc>
        <w:tc>
          <w:tcPr>
            <w:tcW w:w="1559" w:type="dxa"/>
            <w:hideMark/>
          </w:tcPr>
          <w:p w14:paraId="52267796"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21 (48.8)</w:t>
            </w:r>
          </w:p>
        </w:tc>
        <w:tc>
          <w:tcPr>
            <w:tcW w:w="1560" w:type="dxa"/>
            <w:hideMark/>
          </w:tcPr>
          <w:p w14:paraId="28C6A5F6"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214 (48.7)</w:t>
            </w:r>
          </w:p>
        </w:tc>
        <w:tc>
          <w:tcPr>
            <w:tcW w:w="1417" w:type="dxa"/>
            <w:hideMark/>
          </w:tcPr>
          <w:p w14:paraId="67D99A7E"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417 (49.4)</w:t>
            </w:r>
          </w:p>
        </w:tc>
      </w:tr>
      <w:tr w:rsidR="007A4E70" w:rsidRPr="00957E32" w14:paraId="5EDF00C1" w14:textId="77777777" w:rsidTr="00E80544">
        <w:tc>
          <w:tcPr>
            <w:tcW w:w="2268" w:type="dxa"/>
            <w:hideMark/>
          </w:tcPr>
          <w:p w14:paraId="451E0D7F" w14:textId="6E305073" w:rsidR="00C57C37" w:rsidRPr="00A227A2" w:rsidRDefault="009C2BA9" w:rsidP="00C57C37">
            <w:pPr>
              <w:spacing w:line="360" w:lineRule="auto"/>
              <w:ind w:left="142"/>
              <w:rPr>
                <w:rFonts w:ascii="Times New Roman" w:hAnsi="Times New Roman" w:cs="Times New Roman"/>
                <w:sz w:val="20"/>
                <w:szCs w:val="20"/>
              </w:rPr>
            </w:pPr>
            <w:r>
              <w:rPr>
                <w:rFonts w:ascii="Times New Roman" w:hAnsi="Times New Roman" w:cs="Times New Roman"/>
                <w:sz w:val="20"/>
                <w:szCs w:val="20"/>
              </w:rPr>
              <w:t>Unemployed</w:t>
            </w:r>
          </w:p>
        </w:tc>
        <w:tc>
          <w:tcPr>
            <w:tcW w:w="1560" w:type="dxa"/>
            <w:hideMark/>
          </w:tcPr>
          <w:p w14:paraId="2CF89788"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62 (23.8)</w:t>
            </w:r>
          </w:p>
        </w:tc>
        <w:tc>
          <w:tcPr>
            <w:tcW w:w="1417" w:type="dxa"/>
            <w:hideMark/>
          </w:tcPr>
          <w:p w14:paraId="57DA0071"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24 (23.5)</w:t>
            </w:r>
          </w:p>
        </w:tc>
        <w:tc>
          <w:tcPr>
            <w:tcW w:w="1559" w:type="dxa"/>
            <w:hideMark/>
          </w:tcPr>
          <w:p w14:paraId="614FC631"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16 (37.2)</w:t>
            </w:r>
          </w:p>
        </w:tc>
        <w:tc>
          <w:tcPr>
            <w:tcW w:w="1560" w:type="dxa"/>
            <w:hideMark/>
          </w:tcPr>
          <w:p w14:paraId="4C732928"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164 (37.4)</w:t>
            </w:r>
          </w:p>
        </w:tc>
        <w:tc>
          <w:tcPr>
            <w:tcW w:w="1417" w:type="dxa"/>
            <w:hideMark/>
          </w:tcPr>
          <w:p w14:paraId="78FEB7D3"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266 (31.5)</w:t>
            </w:r>
          </w:p>
        </w:tc>
      </w:tr>
      <w:tr w:rsidR="007A4E70" w:rsidRPr="00957E32" w14:paraId="42349822" w14:textId="77777777" w:rsidTr="00E80544">
        <w:tc>
          <w:tcPr>
            <w:tcW w:w="2268" w:type="dxa"/>
            <w:hideMark/>
          </w:tcPr>
          <w:p w14:paraId="2C2CC38E" w14:textId="77777777" w:rsidR="00C57C37" w:rsidRPr="00A227A2" w:rsidRDefault="00C57C37" w:rsidP="00C57C37">
            <w:pPr>
              <w:spacing w:line="360" w:lineRule="auto"/>
              <w:ind w:left="142"/>
              <w:rPr>
                <w:rFonts w:ascii="Times New Roman" w:hAnsi="Times New Roman" w:cs="Times New Roman"/>
                <w:sz w:val="20"/>
                <w:szCs w:val="20"/>
              </w:rPr>
            </w:pPr>
            <w:r w:rsidRPr="00A227A2">
              <w:rPr>
                <w:rFonts w:ascii="Times New Roman" w:hAnsi="Times New Roman" w:cs="Times New Roman"/>
                <w:sz w:val="20"/>
                <w:szCs w:val="20"/>
              </w:rPr>
              <w:t>Student</w:t>
            </w:r>
          </w:p>
        </w:tc>
        <w:tc>
          <w:tcPr>
            <w:tcW w:w="1560" w:type="dxa"/>
            <w:hideMark/>
          </w:tcPr>
          <w:p w14:paraId="4C56F773"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50 (19.2)</w:t>
            </w:r>
          </w:p>
        </w:tc>
        <w:tc>
          <w:tcPr>
            <w:tcW w:w="1417" w:type="dxa"/>
            <w:hideMark/>
          </w:tcPr>
          <w:p w14:paraId="3F5FE0F3"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13 (12.8)</w:t>
            </w:r>
          </w:p>
        </w:tc>
        <w:tc>
          <w:tcPr>
            <w:tcW w:w="1559" w:type="dxa"/>
            <w:hideMark/>
          </w:tcPr>
          <w:p w14:paraId="5C45B2E0"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3 (7.0)</w:t>
            </w:r>
          </w:p>
        </w:tc>
        <w:tc>
          <w:tcPr>
            <w:tcW w:w="1560" w:type="dxa"/>
            <w:hideMark/>
          </w:tcPr>
          <w:p w14:paraId="78EC2B17"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26 (5.9)</w:t>
            </w:r>
          </w:p>
        </w:tc>
        <w:tc>
          <w:tcPr>
            <w:tcW w:w="1417" w:type="dxa"/>
            <w:hideMark/>
          </w:tcPr>
          <w:p w14:paraId="173E0AE4"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92 (10.9)</w:t>
            </w:r>
          </w:p>
        </w:tc>
      </w:tr>
      <w:tr w:rsidR="007A4E70" w:rsidRPr="00957E32" w14:paraId="64F06AB8" w14:textId="77777777" w:rsidTr="00E80544">
        <w:tc>
          <w:tcPr>
            <w:tcW w:w="2268" w:type="dxa"/>
            <w:hideMark/>
          </w:tcPr>
          <w:p w14:paraId="76BD18E1" w14:textId="77777777" w:rsidR="00C57C37" w:rsidRPr="00A227A2" w:rsidRDefault="00C57C37" w:rsidP="00C57C37">
            <w:pPr>
              <w:spacing w:line="360" w:lineRule="auto"/>
              <w:ind w:left="142"/>
              <w:rPr>
                <w:rFonts w:ascii="Times New Roman" w:hAnsi="Times New Roman" w:cs="Times New Roman"/>
                <w:sz w:val="20"/>
                <w:szCs w:val="20"/>
              </w:rPr>
            </w:pPr>
            <w:r w:rsidRPr="00A227A2">
              <w:rPr>
                <w:rFonts w:ascii="Times New Roman" w:hAnsi="Times New Roman" w:cs="Times New Roman"/>
                <w:sz w:val="20"/>
                <w:szCs w:val="20"/>
              </w:rPr>
              <w:t>Healthcare/laboratory worker</w:t>
            </w:r>
          </w:p>
        </w:tc>
        <w:tc>
          <w:tcPr>
            <w:tcW w:w="1560" w:type="dxa"/>
            <w:hideMark/>
          </w:tcPr>
          <w:p w14:paraId="4F706959"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16 (6.1)</w:t>
            </w:r>
          </w:p>
        </w:tc>
        <w:tc>
          <w:tcPr>
            <w:tcW w:w="1417" w:type="dxa"/>
            <w:hideMark/>
          </w:tcPr>
          <w:p w14:paraId="26864DAE"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9 (8.8)</w:t>
            </w:r>
          </w:p>
        </w:tc>
        <w:tc>
          <w:tcPr>
            <w:tcW w:w="1559" w:type="dxa"/>
            <w:hideMark/>
          </w:tcPr>
          <w:p w14:paraId="095ED798"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2 (4.7)</w:t>
            </w:r>
          </w:p>
        </w:tc>
        <w:tc>
          <w:tcPr>
            <w:tcW w:w="1560" w:type="dxa"/>
            <w:hideMark/>
          </w:tcPr>
          <w:p w14:paraId="16818B5B"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24 (5.5)</w:t>
            </w:r>
          </w:p>
        </w:tc>
        <w:tc>
          <w:tcPr>
            <w:tcW w:w="1417" w:type="dxa"/>
            <w:hideMark/>
          </w:tcPr>
          <w:p w14:paraId="02CBF130"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51 (6.0)</w:t>
            </w:r>
          </w:p>
        </w:tc>
      </w:tr>
      <w:tr w:rsidR="007A4E70" w:rsidRPr="00957E32" w14:paraId="70921F42" w14:textId="77777777" w:rsidTr="00E80544">
        <w:tc>
          <w:tcPr>
            <w:tcW w:w="2268" w:type="dxa"/>
            <w:hideMark/>
          </w:tcPr>
          <w:p w14:paraId="763AFC18" w14:textId="77777777" w:rsidR="00C57C37" w:rsidRPr="00A227A2" w:rsidRDefault="00C57C37" w:rsidP="00C57C37">
            <w:pPr>
              <w:spacing w:line="360" w:lineRule="auto"/>
              <w:ind w:left="142"/>
              <w:rPr>
                <w:rFonts w:ascii="Times New Roman" w:hAnsi="Times New Roman" w:cs="Times New Roman"/>
                <w:sz w:val="20"/>
                <w:szCs w:val="20"/>
              </w:rPr>
            </w:pPr>
            <w:r w:rsidRPr="00A227A2">
              <w:rPr>
                <w:rFonts w:ascii="Times New Roman" w:hAnsi="Times New Roman" w:cs="Times New Roman"/>
                <w:sz w:val="20"/>
                <w:szCs w:val="20"/>
              </w:rPr>
              <w:t>Social/prison worker</w:t>
            </w:r>
          </w:p>
        </w:tc>
        <w:tc>
          <w:tcPr>
            <w:tcW w:w="1560" w:type="dxa"/>
            <w:hideMark/>
          </w:tcPr>
          <w:p w14:paraId="4FE62119"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1 (0.4)</w:t>
            </w:r>
          </w:p>
        </w:tc>
        <w:tc>
          <w:tcPr>
            <w:tcW w:w="1417" w:type="dxa"/>
            <w:hideMark/>
          </w:tcPr>
          <w:p w14:paraId="4A90AA00"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1 (1.0)</w:t>
            </w:r>
          </w:p>
        </w:tc>
        <w:tc>
          <w:tcPr>
            <w:tcW w:w="1559" w:type="dxa"/>
            <w:hideMark/>
          </w:tcPr>
          <w:p w14:paraId="2AD6ADC0"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0</w:t>
            </w:r>
          </w:p>
        </w:tc>
        <w:tc>
          <w:tcPr>
            <w:tcW w:w="1560" w:type="dxa"/>
            <w:hideMark/>
          </w:tcPr>
          <w:p w14:paraId="08D459DF"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2 (0.5)</w:t>
            </w:r>
          </w:p>
        </w:tc>
        <w:tc>
          <w:tcPr>
            <w:tcW w:w="1417" w:type="dxa"/>
            <w:hideMark/>
          </w:tcPr>
          <w:p w14:paraId="55887F8D"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4 (0.5)</w:t>
            </w:r>
          </w:p>
        </w:tc>
      </w:tr>
      <w:tr w:rsidR="007A4E70" w:rsidRPr="00957E32" w14:paraId="6474CD60" w14:textId="77777777" w:rsidTr="00E80544">
        <w:tc>
          <w:tcPr>
            <w:tcW w:w="2268" w:type="dxa"/>
            <w:hideMark/>
          </w:tcPr>
          <w:p w14:paraId="30C61B6B" w14:textId="77777777" w:rsidR="00C57C37" w:rsidRPr="00A227A2" w:rsidRDefault="00C57C37" w:rsidP="00C57C37">
            <w:pPr>
              <w:spacing w:line="360" w:lineRule="auto"/>
              <w:ind w:left="142"/>
              <w:rPr>
                <w:rFonts w:ascii="Times New Roman" w:hAnsi="Times New Roman" w:cs="Times New Roman"/>
                <w:sz w:val="20"/>
                <w:szCs w:val="20"/>
              </w:rPr>
            </w:pPr>
            <w:r w:rsidRPr="00A227A2">
              <w:rPr>
                <w:rFonts w:ascii="Times New Roman" w:hAnsi="Times New Roman" w:cs="Times New Roman"/>
                <w:sz w:val="20"/>
                <w:szCs w:val="20"/>
              </w:rPr>
              <w:t>Sex worker</w:t>
            </w:r>
          </w:p>
        </w:tc>
        <w:tc>
          <w:tcPr>
            <w:tcW w:w="1560" w:type="dxa"/>
            <w:hideMark/>
          </w:tcPr>
          <w:p w14:paraId="3B1695B0"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0</w:t>
            </w:r>
          </w:p>
        </w:tc>
        <w:tc>
          <w:tcPr>
            <w:tcW w:w="1417" w:type="dxa"/>
            <w:hideMark/>
          </w:tcPr>
          <w:p w14:paraId="6C795528"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1 (1.0)</w:t>
            </w:r>
          </w:p>
        </w:tc>
        <w:tc>
          <w:tcPr>
            <w:tcW w:w="1559" w:type="dxa"/>
            <w:hideMark/>
          </w:tcPr>
          <w:p w14:paraId="05C4BFAB"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0</w:t>
            </w:r>
          </w:p>
        </w:tc>
        <w:tc>
          <w:tcPr>
            <w:tcW w:w="1560" w:type="dxa"/>
            <w:hideMark/>
          </w:tcPr>
          <w:p w14:paraId="67F9B865"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2 (0.5)</w:t>
            </w:r>
          </w:p>
        </w:tc>
        <w:tc>
          <w:tcPr>
            <w:tcW w:w="1417" w:type="dxa"/>
            <w:hideMark/>
          </w:tcPr>
          <w:p w14:paraId="7223DA26"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3 (0.4)</w:t>
            </w:r>
          </w:p>
        </w:tc>
      </w:tr>
      <w:tr w:rsidR="007A4E70" w:rsidRPr="00957E32" w14:paraId="6B7A40F2" w14:textId="77777777" w:rsidTr="00E80544">
        <w:tc>
          <w:tcPr>
            <w:tcW w:w="2268" w:type="dxa"/>
            <w:hideMark/>
          </w:tcPr>
          <w:p w14:paraId="6FF7D987" w14:textId="77777777" w:rsidR="00C57C37" w:rsidRPr="00A227A2" w:rsidRDefault="00C57C37" w:rsidP="00C57C37">
            <w:pPr>
              <w:spacing w:line="360" w:lineRule="auto"/>
              <w:ind w:left="142"/>
              <w:rPr>
                <w:rFonts w:ascii="Times New Roman" w:hAnsi="Times New Roman" w:cs="Times New Roman"/>
                <w:sz w:val="20"/>
                <w:szCs w:val="20"/>
              </w:rPr>
            </w:pPr>
            <w:r w:rsidRPr="00A227A2">
              <w:rPr>
                <w:rFonts w:ascii="Times New Roman" w:hAnsi="Times New Roman" w:cs="Times New Roman"/>
                <w:sz w:val="20"/>
                <w:szCs w:val="20"/>
              </w:rPr>
              <w:t>Unknown</w:t>
            </w:r>
          </w:p>
        </w:tc>
        <w:tc>
          <w:tcPr>
            <w:tcW w:w="1560" w:type="dxa"/>
            <w:hideMark/>
          </w:tcPr>
          <w:p w14:paraId="12610156"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2 (0.8)</w:t>
            </w:r>
          </w:p>
        </w:tc>
        <w:tc>
          <w:tcPr>
            <w:tcW w:w="1417" w:type="dxa"/>
            <w:hideMark/>
          </w:tcPr>
          <w:p w14:paraId="2E7D0C4C"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2 (2.0)</w:t>
            </w:r>
          </w:p>
        </w:tc>
        <w:tc>
          <w:tcPr>
            <w:tcW w:w="1559" w:type="dxa"/>
            <w:hideMark/>
          </w:tcPr>
          <w:p w14:paraId="0E4D811A"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1 (2.3)</w:t>
            </w:r>
          </w:p>
        </w:tc>
        <w:tc>
          <w:tcPr>
            <w:tcW w:w="1560" w:type="dxa"/>
            <w:hideMark/>
          </w:tcPr>
          <w:p w14:paraId="4E5E6C7B"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7 (1.6)</w:t>
            </w:r>
          </w:p>
        </w:tc>
        <w:tc>
          <w:tcPr>
            <w:tcW w:w="1417" w:type="dxa"/>
            <w:hideMark/>
          </w:tcPr>
          <w:p w14:paraId="177480B4"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12 (1.4)</w:t>
            </w:r>
          </w:p>
        </w:tc>
      </w:tr>
      <w:tr w:rsidR="007A4E70" w:rsidRPr="00957E32" w14:paraId="70376501" w14:textId="77777777" w:rsidTr="00E80544">
        <w:tc>
          <w:tcPr>
            <w:tcW w:w="2268" w:type="dxa"/>
            <w:hideMark/>
          </w:tcPr>
          <w:p w14:paraId="4C1A6FA9"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Median height (range), m</w:t>
            </w:r>
          </w:p>
        </w:tc>
        <w:tc>
          <w:tcPr>
            <w:tcW w:w="1560" w:type="dxa"/>
            <w:hideMark/>
          </w:tcPr>
          <w:p w14:paraId="2D3A87E1"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1.7 (1.4–2.0)</w:t>
            </w:r>
          </w:p>
        </w:tc>
        <w:tc>
          <w:tcPr>
            <w:tcW w:w="1417" w:type="dxa"/>
            <w:hideMark/>
          </w:tcPr>
          <w:p w14:paraId="397B8247"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1.7 (1.5–1.9)</w:t>
            </w:r>
          </w:p>
        </w:tc>
        <w:tc>
          <w:tcPr>
            <w:tcW w:w="1559" w:type="dxa"/>
            <w:hideMark/>
          </w:tcPr>
          <w:p w14:paraId="5241B8D4"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1.6 (1.5–1.8)</w:t>
            </w:r>
          </w:p>
        </w:tc>
        <w:tc>
          <w:tcPr>
            <w:tcW w:w="1560" w:type="dxa"/>
            <w:hideMark/>
          </w:tcPr>
          <w:p w14:paraId="3E5C9174"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1.7 (1.3–2.0)</w:t>
            </w:r>
          </w:p>
        </w:tc>
        <w:tc>
          <w:tcPr>
            <w:tcW w:w="1417" w:type="dxa"/>
            <w:hideMark/>
          </w:tcPr>
          <w:p w14:paraId="0044F353"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1.7 (1.3–2.0)</w:t>
            </w:r>
          </w:p>
        </w:tc>
      </w:tr>
      <w:tr w:rsidR="007A4E70" w:rsidRPr="00957E32" w14:paraId="4897DD83" w14:textId="77777777" w:rsidTr="00E80544">
        <w:tc>
          <w:tcPr>
            <w:tcW w:w="2268" w:type="dxa"/>
            <w:hideMark/>
          </w:tcPr>
          <w:p w14:paraId="182ADDDD"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Median weight (range), kg</w:t>
            </w:r>
          </w:p>
        </w:tc>
        <w:tc>
          <w:tcPr>
            <w:tcW w:w="1560" w:type="dxa"/>
            <w:hideMark/>
          </w:tcPr>
          <w:p w14:paraId="3F8E2ACC"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63 (35–127)</w:t>
            </w:r>
          </w:p>
        </w:tc>
        <w:tc>
          <w:tcPr>
            <w:tcW w:w="1417" w:type="dxa"/>
            <w:hideMark/>
          </w:tcPr>
          <w:p w14:paraId="4C0CA0D6"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64 (40–116)</w:t>
            </w:r>
          </w:p>
        </w:tc>
        <w:tc>
          <w:tcPr>
            <w:tcW w:w="1559" w:type="dxa"/>
            <w:hideMark/>
          </w:tcPr>
          <w:p w14:paraId="1B830B95"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71 (37–110)</w:t>
            </w:r>
          </w:p>
        </w:tc>
        <w:tc>
          <w:tcPr>
            <w:tcW w:w="1560" w:type="dxa"/>
            <w:hideMark/>
          </w:tcPr>
          <w:p w14:paraId="0D6024CE"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68 (38–157)</w:t>
            </w:r>
          </w:p>
        </w:tc>
        <w:tc>
          <w:tcPr>
            <w:tcW w:w="1417" w:type="dxa"/>
            <w:hideMark/>
          </w:tcPr>
          <w:p w14:paraId="3C70A5DD"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65 (35–157)</w:t>
            </w:r>
          </w:p>
        </w:tc>
      </w:tr>
      <w:tr w:rsidR="007A4E70" w:rsidRPr="00957E32" w14:paraId="6CD979F3" w14:textId="77777777" w:rsidTr="00E80544">
        <w:tc>
          <w:tcPr>
            <w:tcW w:w="2268" w:type="dxa"/>
            <w:hideMark/>
          </w:tcPr>
          <w:p w14:paraId="0519B659"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Median BMI (range)</w:t>
            </w:r>
          </w:p>
        </w:tc>
        <w:tc>
          <w:tcPr>
            <w:tcW w:w="1560" w:type="dxa"/>
            <w:hideMark/>
          </w:tcPr>
          <w:p w14:paraId="467519F2"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22 (14–48)</w:t>
            </w:r>
          </w:p>
        </w:tc>
        <w:tc>
          <w:tcPr>
            <w:tcW w:w="1417" w:type="dxa"/>
            <w:hideMark/>
          </w:tcPr>
          <w:p w14:paraId="157139CD"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22 (16–42)</w:t>
            </w:r>
          </w:p>
        </w:tc>
        <w:tc>
          <w:tcPr>
            <w:tcW w:w="1559" w:type="dxa"/>
            <w:hideMark/>
          </w:tcPr>
          <w:p w14:paraId="33C31BA1"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24 (13–45)</w:t>
            </w:r>
          </w:p>
        </w:tc>
        <w:tc>
          <w:tcPr>
            <w:tcW w:w="1560" w:type="dxa"/>
            <w:hideMark/>
          </w:tcPr>
          <w:p w14:paraId="5F07C521"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24 (15–47)</w:t>
            </w:r>
          </w:p>
        </w:tc>
        <w:tc>
          <w:tcPr>
            <w:tcW w:w="1417" w:type="dxa"/>
            <w:hideMark/>
          </w:tcPr>
          <w:p w14:paraId="4822746E"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23 (13–48)</w:t>
            </w:r>
          </w:p>
        </w:tc>
      </w:tr>
      <w:tr w:rsidR="007A4E70" w:rsidRPr="00957E32" w14:paraId="3C9D9F70" w14:textId="77777777" w:rsidTr="00E80544">
        <w:tc>
          <w:tcPr>
            <w:tcW w:w="2268" w:type="dxa"/>
            <w:hideMark/>
          </w:tcPr>
          <w:p w14:paraId="6E283EE2"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BCG vaccinated, n (%)</w:t>
            </w:r>
          </w:p>
        </w:tc>
        <w:tc>
          <w:tcPr>
            <w:tcW w:w="1560" w:type="dxa"/>
            <w:hideMark/>
          </w:tcPr>
          <w:p w14:paraId="19015B9D"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194 (74.3)</w:t>
            </w:r>
          </w:p>
        </w:tc>
        <w:tc>
          <w:tcPr>
            <w:tcW w:w="1417" w:type="dxa"/>
            <w:hideMark/>
          </w:tcPr>
          <w:p w14:paraId="64246515"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79 (77.5)</w:t>
            </w:r>
          </w:p>
        </w:tc>
        <w:tc>
          <w:tcPr>
            <w:tcW w:w="1559" w:type="dxa"/>
            <w:hideMark/>
          </w:tcPr>
          <w:p w14:paraId="6346C8AB"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36 (83.7)</w:t>
            </w:r>
          </w:p>
        </w:tc>
        <w:tc>
          <w:tcPr>
            <w:tcW w:w="1560" w:type="dxa"/>
            <w:hideMark/>
          </w:tcPr>
          <w:p w14:paraId="2D8D337F"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340 (77.4)</w:t>
            </w:r>
          </w:p>
        </w:tc>
        <w:tc>
          <w:tcPr>
            <w:tcW w:w="1417" w:type="dxa"/>
            <w:hideMark/>
          </w:tcPr>
          <w:p w14:paraId="1CFD4DC7"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649 (76.8)</w:t>
            </w:r>
          </w:p>
        </w:tc>
      </w:tr>
      <w:tr w:rsidR="007A4E70" w:rsidRPr="00957E32" w14:paraId="332CE10A" w14:textId="77777777" w:rsidTr="00E80544">
        <w:tc>
          <w:tcPr>
            <w:tcW w:w="2268" w:type="dxa"/>
            <w:hideMark/>
          </w:tcPr>
          <w:p w14:paraId="05FA64DB"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BCG scar visible, n (%)</w:t>
            </w:r>
          </w:p>
        </w:tc>
        <w:tc>
          <w:tcPr>
            <w:tcW w:w="1560" w:type="dxa"/>
          </w:tcPr>
          <w:p w14:paraId="71FBDEE0" w14:textId="77777777" w:rsidR="00C57C37" w:rsidRPr="00A227A2" w:rsidRDefault="00C57C37" w:rsidP="00C57C37">
            <w:pPr>
              <w:spacing w:line="360" w:lineRule="auto"/>
              <w:rPr>
                <w:rFonts w:ascii="Times New Roman" w:hAnsi="Times New Roman" w:cs="Times New Roman"/>
                <w:sz w:val="20"/>
                <w:szCs w:val="20"/>
              </w:rPr>
            </w:pPr>
          </w:p>
        </w:tc>
        <w:tc>
          <w:tcPr>
            <w:tcW w:w="1417" w:type="dxa"/>
          </w:tcPr>
          <w:p w14:paraId="66A235DA" w14:textId="77777777" w:rsidR="00C57C37" w:rsidRPr="00A227A2" w:rsidRDefault="00C57C37" w:rsidP="00C57C37">
            <w:pPr>
              <w:spacing w:line="360" w:lineRule="auto"/>
              <w:rPr>
                <w:rFonts w:ascii="Times New Roman" w:hAnsi="Times New Roman" w:cs="Times New Roman"/>
                <w:sz w:val="20"/>
                <w:szCs w:val="20"/>
              </w:rPr>
            </w:pPr>
          </w:p>
        </w:tc>
        <w:tc>
          <w:tcPr>
            <w:tcW w:w="1559" w:type="dxa"/>
          </w:tcPr>
          <w:p w14:paraId="77F8DD69" w14:textId="77777777" w:rsidR="00C57C37" w:rsidRPr="00A227A2" w:rsidRDefault="00C57C37" w:rsidP="00C57C37">
            <w:pPr>
              <w:spacing w:line="360" w:lineRule="auto"/>
              <w:rPr>
                <w:rFonts w:ascii="Times New Roman" w:hAnsi="Times New Roman" w:cs="Times New Roman"/>
                <w:sz w:val="20"/>
                <w:szCs w:val="20"/>
              </w:rPr>
            </w:pPr>
          </w:p>
        </w:tc>
        <w:tc>
          <w:tcPr>
            <w:tcW w:w="1560" w:type="dxa"/>
          </w:tcPr>
          <w:p w14:paraId="2152F098" w14:textId="77777777" w:rsidR="00C57C37" w:rsidRPr="00A227A2" w:rsidRDefault="00C57C37" w:rsidP="00C57C37">
            <w:pPr>
              <w:spacing w:line="360" w:lineRule="auto"/>
              <w:rPr>
                <w:rFonts w:ascii="Times New Roman" w:hAnsi="Times New Roman" w:cs="Times New Roman"/>
                <w:sz w:val="20"/>
                <w:szCs w:val="20"/>
              </w:rPr>
            </w:pPr>
          </w:p>
        </w:tc>
        <w:tc>
          <w:tcPr>
            <w:tcW w:w="1417" w:type="dxa"/>
          </w:tcPr>
          <w:p w14:paraId="05E4BCD5" w14:textId="77777777" w:rsidR="00C57C37" w:rsidRPr="00A227A2" w:rsidRDefault="00C57C37" w:rsidP="00C57C37">
            <w:pPr>
              <w:spacing w:line="360" w:lineRule="auto"/>
              <w:rPr>
                <w:rFonts w:ascii="Times New Roman" w:hAnsi="Times New Roman" w:cs="Times New Roman"/>
                <w:sz w:val="20"/>
                <w:szCs w:val="20"/>
              </w:rPr>
            </w:pPr>
          </w:p>
        </w:tc>
      </w:tr>
      <w:tr w:rsidR="007A4E70" w:rsidRPr="00957E32" w14:paraId="00938973" w14:textId="77777777" w:rsidTr="00E80544">
        <w:tc>
          <w:tcPr>
            <w:tcW w:w="2268" w:type="dxa"/>
            <w:hideMark/>
          </w:tcPr>
          <w:p w14:paraId="5BC2162C" w14:textId="77777777" w:rsidR="00C57C37" w:rsidRPr="00A227A2" w:rsidRDefault="00C57C37" w:rsidP="00C57C37">
            <w:pPr>
              <w:spacing w:line="360" w:lineRule="auto"/>
              <w:ind w:left="142"/>
              <w:rPr>
                <w:rFonts w:ascii="Times New Roman" w:hAnsi="Times New Roman" w:cs="Times New Roman"/>
                <w:sz w:val="20"/>
                <w:szCs w:val="20"/>
              </w:rPr>
            </w:pPr>
            <w:r w:rsidRPr="00A227A2">
              <w:rPr>
                <w:rFonts w:ascii="Times New Roman" w:hAnsi="Times New Roman" w:cs="Times New Roman"/>
                <w:sz w:val="20"/>
                <w:szCs w:val="20"/>
              </w:rPr>
              <w:t>Yes</w:t>
            </w:r>
          </w:p>
        </w:tc>
        <w:tc>
          <w:tcPr>
            <w:tcW w:w="1560" w:type="dxa"/>
            <w:hideMark/>
          </w:tcPr>
          <w:p w14:paraId="3FD97226"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172 (65.9)</w:t>
            </w:r>
          </w:p>
        </w:tc>
        <w:tc>
          <w:tcPr>
            <w:tcW w:w="1417" w:type="dxa"/>
            <w:hideMark/>
          </w:tcPr>
          <w:p w14:paraId="13FCDF51"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72 (70.6)</w:t>
            </w:r>
          </w:p>
        </w:tc>
        <w:tc>
          <w:tcPr>
            <w:tcW w:w="1559" w:type="dxa"/>
            <w:hideMark/>
          </w:tcPr>
          <w:p w14:paraId="670FF326"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29 (67.4)</w:t>
            </w:r>
          </w:p>
        </w:tc>
        <w:tc>
          <w:tcPr>
            <w:tcW w:w="1560" w:type="dxa"/>
            <w:hideMark/>
          </w:tcPr>
          <w:p w14:paraId="69EFF901"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283 (64.5)</w:t>
            </w:r>
          </w:p>
        </w:tc>
        <w:tc>
          <w:tcPr>
            <w:tcW w:w="1417" w:type="dxa"/>
            <w:hideMark/>
          </w:tcPr>
          <w:p w14:paraId="36309366"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556 (65.8)</w:t>
            </w:r>
          </w:p>
        </w:tc>
      </w:tr>
      <w:tr w:rsidR="007A4E70" w:rsidRPr="00957E32" w14:paraId="32706C13" w14:textId="77777777" w:rsidTr="00E80544">
        <w:tc>
          <w:tcPr>
            <w:tcW w:w="2268" w:type="dxa"/>
            <w:hideMark/>
          </w:tcPr>
          <w:p w14:paraId="370CA8A4" w14:textId="77777777" w:rsidR="00C57C37" w:rsidRPr="00A227A2" w:rsidRDefault="00C57C37" w:rsidP="00C57C37">
            <w:pPr>
              <w:spacing w:line="360" w:lineRule="auto"/>
              <w:ind w:left="142"/>
              <w:rPr>
                <w:rFonts w:ascii="Times New Roman" w:hAnsi="Times New Roman" w:cs="Times New Roman"/>
                <w:sz w:val="20"/>
                <w:szCs w:val="20"/>
              </w:rPr>
            </w:pPr>
            <w:r w:rsidRPr="00A227A2">
              <w:rPr>
                <w:rFonts w:ascii="Times New Roman" w:hAnsi="Times New Roman" w:cs="Times New Roman"/>
                <w:sz w:val="20"/>
                <w:szCs w:val="20"/>
              </w:rPr>
              <w:t xml:space="preserve">No </w:t>
            </w:r>
          </w:p>
        </w:tc>
        <w:tc>
          <w:tcPr>
            <w:tcW w:w="1560" w:type="dxa"/>
            <w:hideMark/>
          </w:tcPr>
          <w:p w14:paraId="7BAE6754"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12 (4.6)</w:t>
            </w:r>
          </w:p>
        </w:tc>
        <w:tc>
          <w:tcPr>
            <w:tcW w:w="1417" w:type="dxa"/>
            <w:hideMark/>
          </w:tcPr>
          <w:p w14:paraId="6CBEFF51"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 xml:space="preserve">3 (2.9) </w:t>
            </w:r>
          </w:p>
        </w:tc>
        <w:tc>
          <w:tcPr>
            <w:tcW w:w="1559" w:type="dxa"/>
            <w:hideMark/>
          </w:tcPr>
          <w:p w14:paraId="7655C5BA"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 xml:space="preserve">3 (7.0) </w:t>
            </w:r>
          </w:p>
        </w:tc>
        <w:tc>
          <w:tcPr>
            <w:tcW w:w="1560" w:type="dxa"/>
            <w:hideMark/>
          </w:tcPr>
          <w:p w14:paraId="538F61C9"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 xml:space="preserve">19 (4.3) </w:t>
            </w:r>
          </w:p>
        </w:tc>
        <w:tc>
          <w:tcPr>
            <w:tcW w:w="1417" w:type="dxa"/>
            <w:hideMark/>
          </w:tcPr>
          <w:p w14:paraId="3EA7478B"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 xml:space="preserve">37 (4.4) </w:t>
            </w:r>
          </w:p>
        </w:tc>
      </w:tr>
      <w:tr w:rsidR="007A4E70" w:rsidRPr="00957E32" w14:paraId="2F57D62A" w14:textId="77777777" w:rsidTr="00E80544">
        <w:tc>
          <w:tcPr>
            <w:tcW w:w="2268" w:type="dxa"/>
            <w:hideMark/>
          </w:tcPr>
          <w:p w14:paraId="1DEEE0CF" w14:textId="0DFC1B4B" w:rsidR="00C57C37" w:rsidRPr="00A227A2" w:rsidRDefault="00C57C37" w:rsidP="00C57C37">
            <w:pPr>
              <w:spacing w:line="360" w:lineRule="auto"/>
              <w:ind w:left="142"/>
              <w:rPr>
                <w:rFonts w:ascii="Times New Roman" w:hAnsi="Times New Roman" w:cs="Times New Roman"/>
                <w:sz w:val="20"/>
                <w:szCs w:val="20"/>
              </w:rPr>
            </w:pPr>
            <w:r w:rsidRPr="00A227A2">
              <w:rPr>
                <w:rFonts w:ascii="Times New Roman" w:hAnsi="Times New Roman" w:cs="Times New Roman"/>
                <w:sz w:val="20"/>
                <w:szCs w:val="20"/>
              </w:rPr>
              <w:t xml:space="preserve">Unknown </w:t>
            </w:r>
          </w:p>
        </w:tc>
        <w:tc>
          <w:tcPr>
            <w:tcW w:w="1560" w:type="dxa"/>
            <w:hideMark/>
          </w:tcPr>
          <w:p w14:paraId="703318BF"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16 (6.1)</w:t>
            </w:r>
          </w:p>
        </w:tc>
        <w:tc>
          <w:tcPr>
            <w:tcW w:w="1417" w:type="dxa"/>
            <w:hideMark/>
          </w:tcPr>
          <w:p w14:paraId="73495663"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 xml:space="preserve">8 (7.8) </w:t>
            </w:r>
          </w:p>
        </w:tc>
        <w:tc>
          <w:tcPr>
            <w:tcW w:w="1559" w:type="dxa"/>
            <w:hideMark/>
          </w:tcPr>
          <w:p w14:paraId="5F840FAB"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 xml:space="preserve">6 (14.0) </w:t>
            </w:r>
          </w:p>
        </w:tc>
        <w:tc>
          <w:tcPr>
            <w:tcW w:w="1560" w:type="dxa"/>
            <w:hideMark/>
          </w:tcPr>
          <w:p w14:paraId="685A0F20"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 xml:space="preserve">44 (10.0) </w:t>
            </w:r>
          </w:p>
        </w:tc>
        <w:tc>
          <w:tcPr>
            <w:tcW w:w="1417" w:type="dxa"/>
            <w:hideMark/>
          </w:tcPr>
          <w:p w14:paraId="62033011"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 xml:space="preserve">74 (8.8) </w:t>
            </w:r>
          </w:p>
        </w:tc>
      </w:tr>
      <w:tr w:rsidR="007A4E70" w:rsidRPr="00957E32" w14:paraId="0195BB7A" w14:textId="77777777" w:rsidTr="00E80544">
        <w:tc>
          <w:tcPr>
            <w:tcW w:w="2268" w:type="dxa"/>
            <w:hideMark/>
          </w:tcPr>
          <w:p w14:paraId="57BFE8DD" w14:textId="77777777" w:rsidR="00C57C37" w:rsidRPr="00A227A2" w:rsidRDefault="00C57C37" w:rsidP="00C57C37">
            <w:pPr>
              <w:spacing w:line="360" w:lineRule="auto"/>
              <w:ind w:left="142"/>
              <w:rPr>
                <w:rFonts w:ascii="Times New Roman" w:hAnsi="Times New Roman" w:cs="Times New Roman"/>
                <w:sz w:val="20"/>
                <w:szCs w:val="20"/>
              </w:rPr>
            </w:pPr>
            <w:r w:rsidRPr="00A227A2">
              <w:rPr>
                <w:rFonts w:ascii="Times New Roman" w:hAnsi="Times New Roman" w:cs="Times New Roman"/>
                <w:sz w:val="20"/>
                <w:szCs w:val="20"/>
              </w:rPr>
              <w:lastRenderedPageBreak/>
              <w:t xml:space="preserve">Missing </w:t>
            </w:r>
          </w:p>
        </w:tc>
        <w:tc>
          <w:tcPr>
            <w:tcW w:w="1560" w:type="dxa"/>
            <w:hideMark/>
          </w:tcPr>
          <w:p w14:paraId="78555DCB"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61 (23.4)</w:t>
            </w:r>
          </w:p>
        </w:tc>
        <w:tc>
          <w:tcPr>
            <w:tcW w:w="1417" w:type="dxa"/>
            <w:hideMark/>
          </w:tcPr>
          <w:p w14:paraId="7DFC2A15"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 xml:space="preserve">19 (18.6) </w:t>
            </w:r>
          </w:p>
        </w:tc>
        <w:tc>
          <w:tcPr>
            <w:tcW w:w="1559" w:type="dxa"/>
            <w:hideMark/>
          </w:tcPr>
          <w:p w14:paraId="4DE752B3"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 xml:space="preserve">5 (11.6) </w:t>
            </w:r>
          </w:p>
        </w:tc>
        <w:tc>
          <w:tcPr>
            <w:tcW w:w="1560" w:type="dxa"/>
            <w:hideMark/>
          </w:tcPr>
          <w:p w14:paraId="3E5C8C99"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 xml:space="preserve">93 (21.2) </w:t>
            </w:r>
          </w:p>
        </w:tc>
        <w:tc>
          <w:tcPr>
            <w:tcW w:w="1417" w:type="dxa"/>
            <w:hideMark/>
          </w:tcPr>
          <w:p w14:paraId="7F8A8ED0"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 xml:space="preserve">178 (21.1) </w:t>
            </w:r>
          </w:p>
        </w:tc>
      </w:tr>
      <w:tr w:rsidR="007A4E70" w:rsidRPr="00957E32" w14:paraId="481548A1" w14:textId="77777777" w:rsidTr="00E80544">
        <w:tc>
          <w:tcPr>
            <w:tcW w:w="2268" w:type="dxa"/>
            <w:hideMark/>
          </w:tcPr>
          <w:p w14:paraId="6845D8D0"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Recent known TB contact, n (%)</w:t>
            </w:r>
          </w:p>
        </w:tc>
        <w:tc>
          <w:tcPr>
            <w:tcW w:w="1560" w:type="dxa"/>
            <w:hideMark/>
          </w:tcPr>
          <w:p w14:paraId="5A9B84D2"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70 (26.8)</w:t>
            </w:r>
          </w:p>
        </w:tc>
        <w:tc>
          <w:tcPr>
            <w:tcW w:w="1417" w:type="dxa"/>
            <w:hideMark/>
          </w:tcPr>
          <w:p w14:paraId="1B4348C1"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25 (24.5)</w:t>
            </w:r>
          </w:p>
        </w:tc>
        <w:tc>
          <w:tcPr>
            <w:tcW w:w="1559" w:type="dxa"/>
            <w:hideMark/>
          </w:tcPr>
          <w:p w14:paraId="7F4ACD21"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12 (27.9)</w:t>
            </w:r>
          </w:p>
        </w:tc>
        <w:tc>
          <w:tcPr>
            <w:tcW w:w="1560" w:type="dxa"/>
            <w:hideMark/>
          </w:tcPr>
          <w:p w14:paraId="73AC73F4"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83 (18.9)</w:t>
            </w:r>
          </w:p>
        </w:tc>
        <w:tc>
          <w:tcPr>
            <w:tcW w:w="1417" w:type="dxa"/>
            <w:hideMark/>
          </w:tcPr>
          <w:p w14:paraId="39E95958"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190 (22.5)</w:t>
            </w:r>
          </w:p>
        </w:tc>
      </w:tr>
      <w:tr w:rsidR="007A4E70" w:rsidRPr="00957E32" w14:paraId="400186C0" w14:textId="77777777" w:rsidTr="00E80544">
        <w:tc>
          <w:tcPr>
            <w:tcW w:w="2268" w:type="dxa"/>
            <w:hideMark/>
          </w:tcPr>
          <w:p w14:paraId="795AD9EE" w14:textId="4F3DAED2" w:rsidR="00C57C37" w:rsidRPr="00A227A2" w:rsidRDefault="00C57C37" w:rsidP="00C57C37">
            <w:pPr>
              <w:spacing w:line="360" w:lineRule="auto"/>
              <w:rPr>
                <w:rFonts w:ascii="Times New Roman" w:hAnsi="Times New Roman" w:cs="Times New Roman"/>
                <w:sz w:val="20"/>
                <w:szCs w:val="20"/>
                <w:vertAlign w:val="superscript"/>
              </w:rPr>
            </w:pPr>
            <w:r w:rsidRPr="00A227A2">
              <w:rPr>
                <w:rFonts w:ascii="Times New Roman" w:hAnsi="Times New Roman" w:cs="Times New Roman"/>
                <w:sz w:val="20"/>
                <w:szCs w:val="20"/>
              </w:rPr>
              <w:t>Other pre-existing conditions/co-morbidities, n (%)</w:t>
            </w:r>
            <w:r w:rsidRPr="00A227A2">
              <w:rPr>
                <w:rFonts w:ascii="Times New Roman" w:hAnsi="Times New Roman" w:cs="Times New Roman"/>
                <w:sz w:val="20"/>
                <w:szCs w:val="20"/>
                <w:vertAlign w:val="superscript"/>
              </w:rPr>
              <w:t>b</w:t>
            </w:r>
          </w:p>
        </w:tc>
        <w:tc>
          <w:tcPr>
            <w:tcW w:w="1560" w:type="dxa"/>
          </w:tcPr>
          <w:p w14:paraId="2D676DC2" w14:textId="77777777" w:rsidR="00C57C37" w:rsidRPr="00A227A2" w:rsidRDefault="00C57C37" w:rsidP="00C57C37">
            <w:pPr>
              <w:spacing w:line="360" w:lineRule="auto"/>
              <w:rPr>
                <w:rFonts w:ascii="Times New Roman" w:hAnsi="Times New Roman" w:cs="Times New Roman"/>
                <w:sz w:val="20"/>
                <w:szCs w:val="20"/>
              </w:rPr>
            </w:pPr>
          </w:p>
        </w:tc>
        <w:tc>
          <w:tcPr>
            <w:tcW w:w="1417" w:type="dxa"/>
          </w:tcPr>
          <w:p w14:paraId="73EA6D56" w14:textId="77777777" w:rsidR="00C57C37" w:rsidRPr="00A227A2" w:rsidRDefault="00C57C37" w:rsidP="00C57C37">
            <w:pPr>
              <w:spacing w:line="360" w:lineRule="auto"/>
              <w:rPr>
                <w:rFonts w:ascii="Times New Roman" w:hAnsi="Times New Roman" w:cs="Times New Roman"/>
                <w:sz w:val="20"/>
                <w:szCs w:val="20"/>
              </w:rPr>
            </w:pPr>
          </w:p>
        </w:tc>
        <w:tc>
          <w:tcPr>
            <w:tcW w:w="1559" w:type="dxa"/>
          </w:tcPr>
          <w:p w14:paraId="03716F7C" w14:textId="77777777" w:rsidR="00C57C37" w:rsidRPr="00A227A2" w:rsidRDefault="00C57C37" w:rsidP="00C57C37">
            <w:pPr>
              <w:spacing w:line="360" w:lineRule="auto"/>
              <w:rPr>
                <w:rFonts w:ascii="Times New Roman" w:hAnsi="Times New Roman" w:cs="Times New Roman"/>
                <w:sz w:val="20"/>
                <w:szCs w:val="20"/>
              </w:rPr>
            </w:pPr>
          </w:p>
        </w:tc>
        <w:tc>
          <w:tcPr>
            <w:tcW w:w="1560" w:type="dxa"/>
          </w:tcPr>
          <w:p w14:paraId="31CEA976" w14:textId="77777777" w:rsidR="00C57C37" w:rsidRPr="00A227A2" w:rsidRDefault="00C57C37" w:rsidP="00C57C37">
            <w:pPr>
              <w:spacing w:line="360" w:lineRule="auto"/>
              <w:rPr>
                <w:rFonts w:ascii="Times New Roman" w:hAnsi="Times New Roman" w:cs="Times New Roman"/>
                <w:sz w:val="20"/>
                <w:szCs w:val="20"/>
              </w:rPr>
            </w:pPr>
          </w:p>
        </w:tc>
        <w:tc>
          <w:tcPr>
            <w:tcW w:w="1417" w:type="dxa"/>
          </w:tcPr>
          <w:p w14:paraId="6047DD4C" w14:textId="77777777" w:rsidR="00C57C37" w:rsidRPr="00A227A2" w:rsidRDefault="00C57C37" w:rsidP="00C57C37">
            <w:pPr>
              <w:spacing w:line="360" w:lineRule="auto"/>
              <w:rPr>
                <w:rFonts w:ascii="Times New Roman" w:hAnsi="Times New Roman" w:cs="Times New Roman"/>
                <w:sz w:val="20"/>
                <w:szCs w:val="20"/>
              </w:rPr>
            </w:pPr>
          </w:p>
        </w:tc>
      </w:tr>
      <w:tr w:rsidR="007A4E70" w:rsidRPr="00957E32" w14:paraId="634C659B" w14:textId="77777777" w:rsidTr="00E80544">
        <w:trPr>
          <w:trHeight w:val="135"/>
        </w:trPr>
        <w:tc>
          <w:tcPr>
            <w:tcW w:w="2268" w:type="dxa"/>
            <w:hideMark/>
          </w:tcPr>
          <w:p w14:paraId="159B3AEF" w14:textId="77777777" w:rsidR="00C57C37" w:rsidRPr="00A227A2" w:rsidRDefault="00C57C37" w:rsidP="00C57C37">
            <w:pPr>
              <w:spacing w:line="360" w:lineRule="auto"/>
              <w:ind w:left="142"/>
              <w:rPr>
                <w:rFonts w:ascii="Times New Roman" w:hAnsi="Times New Roman" w:cs="Times New Roman"/>
                <w:sz w:val="20"/>
                <w:szCs w:val="20"/>
              </w:rPr>
            </w:pPr>
            <w:r w:rsidRPr="00A227A2">
              <w:rPr>
                <w:rFonts w:ascii="Times New Roman" w:hAnsi="Times New Roman" w:cs="Times New Roman"/>
                <w:sz w:val="20"/>
                <w:szCs w:val="20"/>
              </w:rPr>
              <w:t>None</w:t>
            </w:r>
          </w:p>
        </w:tc>
        <w:tc>
          <w:tcPr>
            <w:tcW w:w="1560" w:type="dxa"/>
            <w:hideMark/>
          </w:tcPr>
          <w:p w14:paraId="7F30ABBA"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169 (64.8)</w:t>
            </w:r>
          </w:p>
        </w:tc>
        <w:tc>
          <w:tcPr>
            <w:tcW w:w="1417" w:type="dxa"/>
            <w:hideMark/>
          </w:tcPr>
          <w:p w14:paraId="0938F4A9"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61 (59.8)</w:t>
            </w:r>
          </w:p>
        </w:tc>
        <w:tc>
          <w:tcPr>
            <w:tcW w:w="1559" w:type="dxa"/>
            <w:hideMark/>
          </w:tcPr>
          <w:p w14:paraId="690EB50F"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19 (44.2)</w:t>
            </w:r>
          </w:p>
        </w:tc>
        <w:tc>
          <w:tcPr>
            <w:tcW w:w="1560" w:type="dxa"/>
            <w:hideMark/>
          </w:tcPr>
          <w:p w14:paraId="7444ED18"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169 (38.5)</w:t>
            </w:r>
          </w:p>
        </w:tc>
        <w:tc>
          <w:tcPr>
            <w:tcW w:w="1417" w:type="dxa"/>
            <w:hideMark/>
          </w:tcPr>
          <w:p w14:paraId="13489A19"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418 (49.5)</w:t>
            </w:r>
          </w:p>
        </w:tc>
      </w:tr>
      <w:tr w:rsidR="007A4E70" w:rsidRPr="00957E32" w14:paraId="2FBA02C0" w14:textId="77777777" w:rsidTr="00E80544">
        <w:trPr>
          <w:trHeight w:val="135"/>
        </w:trPr>
        <w:tc>
          <w:tcPr>
            <w:tcW w:w="2268" w:type="dxa"/>
          </w:tcPr>
          <w:p w14:paraId="36891ECB" w14:textId="4E417682" w:rsidR="00C57C37" w:rsidRPr="00A227A2" w:rsidRDefault="00C57C37" w:rsidP="00C57C37">
            <w:pPr>
              <w:spacing w:line="360" w:lineRule="auto"/>
              <w:ind w:left="142"/>
              <w:rPr>
                <w:rFonts w:ascii="Times New Roman" w:hAnsi="Times New Roman" w:cs="Times New Roman"/>
                <w:sz w:val="20"/>
                <w:szCs w:val="20"/>
              </w:rPr>
            </w:pPr>
            <w:r w:rsidRPr="00A227A2">
              <w:rPr>
                <w:rFonts w:ascii="Times New Roman" w:hAnsi="Times New Roman" w:cs="Times New Roman"/>
                <w:sz w:val="20"/>
                <w:szCs w:val="20"/>
              </w:rPr>
              <w:t>HIV-infected</w:t>
            </w:r>
          </w:p>
        </w:tc>
        <w:tc>
          <w:tcPr>
            <w:tcW w:w="1560" w:type="dxa"/>
          </w:tcPr>
          <w:p w14:paraId="456F212C" w14:textId="205D4F28"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13 (5.0)</w:t>
            </w:r>
          </w:p>
        </w:tc>
        <w:tc>
          <w:tcPr>
            <w:tcW w:w="1417" w:type="dxa"/>
          </w:tcPr>
          <w:p w14:paraId="53585D24" w14:textId="36B2709F"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12 (11.8)</w:t>
            </w:r>
          </w:p>
        </w:tc>
        <w:tc>
          <w:tcPr>
            <w:tcW w:w="1559" w:type="dxa"/>
          </w:tcPr>
          <w:p w14:paraId="7FFA04D7" w14:textId="76975B5A"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2 (4.7)</w:t>
            </w:r>
          </w:p>
        </w:tc>
        <w:tc>
          <w:tcPr>
            <w:tcW w:w="1560" w:type="dxa"/>
          </w:tcPr>
          <w:p w14:paraId="3598B959" w14:textId="27987280"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108 (24.6)</w:t>
            </w:r>
          </w:p>
        </w:tc>
        <w:tc>
          <w:tcPr>
            <w:tcW w:w="1417" w:type="dxa"/>
          </w:tcPr>
          <w:p w14:paraId="3F0B4DF2" w14:textId="1E6D5412"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135 (16.0)</w:t>
            </w:r>
          </w:p>
        </w:tc>
      </w:tr>
      <w:tr w:rsidR="007A4E70" w:rsidRPr="00957E32" w14:paraId="5B980310" w14:textId="77777777" w:rsidTr="00E80544">
        <w:trPr>
          <w:trHeight w:val="135"/>
        </w:trPr>
        <w:tc>
          <w:tcPr>
            <w:tcW w:w="2268" w:type="dxa"/>
            <w:hideMark/>
          </w:tcPr>
          <w:p w14:paraId="04E2D1D0" w14:textId="77777777" w:rsidR="00C57C37" w:rsidRPr="00A227A2" w:rsidRDefault="00C57C37" w:rsidP="00C57C37">
            <w:pPr>
              <w:spacing w:line="360" w:lineRule="auto"/>
              <w:ind w:left="142"/>
              <w:rPr>
                <w:rFonts w:ascii="Times New Roman" w:hAnsi="Times New Roman" w:cs="Times New Roman"/>
                <w:sz w:val="20"/>
                <w:szCs w:val="20"/>
              </w:rPr>
            </w:pPr>
            <w:r w:rsidRPr="00A227A2">
              <w:rPr>
                <w:rFonts w:ascii="Times New Roman" w:hAnsi="Times New Roman" w:cs="Times New Roman"/>
                <w:sz w:val="20"/>
                <w:szCs w:val="20"/>
              </w:rPr>
              <w:t>Diabetes</w:t>
            </w:r>
          </w:p>
        </w:tc>
        <w:tc>
          <w:tcPr>
            <w:tcW w:w="1560" w:type="dxa"/>
            <w:hideMark/>
          </w:tcPr>
          <w:p w14:paraId="0C97DEA0"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22 (8.4)</w:t>
            </w:r>
          </w:p>
        </w:tc>
        <w:tc>
          <w:tcPr>
            <w:tcW w:w="1417" w:type="dxa"/>
            <w:hideMark/>
          </w:tcPr>
          <w:p w14:paraId="39444D3C"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5 (4.9)</w:t>
            </w:r>
          </w:p>
        </w:tc>
        <w:tc>
          <w:tcPr>
            <w:tcW w:w="1559" w:type="dxa"/>
            <w:hideMark/>
          </w:tcPr>
          <w:p w14:paraId="0C53B79D"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8 (18.6)</w:t>
            </w:r>
          </w:p>
        </w:tc>
        <w:tc>
          <w:tcPr>
            <w:tcW w:w="1560" w:type="dxa"/>
            <w:hideMark/>
          </w:tcPr>
          <w:p w14:paraId="02B7BA16"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53 (12.1)</w:t>
            </w:r>
          </w:p>
        </w:tc>
        <w:tc>
          <w:tcPr>
            <w:tcW w:w="1417" w:type="dxa"/>
            <w:hideMark/>
          </w:tcPr>
          <w:p w14:paraId="5D6A8C5F"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88 (10.4)</w:t>
            </w:r>
          </w:p>
        </w:tc>
      </w:tr>
      <w:tr w:rsidR="007A4E70" w:rsidRPr="00957E32" w14:paraId="145C97EE" w14:textId="77777777" w:rsidTr="00E80544">
        <w:trPr>
          <w:trHeight w:val="157"/>
        </w:trPr>
        <w:tc>
          <w:tcPr>
            <w:tcW w:w="2268" w:type="dxa"/>
          </w:tcPr>
          <w:p w14:paraId="1A451BF8" w14:textId="375AC2CA" w:rsidR="00C57C37" w:rsidRPr="00A227A2" w:rsidRDefault="00C57C37" w:rsidP="00C57C37">
            <w:pPr>
              <w:spacing w:line="360" w:lineRule="auto"/>
              <w:ind w:left="142"/>
              <w:rPr>
                <w:rFonts w:ascii="Times New Roman" w:hAnsi="Times New Roman" w:cs="Times New Roman"/>
                <w:sz w:val="20"/>
                <w:szCs w:val="20"/>
              </w:rPr>
            </w:pPr>
            <w:r w:rsidRPr="00A227A2">
              <w:rPr>
                <w:rFonts w:ascii="Times New Roman" w:hAnsi="Times New Roman" w:cs="Times New Roman"/>
                <w:sz w:val="20"/>
                <w:szCs w:val="20"/>
              </w:rPr>
              <w:t>Asthma</w:t>
            </w:r>
          </w:p>
        </w:tc>
        <w:tc>
          <w:tcPr>
            <w:tcW w:w="1560" w:type="dxa"/>
          </w:tcPr>
          <w:p w14:paraId="684EC7FE" w14:textId="2FEF9361"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12 (4.6)</w:t>
            </w:r>
          </w:p>
        </w:tc>
        <w:tc>
          <w:tcPr>
            <w:tcW w:w="1417" w:type="dxa"/>
          </w:tcPr>
          <w:p w14:paraId="315B3F61" w14:textId="14F5BB78"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5 (4.9)</w:t>
            </w:r>
          </w:p>
        </w:tc>
        <w:tc>
          <w:tcPr>
            <w:tcW w:w="1559" w:type="dxa"/>
          </w:tcPr>
          <w:p w14:paraId="149B397E" w14:textId="3225AC28"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4 (9.3)</w:t>
            </w:r>
          </w:p>
        </w:tc>
        <w:tc>
          <w:tcPr>
            <w:tcW w:w="1560" w:type="dxa"/>
          </w:tcPr>
          <w:p w14:paraId="21F954AB" w14:textId="6A4A51E5"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50 (11.4)</w:t>
            </w:r>
          </w:p>
        </w:tc>
        <w:tc>
          <w:tcPr>
            <w:tcW w:w="1417" w:type="dxa"/>
          </w:tcPr>
          <w:p w14:paraId="7531D8F1" w14:textId="4034B674"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71 (8.4)</w:t>
            </w:r>
          </w:p>
        </w:tc>
      </w:tr>
      <w:tr w:rsidR="007A4E70" w:rsidRPr="00957E32" w14:paraId="5B5BBD6D" w14:textId="77777777" w:rsidTr="00E80544">
        <w:trPr>
          <w:trHeight w:val="157"/>
        </w:trPr>
        <w:tc>
          <w:tcPr>
            <w:tcW w:w="2268" w:type="dxa"/>
          </w:tcPr>
          <w:p w14:paraId="71BA5287" w14:textId="1BAFCCC3" w:rsidR="00C57C37" w:rsidRPr="00A227A2" w:rsidRDefault="00C57C37" w:rsidP="00C57C37">
            <w:pPr>
              <w:spacing w:line="360" w:lineRule="auto"/>
              <w:ind w:left="142"/>
              <w:rPr>
                <w:rFonts w:ascii="Times New Roman" w:hAnsi="Times New Roman" w:cs="Times New Roman"/>
                <w:sz w:val="20"/>
                <w:szCs w:val="20"/>
              </w:rPr>
            </w:pPr>
            <w:r w:rsidRPr="00A227A2">
              <w:rPr>
                <w:rFonts w:ascii="Times New Roman" w:hAnsi="Times New Roman" w:cs="Times New Roman"/>
                <w:sz w:val="20"/>
                <w:szCs w:val="20"/>
              </w:rPr>
              <w:t>Cancer</w:t>
            </w:r>
          </w:p>
        </w:tc>
        <w:tc>
          <w:tcPr>
            <w:tcW w:w="1560" w:type="dxa"/>
          </w:tcPr>
          <w:p w14:paraId="13FCFD75" w14:textId="424F1760"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1 (0.4)</w:t>
            </w:r>
          </w:p>
        </w:tc>
        <w:tc>
          <w:tcPr>
            <w:tcW w:w="1417" w:type="dxa"/>
          </w:tcPr>
          <w:p w14:paraId="6B942115" w14:textId="6F40A31A"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1 (1.0)</w:t>
            </w:r>
          </w:p>
        </w:tc>
        <w:tc>
          <w:tcPr>
            <w:tcW w:w="1559" w:type="dxa"/>
          </w:tcPr>
          <w:p w14:paraId="2CC60995" w14:textId="1DBE057F"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0</w:t>
            </w:r>
          </w:p>
        </w:tc>
        <w:tc>
          <w:tcPr>
            <w:tcW w:w="1560" w:type="dxa"/>
          </w:tcPr>
          <w:p w14:paraId="446A62A2" w14:textId="1DE5A61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12 (2.7)</w:t>
            </w:r>
          </w:p>
        </w:tc>
        <w:tc>
          <w:tcPr>
            <w:tcW w:w="1417" w:type="dxa"/>
          </w:tcPr>
          <w:p w14:paraId="4056C1F5" w14:textId="0E2188BD"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14 (1.7)</w:t>
            </w:r>
          </w:p>
        </w:tc>
      </w:tr>
      <w:tr w:rsidR="007A4E70" w:rsidRPr="00957E32" w14:paraId="23D79822" w14:textId="77777777" w:rsidTr="00E80544">
        <w:trPr>
          <w:trHeight w:val="133"/>
        </w:trPr>
        <w:tc>
          <w:tcPr>
            <w:tcW w:w="2268" w:type="dxa"/>
          </w:tcPr>
          <w:p w14:paraId="697EEE3D" w14:textId="37877FF8" w:rsidR="00C57C37" w:rsidRPr="00A227A2" w:rsidRDefault="00C57C37" w:rsidP="00C57C37">
            <w:pPr>
              <w:spacing w:line="360" w:lineRule="auto"/>
              <w:ind w:left="142"/>
              <w:rPr>
                <w:rFonts w:ascii="Times New Roman" w:hAnsi="Times New Roman" w:cs="Times New Roman"/>
                <w:sz w:val="20"/>
                <w:szCs w:val="20"/>
              </w:rPr>
            </w:pPr>
            <w:r w:rsidRPr="00A227A2">
              <w:rPr>
                <w:rFonts w:ascii="Times New Roman" w:hAnsi="Times New Roman" w:cs="Times New Roman"/>
                <w:sz w:val="20"/>
                <w:szCs w:val="20"/>
              </w:rPr>
              <w:t>Chronic/end stage kidney disease</w:t>
            </w:r>
          </w:p>
        </w:tc>
        <w:tc>
          <w:tcPr>
            <w:tcW w:w="1560" w:type="dxa"/>
          </w:tcPr>
          <w:p w14:paraId="45868CBA" w14:textId="6445279B"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5 (1.9)</w:t>
            </w:r>
          </w:p>
        </w:tc>
        <w:tc>
          <w:tcPr>
            <w:tcW w:w="1417" w:type="dxa"/>
          </w:tcPr>
          <w:p w14:paraId="55D18AFE" w14:textId="4C0D4F55"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1 (1.0)</w:t>
            </w:r>
          </w:p>
        </w:tc>
        <w:tc>
          <w:tcPr>
            <w:tcW w:w="1559" w:type="dxa"/>
          </w:tcPr>
          <w:p w14:paraId="62CE20CA" w14:textId="35A94A8B"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2 (4.7)</w:t>
            </w:r>
          </w:p>
        </w:tc>
        <w:tc>
          <w:tcPr>
            <w:tcW w:w="1560" w:type="dxa"/>
          </w:tcPr>
          <w:p w14:paraId="18CCE284" w14:textId="3A9D8818"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4 (0.9)</w:t>
            </w:r>
          </w:p>
        </w:tc>
        <w:tc>
          <w:tcPr>
            <w:tcW w:w="1417" w:type="dxa"/>
          </w:tcPr>
          <w:p w14:paraId="071AA278" w14:textId="487AD324"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12 (1.4)</w:t>
            </w:r>
          </w:p>
        </w:tc>
      </w:tr>
      <w:tr w:rsidR="007A4E70" w:rsidRPr="00957E32" w14:paraId="2839BF6E" w14:textId="77777777" w:rsidTr="00E80544">
        <w:trPr>
          <w:trHeight w:val="247"/>
        </w:trPr>
        <w:tc>
          <w:tcPr>
            <w:tcW w:w="2268" w:type="dxa"/>
          </w:tcPr>
          <w:p w14:paraId="20F40F38" w14:textId="281BC6FA" w:rsidR="00C57C37" w:rsidRPr="00A227A2" w:rsidRDefault="00C57C37" w:rsidP="00C57C37">
            <w:pPr>
              <w:spacing w:line="360" w:lineRule="auto"/>
              <w:ind w:left="142"/>
              <w:rPr>
                <w:rFonts w:ascii="Times New Roman" w:hAnsi="Times New Roman" w:cs="Times New Roman"/>
                <w:sz w:val="20"/>
                <w:szCs w:val="20"/>
              </w:rPr>
            </w:pPr>
            <w:r w:rsidRPr="00A227A2">
              <w:rPr>
                <w:rFonts w:ascii="Times New Roman" w:hAnsi="Times New Roman" w:cs="Times New Roman"/>
                <w:sz w:val="20"/>
                <w:szCs w:val="20"/>
              </w:rPr>
              <w:t>Hepatitis C</w:t>
            </w:r>
          </w:p>
        </w:tc>
        <w:tc>
          <w:tcPr>
            <w:tcW w:w="1560" w:type="dxa"/>
          </w:tcPr>
          <w:p w14:paraId="4DF89A08" w14:textId="4CAD3452"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1 (0.4)</w:t>
            </w:r>
          </w:p>
        </w:tc>
        <w:tc>
          <w:tcPr>
            <w:tcW w:w="1417" w:type="dxa"/>
          </w:tcPr>
          <w:p w14:paraId="5539F1B5" w14:textId="2BBCFCEA"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1 (1.0)</w:t>
            </w:r>
          </w:p>
        </w:tc>
        <w:tc>
          <w:tcPr>
            <w:tcW w:w="1559" w:type="dxa"/>
          </w:tcPr>
          <w:p w14:paraId="2AFA8D90" w14:textId="0C3F6FA8"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0</w:t>
            </w:r>
          </w:p>
        </w:tc>
        <w:tc>
          <w:tcPr>
            <w:tcW w:w="1560" w:type="dxa"/>
          </w:tcPr>
          <w:p w14:paraId="69159ADC" w14:textId="78AB40EB"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10 (2.3)</w:t>
            </w:r>
          </w:p>
        </w:tc>
        <w:tc>
          <w:tcPr>
            <w:tcW w:w="1417" w:type="dxa"/>
          </w:tcPr>
          <w:p w14:paraId="7CE2EA0C" w14:textId="5CE65CBF"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12 (1.4)</w:t>
            </w:r>
          </w:p>
        </w:tc>
      </w:tr>
      <w:tr w:rsidR="007A4E70" w:rsidRPr="00957E32" w14:paraId="5493D957" w14:textId="77777777" w:rsidTr="00E80544">
        <w:trPr>
          <w:trHeight w:val="137"/>
        </w:trPr>
        <w:tc>
          <w:tcPr>
            <w:tcW w:w="2268" w:type="dxa"/>
          </w:tcPr>
          <w:p w14:paraId="4A71962F" w14:textId="0C810274" w:rsidR="00C57C37" w:rsidRPr="00A227A2" w:rsidRDefault="00C57C37" w:rsidP="00C57C37">
            <w:pPr>
              <w:spacing w:line="360" w:lineRule="auto"/>
              <w:ind w:left="142"/>
              <w:rPr>
                <w:rFonts w:ascii="Times New Roman" w:hAnsi="Times New Roman" w:cs="Times New Roman"/>
                <w:sz w:val="20"/>
                <w:szCs w:val="20"/>
              </w:rPr>
            </w:pPr>
            <w:r w:rsidRPr="00A227A2">
              <w:rPr>
                <w:rFonts w:ascii="Times New Roman" w:hAnsi="Times New Roman" w:cs="Times New Roman"/>
                <w:sz w:val="20"/>
                <w:szCs w:val="20"/>
              </w:rPr>
              <w:t>Hepatitis B</w:t>
            </w:r>
          </w:p>
        </w:tc>
        <w:tc>
          <w:tcPr>
            <w:tcW w:w="1560" w:type="dxa"/>
          </w:tcPr>
          <w:p w14:paraId="029B5DE6" w14:textId="4C47C14E"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5 (1.9)</w:t>
            </w:r>
          </w:p>
        </w:tc>
        <w:tc>
          <w:tcPr>
            <w:tcW w:w="1417" w:type="dxa"/>
          </w:tcPr>
          <w:p w14:paraId="1D6DE559" w14:textId="77CFAAC5"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1 (1.0)</w:t>
            </w:r>
          </w:p>
        </w:tc>
        <w:tc>
          <w:tcPr>
            <w:tcW w:w="1559" w:type="dxa"/>
          </w:tcPr>
          <w:p w14:paraId="1C0441EE" w14:textId="74D734CF"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0</w:t>
            </w:r>
          </w:p>
        </w:tc>
        <w:tc>
          <w:tcPr>
            <w:tcW w:w="1560" w:type="dxa"/>
          </w:tcPr>
          <w:p w14:paraId="6A621396" w14:textId="7F11E31B"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5 (1.1)</w:t>
            </w:r>
          </w:p>
        </w:tc>
        <w:tc>
          <w:tcPr>
            <w:tcW w:w="1417" w:type="dxa"/>
          </w:tcPr>
          <w:p w14:paraId="4F96504F" w14:textId="6C42710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11 (1.3)</w:t>
            </w:r>
          </w:p>
        </w:tc>
      </w:tr>
      <w:tr w:rsidR="007A4E70" w:rsidRPr="00957E32" w14:paraId="4EC10425" w14:textId="77777777" w:rsidTr="00E80544">
        <w:trPr>
          <w:trHeight w:val="211"/>
        </w:trPr>
        <w:tc>
          <w:tcPr>
            <w:tcW w:w="2268" w:type="dxa"/>
            <w:hideMark/>
          </w:tcPr>
          <w:p w14:paraId="4705B4FF" w14:textId="77777777" w:rsidR="00C57C37" w:rsidRPr="00A227A2" w:rsidRDefault="00C57C37" w:rsidP="00C57C37">
            <w:pPr>
              <w:spacing w:line="360" w:lineRule="auto"/>
              <w:ind w:left="142"/>
              <w:rPr>
                <w:rFonts w:ascii="Times New Roman" w:hAnsi="Times New Roman" w:cs="Times New Roman"/>
                <w:sz w:val="20"/>
                <w:szCs w:val="20"/>
              </w:rPr>
            </w:pPr>
            <w:r w:rsidRPr="00A227A2">
              <w:rPr>
                <w:rFonts w:ascii="Times New Roman" w:hAnsi="Times New Roman" w:cs="Times New Roman"/>
                <w:sz w:val="20"/>
                <w:szCs w:val="20"/>
              </w:rPr>
              <w:t>Organ transplantation</w:t>
            </w:r>
          </w:p>
        </w:tc>
        <w:tc>
          <w:tcPr>
            <w:tcW w:w="1560" w:type="dxa"/>
            <w:hideMark/>
          </w:tcPr>
          <w:p w14:paraId="40FD8509"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0</w:t>
            </w:r>
          </w:p>
        </w:tc>
        <w:tc>
          <w:tcPr>
            <w:tcW w:w="1417" w:type="dxa"/>
            <w:hideMark/>
          </w:tcPr>
          <w:p w14:paraId="58E58169"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0</w:t>
            </w:r>
          </w:p>
        </w:tc>
        <w:tc>
          <w:tcPr>
            <w:tcW w:w="1559" w:type="dxa"/>
            <w:hideMark/>
          </w:tcPr>
          <w:p w14:paraId="77A27C7F"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0</w:t>
            </w:r>
          </w:p>
        </w:tc>
        <w:tc>
          <w:tcPr>
            <w:tcW w:w="1560" w:type="dxa"/>
            <w:hideMark/>
          </w:tcPr>
          <w:p w14:paraId="2F8F0ECC"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2 (0.5)</w:t>
            </w:r>
          </w:p>
        </w:tc>
        <w:tc>
          <w:tcPr>
            <w:tcW w:w="1417" w:type="dxa"/>
            <w:hideMark/>
          </w:tcPr>
          <w:p w14:paraId="1E3768ED"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2 (0.2)</w:t>
            </w:r>
          </w:p>
        </w:tc>
      </w:tr>
      <w:tr w:rsidR="007A4E70" w:rsidRPr="00957E32" w14:paraId="4446ECAE" w14:textId="77777777" w:rsidTr="00E80544">
        <w:trPr>
          <w:trHeight w:val="189"/>
        </w:trPr>
        <w:tc>
          <w:tcPr>
            <w:tcW w:w="2268" w:type="dxa"/>
            <w:hideMark/>
          </w:tcPr>
          <w:p w14:paraId="4C3A711D" w14:textId="77777777" w:rsidR="00C57C37" w:rsidRPr="00A227A2" w:rsidRDefault="00C57C37" w:rsidP="00C57C37">
            <w:pPr>
              <w:spacing w:line="360" w:lineRule="auto"/>
              <w:ind w:left="142"/>
              <w:rPr>
                <w:rFonts w:ascii="Times New Roman" w:hAnsi="Times New Roman" w:cs="Times New Roman"/>
                <w:sz w:val="20"/>
                <w:szCs w:val="20"/>
                <w:highlight w:val="yellow"/>
              </w:rPr>
            </w:pPr>
            <w:r w:rsidRPr="00A227A2">
              <w:rPr>
                <w:rFonts w:ascii="Times New Roman" w:hAnsi="Times New Roman" w:cs="Times New Roman"/>
                <w:sz w:val="20"/>
                <w:szCs w:val="20"/>
              </w:rPr>
              <w:t>Sarcoidosis</w:t>
            </w:r>
          </w:p>
        </w:tc>
        <w:tc>
          <w:tcPr>
            <w:tcW w:w="1560" w:type="dxa"/>
            <w:hideMark/>
          </w:tcPr>
          <w:p w14:paraId="79123ABA" w14:textId="77777777" w:rsidR="00C57C37" w:rsidRPr="00A227A2" w:rsidRDefault="00C57C37" w:rsidP="00C57C37">
            <w:pPr>
              <w:spacing w:line="360" w:lineRule="auto"/>
              <w:rPr>
                <w:rFonts w:ascii="Times New Roman" w:hAnsi="Times New Roman" w:cs="Times New Roman"/>
                <w:sz w:val="20"/>
                <w:szCs w:val="20"/>
                <w:highlight w:val="yellow"/>
              </w:rPr>
            </w:pPr>
            <w:r w:rsidRPr="00A227A2">
              <w:rPr>
                <w:rFonts w:ascii="Times New Roman" w:hAnsi="Times New Roman" w:cs="Times New Roman"/>
                <w:sz w:val="20"/>
                <w:szCs w:val="20"/>
              </w:rPr>
              <w:t>1 (0.4)</w:t>
            </w:r>
          </w:p>
        </w:tc>
        <w:tc>
          <w:tcPr>
            <w:tcW w:w="1417" w:type="dxa"/>
            <w:hideMark/>
          </w:tcPr>
          <w:p w14:paraId="4B63DF91"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0</w:t>
            </w:r>
          </w:p>
        </w:tc>
        <w:tc>
          <w:tcPr>
            <w:tcW w:w="1559" w:type="dxa"/>
            <w:hideMark/>
          </w:tcPr>
          <w:p w14:paraId="51848A07"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0</w:t>
            </w:r>
          </w:p>
        </w:tc>
        <w:tc>
          <w:tcPr>
            <w:tcW w:w="1560" w:type="dxa"/>
            <w:hideMark/>
          </w:tcPr>
          <w:p w14:paraId="64B00BE7"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0</w:t>
            </w:r>
          </w:p>
        </w:tc>
        <w:tc>
          <w:tcPr>
            <w:tcW w:w="1417" w:type="dxa"/>
            <w:hideMark/>
          </w:tcPr>
          <w:p w14:paraId="50C58332"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1 (0.1)</w:t>
            </w:r>
          </w:p>
        </w:tc>
      </w:tr>
      <w:tr w:rsidR="007A4E70" w:rsidRPr="00957E32" w14:paraId="6A1D26DF" w14:textId="77777777" w:rsidTr="00E80544">
        <w:tc>
          <w:tcPr>
            <w:tcW w:w="2268" w:type="dxa"/>
            <w:tcBorders>
              <w:bottom w:val="single" w:sz="12" w:space="0" w:color="auto"/>
            </w:tcBorders>
            <w:hideMark/>
          </w:tcPr>
          <w:p w14:paraId="6FF2AF0B" w14:textId="77777777" w:rsidR="00C57C37" w:rsidRPr="00A227A2" w:rsidRDefault="00C57C37" w:rsidP="00C57C37">
            <w:pPr>
              <w:spacing w:line="360" w:lineRule="auto"/>
              <w:ind w:left="142"/>
              <w:rPr>
                <w:rFonts w:ascii="Times New Roman" w:hAnsi="Times New Roman" w:cs="Times New Roman"/>
                <w:sz w:val="20"/>
                <w:szCs w:val="20"/>
              </w:rPr>
            </w:pPr>
            <w:r w:rsidRPr="00A227A2">
              <w:rPr>
                <w:rFonts w:ascii="Times New Roman" w:hAnsi="Times New Roman" w:cs="Times New Roman"/>
                <w:sz w:val="20"/>
                <w:szCs w:val="20"/>
              </w:rPr>
              <w:t>Other</w:t>
            </w:r>
          </w:p>
        </w:tc>
        <w:tc>
          <w:tcPr>
            <w:tcW w:w="1560" w:type="dxa"/>
            <w:tcBorders>
              <w:bottom w:val="single" w:sz="12" w:space="0" w:color="auto"/>
            </w:tcBorders>
            <w:hideMark/>
          </w:tcPr>
          <w:p w14:paraId="4C321F0C"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74 (28.4)</w:t>
            </w:r>
          </w:p>
        </w:tc>
        <w:tc>
          <w:tcPr>
            <w:tcW w:w="1417" w:type="dxa"/>
            <w:tcBorders>
              <w:bottom w:val="single" w:sz="12" w:space="0" w:color="auto"/>
            </w:tcBorders>
            <w:hideMark/>
          </w:tcPr>
          <w:p w14:paraId="39DDF856"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37 (36.3)</w:t>
            </w:r>
          </w:p>
        </w:tc>
        <w:tc>
          <w:tcPr>
            <w:tcW w:w="1559" w:type="dxa"/>
            <w:tcBorders>
              <w:bottom w:val="single" w:sz="12" w:space="0" w:color="auto"/>
            </w:tcBorders>
            <w:hideMark/>
          </w:tcPr>
          <w:p w14:paraId="138CC114"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20 (46.5)</w:t>
            </w:r>
          </w:p>
        </w:tc>
        <w:tc>
          <w:tcPr>
            <w:tcW w:w="1560" w:type="dxa"/>
            <w:tcBorders>
              <w:bottom w:val="single" w:sz="12" w:space="0" w:color="auto"/>
            </w:tcBorders>
            <w:hideMark/>
          </w:tcPr>
          <w:p w14:paraId="19D7DAD5"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228 (51.9)</w:t>
            </w:r>
          </w:p>
        </w:tc>
        <w:tc>
          <w:tcPr>
            <w:tcW w:w="1417" w:type="dxa"/>
            <w:tcBorders>
              <w:bottom w:val="single" w:sz="12" w:space="0" w:color="auto"/>
            </w:tcBorders>
            <w:hideMark/>
          </w:tcPr>
          <w:p w14:paraId="08F2EA8F" w14:textId="77777777" w:rsidR="00C57C37" w:rsidRPr="00A227A2" w:rsidRDefault="00C57C37" w:rsidP="00C57C37">
            <w:pPr>
              <w:spacing w:line="360" w:lineRule="auto"/>
              <w:rPr>
                <w:rFonts w:ascii="Times New Roman" w:hAnsi="Times New Roman" w:cs="Times New Roman"/>
                <w:sz w:val="20"/>
                <w:szCs w:val="20"/>
              </w:rPr>
            </w:pPr>
            <w:r w:rsidRPr="00A227A2">
              <w:rPr>
                <w:rFonts w:ascii="Times New Roman" w:hAnsi="Times New Roman" w:cs="Times New Roman"/>
                <w:sz w:val="20"/>
                <w:szCs w:val="20"/>
              </w:rPr>
              <w:t>359 (42.5)</w:t>
            </w:r>
          </w:p>
        </w:tc>
      </w:tr>
    </w:tbl>
    <w:p w14:paraId="7530935E" w14:textId="11B9760C" w:rsidR="00692D62" w:rsidRPr="001A64BE" w:rsidRDefault="00692D62">
      <w:pPr>
        <w:spacing w:after="0" w:line="360" w:lineRule="auto"/>
        <w:jc w:val="both"/>
        <w:rPr>
          <w:rFonts w:ascii="Times New Roman" w:hAnsi="Times New Roman" w:cs="Times New Roman"/>
          <w:sz w:val="20"/>
          <w:szCs w:val="24"/>
        </w:rPr>
      </w:pPr>
      <w:r>
        <w:rPr>
          <w:rFonts w:ascii="Times New Roman" w:hAnsi="Times New Roman" w:cs="Times New Roman"/>
          <w:sz w:val="20"/>
          <w:szCs w:val="24"/>
        </w:rPr>
        <w:t>BMI, body mass index</w:t>
      </w:r>
    </w:p>
    <w:p w14:paraId="266F09D8" w14:textId="3FE95361" w:rsidR="008E5953" w:rsidRPr="00A227A2" w:rsidRDefault="008E5953">
      <w:pPr>
        <w:spacing w:after="0" w:line="360" w:lineRule="auto"/>
        <w:jc w:val="both"/>
        <w:rPr>
          <w:rFonts w:ascii="Times New Roman" w:hAnsi="Times New Roman" w:cs="Times New Roman"/>
          <w:sz w:val="20"/>
          <w:szCs w:val="24"/>
        </w:rPr>
      </w:pPr>
      <w:proofErr w:type="spellStart"/>
      <w:r w:rsidRPr="00A227A2">
        <w:rPr>
          <w:rFonts w:ascii="Times New Roman" w:hAnsi="Times New Roman" w:cs="Times New Roman"/>
          <w:sz w:val="20"/>
          <w:szCs w:val="24"/>
          <w:vertAlign w:val="superscript"/>
        </w:rPr>
        <w:t>a</w:t>
      </w:r>
      <w:r w:rsidRPr="00A227A2">
        <w:rPr>
          <w:rFonts w:ascii="Times New Roman" w:hAnsi="Times New Roman" w:cs="Times New Roman"/>
          <w:sz w:val="20"/>
          <w:szCs w:val="24"/>
        </w:rPr>
        <w:t>Some</w:t>
      </w:r>
      <w:proofErr w:type="spellEnd"/>
      <w:r w:rsidRPr="00A227A2">
        <w:rPr>
          <w:rFonts w:ascii="Times New Roman" w:hAnsi="Times New Roman" w:cs="Times New Roman"/>
          <w:sz w:val="20"/>
          <w:szCs w:val="24"/>
        </w:rPr>
        <w:t xml:space="preserve"> patients had more than one profession.</w:t>
      </w:r>
    </w:p>
    <w:p w14:paraId="0CD97106" w14:textId="4B75289E" w:rsidR="008E5953" w:rsidRPr="00A227A2" w:rsidRDefault="008E5953">
      <w:pPr>
        <w:spacing w:after="0" w:line="360" w:lineRule="auto"/>
        <w:jc w:val="both"/>
        <w:rPr>
          <w:rFonts w:ascii="Times New Roman" w:hAnsi="Times New Roman" w:cs="Times New Roman"/>
          <w:sz w:val="20"/>
          <w:szCs w:val="24"/>
        </w:rPr>
      </w:pPr>
      <w:proofErr w:type="spellStart"/>
      <w:r w:rsidRPr="00A227A2">
        <w:rPr>
          <w:rFonts w:ascii="Times New Roman" w:hAnsi="Times New Roman" w:cs="Times New Roman"/>
          <w:sz w:val="20"/>
          <w:szCs w:val="24"/>
          <w:vertAlign w:val="superscript"/>
        </w:rPr>
        <w:t>b</w:t>
      </w:r>
      <w:r w:rsidRPr="00A227A2">
        <w:rPr>
          <w:rFonts w:ascii="Times New Roman" w:hAnsi="Times New Roman" w:cs="Times New Roman"/>
          <w:sz w:val="20"/>
          <w:szCs w:val="24"/>
        </w:rPr>
        <w:t>Some</w:t>
      </w:r>
      <w:proofErr w:type="spellEnd"/>
      <w:r w:rsidRPr="00A227A2">
        <w:rPr>
          <w:rFonts w:ascii="Times New Roman" w:hAnsi="Times New Roman" w:cs="Times New Roman"/>
          <w:sz w:val="20"/>
          <w:szCs w:val="24"/>
        </w:rPr>
        <w:t xml:space="preserve"> patients had multiple co-morbidities</w:t>
      </w:r>
      <w:r w:rsidR="00C1198F" w:rsidRPr="00A227A2">
        <w:rPr>
          <w:rFonts w:ascii="Times New Roman" w:hAnsi="Times New Roman" w:cs="Times New Roman"/>
          <w:sz w:val="20"/>
          <w:szCs w:val="24"/>
        </w:rPr>
        <w:t>.</w:t>
      </w:r>
    </w:p>
    <w:p w14:paraId="61F06CD5" w14:textId="77777777" w:rsidR="008E5953" w:rsidRPr="001B1048" w:rsidRDefault="008E5953">
      <w:pPr>
        <w:spacing w:after="0" w:line="360" w:lineRule="auto"/>
        <w:rPr>
          <w:rFonts w:ascii="Times New Roman" w:hAnsi="Times New Roman" w:cs="Times New Roman"/>
          <w:sz w:val="24"/>
          <w:szCs w:val="24"/>
        </w:rPr>
      </w:pPr>
    </w:p>
    <w:p w14:paraId="5F8C04E3" w14:textId="77777777" w:rsidR="008E5953" w:rsidRPr="001B1048" w:rsidRDefault="008E5953">
      <w:pPr>
        <w:spacing w:after="0" w:line="360" w:lineRule="auto"/>
        <w:rPr>
          <w:rFonts w:ascii="Times New Roman" w:hAnsi="Times New Roman" w:cs="Times New Roman"/>
          <w:sz w:val="24"/>
          <w:szCs w:val="24"/>
        </w:rPr>
      </w:pPr>
    </w:p>
    <w:p w14:paraId="19A46CAE" w14:textId="77777777" w:rsidR="008E5953" w:rsidRPr="001B1048" w:rsidRDefault="008E5953">
      <w:pPr>
        <w:spacing w:after="0" w:line="360" w:lineRule="auto"/>
        <w:rPr>
          <w:rFonts w:ascii="Times New Roman" w:hAnsi="Times New Roman" w:cs="Times New Roman"/>
          <w:sz w:val="24"/>
          <w:szCs w:val="24"/>
        </w:rPr>
      </w:pPr>
    </w:p>
    <w:p w14:paraId="53EA1E7C" w14:textId="77777777" w:rsidR="008E5953" w:rsidRPr="001B1048" w:rsidRDefault="008E5953">
      <w:pPr>
        <w:spacing w:after="0" w:line="360" w:lineRule="auto"/>
        <w:rPr>
          <w:rFonts w:ascii="Times New Roman" w:hAnsi="Times New Roman" w:cs="Times New Roman"/>
          <w:sz w:val="24"/>
          <w:szCs w:val="24"/>
        </w:rPr>
      </w:pPr>
    </w:p>
    <w:p w14:paraId="57A05BA1" w14:textId="77777777" w:rsidR="008E5953" w:rsidRPr="001B1048" w:rsidRDefault="008E5953">
      <w:pPr>
        <w:spacing w:after="0" w:line="360" w:lineRule="auto"/>
        <w:rPr>
          <w:rFonts w:ascii="Times New Roman" w:hAnsi="Times New Roman" w:cs="Times New Roman"/>
          <w:sz w:val="24"/>
          <w:szCs w:val="24"/>
        </w:rPr>
      </w:pPr>
    </w:p>
    <w:p w14:paraId="3DE80E7F" w14:textId="48AF24B2" w:rsidR="008E5953" w:rsidRDefault="008E5953">
      <w:pPr>
        <w:spacing w:after="0" w:line="360" w:lineRule="auto"/>
        <w:rPr>
          <w:rFonts w:ascii="Times New Roman" w:hAnsi="Times New Roman" w:cs="Times New Roman"/>
          <w:sz w:val="24"/>
          <w:szCs w:val="24"/>
        </w:rPr>
      </w:pPr>
    </w:p>
    <w:p w14:paraId="021F896C" w14:textId="05DBB0E5" w:rsidR="007A4E70" w:rsidRDefault="007A4E70">
      <w:pPr>
        <w:spacing w:after="0" w:line="360" w:lineRule="auto"/>
        <w:rPr>
          <w:rFonts w:ascii="Times New Roman" w:hAnsi="Times New Roman" w:cs="Times New Roman"/>
          <w:sz w:val="24"/>
          <w:szCs w:val="24"/>
        </w:rPr>
      </w:pPr>
    </w:p>
    <w:p w14:paraId="581E012E" w14:textId="12202033" w:rsidR="007A4E70" w:rsidRDefault="007A4E70">
      <w:pPr>
        <w:spacing w:after="0" w:line="360" w:lineRule="auto"/>
        <w:rPr>
          <w:rFonts w:ascii="Times New Roman" w:hAnsi="Times New Roman" w:cs="Times New Roman"/>
          <w:sz w:val="24"/>
          <w:szCs w:val="24"/>
        </w:rPr>
      </w:pPr>
    </w:p>
    <w:p w14:paraId="757FF9E0" w14:textId="49A1ECCD" w:rsidR="007A4E70" w:rsidRDefault="007A4E70">
      <w:pPr>
        <w:spacing w:after="0" w:line="360" w:lineRule="auto"/>
        <w:rPr>
          <w:rFonts w:ascii="Times New Roman" w:hAnsi="Times New Roman" w:cs="Times New Roman"/>
          <w:sz w:val="24"/>
          <w:szCs w:val="24"/>
        </w:rPr>
      </w:pPr>
    </w:p>
    <w:p w14:paraId="64065A00" w14:textId="62B7908F" w:rsidR="007A4E70" w:rsidRDefault="007A4E70">
      <w:pPr>
        <w:spacing w:after="0" w:line="360" w:lineRule="auto"/>
        <w:rPr>
          <w:rFonts w:ascii="Times New Roman" w:hAnsi="Times New Roman" w:cs="Times New Roman"/>
          <w:sz w:val="24"/>
          <w:szCs w:val="24"/>
        </w:rPr>
      </w:pPr>
    </w:p>
    <w:p w14:paraId="3731A0A1" w14:textId="0A9AC0ED" w:rsidR="007A4E70" w:rsidRDefault="007A4E70">
      <w:pPr>
        <w:spacing w:after="0" w:line="360" w:lineRule="auto"/>
        <w:rPr>
          <w:rFonts w:ascii="Times New Roman" w:hAnsi="Times New Roman" w:cs="Times New Roman"/>
          <w:sz w:val="24"/>
          <w:szCs w:val="24"/>
        </w:rPr>
      </w:pPr>
    </w:p>
    <w:p w14:paraId="6DE800A3" w14:textId="365DB1F4" w:rsidR="004872E9" w:rsidRDefault="004872E9">
      <w:pPr>
        <w:spacing w:after="0" w:line="360" w:lineRule="auto"/>
        <w:rPr>
          <w:rFonts w:ascii="Times New Roman" w:hAnsi="Times New Roman" w:cs="Times New Roman"/>
          <w:sz w:val="24"/>
          <w:szCs w:val="24"/>
        </w:rPr>
      </w:pPr>
    </w:p>
    <w:p w14:paraId="4380A81F" w14:textId="39BE75DE" w:rsidR="004872E9" w:rsidRDefault="004872E9">
      <w:pPr>
        <w:spacing w:after="0" w:line="360" w:lineRule="auto"/>
        <w:rPr>
          <w:rFonts w:ascii="Times New Roman" w:hAnsi="Times New Roman" w:cs="Times New Roman"/>
          <w:sz w:val="24"/>
          <w:szCs w:val="24"/>
        </w:rPr>
      </w:pPr>
    </w:p>
    <w:p w14:paraId="5ABC9FDC" w14:textId="114DAF70" w:rsidR="004872E9" w:rsidRDefault="004872E9">
      <w:pPr>
        <w:spacing w:after="0" w:line="360" w:lineRule="auto"/>
        <w:rPr>
          <w:rFonts w:ascii="Times New Roman" w:hAnsi="Times New Roman" w:cs="Times New Roman"/>
          <w:sz w:val="24"/>
          <w:szCs w:val="24"/>
        </w:rPr>
      </w:pPr>
    </w:p>
    <w:p w14:paraId="6C502078" w14:textId="58FA920E" w:rsidR="004872E9" w:rsidRDefault="004872E9">
      <w:pPr>
        <w:spacing w:after="0" w:line="360" w:lineRule="auto"/>
        <w:rPr>
          <w:rFonts w:ascii="Times New Roman" w:hAnsi="Times New Roman" w:cs="Times New Roman"/>
          <w:sz w:val="24"/>
          <w:szCs w:val="24"/>
        </w:rPr>
      </w:pPr>
    </w:p>
    <w:p w14:paraId="1FC203AC" w14:textId="71139621" w:rsidR="004872E9" w:rsidRDefault="004872E9">
      <w:pPr>
        <w:spacing w:after="0" w:line="360" w:lineRule="auto"/>
        <w:rPr>
          <w:rFonts w:ascii="Times New Roman" w:hAnsi="Times New Roman" w:cs="Times New Roman"/>
          <w:sz w:val="24"/>
          <w:szCs w:val="24"/>
        </w:rPr>
      </w:pPr>
    </w:p>
    <w:p w14:paraId="0235A7AC" w14:textId="10BC74D8" w:rsidR="00C06F28" w:rsidRPr="007562CB" w:rsidRDefault="00C06F28">
      <w:pPr>
        <w:spacing w:after="0" w:line="360" w:lineRule="auto"/>
        <w:rPr>
          <w:rFonts w:ascii="Times New Roman" w:hAnsi="Times New Roman" w:cs="Times New Roman"/>
          <w:b/>
          <w:bCs/>
          <w:sz w:val="20"/>
          <w:szCs w:val="24"/>
        </w:rPr>
      </w:pPr>
      <w:r w:rsidRPr="007562CB">
        <w:rPr>
          <w:rFonts w:ascii="Times New Roman" w:hAnsi="Times New Roman" w:cs="Times New Roman"/>
          <w:b/>
          <w:bCs/>
          <w:sz w:val="20"/>
          <w:szCs w:val="24"/>
        </w:rPr>
        <w:lastRenderedPageBreak/>
        <w:t>Table 3</w:t>
      </w:r>
      <w:r w:rsidR="00796E65" w:rsidRPr="007562CB">
        <w:rPr>
          <w:rFonts w:ascii="Times New Roman" w:hAnsi="Times New Roman" w:cs="Times New Roman"/>
          <w:b/>
          <w:bCs/>
          <w:sz w:val="20"/>
          <w:szCs w:val="24"/>
        </w:rPr>
        <w:t>:</w:t>
      </w:r>
      <w:r w:rsidRPr="007562CB">
        <w:rPr>
          <w:rFonts w:ascii="Times New Roman" w:hAnsi="Times New Roman" w:cs="Times New Roman"/>
          <w:b/>
          <w:bCs/>
          <w:sz w:val="20"/>
          <w:szCs w:val="24"/>
        </w:rPr>
        <w:t xml:space="preserve"> Final diagnos</w:t>
      </w:r>
      <w:r w:rsidR="00294D0B">
        <w:rPr>
          <w:rFonts w:ascii="Times New Roman" w:hAnsi="Times New Roman" w:cs="Times New Roman"/>
          <w:b/>
          <w:bCs/>
          <w:sz w:val="20"/>
          <w:szCs w:val="24"/>
        </w:rPr>
        <w:t>es</w:t>
      </w:r>
      <w:r w:rsidRPr="007562CB">
        <w:rPr>
          <w:rFonts w:ascii="Times New Roman" w:hAnsi="Times New Roman" w:cs="Times New Roman"/>
          <w:b/>
          <w:bCs/>
          <w:sz w:val="20"/>
          <w:szCs w:val="24"/>
        </w:rPr>
        <w:t xml:space="preserve"> of patients with </w:t>
      </w:r>
      <w:r w:rsidR="00796E65" w:rsidRPr="007562CB">
        <w:rPr>
          <w:rFonts w:ascii="Times New Roman" w:hAnsi="Times New Roman" w:cs="Times New Roman"/>
          <w:b/>
          <w:bCs/>
          <w:sz w:val="20"/>
          <w:szCs w:val="24"/>
        </w:rPr>
        <w:t xml:space="preserve">and without </w:t>
      </w:r>
      <w:r w:rsidRPr="007562CB">
        <w:rPr>
          <w:rFonts w:ascii="Times New Roman" w:hAnsi="Times New Roman" w:cs="Times New Roman"/>
          <w:b/>
          <w:bCs/>
          <w:sz w:val="20"/>
          <w:szCs w:val="24"/>
        </w:rPr>
        <w:t xml:space="preserve">active TB </w:t>
      </w:r>
    </w:p>
    <w:tbl>
      <w:tblPr>
        <w:tblStyle w:val="TableGrid"/>
        <w:tblW w:w="995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7"/>
        <w:gridCol w:w="1559"/>
        <w:gridCol w:w="3685"/>
        <w:gridCol w:w="1276"/>
      </w:tblGrid>
      <w:tr w:rsidR="00C06F28" w:rsidRPr="006C3B0A" w14:paraId="408D445C" w14:textId="77777777" w:rsidTr="00CC2CD9">
        <w:trPr>
          <w:tblHeader/>
        </w:trPr>
        <w:tc>
          <w:tcPr>
            <w:tcW w:w="3437" w:type="dxa"/>
            <w:tcBorders>
              <w:top w:val="nil"/>
              <w:left w:val="nil"/>
              <w:bottom w:val="single" w:sz="12" w:space="0" w:color="auto"/>
              <w:right w:val="nil"/>
            </w:tcBorders>
            <w:hideMark/>
          </w:tcPr>
          <w:p w14:paraId="2E254E41" w14:textId="77777777" w:rsidR="00C06F28" w:rsidRDefault="00C06F28">
            <w:pPr>
              <w:spacing w:line="360" w:lineRule="auto"/>
              <w:rPr>
                <w:rFonts w:ascii="Times New Roman" w:hAnsi="Times New Roman" w:cs="Times New Roman"/>
                <w:b/>
                <w:sz w:val="20"/>
                <w:szCs w:val="20"/>
              </w:rPr>
            </w:pPr>
            <w:r w:rsidRPr="00A227A2">
              <w:rPr>
                <w:rFonts w:ascii="Times New Roman" w:hAnsi="Times New Roman" w:cs="Times New Roman"/>
                <w:b/>
                <w:sz w:val="20"/>
                <w:szCs w:val="20"/>
              </w:rPr>
              <w:t>Confirmed or highly probably TB</w:t>
            </w:r>
          </w:p>
          <w:p w14:paraId="5F6E1393" w14:textId="028C3876" w:rsidR="009D54D4" w:rsidRPr="0070258D" w:rsidRDefault="009D54D4">
            <w:pPr>
              <w:spacing w:line="360" w:lineRule="auto"/>
              <w:rPr>
                <w:rFonts w:ascii="Times New Roman" w:hAnsi="Times New Roman" w:cs="Times New Roman"/>
                <w:b/>
                <w:sz w:val="20"/>
                <w:szCs w:val="20"/>
              </w:rPr>
            </w:pPr>
            <w:r w:rsidRPr="0070258D">
              <w:rPr>
                <w:rFonts w:ascii="Times New Roman" w:hAnsi="Times New Roman" w:cs="Times New Roman"/>
                <w:b/>
                <w:sz w:val="20"/>
                <w:szCs w:val="20"/>
              </w:rPr>
              <w:t>N = 363</w:t>
            </w:r>
          </w:p>
        </w:tc>
        <w:tc>
          <w:tcPr>
            <w:tcW w:w="1559" w:type="dxa"/>
            <w:tcBorders>
              <w:top w:val="nil"/>
              <w:left w:val="nil"/>
              <w:bottom w:val="single" w:sz="12" w:space="0" w:color="auto"/>
              <w:right w:val="nil"/>
            </w:tcBorders>
            <w:hideMark/>
          </w:tcPr>
          <w:p w14:paraId="1CF1E10C" w14:textId="231BBF2C" w:rsidR="00C06F28" w:rsidRPr="00A227A2" w:rsidRDefault="00C06F28" w:rsidP="00A227A2">
            <w:pPr>
              <w:spacing w:line="360" w:lineRule="auto"/>
              <w:jc w:val="both"/>
              <w:rPr>
                <w:rFonts w:ascii="Times New Roman" w:hAnsi="Times New Roman" w:cs="Times New Roman"/>
                <w:b/>
                <w:sz w:val="20"/>
                <w:szCs w:val="20"/>
              </w:rPr>
            </w:pPr>
            <w:r w:rsidRPr="00A227A2">
              <w:rPr>
                <w:rFonts w:ascii="Times New Roman" w:hAnsi="Times New Roman" w:cs="Times New Roman"/>
                <w:sz w:val="20"/>
                <w:szCs w:val="20"/>
              </w:rPr>
              <w:t>n (%)</w:t>
            </w:r>
          </w:p>
        </w:tc>
        <w:tc>
          <w:tcPr>
            <w:tcW w:w="3685" w:type="dxa"/>
            <w:tcBorders>
              <w:top w:val="nil"/>
              <w:left w:val="nil"/>
              <w:bottom w:val="single" w:sz="12" w:space="0" w:color="auto"/>
              <w:right w:val="nil"/>
            </w:tcBorders>
            <w:hideMark/>
          </w:tcPr>
          <w:p w14:paraId="6E90AA53" w14:textId="77777777" w:rsidR="00C06F28" w:rsidRDefault="00C06F28">
            <w:pPr>
              <w:spacing w:line="360" w:lineRule="auto"/>
              <w:rPr>
                <w:rFonts w:ascii="Times New Roman" w:hAnsi="Times New Roman" w:cs="Times New Roman"/>
                <w:sz w:val="20"/>
                <w:szCs w:val="20"/>
                <w:vertAlign w:val="superscript"/>
              </w:rPr>
            </w:pPr>
            <w:r w:rsidRPr="00A227A2">
              <w:rPr>
                <w:rFonts w:ascii="Times New Roman" w:hAnsi="Times New Roman" w:cs="Times New Roman"/>
                <w:b/>
                <w:sz w:val="20"/>
                <w:szCs w:val="20"/>
              </w:rPr>
              <w:t xml:space="preserve">Active tuberculosis </w:t>
            </w:r>
            <w:proofErr w:type="spellStart"/>
            <w:r w:rsidRPr="00A227A2">
              <w:rPr>
                <w:rFonts w:ascii="Times New Roman" w:hAnsi="Times New Roman" w:cs="Times New Roman"/>
                <w:b/>
                <w:sz w:val="20"/>
                <w:szCs w:val="20"/>
              </w:rPr>
              <w:t>excluded</w:t>
            </w:r>
            <w:r w:rsidRPr="00A227A2">
              <w:rPr>
                <w:rFonts w:ascii="Times New Roman" w:hAnsi="Times New Roman" w:cs="Times New Roman"/>
                <w:sz w:val="20"/>
                <w:szCs w:val="20"/>
                <w:vertAlign w:val="superscript"/>
              </w:rPr>
              <w:t>b</w:t>
            </w:r>
            <w:proofErr w:type="spellEnd"/>
          </w:p>
          <w:p w14:paraId="06535065" w14:textId="591D3EC7" w:rsidR="009D54D4" w:rsidRPr="00A227A2" w:rsidRDefault="009D54D4">
            <w:pPr>
              <w:spacing w:line="360" w:lineRule="auto"/>
              <w:rPr>
                <w:rFonts w:ascii="Times New Roman" w:hAnsi="Times New Roman" w:cs="Times New Roman"/>
                <w:b/>
                <w:sz w:val="20"/>
                <w:szCs w:val="20"/>
              </w:rPr>
            </w:pPr>
            <w:r>
              <w:rPr>
                <w:rFonts w:ascii="Times New Roman" w:hAnsi="Times New Roman" w:cs="Times New Roman"/>
                <w:b/>
                <w:sz w:val="20"/>
                <w:szCs w:val="20"/>
              </w:rPr>
              <w:t>N = 439</w:t>
            </w:r>
          </w:p>
        </w:tc>
        <w:tc>
          <w:tcPr>
            <w:tcW w:w="1276" w:type="dxa"/>
            <w:tcBorders>
              <w:top w:val="nil"/>
              <w:left w:val="nil"/>
              <w:bottom w:val="single" w:sz="12" w:space="0" w:color="auto"/>
              <w:right w:val="nil"/>
            </w:tcBorders>
            <w:hideMark/>
          </w:tcPr>
          <w:p w14:paraId="453FEDA9" w14:textId="77777777" w:rsidR="00C06F28" w:rsidRPr="00A227A2" w:rsidRDefault="00C06F28">
            <w:pPr>
              <w:spacing w:line="360" w:lineRule="auto"/>
              <w:rPr>
                <w:rFonts w:ascii="Times New Roman" w:hAnsi="Times New Roman" w:cs="Times New Roman"/>
                <w:b/>
                <w:sz w:val="20"/>
                <w:szCs w:val="20"/>
              </w:rPr>
            </w:pPr>
            <w:r w:rsidRPr="00A227A2">
              <w:rPr>
                <w:rFonts w:ascii="Times New Roman" w:hAnsi="Times New Roman" w:cs="Times New Roman"/>
                <w:sz w:val="20"/>
                <w:szCs w:val="20"/>
              </w:rPr>
              <w:t>n (%)</w:t>
            </w:r>
          </w:p>
        </w:tc>
      </w:tr>
      <w:tr w:rsidR="00387A03" w:rsidRPr="006C3B0A" w14:paraId="468581E4" w14:textId="77777777" w:rsidTr="00CC2CD9">
        <w:tc>
          <w:tcPr>
            <w:tcW w:w="3437" w:type="dxa"/>
            <w:tcBorders>
              <w:top w:val="single" w:sz="12" w:space="0" w:color="auto"/>
              <w:left w:val="nil"/>
              <w:bottom w:val="nil"/>
              <w:right w:val="nil"/>
            </w:tcBorders>
            <w:hideMark/>
          </w:tcPr>
          <w:p w14:paraId="068460B5" w14:textId="77777777" w:rsidR="00387A03" w:rsidRPr="00A227A2" w:rsidRDefault="00387A03">
            <w:pPr>
              <w:spacing w:line="360" w:lineRule="auto"/>
              <w:rPr>
                <w:rFonts w:ascii="Times New Roman" w:hAnsi="Times New Roman" w:cs="Times New Roman"/>
                <w:sz w:val="20"/>
                <w:szCs w:val="20"/>
              </w:rPr>
            </w:pPr>
            <w:r w:rsidRPr="00A227A2">
              <w:rPr>
                <w:rFonts w:ascii="Times New Roman" w:hAnsi="Times New Roman" w:cs="Times New Roman"/>
                <w:sz w:val="20"/>
                <w:szCs w:val="20"/>
              </w:rPr>
              <w:t>All TB</w:t>
            </w:r>
          </w:p>
        </w:tc>
        <w:tc>
          <w:tcPr>
            <w:tcW w:w="1559" w:type="dxa"/>
            <w:tcBorders>
              <w:top w:val="single" w:sz="12" w:space="0" w:color="auto"/>
              <w:left w:val="nil"/>
              <w:bottom w:val="nil"/>
              <w:right w:val="nil"/>
            </w:tcBorders>
            <w:hideMark/>
          </w:tcPr>
          <w:p w14:paraId="1F7EA6B8" w14:textId="77777777" w:rsidR="00387A03" w:rsidRPr="00A227A2" w:rsidRDefault="00387A03">
            <w:pPr>
              <w:spacing w:line="360" w:lineRule="auto"/>
              <w:rPr>
                <w:rFonts w:ascii="Times New Roman" w:hAnsi="Times New Roman" w:cs="Times New Roman"/>
                <w:sz w:val="20"/>
                <w:szCs w:val="20"/>
              </w:rPr>
            </w:pPr>
            <w:r w:rsidRPr="00A227A2">
              <w:rPr>
                <w:rFonts w:ascii="Times New Roman" w:hAnsi="Times New Roman" w:cs="Times New Roman"/>
                <w:sz w:val="20"/>
                <w:szCs w:val="20"/>
              </w:rPr>
              <w:t>363 (100)</w:t>
            </w:r>
          </w:p>
        </w:tc>
        <w:tc>
          <w:tcPr>
            <w:tcW w:w="3685" w:type="dxa"/>
            <w:tcBorders>
              <w:top w:val="single" w:sz="12" w:space="0" w:color="auto"/>
              <w:left w:val="nil"/>
              <w:bottom w:val="nil"/>
              <w:right w:val="nil"/>
            </w:tcBorders>
            <w:vAlign w:val="bottom"/>
          </w:tcPr>
          <w:p w14:paraId="58CEA5B4" w14:textId="1631AB0D" w:rsidR="00387A03" w:rsidRPr="00A227A2" w:rsidRDefault="00387A03">
            <w:pPr>
              <w:spacing w:line="360" w:lineRule="auto"/>
              <w:rPr>
                <w:rFonts w:ascii="Times New Roman" w:eastAsia="Calibri" w:hAnsi="Times New Roman" w:cs="Times New Roman"/>
                <w:sz w:val="20"/>
                <w:szCs w:val="20"/>
              </w:rPr>
            </w:pPr>
            <w:r w:rsidRPr="00A227A2">
              <w:rPr>
                <w:rFonts w:ascii="Times New Roman" w:eastAsia="Calibri" w:hAnsi="Times New Roman" w:cs="Times New Roman"/>
                <w:sz w:val="20"/>
                <w:szCs w:val="20"/>
              </w:rPr>
              <w:t>Pneumonia</w:t>
            </w:r>
          </w:p>
        </w:tc>
        <w:tc>
          <w:tcPr>
            <w:tcW w:w="1276" w:type="dxa"/>
            <w:tcBorders>
              <w:top w:val="single" w:sz="12" w:space="0" w:color="auto"/>
              <w:left w:val="nil"/>
              <w:bottom w:val="nil"/>
              <w:right w:val="nil"/>
            </w:tcBorders>
            <w:vAlign w:val="bottom"/>
          </w:tcPr>
          <w:p w14:paraId="0AB7C176" w14:textId="0A7BC14E" w:rsidR="00387A03" w:rsidRPr="00A227A2" w:rsidRDefault="00387A03">
            <w:pPr>
              <w:spacing w:line="360" w:lineRule="auto"/>
              <w:rPr>
                <w:rFonts w:ascii="Times New Roman" w:eastAsia="Calibri" w:hAnsi="Times New Roman" w:cs="Times New Roman"/>
                <w:sz w:val="20"/>
                <w:szCs w:val="20"/>
              </w:rPr>
            </w:pPr>
            <w:r w:rsidRPr="00A227A2">
              <w:rPr>
                <w:rFonts w:ascii="Times New Roman" w:eastAsia="Calibri" w:hAnsi="Times New Roman" w:cs="Times New Roman"/>
                <w:sz w:val="20"/>
                <w:szCs w:val="20"/>
              </w:rPr>
              <w:t>104 (23.7)</w:t>
            </w:r>
          </w:p>
        </w:tc>
      </w:tr>
      <w:tr w:rsidR="00387A03" w:rsidRPr="006C3B0A" w14:paraId="33DC5C4B" w14:textId="77777777" w:rsidTr="00CC2CD9">
        <w:tc>
          <w:tcPr>
            <w:tcW w:w="3437" w:type="dxa"/>
            <w:hideMark/>
          </w:tcPr>
          <w:p w14:paraId="0AD4E03F" w14:textId="77777777" w:rsidR="00387A03" w:rsidRPr="00A227A2" w:rsidRDefault="00387A03">
            <w:pPr>
              <w:spacing w:line="360" w:lineRule="auto"/>
              <w:rPr>
                <w:rFonts w:ascii="Times New Roman" w:hAnsi="Times New Roman" w:cs="Times New Roman"/>
                <w:sz w:val="20"/>
                <w:szCs w:val="20"/>
              </w:rPr>
            </w:pPr>
            <w:r w:rsidRPr="00A227A2">
              <w:rPr>
                <w:rFonts w:ascii="Times New Roman" w:hAnsi="Times New Roman" w:cs="Times New Roman"/>
                <w:sz w:val="20"/>
                <w:szCs w:val="20"/>
              </w:rPr>
              <w:t xml:space="preserve">Pulmonary </w:t>
            </w:r>
          </w:p>
        </w:tc>
        <w:tc>
          <w:tcPr>
            <w:tcW w:w="1559" w:type="dxa"/>
            <w:hideMark/>
          </w:tcPr>
          <w:p w14:paraId="23AB9141" w14:textId="77777777" w:rsidR="00387A03" w:rsidRPr="00A227A2" w:rsidRDefault="00387A03">
            <w:pPr>
              <w:spacing w:line="360" w:lineRule="auto"/>
              <w:rPr>
                <w:rFonts w:ascii="Times New Roman" w:hAnsi="Times New Roman" w:cs="Times New Roman"/>
                <w:sz w:val="20"/>
                <w:szCs w:val="20"/>
              </w:rPr>
            </w:pPr>
            <w:r w:rsidRPr="00A227A2">
              <w:rPr>
                <w:rFonts w:ascii="Times New Roman" w:hAnsi="Times New Roman" w:cs="Times New Roman"/>
                <w:sz w:val="20"/>
                <w:szCs w:val="20"/>
              </w:rPr>
              <w:t>129 (35.5)</w:t>
            </w:r>
          </w:p>
        </w:tc>
        <w:tc>
          <w:tcPr>
            <w:tcW w:w="3685" w:type="dxa"/>
            <w:vAlign w:val="bottom"/>
          </w:tcPr>
          <w:p w14:paraId="07F01F37" w14:textId="2B58869B" w:rsidR="00387A03" w:rsidRPr="00A227A2" w:rsidRDefault="00387A03">
            <w:pPr>
              <w:spacing w:line="360" w:lineRule="auto"/>
              <w:rPr>
                <w:rFonts w:ascii="Times New Roman" w:eastAsia="Calibri" w:hAnsi="Times New Roman" w:cs="Times New Roman"/>
                <w:sz w:val="20"/>
                <w:szCs w:val="20"/>
              </w:rPr>
            </w:pPr>
            <w:r w:rsidRPr="00A227A2">
              <w:rPr>
                <w:rFonts w:ascii="Times New Roman" w:eastAsia="Calibri" w:hAnsi="Times New Roman" w:cs="Times New Roman"/>
                <w:sz w:val="20"/>
                <w:szCs w:val="20"/>
              </w:rPr>
              <w:t>Sarcoidosis</w:t>
            </w:r>
          </w:p>
        </w:tc>
        <w:tc>
          <w:tcPr>
            <w:tcW w:w="1276" w:type="dxa"/>
            <w:vAlign w:val="bottom"/>
          </w:tcPr>
          <w:p w14:paraId="21EA4817" w14:textId="7E30A30D" w:rsidR="00387A03" w:rsidRPr="00A227A2" w:rsidRDefault="00387A03">
            <w:pPr>
              <w:spacing w:line="360" w:lineRule="auto"/>
              <w:rPr>
                <w:rFonts w:ascii="Times New Roman" w:eastAsia="Calibri" w:hAnsi="Times New Roman" w:cs="Times New Roman"/>
                <w:sz w:val="20"/>
                <w:szCs w:val="20"/>
              </w:rPr>
            </w:pPr>
            <w:r w:rsidRPr="00A227A2">
              <w:rPr>
                <w:rFonts w:ascii="Times New Roman" w:eastAsia="Calibri" w:hAnsi="Times New Roman" w:cs="Times New Roman"/>
                <w:sz w:val="20"/>
                <w:szCs w:val="20"/>
              </w:rPr>
              <w:t>38 (8.7)</w:t>
            </w:r>
          </w:p>
        </w:tc>
      </w:tr>
      <w:tr w:rsidR="00387A03" w:rsidRPr="006C3B0A" w14:paraId="3A56E024" w14:textId="77777777" w:rsidTr="00CC2CD9">
        <w:tc>
          <w:tcPr>
            <w:tcW w:w="3437" w:type="dxa"/>
            <w:hideMark/>
          </w:tcPr>
          <w:p w14:paraId="27CD7D18" w14:textId="406C28BA" w:rsidR="00387A03" w:rsidRPr="00A227A2" w:rsidRDefault="00387A03">
            <w:pPr>
              <w:spacing w:line="360" w:lineRule="auto"/>
              <w:rPr>
                <w:rFonts w:ascii="Times New Roman" w:hAnsi="Times New Roman" w:cs="Times New Roman"/>
                <w:sz w:val="20"/>
                <w:szCs w:val="20"/>
              </w:rPr>
            </w:pPr>
            <w:r w:rsidRPr="00A227A2">
              <w:rPr>
                <w:rFonts w:ascii="Times New Roman" w:hAnsi="Times New Roman" w:cs="Times New Roman"/>
                <w:sz w:val="20"/>
                <w:szCs w:val="20"/>
              </w:rPr>
              <w:t xml:space="preserve">Extrapulmonary </w:t>
            </w:r>
          </w:p>
        </w:tc>
        <w:tc>
          <w:tcPr>
            <w:tcW w:w="1559" w:type="dxa"/>
            <w:hideMark/>
          </w:tcPr>
          <w:p w14:paraId="1144BF03" w14:textId="77777777" w:rsidR="00387A03" w:rsidRPr="00A227A2" w:rsidRDefault="00387A03">
            <w:pPr>
              <w:spacing w:line="360" w:lineRule="auto"/>
              <w:rPr>
                <w:rFonts w:ascii="Times New Roman" w:hAnsi="Times New Roman" w:cs="Times New Roman"/>
                <w:sz w:val="20"/>
                <w:szCs w:val="20"/>
              </w:rPr>
            </w:pPr>
            <w:r w:rsidRPr="00A227A2">
              <w:rPr>
                <w:rFonts w:ascii="Times New Roman" w:hAnsi="Times New Roman" w:cs="Times New Roman"/>
                <w:sz w:val="20"/>
                <w:szCs w:val="20"/>
              </w:rPr>
              <w:t>189 (52.1)</w:t>
            </w:r>
          </w:p>
        </w:tc>
        <w:tc>
          <w:tcPr>
            <w:tcW w:w="3685" w:type="dxa"/>
            <w:vAlign w:val="bottom"/>
          </w:tcPr>
          <w:p w14:paraId="15609FE6" w14:textId="2AEC1326" w:rsidR="00387A03" w:rsidRPr="00A227A2" w:rsidRDefault="00387A03">
            <w:pPr>
              <w:spacing w:line="360" w:lineRule="auto"/>
              <w:rPr>
                <w:rFonts w:ascii="Times New Roman" w:eastAsia="Calibri" w:hAnsi="Times New Roman" w:cs="Times New Roman"/>
                <w:sz w:val="20"/>
                <w:szCs w:val="20"/>
              </w:rPr>
            </w:pPr>
            <w:r w:rsidRPr="00A227A2">
              <w:rPr>
                <w:rFonts w:ascii="Times New Roman" w:eastAsia="Calibri" w:hAnsi="Times New Roman" w:cs="Times New Roman"/>
                <w:sz w:val="20"/>
                <w:szCs w:val="20"/>
              </w:rPr>
              <w:t>Cancer</w:t>
            </w:r>
          </w:p>
        </w:tc>
        <w:tc>
          <w:tcPr>
            <w:tcW w:w="1276" w:type="dxa"/>
            <w:vAlign w:val="bottom"/>
          </w:tcPr>
          <w:p w14:paraId="36E2EACF" w14:textId="3DA76229" w:rsidR="00387A03" w:rsidRPr="00A227A2" w:rsidRDefault="00387A03">
            <w:pPr>
              <w:spacing w:line="360" w:lineRule="auto"/>
              <w:rPr>
                <w:rFonts w:ascii="Times New Roman" w:eastAsia="Calibri" w:hAnsi="Times New Roman" w:cs="Times New Roman"/>
                <w:sz w:val="20"/>
                <w:szCs w:val="20"/>
              </w:rPr>
            </w:pPr>
            <w:r w:rsidRPr="00A227A2">
              <w:rPr>
                <w:rFonts w:ascii="Times New Roman" w:eastAsia="Calibri" w:hAnsi="Times New Roman" w:cs="Times New Roman"/>
                <w:sz w:val="20"/>
                <w:szCs w:val="20"/>
              </w:rPr>
              <w:t>36 (8.2)</w:t>
            </w:r>
          </w:p>
        </w:tc>
      </w:tr>
      <w:tr w:rsidR="00387A03" w:rsidRPr="006C3B0A" w14:paraId="470E8063" w14:textId="77777777" w:rsidTr="00CC2CD9">
        <w:tc>
          <w:tcPr>
            <w:tcW w:w="3437" w:type="dxa"/>
            <w:hideMark/>
          </w:tcPr>
          <w:p w14:paraId="31E18FDC" w14:textId="106336B3" w:rsidR="00387A03" w:rsidRPr="00A227A2" w:rsidRDefault="00387A03">
            <w:pPr>
              <w:spacing w:line="360" w:lineRule="auto"/>
              <w:rPr>
                <w:rFonts w:ascii="Times New Roman" w:hAnsi="Times New Roman" w:cs="Times New Roman"/>
                <w:sz w:val="20"/>
                <w:szCs w:val="20"/>
              </w:rPr>
            </w:pPr>
            <w:r w:rsidRPr="00A227A2">
              <w:rPr>
                <w:rFonts w:ascii="Times New Roman" w:hAnsi="Times New Roman" w:cs="Times New Roman"/>
                <w:sz w:val="20"/>
                <w:szCs w:val="20"/>
              </w:rPr>
              <w:t xml:space="preserve">Pulmonary and extrapulmonary </w:t>
            </w:r>
          </w:p>
        </w:tc>
        <w:tc>
          <w:tcPr>
            <w:tcW w:w="1559" w:type="dxa"/>
            <w:hideMark/>
          </w:tcPr>
          <w:p w14:paraId="3558A90A" w14:textId="77777777" w:rsidR="00387A03" w:rsidRPr="00A227A2" w:rsidRDefault="00387A03">
            <w:pPr>
              <w:spacing w:line="360" w:lineRule="auto"/>
              <w:rPr>
                <w:rFonts w:ascii="Times New Roman" w:hAnsi="Times New Roman" w:cs="Times New Roman"/>
                <w:sz w:val="20"/>
                <w:szCs w:val="20"/>
              </w:rPr>
            </w:pPr>
            <w:r w:rsidRPr="00A227A2">
              <w:rPr>
                <w:rFonts w:ascii="Times New Roman" w:hAnsi="Times New Roman" w:cs="Times New Roman"/>
                <w:sz w:val="20"/>
                <w:szCs w:val="20"/>
              </w:rPr>
              <w:t>45 (12.4)</w:t>
            </w:r>
          </w:p>
        </w:tc>
        <w:tc>
          <w:tcPr>
            <w:tcW w:w="3685" w:type="dxa"/>
            <w:vAlign w:val="bottom"/>
          </w:tcPr>
          <w:p w14:paraId="2559AE5D" w14:textId="596D9210" w:rsidR="00387A03" w:rsidRPr="00A227A2" w:rsidRDefault="00387A03">
            <w:pPr>
              <w:spacing w:line="360" w:lineRule="auto"/>
              <w:rPr>
                <w:rFonts w:ascii="Times New Roman" w:eastAsia="Calibri" w:hAnsi="Times New Roman" w:cs="Times New Roman"/>
                <w:sz w:val="20"/>
                <w:szCs w:val="20"/>
                <w:highlight w:val="yellow"/>
              </w:rPr>
            </w:pPr>
            <w:r w:rsidRPr="00A227A2">
              <w:rPr>
                <w:rFonts w:ascii="Times New Roman" w:eastAsia="Calibri" w:hAnsi="Times New Roman" w:cs="Times New Roman"/>
                <w:sz w:val="20"/>
                <w:szCs w:val="20"/>
              </w:rPr>
              <w:t xml:space="preserve">Lower respiratory tract infection </w:t>
            </w:r>
          </w:p>
        </w:tc>
        <w:tc>
          <w:tcPr>
            <w:tcW w:w="1276" w:type="dxa"/>
            <w:vAlign w:val="bottom"/>
          </w:tcPr>
          <w:p w14:paraId="7C82F56E" w14:textId="5B89617A" w:rsidR="00387A03" w:rsidRPr="00A227A2" w:rsidRDefault="00387A03">
            <w:pPr>
              <w:spacing w:line="360" w:lineRule="auto"/>
              <w:rPr>
                <w:rFonts w:ascii="Times New Roman" w:eastAsia="Calibri" w:hAnsi="Times New Roman" w:cs="Times New Roman"/>
                <w:sz w:val="20"/>
                <w:szCs w:val="20"/>
              </w:rPr>
            </w:pPr>
            <w:r w:rsidRPr="00A227A2">
              <w:rPr>
                <w:rFonts w:ascii="Times New Roman" w:eastAsia="Calibri" w:hAnsi="Times New Roman" w:cs="Times New Roman"/>
                <w:sz w:val="20"/>
                <w:szCs w:val="20"/>
              </w:rPr>
              <w:t>23 (5.2)</w:t>
            </w:r>
          </w:p>
        </w:tc>
      </w:tr>
      <w:tr w:rsidR="006C3B0A" w:rsidRPr="006C3B0A" w14:paraId="45613142" w14:textId="20CC66A1" w:rsidTr="00CC2CD9">
        <w:tc>
          <w:tcPr>
            <w:tcW w:w="4996" w:type="dxa"/>
            <w:gridSpan w:val="2"/>
            <w:hideMark/>
          </w:tcPr>
          <w:p w14:paraId="12602086" w14:textId="406D7437" w:rsidR="006C3B0A" w:rsidRPr="00A227A2" w:rsidRDefault="006C3B0A">
            <w:pPr>
              <w:spacing w:line="360" w:lineRule="auto"/>
              <w:rPr>
                <w:rFonts w:ascii="Times New Roman" w:hAnsi="Times New Roman" w:cs="Times New Roman"/>
                <w:sz w:val="20"/>
                <w:szCs w:val="20"/>
              </w:rPr>
            </w:pPr>
            <w:r w:rsidRPr="00A227A2">
              <w:rPr>
                <w:rFonts w:ascii="Times New Roman" w:hAnsi="Times New Roman" w:cs="Times New Roman"/>
                <w:sz w:val="20"/>
                <w:szCs w:val="20"/>
              </w:rPr>
              <w:t xml:space="preserve">Site of </w:t>
            </w:r>
            <w:proofErr w:type="spellStart"/>
            <w:r w:rsidRPr="00A227A2">
              <w:rPr>
                <w:rFonts w:ascii="Times New Roman" w:hAnsi="Times New Roman" w:cs="Times New Roman"/>
                <w:sz w:val="20"/>
                <w:szCs w:val="20"/>
              </w:rPr>
              <w:t>disease</w:t>
            </w:r>
            <w:r w:rsidRPr="00A227A2">
              <w:rPr>
                <w:rFonts w:ascii="Times New Roman" w:hAnsi="Times New Roman" w:cs="Times New Roman"/>
                <w:sz w:val="20"/>
                <w:szCs w:val="20"/>
                <w:vertAlign w:val="superscript"/>
              </w:rPr>
              <w:t>a</w:t>
            </w:r>
            <w:proofErr w:type="spellEnd"/>
          </w:p>
        </w:tc>
        <w:tc>
          <w:tcPr>
            <w:tcW w:w="3685" w:type="dxa"/>
            <w:vAlign w:val="bottom"/>
          </w:tcPr>
          <w:p w14:paraId="0CCC5DE5" w14:textId="4210353A" w:rsidR="006C3B0A" w:rsidRPr="00A227A2" w:rsidRDefault="006C3B0A">
            <w:pPr>
              <w:spacing w:line="360" w:lineRule="auto"/>
              <w:rPr>
                <w:rFonts w:ascii="Times New Roman" w:eastAsia="Calibri" w:hAnsi="Times New Roman" w:cs="Times New Roman"/>
                <w:sz w:val="20"/>
                <w:szCs w:val="20"/>
              </w:rPr>
            </w:pPr>
            <w:r w:rsidRPr="00A227A2">
              <w:rPr>
                <w:rFonts w:ascii="Times New Roman" w:eastAsia="Calibri" w:hAnsi="Times New Roman" w:cs="Times New Roman"/>
                <w:sz w:val="20"/>
                <w:szCs w:val="20"/>
              </w:rPr>
              <w:t>Reactive lymphadenopathy</w:t>
            </w:r>
            <w:r w:rsidRPr="00A227A2" w:rsidDel="00387A03">
              <w:rPr>
                <w:rFonts w:ascii="Times New Roman" w:eastAsia="Calibri" w:hAnsi="Times New Roman" w:cs="Times New Roman"/>
                <w:sz w:val="20"/>
                <w:szCs w:val="20"/>
              </w:rPr>
              <w:t xml:space="preserve"> </w:t>
            </w:r>
          </w:p>
        </w:tc>
        <w:tc>
          <w:tcPr>
            <w:tcW w:w="1276" w:type="dxa"/>
            <w:vAlign w:val="bottom"/>
          </w:tcPr>
          <w:p w14:paraId="173AC9EC" w14:textId="02D6C458" w:rsidR="006C3B0A" w:rsidRPr="00A227A2" w:rsidRDefault="006C3B0A">
            <w:pPr>
              <w:spacing w:line="360" w:lineRule="auto"/>
              <w:rPr>
                <w:rFonts w:ascii="Times New Roman" w:eastAsia="Calibri" w:hAnsi="Times New Roman" w:cs="Times New Roman"/>
                <w:sz w:val="20"/>
                <w:szCs w:val="20"/>
              </w:rPr>
            </w:pPr>
            <w:r w:rsidRPr="00A227A2">
              <w:rPr>
                <w:rFonts w:ascii="Times New Roman" w:eastAsia="Calibri" w:hAnsi="Times New Roman" w:cs="Times New Roman"/>
                <w:sz w:val="20"/>
                <w:szCs w:val="20"/>
              </w:rPr>
              <w:t>18 (4.1)</w:t>
            </w:r>
          </w:p>
        </w:tc>
      </w:tr>
      <w:tr w:rsidR="00D01E16" w:rsidRPr="006C3B0A" w14:paraId="4B758639" w14:textId="77777777" w:rsidTr="00CC2CD9">
        <w:tc>
          <w:tcPr>
            <w:tcW w:w="3437" w:type="dxa"/>
            <w:hideMark/>
          </w:tcPr>
          <w:p w14:paraId="3CAB989A" w14:textId="7A81AEE8" w:rsidR="00D01E16" w:rsidRPr="00A227A2" w:rsidRDefault="00D01E16" w:rsidP="00D01E16">
            <w:pPr>
              <w:spacing w:line="360" w:lineRule="auto"/>
              <w:ind w:left="142"/>
              <w:rPr>
                <w:rFonts w:ascii="Times New Roman" w:hAnsi="Times New Roman" w:cs="Times New Roman"/>
                <w:sz w:val="20"/>
                <w:szCs w:val="20"/>
              </w:rPr>
            </w:pPr>
            <w:r w:rsidRPr="00A227A2">
              <w:rPr>
                <w:rFonts w:ascii="Times New Roman" w:hAnsi="Times New Roman" w:cs="Times New Roman"/>
                <w:sz w:val="20"/>
                <w:szCs w:val="20"/>
              </w:rPr>
              <w:t>Lungs</w:t>
            </w:r>
          </w:p>
        </w:tc>
        <w:tc>
          <w:tcPr>
            <w:tcW w:w="1559" w:type="dxa"/>
            <w:hideMark/>
          </w:tcPr>
          <w:p w14:paraId="1E0A2DCE" w14:textId="5C1FF5C3" w:rsidR="00D01E16" w:rsidRPr="00A227A2" w:rsidRDefault="00D01E16" w:rsidP="00D01E16">
            <w:pPr>
              <w:spacing w:line="360" w:lineRule="auto"/>
              <w:rPr>
                <w:rFonts w:ascii="Times New Roman" w:hAnsi="Times New Roman" w:cs="Times New Roman"/>
                <w:sz w:val="20"/>
                <w:szCs w:val="20"/>
              </w:rPr>
            </w:pPr>
            <w:r w:rsidRPr="00A227A2">
              <w:rPr>
                <w:rFonts w:ascii="Times New Roman" w:hAnsi="Times New Roman" w:cs="Times New Roman"/>
                <w:sz w:val="20"/>
                <w:szCs w:val="20"/>
              </w:rPr>
              <w:t>174 (47.9)</w:t>
            </w:r>
          </w:p>
        </w:tc>
        <w:tc>
          <w:tcPr>
            <w:tcW w:w="3685" w:type="dxa"/>
            <w:vAlign w:val="bottom"/>
          </w:tcPr>
          <w:p w14:paraId="078BF3DB" w14:textId="04372862" w:rsidR="00D01E16" w:rsidRPr="00A227A2" w:rsidRDefault="00D01E16" w:rsidP="00D01E16">
            <w:pPr>
              <w:spacing w:line="360" w:lineRule="auto"/>
              <w:rPr>
                <w:rFonts w:ascii="Times New Roman" w:eastAsia="Calibri" w:hAnsi="Times New Roman" w:cs="Times New Roman"/>
                <w:sz w:val="20"/>
                <w:szCs w:val="20"/>
              </w:rPr>
            </w:pPr>
            <w:r w:rsidRPr="00A227A2">
              <w:rPr>
                <w:rFonts w:ascii="Times New Roman" w:eastAsia="Calibri" w:hAnsi="Times New Roman" w:cs="Times New Roman"/>
                <w:sz w:val="20"/>
                <w:szCs w:val="20"/>
              </w:rPr>
              <w:t>Chest Infection</w:t>
            </w:r>
          </w:p>
        </w:tc>
        <w:tc>
          <w:tcPr>
            <w:tcW w:w="1276" w:type="dxa"/>
            <w:vAlign w:val="bottom"/>
          </w:tcPr>
          <w:p w14:paraId="1F16DEFE" w14:textId="5314E4DC" w:rsidR="00D01E16" w:rsidRPr="00A227A2" w:rsidRDefault="00D01E16" w:rsidP="00D01E16">
            <w:pPr>
              <w:spacing w:line="360" w:lineRule="auto"/>
              <w:rPr>
                <w:rFonts w:ascii="Times New Roman" w:eastAsia="Calibri" w:hAnsi="Times New Roman" w:cs="Times New Roman"/>
                <w:sz w:val="20"/>
                <w:szCs w:val="20"/>
              </w:rPr>
            </w:pPr>
            <w:r w:rsidRPr="00A227A2">
              <w:rPr>
                <w:rFonts w:ascii="Times New Roman" w:eastAsia="Calibri" w:hAnsi="Times New Roman" w:cs="Times New Roman"/>
                <w:sz w:val="20"/>
                <w:szCs w:val="20"/>
              </w:rPr>
              <w:t>16 (3.6)</w:t>
            </w:r>
          </w:p>
        </w:tc>
      </w:tr>
      <w:tr w:rsidR="00D01E16" w:rsidRPr="006C3B0A" w14:paraId="79499617" w14:textId="77777777" w:rsidTr="00CC2CD9">
        <w:tc>
          <w:tcPr>
            <w:tcW w:w="3437" w:type="dxa"/>
            <w:hideMark/>
          </w:tcPr>
          <w:p w14:paraId="76AB0B46" w14:textId="512420DE" w:rsidR="00D01E16" w:rsidRPr="00A227A2" w:rsidRDefault="00D01E16" w:rsidP="00D01E16">
            <w:pPr>
              <w:spacing w:line="360" w:lineRule="auto"/>
              <w:ind w:left="142"/>
              <w:rPr>
                <w:rFonts w:ascii="Times New Roman" w:hAnsi="Times New Roman" w:cs="Times New Roman"/>
                <w:sz w:val="20"/>
                <w:szCs w:val="20"/>
              </w:rPr>
            </w:pPr>
            <w:r w:rsidRPr="00A227A2">
              <w:rPr>
                <w:rFonts w:ascii="Times New Roman" w:hAnsi="Times New Roman" w:cs="Times New Roman"/>
                <w:sz w:val="20"/>
                <w:szCs w:val="20"/>
              </w:rPr>
              <w:t>Lymph node</w:t>
            </w:r>
          </w:p>
        </w:tc>
        <w:tc>
          <w:tcPr>
            <w:tcW w:w="1559" w:type="dxa"/>
            <w:hideMark/>
          </w:tcPr>
          <w:p w14:paraId="1ADC8314" w14:textId="720DB51E" w:rsidR="00D01E16" w:rsidRPr="00A227A2" w:rsidRDefault="00D01E16" w:rsidP="00D01E16">
            <w:pPr>
              <w:spacing w:line="360" w:lineRule="auto"/>
              <w:rPr>
                <w:rFonts w:ascii="Times New Roman" w:hAnsi="Times New Roman" w:cs="Times New Roman"/>
                <w:sz w:val="20"/>
                <w:szCs w:val="20"/>
              </w:rPr>
            </w:pPr>
            <w:r w:rsidRPr="00A227A2">
              <w:rPr>
                <w:rFonts w:ascii="Times New Roman" w:hAnsi="Times New Roman" w:cs="Times New Roman"/>
                <w:sz w:val="20"/>
                <w:szCs w:val="20"/>
              </w:rPr>
              <w:t>154 (42.4)</w:t>
            </w:r>
          </w:p>
        </w:tc>
        <w:tc>
          <w:tcPr>
            <w:tcW w:w="3685" w:type="dxa"/>
            <w:vAlign w:val="bottom"/>
          </w:tcPr>
          <w:p w14:paraId="189D597B" w14:textId="639CB1AB" w:rsidR="00D01E16" w:rsidRPr="00A227A2" w:rsidRDefault="00D01E16" w:rsidP="00D01E16">
            <w:pPr>
              <w:spacing w:line="360" w:lineRule="auto"/>
              <w:rPr>
                <w:rFonts w:ascii="Times New Roman" w:eastAsia="Calibri" w:hAnsi="Times New Roman" w:cs="Times New Roman"/>
                <w:sz w:val="20"/>
                <w:szCs w:val="20"/>
              </w:rPr>
            </w:pPr>
            <w:r w:rsidRPr="00A227A2">
              <w:rPr>
                <w:rFonts w:ascii="Times New Roman" w:eastAsia="Calibri" w:hAnsi="Times New Roman" w:cs="Times New Roman"/>
                <w:sz w:val="20"/>
                <w:szCs w:val="20"/>
              </w:rPr>
              <w:t>Exacerbation of asthma</w:t>
            </w:r>
          </w:p>
        </w:tc>
        <w:tc>
          <w:tcPr>
            <w:tcW w:w="1276" w:type="dxa"/>
            <w:vAlign w:val="bottom"/>
          </w:tcPr>
          <w:p w14:paraId="677E7489" w14:textId="0D58D8F2" w:rsidR="00D01E16" w:rsidRPr="00A227A2" w:rsidRDefault="00D01E16" w:rsidP="00D01E16">
            <w:pPr>
              <w:spacing w:line="360" w:lineRule="auto"/>
              <w:rPr>
                <w:rFonts w:ascii="Times New Roman" w:eastAsia="Calibri" w:hAnsi="Times New Roman" w:cs="Times New Roman"/>
                <w:sz w:val="20"/>
                <w:szCs w:val="20"/>
              </w:rPr>
            </w:pPr>
            <w:r w:rsidRPr="00A227A2">
              <w:rPr>
                <w:rFonts w:ascii="Times New Roman" w:eastAsia="Calibri" w:hAnsi="Times New Roman" w:cs="Times New Roman"/>
                <w:sz w:val="20"/>
                <w:szCs w:val="20"/>
              </w:rPr>
              <w:t>14 (3.2)</w:t>
            </w:r>
          </w:p>
        </w:tc>
      </w:tr>
      <w:tr w:rsidR="007A4E70" w:rsidRPr="006C3B0A" w14:paraId="4F0D5640" w14:textId="77777777" w:rsidTr="00CC2CD9">
        <w:tc>
          <w:tcPr>
            <w:tcW w:w="3437" w:type="dxa"/>
          </w:tcPr>
          <w:p w14:paraId="170FE6E5" w14:textId="12EA4340" w:rsidR="007A4E70" w:rsidRPr="00A227A2" w:rsidRDefault="007A4E70" w:rsidP="007A4E70">
            <w:pPr>
              <w:spacing w:line="360" w:lineRule="auto"/>
              <w:ind w:left="142"/>
              <w:rPr>
                <w:rFonts w:ascii="Times New Roman" w:hAnsi="Times New Roman" w:cs="Times New Roman"/>
                <w:sz w:val="20"/>
                <w:szCs w:val="20"/>
              </w:rPr>
            </w:pPr>
            <w:r w:rsidRPr="00A227A2">
              <w:rPr>
                <w:rFonts w:ascii="Times New Roman" w:hAnsi="Times New Roman" w:cs="Times New Roman"/>
                <w:sz w:val="20"/>
                <w:szCs w:val="20"/>
              </w:rPr>
              <w:t>Pleura</w:t>
            </w:r>
          </w:p>
        </w:tc>
        <w:tc>
          <w:tcPr>
            <w:tcW w:w="1559" w:type="dxa"/>
          </w:tcPr>
          <w:p w14:paraId="5819A074" w14:textId="4022B1C3" w:rsidR="007A4E70" w:rsidRPr="00A227A2" w:rsidRDefault="007A4E70" w:rsidP="007A4E70">
            <w:pPr>
              <w:spacing w:line="360" w:lineRule="auto"/>
              <w:rPr>
                <w:rFonts w:ascii="Times New Roman" w:hAnsi="Times New Roman" w:cs="Times New Roman"/>
                <w:sz w:val="20"/>
                <w:szCs w:val="20"/>
              </w:rPr>
            </w:pPr>
            <w:r w:rsidRPr="00A227A2">
              <w:rPr>
                <w:rFonts w:ascii="Times New Roman" w:hAnsi="Times New Roman" w:cs="Times New Roman"/>
                <w:sz w:val="20"/>
                <w:szCs w:val="20"/>
              </w:rPr>
              <w:t>26 (7.2)</w:t>
            </w:r>
          </w:p>
        </w:tc>
        <w:tc>
          <w:tcPr>
            <w:tcW w:w="3685" w:type="dxa"/>
            <w:vAlign w:val="bottom"/>
          </w:tcPr>
          <w:p w14:paraId="6A2D63FF" w14:textId="24877E01" w:rsidR="007A4E70" w:rsidRPr="00A227A2" w:rsidRDefault="007A4E70" w:rsidP="007A4E70">
            <w:pPr>
              <w:spacing w:line="360" w:lineRule="auto"/>
              <w:rPr>
                <w:rFonts w:ascii="Times New Roman" w:eastAsia="Calibri" w:hAnsi="Times New Roman" w:cs="Times New Roman"/>
                <w:sz w:val="20"/>
                <w:szCs w:val="20"/>
                <w:highlight w:val="yellow"/>
              </w:rPr>
            </w:pPr>
            <w:r w:rsidRPr="00A227A2">
              <w:rPr>
                <w:rFonts w:ascii="Times New Roman" w:eastAsia="Calibri" w:hAnsi="Times New Roman" w:cs="Times New Roman"/>
                <w:sz w:val="20"/>
                <w:szCs w:val="20"/>
              </w:rPr>
              <w:t>Upper respiratory tract infection</w:t>
            </w:r>
          </w:p>
        </w:tc>
        <w:tc>
          <w:tcPr>
            <w:tcW w:w="1276" w:type="dxa"/>
            <w:vAlign w:val="bottom"/>
          </w:tcPr>
          <w:p w14:paraId="6A621004" w14:textId="7CF9A7C7" w:rsidR="007A4E70" w:rsidRPr="00A227A2" w:rsidRDefault="007A4E70" w:rsidP="007A4E70">
            <w:pPr>
              <w:spacing w:line="360" w:lineRule="auto"/>
              <w:rPr>
                <w:rFonts w:ascii="Times New Roman" w:eastAsia="Calibri" w:hAnsi="Times New Roman" w:cs="Times New Roman"/>
                <w:sz w:val="20"/>
                <w:szCs w:val="20"/>
              </w:rPr>
            </w:pPr>
            <w:r w:rsidRPr="00A227A2">
              <w:rPr>
                <w:rFonts w:ascii="Times New Roman" w:eastAsia="Calibri" w:hAnsi="Times New Roman" w:cs="Times New Roman"/>
                <w:sz w:val="20"/>
                <w:szCs w:val="20"/>
              </w:rPr>
              <w:t>13 (3.0)</w:t>
            </w:r>
          </w:p>
        </w:tc>
      </w:tr>
      <w:tr w:rsidR="007A4E70" w:rsidRPr="006C3B0A" w14:paraId="1F1874C5" w14:textId="77777777" w:rsidTr="00CC2CD9">
        <w:tc>
          <w:tcPr>
            <w:tcW w:w="3437" w:type="dxa"/>
          </w:tcPr>
          <w:p w14:paraId="4DB2A533" w14:textId="0E0A5292" w:rsidR="007A4E70" w:rsidRPr="00A227A2" w:rsidRDefault="007A4E70" w:rsidP="007A4E70">
            <w:pPr>
              <w:spacing w:line="360" w:lineRule="auto"/>
              <w:ind w:left="142"/>
              <w:rPr>
                <w:rFonts w:ascii="Times New Roman" w:hAnsi="Times New Roman" w:cs="Times New Roman"/>
                <w:sz w:val="20"/>
                <w:szCs w:val="20"/>
              </w:rPr>
            </w:pPr>
            <w:r w:rsidRPr="00A227A2">
              <w:rPr>
                <w:rFonts w:ascii="Times New Roman" w:hAnsi="Times New Roman" w:cs="Times New Roman"/>
                <w:sz w:val="20"/>
                <w:szCs w:val="20"/>
              </w:rPr>
              <w:t>Spine</w:t>
            </w:r>
          </w:p>
        </w:tc>
        <w:tc>
          <w:tcPr>
            <w:tcW w:w="1559" w:type="dxa"/>
          </w:tcPr>
          <w:p w14:paraId="59786819" w14:textId="3D0E5E84" w:rsidR="007A4E70" w:rsidRPr="00A227A2" w:rsidRDefault="007A4E70" w:rsidP="007A4E70">
            <w:pPr>
              <w:spacing w:line="360" w:lineRule="auto"/>
              <w:rPr>
                <w:rFonts w:ascii="Times New Roman" w:hAnsi="Times New Roman" w:cs="Times New Roman"/>
                <w:sz w:val="20"/>
                <w:szCs w:val="20"/>
              </w:rPr>
            </w:pPr>
            <w:r w:rsidRPr="00A227A2">
              <w:rPr>
                <w:rFonts w:ascii="Times New Roman" w:hAnsi="Times New Roman" w:cs="Times New Roman"/>
                <w:sz w:val="20"/>
                <w:szCs w:val="20"/>
              </w:rPr>
              <w:t>16 (4.4)</w:t>
            </w:r>
          </w:p>
        </w:tc>
        <w:tc>
          <w:tcPr>
            <w:tcW w:w="3685" w:type="dxa"/>
            <w:vAlign w:val="bottom"/>
          </w:tcPr>
          <w:p w14:paraId="7B3E675D" w14:textId="6B4CBF9F" w:rsidR="007A4E70" w:rsidRPr="00A227A2" w:rsidRDefault="00074A3E" w:rsidP="007A4E70">
            <w:pPr>
              <w:spacing w:line="360" w:lineRule="auto"/>
              <w:rPr>
                <w:rFonts w:ascii="Times New Roman" w:eastAsia="Calibri" w:hAnsi="Times New Roman" w:cs="Times New Roman"/>
                <w:sz w:val="20"/>
                <w:szCs w:val="20"/>
              </w:rPr>
            </w:pPr>
            <w:r>
              <w:rPr>
                <w:rFonts w:ascii="Times New Roman" w:eastAsia="Calibri" w:hAnsi="Times New Roman" w:cs="Times New Roman"/>
                <w:sz w:val="20"/>
                <w:szCs w:val="20"/>
              </w:rPr>
              <w:t>Non-tuberculosis</w:t>
            </w:r>
            <w:r w:rsidRPr="00A227A2">
              <w:rPr>
                <w:rFonts w:ascii="Times New Roman" w:eastAsia="Calibri" w:hAnsi="Times New Roman" w:cs="Times New Roman"/>
                <w:sz w:val="20"/>
                <w:szCs w:val="20"/>
              </w:rPr>
              <w:t xml:space="preserve"> </w:t>
            </w:r>
            <w:r w:rsidR="007A4E70" w:rsidRPr="00A227A2">
              <w:rPr>
                <w:rFonts w:ascii="Times New Roman" w:eastAsia="Calibri" w:hAnsi="Times New Roman" w:cs="Times New Roman"/>
                <w:sz w:val="20"/>
                <w:szCs w:val="20"/>
              </w:rPr>
              <w:t>mycobacterium infection</w:t>
            </w:r>
          </w:p>
        </w:tc>
        <w:tc>
          <w:tcPr>
            <w:tcW w:w="1276" w:type="dxa"/>
            <w:vAlign w:val="bottom"/>
          </w:tcPr>
          <w:p w14:paraId="24104449" w14:textId="5E65A017" w:rsidR="007A4E70" w:rsidRPr="00A227A2" w:rsidRDefault="007A4E70" w:rsidP="007A4E70">
            <w:pPr>
              <w:spacing w:line="360" w:lineRule="auto"/>
              <w:rPr>
                <w:rFonts w:ascii="Times New Roman" w:eastAsia="Calibri" w:hAnsi="Times New Roman" w:cs="Times New Roman"/>
                <w:sz w:val="20"/>
                <w:szCs w:val="20"/>
              </w:rPr>
            </w:pPr>
            <w:r w:rsidRPr="00A227A2">
              <w:rPr>
                <w:rFonts w:ascii="Times New Roman" w:eastAsia="Calibri" w:hAnsi="Times New Roman" w:cs="Times New Roman"/>
                <w:sz w:val="20"/>
                <w:szCs w:val="20"/>
              </w:rPr>
              <w:t xml:space="preserve">12 (2.7) </w:t>
            </w:r>
          </w:p>
        </w:tc>
      </w:tr>
      <w:tr w:rsidR="007A4E70" w:rsidRPr="006C3B0A" w14:paraId="2F3B0C27" w14:textId="77777777" w:rsidTr="00CC2CD9">
        <w:tc>
          <w:tcPr>
            <w:tcW w:w="3437" w:type="dxa"/>
          </w:tcPr>
          <w:p w14:paraId="084471A7" w14:textId="7A603683" w:rsidR="007A4E70" w:rsidRPr="00A227A2" w:rsidRDefault="007A4E70" w:rsidP="007A4E70">
            <w:pPr>
              <w:spacing w:line="360" w:lineRule="auto"/>
              <w:ind w:left="142"/>
              <w:rPr>
                <w:rFonts w:ascii="Times New Roman" w:hAnsi="Times New Roman" w:cs="Times New Roman"/>
                <w:sz w:val="20"/>
                <w:szCs w:val="20"/>
              </w:rPr>
            </w:pPr>
            <w:proofErr w:type="spellStart"/>
            <w:r w:rsidRPr="00A227A2">
              <w:rPr>
                <w:rFonts w:ascii="Times New Roman" w:hAnsi="Times New Roman" w:cs="Times New Roman"/>
                <w:sz w:val="20"/>
                <w:szCs w:val="20"/>
              </w:rPr>
              <w:t>Miliary</w:t>
            </w:r>
            <w:proofErr w:type="spellEnd"/>
            <w:r w:rsidRPr="00A227A2">
              <w:rPr>
                <w:rFonts w:ascii="Times New Roman" w:hAnsi="Times New Roman" w:cs="Times New Roman"/>
                <w:sz w:val="20"/>
                <w:szCs w:val="20"/>
              </w:rPr>
              <w:t xml:space="preserve"> TB (disseminated)</w:t>
            </w:r>
          </w:p>
        </w:tc>
        <w:tc>
          <w:tcPr>
            <w:tcW w:w="1559" w:type="dxa"/>
          </w:tcPr>
          <w:p w14:paraId="44C8BD1A" w14:textId="58183441" w:rsidR="007A4E70" w:rsidRPr="00A227A2" w:rsidRDefault="007A4E70" w:rsidP="007A4E70">
            <w:pPr>
              <w:spacing w:line="360" w:lineRule="auto"/>
              <w:rPr>
                <w:rFonts w:ascii="Times New Roman" w:hAnsi="Times New Roman" w:cs="Times New Roman"/>
                <w:sz w:val="20"/>
                <w:szCs w:val="20"/>
              </w:rPr>
            </w:pPr>
            <w:r w:rsidRPr="00A227A2">
              <w:rPr>
                <w:rFonts w:ascii="Times New Roman" w:hAnsi="Times New Roman" w:cs="Times New Roman"/>
                <w:sz w:val="20"/>
                <w:szCs w:val="20"/>
              </w:rPr>
              <w:t>11 (3.0)</w:t>
            </w:r>
          </w:p>
        </w:tc>
        <w:tc>
          <w:tcPr>
            <w:tcW w:w="3685" w:type="dxa"/>
            <w:vAlign w:val="bottom"/>
          </w:tcPr>
          <w:p w14:paraId="640B7971" w14:textId="7BBB884A" w:rsidR="007A4E70" w:rsidRPr="00A227A2" w:rsidRDefault="007A4E70" w:rsidP="007A4E70">
            <w:pPr>
              <w:spacing w:line="360" w:lineRule="auto"/>
              <w:rPr>
                <w:rFonts w:ascii="Times New Roman" w:eastAsia="Calibri" w:hAnsi="Times New Roman" w:cs="Times New Roman"/>
                <w:sz w:val="20"/>
                <w:szCs w:val="20"/>
              </w:rPr>
            </w:pPr>
            <w:r w:rsidRPr="00A227A2">
              <w:rPr>
                <w:rFonts w:ascii="Times New Roman" w:eastAsia="Calibri" w:hAnsi="Times New Roman" w:cs="Times New Roman"/>
                <w:sz w:val="20"/>
                <w:szCs w:val="20"/>
              </w:rPr>
              <w:t>Exacerbation of bronchiectasis</w:t>
            </w:r>
          </w:p>
        </w:tc>
        <w:tc>
          <w:tcPr>
            <w:tcW w:w="1276" w:type="dxa"/>
            <w:vAlign w:val="bottom"/>
          </w:tcPr>
          <w:p w14:paraId="273ECC94" w14:textId="64687B56" w:rsidR="007A4E70" w:rsidRPr="00A227A2" w:rsidRDefault="007A4E70" w:rsidP="007A4E70">
            <w:pPr>
              <w:spacing w:line="360" w:lineRule="auto"/>
              <w:rPr>
                <w:rFonts w:ascii="Times New Roman" w:eastAsia="Calibri" w:hAnsi="Times New Roman" w:cs="Times New Roman"/>
                <w:sz w:val="20"/>
                <w:szCs w:val="20"/>
              </w:rPr>
            </w:pPr>
            <w:r w:rsidRPr="00A227A2">
              <w:rPr>
                <w:rFonts w:ascii="Times New Roman" w:eastAsia="Calibri" w:hAnsi="Times New Roman" w:cs="Times New Roman"/>
                <w:sz w:val="20"/>
                <w:szCs w:val="20"/>
              </w:rPr>
              <w:t>11 (2.5)</w:t>
            </w:r>
          </w:p>
        </w:tc>
      </w:tr>
      <w:tr w:rsidR="007A4E70" w:rsidRPr="006C3B0A" w14:paraId="0E93F1CA" w14:textId="77777777" w:rsidTr="00CC2CD9">
        <w:tc>
          <w:tcPr>
            <w:tcW w:w="3437" w:type="dxa"/>
          </w:tcPr>
          <w:p w14:paraId="074E0B77" w14:textId="33997469" w:rsidR="007A4E70" w:rsidRPr="00A227A2" w:rsidRDefault="007A4E70" w:rsidP="007A4E70">
            <w:pPr>
              <w:spacing w:line="360" w:lineRule="auto"/>
              <w:ind w:left="142"/>
              <w:rPr>
                <w:rFonts w:ascii="Times New Roman" w:hAnsi="Times New Roman" w:cs="Times New Roman"/>
                <w:sz w:val="20"/>
                <w:szCs w:val="20"/>
              </w:rPr>
            </w:pPr>
            <w:r w:rsidRPr="00A227A2">
              <w:rPr>
                <w:rFonts w:ascii="Times New Roman" w:hAnsi="Times New Roman" w:cs="Times New Roman"/>
                <w:sz w:val="20"/>
                <w:szCs w:val="20"/>
              </w:rPr>
              <w:t>Abdomen</w:t>
            </w:r>
          </w:p>
        </w:tc>
        <w:tc>
          <w:tcPr>
            <w:tcW w:w="1559" w:type="dxa"/>
          </w:tcPr>
          <w:p w14:paraId="581A78CB" w14:textId="2113AEF9" w:rsidR="007A4E70" w:rsidRPr="00A227A2" w:rsidRDefault="007A4E70" w:rsidP="007A4E70">
            <w:pPr>
              <w:spacing w:line="360" w:lineRule="auto"/>
              <w:rPr>
                <w:rFonts w:ascii="Times New Roman" w:hAnsi="Times New Roman" w:cs="Times New Roman"/>
                <w:sz w:val="20"/>
                <w:szCs w:val="20"/>
              </w:rPr>
            </w:pPr>
            <w:r w:rsidRPr="00A227A2">
              <w:rPr>
                <w:rFonts w:ascii="Times New Roman" w:hAnsi="Times New Roman" w:cs="Times New Roman"/>
                <w:sz w:val="20"/>
                <w:szCs w:val="20"/>
              </w:rPr>
              <w:t>9 (2.5)</w:t>
            </w:r>
          </w:p>
        </w:tc>
        <w:tc>
          <w:tcPr>
            <w:tcW w:w="3685" w:type="dxa"/>
            <w:vAlign w:val="bottom"/>
          </w:tcPr>
          <w:p w14:paraId="0A98F62A" w14:textId="17508735" w:rsidR="007A4E70" w:rsidRPr="00A227A2" w:rsidRDefault="007A4E70" w:rsidP="007A4E70">
            <w:pPr>
              <w:spacing w:line="360" w:lineRule="auto"/>
              <w:rPr>
                <w:rFonts w:ascii="Times New Roman" w:eastAsia="Calibri" w:hAnsi="Times New Roman" w:cs="Times New Roman"/>
                <w:sz w:val="20"/>
                <w:szCs w:val="20"/>
              </w:rPr>
            </w:pPr>
            <w:r w:rsidRPr="00A227A2">
              <w:rPr>
                <w:rFonts w:ascii="Times New Roman" w:eastAsia="Calibri" w:hAnsi="Times New Roman" w:cs="Times New Roman"/>
                <w:sz w:val="20"/>
                <w:szCs w:val="20"/>
              </w:rPr>
              <w:t>Exacerbation of COPD</w:t>
            </w:r>
          </w:p>
        </w:tc>
        <w:tc>
          <w:tcPr>
            <w:tcW w:w="1276" w:type="dxa"/>
            <w:vAlign w:val="bottom"/>
          </w:tcPr>
          <w:p w14:paraId="29286ABF" w14:textId="075FC47D" w:rsidR="007A4E70" w:rsidRPr="00A227A2" w:rsidRDefault="007A4E70" w:rsidP="007A4E70">
            <w:pPr>
              <w:spacing w:line="360" w:lineRule="auto"/>
              <w:rPr>
                <w:rFonts w:ascii="Times New Roman" w:eastAsia="Calibri" w:hAnsi="Times New Roman" w:cs="Times New Roman"/>
                <w:sz w:val="20"/>
                <w:szCs w:val="20"/>
              </w:rPr>
            </w:pPr>
            <w:r w:rsidRPr="00A227A2">
              <w:rPr>
                <w:rFonts w:ascii="Times New Roman" w:eastAsia="Calibri" w:hAnsi="Times New Roman" w:cs="Times New Roman"/>
                <w:sz w:val="20"/>
                <w:szCs w:val="20"/>
              </w:rPr>
              <w:t>8 (1.8)</w:t>
            </w:r>
          </w:p>
        </w:tc>
      </w:tr>
      <w:tr w:rsidR="007A4E70" w:rsidRPr="006C3B0A" w14:paraId="61F1337D" w14:textId="77777777" w:rsidTr="00CC2CD9">
        <w:tc>
          <w:tcPr>
            <w:tcW w:w="3437" w:type="dxa"/>
          </w:tcPr>
          <w:p w14:paraId="5CAF8209" w14:textId="0B2C3D3C" w:rsidR="007A4E70" w:rsidRPr="00A227A2" w:rsidRDefault="007A4E70" w:rsidP="007A4E70">
            <w:pPr>
              <w:spacing w:line="360" w:lineRule="auto"/>
              <w:ind w:left="142"/>
              <w:rPr>
                <w:rFonts w:ascii="Times New Roman" w:hAnsi="Times New Roman" w:cs="Times New Roman"/>
                <w:sz w:val="20"/>
                <w:szCs w:val="20"/>
              </w:rPr>
            </w:pPr>
            <w:r w:rsidRPr="00A227A2">
              <w:rPr>
                <w:rFonts w:ascii="Times New Roman" w:hAnsi="Times New Roman" w:cs="Times New Roman"/>
                <w:sz w:val="20"/>
                <w:szCs w:val="20"/>
              </w:rPr>
              <w:t>Pericardium</w:t>
            </w:r>
          </w:p>
        </w:tc>
        <w:tc>
          <w:tcPr>
            <w:tcW w:w="1559" w:type="dxa"/>
          </w:tcPr>
          <w:p w14:paraId="541C8130" w14:textId="3B35D1CE" w:rsidR="007A4E70" w:rsidRPr="00A227A2" w:rsidRDefault="007A4E70" w:rsidP="007A4E70">
            <w:pPr>
              <w:spacing w:line="360" w:lineRule="auto"/>
              <w:rPr>
                <w:rFonts w:ascii="Times New Roman" w:hAnsi="Times New Roman" w:cs="Times New Roman"/>
                <w:sz w:val="20"/>
                <w:szCs w:val="20"/>
              </w:rPr>
            </w:pPr>
            <w:r w:rsidRPr="00A227A2">
              <w:rPr>
                <w:rFonts w:ascii="Times New Roman" w:hAnsi="Times New Roman" w:cs="Times New Roman"/>
                <w:sz w:val="20"/>
                <w:szCs w:val="20"/>
              </w:rPr>
              <w:t>6 (1.7)</w:t>
            </w:r>
          </w:p>
        </w:tc>
        <w:tc>
          <w:tcPr>
            <w:tcW w:w="3685" w:type="dxa"/>
            <w:vAlign w:val="bottom"/>
          </w:tcPr>
          <w:p w14:paraId="6494FA2F" w14:textId="5A682969" w:rsidR="007A4E70" w:rsidRPr="00A227A2" w:rsidRDefault="007A4E70" w:rsidP="007A4E70">
            <w:pPr>
              <w:spacing w:line="360" w:lineRule="auto"/>
              <w:rPr>
                <w:rFonts w:ascii="Times New Roman" w:eastAsia="Calibri" w:hAnsi="Times New Roman" w:cs="Times New Roman"/>
                <w:sz w:val="20"/>
                <w:szCs w:val="20"/>
                <w:highlight w:val="yellow"/>
              </w:rPr>
            </w:pPr>
            <w:proofErr w:type="spellStart"/>
            <w:r w:rsidRPr="00A227A2">
              <w:rPr>
                <w:rFonts w:ascii="Times New Roman" w:eastAsia="Calibri" w:hAnsi="Times New Roman" w:cs="Times New Roman"/>
                <w:sz w:val="20"/>
                <w:szCs w:val="20"/>
              </w:rPr>
              <w:t>Other</w:t>
            </w:r>
            <w:r w:rsidRPr="00A227A2">
              <w:rPr>
                <w:rFonts w:ascii="Times New Roman" w:eastAsia="Calibri" w:hAnsi="Times New Roman" w:cs="Times New Roman"/>
                <w:sz w:val="20"/>
                <w:szCs w:val="20"/>
                <w:vertAlign w:val="superscript"/>
              </w:rPr>
              <w:t>c</w:t>
            </w:r>
            <w:proofErr w:type="spellEnd"/>
          </w:p>
        </w:tc>
        <w:tc>
          <w:tcPr>
            <w:tcW w:w="1276" w:type="dxa"/>
            <w:vAlign w:val="bottom"/>
          </w:tcPr>
          <w:p w14:paraId="424EBE8E" w14:textId="69098A6B" w:rsidR="007A4E70" w:rsidRPr="00A227A2" w:rsidRDefault="007A4E70" w:rsidP="007A4E70">
            <w:pPr>
              <w:spacing w:line="360" w:lineRule="auto"/>
              <w:rPr>
                <w:rFonts w:ascii="Times New Roman" w:eastAsia="Calibri" w:hAnsi="Times New Roman" w:cs="Times New Roman"/>
                <w:sz w:val="20"/>
                <w:szCs w:val="20"/>
              </w:rPr>
            </w:pPr>
            <w:r w:rsidRPr="00A227A2">
              <w:rPr>
                <w:rFonts w:ascii="Times New Roman" w:eastAsia="Calibri" w:hAnsi="Times New Roman" w:cs="Times New Roman"/>
                <w:sz w:val="20"/>
                <w:szCs w:val="20"/>
              </w:rPr>
              <w:t>158 (36.0)</w:t>
            </w:r>
          </w:p>
        </w:tc>
      </w:tr>
      <w:tr w:rsidR="007A4E70" w:rsidRPr="006C3B0A" w14:paraId="008468A3" w14:textId="77777777" w:rsidTr="00CC2CD9">
        <w:tc>
          <w:tcPr>
            <w:tcW w:w="3437" w:type="dxa"/>
          </w:tcPr>
          <w:p w14:paraId="7D511D72" w14:textId="1ABEAFB8" w:rsidR="007A4E70" w:rsidRPr="00A227A2" w:rsidRDefault="007A4E70" w:rsidP="007A4E70">
            <w:pPr>
              <w:spacing w:line="360" w:lineRule="auto"/>
              <w:ind w:left="142"/>
              <w:rPr>
                <w:rFonts w:ascii="Times New Roman" w:hAnsi="Times New Roman" w:cs="Times New Roman"/>
                <w:sz w:val="20"/>
                <w:szCs w:val="20"/>
              </w:rPr>
            </w:pPr>
            <w:r w:rsidRPr="00A227A2">
              <w:rPr>
                <w:rFonts w:ascii="Times New Roman" w:hAnsi="Times New Roman" w:cs="Times New Roman"/>
                <w:sz w:val="20"/>
                <w:szCs w:val="20"/>
              </w:rPr>
              <w:t>Brain</w:t>
            </w:r>
          </w:p>
        </w:tc>
        <w:tc>
          <w:tcPr>
            <w:tcW w:w="1559" w:type="dxa"/>
          </w:tcPr>
          <w:p w14:paraId="2BE392DB" w14:textId="2067DE31" w:rsidR="007A4E70" w:rsidRPr="00A227A2" w:rsidRDefault="007A4E70" w:rsidP="007A4E70">
            <w:pPr>
              <w:spacing w:line="360" w:lineRule="auto"/>
              <w:rPr>
                <w:rFonts w:ascii="Times New Roman" w:hAnsi="Times New Roman" w:cs="Times New Roman"/>
                <w:sz w:val="20"/>
                <w:szCs w:val="20"/>
              </w:rPr>
            </w:pPr>
            <w:r w:rsidRPr="00A227A2">
              <w:rPr>
                <w:rFonts w:ascii="Times New Roman" w:hAnsi="Times New Roman" w:cs="Times New Roman"/>
                <w:sz w:val="20"/>
                <w:szCs w:val="20"/>
              </w:rPr>
              <w:t>6 (1.7)</w:t>
            </w:r>
          </w:p>
        </w:tc>
        <w:tc>
          <w:tcPr>
            <w:tcW w:w="3685" w:type="dxa"/>
            <w:vAlign w:val="bottom"/>
          </w:tcPr>
          <w:p w14:paraId="54859986" w14:textId="0E5C1F3D" w:rsidR="007A4E70" w:rsidRPr="00A227A2" w:rsidRDefault="007A4E70" w:rsidP="007A4E70">
            <w:pPr>
              <w:spacing w:line="360" w:lineRule="auto"/>
              <w:rPr>
                <w:rFonts w:ascii="Times New Roman" w:hAnsi="Times New Roman" w:cs="Times New Roman"/>
                <w:sz w:val="20"/>
                <w:szCs w:val="20"/>
              </w:rPr>
            </w:pPr>
          </w:p>
        </w:tc>
        <w:tc>
          <w:tcPr>
            <w:tcW w:w="1276" w:type="dxa"/>
            <w:vAlign w:val="bottom"/>
          </w:tcPr>
          <w:p w14:paraId="245F8BD6" w14:textId="648CF33C" w:rsidR="007A4E70" w:rsidRPr="00A227A2" w:rsidRDefault="007A4E70" w:rsidP="007A4E70">
            <w:pPr>
              <w:spacing w:line="360" w:lineRule="auto"/>
              <w:rPr>
                <w:rFonts w:ascii="Times New Roman" w:hAnsi="Times New Roman" w:cs="Times New Roman"/>
                <w:sz w:val="20"/>
                <w:szCs w:val="20"/>
              </w:rPr>
            </w:pPr>
          </w:p>
        </w:tc>
      </w:tr>
      <w:tr w:rsidR="007A4E70" w:rsidRPr="006C3B0A" w14:paraId="46BD5E6E" w14:textId="77777777" w:rsidTr="00CC2CD9">
        <w:tc>
          <w:tcPr>
            <w:tcW w:w="3437" w:type="dxa"/>
          </w:tcPr>
          <w:p w14:paraId="72AEEB29" w14:textId="7583DB48" w:rsidR="007A4E70" w:rsidRPr="00A227A2" w:rsidRDefault="00B077BD" w:rsidP="007A4E70">
            <w:pPr>
              <w:spacing w:line="360" w:lineRule="auto"/>
              <w:ind w:left="142"/>
              <w:rPr>
                <w:rFonts w:ascii="Times New Roman" w:hAnsi="Times New Roman" w:cs="Times New Roman"/>
                <w:sz w:val="20"/>
                <w:szCs w:val="20"/>
              </w:rPr>
            </w:pPr>
            <w:r>
              <w:rPr>
                <w:rFonts w:ascii="Times New Roman" w:hAnsi="Times New Roman" w:cs="Times New Roman"/>
                <w:sz w:val="20"/>
                <w:szCs w:val="20"/>
              </w:rPr>
              <w:t>Musculoskeletal</w:t>
            </w:r>
          </w:p>
        </w:tc>
        <w:tc>
          <w:tcPr>
            <w:tcW w:w="1559" w:type="dxa"/>
          </w:tcPr>
          <w:p w14:paraId="3B807BB5" w14:textId="30DE9B27" w:rsidR="007A4E70" w:rsidRPr="00A227A2" w:rsidRDefault="007A4E70" w:rsidP="007A4E70">
            <w:pPr>
              <w:spacing w:line="360" w:lineRule="auto"/>
              <w:rPr>
                <w:rFonts w:ascii="Times New Roman" w:hAnsi="Times New Roman" w:cs="Times New Roman"/>
                <w:sz w:val="20"/>
                <w:szCs w:val="20"/>
              </w:rPr>
            </w:pPr>
            <w:r w:rsidRPr="00A227A2">
              <w:rPr>
                <w:rFonts w:ascii="Times New Roman" w:hAnsi="Times New Roman" w:cs="Times New Roman"/>
                <w:sz w:val="20"/>
                <w:szCs w:val="20"/>
              </w:rPr>
              <w:t>5 (1.4)</w:t>
            </w:r>
          </w:p>
        </w:tc>
        <w:tc>
          <w:tcPr>
            <w:tcW w:w="3685" w:type="dxa"/>
            <w:vAlign w:val="bottom"/>
          </w:tcPr>
          <w:p w14:paraId="4B169EDA" w14:textId="1B9740FB" w:rsidR="007A4E70" w:rsidRPr="00A227A2" w:rsidRDefault="007A4E70" w:rsidP="007A4E70">
            <w:pPr>
              <w:spacing w:line="360" w:lineRule="auto"/>
              <w:rPr>
                <w:rFonts w:ascii="Times New Roman" w:hAnsi="Times New Roman" w:cs="Times New Roman"/>
                <w:sz w:val="20"/>
                <w:szCs w:val="20"/>
              </w:rPr>
            </w:pPr>
          </w:p>
        </w:tc>
        <w:tc>
          <w:tcPr>
            <w:tcW w:w="1276" w:type="dxa"/>
            <w:vAlign w:val="bottom"/>
          </w:tcPr>
          <w:p w14:paraId="3DD8F1B4" w14:textId="7F2723D9" w:rsidR="007A4E70" w:rsidRPr="00A227A2" w:rsidRDefault="007A4E70" w:rsidP="007A4E70">
            <w:pPr>
              <w:spacing w:line="360" w:lineRule="auto"/>
              <w:rPr>
                <w:rFonts w:ascii="Times New Roman" w:hAnsi="Times New Roman" w:cs="Times New Roman"/>
                <w:sz w:val="20"/>
                <w:szCs w:val="20"/>
              </w:rPr>
            </w:pPr>
          </w:p>
        </w:tc>
      </w:tr>
      <w:tr w:rsidR="007A4E70" w:rsidRPr="006C3B0A" w14:paraId="06DD19F3" w14:textId="77777777" w:rsidTr="00CC2CD9">
        <w:tc>
          <w:tcPr>
            <w:tcW w:w="3437" w:type="dxa"/>
          </w:tcPr>
          <w:p w14:paraId="69DC8C35" w14:textId="66F2E761" w:rsidR="007A4E70" w:rsidRPr="00A227A2" w:rsidRDefault="007A4E70" w:rsidP="007A4E70">
            <w:pPr>
              <w:spacing w:line="360" w:lineRule="auto"/>
              <w:ind w:left="142"/>
              <w:rPr>
                <w:rFonts w:ascii="Times New Roman" w:hAnsi="Times New Roman" w:cs="Times New Roman"/>
                <w:sz w:val="20"/>
                <w:szCs w:val="20"/>
              </w:rPr>
            </w:pPr>
            <w:r w:rsidRPr="00A227A2">
              <w:rPr>
                <w:rFonts w:ascii="Times New Roman" w:hAnsi="Times New Roman" w:cs="Times New Roman"/>
                <w:sz w:val="20"/>
                <w:szCs w:val="20"/>
              </w:rPr>
              <w:t>Chest wall</w:t>
            </w:r>
          </w:p>
        </w:tc>
        <w:tc>
          <w:tcPr>
            <w:tcW w:w="1559" w:type="dxa"/>
          </w:tcPr>
          <w:p w14:paraId="4CFBBCD2" w14:textId="0FA367A2" w:rsidR="007A4E70" w:rsidRPr="00A227A2" w:rsidRDefault="007A4E70" w:rsidP="007A4E70">
            <w:pPr>
              <w:spacing w:line="360" w:lineRule="auto"/>
              <w:rPr>
                <w:rFonts w:ascii="Times New Roman" w:hAnsi="Times New Roman" w:cs="Times New Roman"/>
                <w:sz w:val="20"/>
                <w:szCs w:val="20"/>
              </w:rPr>
            </w:pPr>
            <w:r w:rsidRPr="00A227A2">
              <w:rPr>
                <w:rFonts w:ascii="Times New Roman" w:hAnsi="Times New Roman" w:cs="Times New Roman"/>
                <w:sz w:val="20"/>
                <w:szCs w:val="20"/>
              </w:rPr>
              <w:t>2 (0.6)</w:t>
            </w:r>
          </w:p>
        </w:tc>
        <w:tc>
          <w:tcPr>
            <w:tcW w:w="3685" w:type="dxa"/>
            <w:vAlign w:val="bottom"/>
          </w:tcPr>
          <w:p w14:paraId="7087AFE2" w14:textId="3666870D" w:rsidR="007A4E70" w:rsidRPr="00A227A2" w:rsidRDefault="007A4E70" w:rsidP="007A4E70">
            <w:pPr>
              <w:spacing w:line="360" w:lineRule="auto"/>
              <w:rPr>
                <w:rFonts w:ascii="Times New Roman" w:hAnsi="Times New Roman" w:cs="Times New Roman"/>
                <w:sz w:val="20"/>
                <w:szCs w:val="20"/>
              </w:rPr>
            </w:pPr>
          </w:p>
        </w:tc>
        <w:tc>
          <w:tcPr>
            <w:tcW w:w="1276" w:type="dxa"/>
            <w:vAlign w:val="bottom"/>
          </w:tcPr>
          <w:p w14:paraId="20736B03" w14:textId="14A4AE7C" w:rsidR="007A4E70" w:rsidRPr="00A227A2" w:rsidRDefault="007A4E70" w:rsidP="007A4E70">
            <w:pPr>
              <w:spacing w:line="360" w:lineRule="auto"/>
              <w:rPr>
                <w:rFonts w:ascii="Times New Roman" w:hAnsi="Times New Roman" w:cs="Times New Roman"/>
                <w:sz w:val="20"/>
                <w:szCs w:val="20"/>
              </w:rPr>
            </w:pPr>
          </w:p>
        </w:tc>
      </w:tr>
      <w:tr w:rsidR="007A4E70" w:rsidRPr="006C3B0A" w14:paraId="163FD7FC" w14:textId="77777777" w:rsidTr="00CC2CD9">
        <w:tc>
          <w:tcPr>
            <w:tcW w:w="3437" w:type="dxa"/>
            <w:tcBorders>
              <w:top w:val="nil"/>
              <w:left w:val="nil"/>
              <w:bottom w:val="single" w:sz="12" w:space="0" w:color="auto"/>
              <w:right w:val="nil"/>
            </w:tcBorders>
          </w:tcPr>
          <w:p w14:paraId="2697CF2D" w14:textId="42D7DAE6" w:rsidR="007A4E70" w:rsidRPr="00A227A2" w:rsidRDefault="007A4E70" w:rsidP="007A4E70">
            <w:pPr>
              <w:spacing w:line="360" w:lineRule="auto"/>
              <w:ind w:left="142"/>
              <w:rPr>
                <w:rFonts w:ascii="Times New Roman" w:hAnsi="Times New Roman" w:cs="Times New Roman"/>
                <w:sz w:val="20"/>
                <w:szCs w:val="20"/>
              </w:rPr>
            </w:pPr>
            <w:r w:rsidRPr="00A227A2">
              <w:rPr>
                <w:rFonts w:ascii="Times New Roman" w:hAnsi="Times New Roman" w:cs="Times New Roman"/>
                <w:sz w:val="20"/>
                <w:szCs w:val="20"/>
              </w:rPr>
              <w:t>Other</w:t>
            </w:r>
          </w:p>
        </w:tc>
        <w:tc>
          <w:tcPr>
            <w:tcW w:w="1559" w:type="dxa"/>
            <w:tcBorders>
              <w:top w:val="nil"/>
              <w:left w:val="nil"/>
              <w:bottom w:val="single" w:sz="12" w:space="0" w:color="auto"/>
              <w:right w:val="nil"/>
            </w:tcBorders>
          </w:tcPr>
          <w:p w14:paraId="28F3C6EB" w14:textId="6DF57AED" w:rsidR="007A4E70" w:rsidRPr="00A227A2" w:rsidRDefault="007A4E70" w:rsidP="007A4E70">
            <w:pPr>
              <w:spacing w:line="360" w:lineRule="auto"/>
              <w:rPr>
                <w:rFonts w:ascii="Times New Roman" w:hAnsi="Times New Roman" w:cs="Times New Roman"/>
                <w:sz w:val="20"/>
                <w:szCs w:val="20"/>
              </w:rPr>
            </w:pPr>
            <w:r w:rsidRPr="00A227A2">
              <w:rPr>
                <w:rFonts w:ascii="Times New Roman" w:hAnsi="Times New Roman" w:cs="Times New Roman"/>
                <w:sz w:val="20"/>
                <w:szCs w:val="20"/>
              </w:rPr>
              <w:t>31 (8.5)</w:t>
            </w:r>
          </w:p>
        </w:tc>
        <w:tc>
          <w:tcPr>
            <w:tcW w:w="3685" w:type="dxa"/>
            <w:tcBorders>
              <w:top w:val="nil"/>
              <w:left w:val="nil"/>
              <w:bottom w:val="single" w:sz="12" w:space="0" w:color="auto"/>
              <w:right w:val="nil"/>
            </w:tcBorders>
            <w:vAlign w:val="bottom"/>
          </w:tcPr>
          <w:p w14:paraId="2B22E97C" w14:textId="77777777" w:rsidR="007A4E70" w:rsidRPr="00A227A2" w:rsidRDefault="007A4E70" w:rsidP="007A4E70">
            <w:pPr>
              <w:spacing w:line="360" w:lineRule="auto"/>
              <w:rPr>
                <w:rFonts w:ascii="Times New Roman" w:hAnsi="Times New Roman" w:cs="Times New Roman"/>
                <w:sz w:val="20"/>
                <w:szCs w:val="20"/>
              </w:rPr>
            </w:pPr>
          </w:p>
        </w:tc>
        <w:tc>
          <w:tcPr>
            <w:tcW w:w="1276" w:type="dxa"/>
            <w:tcBorders>
              <w:top w:val="nil"/>
              <w:left w:val="nil"/>
              <w:bottom w:val="single" w:sz="12" w:space="0" w:color="auto"/>
              <w:right w:val="nil"/>
            </w:tcBorders>
            <w:vAlign w:val="bottom"/>
          </w:tcPr>
          <w:p w14:paraId="7563F1CA" w14:textId="77777777" w:rsidR="007A4E70" w:rsidRPr="00A227A2" w:rsidRDefault="007A4E70" w:rsidP="007A4E70">
            <w:pPr>
              <w:spacing w:line="360" w:lineRule="auto"/>
              <w:rPr>
                <w:rFonts w:ascii="Times New Roman" w:hAnsi="Times New Roman" w:cs="Times New Roman"/>
                <w:sz w:val="20"/>
                <w:szCs w:val="20"/>
              </w:rPr>
            </w:pPr>
          </w:p>
        </w:tc>
      </w:tr>
    </w:tbl>
    <w:p w14:paraId="70DEEA97" w14:textId="26D6464C" w:rsidR="007B53A8" w:rsidRPr="00586AC1" w:rsidRDefault="007B53A8" w:rsidP="001B1048">
      <w:pPr>
        <w:spacing w:after="0" w:line="360" w:lineRule="auto"/>
        <w:rPr>
          <w:rFonts w:ascii="Times New Roman" w:hAnsi="Times New Roman" w:cs="Times New Roman"/>
          <w:sz w:val="20"/>
          <w:szCs w:val="20"/>
        </w:rPr>
      </w:pPr>
      <w:r>
        <w:rPr>
          <w:rFonts w:ascii="Times New Roman" w:hAnsi="Times New Roman" w:cs="Times New Roman"/>
          <w:sz w:val="20"/>
          <w:szCs w:val="20"/>
        </w:rPr>
        <w:t>COPD, Chronic obstructive pulmonary disease</w:t>
      </w:r>
    </w:p>
    <w:p w14:paraId="259BDD9F" w14:textId="44259556" w:rsidR="00C06F28" w:rsidRPr="00A227A2" w:rsidRDefault="00C06F28" w:rsidP="001B1048">
      <w:pPr>
        <w:spacing w:after="0" w:line="360" w:lineRule="auto"/>
        <w:rPr>
          <w:rFonts w:ascii="Times New Roman" w:hAnsi="Times New Roman" w:cs="Times New Roman"/>
          <w:sz w:val="20"/>
          <w:szCs w:val="20"/>
        </w:rPr>
      </w:pPr>
      <w:proofErr w:type="spellStart"/>
      <w:r w:rsidRPr="00A227A2">
        <w:rPr>
          <w:rFonts w:ascii="Times New Roman" w:hAnsi="Times New Roman" w:cs="Times New Roman"/>
          <w:sz w:val="20"/>
          <w:szCs w:val="20"/>
          <w:vertAlign w:val="superscript"/>
        </w:rPr>
        <w:t>a</w:t>
      </w:r>
      <w:r w:rsidRPr="00A227A2">
        <w:rPr>
          <w:rFonts w:ascii="Times New Roman" w:hAnsi="Times New Roman" w:cs="Times New Roman"/>
          <w:sz w:val="20"/>
          <w:szCs w:val="20"/>
        </w:rPr>
        <w:t>Some</w:t>
      </w:r>
      <w:proofErr w:type="spellEnd"/>
      <w:r w:rsidRPr="00A227A2">
        <w:rPr>
          <w:rFonts w:ascii="Times New Roman" w:hAnsi="Times New Roman" w:cs="Times New Roman"/>
          <w:sz w:val="20"/>
          <w:szCs w:val="20"/>
        </w:rPr>
        <w:t xml:space="preserve"> patients had TB at multiple </w:t>
      </w:r>
      <w:r w:rsidR="00E00C40">
        <w:rPr>
          <w:rFonts w:ascii="Times New Roman" w:hAnsi="Times New Roman" w:cs="Times New Roman"/>
          <w:sz w:val="20"/>
          <w:szCs w:val="20"/>
        </w:rPr>
        <w:t xml:space="preserve">anatomical </w:t>
      </w:r>
      <w:r w:rsidRPr="00A227A2">
        <w:rPr>
          <w:rFonts w:ascii="Times New Roman" w:hAnsi="Times New Roman" w:cs="Times New Roman"/>
          <w:sz w:val="20"/>
          <w:szCs w:val="20"/>
        </w:rPr>
        <w:t>sites.</w:t>
      </w:r>
    </w:p>
    <w:p w14:paraId="6791F3E7" w14:textId="5AB10C9E" w:rsidR="00C06F28" w:rsidRPr="00A227A2" w:rsidRDefault="00C06F28">
      <w:pPr>
        <w:spacing w:after="0" w:line="360" w:lineRule="auto"/>
        <w:rPr>
          <w:rFonts w:ascii="Times New Roman" w:eastAsia="Calibri" w:hAnsi="Times New Roman" w:cs="Times New Roman"/>
          <w:sz w:val="20"/>
          <w:szCs w:val="20"/>
        </w:rPr>
      </w:pPr>
      <w:proofErr w:type="spellStart"/>
      <w:r w:rsidRPr="00A227A2">
        <w:rPr>
          <w:rFonts w:ascii="Times New Roman" w:eastAsia="Calibri" w:hAnsi="Times New Roman" w:cs="Times New Roman"/>
          <w:sz w:val="20"/>
          <w:szCs w:val="20"/>
          <w:vertAlign w:val="superscript"/>
        </w:rPr>
        <w:t>b</w:t>
      </w:r>
      <w:r w:rsidRPr="00A227A2">
        <w:rPr>
          <w:rFonts w:ascii="Times New Roman" w:eastAsia="Calibri" w:hAnsi="Times New Roman" w:cs="Times New Roman"/>
          <w:sz w:val="20"/>
          <w:szCs w:val="20"/>
        </w:rPr>
        <w:t>Some</w:t>
      </w:r>
      <w:proofErr w:type="spellEnd"/>
      <w:r w:rsidRPr="00A227A2">
        <w:rPr>
          <w:rFonts w:ascii="Times New Roman" w:eastAsia="Calibri" w:hAnsi="Times New Roman" w:cs="Times New Roman"/>
          <w:sz w:val="20"/>
          <w:szCs w:val="20"/>
        </w:rPr>
        <w:t xml:space="preserve"> patients had multiple diagnoses.</w:t>
      </w:r>
    </w:p>
    <w:p w14:paraId="6546C845" w14:textId="553DDCDE" w:rsidR="00C06F28" w:rsidRPr="00A227A2" w:rsidRDefault="00C06F28" w:rsidP="001B1048">
      <w:pPr>
        <w:spacing w:after="0" w:line="360" w:lineRule="auto"/>
        <w:rPr>
          <w:rFonts w:ascii="Times New Roman" w:hAnsi="Times New Roman" w:cs="Times New Roman"/>
          <w:sz w:val="20"/>
          <w:szCs w:val="20"/>
        </w:rPr>
      </w:pPr>
      <w:proofErr w:type="spellStart"/>
      <w:r w:rsidRPr="00A227A2">
        <w:rPr>
          <w:rFonts w:ascii="Times New Roman" w:hAnsi="Times New Roman" w:cs="Times New Roman"/>
          <w:sz w:val="20"/>
          <w:szCs w:val="20"/>
          <w:vertAlign w:val="superscript"/>
        </w:rPr>
        <w:t>c</w:t>
      </w:r>
      <w:r w:rsidRPr="00A227A2">
        <w:rPr>
          <w:rFonts w:ascii="Times New Roman" w:hAnsi="Times New Roman" w:cs="Times New Roman"/>
          <w:sz w:val="20"/>
          <w:szCs w:val="20"/>
        </w:rPr>
        <w:t>Less</w:t>
      </w:r>
      <w:proofErr w:type="spellEnd"/>
      <w:r w:rsidRPr="00A227A2">
        <w:rPr>
          <w:rFonts w:ascii="Times New Roman" w:hAnsi="Times New Roman" w:cs="Times New Roman"/>
          <w:sz w:val="20"/>
          <w:szCs w:val="20"/>
        </w:rPr>
        <w:t xml:space="preserve"> than </w:t>
      </w:r>
      <w:r w:rsidR="007A4E70" w:rsidRPr="00A227A2">
        <w:rPr>
          <w:rFonts w:ascii="Times New Roman" w:hAnsi="Times New Roman" w:cs="Times New Roman"/>
          <w:sz w:val="20"/>
          <w:szCs w:val="20"/>
        </w:rPr>
        <w:t>five</w:t>
      </w:r>
      <w:r w:rsidRPr="00A227A2">
        <w:rPr>
          <w:rFonts w:ascii="Times New Roman" w:hAnsi="Times New Roman" w:cs="Times New Roman"/>
          <w:sz w:val="20"/>
          <w:szCs w:val="20"/>
        </w:rPr>
        <w:t xml:space="preserve"> cases </w:t>
      </w:r>
      <w:r w:rsidR="00C1198F" w:rsidRPr="00A227A2">
        <w:rPr>
          <w:rFonts w:ascii="Times New Roman" w:hAnsi="Times New Roman" w:cs="Times New Roman"/>
          <w:sz w:val="20"/>
          <w:szCs w:val="20"/>
        </w:rPr>
        <w:t>per</w:t>
      </w:r>
      <w:r w:rsidRPr="00A227A2">
        <w:rPr>
          <w:rFonts w:ascii="Times New Roman" w:hAnsi="Times New Roman" w:cs="Times New Roman"/>
          <w:sz w:val="20"/>
          <w:szCs w:val="20"/>
        </w:rPr>
        <w:t xml:space="preserve"> diagnosis</w:t>
      </w:r>
      <w:r w:rsidR="007A4E70" w:rsidRPr="00A227A2">
        <w:rPr>
          <w:rFonts w:ascii="Times New Roman" w:hAnsi="Times New Roman" w:cs="Times New Roman"/>
          <w:sz w:val="20"/>
          <w:szCs w:val="20"/>
        </w:rPr>
        <w:t>.</w:t>
      </w:r>
    </w:p>
    <w:p w14:paraId="621378FD" w14:textId="77777777" w:rsidR="008E5953" w:rsidRPr="001B1048" w:rsidRDefault="008E5953">
      <w:pPr>
        <w:spacing w:after="0" w:line="360" w:lineRule="auto"/>
        <w:rPr>
          <w:rFonts w:ascii="Times New Roman" w:hAnsi="Times New Roman" w:cs="Times New Roman"/>
          <w:sz w:val="24"/>
          <w:szCs w:val="24"/>
        </w:rPr>
      </w:pPr>
    </w:p>
    <w:p w14:paraId="2015724E" w14:textId="77777777" w:rsidR="008E5953" w:rsidRPr="001B1048" w:rsidRDefault="008E5953">
      <w:pPr>
        <w:spacing w:after="0" w:line="360" w:lineRule="auto"/>
        <w:rPr>
          <w:rFonts w:ascii="Times New Roman" w:hAnsi="Times New Roman" w:cs="Times New Roman"/>
          <w:sz w:val="24"/>
          <w:szCs w:val="24"/>
        </w:rPr>
      </w:pPr>
    </w:p>
    <w:p w14:paraId="286331A8" w14:textId="77777777" w:rsidR="008E5953" w:rsidRPr="001B1048" w:rsidRDefault="008E5953" w:rsidP="001B1048">
      <w:pPr>
        <w:spacing w:after="0" w:line="360" w:lineRule="auto"/>
        <w:rPr>
          <w:rFonts w:ascii="Times New Roman" w:hAnsi="Times New Roman" w:cs="Times New Roman"/>
          <w:sz w:val="24"/>
          <w:szCs w:val="24"/>
        </w:rPr>
      </w:pPr>
    </w:p>
    <w:p w14:paraId="0074C9FC" w14:textId="77777777" w:rsidR="008E5953" w:rsidRPr="001B1048" w:rsidRDefault="008E5953" w:rsidP="001B1048">
      <w:pPr>
        <w:spacing w:after="0" w:line="360" w:lineRule="auto"/>
        <w:rPr>
          <w:rFonts w:ascii="Times New Roman" w:hAnsi="Times New Roman" w:cs="Times New Roman"/>
          <w:sz w:val="24"/>
          <w:szCs w:val="24"/>
        </w:rPr>
      </w:pPr>
    </w:p>
    <w:p w14:paraId="1B7574C2" w14:textId="77777777" w:rsidR="008E5953" w:rsidRPr="001B1048" w:rsidRDefault="008E5953" w:rsidP="001B1048">
      <w:pPr>
        <w:spacing w:after="0" w:line="360" w:lineRule="auto"/>
        <w:rPr>
          <w:rFonts w:ascii="Times New Roman" w:hAnsi="Times New Roman" w:cs="Times New Roman"/>
          <w:sz w:val="24"/>
          <w:szCs w:val="24"/>
        </w:rPr>
      </w:pPr>
    </w:p>
    <w:p w14:paraId="040CF067" w14:textId="77777777" w:rsidR="008E5953" w:rsidRPr="001B1048" w:rsidRDefault="008E5953" w:rsidP="001B1048">
      <w:pPr>
        <w:spacing w:after="0" w:line="360" w:lineRule="auto"/>
        <w:rPr>
          <w:rFonts w:ascii="Times New Roman" w:hAnsi="Times New Roman" w:cs="Times New Roman"/>
          <w:sz w:val="24"/>
          <w:szCs w:val="24"/>
        </w:rPr>
      </w:pPr>
    </w:p>
    <w:p w14:paraId="7F6F47B0" w14:textId="77777777" w:rsidR="008E5953" w:rsidRPr="001B1048" w:rsidRDefault="008E5953" w:rsidP="001B1048">
      <w:pPr>
        <w:spacing w:after="0" w:line="360" w:lineRule="auto"/>
        <w:rPr>
          <w:rFonts w:ascii="Times New Roman" w:hAnsi="Times New Roman" w:cs="Times New Roman"/>
          <w:sz w:val="24"/>
          <w:szCs w:val="24"/>
        </w:rPr>
      </w:pPr>
    </w:p>
    <w:p w14:paraId="6B1E3032" w14:textId="77777777" w:rsidR="008E5953" w:rsidRPr="001B1048" w:rsidRDefault="008E5953" w:rsidP="001B1048">
      <w:pPr>
        <w:spacing w:after="0" w:line="360" w:lineRule="auto"/>
        <w:rPr>
          <w:rFonts w:ascii="Times New Roman" w:hAnsi="Times New Roman" w:cs="Times New Roman"/>
          <w:sz w:val="24"/>
          <w:szCs w:val="24"/>
        </w:rPr>
      </w:pPr>
    </w:p>
    <w:p w14:paraId="002BDCFD" w14:textId="77777777" w:rsidR="008E5953" w:rsidRPr="001B1048" w:rsidRDefault="008E5953" w:rsidP="001B1048">
      <w:pPr>
        <w:spacing w:after="0" w:line="360" w:lineRule="auto"/>
        <w:rPr>
          <w:rFonts w:ascii="Times New Roman" w:hAnsi="Times New Roman" w:cs="Times New Roman"/>
          <w:sz w:val="24"/>
          <w:szCs w:val="24"/>
        </w:rPr>
      </w:pPr>
    </w:p>
    <w:p w14:paraId="2DC97BE6" w14:textId="77777777" w:rsidR="008E5953" w:rsidRPr="001B1048" w:rsidRDefault="008E5953" w:rsidP="001B1048">
      <w:pPr>
        <w:spacing w:after="0" w:line="360" w:lineRule="auto"/>
        <w:rPr>
          <w:rFonts w:ascii="Times New Roman" w:hAnsi="Times New Roman" w:cs="Times New Roman"/>
          <w:sz w:val="24"/>
          <w:szCs w:val="24"/>
        </w:rPr>
      </w:pPr>
    </w:p>
    <w:p w14:paraId="25A303EB" w14:textId="77777777" w:rsidR="008E5953" w:rsidRPr="001B1048" w:rsidRDefault="008E5953" w:rsidP="001B1048">
      <w:pPr>
        <w:spacing w:after="0" w:line="360" w:lineRule="auto"/>
        <w:rPr>
          <w:rFonts w:ascii="Times New Roman" w:hAnsi="Times New Roman" w:cs="Times New Roman"/>
          <w:sz w:val="24"/>
          <w:szCs w:val="24"/>
        </w:rPr>
      </w:pPr>
    </w:p>
    <w:p w14:paraId="5075800A" w14:textId="77777777" w:rsidR="00B05A3B" w:rsidRDefault="00B05A3B" w:rsidP="001B1048">
      <w:pPr>
        <w:spacing w:after="0" w:line="360" w:lineRule="auto"/>
        <w:rPr>
          <w:rFonts w:ascii="Times New Roman" w:hAnsi="Times New Roman" w:cs="Times New Roman"/>
          <w:sz w:val="24"/>
          <w:szCs w:val="24"/>
        </w:rPr>
        <w:sectPr w:rsidR="00B05A3B" w:rsidSect="00F736FC">
          <w:footerReference w:type="default" r:id="rId23"/>
          <w:pgSz w:w="11906" w:h="16838"/>
          <w:pgMar w:top="1440" w:right="1440" w:bottom="1440" w:left="1440" w:header="708" w:footer="708" w:gutter="0"/>
          <w:lnNumType w:countBy="1" w:restart="continuous"/>
          <w:cols w:space="708"/>
          <w:docGrid w:linePitch="360"/>
        </w:sectPr>
      </w:pPr>
    </w:p>
    <w:p w14:paraId="09F3C994" w14:textId="376999FA" w:rsidR="008E5953" w:rsidRPr="007562CB" w:rsidRDefault="008E5953" w:rsidP="00C5687D">
      <w:pPr>
        <w:pStyle w:val="Caption"/>
        <w:spacing w:after="0" w:line="360" w:lineRule="auto"/>
        <w:jc w:val="both"/>
        <w:rPr>
          <w:rFonts w:cs="Times New Roman"/>
          <w:color w:val="auto"/>
          <w:sz w:val="20"/>
          <w:szCs w:val="24"/>
        </w:rPr>
      </w:pPr>
      <w:r w:rsidRPr="007562CB">
        <w:rPr>
          <w:rFonts w:cs="Times New Roman"/>
          <w:color w:val="auto"/>
          <w:sz w:val="20"/>
          <w:szCs w:val="24"/>
        </w:rPr>
        <w:lastRenderedPageBreak/>
        <w:t>Table 4</w:t>
      </w:r>
      <w:r w:rsidR="00796E65" w:rsidRPr="007562CB">
        <w:rPr>
          <w:rFonts w:cs="Times New Roman"/>
          <w:color w:val="auto"/>
          <w:sz w:val="20"/>
          <w:szCs w:val="24"/>
        </w:rPr>
        <w:t>:</w:t>
      </w:r>
      <w:r w:rsidRPr="007562CB">
        <w:rPr>
          <w:rFonts w:cs="Times New Roman"/>
          <w:color w:val="auto"/>
          <w:sz w:val="20"/>
          <w:szCs w:val="24"/>
        </w:rPr>
        <w:t xml:space="preserve"> Diagnostic accuracy of </w:t>
      </w:r>
      <w:r w:rsidR="007F2741" w:rsidRPr="007562CB">
        <w:rPr>
          <w:rFonts w:cs="Times New Roman"/>
          <w:color w:val="auto"/>
          <w:sz w:val="20"/>
          <w:szCs w:val="24"/>
        </w:rPr>
        <w:t xml:space="preserve">current and </w:t>
      </w:r>
      <w:r w:rsidR="00C9141C">
        <w:rPr>
          <w:rFonts w:cs="Times New Roman"/>
          <w:color w:val="auto"/>
          <w:sz w:val="20"/>
          <w:szCs w:val="24"/>
        </w:rPr>
        <w:t>second-generation</w:t>
      </w:r>
      <w:r w:rsidRPr="007562CB">
        <w:rPr>
          <w:rFonts w:cs="Times New Roman"/>
          <w:color w:val="auto"/>
          <w:sz w:val="20"/>
          <w:szCs w:val="24"/>
        </w:rPr>
        <w:t xml:space="preserve"> </w:t>
      </w:r>
      <w:r w:rsidR="007B53A8" w:rsidRPr="007562CB">
        <w:rPr>
          <w:rFonts w:cs="Times New Roman"/>
          <w:color w:val="auto"/>
          <w:sz w:val="20"/>
          <w:szCs w:val="24"/>
        </w:rPr>
        <w:t xml:space="preserve">IGRAs </w:t>
      </w:r>
      <w:r w:rsidRPr="007562CB">
        <w:rPr>
          <w:rFonts w:cs="Times New Roman"/>
          <w:color w:val="auto"/>
          <w:sz w:val="20"/>
          <w:szCs w:val="24"/>
        </w:rPr>
        <w:t>for diagnosis of active TB</w:t>
      </w:r>
      <w:r w:rsidR="009415EE" w:rsidRPr="007562CB">
        <w:rPr>
          <w:rFonts w:cs="Times New Roman"/>
          <w:color w:val="auto"/>
          <w:sz w:val="20"/>
          <w:szCs w:val="24"/>
        </w:rPr>
        <w:t>.</w:t>
      </w:r>
      <w:r w:rsidRPr="007562CB">
        <w:rPr>
          <w:rFonts w:cs="Times New Roman"/>
          <w:color w:val="auto"/>
          <w:sz w:val="20"/>
          <w:szCs w:val="24"/>
        </w:rPr>
        <w:t xml:space="preserve"> </w:t>
      </w:r>
      <w:r w:rsidR="009415EE" w:rsidRPr="007562CB">
        <w:rPr>
          <w:rFonts w:cs="Times New Roman"/>
          <w:b w:val="0"/>
          <w:sz w:val="20"/>
          <w:szCs w:val="24"/>
        </w:rPr>
        <w:t>Sensitivity, specificity and predictive values are presented as percentages.</w:t>
      </w:r>
    </w:p>
    <w:tbl>
      <w:tblPr>
        <w:tblStyle w:val="TableGrid"/>
        <w:tblW w:w="14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8"/>
        <w:gridCol w:w="972"/>
        <w:gridCol w:w="1927"/>
        <w:gridCol w:w="972"/>
        <w:gridCol w:w="1926"/>
        <w:gridCol w:w="972"/>
        <w:gridCol w:w="1927"/>
        <w:gridCol w:w="972"/>
        <w:gridCol w:w="20"/>
        <w:gridCol w:w="1600"/>
        <w:gridCol w:w="478"/>
      </w:tblGrid>
      <w:tr w:rsidR="006C3B0A" w:rsidRPr="00613A53" w14:paraId="067366F7" w14:textId="77777777" w:rsidTr="00EC5B9A">
        <w:tc>
          <w:tcPr>
            <w:tcW w:w="3118" w:type="dxa"/>
            <w:vMerge w:val="restart"/>
            <w:tcBorders>
              <w:top w:val="single" w:sz="12" w:space="0" w:color="auto"/>
              <w:left w:val="nil"/>
              <w:bottom w:val="single" w:sz="4" w:space="0" w:color="auto"/>
              <w:right w:val="nil"/>
            </w:tcBorders>
            <w:hideMark/>
          </w:tcPr>
          <w:p w14:paraId="4EAB268E" w14:textId="77777777" w:rsidR="00FE05C2" w:rsidRDefault="00FE05C2">
            <w:pPr>
              <w:spacing w:line="360" w:lineRule="auto"/>
              <w:rPr>
                <w:rFonts w:ascii="Times New Roman" w:hAnsi="Times New Roman" w:cs="Times New Roman"/>
                <w:b/>
                <w:sz w:val="20"/>
                <w:szCs w:val="20"/>
              </w:rPr>
            </w:pPr>
          </w:p>
          <w:p w14:paraId="6888F034" w14:textId="77CB55E5" w:rsidR="008E5953" w:rsidRPr="00A227A2" w:rsidRDefault="008E5953">
            <w:pPr>
              <w:spacing w:line="360" w:lineRule="auto"/>
              <w:rPr>
                <w:rFonts w:ascii="Times New Roman" w:hAnsi="Times New Roman" w:cs="Times New Roman"/>
                <w:b/>
                <w:sz w:val="20"/>
                <w:szCs w:val="20"/>
              </w:rPr>
            </w:pPr>
            <w:r w:rsidRPr="00A227A2">
              <w:rPr>
                <w:rFonts w:ascii="Times New Roman" w:hAnsi="Times New Roman" w:cs="Times New Roman"/>
                <w:b/>
                <w:sz w:val="20"/>
                <w:szCs w:val="20"/>
              </w:rPr>
              <w:t>Test performance</w:t>
            </w:r>
          </w:p>
        </w:tc>
        <w:tc>
          <w:tcPr>
            <w:tcW w:w="2899" w:type="dxa"/>
            <w:gridSpan w:val="2"/>
            <w:tcBorders>
              <w:top w:val="single" w:sz="12" w:space="0" w:color="auto"/>
              <w:left w:val="nil"/>
              <w:bottom w:val="single" w:sz="4" w:space="0" w:color="auto"/>
              <w:right w:val="nil"/>
            </w:tcBorders>
            <w:hideMark/>
          </w:tcPr>
          <w:p w14:paraId="6873F8FE" w14:textId="4CAF4E33" w:rsidR="008E5953" w:rsidRPr="00EC5B9A" w:rsidRDefault="008E5953">
            <w:pPr>
              <w:spacing w:line="360" w:lineRule="auto"/>
              <w:rPr>
                <w:rFonts w:ascii="Times New Roman" w:hAnsi="Times New Roman" w:cs="Times New Roman"/>
                <w:b/>
                <w:sz w:val="20"/>
                <w:szCs w:val="20"/>
                <w:lang w:val="de-DE"/>
              </w:rPr>
            </w:pPr>
            <w:r w:rsidRPr="00EC5B9A">
              <w:rPr>
                <w:rFonts w:ascii="Times New Roman" w:hAnsi="Times New Roman" w:cs="Times New Roman"/>
                <w:b/>
                <w:sz w:val="20"/>
                <w:szCs w:val="20"/>
                <w:lang w:val="de-DE"/>
              </w:rPr>
              <w:t>T-SPOT.TB</w:t>
            </w:r>
            <w:r w:rsidR="00A07267" w:rsidRPr="00EC5B9A">
              <w:rPr>
                <w:rFonts w:ascii="Times New Roman" w:hAnsi="Times New Roman" w:cs="Times New Roman"/>
                <w:b/>
                <w:sz w:val="20"/>
                <w:szCs w:val="20"/>
                <w:vertAlign w:val="superscript"/>
                <w:lang w:val="de-DE"/>
              </w:rPr>
              <w:t>a</w:t>
            </w:r>
            <w:r w:rsidR="00294D0B" w:rsidRPr="00EC5B9A">
              <w:rPr>
                <w:rFonts w:ascii="Times New Roman" w:hAnsi="Times New Roman" w:cs="Times New Roman"/>
                <w:b/>
                <w:sz w:val="20"/>
                <w:szCs w:val="20"/>
                <w:vertAlign w:val="superscript"/>
                <w:lang w:val="de-DE"/>
              </w:rPr>
              <w:t>,e,f</w:t>
            </w:r>
          </w:p>
        </w:tc>
        <w:tc>
          <w:tcPr>
            <w:tcW w:w="2898" w:type="dxa"/>
            <w:gridSpan w:val="2"/>
            <w:tcBorders>
              <w:top w:val="single" w:sz="12" w:space="0" w:color="auto"/>
              <w:left w:val="nil"/>
              <w:bottom w:val="single" w:sz="4" w:space="0" w:color="auto"/>
              <w:right w:val="nil"/>
            </w:tcBorders>
            <w:hideMark/>
          </w:tcPr>
          <w:p w14:paraId="44241D03" w14:textId="66556261" w:rsidR="008E5953" w:rsidRPr="00A227A2" w:rsidRDefault="008E5953">
            <w:pPr>
              <w:spacing w:line="360" w:lineRule="auto"/>
              <w:rPr>
                <w:rFonts w:ascii="Times New Roman" w:hAnsi="Times New Roman" w:cs="Times New Roman"/>
                <w:b/>
                <w:sz w:val="20"/>
                <w:szCs w:val="20"/>
              </w:rPr>
            </w:pPr>
            <w:r w:rsidRPr="00A227A2">
              <w:rPr>
                <w:rFonts w:ascii="Times New Roman" w:hAnsi="Times New Roman" w:cs="Times New Roman"/>
                <w:b/>
                <w:sz w:val="20"/>
                <w:szCs w:val="20"/>
              </w:rPr>
              <w:t>QFT-</w:t>
            </w:r>
            <w:proofErr w:type="spellStart"/>
            <w:r w:rsidRPr="00A227A2">
              <w:rPr>
                <w:rFonts w:ascii="Times New Roman" w:hAnsi="Times New Roman" w:cs="Times New Roman"/>
                <w:b/>
                <w:sz w:val="20"/>
                <w:szCs w:val="20"/>
              </w:rPr>
              <w:t>GIT</w:t>
            </w:r>
            <w:r w:rsidR="00A07267" w:rsidRPr="00C01AF7">
              <w:rPr>
                <w:rFonts w:ascii="Times New Roman" w:hAnsi="Times New Roman" w:cs="Times New Roman"/>
                <w:b/>
                <w:sz w:val="20"/>
                <w:szCs w:val="20"/>
                <w:vertAlign w:val="superscript"/>
              </w:rPr>
              <w:t>a</w:t>
            </w:r>
            <w:r w:rsidR="00294D0B">
              <w:rPr>
                <w:rFonts w:ascii="Times New Roman" w:hAnsi="Times New Roman" w:cs="Times New Roman"/>
                <w:b/>
                <w:sz w:val="20"/>
                <w:szCs w:val="20"/>
                <w:vertAlign w:val="superscript"/>
              </w:rPr>
              <w:t>,e,f</w:t>
            </w:r>
            <w:proofErr w:type="spellEnd"/>
          </w:p>
        </w:tc>
        <w:tc>
          <w:tcPr>
            <w:tcW w:w="2899" w:type="dxa"/>
            <w:gridSpan w:val="2"/>
            <w:tcBorders>
              <w:top w:val="single" w:sz="12" w:space="0" w:color="auto"/>
              <w:left w:val="nil"/>
              <w:bottom w:val="single" w:sz="4" w:space="0" w:color="auto"/>
              <w:right w:val="nil"/>
            </w:tcBorders>
            <w:hideMark/>
          </w:tcPr>
          <w:p w14:paraId="3879D5C8" w14:textId="5D0C9227" w:rsidR="008E5953" w:rsidRPr="00EC5B9A" w:rsidRDefault="008E5953">
            <w:pPr>
              <w:spacing w:line="360" w:lineRule="auto"/>
              <w:rPr>
                <w:rFonts w:ascii="Times New Roman" w:hAnsi="Times New Roman" w:cs="Times New Roman"/>
                <w:b/>
                <w:sz w:val="20"/>
                <w:szCs w:val="20"/>
                <w:lang w:val="it-IT"/>
              </w:rPr>
            </w:pPr>
            <w:r w:rsidRPr="00EC5B9A">
              <w:rPr>
                <w:rFonts w:ascii="Times New Roman" w:hAnsi="Times New Roman" w:cs="Times New Roman"/>
                <w:b/>
                <w:sz w:val="20"/>
                <w:szCs w:val="20"/>
                <w:lang w:val="it-IT"/>
              </w:rPr>
              <w:t>ESAT+ CFP10 + Rv3615c</w:t>
            </w:r>
            <w:r w:rsidR="00A07267" w:rsidRPr="00EC5B9A">
              <w:rPr>
                <w:rFonts w:ascii="Times New Roman" w:hAnsi="Times New Roman" w:cs="Times New Roman"/>
                <w:b/>
                <w:sz w:val="20"/>
                <w:szCs w:val="20"/>
                <w:vertAlign w:val="superscript"/>
                <w:lang w:val="it-IT"/>
              </w:rPr>
              <w:t>a</w:t>
            </w:r>
            <w:r w:rsidR="00294D0B" w:rsidRPr="00EC5B9A">
              <w:rPr>
                <w:rFonts w:ascii="Times New Roman" w:hAnsi="Times New Roman" w:cs="Times New Roman"/>
                <w:b/>
                <w:sz w:val="20"/>
                <w:szCs w:val="20"/>
                <w:vertAlign w:val="superscript"/>
                <w:lang w:val="it-IT"/>
              </w:rPr>
              <w:t>,e,f</w:t>
            </w:r>
          </w:p>
        </w:tc>
        <w:tc>
          <w:tcPr>
            <w:tcW w:w="3070" w:type="dxa"/>
            <w:gridSpan w:val="4"/>
            <w:tcBorders>
              <w:top w:val="single" w:sz="12" w:space="0" w:color="auto"/>
              <w:left w:val="nil"/>
              <w:bottom w:val="single" w:sz="4" w:space="0" w:color="auto"/>
              <w:right w:val="nil"/>
            </w:tcBorders>
            <w:hideMark/>
          </w:tcPr>
          <w:p w14:paraId="350B1D64" w14:textId="4EF94BF4" w:rsidR="008E5953" w:rsidRPr="00EC5B9A" w:rsidRDefault="008E5953">
            <w:pPr>
              <w:spacing w:line="360" w:lineRule="auto"/>
              <w:rPr>
                <w:rFonts w:ascii="Times New Roman" w:hAnsi="Times New Roman" w:cs="Times New Roman"/>
                <w:b/>
                <w:sz w:val="20"/>
                <w:szCs w:val="20"/>
                <w:lang w:val="it-IT"/>
              </w:rPr>
            </w:pPr>
            <w:r w:rsidRPr="00EC5B9A">
              <w:rPr>
                <w:rFonts w:ascii="Times New Roman" w:hAnsi="Times New Roman" w:cs="Times New Roman"/>
                <w:b/>
                <w:sz w:val="20"/>
                <w:szCs w:val="20"/>
                <w:lang w:val="it-IT"/>
              </w:rPr>
              <w:t>CFP10 + Rv3615c + Rv3879c</w:t>
            </w:r>
            <w:r w:rsidR="00A07267" w:rsidRPr="00EC5B9A">
              <w:rPr>
                <w:rFonts w:ascii="Times New Roman" w:hAnsi="Times New Roman" w:cs="Times New Roman"/>
                <w:b/>
                <w:sz w:val="20"/>
                <w:szCs w:val="20"/>
                <w:vertAlign w:val="superscript"/>
                <w:lang w:val="it-IT"/>
              </w:rPr>
              <w:t>a</w:t>
            </w:r>
            <w:r w:rsidR="00294D0B" w:rsidRPr="00EC5B9A">
              <w:rPr>
                <w:rFonts w:ascii="Times New Roman" w:hAnsi="Times New Roman" w:cs="Times New Roman"/>
                <w:b/>
                <w:sz w:val="20"/>
                <w:szCs w:val="20"/>
                <w:vertAlign w:val="superscript"/>
                <w:lang w:val="it-IT"/>
              </w:rPr>
              <w:t>,e,f</w:t>
            </w:r>
          </w:p>
        </w:tc>
      </w:tr>
      <w:tr w:rsidR="006C3B0A" w:rsidRPr="006C3B0A" w14:paraId="30B22CFC" w14:textId="77777777" w:rsidTr="00EC5B9A">
        <w:tc>
          <w:tcPr>
            <w:tcW w:w="3118" w:type="dxa"/>
            <w:vMerge/>
            <w:tcBorders>
              <w:top w:val="single" w:sz="12" w:space="0" w:color="auto"/>
              <w:left w:val="nil"/>
              <w:bottom w:val="single" w:sz="4" w:space="0" w:color="auto"/>
              <w:right w:val="nil"/>
            </w:tcBorders>
            <w:vAlign w:val="center"/>
            <w:hideMark/>
          </w:tcPr>
          <w:p w14:paraId="1441B8D9" w14:textId="77777777" w:rsidR="008E5953" w:rsidRPr="00EC5B9A" w:rsidRDefault="008E5953" w:rsidP="001B1048">
            <w:pPr>
              <w:spacing w:line="360" w:lineRule="auto"/>
              <w:rPr>
                <w:rFonts w:ascii="Times New Roman" w:hAnsi="Times New Roman" w:cs="Times New Roman"/>
                <w:b/>
                <w:sz w:val="20"/>
                <w:szCs w:val="20"/>
                <w:lang w:val="it-IT"/>
              </w:rPr>
            </w:pPr>
          </w:p>
        </w:tc>
        <w:tc>
          <w:tcPr>
            <w:tcW w:w="972" w:type="dxa"/>
            <w:tcBorders>
              <w:top w:val="single" w:sz="4" w:space="0" w:color="auto"/>
              <w:left w:val="nil"/>
              <w:bottom w:val="single" w:sz="4" w:space="0" w:color="auto"/>
              <w:right w:val="nil"/>
            </w:tcBorders>
            <w:hideMark/>
          </w:tcPr>
          <w:p w14:paraId="385D0944" w14:textId="77777777" w:rsidR="008E5953" w:rsidRPr="00A227A2" w:rsidRDefault="008E5953">
            <w:pPr>
              <w:spacing w:line="360" w:lineRule="auto"/>
              <w:rPr>
                <w:rFonts w:ascii="Times New Roman" w:hAnsi="Times New Roman" w:cs="Times New Roman"/>
                <w:b/>
                <w:sz w:val="20"/>
                <w:szCs w:val="20"/>
              </w:rPr>
            </w:pPr>
            <w:r w:rsidRPr="00A227A2">
              <w:rPr>
                <w:rFonts w:ascii="Times New Roman" w:hAnsi="Times New Roman" w:cs="Times New Roman"/>
                <w:b/>
                <w:sz w:val="20"/>
                <w:szCs w:val="20"/>
              </w:rPr>
              <w:t>n/N</w:t>
            </w:r>
          </w:p>
        </w:tc>
        <w:tc>
          <w:tcPr>
            <w:tcW w:w="1927" w:type="dxa"/>
            <w:tcBorders>
              <w:top w:val="single" w:sz="4" w:space="0" w:color="auto"/>
              <w:left w:val="nil"/>
              <w:bottom w:val="single" w:sz="4" w:space="0" w:color="auto"/>
              <w:right w:val="nil"/>
            </w:tcBorders>
            <w:hideMark/>
          </w:tcPr>
          <w:p w14:paraId="64394487" w14:textId="706F7C3B" w:rsidR="008E5953" w:rsidRPr="00A227A2" w:rsidRDefault="008E5953">
            <w:pPr>
              <w:spacing w:line="360" w:lineRule="auto"/>
              <w:rPr>
                <w:rFonts w:ascii="Times New Roman" w:hAnsi="Times New Roman" w:cs="Times New Roman"/>
                <w:b/>
                <w:sz w:val="20"/>
                <w:szCs w:val="20"/>
              </w:rPr>
            </w:pPr>
            <w:r w:rsidRPr="00A227A2">
              <w:rPr>
                <w:rFonts w:ascii="Times New Roman" w:hAnsi="Times New Roman" w:cs="Times New Roman"/>
                <w:b/>
                <w:sz w:val="20"/>
                <w:szCs w:val="20"/>
              </w:rPr>
              <w:t>Estimate (</w:t>
            </w:r>
            <w:r w:rsidR="003E2465">
              <w:rPr>
                <w:rFonts w:ascii="Times New Roman" w:hAnsi="Times New Roman" w:cs="Times New Roman"/>
                <w:b/>
                <w:sz w:val="20"/>
                <w:szCs w:val="20"/>
              </w:rPr>
              <w:t>95%CI</w:t>
            </w:r>
            <w:r w:rsidRPr="00A227A2">
              <w:rPr>
                <w:rFonts w:ascii="Times New Roman" w:hAnsi="Times New Roman" w:cs="Times New Roman"/>
                <w:b/>
                <w:sz w:val="20"/>
                <w:szCs w:val="20"/>
              </w:rPr>
              <w:t>)</w:t>
            </w:r>
          </w:p>
        </w:tc>
        <w:tc>
          <w:tcPr>
            <w:tcW w:w="972" w:type="dxa"/>
            <w:tcBorders>
              <w:top w:val="single" w:sz="4" w:space="0" w:color="auto"/>
              <w:left w:val="nil"/>
              <w:bottom w:val="single" w:sz="4" w:space="0" w:color="auto"/>
              <w:right w:val="nil"/>
            </w:tcBorders>
            <w:hideMark/>
          </w:tcPr>
          <w:p w14:paraId="0406CC2F" w14:textId="77777777" w:rsidR="008E5953" w:rsidRPr="00A227A2" w:rsidRDefault="008E5953">
            <w:pPr>
              <w:spacing w:line="360" w:lineRule="auto"/>
              <w:rPr>
                <w:rFonts w:ascii="Times New Roman" w:hAnsi="Times New Roman" w:cs="Times New Roman"/>
                <w:b/>
                <w:sz w:val="20"/>
                <w:szCs w:val="20"/>
              </w:rPr>
            </w:pPr>
            <w:r w:rsidRPr="00A227A2">
              <w:rPr>
                <w:rFonts w:ascii="Times New Roman" w:hAnsi="Times New Roman" w:cs="Times New Roman"/>
                <w:b/>
                <w:sz w:val="20"/>
                <w:szCs w:val="20"/>
              </w:rPr>
              <w:t>n/N</w:t>
            </w:r>
          </w:p>
        </w:tc>
        <w:tc>
          <w:tcPr>
            <w:tcW w:w="1926" w:type="dxa"/>
            <w:tcBorders>
              <w:top w:val="single" w:sz="4" w:space="0" w:color="auto"/>
              <w:left w:val="nil"/>
              <w:bottom w:val="single" w:sz="4" w:space="0" w:color="auto"/>
              <w:right w:val="nil"/>
            </w:tcBorders>
            <w:hideMark/>
          </w:tcPr>
          <w:p w14:paraId="13D3D216" w14:textId="7FFDCAC2" w:rsidR="008E5953" w:rsidRPr="00A227A2" w:rsidRDefault="008E5953">
            <w:pPr>
              <w:spacing w:line="360" w:lineRule="auto"/>
              <w:rPr>
                <w:rFonts w:ascii="Times New Roman" w:hAnsi="Times New Roman" w:cs="Times New Roman"/>
                <w:b/>
                <w:sz w:val="20"/>
                <w:szCs w:val="20"/>
              </w:rPr>
            </w:pPr>
            <w:r w:rsidRPr="00A227A2">
              <w:rPr>
                <w:rFonts w:ascii="Times New Roman" w:hAnsi="Times New Roman" w:cs="Times New Roman"/>
                <w:b/>
                <w:sz w:val="20"/>
                <w:szCs w:val="20"/>
              </w:rPr>
              <w:t>Estimate (</w:t>
            </w:r>
            <w:r w:rsidR="003E2465">
              <w:rPr>
                <w:rFonts w:ascii="Times New Roman" w:hAnsi="Times New Roman" w:cs="Times New Roman"/>
                <w:b/>
                <w:sz w:val="20"/>
                <w:szCs w:val="20"/>
              </w:rPr>
              <w:t>95%CI</w:t>
            </w:r>
            <w:r w:rsidRPr="00A227A2">
              <w:rPr>
                <w:rFonts w:ascii="Times New Roman" w:hAnsi="Times New Roman" w:cs="Times New Roman"/>
                <w:b/>
                <w:sz w:val="20"/>
                <w:szCs w:val="20"/>
              </w:rPr>
              <w:t>)</w:t>
            </w:r>
          </w:p>
        </w:tc>
        <w:tc>
          <w:tcPr>
            <w:tcW w:w="972" w:type="dxa"/>
            <w:tcBorders>
              <w:top w:val="single" w:sz="4" w:space="0" w:color="auto"/>
              <w:left w:val="nil"/>
              <w:bottom w:val="single" w:sz="4" w:space="0" w:color="auto"/>
              <w:right w:val="nil"/>
            </w:tcBorders>
            <w:hideMark/>
          </w:tcPr>
          <w:p w14:paraId="402F5382" w14:textId="77777777" w:rsidR="008E5953" w:rsidRPr="00A227A2" w:rsidRDefault="008E5953">
            <w:pPr>
              <w:spacing w:line="360" w:lineRule="auto"/>
              <w:rPr>
                <w:rFonts w:ascii="Times New Roman" w:hAnsi="Times New Roman" w:cs="Times New Roman"/>
                <w:b/>
                <w:sz w:val="20"/>
                <w:szCs w:val="20"/>
              </w:rPr>
            </w:pPr>
            <w:r w:rsidRPr="00A227A2">
              <w:rPr>
                <w:rFonts w:ascii="Times New Roman" w:hAnsi="Times New Roman" w:cs="Times New Roman"/>
                <w:b/>
                <w:sz w:val="20"/>
                <w:szCs w:val="20"/>
              </w:rPr>
              <w:t>n/N</w:t>
            </w:r>
          </w:p>
        </w:tc>
        <w:tc>
          <w:tcPr>
            <w:tcW w:w="1927" w:type="dxa"/>
            <w:tcBorders>
              <w:top w:val="single" w:sz="4" w:space="0" w:color="auto"/>
              <w:left w:val="nil"/>
              <w:bottom w:val="single" w:sz="4" w:space="0" w:color="auto"/>
              <w:right w:val="nil"/>
            </w:tcBorders>
            <w:hideMark/>
          </w:tcPr>
          <w:p w14:paraId="72A380EF" w14:textId="465860E6" w:rsidR="008E5953" w:rsidRPr="00A227A2" w:rsidRDefault="008E5953">
            <w:pPr>
              <w:spacing w:line="360" w:lineRule="auto"/>
              <w:rPr>
                <w:rFonts w:ascii="Times New Roman" w:hAnsi="Times New Roman" w:cs="Times New Roman"/>
                <w:b/>
                <w:sz w:val="20"/>
                <w:szCs w:val="20"/>
              </w:rPr>
            </w:pPr>
            <w:r w:rsidRPr="00A227A2">
              <w:rPr>
                <w:rFonts w:ascii="Times New Roman" w:hAnsi="Times New Roman" w:cs="Times New Roman"/>
                <w:b/>
                <w:sz w:val="20"/>
                <w:szCs w:val="20"/>
              </w:rPr>
              <w:t>Estimate (</w:t>
            </w:r>
            <w:r w:rsidR="003E2465">
              <w:rPr>
                <w:rFonts w:ascii="Times New Roman" w:hAnsi="Times New Roman" w:cs="Times New Roman"/>
                <w:b/>
                <w:sz w:val="20"/>
                <w:szCs w:val="20"/>
              </w:rPr>
              <w:t>95%CI</w:t>
            </w:r>
            <w:r w:rsidRPr="00A227A2">
              <w:rPr>
                <w:rFonts w:ascii="Times New Roman" w:hAnsi="Times New Roman" w:cs="Times New Roman"/>
                <w:b/>
                <w:sz w:val="20"/>
                <w:szCs w:val="20"/>
              </w:rPr>
              <w:t>)</w:t>
            </w:r>
          </w:p>
        </w:tc>
        <w:tc>
          <w:tcPr>
            <w:tcW w:w="972" w:type="dxa"/>
            <w:tcBorders>
              <w:top w:val="single" w:sz="4" w:space="0" w:color="auto"/>
              <w:left w:val="nil"/>
              <w:bottom w:val="single" w:sz="4" w:space="0" w:color="auto"/>
              <w:right w:val="nil"/>
            </w:tcBorders>
            <w:hideMark/>
          </w:tcPr>
          <w:p w14:paraId="05964172" w14:textId="77777777" w:rsidR="008E5953" w:rsidRPr="00A227A2" w:rsidRDefault="008E5953">
            <w:pPr>
              <w:spacing w:line="360" w:lineRule="auto"/>
              <w:rPr>
                <w:rFonts w:ascii="Times New Roman" w:hAnsi="Times New Roman" w:cs="Times New Roman"/>
                <w:b/>
                <w:sz w:val="20"/>
                <w:szCs w:val="20"/>
              </w:rPr>
            </w:pPr>
            <w:r w:rsidRPr="00A227A2">
              <w:rPr>
                <w:rFonts w:ascii="Times New Roman" w:hAnsi="Times New Roman" w:cs="Times New Roman"/>
                <w:b/>
                <w:sz w:val="20"/>
                <w:szCs w:val="20"/>
              </w:rPr>
              <w:t>n/N</w:t>
            </w:r>
          </w:p>
        </w:tc>
        <w:tc>
          <w:tcPr>
            <w:tcW w:w="2098" w:type="dxa"/>
            <w:gridSpan w:val="3"/>
            <w:tcBorders>
              <w:top w:val="single" w:sz="4" w:space="0" w:color="auto"/>
              <w:left w:val="nil"/>
              <w:bottom w:val="single" w:sz="4" w:space="0" w:color="auto"/>
              <w:right w:val="nil"/>
            </w:tcBorders>
            <w:hideMark/>
          </w:tcPr>
          <w:p w14:paraId="70596630" w14:textId="478A2B19" w:rsidR="008E5953" w:rsidRPr="00A227A2" w:rsidRDefault="008E5953">
            <w:pPr>
              <w:spacing w:line="360" w:lineRule="auto"/>
              <w:rPr>
                <w:rFonts w:ascii="Times New Roman" w:hAnsi="Times New Roman" w:cs="Times New Roman"/>
                <w:b/>
                <w:sz w:val="20"/>
                <w:szCs w:val="20"/>
              </w:rPr>
            </w:pPr>
            <w:r w:rsidRPr="00A227A2">
              <w:rPr>
                <w:rFonts w:ascii="Times New Roman" w:hAnsi="Times New Roman" w:cs="Times New Roman"/>
                <w:b/>
                <w:sz w:val="20"/>
                <w:szCs w:val="20"/>
              </w:rPr>
              <w:t>Estimate (</w:t>
            </w:r>
            <w:r w:rsidR="003E2465">
              <w:rPr>
                <w:rFonts w:ascii="Times New Roman" w:hAnsi="Times New Roman" w:cs="Times New Roman"/>
                <w:b/>
                <w:sz w:val="20"/>
                <w:szCs w:val="20"/>
              </w:rPr>
              <w:t>95%CI</w:t>
            </w:r>
            <w:r w:rsidRPr="00A227A2">
              <w:rPr>
                <w:rFonts w:ascii="Times New Roman" w:hAnsi="Times New Roman" w:cs="Times New Roman"/>
                <w:b/>
                <w:sz w:val="20"/>
                <w:szCs w:val="20"/>
              </w:rPr>
              <w:t>)</w:t>
            </w:r>
          </w:p>
        </w:tc>
      </w:tr>
      <w:tr w:rsidR="006C3B0A" w:rsidRPr="006C3B0A" w14:paraId="6C967E92" w14:textId="77777777" w:rsidTr="00EC5B9A">
        <w:tc>
          <w:tcPr>
            <w:tcW w:w="3118" w:type="dxa"/>
            <w:tcBorders>
              <w:top w:val="single" w:sz="4" w:space="0" w:color="auto"/>
              <w:left w:val="nil"/>
              <w:bottom w:val="nil"/>
              <w:right w:val="nil"/>
            </w:tcBorders>
            <w:hideMark/>
          </w:tcPr>
          <w:p w14:paraId="3E748874" w14:textId="68DAB28E" w:rsidR="008E5953" w:rsidRPr="00A227A2" w:rsidRDefault="008E5953">
            <w:pPr>
              <w:spacing w:line="360" w:lineRule="auto"/>
              <w:rPr>
                <w:rFonts w:ascii="Times New Roman" w:hAnsi="Times New Roman" w:cs="Times New Roman"/>
                <w:sz w:val="20"/>
                <w:szCs w:val="20"/>
              </w:rPr>
            </w:pPr>
            <w:r w:rsidRPr="00A227A2">
              <w:rPr>
                <w:rFonts w:ascii="Times New Roman" w:hAnsi="Times New Roman" w:cs="Times New Roman"/>
                <w:sz w:val="20"/>
                <w:szCs w:val="20"/>
              </w:rPr>
              <w:t>Sensitivity for active TB</w:t>
            </w:r>
          </w:p>
        </w:tc>
        <w:tc>
          <w:tcPr>
            <w:tcW w:w="972" w:type="dxa"/>
            <w:tcBorders>
              <w:top w:val="single" w:sz="4" w:space="0" w:color="auto"/>
              <w:left w:val="nil"/>
              <w:bottom w:val="nil"/>
              <w:right w:val="nil"/>
            </w:tcBorders>
          </w:tcPr>
          <w:p w14:paraId="17A399DE" w14:textId="77777777" w:rsidR="008E5953" w:rsidRPr="00A227A2" w:rsidRDefault="008E5953">
            <w:pPr>
              <w:spacing w:line="360" w:lineRule="auto"/>
              <w:rPr>
                <w:rFonts w:ascii="Times New Roman" w:hAnsi="Times New Roman" w:cs="Times New Roman"/>
                <w:sz w:val="20"/>
                <w:szCs w:val="20"/>
              </w:rPr>
            </w:pPr>
          </w:p>
        </w:tc>
        <w:tc>
          <w:tcPr>
            <w:tcW w:w="1927" w:type="dxa"/>
            <w:tcBorders>
              <w:top w:val="single" w:sz="4" w:space="0" w:color="auto"/>
              <w:left w:val="nil"/>
              <w:bottom w:val="nil"/>
              <w:right w:val="nil"/>
            </w:tcBorders>
          </w:tcPr>
          <w:p w14:paraId="7A529750" w14:textId="77777777" w:rsidR="008E5953" w:rsidRPr="00A227A2" w:rsidRDefault="008E5953">
            <w:pPr>
              <w:spacing w:line="360" w:lineRule="auto"/>
              <w:rPr>
                <w:rFonts w:ascii="Times New Roman" w:hAnsi="Times New Roman" w:cs="Times New Roman"/>
                <w:sz w:val="20"/>
                <w:szCs w:val="20"/>
              </w:rPr>
            </w:pPr>
          </w:p>
        </w:tc>
        <w:tc>
          <w:tcPr>
            <w:tcW w:w="972" w:type="dxa"/>
            <w:tcBorders>
              <w:top w:val="single" w:sz="4" w:space="0" w:color="auto"/>
              <w:left w:val="nil"/>
              <w:bottom w:val="nil"/>
              <w:right w:val="nil"/>
            </w:tcBorders>
          </w:tcPr>
          <w:p w14:paraId="4D83C4B5" w14:textId="77777777" w:rsidR="008E5953" w:rsidRPr="00A227A2" w:rsidRDefault="008E5953">
            <w:pPr>
              <w:spacing w:line="360" w:lineRule="auto"/>
              <w:rPr>
                <w:rFonts w:ascii="Times New Roman" w:hAnsi="Times New Roman" w:cs="Times New Roman"/>
                <w:sz w:val="20"/>
                <w:szCs w:val="20"/>
              </w:rPr>
            </w:pPr>
          </w:p>
        </w:tc>
        <w:tc>
          <w:tcPr>
            <w:tcW w:w="1926" w:type="dxa"/>
            <w:tcBorders>
              <w:top w:val="single" w:sz="4" w:space="0" w:color="auto"/>
              <w:left w:val="nil"/>
              <w:bottom w:val="nil"/>
              <w:right w:val="nil"/>
            </w:tcBorders>
          </w:tcPr>
          <w:p w14:paraId="531E3C21" w14:textId="77777777" w:rsidR="008E5953" w:rsidRPr="00A227A2" w:rsidRDefault="008E5953">
            <w:pPr>
              <w:spacing w:line="360" w:lineRule="auto"/>
              <w:rPr>
                <w:rFonts w:ascii="Times New Roman" w:hAnsi="Times New Roman" w:cs="Times New Roman"/>
                <w:sz w:val="20"/>
                <w:szCs w:val="20"/>
              </w:rPr>
            </w:pPr>
          </w:p>
        </w:tc>
        <w:tc>
          <w:tcPr>
            <w:tcW w:w="972" w:type="dxa"/>
            <w:tcBorders>
              <w:top w:val="single" w:sz="4" w:space="0" w:color="auto"/>
              <w:left w:val="nil"/>
              <w:bottom w:val="nil"/>
              <w:right w:val="nil"/>
            </w:tcBorders>
          </w:tcPr>
          <w:p w14:paraId="49F598CD" w14:textId="77777777" w:rsidR="008E5953" w:rsidRPr="00A227A2" w:rsidRDefault="008E5953">
            <w:pPr>
              <w:spacing w:line="360" w:lineRule="auto"/>
              <w:rPr>
                <w:rFonts w:ascii="Times New Roman" w:hAnsi="Times New Roman" w:cs="Times New Roman"/>
                <w:sz w:val="20"/>
                <w:szCs w:val="20"/>
              </w:rPr>
            </w:pPr>
          </w:p>
        </w:tc>
        <w:tc>
          <w:tcPr>
            <w:tcW w:w="1927" w:type="dxa"/>
            <w:tcBorders>
              <w:top w:val="single" w:sz="4" w:space="0" w:color="auto"/>
              <w:left w:val="nil"/>
              <w:bottom w:val="nil"/>
              <w:right w:val="nil"/>
            </w:tcBorders>
          </w:tcPr>
          <w:p w14:paraId="6DF3D001" w14:textId="77777777" w:rsidR="008E5953" w:rsidRPr="00A227A2" w:rsidRDefault="008E5953">
            <w:pPr>
              <w:spacing w:line="360" w:lineRule="auto"/>
              <w:rPr>
                <w:rFonts w:ascii="Times New Roman" w:hAnsi="Times New Roman" w:cs="Times New Roman"/>
                <w:sz w:val="20"/>
                <w:szCs w:val="20"/>
              </w:rPr>
            </w:pPr>
          </w:p>
        </w:tc>
        <w:tc>
          <w:tcPr>
            <w:tcW w:w="972" w:type="dxa"/>
            <w:tcBorders>
              <w:top w:val="single" w:sz="4" w:space="0" w:color="auto"/>
              <w:left w:val="nil"/>
              <w:bottom w:val="nil"/>
              <w:right w:val="nil"/>
            </w:tcBorders>
          </w:tcPr>
          <w:p w14:paraId="3D7FA6E8" w14:textId="77777777" w:rsidR="008E5953" w:rsidRPr="00A227A2" w:rsidRDefault="008E5953">
            <w:pPr>
              <w:spacing w:line="360" w:lineRule="auto"/>
              <w:rPr>
                <w:rFonts w:ascii="Times New Roman" w:hAnsi="Times New Roman" w:cs="Times New Roman"/>
                <w:sz w:val="20"/>
                <w:szCs w:val="20"/>
              </w:rPr>
            </w:pPr>
          </w:p>
        </w:tc>
        <w:tc>
          <w:tcPr>
            <w:tcW w:w="2098" w:type="dxa"/>
            <w:gridSpan w:val="3"/>
            <w:tcBorders>
              <w:top w:val="single" w:sz="4" w:space="0" w:color="auto"/>
              <w:left w:val="nil"/>
              <w:bottom w:val="nil"/>
              <w:right w:val="nil"/>
            </w:tcBorders>
          </w:tcPr>
          <w:p w14:paraId="6532E560" w14:textId="77777777" w:rsidR="008E5953" w:rsidRPr="00A227A2" w:rsidRDefault="008E5953">
            <w:pPr>
              <w:spacing w:line="360" w:lineRule="auto"/>
              <w:rPr>
                <w:rFonts w:ascii="Times New Roman" w:hAnsi="Times New Roman" w:cs="Times New Roman"/>
                <w:sz w:val="20"/>
                <w:szCs w:val="20"/>
              </w:rPr>
            </w:pPr>
          </w:p>
        </w:tc>
      </w:tr>
      <w:tr w:rsidR="006C3B0A" w:rsidRPr="006C3B0A" w14:paraId="77BF33C3" w14:textId="77777777" w:rsidTr="00EC5B9A">
        <w:trPr>
          <w:gridAfter w:val="1"/>
          <w:wAfter w:w="478" w:type="dxa"/>
          <w:trHeight w:val="57"/>
        </w:trPr>
        <w:tc>
          <w:tcPr>
            <w:tcW w:w="3118" w:type="dxa"/>
            <w:hideMark/>
          </w:tcPr>
          <w:p w14:paraId="64829A0D" w14:textId="77777777" w:rsidR="008E5953" w:rsidRPr="00A227A2" w:rsidRDefault="008E5953">
            <w:pPr>
              <w:spacing w:line="360" w:lineRule="auto"/>
              <w:ind w:left="142"/>
              <w:rPr>
                <w:rFonts w:ascii="Times New Roman" w:hAnsi="Times New Roman" w:cs="Times New Roman"/>
                <w:sz w:val="20"/>
                <w:szCs w:val="20"/>
              </w:rPr>
            </w:pPr>
            <w:r w:rsidRPr="00A227A2">
              <w:rPr>
                <w:rFonts w:ascii="Times New Roman" w:hAnsi="Times New Roman" w:cs="Times New Roman"/>
                <w:sz w:val="20"/>
                <w:szCs w:val="20"/>
              </w:rPr>
              <w:t>All TB</w:t>
            </w:r>
          </w:p>
        </w:tc>
        <w:tc>
          <w:tcPr>
            <w:tcW w:w="972" w:type="dxa"/>
            <w:hideMark/>
          </w:tcPr>
          <w:p w14:paraId="015CDE09" w14:textId="77777777" w:rsidR="008E5953" w:rsidRPr="00A227A2" w:rsidRDefault="008E5953" w:rsidP="001B1048">
            <w:pPr>
              <w:spacing w:line="360" w:lineRule="auto"/>
              <w:jc w:val="both"/>
              <w:rPr>
                <w:rFonts w:ascii="Times New Roman" w:hAnsi="Times New Roman" w:cs="Times New Roman"/>
                <w:sz w:val="20"/>
                <w:szCs w:val="20"/>
              </w:rPr>
            </w:pPr>
            <w:r w:rsidRPr="00A227A2">
              <w:rPr>
                <w:rFonts w:ascii="Times New Roman" w:hAnsi="Times New Roman" w:cs="Times New Roman"/>
                <w:sz w:val="20"/>
                <w:szCs w:val="20"/>
              </w:rPr>
              <w:t>253/311</w:t>
            </w:r>
          </w:p>
        </w:tc>
        <w:tc>
          <w:tcPr>
            <w:tcW w:w="1927" w:type="dxa"/>
            <w:hideMark/>
          </w:tcPr>
          <w:p w14:paraId="62BEB5AA" w14:textId="684F40E7" w:rsidR="008E5953" w:rsidRPr="00A227A2" w:rsidRDefault="008E5953" w:rsidP="001B1048">
            <w:pPr>
              <w:spacing w:line="360" w:lineRule="auto"/>
              <w:jc w:val="both"/>
              <w:rPr>
                <w:rFonts w:ascii="Times New Roman" w:hAnsi="Times New Roman" w:cs="Times New Roman"/>
                <w:sz w:val="20"/>
                <w:szCs w:val="20"/>
              </w:rPr>
            </w:pPr>
            <w:r w:rsidRPr="00A227A2">
              <w:rPr>
                <w:rFonts w:ascii="Times New Roman" w:hAnsi="Times New Roman" w:cs="Times New Roman"/>
                <w:sz w:val="20"/>
                <w:szCs w:val="20"/>
              </w:rPr>
              <w:t>81.4 (76.6</w:t>
            </w:r>
            <w:r w:rsidR="00064B97" w:rsidRPr="00A227A2">
              <w:rPr>
                <w:rFonts w:ascii="Times New Roman" w:hAnsi="Times New Roman" w:cs="Times New Roman"/>
                <w:sz w:val="20"/>
                <w:szCs w:val="20"/>
              </w:rPr>
              <w:t>–</w:t>
            </w:r>
            <w:r w:rsidRPr="00A227A2">
              <w:rPr>
                <w:rFonts w:ascii="Times New Roman" w:hAnsi="Times New Roman" w:cs="Times New Roman"/>
                <w:sz w:val="20"/>
                <w:szCs w:val="20"/>
              </w:rPr>
              <w:t>85.3)</w:t>
            </w:r>
          </w:p>
        </w:tc>
        <w:tc>
          <w:tcPr>
            <w:tcW w:w="972" w:type="dxa"/>
            <w:hideMark/>
          </w:tcPr>
          <w:p w14:paraId="494C3604" w14:textId="77777777" w:rsidR="008E5953" w:rsidRPr="00A227A2" w:rsidRDefault="008E5953">
            <w:pPr>
              <w:spacing w:line="360" w:lineRule="auto"/>
              <w:rPr>
                <w:rFonts w:ascii="Times New Roman" w:hAnsi="Times New Roman" w:cs="Times New Roman"/>
                <w:sz w:val="20"/>
                <w:szCs w:val="20"/>
              </w:rPr>
            </w:pPr>
            <w:r w:rsidRPr="00A227A2">
              <w:rPr>
                <w:rFonts w:ascii="Times New Roman" w:hAnsi="Times New Roman" w:cs="Times New Roman"/>
                <w:sz w:val="20"/>
                <w:szCs w:val="20"/>
              </w:rPr>
              <w:t>220/327</w:t>
            </w:r>
          </w:p>
        </w:tc>
        <w:tc>
          <w:tcPr>
            <w:tcW w:w="1926" w:type="dxa"/>
            <w:hideMark/>
          </w:tcPr>
          <w:p w14:paraId="0BC1150B" w14:textId="77777777" w:rsidR="008E5953" w:rsidRPr="00A227A2" w:rsidRDefault="008E5953">
            <w:pPr>
              <w:spacing w:line="360" w:lineRule="auto"/>
              <w:rPr>
                <w:rFonts w:ascii="Times New Roman" w:hAnsi="Times New Roman" w:cs="Times New Roman"/>
                <w:sz w:val="20"/>
                <w:szCs w:val="20"/>
              </w:rPr>
            </w:pPr>
            <w:r w:rsidRPr="00A227A2">
              <w:rPr>
                <w:rFonts w:ascii="Times New Roman" w:hAnsi="Times New Roman" w:cs="Times New Roman"/>
                <w:sz w:val="20"/>
                <w:szCs w:val="20"/>
              </w:rPr>
              <w:t>67.3 (62.0–72.1)</w:t>
            </w:r>
          </w:p>
        </w:tc>
        <w:tc>
          <w:tcPr>
            <w:tcW w:w="972" w:type="dxa"/>
            <w:hideMark/>
          </w:tcPr>
          <w:p w14:paraId="0950F575" w14:textId="77777777" w:rsidR="008E5953" w:rsidRPr="00A227A2" w:rsidRDefault="008E5953">
            <w:pPr>
              <w:spacing w:line="360" w:lineRule="auto"/>
              <w:rPr>
                <w:rFonts w:ascii="Times New Roman" w:hAnsi="Times New Roman" w:cs="Times New Roman"/>
                <w:sz w:val="20"/>
                <w:szCs w:val="20"/>
                <w:lang w:eastAsia="en-GB"/>
              </w:rPr>
            </w:pPr>
            <w:r w:rsidRPr="00A227A2">
              <w:rPr>
                <w:rFonts w:ascii="Times New Roman" w:hAnsi="Times New Roman" w:cs="Times New Roman"/>
                <w:sz w:val="20"/>
                <w:szCs w:val="20"/>
                <w:lang w:eastAsia="en-GB"/>
              </w:rPr>
              <w:t>273/306</w:t>
            </w:r>
          </w:p>
        </w:tc>
        <w:tc>
          <w:tcPr>
            <w:tcW w:w="1927" w:type="dxa"/>
            <w:hideMark/>
          </w:tcPr>
          <w:p w14:paraId="01E52E4C" w14:textId="7C1CA8ED" w:rsidR="008E5953" w:rsidRPr="00A227A2" w:rsidRDefault="008E5953">
            <w:pPr>
              <w:spacing w:line="360" w:lineRule="auto"/>
              <w:rPr>
                <w:rFonts w:ascii="Times New Roman" w:hAnsi="Times New Roman" w:cs="Times New Roman"/>
                <w:sz w:val="20"/>
                <w:szCs w:val="20"/>
                <w:lang w:eastAsia="en-GB"/>
              </w:rPr>
            </w:pPr>
            <w:r w:rsidRPr="00A227A2">
              <w:rPr>
                <w:rFonts w:ascii="Times New Roman" w:hAnsi="Times New Roman" w:cs="Times New Roman"/>
                <w:sz w:val="20"/>
                <w:szCs w:val="20"/>
                <w:lang w:eastAsia="en-GB"/>
              </w:rPr>
              <w:t>89.2</w:t>
            </w:r>
            <w:r w:rsidR="006D586A">
              <w:rPr>
                <w:rFonts w:ascii="Times New Roman" w:hAnsi="Times New Roman" w:cs="Times New Roman"/>
                <w:sz w:val="20"/>
                <w:szCs w:val="20"/>
                <w:lang w:eastAsia="en-GB"/>
              </w:rPr>
              <w:t xml:space="preserve"> </w:t>
            </w:r>
            <w:r w:rsidRPr="00A227A2">
              <w:rPr>
                <w:rFonts w:ascii="Times New Roman" w:hAnsi="Times New Roman" w:cs="Times New Roman"/>
                <w:sz w:val="20"/>
                <w:szCs w:val="20"/>
                <w:lang w:eastAsia="en-GB"/>
              </w:rPr>
              <w:t>(85.2–92.2)</w:t>
            </w:r>
          </w:p>
        </w:tc>
        <w:tc>
          <w:tcPr>
            <w:tcW w:w="992" w:type="dxa"/>
            <w:gridSpan w:val="2"/>
            <w:hideMark/>
          </w:tcPr>
          <w:p w14:paraId="502DD434" w14:textId="77777777" w:rsidR="008E5953" w:rsidRPr="00A227A2" w:rsidRDefault="008E5953">
            <w:pPr>
              <w:spacing w:line="360" w:lineRule="auto"/>
              <w:rPr>
                <w:rFonts w:ascii="Times New Roman" w:hAnsi="Times New Roman" w:cs="Times New Roman"/>
                <w:sz w:val="20"/>
                <w:szCs w:val="20"/>
                <w:lang w:eastAsia="en-GB"/>
              </w:rPr>
            </w:pPr>
            <w:r w:rsidRPr="00A227A2">
              <w:rPr>
                <w:rFonts w:ascii="Times New Roman" w:hAnsi="Times New Roman" w:cs="Times New Roman"/>
                <w:sz w:val="20"/>
                <w:szCs w:val="20"/>
                <w:lang w:eastAsia="en-GB"/>
              </w:rPr>
              <w:t>263/299</w:t>
            </w:r>
          </w:p>
        </w:tc>
        <w:tc>
          <w:tcPr>
            <w:tcW w:w="1600" w:type="dxa"/>
            <w:hideMark/>
          </w:tcPr>
          <w:p w14:paraId="0932AA62" w14:textId="53D5DC64" w:rsidR="008E5953" w:rsidRPr="00A227A2" w:rsidRDefault="008E5953">
            <w:pPr>
              <w:spacing w:line="360" w:lineRule="auto"/>
              <w:rPr>
                <w:rFonts w:ascii="Times New Roman" w:hAnsi="Times New Roman" w:cs="Times New Roman"/>
                <w:sz w:val="20"/>
                <w:szCs w:val="20"/>
                <w:lang w:eastAsia="en-GB"/>
              </w:rPr>
            </w:pPr>
            <w:r w:rsidRPr="00A227A2">
              <w:rPr>
                <w:rFonts w:ascii="Times New Roman" w:hAnsi="Times New Roman" w:cs="Times New Roman"/>
                <w:sz w:val="20"/>
                <w:szCs w:val="20"/>
                <w:lang w:eastAsia="en-GB"/>
              </w:rPr>
              <w:t>88.0</w:t>
            </w:r>
            <w:r w:rsidR="006D586A">
              <w:rPr>
                <w:rFonts w:ascii="Times New Roman" w:hAnsi="Times New Roman" w:cs="Times New Roman"/>
                <w:sz w:val="20"/>
                <w:szCs w:val="20"/>
                <w:lang w:eastAsia="en-GB"/>
              </w:rPr>
              <w:t xml:space="preserve"> </w:t>
            </w:r>
            <w:r w:rsidRPr="00A227A2">
              <w:rPr>
                <w:rFonts w:ascii="Times New Roman" w:hAnsi="Times New Roman" w:cs="Times New Roman"/>
                <w:sz w:val="20"/>
                <w:szCs w:val="20"/>
                <w:lang w:eastAsia="en-GB"/>
              </w:rPr>
              <w:t>(83.8–91.2)</w:t>
            </w:r>
          </w:p>
        </w:tc>
      </w:tr>
      <w:tr w:rsidR="006C3B0A" w:rsidRPr="006C3B0A" w14:paraId="03900E53" w14:textId="77777777" w:rsidTr="00EC5B9A">
        <w:trPr>
          <w:trHeight w:val="242"/>
        </w:trPr>
        <w:tc>
          <w:tcPr>
            <w:tcW w:w="3118" w:type="dxa"/>
            <w:hideMark/>
          </w:tcPr>
          <w:p w14:paraId="7D31A896" w14:textId="6B2CEC44" w:rsidR="008E5953" w:rsidRPr="00A227A2" w:rsidRDefault="00BD038C">
            <w:pPr>
              <w:spacing w:line="360" w:lineRule="auto"/>
              <w:ind w:left="142"/>
              <w:rPr>
                <w:rFonts w:ascii="Times New Roman" w:hAnsi="Times New Roman" w:cs="Times New Roman"/>
                <w:sz w:val="20"/>
                <w:szCs w:val="20"/>
              </w:rPr>
            </w:pPr>
            <w:r w:rsidRPr="00A227A2">
              <w:rPr>
                <w:rFonts w:ascii="Times New Roman" w:hAnsi="Times New Roman" w:cs="Times New Roman"/>
                <w:sz w:val="20"/>
                <w:szCs w:val="20"/>
              </w:rPr>
              <w:t>Culture-confirmed</w:t>
            </w:r>
            <w:r w:rsidR="00902E36" w:rsidRPr="00A227A2">
              <w:rPr>
                <w:rFonts w:ascii="Times New Roman" w:hAnsi="Times New Roman" w:cs="Times New Roman"/>
                <w:sz w:val="20"/>
                <w:szCs w:val="20"/>
              </w:rPr>
              <w:t xml:space="preserve"> </w:t>
            </w:r>
            <w:r w:rsidR="008E5953" w:rsidRPr="00A227A2">
              <w:rPr>
                <w:rFonts w:ascii="Times New Roman" w:hAnsi="Times New Roman" w:cs="Times New Roman"/>
                <w:sz w:val="20"/>
                <w:szCs w:val="20"/>
              </w:rPr>
              <w:t>TB</w:t>
            </w:r>
          </w:p>
        </w:tc>
        <w:tc>
          <w:tcPr>
            <w:tcW w:w="972" w:type="dxa"/>
            <w:hideMark/>
          </w:tcPr>
          <w:p w14:paraId="751D8025" w14:textId="77777777" w:rsidR="008E5953" w:rsidRPr="00A227A2" w:rsidRDefault="008E5953" w:rsidP="001B1048">
            <w:pPr>
              <w:spacing w:line="360" w:lineRule="auto"/>
              <w:jc w:val="both"/>
              <w:rPr>
                <w:rFonts w:ascii="Times New Roman" w:hAnsi="Times New Roman" w:cs="Times New Roman"/>
                <w:sz w:val="20"/>
                <w:szCs w:val="20"/>
              </w:rPr>
            </w:pPr>
            <w:r w:rsidRPr="00A227A2">
              <w:rPr>
                <w:rFonts w:ascii="Times New Roman" w:hAnsi="Times New Roman" w:cs="Times New Roman"/>
                <w:sz w:val="20"/>
                <w:szCs w:val="20"/>
              </w:rPr>
              <w:t>185/218</w:t>
            </w:r>
          </w:p>
        </w:tc>
        <w:tc>
          <w:tcPr>
            <w:tcW w:w="1927" w:type="dxa"/>
            <w:hideMark/>
          </w:tcPr>
          <w:p w14:paraId="07C9FCD0" w14:textId="3037D764" w:rsidR="008E5953" w:rsidRPr="00A227A2" w:rsidRDefault="008E5953" w:rsidP="001B1048">
            <w:pPr>
              <w:spacing w:line="360" w:lineRule="auto"/>
              <w:jc w:val="both"/>
              <w:rPr>
                <w:rFonts w:ascii="Times New Roman" w:hAnsi="Times New Roman" w:cs="Times New Roman"/>
                <w:sz w:val="20"/>
                <w:szCs w:val="20"/>
              </w:rPr>
            </w:pPr>
            <w:r w:rsidRPr="00A227A2">
              <w:rPr>
                <w:rFonts w:ascii="Times New Roman" w:hAnsi="Times New Roman" w:cs="Times New Roman"/>
                <w:sz w:val="20"/>
                <w:szCs w:val="20"/>
              </w:rPr>
              <w:t>84.9 (79.5</w:t>
            </w:r>
            <w:r w:rsidR="00064B97" w:rsidRPr="00A227A2">
              <w:rPr>
                <w:rFonts w:ascii="Times New Roman" w:hAnsi="Times New Roman" w:cs="Times New Roman"/>
                <w:sz w:val="20"/>
                <w:szCs w:val="20"/>
              </w:rPr>
              <w:t>–</w:t>
            </w:r>
            <w:r w:rsidRPr="00A227A2">
              <w:rPr>
                <w:rFonts w:ascii="Times New Roman" w:hAnsi="Times New Roman" w:cs="Times New Roman"/>
                <w:sz w:val="20"/>
                <w:szCs w:val="20"/>
              </w:rPr>
              <w:t>89.0)</w:t>
            </w:r>
          </w:p>
        </w:tc>
        <w:tc>
          <w:tcPr>
            <w:tcW w:w="972" w:type="dxa"/>
            <w:hideMark/>
          </w:tcPr>
          <w:p w14:paraId="6AF4644B" w14:textId="77777777" w:rsidR="008E5953" w:rsidRPr="00A227A2" w:rsidRDefault="008E5953">
            <w:pPr>
              <w:spacing w:line="360" w:lineRule="auto"/>
              <w:rPr>
                <w:rFonts w:ascii="Times New Roman" w:hAnsi="Times New Roman" w:cs="Times New Roman"/>
                <w:sz w:val="20"/>
                <w:szCs w:val="20"/>
              </w:rPr>
            </w:pPr>
            <w:r w:rsidRPr="00A227A2">
              <w:rPr>
                <w:rFonts w:ascii="Times New Roman" w:hAnsi="Times New Roman" w:cs="Times New Roman"/>
                <w:sz w:val="20"/>
                <w:szCs w:val="20"/>
              </w:rPr>
              <w:t>163/231</w:t>
            </w:r>
          </w:p>
        </w:tc>
        <w:tc>
          <w:tcPr>
            <w:tcW w:w="1926" w:type="dxa"/>
            <w:hideMark/>
          </w:tcPr>
          <w:p w14:paraId="3CB87BF2" w14:textId="77777777" w:rsidR="008E5953" w:rsidRPr="00A227A2" w:rsidRDefault="008E5953">
            <w:pPr>
              <w:spacing w:line="360" w:lineRule="auto"/>
              <w:rPr>
                <w:rFonts w:ascii="Times New Roman" w:hAnsi="Times New Roman" w:cs="Times New Roman"/>
                <w:sz w:val="20"/>
                <w:szCs w:val="20"/>
              </w:rPr>
            </w:pPr>
            <w:r w:rsidRPr="00A227A2">
              <w:rPr>
                <w:rFonts w:ascii="Times New Roman" w:hAnsi="Times New Roman" w:cs="Times New Roman"/>
                <w:sz w:val="20"/>
                <w:szCs w:val="20"/>
              </w:rPr>
              <w:t>70.6 (64.4–76.1)</w:t>
            </w:r>
          </w:p>
        </w:tc>
        <w:tc>
          <w:tcPr>
            <w:tcW w:w="972" w:type="dxa"/>
            <w:hideMark/>
          </w:tcPr>
          <w:p w14:paraId="0C77BF92" w14:textId="77777777" w:rsidR="008E5953" w:rsidRPr="00A227A2" w:rsidRDefault="008E5953">
            <w:pPr>
              <w:spacing w:line="360" w:lineRule="auto"/>
              <w:rPr>
                <w:rFonts w:ascii="Times New Roman" w:hAnsi="Times New Roman" w:cs="Times New Roman"/>
                <w:sz w:val="20"/>
                <w:szCs w:val="20"/>
                <w:lang w:eastAsia="en-GB"/>
              </w:rPr>
            </w:pPr>
            <w:r w:rsidRPr="00A227A2">
              <w:rPr>
                <w:rFonts w:ascii="Times New Roman" w:hAnsi="Times New Roman" w:cs="Times New Roman"/>
                <w:sz w:val="20"/>
                <w:szCs w:val="20"/>
                <w:lang w:eastAsia="en-GB"/>
              </w:rPr>
              <w:t>203/216</w:t>
            </w:r>
          </w:p>
        </w:tc>
        <w:tc>
          <w:tcPr>
            <w:tcW w:w="1927" w:type="dxa"/>
            <w:hideMark/>
          </w:tcPr>
          <w:p w14:paraId="68FCF08B" w14:textId="77777777" w:rsidR="008E5953" w:rsidRPr="00A227A2" w:rsidRDefault="008E5953">
            <w:pPr>
              <w:spacing w:line="360" w:lineRule="auto"/>
              <w:rPr>
                <w:rFonts w:ascii="Times New Roman" w:hAnsi="Times New Roman" w:cs="Times New Roman"/>
                <w:sz w:val="20"/>
                <w:szCs w:val="20"/>
                <w:lang w:eastAsia="en-GB"/>
              </w:rPr>
            </w:pPr>
            <w:r w:rsidRPr="00A227A2">
              <w:rPr>
                <w:rFonts w:ascii="Times New Roman" w:hAnsi="Times New Roman" w:cs="Times New Roman"/>
                <w:sz w:val="20"/>
                <w:szCs w:val="20"/>
                <w:lang w:eastAsia="en-GB"/>
              </w:rPr>
              <w:t>94.0 (90.0–96.4)</w:t>
            </w:r>
          </w:p>
        </w:tc>
        <w:tc>
          <w:tcPr>
            <w:tcW w:w="972" w:type="dxa"/>
            <w:hideMark/>
          </w:tcPr>
          <w:p w14:paraId="4AA500A7" w14:textId="77777777" w:rsidR="008E5953" w:rsidRPr="00A227A2" w:rsidRDefault="008E5953">
            <w:pPr>
              <w:spacing w:line="360" w:lineRule="auto"/>
              <w:rPr>
                <w:rFonts w:ascii="Times New Roman" w:hAnsi="Times New Roman" w:cs="Times New Roman"/>
                <w:sz w:val="20"/>
                <w:szCs w:val="20"/>
                <w:lang w:eastAsia="en-GB"/>
              </w:rPr>
            </w:pPr>
            <w:r w:rsidRPr="00A227A2">
              <w:rPr>
                <w:rFonts w:ascii="Times New Roman" w:hAnsi="Times New Roman" w:cs="Times New Roman"/>
                <w:sz w:val="20"/>
                <w:szCs w:val="20"/>
                <w:lang w:eastAsia="en-GB"/>
              </w:rPr>
              <w:t>197/211</w:t>
            </w:r>
          </w:p>
        </w:tc>
        <w:tc>
          <w:tcPr>
            <w:tcW w:w="2098" w:type="dxa"/>
            <w:gridSpan w:val="3"/>
            <w:hideMark/>
          </w:tcPr>
          <w:p w14:paraId="3716DFAF" w14:textId="77777777" w:rsidR="008E5953" w:rsidRPr="00A227A2" w:rsidRDefault="008E5953">
            <w:pPr>
              <w:spacing w:line="360" w:lineRule="auto"/>
              <w:rPr>
                <w:rFonts w:ascii="Times New Roman" w:hAnsi="Times New Roman" w:cs="Times New Roman"/>
                <w:sz w:val="20"/>
                <w:szCs w:val="20"/>
                <w:lang w:eastAsia="en-GB"/>
              </w:rPr>
            </w:pPr>
            <w:r w:rsidRPr="00A227A2">
              <w:rPr>
                <w:rFonts w:ascii="Times New Roman" w:hAnsi="Times New Roman" w:cs="Times New Roman"/>
                <w:sz w:val="20"/>
                <w:szCs w:val="20"/>
                <w:lang w:eastAsia="en-GB"/>
              </w:rPr>
              <w:t>93.4 (89.2–96.0)</w:t>
            </w:r>
          </w:p>
        </w:tc>
      </w:tr>
      <w:tr w:rsidR="006C3B0A" w:rsidRPr="006C3B0A" w14:paraId="23498DA7" w14:textId="77777777" w:rsidTr="00EC5B9A">
        <w:tc>
          <w:tcPr>
            <w:tcW w:w="3118" w:type="dxa"/>
            <w:hideMark/>
          </w:tcPr>
          <w:p w14:paraId="48824026" w14:textId="49361D4F" w:rsidR="008E5953" w:rsidRPr="00A227A2" w:rsidRDefault="009415EE">
            <w:pPr>
              <w:spacing w:line="360" w:lineRule="auto"/>
              <w:ind w:left="142"/>
              <w:rPr>
                <w:rFonts w:ascii="Times New Roman" w:hAnsi="Times New Roman" w:cs="Times New Roman"/>
                <w:sz w:val="20"/>
                <w:szCs w:val="20"/>
              </w:rPr>
            </w:pPr>
            <w:r>
              <w:rPr>
                <w:rFonts w:ascii="Times New Roman" w:hAnsi="Times New Roman" w:cs="Times New Roman"/>
                <w:sz w:val="20"/>
                <w:szCs w:val="20"/>
              </w:rPr>
              <w:t>Highly</w:t>
            </w:r>
            <w:r w:rsidR="007B53A8">
              <w:rPr>
                <w:rFonts w:ascii="Times New Roman" w:hAnsi="Times New Roman" w:cs="Times New Roman"/>
                <w:sz w:val="20"/>
                <w:szCs w:val="20"/>
              </w:rPr>
              <w:t>-</w:t>
            </w:r>
            <w:r>
              <w:rPr>
                <w:rFonts w:ascii="Times New Roman" w:hAnsi="Times New Roman" w:cs="Times New Roman"/>
                <w:sz w:val="20"/>
                <w:szCs w:val="20"/>
              </w:rPr>
              <w:t>probable</w:t>
            </w:r>
            <w:r w:rsidR="008E5953" w:rsidRPr="00A227A2">
              <w:rPr>
                <w:rFonts w:ascii="Times New Roman" w:hAnsi="Times New Roman" w:cs="Times New Roman"/>
                <w:sz w:val="20"/>
                <w:szCs w:val="20"/>
              </w:rPr>
              <w:t xml:space="preserve"> </w:t>
            </w:r>
            <w:proofErr w:type="spellStart"/>
            <w:r w:rsidR="008E5953" w:rsidRPr="00A227A2">
              <w:rPr>
                <w:rFonts w:ascii="Times New Roman" w:hAnsi="Times New Roman" w:cs="Times New Roman"/>
                <w:sz w:val="20"/>
                <w:szCs w:val="20"/>
              </w:rPr>
              <w:t>TB</w:t>
            </w:r>
            <w:r w:rsidR="008B4A97" w:rsidRPr="008B4A97">
              <w:rPr>
                <w:rFonts w:ascii="Times New Roman" w:hAnsi="Times New Roman" w:cs="Times New Roman"/>
                <w:sz w:val="20"/>
                <w:szCs w:val="20"/>
                <w:vertAlign w:val="superscript"/>
              </w:rPr>
              <w:t>b</w:t>
            </w:r>
            <w:proofErr w:type="spellEnd"/>
          </w:p>
        </w:tc>
        <w:tc>
          <w:tcPr>
            <w:tcW w:w="972" w:type="dxa"/>
            <w:hideMark/>
          </w:tcPr>
          <w:p w14:paraId="47E3BBE9" w14:textId="57D139FE" w:rsidR="008E5953" w:rsidRPr="00A227A2" w:rsidRDefault="009415EE" w:rsidP="001B1048">
            <w:pPr>
              <w:spacing w:line="360" w:lineRule="auto"/>
              <w:jc w:val="both"/>
              <w:rPr>
                <w:rFonts w:ascii="Times New Roman" w:hAnsi="Times New Roman" w:cs="Times New Roman"/>
                <w:sz w:val="20"/>
                <w:szCs w:val="20"/>
              </w:rPr>
            </w:pPr>
            <w:r>
              <w:rPr>
                <w:rFonts w:ascii="Times New Roman" w:hAnsi="Times New Roman" w:cs="Times New Roman"/>
                <w:sz w:val="20"/>
                <w:szCs w:val="20"/>
              </w:rPr>
              <w:t>68/93</w:t>
            </w:r>
          </w:p>
        </w:tc>
        <w:tc>
          <w:tcPr>
            <w:tcW w:w="1927" w:type="dxa"/>
            <w:hideMark/>
          </w:tcPr>
          <w:p w14:paraId="06ACA5C7" w14:textId="36022B01" w:rsidR="008E5953" w:rsidRPr="00A227A2" w:rsidRDefault="009415EE" w:rsidP="001B1048">
            <w:pPr>
              <w:spacing w:line="360" w:lineRule="auto"/>
              <w:jc w:val="both"/>
              <w:rPr>
                <w:rFonts w:ascii="Times New Roman" w:hAnsi="Times New Roman" w:cs="Times New Roman"/>
                <w:sz w:val="20"/>
                <w:szCs w:val="20"/>
              </w:rPr>
            </w:pPr>
            <w:r>
              <w:rPr>
                <w:rFonts w:ascii="Times New Roman" w:hAnsi="Times New Roman" w:cs="Times New Roman"/>
                <w:sz w:val="20"/>
                <w:szCs w:val="20"/>
              </w:rPr>
              <w:t>73.1</w:t>
            </w:r>
            <w:r w:rsidR="008E5953" w:rsidRPr="00A227A2">
              <w:rPr>
                <w:rFonts w:ascii="Times New Roman" w:hAnsi="Times New Roman" w:cs="Times New Roman"/>
                <w:sz w:val="20"/>
                <w:szCs w:val="20"/>
              </w:rPr>
              <w:t xml:space="preserve"> (</w:t>
            </w:r>
            <w:r>
              <w:rPr>
                <w:rFonts w:ascii="Times New Roman" w:hAnsi="Times New Roman" w:cs="Times New Roman"/>
                <w:sz w:val="20"/>
                <w:szCs w:val="20"/>
              </w:rPr>
              <w:t>63.3</w:t>
            </w:r>
            <w:r w:rsidR="00064B97" w:rsidRPr="00A227A2">
              <w:rPr>
                <w:rFonts w:ascii="Times New Roman" w:hAnsi="Times New Roman" w:cs="Times New Roman"/>
                <w:sz w:val="20"/>
                <w:szCs w:val="20"/>
              </w:rPr>
              <w:t>–</w:t>
            </w:r>
            <w:r>
              <w:rPr>
                <w:rFonts w:ascii="Times New Roman" w:hAnsi="Times New Roman" w:cs="Times New Roman"/>
                <w:sz w:val="20"/>
                <w:szCs w:val="20"/>
              </w:rPr>
              <w:t>81.1</w:t>
            </w:r>
            <w:r w:rsidR="008E5953" w:rsidRPr="00A227A2">
              <w:rPr>
                <w:rFonts w:ascii="Times New Roman" w:hAnsi="Times New Roman" w:cs="Times New Roman"/>
                <w:sz w:val="20"/>
                <w:szCs w:val="20"/>
              </w:rPr>
              <w:t>)</w:t>
            </w:r>
          </w:p>
        </w:tc>
        <w:tc>
          <w:tcPr>
            <w:tcW w:w="972" w:type="dxa"/>
            <w:hideMark/>
          </w:tcPr>
          <w:p w14:paraId="28606563" w14:textId="0C388BA6" w:rsidR="008E5953" w:rsidRPr="00A227A2" w:rsidRDefault="009415EE">
            <w:pPr>
              <w:spacing w:line="360" w:lineRule="auto"/>
              <w:rPr>
                <w:rFonts w:ascii="Times New Roman" w:hAnsi="Times New Roman" w:cs="Times New Roman"/>
                <w:sz w:val="20"/>
                <w:szCs w:val="20"/>
              </w:rPr>
            </w:pPr>
            <w:r>
              <w:rPr>
                <w:rFonts w:ascii="Times New Roman" w:hAnsi="Times New Roman" w:cs="Times New Roman"/>
                <w:sz w:val="20"/>
                <w:szCs w:val="20"/>
              </w:rPr>
              <w:t>57/96</w:t>
            </w:r>
          </w:p>
        </w:tc>
        <w:tc>
          <w:tcPr>
            <w:tcW w:w="1926" w:type="dxa"/>
            <w:hideMark/>
          </w:tcPr>
          <w:p w14:paraId="151E533F" w14:textId="70522150" w:rsidR="008E5953" w:rsidRPr="00A227A2" w:rsidRDefault="009415EE">
            <w:pPr>
              <w:spacing w:line="360" w:lineRule="auto"/>
              <w:rPr>
                <w:rFonts w:ascii="Times New Roman" w:hAnsi="Times New Roman" w:cs="Times New Roman"/>
                <w:sz w:val="20"/>
                <w:szCs w:val="20"/>
              </w:rPr>
            </w:pPr>
            <w:r>
              <w:rPr>
                <w:rFonts w:ascii="Times New Roman" w:hAnsi="Times New Roman" w:cs="Times New Roman"/>
                <w:sz w:val="20"/>
                <w:szCs w:val="20"/>
              </w:rPr>
              <w:t>59.4 (49.4–68.7)</w:t>
            </w:r>
          </w:p>
        </w:tc>
        <w:tc>
          <w:tcPr>
            <w:tcW w:w="972" w:type="dxa"/>
          </w:tcPr>
          <w:p w14:paraId="476C47EA" w14:textId="19D4FB3E" w:rsidR="008E5953" w:rsidRPr="00A227A2" w:rsidRDefault="009415EE">
            <w:pPr>
              <w:spacing w:line="360" w:lineRule="auto"/>
              <w:rPr>
                <w:rFonts w:ascii="Times New Roman" w:hAnsi="Times New Roman" w:cs="Times New Roman"/>
                <w:sz w:val="20"/>
                <w:szCs w:val="20"/>
                <w:lang w:eastAsia="en-GB"/>
              </w:rPr>
            </w:pPr>
            <w:r>
              <w:rPr>
                <w:rFonts w:ascii="Times New Roman" w:hAnsi="Times New Roman" w:cs="Times New Roman"/>
                <w:sz w:val="20"/>
                <w:szCs w:val="20"/>
                <w:lang w:eastAsia="en-GB"/>
              </w:rPr>
              <w:t>70/90</w:t>
            </w:r>
          </w:p>
        </w:tc>
        <w:tc>
          <w:tcPr>
            <w:tcW w:w="1927" w:type="dxa"/>
          </w:tcPr>
          <w:p w14:paraId="200FC669" w14:textId="0120A0D9" w:rsidR="008E5953" w:rsidRPr="00A227A2" w:rsidRDefault="009415EE">
            <w:pPr>
              <w:spacing w:line="360" w:lineRule="auto"/>
              <w:rPr>
                <w:rFonts w:ascii="Times New Roman" w:hAnsi="Times New Roman" w:cs="Times New Roman"/>
                <w:sz w:val="20"/>
                <w:szCs w:val="20"/>
                <w:lang w:eastAsia="en-GB"/>
              </w:rPr>
            </w:pPr>
            <w:r>
              <w:rPr>
                <w:rFonts w:ascii="Times New Roman" w:hAnsi="Times New Roman" w:cs="Times New Roman"/>
                <w:sz w:val="20"/>
                <w:szCs w:val="20"/>
                <w:lang w:eastAsia="en-GB"/>
              </w:rPr>
              <w:t>77.8 (68.2–85.1)</w:t>
            </w:r>
          </w:p>
        </w:tc>
        <w:tc>
          <w:tcPr>
            <w:tcW w:w="972" w:type="dxa"/>
          </w:tcPr>
          <w:p w14:paraId="183B5AED" w14:textId="5BC75190" w:rsidR="008E5953" w:rsidRPr="00A227A2" w:rsidRDefault="009415EE">
            <w:pPr>
              <w:spacing w:line="360" w:lineRule="auto"/>
              <w:rPr>
                <w:rFonts w:ascii="Times New Roman" w:hAnsi="Times New Roman" w:cs="Times New Roman"/>
                <w:sz w:val="20"/>
                <w:szCs w:val="20"/>
                <w:lang w:eastAsia="en-GB"/>
              </w:rPr>
            </w:pPr>
            <w:r>
              <w:rPr>
                <w:rFonts w:ascii="Times New Roman" w:hAnsi="Times New Roman" w:cs="Times New Roman"/>
                <w:sz w:val="20"/>
                <w:szCs w:val="20"/>
                <w:lang w:eastAsia="en-GB"/>
              </w:rPr>
              <w:t>66/88</w:t>
            </w:r>
          </w:p>
        </w:tc>
        <w:tc>
          <w:tcPr>
            <w:tcW w:w="2098" w:type="dxa"/>
            <w:gridSpan w:val="3"/>
          </w:tcPr>
          <w:p w14:paraId="381BF317" w14:textId="0890EC04" w:rsidR="008E5953" w:rsidRPr="00A227A2" w:rsidRDefault="009415EE">
            <w:pPr>
              <w:spacing w:line="360" w:lineRule="auto"/>
              <w:rPr>
                <w:rFonts w:ascii="Times New Roman" w:hAnsi="Times New Roman" w:cs="Times New Roman"/>
                <w:sz w:val="20"/>
                <w:szCs w:val="20"/>
                <w:lang w:eastAsia="en-GB"/>
              </w:rPr>
            </w:pPr>
            <w:r>
              <w:rPr>
                <w:rFonts w:ascii="Times New Roman" w:hAnsi="Times New Roman" w:cs="Times New Roman"/>
                <w:sz w:val="20"/>
                <w:szCs w:val="20"/>
                <w:lang w:eastAsia="en-GB"/>
              </w:rPr>
              <w:t>75.0 (65.0</w:t>
            </w:r>
            <w:r w:rsidR="00064B97" w:rsidRPr="00A227A2">
              <w:rPr>
                <w:rFonts w:ascii="Times New Roman" w:hAnsi="Times New Roman" w:cs="Times New Roman"/>
                <w:sz w:val="20"/>
                <w:szCs w:val="20"/>
              </w:rPr>
              <w:t>–</w:t>
            </w:r>
            <w:r>
              <w:rPr>
                <w:rFonts w:ascii="Times New Roman" w:hAnsi="Times New Roman" w:cs="Times New Roman"/>
                <w:sz w:val="20"/>
                <w:szCs w:val="20"/>
                <w:lang w:eastAsia="en-GB"/>
              </w:rPr>
              <w:t>82.9)</w:t>
            </w:r>
          </w:p>
        </w:tc>
      </w:tr>
      <w:tr w:rsidR="006F51D2" w:rsidRPr="006C3B0A" w14:paraId="7B6165E3" w14:textId="77777777" w:rsidTr="00EC5B9A">
        <w:tc>
          <w:tcPr>
            <w:tcW w:w="3118" w:type="dxa"/>
            <w:hideMark/>
          </w:tcPr>
          <w:p w14:paraId="57CC0068" w14:textId="218A49B8" w:rsidR="006F51D2" w:rsidRPr="00F4469A" w:rsidRDefault="006F51D2" w:rsidP="006F51D2">
            <w:pPr>
              <w:spacing w:line="360" w:lineRule="auto"/>
              <w:ind w:left="142"/>
              <w:rPr>
                <w:rFonts w:ascii="Times New Roman" w:hAnsi="Times New Roman" w:cs="Times New Roman"/>
                <w:sz w:val="20"/>
                <w:szCs w:val="20"/>
              </w:rPr>
            </w:pPr>
            <w:r w:rsidRPr="00F4469A">
              <w:rPr>
                <w:rFonts w:ascii="Times New Roman" w:hAnsi="Times New Roman" w:cs="Times New Roman"/>
                <w:sz w:val="20"/>
                <w:szCs w:val="20"/>
              </w:rPr>
              <w:t xml:space="preserve">Smear-positive </w:t>
            </w:r>
            <w:proofErr w:type="spellStart"/>
            <w:r w:rsidRPr="00F4469A">
              <w:rPr>
                <w:rFonts w:ascii="Times New Roman" w:hAnsi="Times New Roman" w:cs="Times New Roman"/>
                <w:sz w:val="20"/>
                <w:szCs w:val="20"/>
              </w:rPr>
              <w:t>TB</w:t>
            </w:r>
            <w:r w:rsidRPr="00F4469A">
              <w:rPr>
                <w:rFonts w:ascii="Times New Roman" w:hAnsi="Times New Roman" w:cs="Times New Roman"/>
                <w:sz w:val="20"/>
                <w:szCs w:val="20"/>
                <w:vertAlign w:val="superscript"/>
              </w:rPr>
              <w:t>c</w:t>
            </w:r>
            <w:proofErr w:type="spellEnd"/>
          </w:p>
        </w:tc>
        <w:tc>
          <w:tcPr>
            <w:tcW w:w="972" w:type="dxa"/>
            <w:hideMark/>
          </w:tcPr>
          <w:p w14:paraId="48386D39" w14:textId="27AE1E44" w:rsidR="006F51D2" w:rsidRPr="00F4469A" w:rsidRDefault="006F51D2" w:rsidP="006F51D2">
            <w:pPr>
              <w:spacing w:line="360" w:lineRule="auto"/>
              <w:jc w:val="both"/>
              <w:rPr>
                <w:rFonts w:ascii="Times New Roman" w:hAnsi="Times New Roman" w:cs="Times New Roman"/>
                <w:sz w:val="20"/>
                <w:szCs w:val="20"/>
              </w:rPr>
            </w:pPr>
            <w:r w:rsidRPr="00F4469A">
              <w:rPr>
                <w:rFonts w:ascii="Times New Roman" w:hAnsi="Times New Roman" w:cs="Times New Roman"/>
                <w:sz w:val="20"/>
                <w:szCs w:val="20"/>
              </w:rPr>
              <w:t>45/55</w:t>
            </w:r>
          </w:p>
        </w:tc>
        <w:tc>
          <w:tcPr>
            <w:tcW w:w="1927" w:type="dxa"/>
            <w:hideMark/>
          </w:tcPr>
          <w:p w14:paraId="37C2FC93" w14:textId="5DCBD7F7" w:rsidR="006F51D2" w:rsidRPr="00F4469A" w:rsidRDefault="006F51D2" w:rsidP="006F51D2">
            <w:pPr>
              <w:spacing w:line="360" w:lineRule="auto"/>
              <w:jc w:val="both"/>
              <w:rPr>
                <w:rFonts w:ascii="Times New Roman" w:hAnsi="Times New Roman" w:cs="Times New Roman"/>
                <w:sz w:val="20"/>
                <w:szCs w:val="20"/>
              </w:rPr>
            </w:pPr>
            <w:r w:rsidRPr="00F4469A">
              <w:rPr>
                <w:rFonts w:ascii="Times New Roman" w:hAnsi="Times New Roman" w:cs="Times New Roman"/>
                <w:sz w:val="20"/>
                <w:szCs w:val="20"/>
              </w:rPr>
              <w:t>81.8 (69.7–89.8)</w:t>
            </w:r>
          </w:p>
        </w:tc>
        <w:tc>
          <w:tcPr>
            <w:tcW w:w="972" w:type="dxa"/>
            <w:hideMark/>
          </w:tcPr>
          <w:p w14:paraId="4E605736" w14:textId="70290096" w:rsidR="006F51D2" w:rsidRPr="00F4469A" w:rsidRDefault="006F51D2" w:rsidP="006F51D2">
            <w:pPr>
              <w:spacing w:line="360" w:lineRule="auto"/>
              <w:rPr>
                <w:rFonts w:ascii="Times New Roman" w:hAnsi="Times New Roman" w:cs="Times New Roman"/>
                <w:sz w:val="20"/>
                <w:szCs w:val="20"/>
              </w:rPr>
            </w:pPr>
            <w:r w:rsidRPr="00F4469A">
              <w:rPr>
                <w:rFonts w:ascii="Times New Roman" w:hAnsi="Times New Roman" w:cs="Times New Roman"/>
                <w:sz w:val="20"/>
                <w:szCs w:val="20"/>
              </w:rPr>
              <w:t>42/56</w:t>
            </w:r>
          </w:p>
        </w:tc>
        <w:tc>
          <w:tcPr>
            <w:tcW w:w="1926" w:type="dxa"/>
            <w:hideMark/>
          </w:tcPr>
          <w:p w14:paraId="60FE9B37" w14:textId="70085CDF" w:rsidR="006F51D2" w:rsidRPr="00F4469A" w:rsidRDefault="006F51D2" w:rsidP="006F51D2">
            <w:pPr>
              <w:spacing w:line="360" w:lineRule="auto"/>
              <w:rPr>
                <w:rFonts w:ascii="Times New Roman" w:hAnsi="Times New Roman" w:cs="Times New Roman"/>
                <w:sz w:val="20"/>
                <w:szCs w:val="20"/>
              </w:rPr>
            </w:pPr>
            <w:r w:rsidRPr="00F4469A">
              <w:rPr>
                <w:rFonts w:ascii="Times New Roman" w:hAnsi="Times New Roman" w:cs="Times New Roman"/>
                <w:sz w:val="20"/>
                <w:szCs w:val="20"/>
              </w:rPr>
              <w:t>75.0 (62.3–84.5)</w:t>
            </w:r>
          </w:p>
        </w:tc>
        <w:tc>
          <w:tcPr>
            <w:tcW w:w="972" w:type="dxa"/>
            <w:hideMark/>
          </w:tcPr>
          <w:p w14:paraId="22957CB3" w14:textId="0BDFC3E3" w:rsidR="006F51D2" w:rsidRPr="00F4469A" w:rsidRDefault="006F51D2" w:rsidP="006F51D2">
            <w:pPr>
              <w:spacing w:line="360" w:lineRule="auto"/>
              <w:rPr>
                <w:rFonts w:ascii="Times New Roman" w:hAnsi="Times New Roman" w:cs="Times New Roman"/>
                <w:sz w:val="20"/>
                <w:szCs w:val="20"/>
                <w:lang w:eastAsia="en-GB"/>
              </w:rPr>
            </w:pPr>
            <w:r w:rsidRPr="00F4469A">
              <w:rPr>
                <w:rFonts w:ascii="Times New Roman" w:hAnsi="Times New Roman" w:cs="Times New Roman"/>
                <w:sz w:val="20"/>
                <w:szCs w:val="20"/>
                <w:lang w:eastAsia="en-GB"/>
              </w:rPr>
              <w:t>48/51</w:t>
            </w:r>
          </w:p>
        </w:tc>
        <w:tc>
          <w:tcPr>
            <w:tcW w:w="1927" w:type="dxa"/>
            <w:hideMark/>
          </w:tcPr>
          <w:p w14:paraId="5BDDB232" w14:textId="226A8C18" w:rsidR="006F51D2" w:rsidRPr="00F4469A" w:rsidRDefault="006F51D2" w:rsidP="006F51D2">
            <w:pPr>
              <w:spacing w:line="360" w:lineRule="auto"/>
              <w:rPr>
                <w:rFonts w:ascii="Times New Roman" w:hAnsi="Times New Roman" w:cs="Times New Roman"/>
                <w:sz w:val="20"/>
                <w:szCs w:val="20"/>
                <w:lang w:eastAsia="en-GB"/>
              </w:rPr>
            </w:pPr>
            <w:r w:rsidRPr="00F4469A">
              <w:rPr>
                <w:rFonts w:ascii="Times New Roman" w:hAnsi="Times New Roman" w:cs="Times New Roman"/>
                <w:sz w:val="20"/>
                <w:szCs w:val="20"/>
                <w:lang w:eastAsia="en-GB"/>
              </w:rPr>
              <w:t>94.1 (84.1–98.0)</w:t>
            </w:r>
          </w:p>
        </w:tc>
        <w:tc>
          <w:tcPr>
            <w:tcW w:w="972" w:type="dxa"/>
            <w:hideMark/>
          </w:tcPr>
          <w:p w14:paraId="630A19D4" w14:textId="6C8D4A22" w:rsidR="006F51D2" w:rsidRPr="00F4469A" w:rsidRDefault="006F51D2" w:rsidP="006F51D2">
            <w:pPr>
              <w:spacing w:line="360" w:lineRule="auto"/>
              <w:rPr>
                <w:rFonts w:ascii="Times New Roman" w:hAnsi="Times New Roman" w:cs="Times New Roman"/>
                <w:sz w:val="20"/>
                <w:szCs w:val="20"/>
                <w:lang w:eastAsia="en-GB"/>
              </w:rPr>
            </w:pPr>
            <w:r w:rsidRPr="00F4469A">
              <w:rPr>
                <w:rFonts w:ascii="Times New Roman" w:hAnsi="Times New Roman" w:cs="Times New Roman"/>
                <w:sz w:val="20"/>
                <w:szCs w:val="20"/>
                <w:lang w:eastAsia="en-GB"/>
              </w:rPr>
              <w:t>47/50</w:t>
            </w:r>
          </w:p>
        </w:tc>
        <w:tc>
          <w:tcPr>
            <w:tcW w:w="2098" w:type="dxa"/>
            <w:gridSpan w:val="3"/>
            <w:hideMark/>
          </w:tcPr>
          <w:p w14:paraId="158DC8EA" w14:textId="0361FD41" w:rsidR="006F51D2" w:rsidRPr="00F4469A" w:rsidRDefault="006F51D2" w:rsidP="006F51D2">
            <w:pPr>
              <w:spacing w:line="360" w:lineRule="auto"/>
              <w:rPr>
                <w:rFonts w:ascii="Times New Roman" w:hAnsi="Times New Roman" w:cs="Times New Roman"/>
                <w:sz w:val="20"/>
                <w:szCs w:val="20"/>
                <w:lang w:eastAsia="en-GB"/>
              </w:rPr>
            </w:pPr>
            <w:r w:rsidRPr="00F4469A">
              <w:rPr>
                <w:rFonts w:ascii="Times New Roman" w:hAnsi="Times New Roman" w:cs="Times New Roman"/>
                <w:sz w:val="20"/>
                <w:szCs w:val="20"/>
                <w:lang w:eastAsia="en-GB"/>
              </w:rPr>
              <w:t>94.0 (83.8–97.9)</w:t>
            </w:r>
          </w:p>
        </w:tc>
      </w:tr>
      <w:tr w:rsidR="006F51D2" w:rsidRPr="006C3B0A" w14:paraId="4DF22810" w14:textId="77777777" w:rsidTr="00EC5B9A">
        <w:tc>
          <w:tcPr>
            <w:tcW w:w="3118" w:type="dxa"/>
            <w:hideMark/>
          </w:tcPr>
          <w:p w14:paraId="628EAE19" w14:textId="5A14FDC0" w:rsidR="006F51D2" w:rsidRPr="00F4469A" w:rsidRDefault="006F51D2" w:rsidP="006F51D2">
            <w:pPr>
              <w:spacing w:line="360" w:lineRule="auto"/>
              <w:rPr>
                <w:rFonts w:ascii="Times New Roman" w:hAnsi="Times New Roman" w:cs="Times New Roman"/>
                <w:sz w:val="20"/>
                <w:szCs w:val="20"/>
              </w:rPr>
            </w:pPr>
            <w:r w:rsidRPr="00F4469A">
              <w:rPr>
                <w:rFonts w:ascii="Times New Roman" w:hAnsi="Times New Roman" w:cs="Times New Roman"/>
                <w:sz w:val="20"/>
                <w:szCs w:val="20"/>
              </w:rPr>
              <w:t xml:space="preserve">   Smear-negative </w:t>
            </w:r>
            <w:proofErr w:type="spellStart"/>
            <w:r w:rsidRPr="00F4469A">
              <w:rPr>
                <w:rFonts w:ascii="Times New Roman" w:hAnsi="Times New Roman" w:cs="Times New Roman"/>
                <w:sz w:val="20"/>
                <w:szCs w:val="20"/>
              </w:rPr>
              <w:t>TB</w:t>
            </w:r>
            <w:r w:rsidRPr="00F4469A">
              <w:rPr>
                <w:rFonts w:ascii="Times New Roman" w:hAnsi="Times New Roman" w:cs="Times New Roman"/>
                <w:sz w:val="20"/>
                <w:szCs w:val="20"/>
                <w:vertAlign w:val="superscript"/>
              </w:rPr>
              <w:t>c,d</w:t>
            </w:r>
            <w:proofErr w:type="spellEnd"/>
          </w:p>
        </w:tc>
        <w:tc>
          <w:tcPr>
            <w:tcW w:w="972" w:type="dxa"/>
            <w:hideMark/>
          </w:tcPr>
          <w:p w14:paraId="16B9DFDC" w14:textId="77777777" w:rsidR="006F51D2" w:rsidRPr="00F4469A" w:rsidRDefault="006F51D2" w:rsidP="006F51D2">
            <w:pPr>
              <w:spacing w:line="360" w:lineRule="auto"/>
              <w:jc w:val="both"/>
              <w:rPr>
                <w:rFonts w:ascii="Times New Roman" w:hAnsi="Times New Roman" w:cs="Times New Roman"/>
                <w:sz w:val="20"/>
                <w:szCs w:val="20"/>
              </w:rPr>
            </w:pPr>
            <w:r w:rsidRPr="00F4469A">
              <w:rPr>
                <w:rFonts w:ascii="Times New Roman" w:hAnsi="Times New Roman" w:cs="Times New Roman"/>
                <w:sz w:val="20"/>
                <w:szCs w:val="20"/>
              </w:rPr>
              <w:t>169/206</w:t>
            </w:r>
          </w:p>
        </w:tc>
        <w:tc>
          <w:tcPr>
            <w:tcW w:w="1927" w:type="dxa"/>
            <w:hideMark/>
          </w:tcPr>
          <w:p w14:paraId="73CDA82D" w14:textId="531D2396" w:rsidR="006F51D2" w:rsidRPr="00F4469A" w:rsidRDefault="006F51D2" w:rsidP="006F51D2">
            <w:pPr>
              <w:spacing w:line="360" w:lineRule="auto"/>
              <w:jc w:val="both"/>
              <w:rPr>
                <w:rFonts w:ascii="Times New Roman" w:hAnsi="Times New Roman" w:cs="Times New Roman"/>
                <w:sz w:val="20"/>
                <w:szCs w:val="20"/>
              </w:rPr>
            </w:pPr>
            <w:r w:rsidRPr="00F4469A">
              <w:rPr>
                <w:rFonts w:ascii="Times New Roman" w:hAnsi="Times New Roman" w:cs="Times New Roman"/>
                <w:sz w:val="20"/>
                <w:szCs w:val="20"/>
              </w:rPr>
              <w:t>82.0 (76.2–86.7)</w:t>
            </w:r>
          </w:p>
        </w:tc>
        <w:tc>
          <w:tcPr>
            <w:tcW w:w="972" w:type="dxa"/>
            <w:hideMark/>
          </w:tcPr>
          <w:p w14:paraId="33B9BB76" w14:textId="613D66AD" w:rsidR="006F51D2" w:rsidRPr="00F4469A" w:rsidRDefault="006F51D2" w:rsidP="006F51D2">
            <w:pPr>
              <w:spacing w:line="360" w:lineRule="auto"/>
              <w:rPr>
                <w:rFonts w:ascii="Times New Roman" w:hAnsi="Times New Roman" w:cs="Times New Roman"/>
                <w:sz w:val="20"/>
                <w:szCs w:val="20"/>
              </w:rPr>
            </w:pPr>
            <w:r w:rsidRPr="00F4469A">
              <w:rPr>
                <w:rFonts w:ascii="Times New Roman" w:hAnsi="Times New Roman" w:cs="Times New Roman"/>
                <w:sz w:val="20"/>
                <w:szCs w:val="20"/>
              </w:rPr>
              <w:t>148/222</w:t>
            </w:r>
          </w:p>
        </w:tc>
        <w:tc>
          <w:tcPr>
            <w:tcW w:w="1926" w:type="dxa"/>
            <w:hideMark/>
          </w:tcPr>
          <w:p w14:paraId="7759741B" w14:textId="0B98E04E" w:rsidR="006F51D2" w:rsidRPr="00F4469A" w:rsidRDefault="006F51D2" w:rsidP="006F51D2">
            <w:pPr>
              <w:spacing w:line="360" w:lineRule="auto"/>
              <w:rPr>
                <w:rFonts w:ascii="Times New Roman" w:hAnsi="Times New Roman" w:cs="Times New Roman"/>
                <w:sz w:val="20"/>
                <w:szCs w:val="20"/>
              </w:rPr>
            </w:pPr>
            <w:r w:rsidRPr="00F4469A">
              <w:rPr>
                <w:rFonts w:ascii="Times New Roman" w:hAnsi="Times New Roman" w:cs="Times New Roman"/>
                <w:sz w:val="20"/>
                <w:szCs w:val="20"/>
              </w:rPr>
              <w:t>66.7 (60.2–72.5)</w:t>
            </w:r>
          </w:p>
        </w:tc>
        <w:tc>
          <w:tcPr>
            <w:tcW w:w="972" w:type="dxa"/>
            <w:hideMark/>
          </w:tcPr>
          <w:p w14:paraId="3DC832A2" w14:textId="77777777" w:rsidR="006F51D2" w:rsidRPr="00F4469A" w:rsidRDefault="006F51D2" w:rsidP="006F51D2">
            <w:pPr>
              <w:spacing w:line="360" w:lineRule="auto"/>
              <w:rPr>
                <w:rFonts w:ascii="Times New Roman" w:hAnsi="Times New Roman" w:cs="Times New Roman"/>
                <w:sz w:val="20"/>
                <w:szCs w:val="20"/>
                <w:lang w:eastAsia="en-GB"/>
              </w:rPr>
            </w:pPr>
            <w:r w:rsidRPr="00F4469A">
              <w:rPr>
                <w:rFonts w:ascii="Times New Roman" w:hAnsi="Times New Roman" w:cs="Times New Roman"/>
                <w:sz w:val="20"/>
                <w:szCs w:val="20"/>
                <w:lang w:eastAsia="en-GB"/>
              </w:rPr>
              <w:t>183/207</w:t>
            </w:r>
          </w:p>
        </w:tc>
        <w:tc>
          <w:tcPr>
            <w:tcW w:w="1927" w:type="dxa"/>
            <w:hideMark/>
          </w:tcPr>
          <w:p w14:paraId="444B503C" w14:textId="77777777" w:rsidR="006F51D2" w:rsidRPr="00F4469A" w:rsidRDefault="006F51D2" w:rsidP="006F51D2">
            <w:pPr>
              <w:spacing w:line="360" w:lineRule="auto"/>
              <w:rPr>
                <w:rFonts w:ascii="Times New Roman" w:hAnsi="Times New Roman" w:cs="Times New Roman"/>
                <w:sz w:val="20"/>
                <w:szCs w:val="20"/>
                <w:lang w:eastAsia="en-GB"/>
              </w:rPr>
            </w:pPr>
            <w:r w:rsidRPr="00F4469A">
              <w:rPr>
                <w:rFonts w:ascii="Times New Roman" w:hAnsi="Times New Roman" w:cs="Times New Roman"/>
                <w:sz w:val="20"/>
                <w:szCs w:val="20"/>
                <w:lang w:eastAsia="en-GB"/>
              </w:rPr>
              <w:t>88.4 (83.3–92.1)</w:t>
            </w:r>
          </w:p>
        </w:tc>
        <w:tc>
          <w:tcPr>
            <w:tcW w:w="972" w:type="dxa"/>
            <w:hideMark/>
          </w:tcPr>
          <w:p w14:paraId="1851F068" w14:textId="77777777" w:rsidR="006F51D2" w:rsidRPr="00F4469A" w:rsidRDefault="006F51D2" w:rsidP="006F51D2">
            <w:pPr>
              <w:spacing w:line="360" w:lineRule="auto"/>
              <w:rPr>
                <w:rFonts w:ascii="Times New Roman" w:hAnsi="Times New Roman" w:cs="Times New Roman"/>
                <w:sz w:val="20"/>
                <w:szCs w:val="20"/>
                <w:lang w:eastAsia="en-GB"/>
              </w:rPr>
            </w:pPr>
            <w:r w:rsidRPr="00F4469A">
              <w:rPr>
                <w:rFonts w:ascii="Times New Roman" w:hAnsi="Times New Roman" w:cs="Times New Roman"/>
                <w:sz w:val="20"/>
                <w:szCs w:val="20"/>
                <w:lang w:eastAsia="en-GB"/>
              </w:rPr>
              <w:t>176/202</w:t>
            </w:r>
          </w:p>
        </w:tc>
        <w:tc>
          <w:tcPr>
            <w:tcW w:w="2098" w:type="dxa"/>
            <w:gridSpan w:val="3"/>
            <w:hideMark/>
          </w:tcPr>
          <w:p w14:paraId="1A807AC2" w14:textId="77777777" w:rsidR="006F51D2" w:rsidRPr="00F4469A" w:rsidRDefault="006F51D2" w:rsidP="006F51D2">
            <w:pPr>
              <w:spacing w:line="360" w:lineRule="auto"/>
              <w:rPr>
                <w:rFonts w:ascii="Times New Roman" w:hAnsi="Times New Roman" w:cs="Times New Roman"/>
                <w:sz w:val="20"/>
                <w:szCs w:val="20"/>
                <w:lang w:eastAsia="en-GB"/>
              </w:rPr>
            </w:pPr>
            <w:r w:rsidRPr="00F4469A">
              <w:rPr>
                <w:rFonts w:ascii="Times New Roman" w:hAnsi="Times New Roman" w:cs="Times New Roman"/>
                <w:sz w:val="20"/>
                <w:szCs w:val="20"/>
                <w:lang w:eastAsia="en-GB"/>
              </w:rPr>
              <w:t>87.1 (81.8–91.1)</w:t>
            </w:r>
          </w:p>
        </w:tc>
      </w:tr>
      <w:tr w:rsidR="006C3B0A" w:rsidRPr="006C3B0A" w14:paraId="32AB7A3C" w14:textId="77777777" w:rsidTr="00EC5B9A">
        <w:tc>
          <w:tcPr>
            <w:tcW w:w="3118" w:type="dxa"/>
            <w:hideMark/>
          </w:tcPr>
          <w:p w14:paraId="5DF7C182" w14:textId="77777777" w:rsidR="008E5953" w:rsidRPr="00A227A2" w:rsidRDefault="008E5953">
            <w:pPr>
              <w:spacing w:line="360" w:lineRule="auto"/>
              <w:ind w:left="142"/>
              <w:rPr>
                <w:rFonts w:ascii="Times New Roman" w:hAnsi="Times New Roman" w:cs="Times New Roman"/>
                <w:sz w:val="20"/>
                <w:szCs w:val="20"/>
              </w:rPr>
            </w:pPr>
            <w:r w:rsidRPr="00A227A2">
              <w:rPr>
                <w:rFonts w:ascii="Times New Roman" w:hAnsi="Times New Roman" w:cs="Times New Roman"/>
                <w:sz w:val="20"/>
                <w:szCs w:val="20"/>
              </w:rPr>
              <w:t>Pulmonary TB</w:t>
            </w:r>
          </w:p>
        </w:tc>
        <w:tc>
          <w:tcPr>
            <w:tcW w:w="972" w:type="dxa"/>
            <w:hideMark/>
          </w:tcPr>
          <w:p w14:paraId="04C76DF3" w14:textId="77777777" w:rsidR="008E5953" w:rsidRPr="00A227A2" w:rsidRDefault="008E5953" w:rsidP="001B1048">
            <w:pPr>
              <w:spacing w:line="360" w:lineRule="auto"/>
              <w:jc w:val="both"/>
              <w:rPr>
                <w:rFonts w:ascii="Times New Roman" w:hAnsi="Times New Roman" w:cs="Times New Roman"/>
                <w:sz w:val="20"/>
                <w:szCs w:val="20"/>
              </w:rPr>
            </w:pPr>
            <w:r w:rsidRPr="00A227A2">
              <w:rPr>
                <w:rFonts w:ascii="Times New Roman" w:hAnsi="Times New Roman" w:cs="Times New Roman"/>
                <w:sz w:val="20"/>
                <w:szCs w:val="20"/>
              </w:rPr>
              <w:t>79/105</w:t>
            </w:r>
          </w:p>
        </w:tc>
        <w:tc>
          <w:tcPr>
            <w:tcW w:w="1927" w:type="dxa"/>
            <w:hideMark/>
          </w:tcPr>
          <w:p w14:paraId="71D1AEF5" w14:textId="1FEB0198" w:rsidR="008E5953" w:rsidRPr="00A227A2" w:rsidRDefault="008E5953" w:rsidP="001B1048">
            <w:pPr>
              <w:spacing w:line="360" w:lineRule="auto"/>
              <w:jc w:val="both"/>
              <w:rPr>
                <w:rFonts w:ascii="Times New Roman" w:hAnsi="Times New Roman" w:cs="Times New Roman"/>
                <w:sz w:val="20"/>
                <w:szCs w:val="20"/>
              </w:rPr>
            </w:pPr>
            <w:r w:rsidRPr="00A227A2">
              <w:rPr>
                <w:rFonts w:ascii="Times New Roman" w:hAnsi="Times New Roman" w:cs="Times New Roman"/>
                <w:sz w:val="20"/>
                <w:szCs w:val="20"/>
              </w:rPr>
              <w:t>75.2 (66.2</w:t>
            </w:r>
            <w:r w:rsidR="00064B97" w:rsidRPr="00A227A2">
              <w:rPr>
                <w:rFonts w:ascii="Times New Roman" w:hAnsi="Times New Roman" w:cs="Times New Roman"/>
                <w:sz w:val="20"/>
                <w:szCs w:val="20"/>
              </w:rPr>
              <w:t>–</w:t>
            </w:r>
            <w:r w:rsidRPr="00A227A2">
              <w:rPr>
                <w:rFonts w:ascii="Times New Roman" w:hAnsi="Times New Roman" w:cs="Times New Roman"/>
                <w:sz w:val="20"/>
                <w:szCs w:val="20"/>
              </w:rPr>
              <w:t>82.5)</w:t>
            </w:r>
          </w:p>
        </w:tc>
        <w:tc>
          <w:tcPr>
            <w:tcW w:w="972" w:type="dxa"/>
            <w:hideMark/>
          </w:tcPr>
          <w:p w14:paraId="1431E93D" w14:textId="77777777" w:rsidR="008E5953" w:rsidRPr="00A227A2" w:rsidRDefault="008E5953">
            <w:pPr>
              <w:spacing w:line="360" w:lineRule="auto"/>
              <w:rPr>
                <w:rFonts w:ascii="Times New Roman" w:hAnsi="Times New Roman" w:cs="Times New Roman"/>
                <w:sz w:val="20"/>
                <w:szCs w:val="20"/>
              </w:rPr>
            </w:pPr>
            <w:r w:rsidRPr="00A227A2">
              <w:rPr>
                <w:rFonts w:ascii="Times New Roman" w:hAnsi="Times New Roman" w:cs="Times New Roman"/>
                <w:sz w:val="20"/>
                <w:szCs w:val="20"/>
              </w:rPr>
              <w:t>79/115</w:t>
            </w:r>
          </w:p>
        </w:tc>
        <w:tc>
          <w:tcPr>
            <w:tcW w:w="1926" w:type="dxa"/>
            <w:hideMark/>
          </w:tcPr>
          <w:p w14:paraId="59CD82C7" w14:textId="77777777" w:rsidR="008E5953" w:rsidRPr="00A227A2" w:rsidRDefault="008E5953">
            <w:pPr>
              <w:spacing w:line="360" w:lineRule="auto"/>
              <w:rPr>
                <w:rFonts w:ascii="Times New Roman" w:hAnsi="Times New Roman" w:cs="Times New Roman"/>
                <w:sz w:val="20"/>
                <w:szCs w:val="20"/>
              </w:rPr>
            </w:pPr>
            <w:r w:rsidRPr="00A227A2">
              <w:rPr>
                <w:rFonts w:ascii="Times New Roman" w:hAnsi="Times New Roman" w:cs="Times New Roman"/>
                <w:sz w:val="20"/>
                <w:szCs w:val="20"/>
              </w:rPr>
              <w:t>68.7 (59.7–76.5)</w:t>
            </w:r>
          </w:p>
        </w:tc>
        <w:tc>
          <w:tcPr>
            <w:tcW w:w="972" w:type="dxa"/>
            <w:hideMark/>
          </w:tcPr>
          <w:p w14:paraId="3C1F0048" w14:textId="77777777" w:rsidR="008E5953" w:rsidRPr="00A227A2" w:rsidRDefault="008E5953">
            <w:pPr>
              <w:spacing w:line="360" w:lineRule="auto"/>
              <w:rPr>
                <w:rFonts w:ascii="Times New Roman" w:hAnsi="Times New Roman" w:cs="Times New Roman"/>
                <w:sz w:val="20"/>
                <w:szCs w:val="20"/>
                <w:lang w:eastAsia="en-GB"/>
              </w:rPr>
            </w:pPr>
            <w:r w:rsidRPr="00A227A2">
              <w:rPr>
                <w:rFonts w:ascii="Times New Roman" w:hAnsi="Times New Roman" w:cs="Times New Roman"/>
                <w:sz w:val="20"/>
                <w:szCs w:val="20"/>
                <w:lang w:eastAsia="en-GB"/>
              </w:rPr>
              <w:t>88/100</w:t>
            </w:r>
          </w:p>
        </w:tc>
        <w:tc>
          <w:tcPr>
            <w:tcW w:w="1927" w:type="dxa"/>
            <w:hideMark/>
          </w:tcPr>
          <w:p w14:paraId="0C5AAAE4" w14:textId="77777777" w:rsidR="008E5953" w:rsidRPr="00A227A2" w:rsidRDefault="008E5953">
            <w:pPr>
              <w:spacing w:line="360" w:lineRule="auto"/>
              <w:rPr>
                <w:rFonts w:ascii="Times New Roman" w:hAnsi="Times New Roman" w:cs="Times New Roman"/>
                <w:sz w:val="20"/>
                <w:szCs w:val="20"/>
                <w:lang w:eastAsia="en-GB"/>
              </w:rPr>
            </w:pPr>
            <w:r w:rsidRPr="00A227A2">
              <w:rPr>
                <w:rFonts w:ascii="Times New Roman" w:hAnsi="Times New Roman" w:cs="Times New Roman"/>
                <w:sz w:val="20"/>
                <w:szCs w:val="20"/>
                <w:lang w:eastAsia="en-GB"/>
              </w:rPr>
              <w:t>88.0 (80.2–93.0)</w:t>
            </w:r>
          </w:p>
        </w:tc>
        <w:tc>
          <w:tcPr>
            <w:tcW w:w="972" w:type="dxa"/>
            <w:hideMark/>
          </w:tcPr>
          <w:p w14:paraId="0D5AB36A" w14:textId="77777777" w:rsidR="008E5953" w:rsidRPr="00A227A2" w:rsidRDefault="008E5953">
            <w:pPr>
              <w:spacing w:line="360" w:lineRule="auto"/>
              <w:rPr>
                <w:rFonts w:ascii="Times New Roman" w:hAnsi="Times New Roman" w:cs="Times New Roman"/>
                <w:sz w:val="20"/>
                <w:szCs w:val="20"/>
                <w:lang w:eastAsia="en-GB"/>
              </w:rPr>
            </w:pPr>
            <w:r w:rsidRPr="00A227A2">
              <w:rPr>
                <w:rFonts w:ascii="Times New Roman" w:hAnsi="Times New Roman" w:cs="Times New Roman"/>
                <w:sz w:val="20"/>
                <w:szCs w:val="20"/>
                <w:lang w:eastAsia="en-GB"/>
              </w:rPr>
              <w:t>85/97</w:t>
            </w:r>
          </w:p>
        </w:tc>
        <w:tc>
          <w:tcPr>
            <w:tcW w:w="2098" w:type="dxa"/>
            <w:gridSpan w:val="3"/>
            <w:hideMark/>
          </w:tcPr>
          <w:p w14:paraId="6BA1A107" w14:textId="77777777" w:rsidR="008E5953" w:rsidRPr="00A227A2" w:rsidRDefault="008E5953">
            <w:pPr>
              <w:spacing w:line="360" w:lineRule="auto"/>
              <w:rPr>
                <w:rFonts w:ascii="Times New Roman" w:hAnsi="Times New Roman" w:cs="Times New Roman"/>
                <w:sz w:val="20"/>
                <w:szCs w:val="20"/>
                <w:lang w:eastAsia="en-GB"/>
              </w:rPr>
            </w:pPr>
            <w:r w:rsidRPr="00A227A2">
              <w:rPr>
                <w:rFonts w:ascii="Times New Roman" w:hAnsi="Times New Roman" w:cs="Times New Roman"/>
                <w:sz w:val="20"/>
                <w:szCs w:val="20"/>
                <w:lang w:eastAsia="en-GB"/>
              </w:rPr>
              <w:t>87.6 (79.6–92.8)</w:t>
            </w:r>
          </w:p>
        </w:tc>
      </w:tr>
      <w:tr w:rsidR="006C3B0A" w:rsidRPr="006C3B0A" w14:paraId="18A21EE8" w14:textId="77777777" w:rsidTr="00EC5B9A">
        <w:tc>
          <w:tcPr>
            <w:tcW w:w="3118" w:type="dxa"/>
            <w:hideMark/>
          </w:tcPr>
          <w:p w14:paraId="777D30D3" w14:textId="1B769E0A" w:rsidR="008E5953" w:rsidRPr="00A227A2" w:rsidRDefault="008E5953">
            <w:pPr>
              <w:spacing w:line="360" w:lineRule="auto"/>
              <w:ind w:left="142"/>
              <w:rPr>
                <w:rFonts w:ascii="Times New Roman" w:hAnsi="Times New Roman" w:cs="Times New Roman"/>
                <w:sz w:val="20"/>
                <w:szCs w:val="20"/>
              </w:rPr>
            </w:pPr>
            <w:r w:rsidRPr="00A227A2">
              <w:rPr>
                <w:rFonts w:ascii="Times New Roman" w:hAnsi="Times New Roman" w:cs="Times New Roman"/>
                <w:sz w:val="20"/>
                <w:szCs w:val="20"/>
              </w:rPr>
              <w:t>Extra</w:t>
            </w:r>
            <w:r w:rsidR="00990729" w:rsidRPr="00A227A2">
              <w:rPr>
                <w:rFonts w:ascii="Times New Roman" w:hAnsi="Times New Roman" w:cs="Times New Roman"/>
                <w:sz w:val="20"/>
                <w:szCs w:val="20"/>
              </w:rPr>
              <w:t>-</w:t>
            </w:r>
            <w:r w:rsidRPr="00A227A2">
              <w:rPr>
                <w:rFonts w:ascii="Times New Roman" w:hAnsi="Times New Roman" w:cs="Times New Roman"/>
                <w:sz w:val="20"/>
                <w:szCs w:val="20"/>
              </w:rPr>
              <w:t>pulmonary TB</w:t>
            </w:r>
          </w:p>
        </w:tc>
        <w:tc>
          <w:tcPr>
            <w:tcW w:w="972" w:type="dxa"/>
            <w:hideMark/>
          </w:tcPr>
          <w:p w14:paraId="18C71779" w14:textId="77777777" w:rsidR="008E5953" w:rsidRPr="00A227A2" w:rsidRDefault="008E5953" w:rsidP="001B1048">
            <w:pPr>
              <w:spacing w:line="360" w:lineRule="auto"/>
              <w:jc w:val="both"/>
              <w:rPr>
                <w:rFonts w:ascii="Times New Roman" w:hAnsi="Times New Roman" w:cs="Times New Roman"/>
                <w:sz w:val="20"/>
                <w:szCs w:val="20"/>
              </w:rPr>
            </w:pPr>
            <w:r w:rsidRPr="00A227A2">
              <w:rPr>
                <w:rFonts w:ascii="Times New Roman" w:hAnsi="Times New Roman" w:cs="Times New Roman"/>
                <w:sz w:val="20"/>
                <w:szCs w:val="20"/>
              </w:rPr>
              <w:t>141/169</w:t>
            </w:r>
          </w:p>
        </w:tc>
        <w:tc>
          <w:tcPr>
            <w:tcW w:w="1927" w:type="dxa"/>
            <w:hideMark/>
          </w:tcPr>
          <w:p w14:paraId="28DC4A5C" w14:textId="15A8DE5E" w:rsidR="008E5953" w:rsidRPr="00A227A2" w:rsidRDefault="008E5953" w:rsidP="001B1048">
            <w:pPr>
              <w:spacing w:line="360" w:lineRule="auto"/>
              <w:jc w:val="both"/>
              <w:rPr>
                <w:rFonts w:ascii="Times New Roman" w:hAnsi="Times New Roman" w:cs="Times New Roman"/>
                <w:sz w:val="20"/>
                <w:szCs w:val="20"/>
              </w:rPr>
            </w:pPr>
            <w:r w:rsidRPr="00A227A2">
              <w:rPr>
                <w:rFonts w:ascii="Times New Roman" w:hAnsi="Times New Roman" w:cs="Times New Roman"/>
                <w:sz w:val="20"/>
                <w:szCs w:val="20"/>
              </w:rPr>
              <w:t>83.4 (77.1</w:t>
            </w:r>
            <w:r w:rsidR="00064B97" w:rsidRPr="00A227A2">
              <w:rPr>
                <w:rFonts w:ascii="Times New Roman" w:hAnsi="Times New Roman" w:cs="Times New Roman"/>
                <w:sz w:val="20"/>
                <w:szCs w:val="20"/>
              </w:rPr>
              <w:t>–</w:t>
            </w:r>
            <w:r w:rsidRPr="00A227A2">
              <w:rPr>
                <w:rFonts w:ascii="Times New Roman" w:hAnsi="Times New Roman" w:cs="Times New Roman"/>
                <w:sz w:val="20"/>
                <w:szCs w:val="20"/>
              </w:rPr>
              <w:t>88.3)</w:t>
            </w:r>
          </w:p>
        </w:tc>
        <w:tc>
          <w:tcPr>
            <w:tcW w:w="972" w:type="dxa"/>
            <w:hideMark/>
          </w:tcPr>
          <w:p w14:paraId="261D7740" w14:textId="77777777" w:rsidR="008E5953" w:rsidRPr="00A227A2" w:rsidRDefault="008E5953">
            <w:pPr>
              <w:spacing w:line="360" w:lineRule="auto"/>
              <w:rPr>
                <w:rFonts w:ascii="Times New Roman" w:hAnsi="Times New Roman" w:cs="Times New Roman"/>
                <w:sz w:val="20"/>
                <w:szCs w:val="20"/>
              </w:rPr>
            </w:pPr>
            <w:r w:rsidRPr="00A227A2">
              <w:rPr>
                <w:rFonts w:ascii="Times New Roman" w:hAnsi="Times New Roman" w:cs="Times New Roman"/>
                <w:sz w:val="20"/>
                <w:szCs w:val="20"/>
              </w:rPr>
              <w:t>113/171</w:t>
            </w:r>
          </w:p>
        </w:tc>
        <w:tc>
          <w:tcPr>
            <w:tcW w:w="1926" w:type="dxa"/>
            <w:hideMark/>
          </w:tcPr>
          <w:p w14:paraId="5374A532" w14:textId="77777777" w:rsidR="008E5953" w:rsidRPr="00A227A2" w:rsidRDefault="008E5953">
            <w:pPr>
              <w:spacing w:line="360" w:lineRule="auto"/>
              <w:rPr>
                <w:rFonts w:ascii="Times New Roman" w:hAnsi="Times New Roman" w:cs="Times New Roman"/>
                <w:sz w:val="20"/>
                <w:szCs w:val="20"/>
              </w:rPr>
            </w:pPr>
            <w:r w:rsidRPr="00A227A2">
              <w:rPr>
                <w:rFonts w:ascii="Times New Roman" w:hAnsi="Times New Roman" w:cs="Times New Roman"/>
                <w:sz w:val="20"/>
                <w:szCs w:val="20"/>
              </w:rPr>
              <w:t>66.1 (58.7–72.8)</w:t>
            </w:r>
          </w:p>
        </w:tc>
        <w:tc>
          <w:tcPr>
            <w:tcW w:w="972" w:type="dxa"/>
            <w:hideMark/>
          </w:tcPr>
          <w:p w14:paraId="3CF24BED" w14:textId="77777777" w:rsidR="008E5953" w:rsidRPr="00A227A2" w:rsidRDefault="008E5953">
            <w:pPr>
              <w:spacing w:line="360" w:lineRule="auto"/>
              <w:rPr>
                <w:rFonts w:ascii="Times New Roman" w:hAnsi="Times New Roman" w:cs="Times New Roman"/>
                <w:sz w:val="20"/>
                <w:szCs w:val="20"/>
                <w:lang w:eastAsia="en-GB"/>
              </w:rPr>
            </w:pPr>
            <w:r w:rsidRPr="00A227A2">
              <w:rPr>
                <w:rFonts w:ascii="Times New Roman" w:hAnsi="Times New Roman" w:cs="Times New Roman"/>
                <w:sz w:val="20"/>
                <w:szCs w:val="20"/>
                <w:lang w:eastAsia="en-GB"/>
              </w:rPr>
              <w:t>148/167</w:t>
            </w:r>
          </w:p>
        </w:tc>
        <w:tc>
          <w:tcPr>
            <w:tcW w:w="1927" w:type="dxa"/>
            <w:hideMark/>
          </w:tcPr>
          <w:p w14:paraId="365797FE" w14:textId="5C45810B" w:rsidR="008E5953" w:rsidRPr="00A227A2" w:rsidRDefault="008E5953">
            <w:pPr>
              <w:spacing w:line="360" w:lineRule="auto"/>
              <w:rPr>
                <w:rFonts w:ascii="Times New Roman" w:hAnsi="Times New Roman" w:cs="Times New Roman"/>
                <w:sz w:val="20"/>
                <w:szCs w:val="20"/>
                <w:lang w:eastAsia="en-GB"/>
              </w:rPr>
            </w:pPr>
            <w:r w:rsidRPr="00A227A2">
              <w:rPr>
                <w:rFonts w:ascii="Times New Roman" w:hAnsi="Times New Roman" w:cs="Times New Roman"/>
                <w:sz w:val="20"/>
                <w:szCs w:val="20"/>
                <w:lang w:eastAsia="en-GB"/>
              </w:rPr>
              <w:t>88.6</w:t>
            </w:r>
            <w:r w:rsidR="007246E1" w:rsidRPr="00A227A2">
              <w:rPr>
                <w:rFonts w:ascii="Times New Roman" w:hAnsi="Times New Roman" w:cs="Times New Roman"/>
                <w:sz w:val="20"/>
                <w:szCs w:val="20"/>
                <w:lang w:eastAsia="en-GB"/>
              </w:rPr>
              <w:t xml:space="preserve"> </w:t>
            </w:r>
            <w:r w:rsidRPr="00A227A2">
              <w:rPr>
                <w:rFonts w:ascii="Times New Roman" w:hAnsi="Times New Roman" w:cs="Times New Roman"/>
                <w:sz w:val="20"/>
                <w:szCs w:val="20"/>
                <w:lang w:eastAsia="en-GB"/>
              </w:rPr>
              <w:t>(82.9–92.6)</w:t>
            </w:r>
          </w:p>
        </w:tc>
        <w:tc>
          <w:tcPr>
            <w:tcW w:w="972" w:type="dxa"/>
            <w:hideMark/>
          </w:tcPr>
          <w:p w14:paraId="596EBD65" w14:textId="77777777" w:rsidR="008E5953" w:rsidRPr="00A227A2" w:rsidRDefault="008E5953">
            <w:pPr>
              <w:spacing w:line="360" w:lineRule="auto"/>
              <w:rPr>
                <w:rFonts w:ascii="Times New Roman" w:hAnsi="Times New Roman" w:cs="Times New Roman"/>
                <w:sz w:val="20"/>
                <w:szCs w:val="20"/>
                <w:lang w:eastAsia="en-GB"/>
              </w:rPr>
            </w:pPr>
            <w:r w:rsidRPr="00A227A2">
              <w:rPr>
                <w:rFonts w:ascii="Times New Roman" w:hAnsi="Times New Roman" w:cs="Times New Roman"/>
                <w:sz w:val="20"/>
                <w:szCs w:val="20"/>
                <w:lang w:eastAsia="en-GB"/>
              </w:rPr>
              <w:t>142/164</w:t>
            </w:r>
          </w:p>
        </w:tc>
        <w:tc>
          <w:tcPr>
            <w:tcW w:w="2098" w:type="dxa"/>
            <w:gridSpan w:val="3"/>
            <w:hideMark/>
          </w:tcPr>
          <w:p w14:paraId="0864A888" w14:textId="77777777" w:rsidR="008E5953" w:rsidRPr="00A227A2" w:rsidRDefault="008E5953">
            <w:pPr>
              <w:spacing w:line="360" w:lineRule="auto"/>
              <w:rPr>
                <w:rFonts w:ascii="Times New Roman" w:hAnsi="Times New Roman" w:cs="Times New Roman"/>
                <w:sz w:val="20"/>
                <w:szCs w:val="20"/>
                <w:lang w:eastAsia="en-GB"/>
              </w:rPr>
            </w:pPr>
            <w:r w:rsidRPr="00A227A2">
              <w:rPr>
                <w:rFonts w:ascii="Times New Roman" w:hAnsi="Times New Roman" w:cs="Times New Roman"/>
                <w:sz w:val="20"/>
                <w:szCs w:val="20"/>
                <w:lang w:eastAsia="en-GB"/>
              </w:rPr>
              <w:t>86.6 (80.5–91.0)</w:t>
            </w:r>
          </w:p>
        </w:tc>
      </w:tr>
      <w:tr w:rsidR="006C3B0A" w:rsidRPr="006C3B0A" w14:paraId="2A3DACB9" w14:textId="77777777" w:rsidTr="00EC5B9A">
        <w:tc>
          <w:tcPr>
            <w:tcW w:w="3118" w:type="dxa"/>
            <w:hideMark/>
          </w:tcPr>
          <w:p w14:paraId="1E887849" w14:textId="2109E96F" w:rsidR="008E5953" w:rsidRPr="00A227A2" w:rsidRDefault="008E5953">
            <w:pPr>
              <w:spacing w:line="360" w:lineRule="auto"/>
              <w:rPr>
                <w:rFonts w:ascii="Times New Roman" w:hAnsi="Times New Roman" w:cs="Times New Roman"/>
                <w:sz w:val="20"/>
                <w:szCs w:val="20"/>
              </w:rPr>
            </w:pPr>
            <w:r w:rsidRPr="00A227A2">
              <w:rPr>
                <w:rFonts w:ascii="Times New Roman" w:hAnsi="Times New Roman" w:cs="Times New Roman"/>
                <w:sz w:val="20"/>
                <w:szCs w:val="20"/>
              </w:rPr>
              <w:t>Specificity for active TB</w:t>
            </w:r>
          </w:p>
        </w:tc>
        <w:tc>
          <w:tcPr>
            <w:tcW w:w="972" w:type="dxa"/>
          </w:tcPr>
          <w:p w14:paraId="747B3F5D" w14:textId="77777777" w:rsidR="008E5953" w:rsidRPr="00A227A2" w:rsidRDefault="008E5953">
            <w:pPr>
              <w:spacing w:line="360" w:lineRule="auto"/>
              <w:jc w:val="both"/>
              <w:rPr>
                <w:rFonts w:ascii="Times New Roman" w:hAnsi="Times New Roman" w:cs="Times New Roman"/>
                <w:sz w:val="20"/>
                <w:szCs w:val="20"/>
              </w:rPr>
            </w:pPr>
          </w:p>
        </w:tc>
        <w:tc>
          <w:tcPr>
            <w:tcW w:w="1927" w:type="dxa"/>
          </w:tcPr>
          <w:p w14:paraId="373AD17D" w14:textId="77777777" w:rsidR="008E5953" w:rsidRPr="00A227A2" w:rsidRDefault="008E5953">
            <w:pPr>
              <w:spacing w:line="360" w:lineRule="auto"/>
              <w:jc w:val="both"/>
              <w:rPr>
                <w:rFonts w:ascii="Times New Roman" w:hAnsi="Times New Roman" w:cs="Times New Roman"/>
                <w:sz w:val="20"/>
                <w:szCs w:val="20"/>
              </w:rPr>
            </w:pPr>
          </w:p>
        </w:tc>
        <w:tc>
          <w:tcPr>
            <w:tcW w:w="972" w:type="dxa"/>
          </w:tcPr>
          <w:p w14:paraId="6683883E" w14:textId="77777777" w:rsidR="008E5953" w:rsidRPr="00A227A2" w:rsidRDefault="008E5953">
            <w:pPr>
              <w:spacing w:line="360" w:lineRule="auto"/>
              <w:rPr>
                <w:rFonts w:ascii="Times New Roman" w:hAnsi="Times New Roman" w:cs="Times New Roman"/>
                <w:sz w:val="20"/>
                <w:szCs w:val="20"/>
              </w:rPr>
            </w:pPr>
          </w:p>
        </w:tc>
        <w:tc>
          <w:tcPr>
            <w:tcW w:w="1926" w:type="dxa"/>
          </w:tcPr>
          <w:p w14:paraId="5F0E9893" w14:textId="77777777" w:rsidR="008E5953" w:rsidRPr="00A227A2" w:rsidRDefault="008E5953">
            <w:pPr>
              <w:spacing w:line="360" w:lineRule="auto"/>
              <w:rPr>
                <w:rFonts w:ascii="Times New Roman" w:hAnsi="Times New Roman" w:cs="Times New Roman"/>
                <w:sz w:val="20"/>
                <w:szCs w:val="20"/>
              </w:rPr>
            </w:pPr>
          </w:p>
        </w:tc>
        <w:tc>
          <w:tcPr>
            <w:tcW w:w="972" w:type="dxa"/>
          </w:tcPr>
          <w:p w14:paraId="4E002860" w14:textId="77777777" w:rsidR="008E5953" w:rsidRPr="00A227A2" w:rsidRDefault="008E5953">
            <w:pPr>
              <w:spacing w:line="360" w:lineRule="auto"/>
              <w:rPr>
                <w:rFonts w:ascii="Times New Roman" w:hAnsi="Times New Roman" w:cs="Times New Roman"/>
                <w:sz w:val="20"/>
                <w:szCs w:val="20"/>
                <w:lang w:eastAsia="en-GB"/>
              </w:rPr>
            </w:pPr>
          </w:p>
        </w:tc>
        <w:tc>
          <w:tcPr>
            <w:tcW w:w="1927" w:type="dxa"/>
          </w:tcPr>
          <w:p w14:paraId="7719D712" w14:textId="77777777" w:rsidR="008E5953" w:rsidRPr="00A227A2" w:rsidRDefault="008E5953">
            <w:pPr>
              <w:spacing w:line="360" w:lineRule="auto"/>
              <w:rPr>
                <w:rFonts w:ascii="Times New Roman" w:hAnsi="Times New Roman" w:cs="Times New Roman"/>
                <w:sz w:val="20"/>
                <w:szCs w:val="20"/>
                <w:lang w:eastAsia="en-GB"/>
              </w:rPr>
            </w:pPr>
          </w:p>
        </w:tc>
        <w:tc>
          <w:tcPr>
            <w:tcW w:w="972" w:type="dxa"/>
          </w:tcPr>
          <w:p w14:paraId="355CB278" w14:textId="77777777" w:rsidR="008E5953" w:rsidRPr="00A227A2" w:rsidRDefault="008E5953">
            <w:pPr>
              <w:spacing w:line="360" w:lineRule="auto"/>
              <w:rPr>
                <w:rFonts w:ascii="Times New Roman" w:hAnsi="Times New Roman" w:cs="Times New Roman"/>
                <w:sz w:val="20"/>
                <w:szCs w:val="20"/>
                <w:lang w:eastAsia="en-GB"/>
              </w:rPr>
            </w:pPr>
          </w:p>
        </w:tc>
        <w:tc>
          <w:tcPr>
            <w:tcW w:w="2098" w:type="dxa"/>
            <w:gridSpan w:val="3"/>
          </w:tcPr>
          <w:p w14:paraId="403772D8" w14:textId="77777777" w:rsidR="008E5953" w:rsidRPr="00A227A2" w:rsidRDefault="008E5953">
            <w:pPr>
              <w:spacing w:line="360" w:lineRule="auto"/>
              <w:rPr>
                <w:rFonts w:ascii="Times New Roman" w:hAnsi="Times New Roman" w:cs="Times New Roman"/>
                <w:sz w:val="20"/>
                <w:szCs w:val="20"/>
                <w:lang w:eastAsia="en-GB"/>
              </w:rPr>
            </w:pPr>
          </w:p>
        </w:tc>
      </w:tr>
      <w:tr w:rsidR="006C3B0A" w:rsidRPr="006C3B0A" w14:paraId="400B97FC" w14:textId="77777777" w:rsidTr="00EC5B9A">
        <w:tc>
          <w:tcPr>
            <w:tcW w:w="3118" w:type="dxa"/>
            <w:hideMark/>
          </w:tcPr>
          <w:p w14:paraId="1B181066" w14:textId="77777777" w:rsidR="008E5953" w:rsidRPr="00A227A2" w:rsidRDefault="008E5953">
            <w:pPr>
              <w:spacing w:line="360" w:lineRule="auto"/>
              <w:ind w:left="142"/>
              <w:rPr>
                <w:rFonts w:ascii="Times New Roman" w:hAnsi="Times New Roman" w:cs="Times New Roman"/>
                <w:sz w:val="20"/>
                <w:szCs w:val="20"/>
              </w:rPr>
            </w:pPr>
            <w:r w:rsidRPr="00A227A2">
              <w:rPr>
                <w:rFonts w:ascii="Times New Roman" w:hAnsi="Times New Roman" w:cs="Times New Roman"/>
                <w:sz w:val="20"/>
                <w:szCs w:val="20"/>
              </w:rPr>
              <w:t xml:space="preserve">Active TB excluded </w:t>
            </w:r>
          </w:p>
        </w:tc>
        <w:tc>
          <w:tcPr>
            <w:tcW w:w="972" w:type="dxa"/>
            <w:hideMark/>
          </w:tcPr>
          <w:p w14:paraId="0539CEB5" w14:textId="77777777" w:rsidR="008E5953" w:rsidRPr="00A227A2" w:rsidRDefault="008E5953" w:rsidP="001B1048">
            <w:pPr>
              <w:spacing w:line="360" w:lineRule="auto"/>
              <w:rPr>
                <w:rFonts w:ascii="Times New Roman" w:hAnsi="Times New Roman" w:cs="Times New Roman"/>
                <w:sz w:val="20"/>
                <w:szCs w:val="20"/>
              </w:rPr>
            </w:pPr>
            <w:r w:rsidRPr="00A227A2">
              <w:rPr>
                <w:rFonts w:ascii="Times New Roman" w:hAnsi="Times New Roman" w:cs="Times New Roman"/>
                <w:sz w:val="20"/>
                <w:szCs w:val="20"/>
              </w:rPr>
              <w:t>319/370</w:t>
            </w:r>
          </w:p>
        </w:tc>
        <w:tc>
          <w:tcPr>
            <w:tcW w:w="1927" w:type="dxa"/>
            <w:hideMark/>
          </w:tcPr>
          <w:p w14:paraId="15BBAB55" w14:textId="0A676DD4" w:rsidR="008E5953" w:rsidRPr="00A227A2" w:rsidRDefault="008E5953" w:rsidP="001B1048">
            <w:pPr>
              <w:spacing w:line="360" w:lineRule="auto"/>
              <w:rPr>
                <w:rFonts w:ascii="Times New Roman" w:hAnsi="Times New Roman" w:cs="Times New Roman"/>
                <w:sz w:val="20"/>
                <w:szCs w:val="20"/>
              </w:rPr>
            </w:pPr>
            <w:r w:rsidRPr="00A227A2">
              <w:rPr>
                <w:rFonts w:ascii="Times New Roman" w:hAnsi="Times New Roman" w:cs="Times New Roman"/>
                <w:sz w:val="20"/>
                <w:szCs w:val="20"/>
              </w:rPr>
              <w:t>86.2 (82.3</w:t>
            </w:r>
            <w:r w:rsidR="00064B97" w:rsidRPr="00A227A2">
              <w:rPr>
                <w:rFonts w:ascii="Times New Roman" w:hAnsi="Times New Roman" w:cs="Times New Roman"/>
                <w:sz w:val="20"/>
                <w:szCs w:val="20"/>
              </w:rPr>
              <w:t>–</w:t>
            </w:r>
            <w:r w:rsidRPr="00A227A2">
              <w:rPr>
                <w:rFonts w:ascii="Times New Roman" w:hAnsi="Times New Roman" w:cs="Times New Roman"/>
                <w:sz w:val="20"/>
                <w:szCs w:val="20"/>
              </w:rPr>
              <w:t>89.4)</w:t>
            </w:r>
          </w:p>
        </w:tc>
        <w:tc>
          <w:tcPr>
            <w:tcW w:w="972" w:type="dxa"/>
            <w:hideMark/>
          </w:tcPr>
          <w:p w14:paraId="5BA88A7C" w14:textId="77777777" w:rsidR="008E5953" w:rsidRPr="00A227A2" w:rsidRDefault="008E5953">
            <w:pPr>
              <w:spacing w:line="360" w:lineRule="auto"/>
              <w:rPr>
                <w:rFonts w:ascii="Times New Roman" w:hAnsi="Times New Roman" w:cs="Times New Roman"/>
                <w:sz w:val="20"/>
                <w:szCs w:val="20"/>
              </w:rPr>
            </w:pPr>
            <w:r w:rsidRPr="00A227A2">
              <w:rPr>
                <w:rFonts w:ascii="Times New Roman" w:hAnsi="Times New Roman" w:cs="Times New Roman"/>
                <w:sz w:val="20"/>
                <w:szCs w:val="20"/>
              </w:rPr>
              <w:t>304/378</w:t>
            </w:r>
          </w:p>
        </w:tc>
        <w:tc>
          <w:tcPr>
            <w:tcW w:w="1926" w:type="dxa"/>
            <w:hideMark/>
          </w:tcPr>
          <w:p w14:paraId="6BD59022" w14:textId="77777777" w:rsidR="008E5953" w:rsidRPr="00A227A2" w:rsidRDefault="008E5953">
            <w:pPr>
              <w:spacing w:line="360" w:lineRule="auto"/>
              <w:rPr>
                <w:rFonts w:ascii="Times New Roman" w:hAnsi="Times New Roman" w:cs="Times New Roman"/>
                <w:sz w:val="20"/>
                <w:szCs w:val="20"/>
              </w:rPr>
            </w:pPr>
            <w:r w:rsidRPr="00A227A2">
              <w:rPr>
                <w:rFonts w:ascii="Times New Roman" w:hAnsi="Times New Roman" w:cs="Times New Roman"/>
                <w:sz w:val="20"/>
                <w:szCs w:val="20"/>
              </w:rPr>
              <w:t>80.4 (76.1–84.1)</w:t>
            </w:r>
          </w:p>
        </w:tc>
        <w:tc>
          <w:tcPr>
            <w:tcW w:w="972" w:type="dxa"/>
            <w:hideMark/>
          </w:tcPr>
          <w:p w14:paraId="7B07676D" w14:textId="77777777" w:rsidR="008E5953" w:rsidRPr="00A227A2" w:rsidRDefault="008E5953">
            <w:pPr>
              <w:spacing w:line="360" w:lineRule="auto"/>
              <w:rPr>
                <w:rFonts w:ascii="Times New Roman" w:hAnsi="Times New Roman" w:cs="Times New Roman"/>
                <w:sz w:val="20"/>
                <w:szCs w:val="20"/>
                <w:lang w:eastAsia="en-GB"/>
              </w:rPr>
            </w:pPr>
            <w:r w:rsidRPr="00A227A2">
              <w:rPr>
                <w:rFonts w:ascii="Times New Roman" w:hAnsi="Times New Roman" w:cs="Times New Roman"/>
                <w:sz w:val="20"/>
                <w:szCs w:val="20"/>
                <w:lang w:eastAsia="en-GB"/>
              </w:rPr>
              <w:t>296/370</w:t>
            </w:r>
          </w:p>
        </w:tc>
        <w:tc>
          <w:tcPr>
            <w:tcW w:w="1927" w:type="dxa"/>
            <w:hideMark/>
          </w:tcPr>
          <w:p w14:paraId="6617C332" w14:textId="77777777" w:rsidR="008E5953" w:rsidRPr="00A227A2" w:rsidRDefault="008E5953">
            <w:pPr>
              <w:spacing w:line="360" w:lineRule="auto"/>
              <w:rPr>
                <w:rFonts w:ascii="Times New Roman" w:hAnsi="Times New Roman" w:cs="Times New Roman"/>
                <w:sz w:val="20"/>
                <w:szCs w:val="20"/>
                <w:lang w:eastAsia="en-GB"/>
              </w:rPr>
            </w:pPr>
            <w:r w:rsidRPr="00A227A2">
              <w:rPr>
                <w:rFonts w:ascii="Times New Roman" w:hAnsi="Times New Roman" w:cs="Times New Roman"/>
                <w:sz w:val="20"/>
                <w:szCs w:val="20"/>
                <w:lang w:eastAsia="en-GB"/>
              </w:rPr>
              <w:t>80.0 (75.6–83.8)</w:t>
            </w:r>
          </w:p>
        </w:tc>
        <w:tc>
          <w:tcPr>
            <w:tcW w:w="972" w:type="dxa"/>
            <w:hideMark/>
          </w:tcPr>
          <w:p w14:paraId="38A84615" w14:textId="77777777" w:rsidR="008E5953" w:rsidRPr="00A227A2" w:rsidRDefault="008E5953">
            <w:pPr>
              <w:spacing w:line="360" w:lineRule="auto"/>
              <w:rPr>
                <w:rFonts w:ascii="Times New Roman" w:hAnsi="Times New Roman" w:cs="Times New Roman"/>
                <w:sz w:val="20"/>
                <w:szCs w:val="20"/>
                <w:lang w:eastAsia="en-GB"/>
              </w:rPr>
            </w:pPr>
            <w:r w:rsidRPr="00A227A2">
              <w:rPr>
                <w:rFonts w:ascii="Times New Roman" w:hAnsi="Times New Roman" w:cs="Times New Roman"/>
                <w:sz w:val="20"/>
                <w:szCs w:val="20"/>
                <w:lang w:eastAsia="en-GB"/>
              </w:rPr>
              <w:t>296/372</w:t>
            </w:r>
          </w:p>
        </w:tc>
        <w:tc>
          <w:tcPr>
            <w:tcW w:w="2098" w:type="dxa"/>
            <w:gridSpan w:val="3"/>
            <w:hideMark/>
          </w:tcPr>
          <w:p w14:paraId="2A956334" w14:textId="77777777" w:rsidR="008E5953" w:rsidRPr="00A227A2" w:rsidRDefault="008E5953">
            <w:pPr>
              <w:spacing w:line="360" w:lineRule="auto"/>
              <w:rPr>
                <w:rFonts w:ascii="Times New Roman" w:hAnsi="Times New Roman" w:cs="Times New Roman"/>
                <w:sz w:val="20"/>
                <w:szCs w:val="20"/>
                <w:lang w:eastAsia="en-GB"/>
              </w:rPr>
            </w:pPr>
            <w:r w:rsidRPr="00A227A2">
              <w:rPr>
                <w:rFonts w:ascii="Times New Roman" w:hAnsi="Times New Roman" w:cs="Times New Roman"/>
                <w:sz w:val="20"/>
                <w:szCs w:val="20"/>
                <w:lang w:eastAsia="en-GB"/>
              </w:rPr>
              <w:t>79.6 (75.2–83.4)</w:t>
            </w:r>
          </w:p>
        </w:tc>
      </w:tr>
      <w:tr w:rsidR="006C3B0A" w:rsidRPr="006C3B0A" w14:paraId="2239493B" w14:textId="77777777" w:rsidTr="00EC5B9A">
        <w:tc>
          <w:tcPr>
            <w:tcW w:w="3118" w:type="dxa"/>
            <w:hideMark/>
          </w:tcPr>
          <w:p w14:paraId="17D26D13" w14:textId="30999C42" w:rsidR="008E5953" w:rsidRPr="00A227A2" w:rsidRDefault="008E5953">
            <w:pPr>
              <w:spacing w:line="360" w:lineRule="auto"/>
              <w:ind w:left="142"/>
              <w:rPr>
                <w:rFonts w:ascii="Times New Roman" w:hAnsi="Times New Roman" w:cs="Times New Roman"/>
                <w:sz w:val="20"/>
                <w:szCs w:val="20"/>
              </w:rPr>
            </w:pPr>
            <w:r w:rsidRPr="00A227A2">
              <w:rPr>
                <w:rFonts w:ascii="Times New Roman" w:hAnsi="Times New Roman" w:cs="Times New Roman"/>
                <w:sz w:val="20"/>
                <w:szCs w:val="20"/>
              </w:rPr>
              <w:t>Active TB excluded, TST</w:t>
            </w:r>
            <w:r w:rsidR="00990729" w:rsidRPr="00A227A2">
              <w:rPr>
                <w:rFonts w:ascii="Times New Roman" w:hAnsi="Times New Roman" w:cs="Times New Roman"/>
                <w:sz w:val="20"/>
                <w:szCs w:val="20"/>
              </w:rPr>
              <w:t>-</w:t>
            </w:r>
            <w:r w:rsidRPr="00A227A2">
              <w:rPr>
                <w:rFonts w:ascii="Times New Roman" w:hAnsi="Times New Roman" w:cs="Times New Roman"/>
                <w:sz w:val="20"/>
                <w:szCs w:val="20"/>
              </w:rPr>
              <w:t>negative, no risk factors for LTBI</w:t>
            </w:r>
          </w:p>
        </w:tc>
        <w:tc>
          <w:tcPr>
            <w:tcW w:w="972" w:type="dxa"/>
            <w:hideMark/>
          </w:tcPr>
          <w:p w14:paraId="7EAF3329" w14:textId="77777777" w:rsidR="008E5953" w:rsidRPr="00A227A2" w:rsidRDefault="008E5953" w:rsidP="001B1048">
            <w:pPr>
              <w:spacing w:line="360" w:lineRule="auto"/>
              <w:rPr>
                <w:rFonts w:ascii="Times New Roman" w:hAnsi="Times New Roman" w:cs="Times New Roman"/>
                <w:sz w:val="20"/>
                <w:szCs w:val="20"/>
              </w:rPr>
            </w:pPr>
            <w:r w:rsidRPr="00A227A2">
              <w:rPr>
                <w:rFonts w:ascii="Times New Roman" w:hAnsi="Times New Roman" w:cs="Times New Roman"/>
                <w:sz w:val="20"/>
                <w:szCs w:val="20"/>
              </w:rPr>
              <w:t>87/93</w:t>
            </w:r>
          </w:p>
        </w:tc>
        <w:tc>
          <w:tcPr>
            <w:tcW w:w="1927" w:type="dxa"/>
            <w:hideMark/>
          </w:tcPr>
          <w:p w14:paraId="224AB41E" w14:textId="3CED21E7" w:rsidR="008E5953" w:rsidRPr="00A227A2" w:rsidRDefault="008E5953" w:rsidP="001B1048">
            <w:pPr>
              <w:spacing w:line="360" w:lineRule="auto"/>
              <w:rPr>
                <w:rFonts w:ascii="Times New Roman" w:hAnsi="Times New Roman" w:cs="Times New Roman"/>
                <w:sz w:val="20"/>
                <w:szCs w:val="20"/>
              </w:rPr>
            </w:pPr>
            <w:r w:rsidRPr="00A227A2">
              <w:rPr>
                <w:rFonts w:ascii="Times New Roman" w:hAnsi="Times New Roman" w:cs="Times New Roman"/>
                <w:sz w:val="20"/>
                <w:szCs w:val="20"/>
              </w:rPr>
              <w:t>93.5 (86.6</w:t>
            </w:r>
            <w:r w:rsidR="00064B97" w:rsidRPr="00A227A2">
              <w:rPr>
                <w:rFonts w:ascii="Times New Roman" w:hAnsi="Times New Roman" w:cs="Times New Roman"/>
                <w:sz w:val="20"/>
                <w:szCs w:val="20"/>
              </w:rPr>
              <w:t>–</w:t>
            </w:r>
            <w:r w:rsidRPr="00A227A2">
              <w:rPr>
                <w:rFonts w:ascii="Times New Roman" w:hAnsi="Times New Roman" w:cs="Times New Roman"/>
                <w:sz w:val="20"/>
                <w:szCs w:val="20"/>
              </w:rPr>
              <w:t>97.0)</w:t>
            </w:r>
          </w:p>
        </w:tc>
        <w:tc>
          <w:tcPr>
            <w:tcW w:w="972" w:type="dxa"/>
            <w:hideMark/>
          </w:tcPr>
          <w:p w14:paraId="26EC9EEB" w14:textId="77777777" w:rsidR="008E5953" w:rsidRPr="00A227A2" w:rsidRDefault="008E5953">
            <w:pPr>
              <w:spacing w:line="360" w:lineRule="auto"/>
              <w:rPr>
                <w:rFonts w:ascii="Times New Roman" w:hAnsi="Times New Roman" w:cs="Times New Roman"/>
                <w:sz w:val="20"/>
                <w:szCs w:val="20"/>
              </w:rPr>
            </w:pPr>
            <w:r w:rsidRPr="00A227A2">
              <w:rPr>
                <w:rFonts w:ascii="Times New Roman" w:hAnsi="Times New Roman" w:cs="Times New Roman"/>
                <w:sz w:val="20"/>
                <w:szCs w:val="20"/>
              </w:rPr>
              <w:t>85/91</w:t>
            </w:r>
          </w:p>
        </w:tc>
        <w:tc>
          <w:tcPr>
            <w:tcW w:w="1926" w:type="dxa"/>
            <w:hideMark/>
          </w:tcPr>
          <w:p w14:paraId="5E9963CD" w14:textId="77777777" w:rsidR="008E5953" w:rsidRPr="00A227A2" w:rsidRDefault="008E5953">
            <w:pPr>
              <w:spacing w:line="360" w:lineRule="auto"/>
              <w:rPr>
                <w:rFonts w:ascii="Times New Roman" w:hAnsi="Times New Roman" w:cs="Times New Roman"/>
                <w:sz w:val="20"/>
                <w:szCs w:val="20"/>
              </w:rPr>
            </w:pPr>
            <w:r w:rsidRPr="00A227A2">
              <w:rPr>
                <w:rFonts w:ascii="Times New Roman" w:hAnsi="Times New Roman" w:cs="Times New Roman"/>
                <w:sz w:val="20"/>
                <w:szCs w:val="20"/>
              </w:rPr>
              <w:t>93.4 (86.4–96.9)</w:t>
            </w:r>
          </w:p>
        </w:tc>
        <w:tc>
          <w:tcPr>
            <w:tcW w:w="972" w:type="dxa"/>
            <w:hideMark/>
          </w:tcPr>
          <w:p w14:paraId="3D96A5C9" w14:textId="77777777" w:rsidR="008E5953" w:rsidRPr="00A227A2" w:rsidRDefault="008E5953">
            <w:pPr>
              <w:spacing w:line="360" w:lineRule="auto"/>
              <w:rPr>
                <w:rFonts w:ascii="Times New Roman" w:hAnsi="Times New Roman" w:cs="Times New Roman"/>
                <w:sz w:val="20"/>
                <w:szCs w:val="20"/>
                <w:lang w:eastAsia="en-GB"/>
              </w:rPr>
            </w:pPr>
            <w:r w:rsidRPr="00A227A2">
              <w:rPr>
                <w:rFonts w:ascii="Times New Roman" w:hAnsi="Times New Roman" w:cs="Times New Roman"/>
                <w:sz w:val="20"/>
                <w:szCs w:val="20"/>
                <w:lang w:eastAsia="en-GB"/>
              </w:rPr>
              <w:t>84/92</w:t>
            </w:r>
          </w:p>
        </w:tc>
        <w:tc>
          <w:tcPr>
            <w:tcW w:w="1927" w:type="dxa"/>
            <w:hideMark/>
          </w:tcPr>
          <w:p w14:paraId="5762E297" w14:textId="77777777" w:rsidR="008E5953" w:rsidRPr="00A227A2" w:rsidRDefault="008E5953">
            <w:pPr>
              <w:spacing w:line="360" w:lineRule="auto"/>
              <w:rPr>
                <w:rFonts w:ascii="Times New Roman" w:hAnsi="Times New Roman" w:cs="Times New Roman"/>
                <w:sz w:val="20"/>
                <w:szCs w:val="20"/>
                <w:lang w:eastAsia="en-GB"/>
              </w:rPr>
            </w:pPr>
            <w:r w:rsidRPr="00A227A2">
              <w:rPr>
                <w:rFonts w:ascii="Times New Roman" w:hAnsi="Times New Roman" w:cs="Times New Roman"/>
                <w:sz w:val="20"/>
                <w:szCs w:val="20"/>
                <w:lang w:eastAsia="en-GB"/>
              </w:rPr>
              <w:t>91.3 (83.8–95.5)</w:t>
            </w:r>
          </w:p>
        </w:tc>
        <w:tc>
          <w:tcPr>
            <w:tcW w:w="972" w:type="dxa"/>
            <w:hideMark/>
          </w:tcPr>
          <w:p w14:paraId="079B9B24" w14:textId="77777777" w:rsidR="008E5953" w:rsidRPr="00A227A2" w:rsidRDefault="008E5953">
            <w:pPr>
              <w:spacing w:line="360" w:lineRule="auto"/>
              <w:rPr>
                <w:rFonts w:ascii="Times New Roman" w:hAnsi="Times New Roman" w:cs="Times New Roman"/>
                <w:sz w:val="20"/>
                <w:szCs w:val="20"/>
                <w:lang w:eastAsia="en-GB"/>
              </w:rPr>
            </w:pPr>
            <w:r w:rsidRPr="00A227A2">
              <w:rPr>
                <w:rFonts w:ascii="Times New Roman" w:hAnsi="Times New Roman" w:cs="Times New Roman"/>
                <w:sz w:val="20"/>
                <w:szCs w:val="20"/>
                <w:lang w:eastAsia="en-GB"/>
              </w:rPr>
              <w:t>84/93</w:t>
            </w:r>
          </w:p>
        </w:tc>
        <w:tc>
          <w:tcPr>
            <w:tcW w:w="2098" w:type="dxa"/>
            <w:gridSpan w:val="3"/>
            <w:hideMark/>
          </w:tcPr>
          <w:p w14:paraId="779B7736" w14:textId="77777777" w:rsidR="008E5953" w:rsidRPr="00A227A2" w:rsidRDefault="008E5953">
            <w:pPr>
              <w:spacing w:line="360" w:lineRule="auto"/>
              <w:rPr>
                <w:rFonts w:ascii="Times New Roman" w:hAnsi="Times New Roman" w:cs="Times New Roman"/>
                <w:sz w:val="20"/>
                <w:szCs w:val="20"/>
                <w:lang w:eastAsia="en-GB"/>
              </w:rPr>
            </w:pPr>
            <w:r w:rsidRPr="00A227A2">
              <w:rPr>
                <w:rFonts w:ascii="Times New Roman" w:hAnsi="Times New Roman" w:cs="Times New Roman"/>
                <w:sz w:val="20"/>
                <w:szCs w:val="20"/>
                <w:lang w:eastAsia="en-GB"/>
              </w:rPr>
              <w:t>90.3 (82.6–94.8)</w:t>
            </w:r>
          </w:p>
        </w:tc>
      </w:tr>
      <w:tr w:rsidR="006C3B0A" w:rsidRPr="006C3B0A" w14:paraId="24A2E4A9" w14:textId="77777777" w:rsidTr="00EC5B9A">
        <w:tc>
          <w:tcPr>
            <w:tcW w:w="3118" w:type="dxa"/>
            <w:hideMark/>
          </w:tcPr>
          <w:p w14:paraId="0ABB2498" w14:textId="43798272" w:rsidR="008E5953" w:rsidRPr="00A227A2" w:rsidRDefault="008E5953">
            <w:pPr>
              <w:spacing w:line="360" w:lineRule="auto"/>
              <w:rPr>
                <w:rFonts w:ascii="Times New Roman" w:hAnsi="Times New Roman" w:cs="Times New Roman"/>
                <w:sz w:val="20"/>
                <w:szCs w:val="20"/>
              </w:rPr>
            </w:pPr>
            <w:r w:rsidRPr="00A227A2">
              <w:rPr>
                <w:rFonts w:ascii="Times New Roman" w:hAnsi="Times New Roman" w:cs="Times New Roman"/>
                <w:sz w:val="20"/>
                <w:szCs w:val="20"/>
              </w:rPr>
              <w:t>Predictive values</w:t>
            </w:r>
            <w:r w:rsidR="00FD7FB8" w:rsidRPr="00A227A2">
              <w:rPr>
                <w:rFonts w:ascii="Times New Roman" w:hAnsi="Times New Roman" w:cs="Times New Roman"/>
                <w:sz w:val="20"/>
                <w:szCs w:val="20"/>
              </w:rPr>
              <w:t xml:space="preserve"> for all TB</w:t>
            </w:r>
          </w:p>
        </w:tc>
        <w:tc>
          <w:tcPr>
            <w:tcW w:w="972" w:type="dxa"/>
          </w:tcPr>
          <w:p w14:paraId="48778B9F" w14:textId="77777777" w:rsidR="008E5953" w:rsidRPr="00A227A2" w:rsidRDefault="008E5953">
            <w:pPr>
              <w:spacing w:line="360" w:lineRule="auto"/>
              <w:jc w:val="both"/>
              <w:rPr>
                <w:rFonts w:ascii="Times New Roman" w:hAnsi="Times New Roman" w:cs="Times New Roman"/>
                <w:sz w:val="20"/>
                <w:szCs w:val="20"/>
              </w:rPr>
            </w:pPr>
          </w:p>
        </w:tc>
        <w:tc>
          <w:tcPr>
            <w:tcW w:w="1927" w:type="dxa"/>
          </w:tcPr>
          <w:p w14:paraId="2D3439A4" w14:textId="77777777" w:rsidR="008E5953" w:rsidRPr="00A227A2" w:rsidRDefault="008E5953">
            <w:pPr>
              <w:spacing w:line="360" w:lineRule="auto"/>
              <w:jc w:val="both"/>
              <w:rPr>
                <w:rFonts w:ascii="Times New Roman" w:hAnsi="Times New Roman" w:cs="Times New Roman"/>
                <w:sz w:val="20"/>
                <w:szCs w:val="20"/>
              </w:rPr>
            </w:pPr>
          </w:p>
        </w:tc>
        <w:tc>
          <w:tcPr>
            <w:tcW w:w="972" w:type="dxa"/>
          </w:tcPr>
          <w:p w14:paraId="47940B1D" w14:textId="77777777" w:rsidR="008E5953" w:rsidRPr="00A227A2" w:rsidRDefault="008E5953">
            <w:pPr>
              <w:spacing w:line="360" w:lineRule="auto"/>
              <w:rPr>
                <w:rFonts w:ascii="Times New Roman" w:hAnsi="Times New Roman" w:cs="Times New Roman"/>
                <w:sz w:val="20"/>
                <w:szCs w:val="20"/>
              </w:rPr>
            </w:pPr>
          </w:p>
        </w:tc>
        <w:tc>
          <w:tcPr>
            <w:tcW w:w="1926" w:type="dxa"/>
          </w:tcPr>
          <w:p w14:paraId="157B3CC4" w14:textId="77777777" w:rsidR="008E5953" w:rsidRPr="00A227A2" w:rsidRDefault="008E5953">
            <w:pPr>
              <w:spacing w:line="360" w:lineRule="auto"/>
              <w:rPr>
                <w:rFonts w:ascii="Times New Roman" w:hAnsi="Times New Roman" w:cs="Times New Roman"/>
                <w:sz w:val="20"/>
                <w:szCs w:val="20"/>
              </w:rPr>
            </w:pPr>
          </w:p>
        </w:tc>
        <w:tc>
          <w:tcPr>
            <w:tcW w:w="972" w:type="dxa"/>
          </w:tcPr>
          <w:p w14:paraId="33D6EDE4" w14:textId="77777777" w:rsidR="008E5953" w:rsidRPr="00A227A2" w:rsidRDefault="008E5953">
            <w:pPr>
              <w:spacing w:line="360" w:lineRule="auto"/>
              <w:rPr>
                <w:rFonts w:ascii="Times New Roman" w:hAnsi="Times New Roman" w:cs="Times New Roman"/>
                <w:sz w:val="20"/>
                <w:szCs w:val="20"/>
                <w:lang w:eastAsia="en-GB"/>
              </w:rPr>
            </w:pPr>
          </w:p>
        </w:tc>
        <w:tc>
          <w:tcPr>
            <w:tcW w:w="1927" w:type="dxa"/>
          </w:tcPr>
          <w:p w14:paraId="577110A1" w14:textId="77777777" w:rsidR="008E5953" w:rsidRPr="00A227A2" w:rsidRDefault="008E5953">
            <w:pPr>
              <w:spacing w:line="360" w:lineRule="auto"/>
              <w:rPr>
                <w:rFonts w:ascii="Times New Roman" w:hAnsi="Times New Roman" w:cs="Times New Roman"/>
                <w:sz w:val="20"/>
                <w:szCs w:val="20"/>
                <w:lang w:eastAsia="en-GB"/>
              </w:rPr>
            </w:pPr>
          </w:p>
        </w:tc>
        <w:tc>
          <w:tcPr>
            <w:tcW w:w="972" w:type="dxa"/>
          </w:tcPr>
          <w:p w14:paraId="2797D14C" w14:textId="77777777" w:rsidR="008E5953" w:rsidRPr="00A227A2" w:rsidRDefault="008E5953">
            <w:pPr>
              <w:spacing w:line="360" w:lineRule="auto"/>
              <w:rPr>
                <w:rFonts w:ascii="Times New Roman" w:hAnsi="Times New Roman" w:cs="Times New Roman"/>
                <w:sz w:val="20"/>
                <w:szCs w:val="20"/>
                <w:lang w:eastAsia="en-GB"/>
              </w:rPr>
            </w:pPr>
          </w:p>
        </w:tc>
        <w:tc>
          <w:tcPr>
            <w:tcW w:w="2098" w:type="dxa"/>
            <w:gridSpan w:val="3"/>
          </w:tcPr>
          <w:p w14:paraId="06451E2A" w14:textId="77777777" w:rsidR="008E5953" w:rsidRPr="00A227A2" w:rsidRDefault="008E5953">
            <w:pPr>
              <w:spacing w:line="360" w:lineRule="auto"/>
              <w:rPr>
                <w:rFonts w:ascii="Times New Roman" w:hAnsi="Times New Roman" w:cs="Times New Roman"/>
                <w:sz w:val="20"/>
                <w:szCs w:val="20"/>
                <w:lang w:eastAsia="en-GB"/>
              </w:rPr>
            </w:pPr>
          </w:p>
        </w:tc>
      </w:tr>
      <w:tr w:rsidR="006C3B0A" w:rsidRPr="006C3B0A" w14:paraId="0EFE36F1" w14:textId="77777777" w:rsidTr="00EC5B9A">
        <w:tc>
          <w:tcPr>
            <w:tcW w:w="3118" w:type="dxa"/>
            <w:hideMark/>
          </w:tcPr>
          <w:p w14:paraId="182AF21A" w14:textId="77777777" w:rsidR="008E5953" w:rsidRPr="00A227A2" w:rsidRDefault="008E5953">
            <w:pPr>
              <w:spacing w:line="360" w:lineRule="auto"/>
              <w:ind w:left="142"/>
              <w:rPr>
                <w:rFonts w:ascii="Times New Roman" w:hAnsi="Times New Roman" w:cs="Times New Roman"/>
                <w:sz w:val="20"/>
                <w:szCs w:val="20"/>
              </w:rPr>
            </w:pPr>
            <w:r w:rsidRPr="00A227A2">
              <w:rPr>
                <w:rFonts w:ascii="Times New Roman" w:hAnsi="Times New Roman" w:cs="Times New Roman"/>
                <w:sz w:val="20"/>
                <w:szCs w:val="20"/>
              </w:rPr>
              <w:t>Positive predictive value</w:t>
            </w:r>
          </w:p>
        </w:tc>
        <w:tc>
          <w:tcPr>
            <w:tcW w:w="972" w:type="dxa"/>
            <w:hideMark/>
          </w:tcPr>
          <w:p w14:paraId="42968698" w14:textId="77777777" w:rsidR="008E5953" w:rsidRPr="00A227A2" w:rsidRDefault="008E5953" w:rsidP="001B1048">
            <w:pPr>
              <w:spacing w:line="360" w:lineRule="auto"/>
              <w:rPr>
                <w:rFonts w:ascii="Times New Roman" w:hAnsi="Times New Roman" w:cs="Times New Roman"/>
                <w:sz w:val="20"/>
                <w:szCs w:val="20"/>
              </w:rPr>
            </w:pPr>
            <w:r w:rsidRPr="00A227A2">
              <w:rPr>
                <w:rFonts w:ascii="Times New Roman" w:hAnsi="Times New Roman" w:cs="Times New Roman"/>
                <w:sz w:val="20"/>
                <w:szCs w:val="20"/>
              </w:rPr>
              <w:t>253/304</w:t>
            </w:r>
          </w:p>
        </w:tc>
        <w:tc>
          <w:tcPr>
            <w:tcW w:w="1927" w:type="dxa"/>
            <w:hideMark/>
          </w:tcPr>
          <w:p w14:paraId="23B64312" w14:textId="703A641F" w:rsidR="008E5953" w:rsidRPr="00A227A2" w:rsidRDefault="008E5953" w:rsidP="001B1048">
            <w:pPr>
              <w:spacing w:line="360" w:lineRule="auto"/>
              <w:rPr>
                <w:rFonts w:ascii="Times New Roman" w:hAnsi="Times New Roman" w:cs="Times New Roman"/>
                <w:sz w:val="20"/>
                <w:szCs w:val="20"/>
              </w:rPr>
            </w:pPr>
            <w:r w:rsidRPr="00A227A2">
              <w:rPr>
                <w:rFonts w:ascii="Times New Roman" w:hAnsi="Times New Roman" w:cs="Times New Roman"/>
                <w:sz w:val="20"/>
                <w:szCs w:val="20"/>
              </w:rPr>
              <w:t>83.2 (78.6</w:t>
            </w:r>
            <w:r w:rsidR="00064B97" w:rsidRPr="00A227A2">
              <w:rPr>
                <w:rFonts w:ascii="Times New Roman" w:hAnsi="Times New Roman" w:cs="Times New Roman"/>
                <w:sz w:val="20"/>
                <w:szCs w:val="20"/>
              </w:rPr>
              <w:t>–</w:t>
            </w:r>
            <w:r w:rsidRPr="00A227A2">
              <w:rPr>
                <w:rFonts w:ascii="Times New Roman" w:hAnsi="Times New Roman" w:cs="Times New Roman"/>
                <w:sz w:val="20"/>
                <w:szCs w:val="20"/>
              </w:rPr>
              <w:t>87.0)</w:t>
            </w:r>
          </w:p>
        </w:tc>
        <w:tc>
          <w:tcPr>
            <w:tcW w:w="972" w:type="dxa"/>
            <w:hideMark/>
          </w:tcPr>
          <w:p w14:paraId="2237D8D1" w14:textId="77777777" w:rsidR="008E5953" w:rsidRPr="00A227A2" w:rsidRDefault="008E5953">
            <w:pPr>
              <w:spacing w:line="360" w:lineRule="auto"/>
              <w:rPr>
                <w:rFonts w:ascii="Times New Roman" w:hAnsi="Times New Roman" w:cs="Times New Roman"/>
                <w:sz w:val="20"/>
                <w:szCs w:val="20"/>
              </w:rPr>
            </w:pPr>
            <w:r w:rsidRPr="00A227A2">
              <w:rPr>
                <w:rFonts w:ascii="Times New Roman" w:hAnsi="Times New Roman" w:cs="Times New Roman"/>
                <w:sz w:val="20"/>
                <w:szCs w:val="20"/>
              </w:rPr>
              <w:t>220/294</w:t>
            </w:r>
          </w:p>
        </w:tc>
        <w:tc>
          <w:tcPr>
            <w:tcW w:w="1926" w:type="dxa"/>
            <w:hideMark/>
          </w:tcPr>
          <w:p w14:paraId="53858425" w14:textId="77777777" w:rsidR="008E5953" w:rsidRPr="00A227A2" w:rsidRDefault="008E5953">
            <w:pPr>
              <w:spacing w:line="360" w:lineRule="auto"/>
              <w:rPr>
                <w:rFonts w:ascii="Times New Roman" w:hAnsi="Times New Roman" w:cs="Times New Roman"/>
                <w:sz w:val="20"/>
                <w:szCs w:val="20"/>
              </w:rPr>
            </w:pPr>
            <w:r w:rsidRPr="00A227A2">
              <w:rPr>
                <w:rFonts w:ascii="Times New Roman" w:hAnsi="Times New Roman" w:cs="Times New Roman"/>
                <w:sz w:val="20"/>
                <w:szCs w:val="20"/>
              </w:rPr>
              <w:t>74.8 (69.6–79.5)</w:t>
            </w:r>
          </w:p>
        </w:tc>
        <w:tc>
          <w:tcPr>
            <w:tcW w:w="972" w:type="dxa"/>
            <w:hideMark/>
          </w:tcPr>
          <w:p w14:paraId="442B5E73" w14:textId="77777777" w:rsidR="008E5953" w:rsidRPr="00A227A2" w:rsidRDefault="008E5953">
            <w:pPr>
              <w:spacing w:line="360" w:lineRule="auto"/>
              <w:rPr>
                <w:rFonts w:ascii="Times New Roman" w:hAnsi="Times New Roman" w:cs="Times New Roman"/>
                <w:sz w:val="20"/>
                <w:szCs w:val="20"/>
                <w:lang w:eastAsia="en-GB"/>
              </w:rPr>
            </w:pPr>
            <w:r w:rsidRPr="00A227A2">
              <w:rPr>
                <w:rFonts w:ascii="Times New Roman" w:hAnsi="Times New Roman" w:cs="Times New Roman"/>
                <w:sz w:val="20"/>
                <w:szCs w:val="20"/>
                <w:lang w:eastAsia="en-GB"/>
              </w:rPr>
              <w:t>273/347</w:t>
            </w:r>
          </w:p>
        </w:tc>
        <w:tc>
          <w:tcPr>
            <w:tcW w:w="1927" w:type="dxa"/>
            <w:hideMark/>
          </w:tcPr>
          <w:p w14:paraId="4ED347E7" w14:textId="77777777" w:rsidR="008E5953" w:rsidRPr="00A227A2" w:rsidRDefault="008E5953">
            <w:pPr>
              <w:spacing w:line="360" w:lineRule="auto"/>
              <w:rPr>
                <w:rFonts w:ascii="Times New Roman" w:hAnsi="Times New Roman" w:cs="Times New Roman"/>
                <w:sz w:val="20"/>
                <w:szCs w:val="20"/>
                <w:lang w:eastAsia="en-GB"/>
              </w:rPr>
            </w:pPr>
            <w:r w:rsidRPr="00A227A2">
              <w:rPr>
                <w:rFonts w:ascii="Times New Roman" w:hAnsi="Times New Roman" w:cs="Times New Roman"/>
                <w:sz w:val="20"/>
                <w:szCs w:val="20"/>
                <w:lang w:eastAsia="en-GB"/>
              </w:rPr>
              <w:t>78.7(74.1–82.7)</w:t>
            </w:r>
          </w:p>
        </w:tc>
        <w:tc>
          <w:tcPr>
            <w:tcW w:w="972" w:type="dxa"/>
            <w:hideMark/>
          </w:tcPr>
          <w:p w14:paraId="1A7A58DD" w14:textId="77777777" w:rsidR="008E5953" w:rsidRPr="00A227A2" w:rsidRDefault="008E5953">
            <w:pPr>
              <w:spacing w:line="360" w:lineRule="auto"/>
              <w:rPr>
                <w:rFonts w:ascii="Times New Roman" w:hAnsi="Times New Roman" w:cs="Times New Roman"/>
                <w:sz w:val="20"/>
                <w:szCs w:val="20"/>
                <w:lang w:eastAsia="en-GB"/>
              </w:rPr>
            </w:pPr>
            <w:r w:rsidRPr="00A227A2">
              <w:rPr>
                <w:rFonts w:ascii="Times New Roman" w:hAnsi="Times New Roman" w:cs="Times New Roman"/>
                <w:sz w:val="20"/>
                <w:szCs w:val="20"/>
                <w:lang w:eastAsia="en-GB"/>
              </w:rPr>
              <w:t>263/339</w:t>
            </w:r>
          </w:p>
        </w:tc>
        <w:tc>
          <w:tcPr>
            <w:tcW w:w="2098" w:type="dxa"/>
            <w:gridSpan w:val="3"/>
            <w:hideMark/>
          </w:tcPr>
          <w:p w14:paraId="62AFD7FF" w14:textId="77777777" w:rsidR="008E5953" w:rsidRPr="00A227A2" w:rsidRDefault="008E5953">
            <w:pPr>
              <w:spacing w:line="360" w:lineRule="auto"/>
              <w:rPr>
                <w:rFonts w:ascii="Times New Roman" w:hAnsi="Times New Roman" w:cs="Times New Roman"/>
                <w:sz w:val="20"/>
                <w:szCs w:val="20"/>
                <w:lang w:eastAsia="en-GB"/>
              </w:rPr>
            </w:pPr>
            <w:r w:rsidRPr="00A227A2">
              <w:rPr>
                <w:rFonts w:ascii="Times New Roman" w:hAnsi="Times New Roman" w:cs="Times New Roman"/>
                <w:sz w:val="20"/>
                <w:szCs w:val="20"/>
                <w:lang w:eastAsia="en-GB"/>
              </w:rPr>
              <w:t>77.6 (72.8–81.7)</w:t>
            </w:r>
          </w:p>
        </w:tc>
      </w:tr>
      <w:tr w:rsidR="006C3B0A" w:rsidRPr="006C3B0A" w14:paraId="355CDFF9" w14:textId="77777777" w:rsidTr="00EC5B9A">
        <w:tc>
          <w:tcPr>
            <w:tcW w:w="3118" w:type="dxa"/>
            <w:hideMark/>
          </w:tcPr>
          <w:p w14:paraId="498E8534" w14:textId="77777777" w:rsidR="008E5953" w:rsidRPr="00A227A2" w:rsidRDefault="008E5953">
            <w:pPr>
              <w:spacing w:line="360" w:lineRule="auto"/>
              <w:ind w:left="142"/>
              <w:rPr>
                <w:rFonts w:ascii="Times New Roman" w:hAnsi="Times New Roman" w:cs="Times New Roman"/>
                <w:sz w:val="20"/>
                <w:szCs w:val="20"/>
              </w:rPr>
            </w:pPr>
            <w:r w:rsidRPr="00A227A2">
              <w:rPr>
                <w:rFonts w:ascii="Times New Roman" w:hAnsi="Times New Roman" w:cs="Times New Roman"/>
                <w:sz w:val="20"/>
                <w:szCs w:val="20"/>
              </w:rPr>
              <w:t>Negative predictive value</w:t>
            </w:r>
          </w:p>
        </w:tc>
        <w:tc>
          <w:tcPr>
            <w:tcW w:w="972" w:type="dxa"/>
            <w:hideMark/>
          </w:tcPr>
          <w:p w14:paraId="7B990AEE" w14:textId="77777777" w:rsidR="008E5953" w:rsidRPr="00A227A2" w:rsidRDefault="008E5953" w:rsidP="001B1048">
            <w:pPr>
              <w:spacing w:line="360" w:lineRule="auto"/>
              <w:rPr>
                <w:rFonts w:ascii="Times New Roman" w:hAnsi="Times New Roman" w:cs="Times New Roman"/>
                <w:sz w:val="20"/>
                <w:szCs w:val="20"/>
              </w:rPr>
            </w:pPr>
            <w:r w:rsidRPr="00A227A2">
              <w:rPr>
                <w:rFonts w:ascii="Times New Roman" w:hAnsi="Times New Roman" w:cs="Times New Roman"/>
                <w:sz w:val="20"/>
                <w:szCs w:val="20"/>
              </w:rPr>
              <w:t>319/377</w:t>
            </w:r>
          </w:p>
        </w:tc>
        <w:tc>
          <w:tcPr>
            <w:tcW w:w="1927" w:type="dxa"/>
            <w:hideMark/>
          </w:tcPr>
          <w:p w14:paraId="39455402" w14:textId="0B1FE4DD" w:rsidR="008E5953" w:rsidRPr="00A227A2" w:rsidRDefault="008E5953" w:rsidP="001B1048">
            <w:pPr>
              <w:spacing w:line="360" w:lineRule="auto"/>
              <w:rPr>
                <w:rFonts w:ascii="Times New Roman" w:hAnsi="Times New Roman" w:cs="Times New Roman"/>
                <w:sz w:val="20"/>
                <w:szCs w:val="20"/>
              </w:rPr>
            </w:pPr>
            <w:r w:rsidRPr="00A227A2">
              <w:rPr>
                <w:rFonts w:ascii="Times New Roman" w:hAnsi="Times New Roman" w:cs="Times New Roman"/>
                <w:sz w:val="20"/>
                <w:szCs w:val="20"/>
              </w:rPr>
              <w:t>84.6 (80.6</w:t>
            </w:r>
            <w:r w:rsidR="00064B97" w:rsidRPr="00A227A2">
              <w:rPr>
                <w:rFonts w:ascii="Times New Roman" w:hAnsi="Times New Roman" w:cs="Times New Roman"/>
                <w:sz w:val="20"/>
                <w:szCs w:val="20"/>
              </w:rPr>
              <w:t>–</w:t>
            </w:r>
            <w:r w:rsidRPr="00A227A2">
              <w:rPr>
                <w:rFonts w:ascii="Times New Roman" w:hAnsi="Times New Roman" w:cs="Times New Roman"/>
                <w:sz w:val="20"/>
                <w:szCs w:val="20"/>
              </w:rPr>
              <w:t>87.9)</w:t>
            </w:r>
          </w:p>
        </w:tc>
        <w:tc>
          <w:tcPr>
            <w:tcW w:w="972" w:type="dxa"/>
            <w:hideMark/>
          </w:tcPr>
          <w:p w14:paraId="33B49AD5" w14:textId="77777777" w:rsidR="008E5953" w:rsidRPr="00A227A2" w:rsidRDefault="008E5953">
            <w:pPr>
              <w:spacing w:line="360" w:lineRule="auto"/>
              <w:rPr>
                <w:rFonts w:ascii="Times New Roman" w:hAnsi="Times New Roman" w:cs="Times New Roman"/>
                <w:sz w:val="20"/>
                <w:szCs w:val="20"/>
              </w:rPr>
            </w:pPr>
            <w:r w:rsidRPr="00A227A2">
              <w:rPr>
                <w:rFonts w:ascii="Times New Roman" w:hAnsi="Times New Roman" w:cs="Times New Roman"/>
                <w:sz w:val="20"/>
                <w:szCs w:val="20"/>
              </w:rPr>
              <w:t>304/411</w:t>
            </w:r>
          </w:p>
        </w:tc>
        <w:tc>
          <w:tcPr>
            <w:tcW w:w="1926" w:type="dxa"/>
            <w:hideMark/>
          </w:tcPr>
          <w:p w14:paraId="32A4A982" w14:textId="77777777" w:rsidR="008E5953" w:rsidRPr="00A227A2" w:rsidRDefault="008E5953">
            <w:pPr>
              <w:spacing w:line="360" w:lineRule="auto"/>
              <w:rPr>
                <w:rFonts w:ascii="Times New Roman" w:hAnsi="Times New Roman" w:cs="Times New Roman"/>
                <w:sz w:val="20"/>
                <w:szCs w:val="20"/>
              </w:rPr>
            </w:pPr>
            <w:r w:rsidRPr="00A227A2">
              <w:rPr>
                <w:rFonts w:ascii="Times New Roman" w:hAnsi="Times New Roman" w:cs="Times New Roman"/>
                <w:sz w:val="20"/>
                <w:szCs w:val="20"/>
              </w:rPr>
              <w:t>74.0 (69.5–78.0)</w:t>
            </w:r>
          </w:p>
        </w:tc>
        <w:tc>
          <w:tcPr>
            <w:tcW w:w="972" w:type="dxa"/>
            <w:hideMark/>
          </w:tcPr>
          <w:p w14:paraId="7207A8AE" w14:textId="77777777" w:rsidR="008E5953" w:rsidRPr="00A227A2" w:rsidRDefault="008E5953">
            <w:pPr>
              <w:spacing w:line="360" w:lineRule="auto"/>
              <w:rPr>
                <w:rFonts w:ascii="Times New Roman" w:hAnsi="Times New Roman" w:cs="Times New Roman"/>
                <w:sz w:val="20"/>
                <w:szCs w:val="20"/>
                <w:lang w:eastAsia="en-GB"/>
              </w:rPr>
            </w:pPr>
            <w:r w:rsidRPr="00A227A2">
              <w:rPr>
                <w:rFonts w:ascii="Times New Roman" w:hAnsi="Times New Roman" w:cs="Times New Roman"/>
                <w:sz w:val="20"/>
                <w:szCs w:val="20"/>
                <w:lang w:eastAsia="en-GB"/>
              </w:rPr>
              <w:t>296/329</w:t>
            </w:r>
          </w:p>
        </w:tc>
        <w:tc>
          <w:tcPr>
            <w:tcW w:w="1927" w:type="dxa"/>
            <w:hideMark/>
          </w:tcPr>
          <w:p w14:paraId="2ADF0DDA" w14:textId="77777777" w:rsidR="008E5953" w:rsidRPr="00A227A2" w:rsidRDefault="008E5953">
            <w:pPr>
              <w:spacing w:line="360" w:lineRule="auto"/>
              <w:rPr>
                <w:rFonts w:ascii="Times New Roman" w:hAnsi="Times New Roman" w:cs="Times New Roman"/>
                <w:sz w:val="20"/>
                <w:szCs w:val="20"/>
                <w:lang w:eastAsia="en-GB"/>
              </w:rPr>
            </w:pPr>
            <w:r w:rsidRPr="00A227A2">
              <w:rPr>
                <w:rFonts w:ascii="Times New Roman" w:hAnsi="Times New Roman" w:cs="Times New Roman"/>
                <w:sz w:val="20"/>
                <w:szCs w:val="20"/>
                <w:lang w:eastAsia="en-GB"/>
              </w:rPr>
              <w:t>90.0 (86.2–92.8)</w:t>
            </w:r>
          </w:p>
        </w:tc>
        <w:tc>
          <w:tcPr>
            <w:tcW w:w="972" w:type="dxa"/>
            <w:hideMark/>
          </w:tcPr>
          <w:p w14:paraId="4A233A96" w14:textId="77777777" w:rsidR="008E5953" w:rsidRPr="00A227A2" w:rsidRDefault="008E5953">
            <w:pPr>
              <w:spacing w:line="360" w:lineRule="auto"/>
              <w:rPr>
                <w:rFonts w:ascii="Times New Roman" w:hAnsi="Times New Roman" w:cs="Times New Roman"/>
                <w:sz w:val="20"/>
                <w:szCs w:val="20"/>
                <w:lang w:eastAsia="en-GB"/>
              </w:rPr>
            </w:pPr>
            <w:r w:rsidRPr="00A227A2">
              <w:rPr>
                <w:rFonts w:ascii="Times New Roman" w:hAnsi="Times New Roman" w:cs="Times New Roman"/>
                <w:sz w:val="20"/>
                <w:szCs w:val="20"/>
                <w:lang w:eastAsia="en-GB"/>
              </w:rPr>
              <w:t>296/332</w:t>
            </w:r>
          </w:p>
        </w:tc>
        <w:tc>
          <w:tcPr>
            <w:tcW w:w="2098" w:type="dxa"/>
            <w:gridSpan w:val="3"/>
            <w:hideMark/>
          </w:tcPr>
          <w:p w14:paraId="448B76E4" w14:textId="77777777" w:rsidR="008E5953" w:rsidRPr="00A227A2" w:rsidRDefault="008E5953">
            <w:pPr>
              <w:spacing w:line="360" w:lineRule="auto"/>
              <w:rPr>
                <w:rFonts w:ascii="Times New Roman" w:hAnsi="Times New Roman" w:cs="Times New Roman"/>
                <w:sz w:val="20"/>
                <w:szCs w:val="20"/>
                <w:lang w:eastAsia="en-GB"/>
              </w:rPr>
            </w:pPr>
            <w:r w:rsidRPr="00A227A2">
              <w:rPr>
                <w:rFonts w:ascii="Times New Roman" w:hAnsi="Times New Roman" w:cs="Times New Roman"/>
                <w:sz w:val="20"/>
                <w:szCs w:val="20"/>
                <w:lang w:eastAsia="en-GB"/>
              </w:rPr>
              <w:t>89.2 (85.4–92.1)</w:t>
            </w:r>
          </w:p>
        </w:tc>
      </w:tr>
      <w:tr w:rsidR="006C3B0A" w:rsidRPr="006C3B0A" w14:paraId="3A340FC1" w14:textId="77777777" w:rsidTr="00EC5B9A">
        <w:tc>
          <w:tcPr>
            <w:tcW w:w="3118" w:type="dxa"/>
            <w:hideMark/>
          </w:tcPr>
          <w:p w14:paraId="47091073" w14:textId="7B880FB9" w:rsidR="008E5953" w:rsidRPr="00A227A2" w:rsidRDefault="008E5953">
            <w:pPr>
              <w:spacing w:line="360" w:lineRule="auto"/>
              <w:rPr>
                <w:rFonts w:ascii="Times New Roman" w:hAnsi="Times New Roman" w:cs="Times New Roman"/>
                <w:sz w:val="20"/>
                <w:szCs w:val="20"/>
              </w:rPr>
            </w:pPr>
            <w:r w:rsidRPr="00A227A2">
              <w:rPr>
                <w:rFonts w:ascii="Times New Roman" w:hAnsi="Times New Roman" w:cs="Times New Roman"/>
                <w:sz w:val="20"/>
                <w:szCs w:val="20"/>
              </w:rPr>
              <w:t>Likelihood ratios</w:t>
            </w:r>
            <w:r w:rsidR="007B53A8">
              <w:rPr>
                <w:rFonts w:ascii="Times New Roman" w:hAnsi="Times New Roman" w:cs="Times New Roman"/>
                <w:sz w:val="20"/>
                <w:szCs w:val="20"/>
              </w:rPr>
              <w:t xml:space="preserve"> for all TB</w:t>
            </w:r>
          </w:p>
        </w:tc>
        <w:tc>
          <w:tcPr>
            <w:tcW w:w="972" w:type="dxa"/>
          </w:tcPr>
          <w:p w14:paraId="41C8E012" w14:textId="77777777" w:rsidR="008E5953" w:rsidRPr="00A227A2" w:rsidRDefault="008E5953">
            <w:pPr>
              <w:spacing w:line="360" w:lineRule="auto"/>
              <w:rPr>
                <w:rFonts w:ascii="Times New Roman" w:hAnsi="Times New Roman" w:cs="Times New Roman"/>
                <w:sz w:val="20"/>
                <w:szCs w:val="20"/>
              </w:rPr>
            </w:pPr>
          </w:p>
        </w:tc>
        <w:tc>
          <w:tcPr>
            <w:tcW w:w="1927" w:type="dxa"/>
          </w:tcPr>
          <w:p w14:paraId="5248F9A4" w14:textId="77777777" w:rsidR="008E5953" w:rsidRPr="00A227A2" w:rsidRDefault="008E5953">
            <w:pPr>
              <w:spacing w:line="360" w:lineRule="auto"/>
              <w:jc w:val="both"/>
              <w:rPr>
                <w:rFonts w:ascii="Times New Roman" w:hAnsi="Times New Roman" w:cs="Times New Roman"/>
                <w:sz w:val="20"/>
                <w:szCs w:val="20"/>
              </w:rPr>
            </w:pPr>
          </w:p>
        </w:tc>
        <w:tc>
          <w:tcPr>
            <w:tcW w:w="972" w:type="dxa"/>
          </w:tcPr>
          <w:p w14:paraId="549DE005" w14:textId="77777777" w:rsidR="008E5953" w:rsidRPr="00A227A2" w:rsidRDefault="008E5953">
            <w:pPr>
              <w:spacing w:line="360" w:lineRule="auto"/>
              <w:rPr>
                <w:rFonts w:ascii="Times New Roman" w:hAnsi="Times New Roman" w:cs="Times New Roman"/>
                <w:sz w:val="20"/>
                <w:szCs w:val="20"/>
              </w:rPr>
            </w:pPr>
          </w:p>
        </w:tc>
        <w:tc>
          <w:tcPr>
            <w:tcW w:w="1926" w:type="dxa"/>
          </w:tcPr>
          <w:p w14:paraId="47A7F8AE" w14:textId="77777777" w:rsidR="008E5953" w:rsidRPr="00A227A2" w:rsidRDefault="008E5953">
            <w:pPr>
              <w:spacing w:line="360" w:lineRule="auto"/>
              <w:rPr>
                <w:rFonts w:ascii="Times New Roman" w:hAnsi="Times New Roman" w:cs="Times New Roman"/>
                <w:sz w:val="20"/>
                <w:szCs w:val="20"/>
              </w:rPr>
            </w:pPr>
          </w:p>
        </w:tc>
        <w:tc>
          <w:tcPr>
            <w:tcW w:w="972" w:type="dxa"/>
          </w:tcPr>
          <w:p w14:paraId="11FC1563" w14:textId="77777777" w:rsidR="008E5953" w:rsidRPr="00A227A2" w:rsidRDefault="008E5953">
            <w:pPr>
              <w:spacing w:line="360" w:lineRule="auto"/>
              <w:rPr>
                <w:rFonts w:ascii="Times New Roman" w:hAnsi="Times New Roman" w:cs="Times New Roman"/>
                <w:sz w:val="20"/>
                <w:szCs w:val="20"/>
              </w:rPr>
            </w:pPr>
          </w:p>
        </w:tc>
        <w:tc>
          <w:tcPr>
            <w:tcW w:w="1927" w:type="dxa"/>
          </w:tcPr>
          <w:p w14:paraId="0ECD3934" w14:textId="77777777" w:rsidR="008E5953" w:rsidRPr="00A227A2" w:rsidRDefault="008E5953">
            <w:pPr>
              <w:spacing w:line="360" w:lineRule="auto"/>
              <w:rPr>
                <w:rFonts w:ascii="Times New Roman" w:hAnsi="Times New Roman" w:cs="Times New Roman"/>
                <w:sz w:val="20"/>
                <w:szCs w:val="20"/>
                <w:lang w:eastAsia="en-GB"/>
              </w:rPr>
            </w:pPr>
          </w:p>
        </w:tc>
        <w:tc>
          <w:tcPr>
            <w:tcW w:w="972" w:type="dxa"/>
          </w:tcPr>
          <w:p w14:paraId="7218493E" w14:textId="77777777" w:rsidR="008E5953" w:rsidRPr="00A227A2" w:rsidRDefault="008E5953">
            <w:pPr>
              <w:spacing w:line="360" w:lineRule="auto"/>
              <w:rPr>
                <w:rFonts w:ascii="Times New Roman" w:hAnsi="Times New Roman" w:cs="Times New Roman"/>
                <w:sz w:val="20"/>
                <w:szCs w:val="20"/>
              </w:rPr>
            </w:pPr>
          </w:p>
        </w:tc>
        <w:tc>
          <w:tcPr>
            <w:tcW w:w="2098" w:type="dxa"/>
            <w:gridSpan w:val="3"/>
          </w:tcPr>
          <w:p w14:paraId="28BEC90F" w14:textId="77777777" w:rsidR="008E5953" w:rsidRPr="00A227A2" w:rsidRDefault="008E5953">
            <w:pPr>
              <w:spacing w:line="360" w:lineRule="auto"/>
              <w:rPr>
                <w:rFonts w:ascii="Times New Roman" w:hAnsi="Times New Roman" w:cs="Times New Roman"/>
                <w:sz w:val="20"/>
                <w:szCs w:val="20"/>
                <w:lang w:eastAsia="en-GB"/>
              </w:rPr>
            </w:pPr>
          </w:p>
        </w:tc>
      </w:tr>
      <w:tr w:rsidR="006C3B0A" w:rsidRPr="006C3B0A" w14:paraId="2B3B3F47" w14:textId="77777777" w:rsidTr="00EC5B9A">
        <w:tc>
          <w:tcPr>
            <w:tcW w:w="3118" w:type="dxa"/>
            <w:hideMark/>
          </w:tcPr>
          <w:p w14:paraId="7A4D27A4" w14:textId="77777777" w:rsidR="008E5953" w:rsidRPr="00A227A2" w:rsidRDefault="008E5953">
            <w:pPr>
              <w:spacing w:line="360" w:lineRule="auto"/>
              <w:ind w:left="142"/>
              <w:rPr>
                <w:rFonts w:ascii="Times New Roman" w:hAnsi="Times New Roman" w:cs="Times New Roman"/>
                <w:sz w:val="20"/>
                <w:szCs w:val="20"/>
              </w:rPr>
            </w:pPr>
            <w:r w:rsidRPr="00A227A2">
              <w:rPr>
                <w:rFonts w:ascii="Times New Roman" w:hAnsi="Times New Roman" w:cs="Times New Roman"/>
                <w:sz w:val="20"/>
                <w:szCs w:val="20"/>
              </w:rPr>
              <w:t>Positive likelihood ratio</w:t>
            </w:r>
          </w:p>
        </w:tc>
        <w:tc>
          <w:tcPr>
            <w:tcW w:w="972" w:type="dxa"/>
          </w:tcPr>
          <w:p w14:paraId="7CF6B82F" w14:textId="77777777" w:rsidR="008E5953" w:rsidRPr="00A227A2" w:rsidRDefault="008E5953">
            <w:pPr>
              <w:spacing w:line="360" w:lineRule="auto"/>
              <w:rPr>
                <w:rFonts w:ascii="Times New Roman" w:hAnsi="Times New Roman" w:cs="Times New Roman"/>
                <w:sz w:val="20"/>
                <w:szCs w:val="20"/>
              </w:rPr>
            </w:pPr>
          </w:p>
        </w:tc>
        <w:tc>
          <w:tcPr>
            <w:tcW w:w="1927" w:type="dxa"/>
            <w:hideMark/>
          </w:tcPr>
          <w:p w14:paraId="2004DBC9" w14:textId="619B9F77" w:rsidR="008E5953" w:rsidRPr="00A227A2" w:rsidRDefault="008E5953" w:rsidP="001B1048">
            <w:pPr>
              <w:spacing w:line="360" w:lineRule="auto"/>
              <w:rPr>
                <w:rFonts w:ascii="Times New Roman" w:hAnsi="Times New Roman" w:cs="Times New Roman"/>
                <w:sz w:val="20"/>
                <w:szCs w:val="20"/>
              </w:rPr>
            </w:pPr>
            <w:r w:rsidRPr="00A227A2">
              <w:rPr>
                <w:rFonts w:ascii="Times New Roman" w:hAnsi="Times New Roman" w:cs="Times New Roman"/>
                <w:sz w:val="20"/>
                <w:szCs w:val="20"/>
              </w:rPr>
              <w:t>5.90 (4.55</w:t>
            </w:r>
            <w:r w:rsidR="00064B97" w:rsidRPr="00A227A2">
              <w:rPr>
                <w:rFonts w:ascii="Times New Roman" w:hAnsi="Times New Roman" w:cs="Times New Roman"/>
                <w:sz w:val="20"/>
                <w:szCs w:val="20"/>
              </w:rPr>
              <w:t>–</w:t>
            </w:r>
            <w:r w:rsidRPr="00A227A2">
              <w:rPr>
                <w:rFonts w:ascii="Times New Roman" w:hAnsi="Times New Roman" w:cs="Times New Roman"/>
                <w:sz w:val="20"/>
                <w:szCs w:val="20"/>
              </w:rPr>
              <w:t>7.66)</w:t>
            </w:r>
          </w:p>
        </w:tc>
        <w:tc>
          <w:tcPr>
            <w:tcW w:w="972" w:type="dxa"/>
          </w:tcPr>
          <w:p w14:paraId="75707978" w14:textId="77777777" w:rsidR="008E5953" w:rsidRPr="00A227A2" w:rsidRDefault="008E5953">
            <w:pPr>
              <w:spacing w:line="360" w:lineRule="auto"/>
              <w:rPr>
                <w:rFonts w:ascii="Times New Roman" w:hAnsi="Times New Roman" w:cs="Times New Roman"/>
                <w:sz w:val="20"/>
                <w:szCs w:val="20"/>
              </w:rPr>
            </w:pPr>
          </w:p>
        </w:tc>
        <w:tc>
          <w:tcPr>
            <w:tcW w:w="1926" w:type="dxa"/>
            <w:hideMark/>
          </w:tcPr>
          <w:p w14:paraId="76F0ED6C" w14:textId="77777777" w:rsidR="008E5953" w:rsidRPr="00A227A2" w:rsidRDefault="008E5953">
            <w:pPr>
              <w:spacing w:line="360" w:lineRule="auto"/>
              <w:rPr>
                <w:rFonts w:ascii="Times New Roman" w:hAnsi="Times New Roman" w:cs="Times New Roman"/>
                <w:sz w:val="20"/>
                <w:szCs w:val="20"/>
              </w:rPr>
            </w:pPr>
            <w:r w:rsidRPr="00A227A2">
              <w:rPr>
                <w:rFonts w:ascii="Times New Roman" w:hAnsi="Times New Roman" w:cs="Times New Roman"/>
                <w:sz w:val="20"/>
                <w:szCs w:val="20"/>
              </w:rPr>
              <w:t>3.44 (2.76–4.27)</w:t>
            </w:r>
          </w:p>
        </w:tc>
        <w:tc>
          <w:tcPr>
            <w:tcW w:w="972" w:type="dxa"/>
          </w:tcPr>
          <w:p w14:paraId="13D1399B" w14:textId="77777777" w:rsidR="008E5953" w:rsidRPr="00A227A2" w:rsidRDefault="008E5953">
            <w:pPr>
              <w:spacing w:line="360" w:lineRule="auto"/>
              <w:rPr>
                <w:rFonts w:ascii="Times New Roman" w:hAnsi="Times New Roman" w:cs="Times New Roman"/>
                <w:sz w:val="20"/>
                <w:szCs w:val="20"/>
              </w:rPr>
            </w:pPr>
          </w:p>
        </w:tc>
        <w:tc>
          <w:tcPr>
            <w:tcW w:w="1927" w:type="dxa"/>
            <w:hideMark/>
          </w:tcPr>
          <w:p w14:paraId="5C9B9C0A" w14:textId="2A418660" w:rsidR="008E5953" w:rsidRPr="00A227A2" w:rsidRDefault="008E5953">
            <w:pPr>
              <w:spacing w:line="360" w:lineRule="auto"/>
              <w:rPr>
                <w:rFonts w:ascii="Times New Roman" w:hAnsi="Times New Roman" w:cs="Times New Roman"/>
                <w:sz w:val="20"/>
                <w:szCs w:val="20"/>
                <w:lang w:eastAsia="en-GB"/>
              </w:rPr>
            </w:pPr>
            <w:r w:rsidRPr="00A227A2">
              <w:rPr>
                <w:rFonts w:ascii="Times New Roman" w:hAnsi="Times New Roman" w:cs="Times New Roman"/>
                <w:sz w:val="20"/>
                <w:szCs w:val="20"/>
                <w:lang w:eastAsia="en-GB"/>
              </w:rPr>
              <w:t>4.46 (3.62</w:t>
            </w:r>
            <w:r w:rsidR="00064B97" w:rsidRPr="00A227A2">
              <w:rPr>
                <w:rFonts w:ascii="Times New Roman" w:hAnsi="Times New Roman" w:cs="Times New Roman"/>
                <w:sz w:val="20"/>
                <w:szCs w:val="20"/>
              </w:rPr>
              <w:t>–</w:t>
            </w:r>
            <w:r w:rsidRPr="00A227A2">
              <w:rPr>
                <w:rFonts w:ascii="Times New Roman" w:hAnsi="Times New Roman" w:cs="Times New Roman"/>
                <w:sz w:val="20"/>
                <w:szCs w:val="20"/>
                <w:lang w:eastAsia="en-GB"/>
              </w:rPr>
              <w:t>5.49)</w:t>
            </w:r>
          </w:p>
        </w:tc>
        <w:tc>
          <w:tcPr>
            <w:tcW w:w="972" w:type="dxa"/>
          </w:tcPr>
          <w:p w14:paraId="58BE1654" w14:textId="77777777" w:rsidR="008E5953" w:rsidRPr="00A227A2" w:rsidRDefault="008E5953">
            <w:pPr>
              <w:spacing w:line="360" w:lineRule="auto"/>
              <w:rPr>
                <w:rFonts w:ascii="Times New Roman" w:hAnsi="Times New Roman" w:cs="Times New Roman"/>
                <w:sz w:val="20"/>
                <w:szCs w:val="20"/>
              </w:rPr>
            </w:pPr>
          </w:p>
        </w:tc>
        <w:tc>
          <w:tcPr>
            <w:tcW w:w="2098" w:type="dxa"/>
            <w:gridSpan w:val="3"/>
            <w:hideMark/>
          </w:tcPr>
          <w:p w14:paraId="0F6B8789" w14:textId="2ECCEB2A" w:rsidR="008E5953" w:rsidRPr="00A227A2" w:rsidRDefault="008E5953">
            <w:pPr>
              <w:spacing w:line="360" w:lineRule="auto"/>
              <w:rPr>
                <w:rFonts w:ascii="Times New Roman" w:hAnsi="Times New Roman" w:cs="Times New Roman"/>
                <w:sz w:val="20"/>
                <w:szCs w:val="20"/>
                <w:lang w:eastAsia="en-GB"/>
              </w:rPr>
            </w:pPr>
            <w:r w:rsidRPr="00A227A2">
              <w:rPr>
                <w:rFonts w:ascii="Times New Roman" w:hAnsi="Times New Roman" w:cs="Times New Roman"/>
                <w:sz w:val="20"/>
                <w:szCs w:val="20"/>
                <w:lang w:eastAsia="en-GB"/>
              </w:rPr>
              <w:t>4.31 (3.51</w:t>
            </w:r>
            <w:r w:rsidR="00064B97" w:rsidRPr="00A227A2">
              <w:rPr>
                <w:rFonts w:ascii="Times New Roman" w:hAnsi="Times New Roman" w:cs="Times New Roman"/>
                <w:sz w:val="20"/>
                <w:szCs w:val="20"/>
              </w:rPr>
              <w:t>–</w:t>
            </w:r>
            <w:r w:rsidRPr="00A227A2">
              <w:rPr>
                <w:rFonts w:ascii="Times New Roman" w:hAnsi="Times New Roman" w:cs="Times New Roman"/>
                <w:sz w:val="20"/>
                <w:szCs w:val="20"/>
                <w:lang w:eastAsia="en-GB"/>
              </w:rPr>
              <w:t>5.28)</w:t>
            </w:r>
          </w:p>
        </w:tc>
      </w:tr>
      <w:tr w:rsidR="006C3B0A" w:rsidRPr="006C3B0A" w14:paraId="5C61921B" w14:textId="77777777" w:rsidTr="00EC5B9A">
        <w:tc>
          <w:tcPr>
            <w:tcW w:w="3118" w:type="dxa"/>
            <w:tcBorders>
              <w:top w:val="nil"/>
              <w:left w:val="nil"/>
              <w:bottom w:val="single" w:sz="12" w:space="0" w:color="auto"/>
              <w:right w:val="nil"/>
            </w:tcBorders>
            <w:hideMark/>
          </w:tcPr>
          <w:p w14:paraId="1AF75C97" w14:textId="77777777" w:rsidR="008E5953" w:rsidRPr="00A227A2" w:rsidRDefault="008E5953">
            <w:pPr>
              <w:spacing w:line="360" w:lineRule="auto"/>
              <w:ind w:left="142"/>
              <w:rPr>
                <w:rFonts w:ascii="Times New Roman" w:hAnsi="Times New Roman" w:cs="Times New Roman"/>
                <w:sz w:val="20"/>
                <w:szCs w:val="20"/>
              </w:rPr>
            </w:pPr>
            <w:r w:rsidRPr="00A227A2">
              <w:rPr>
                <w:rFonts w:ascii="Times New Roman" w:hAnsi="Times New Roman" w:cs="Times New Roman"/>
                <w:sz w:val="20"/>
                <w:szCs w:val="20"/>
              </w:rPr>
              <w:t>Negative likelihood ratio</w:t>
            </w:r>
          </w:p>
        </w:tc>
        <w:tc>
          <w:tcPr>
            <w:tcW w:w="972" w:type="dxa"/>
            <w:tcBorders>
              <w:top w:val="nil"/>
              <w:left w:val="nil"/>
              <w:bottom w:val="single" w:sz="12" w:space="0" w:color="auto"/>
              <w:right w:val="nil"/>
            </w:tcBorders>
          </w:tcPr>
          <w:p w14:paraId="1EA7BF82" w14:textId="77777777" w:rsidR="008E5953" w:rsidRPr="00A227A2" w:rsidRDefault="008E5953">
            <w:pPr>
              <w:spacing w:line="360" w:lineRule="auto"/>
              <w:rPr>
                <w:rFonts w:ascii="Times New Roman" w:hAnsi="Times New Roman" w:cs="Times New Roman"/>
                <w:sz w:val="20"/>
                <w:szCs w:val="20"/>
              </w:rPr>
            </w:pPr>
          </w:p>
        </w:tc>
        <w:tc>
          <w:tcPr>
            <w:tcW w:w="1927" w:type="dxa"/>
            <w:tcBorders>
              <w:top w:val="nil"/>
              <w:left w:val="nil"/>
              <w:bottom w:val="single" w:sz="12" w:space="0" w:color="auto"/>
              <w:right w:val="nil"/>
            </w:tcBorders>
            <w:hideMark/>
          </w:tcPr>
          <w:p w14:paraId="246AAFFA" w14:textId="25316CE7" w:rsidR="008E5953" w:rsidRPr="00A227A2" w:rsidRDefault="008E5953" w:rsidP="001B1048">
            <w:pPr>
              <w:spacing w:line="360" w:lineRule="auto"/>
              <w:rPr>
                <w:rFonts w:ascii="Times New Roman" w:hAnsi="Times New Roman" w:cs="Times New Roman"/>
                <w:sz w:val="20"/>
                <w:szCs w:val="20"/>
              </w:rPr>
            </w:pPr>
            <w:r w:rsidRPr="00A227A2">
              <w:rPr>
                <w:rFonts w:ascii="Times New Roman" w:hAnsi="Times New Roman" w:cs="Times New Roman"/>
                <w:sz w:val="20"/>
                <w:szCs w:val="20"/>
              </w:rPr>
              <w:t>0.22 (0.17</w:t>
            </w:r>
            <w:r w:rsidR="00064B97" w:rsidRPr="00A227A2">
              <w:rPr>
                <w:rFonts w:ascii="Times New Roman" w:hAnsi="Times New Roman" w:cs="Times New Roman"/>
                <w:sz w:val="20"/>
                <w:szCs w:val="20"/>
              </w:rPr>
              <w:t>–</w:t>
            </w:r>
            <w:r w:rsidRPr="00A227A2">
              <w:rPr>
                <w:rFonts w:ascii="Times New Roman" w:hAnsi="Times New Roman" w:cs="Times New Roman"/>
                <w:sz w:val="20"/>
                <w:szCs w:val="20"/>
              </w:rPr>
              <w:t>0.27)</w:t>
            </w:r>
          </w:p>
        </w:tc>
        <w:tc>
          <w:tcPr>
            <w:tcW w:w="972" w:type="dxa"/>
            <w:tcBorders>
              <w:top w:val="nil"/>
              <w:left w:val="nil"/>
              <w:bottom w:val="single" w:sz="12" w:space="0" w:color="auto"/>
              <w:right w:val="nil"/>
            </w:tcBorders>
          </w:tcPr>
          <w:p w14:paraId="2BEDC3D1" w14:textId="77777777" w:rsidR="008E5953" w:rsidRPr="00A227A2" w:rsidRDefault="008E5953">
            <w:pPr>
              <w:spacing w:line="360" w:lineRule="auto"/>
              <w:rPr>
                <w:rFonts w:ascii="Times New Roman" w:hAnsi="Times New Roman" w:cs="Times New Roman"/>
                <w:sz w:val="20"/>
                <w:szCs w:val="20"/>
              </w:rPr>
            </w:pPr>
          </w:p>
        </w:tc>
        <w:tc>
          <w:tcPr>
            <w:tcW w:w="1926" w:type="dxa"/>
            <w:tcBorders>
              <w:top w:val="nil"/>
              <w:left w:val="nil"/>
              <w:bottom w:val="single" w:sz="12" w:space="0" w:color="auto"/>
              <w:right w:val="nil"/>
            </w:tcBorders>
            <w:hideMark/>
          </w:tcPr>
          <w:p w14:paraId="5B7DF307" w14:textId="77777777" w:rsidR="008E5953" w:rsidRPr="00A227A2" w:rsidRDefault="008E5953">
            <w:pPr>
              <w:spacing w:line="360" w:lineRule="auto"/>
              <w:rPr>
                <w:rFonts w:ascii="Times New Roman" w:hAnsi="Times New Roman" w:cs="Times New Roman"/>
                <w:sz w:val="20"/>
                <w:szCs w:val="20"/>
              </w:rPr>
            </w:pPr>
            <w:r w:rsidRPr="00A227A2">
              <w:rPr>
                <w:rFonts w:ascii="Times New Roman" w:hAnsi="Times New Roman" w:cs="Times New Roman"/>
                <w:sz w:val="20"/>
                <w:szCs w:val="20"/>
              </w:rPr>
              <w:t>0.41 (0.35–0.48)</w:t>
            </w:r>
          </w:p>
        </w:tc>
        <w:tc>
          <w:tcPr>
            <w:tcW w:w="972" w:type="dxa"/>
            <w:tcBorders>
              <w:top w:val="nil"/>
              <w:left w:val="nil"/>
              <w:bottom w:val="single" w:sz="12" w:space="0" w:color="auto"/>
              <w:right w:val="nil"/>
            </w:tcBorders>
          </w:tcPr>
          <w:p w14:paraId="09E14609" w14:textId="77777777" w:rsidR="008E5953" w:rsidRPr="00A227A2" w:rsidRDefault="008E5953">
            <w:pPr>
              <w:spacing w:line="360" w:lineRule="auto"/>
              <w:rPr>
                <w:rFonts w:ascii="Times New Roman" w:hAnsi="Times New Roman" w:cs="Times New Roman"/>
                <w:sz w:val="20"/>
                <w:szCs w:val="20"/>
              </w:rPr>
            </w:pPr>
          </w:p>
        </w:tc>
        <w:tc>
          <w:tcPr>
            <w:tcW w:w="1927" w:type="dxa"/>
            <w:tcBorders>
              <w:top w:val="nil"/>
              <w:left w:val="nil"/>
              <w:bottom w:val="single" w:sz="12" w:space="0" w:color="auto"/>
              <w:right w:val="nil"/>
            </w:tcBorders>
            <w:hideMark/>
          </w:tcPr>
          <w:p w14:paraId="22488FBA" w14:textId="742BAA63" w:rsidR="008E5953" w:rsidRPr="00A227A2" w:rsidRDefault="008E5953">
            <w:pPr>
              <w:spacing w:line="360" w:lineRule="auto"/>
              <w:rPr>
                <w:rFonts w:ascii="Times New Roman" w:hAnsi="Times New Roman" w:cs="Times New Roman"/>
                <w:sz w:val="20"/>
                <w:szCs w:val="20"/>
                <w:lang w:eastAsia="en-GB"/>
              </w:rPr>
            </w:pPr>
            <w:r w:rsidRPr="00A227A2">
              <w:rPr>
                <w:rFonts w:ascii="Times New Roman" w:hAnsi="Times New Roman" w:cs="Times New Roman"/>
                <w:sz w:val="20"/>
                <w:szCs w:val="20"/>
                <w:lang w:eastAsia="en-GB"/>
              </w:rPr>
              <w:t>0.13 (0.10</w:t>
            </w:r>
            <w:r w:rsidR="00064B97" w:rsidRPr="00A227A2">
              <w:rPr>
                <w:rFonts w:ascii="Times New Roman" w:hAnsi="Times New Roman" w:cs="Times New Roman"/>
                <w:sz w:val="20"/>
                <w:szCs w:val="20"/>
              </w:rPr>
              <w:t>–</w:t>
            </w:r>
            <w:r w:rsidRPr="00A227A2">
              <w:rPr>
                <w:rFonts w:ascii="Times New Roman" w:hAnsi="Times New Roman" w:cs="Times New Roman"/>
                <w:sz w:val="20"/>
                <w:szCs w:val="20"/>
                <w:lang w:eastAsia="en-GB"/>
              </w:rPr>
              <w:t>0.19)</w:t>
            </w:r>
          </w:p>
        </w:tc>
        <w:tc>
          <w:tcPr>
            <w:tcW w:w="972" w:type="dxa"/>
            <w:tcBorders>
              <w:top w:val="nil"/>
              <w:left w:val="nil"/>
              <w:bottom w:val="single" w:sz="12" w:space="0" w:color="auto"/>
              <w:right w:val="nil"/>
            </w:tcBorders>
          </w:tcPr>
          <w:p w14:paraId="54BE9ED9" w14:textId="77777777" w:rsidR="008E5953" w:rsidRPr="00A227A2" w:rsidRDefault="008E5953">
            <w:pPr>
              <w:spacing w:line="360" w:lineRule="auto"/>
              <w:rPr>
                <w:rFonts w:ascii="Times New Roman" w:hAnsi="Times New Roman" w:cs="Times New Roman"/>
                <w:sz w:val="20"/>
                <w:szCs w:val="20"/>
              </w:rPr>
            </w:pPr>
          </w:p>
        </w:tc>
        <w:tc>
          <w:tcPr>
            <w:tcW w:w="2098" w:type="dxa"/>
            <w:gridSpan w:val="3"/>
            <w:tcBorders>
              <w:top w:val="nil"/>
              <w:left w:val="nil"/>
              <w:bottom w:val="single" w:sz="12" w:space="0" w:color="auto"/>
              <w:right w:val="nil"/>
            </w:tcBorders>
            <w:hideMark/>
          </w:tcPr>
          <w:p w14:paraId="2FE0C13A" w14:textId="4A349B50" w:rsidR="008E5953" w:rsidRPr="00A227A2" w:rsidRDefault="008E5953">
            <w:pPr>
              <w:spacing w:line="360" w:lineRule="auto"/>
              <w:rPr>
                <w:rFonts w:ascii="Times New Roman" w:hAnsi="Times New Roman" w:cs="Times New Roman"/>
                <w:sz w:val="20"/>
                <w:szCs w:val="20"/>
                <w:lang w:eastAsia="en-GB"/>
              </w:rPr>
            </w:pPr>
            <w:r w:rsidRPr="00A227A2">
              <w:rPr>
                <w:rFonts w:ascii="Times New Roman" w:hAnsi="Times New Roman" w:cs="Times New Roman"/>
                <w:sz w:val="20"/>
                <w:szCs w:val="20"/>
                <w:lang w:eastAsia="en-GB"/>
              </w:rPr>
              <w:t>0.15 (0.11</w:t>
            </w:r>
            <w:r w:rsidR="00064B97" w:rsidRPr="00A227A2">
              <w:rPr>
                <w:rFonts w:ascii="Times New Roman" w:hAnsi="Times New Roman" w:cs="Times New Roman"/>
                <w:sz w:val="20"/>
                <w:szCs w:val="20"/>
              </w:rPr>
              <w:t>–</w:t>
            </w:r>
            <w:r w:rsidRPr="00A227A2">
              <w:rPr>
                <w:rFonts w:ascii="Times New Roman" w:hAnsi="Times New Roman" w:cs="Times New Roman"/>
                <w:sz w:val="20"/>
                <w:szCs w:val="20"/>
                <w:lang w:eastAsia="en-GB"/>
              </w:rPr>
              <w:t>0.21)</w:t>
            </w:r>
          </w:p>
        </w:tc>
      </w:tr>
    </w:tbl>
    <w:p w14:paraId="262EECF4" w14:textId="77777777" w:rsidR="008E5953" w:rsidRPr="00A227A2" w:rsidRDefault="008E5953">
      <w:pPr>
        <w:spacing w:after="0" w:line="360" w:lineRule="auto"/>
        <w:rPr>
          <w:rFonts w:ascii="Times New Roman" w:hAnsi="Times New Roman" w:cs="Times New Roman"/>
          <w:sz w:val="20"/>
          <w:szCs w:val="24"/>
        </w:rPr>
      </w:pPr>
      <w:r w:rsidRPr="00A227A2">
        <w:rPr>
          <w:rFonts w:ascii="Times New Roman" w:hAnsi="Times New Roman" w:cs="Times New Roman"/>
          <w:sz w:val="20"/>
          <w:szCs w:val="24"/>
        </w:rPr>
        <w:t>LTBI, latent tuberculosis infection; TST, tuberculin skin test.</w:t>
      </w:r>
    </w:p>
    <w:p w14:paraId="2136D081" w14:textId="75284B2E" w:rsidR="00B27988" w:rsidRDefault="00383EAA">
      <w:pPr>
        <w:spacing w:after="0" w:line="360" w:lineRule="auto"/>
        <w:jc w:val="both"/>
        <w:rPr>
          <w:rFonts w:ascii="Times New Roman" w:hAnsi="Times New Roman" w:cs="Times New Roman"/>
          <w:sz w:val="20"/>
          <w:szCs w:val="24"/>
        </w:rPr>
      </w:pPr>
      <w:r>
        <w:rPr>
          <w:rFonts w:ascii="Times New Roman" w:hAnsi="Times New Roman" w:cs="Times New Roman"/>
          <w:sz w:val="20"/>
          <w:szCs w:val="24"/>
          <w:vertAlign w:val="superscript"/>
        </w:rPr>
        <w:t>a</w:t>
      </w:r>
      <w:r w:rsidR="003E6350">
        <w:rPr>
          <w:rFonts w:ascii="Times New Roman" w:hAnsi="Times New Roman" w:cs="Times New Roman"/>
          <w:sz w:val="20"/>
          <w:szCs w:val="24"/>
        </w:rPr>
        <w:t xml:space="preserve">25/845 </w:t>
      </w:r>
      <w:r>
        <w:rPr>
          <w:rFonts w:ascii="Times New Roman" w:hAnsi="Times New Roman" w:cs="Times New Roman"/>
          <w:sz w:val="20"/>
          <w:szCs w:val="24"/>
        </w:rPr>
        <w:t>QFT-GIT and 36</w:t>
      </w:r>
      <w:r w:rsidR="003E6350">
        <w:rPr>
          <w:rFonts w:ascii="Times New Roman" w:hAnsi="Times New Roman" w:cs="Times New Roman"/>
          <w:sz w:val="20"/>
          <w:szCs w:val="24"/>
        </w:rPr>
        <w:t>/845</w:t>
      </w:r>
      <w:r>
        <w:rPr>
          <w:rFonts w:ascii="Times New Roman" w:hAnsi="Times New Roman" w:cs="Times New Roman"/>
          <w:sz w:val="20"/>
          <w:szCs w:val="24"/>
        </w:rPr>
        <w:t xml:space="preserve"> T-SPOT.TB and </w:t>
      </w:r>
      <w:r w:rsidR="00C9141C">
        <w:rPr>
          <w:rFonts w:ascii="Times New Roman" w:hAnsi="Times New Roman" w:cs="Times New Roman"/>
          <w:sz w:val="20"/>
          <w:szCs w:val="24"/>
        </w:rPr>
        <w:t>second-generation</w:t>
      </w:r>
      <w:r>
        <w:rPr>
          <w:rFonts w:ascii="Times New Roman" w:hAnsi="Times New Roman" w:cs="Times New Roman"/>
          <w:sz w:val="20"/>
          <w:szCs w:val="24"/>
        </w:rPr>
        <w:t xml:space="preserve"> IGRA results were missing </w:t>
      </w:r>
      <w:r w:rsidR="00B27988">
        <w:rPr>
          <w:rFonts w:ascii="Times New Roman" w:hAnsi="Times New Roman" w:cs="Times New Roman"/>
          <w:sz w:val="20"/>
          <w:szCs w:val="24"/>
        </w:rPr>
        <w:t xml:space="preserve">due to </w:t>
      </w:r>
      <w:r w:rsidR="00A07267">
        <w:rPr>
          <w:rFonts w:ascii="Times New Roman" w:hAnsi="Times New Roman" w:cs="Times New Roman"/>
          <w:sz w:val="20"/>
          <w:szCs w:val="24"/>
        </w:rPr>
        <w:t>blood draw difficulties</w:t>
      </w:r>
      <w:r w:rsidR="00B27988">
        <w:rPr>
          <w:rFonts w:ascii="Times New Roman" w:hAnsi="Times New Roman" w:cs="Times New Roman"/>
          <w:sz w:val="20"/>
          <w:szCs w:val="24"/>
        </w:rPr>
        <w:t xml:space="preserve">, </w:t>
      </w:r>
      <w:r w:rsidR="00A07267">
        <w:rPr>
          <w:rFonts w:ascii="Times New Roman" w:hAnsi="Times New Roman" w:cs="Times New Roman"/>
          <w:sz w:val="20"/>
          <w:szCs w:val="24"/>
        </w:rPr>
        <w:t>sample</w:t>
      </w:r>
      <w:r w:rsidR="00B27988">
        <w:rPr>
          <w:rFonts w:ascii="Times New Roman" w:hAnsi="Times New Roman" w:cs="Times New Roman"/>
          <w:sz w:val="20"/>
          <w:szCs w:val="24"/>
        </w:rPr>
        <w:t>s being</w:t>
      </w:r>
      <w:r w:rsidR="00A07267">
        <w:rPr>
          <w:rFonts w:ascii="Times New Roman" w:hAnsi="Times New Roman" w:cs="Times New Roman"/>
          <w:sz w:val="20"/>
          <w:szCs w:val="24"/>
        </w:rPr>
        <w:t xml:space="preserve"> unsuitable for testing</w:t>
      </w:r>
      <w:r w:rsidR="00B27988">
        <w:rPr>
          <w:rFonts w:ascii="Times New Roman" w:hAnsi="Times New Roman" w:cs="Times New Roman"/>
          <w:sz w:val="20"/>
          <w:szCs w:val="24"/>
        </w:rPr>
        <w:t xml:space="preserve">, or </w:t>
      </w:r>
      <w:r w:rsidR="00A07267">
        <w:rPr>
          <w:rFonts w:ascii="Times New Roman" w:hAnsi="Times New Roman" w:cs="Times New Roman"/>
          <w:sz w:val="20"/>
          <w:szCs w:val="24"/>
        </w:rPr>
        <w:t>sample</w:t>
      </w:r>
      <w:r w:rsidR="00B27988">
        <w:rPr>
          <w:rFonts w:ascii="Times New Roman" w:hAnsi="Times New Roman" w:cs="Times New Roman"/>
          <w:sz w:val="20"/>
          <w:szCs w:val="24"/>
        </w:rPr>
        <w:t>s being</w:t>
      </w:r>
      <w:r w:rsidR="00A07267">
        <w:rPr>
          <w:rFonts w:ascii="Times New Roman" w:hAnsi="Times New Roman" w:cs="Times New Roman"/>
          <w:sz w:val="20"/>
          <w:szCs w:val="24"/>
        </w:rPr>
        <w:t xml:space="preserve"> destroyed for laboratory reasons. </w:t>
      </w:r>
      <w:r w:rsidR="00460A3B">
        <w:rPr>
          <w:rFonts w:ascii="Times New Roman" w:hAnsi="Times New Roman" w:cs="Times New Roman"/>
          <w:sz w:val="20"/>
          <w:szCs w:val="24"/>
        </w:rPr>
        <w:t xml:space="preserve">Missing results were spread across </w:t>
      </w:r>
      <w:r w:rsidR="009415EE">
        <w:rPr>
          <w:rFonts w:ascii="Times New Roman" w:hAnsi="Times New Roman" w:cs="Times New Roman"/>
          <w:sz w:val="20"/>
          <w:szCs w:val="24"/>
        </w:rPr>
        <w:t>all diagnostic categories</w:t>
      </w:r>
      <w:r w:rsidR="00460A3B">
        <w:rPr>
          <w:rFonts w:ascii="Times New Roman" w:hAnsi="Times New Roman" w:cs="Times New Roman"/>
          <w:sz w:val="20"/>
          <w:szCs w:val="24"/>
        </w:rPr>
        <w:t>.</w:t>
      </w:r>
    </w:p>
    <w:p w14:paraId="0FB6558C" w14:textId="25D9141B" w:rsidR="00064B97" w:rsidRDefault="008B4A97" w:rsidP="00064B97">
      <w:pPr>
        <w:spacing w:after="0" w:line="360" w:lineRule="auto"/>
        <w:jc w:val="both"/>
        <w:rPr>
          <w:rFonts w:ascii="Times New Roman" w:hAnsi="Times New Roman" w:cs="Times New Roman"/>
          <w:sz w:val="20"/>
          <w:szCs w:val="24"/>
        </w:rPr>
      </w:pPr>
      <w:proofErr w:type="spellStart"/>
      <w:r>
        <w:rPr>
          <w:rFonts w:ascii="Times New Roman" w:hAnsi="Times New Roman" w:cs="Times New Roman"/>
          <w:sz w:val="20"/>
          <w:szCs w:val="24"/>
          <w:vertAlign w:val="superscript"/>
        </w:rPr>
        <w:lastRenderedPageBreak/>
        <w:t>b</w:t>
      </w:r>
      <w:r w:rsidR="009415EE">
        <w:rPr>
          <w:rFonts w:ascii="Times New Roman" w:hAnsi="Times New Roman" w:cs="Times New Roman"/>
          <w:sz w:val="20"/>
          <w:szCs w:val="24"/>
        </w:rPr>
        <w:t>’Highly</w:t>
      </w:r>
      <w:proofErr w:type="spellEnd"/>
      <w:r w:rsidR="007B53A8">
        <w:rPr>
          <w:rFonts w:ascii="Times New Roman" w:hAnsi="Times New Roman" w:cs="Times New Roman"/>
          <w:sz w:val="20"/>
          <w:szCs w:val="24"/>
        </w:rPr>
        <w:t>-</w:t>
      </w:r>
      <w:r w:rsidR="009415EE">
        <w:rPr>
          <w:rFonts w:ascii="Times New Roman" w:hAnsi="Times New Roman" w:cs="Times New Roman"/>
          <w:sz w:val="20"/>
          <w:szCs w:val="24"/>
        </w:rPr>
        <w:t xml:space="preserve">probable’ TB includes culture-negative TB cases plus 10 patients </w:t>
      </w:r>
      <w:r w:rsidR="009162AC">
        <w:rPr>
          <w:rFonts w:ascii="Times New Roman" w:hAnsi="Times New Roman" w:cs="Times New Roman"/>
          <w:sz w:val="20"/>
          <w:szCs w:val="24"/>
        </w:rPr>
        <w:t xml:space="preserve">with a final diagnosis of TB </w:t>
      </w:r>
      <w:r w:rsidR="009415EE">
        <w:rPr>
          <w:rFonts w:ascii="Times New Roman" w:hAnsi="Times New Roman" w:cs="Times New Roman"/>
          <w:sz w:val="20"/>
          <w:szCs w:val="24"/>
        </w:rPr>
        <w:t xml:space="preserve">who did not have </w:t>
      </w:r>
      <w:proofErr w:type="spellStart"/>
      <w:r w:rsidR="009415EE">
        <w:rPr>
          <w:rFonts w:ascii="Times New Roman" w:hAnsi="Times New Roman" w:cs="Times New Roman"/>
          <w:sz w:val="20"/>
          <w:szCs w:val="24"/>
        </w:rPr>
        <w:t>Mtb</w:t>
      </w:r>
      <w:proofErr w:type="spellEnd"/>
      <w:r w:rsidR="009415EE">
        <w:rPr>
          <w:rFonts w:ascii="Times New Roman" w:hAnsi="Times New Roman" w:cs="Times New Roman"/>
          <w:sz w:val="20"/>
          <w:szCs w:val="24"/>
        </w:rPr>
        <w:t xml:space="preserve"> culture performed. </w:t>
      </w:r>
      <w:r w:rsidR="00064B97">
        <w:rPr>
          <w:rFonts w:ascii="Times New Roman" w:hAnsi="Times New Roman" w:cs="Times New Roman"/>
          <w:sz w:val="20"/>
          <w:szCs w:val="24"/>
        </w:rPr>
        <w:t>S</w:t>
      </w:r>
      <w:r w:rsidR="00064B97" w:rsidRPr="00A227A2">
        <w:rPr>
          <w:rFonts w:ascii="Times New Roman" w:hAnsi="Times New Roman" w:cs="Times New Roman"/>
          <w:sz w:val="20"/>
          <w:szCs w:val="24"/>
        </w:rPr>
        <w:t>ensitivity (</w:t>
      </w:r>
      <w:r w:rsidR="003E2465">
        <w:rPr>
          <w:rFonts w:ascii="Times New Roman" w:hAnsi="Times New Roman" w:cs="Times New Roman"/>
          <w:sz w:val="20"/>
          <w:szCs w:val="24"/>
        </w:rPr>
        <w:t>95%CI</w:t>
      </w:r>
      <w:r w:rsidR="00064B97" w:rsidRPr="00A227A2">
        <w:rPr>
          <w:rFonts w:ascii="Times New Roman" w:hAnsi="Times New Roman" w:cs="Times New Roman"/>
          <w:sz w:val="20"/>
          <w:szCs w:val="24"/>
        </w:rPr>
        <w:t xml:space="preserve">) </w:t>
      </w:r>
      <w:r w:rsidR="00064B97">
        <w:rPr>
          <w:rFonts w:ascii="Times New Roman" w:hAnsi="Times New Roman" w:cs="Times New Roman"/>
          <w:sz w:val="20"/>
          <w:szCs w:val="24"/>
        </w:rPr>
        <w:t xml:space="preserve">results for culture-negative TB alone were as follows: </w:t>
      </w:r>
      <w:r w:rsidR="00064B97" w:rsidRPr="00A227A2">
        <w:rPr>
          <w:rFonts w:ascii="Times New Roman" w:hAnsi="Times New Roman" w:cs="Times New Roman"/>
          <w:sz w:val="20"/>
          <w:szCs w:val="24"/>
        </w:rPr>
        <w:t xml:space="preserve">T-SPOT.TB </w:t>
      </w:r>
      <w:r w:rsidR="00064B97">
        <w:rPr>
          <w:rFonts w:ascii="Times New Roman" w:hAnsi="Times New Roman" w:cs="Times New Roman"/>
          <w:sz w:val="20"/>
          <w:szCs w:val="24"/>
        </w:rPr>
        <w:t>– 69.9</w:t>
      </w:r>
      <w:r w:rsidR="00064B97" w:rsidRPr="00A227A2">
        <w:rPr>
          <w:rFonts w:ascii="Times New Roman" w:hAnsi="Times New Roman" w:cs="Times New Roman"/>
          <w:sz w:val="20"/>
          <w:szCs w:val="24"/>
        </w:rPr>
        <w:t>% (</w:t>
      </w:r>
      <w:r w:rsidR="00064B97">
        <w:rPr>
          <w:rFonts w:ascii="Times New Roman" w:hAnsi="Times New Roman" w:cs="Times New Roman"/>
          <w:sz w:val="20"/>
          <w:szCs w:val="24"/>
        </w:rPr>
        <w:t>59.3–78.7);</w:t>
      </w:r>
      <w:r w:rsidR="00064B97" w:rsidRPr="00A227A2">
        <w:rPr>
          <w:rFonts w:ascii="Times New Roman" w:hAnsi="Times New Roman" w:cs="Times New Roman"/>
          <w:sz w:val="20"/>
          <w:szCs w:val="24"/>
        </w:rPr>
        <w:t xml:space="preserve"> QFT-GIT</w:t>
      </w:r>
      <w:r w:rsidR="00064B97">
        <w:rPr>
          <w:rFonts w:ascii="Times New Roman" w:hAnsi="Times New Roman" w:cs="Times New Roman"/>
          <w:sz w:val="20"/>
          <w:szCs w:val="24"/>
        </w:rPr>
        <w:t xml:space="preserve"> – 57.1</w:t>
      </w:r>
      <w:r w:rsidR="00210BCD">
        <w:rPr>
          <w:rFonts w:ascii="Times New Roman" w:hAnsi="Times New Roman" w:cs="Times New Roman"/>
          <w:sz w:val="20"/>
          <w:szCs w:val="24"/>
        </w:rPr>
        <w:t>%</w:t>
      </w:r>
      <w:r w:rsidR="00064B97">
        <w:rPr>
          <w:rFonts w:ascii="Times New Roman" w:hAnsi="Times New Roman" w:cs="Times New Roman"/>
          <w:sz w:val="20"/>
          <w:szCs w:val="24"/>
        </w:rPr>
        <w:t xml:space="preserve"> </w:t>
      </w:r>
      <w:r w:rsidR="00064B97" w:rsidRPr="00A227A2">
        <w:rPr>
          <w:rFonts w:ascii="Times New Roman" w:hAnsi="Times New Roman" w:cs="Times New Roman"/>
          <w:sz w:val="20"/>
          <w:szCs w:val="24"/>
        </w:rPr>
        <w:t>(</w:t>
      </w:r>
      <w:r w:rsidR="00064B97">
        <w:rPr>
          <w:rFonts w:ascii="Times New Roman" w:hAnsi="Times New Roman" w:cs="Times New Roman"/>
          <w:sz w:val="20"/>
          <w:szCs w:val="24"/>
        </w:rPr>
        <w:t>46.5–67.2</w:t>
      </w:r>
      <w:r w:rsidR="00064B97" w:rsidRPr="00A227A2">
        <w:rPr>
          <w:rFonts w:ascii="Times New Roman" w:hAnsi="Times New Roman" w:cs="Times New Roman"/>
          <w:sz w:val="20"/>
          <w:szCs w:val="24"/>
        </w:rPr>
        <w:t>)</w:t>
      </w:r>
      <w:r w:rsidR="00064B97">
        <w:rPr>
          <w:rFonts w:ascii="Times New Roman" w:hAnsi="Times New Roman" w:cs="Times New Roman"/>
          <w:sz w:val="20"/>
          <w:szCs w:val="24"/>
        </w:rPr>
        <w:t xml:space="preserve">; </w:t>
      </w:r>
      <w:r w:rsidR="00C9141C">
        <w:rPr>
          <w:rFonts w:ascii="Times New Roman" w:hAnsi="Times New Roman" w:cs="Times New Roman"/>
          <w:sz w:val="20"/>
          <w:szCs w:val="24"/>
        </w:rPr>
        <w:t>second-generation</w:t>
      </w:r>
      <w:r w:rsidR="00064B97">
        <w:rPr>
          <w:rFonts w:ascii="Times New Roman" w:hAnsi="Times New Roman" w:cs="Times New Roman"/>
          <w:sz w:val="20"/>
          <w:szCs w:val="24"/>
        </w:rPr>
        <w:t xml:space="preserve"> IGRA</w:t>
      </w:r>
      <w:r w:rsidR="00064B97" w:rsidRPr="00A227A2">
        <w:rPr>
          <w:rFonts w:ascii="Times New Roman" w:hAnsi="Times New Roman" w:cs="Times New Roman"/>
          <w:sz w:val="20"/>
          <w:szCs w:val="24"/>
        </w:rPr>
        <w:t xml:space="preserve"> (ESAT-6, CFP-10, Rv3615c)</w:t>
      </w:r>
      <w:r w:rsidR="00064B97">
        <w:rPr>
          <w:rFonts w:ascii="Times New Roman" w:hAnsi="Times New Roman" w:cs="Times New Roman"/>
          <w:sz w:val="20"/>
          <w:szCs w:val="24"/>
        </w:rPr>
        <w:t xml:space="preserve"> – 75.0</w:t>
      </w:r>
      <w:r w:rsidR="00210BCD">
        <w:rPr>
          <w:rFonts w:ascii="Times New Roman" w:hAnsi="Times New Roman" w:cs="Times New Roman"/>
          <w:sz w:val="20"/>
          <w:szCs w:val="24"/>
        </w:rPr>
        <w:t>%</w:t>
      </w:r>
      <w:r w:rsidR="00064B97">
        <w:rPr>
          <w:rFonts w:ascii="Times New Roman" w:hAnsi="Times New Roman" w:cs="Times New Roman"/>
          <w:sz w:val="20"/>
          <w:szCs w:val="24"/>
        </w:rPr>
        <w:t xml:space="preserve"> </w:t>
      </w:r>
      <w:r w:rsidR="00064B97" w:rsidRPr="00A227A2">
        <w:rPr>
          <w:rFonts w:ascii="Times New Roman" w:hAnsi="Times New Roman" w:cs="Times New Roman"/>
          <w:sz w:val="20"/>
          <w:szCs w:val="24"/>
        </w:rPr>
        <w:t>(</w:t>
      </w:r>
      <w:r w:rsidR="00064B97">
        <w:rPr>
          <w:rFonts w:ascii="Times New Roman" w:hAnsi="Times New Roman" w:cs="Times New Roman"/>
          <w:sz w:val="20"/>
          <w:szCs w:val="24"/>
        </w:rPr>
        <w:t>64.5–83.2); ESAT-6-free IGRA</w:t>
      </w:r>
      <w:r w:rsidR="00064B97" w:rsidRPr="00A227A2">
        <w:rPr>
          <w:rFonts w:ascii="Times New Roman" w:hAnsi="Times New Roman" w:cs="Times New Roman"/>
          <w:sz w:val="20"/>
          <w:szCs w:val="24"/>
        </w:rPr>
        <w:t xml:space="preserve"> (CFP-10, Rv3615c, Rv3879c)</w:t>
      </w:r>
      <w:r w:rsidR="00064B97">
        <w:rPr>
          <w:rFonts w:ascii="Times New Roman" w:hAnsi="Times New Roman" w:cs="Times New Roman"/>
          <w:sz w:val="20"/>
          <w:szCs w:val="24"/>
        </w:rPr>
        <w:t xml:space="preserve"> – 73.1</w:t>
      </w:r>
      <w:r w:rsidR="00210BCD">
        <w:rPr>
          <w:rFonts w:ascii="Times New Roman" w:hAnsi="Times New Roman" w:cs="Times New Roman"/>
          <w:sz w:val="20"/>
          <w:szCs w:val="24"/>
        </w:rPr>
        <w:t>%</w:t>
      </w:r>
      <w:r w:rsidR="00064B97">
        <w:rPr>
          <w:rFonts w:ascii="Times New Roman" w:hAnsi="Times New Roman" w:cs="Times New Roman"/>
          <w:sz w:val="20"/>
          <w:szCs w:val="24"/>
        </w:rPr>
        <w:t xml:space="preserve"> (62.3–81.7)</w:t>
      </w:r>
      <w:r w:rsidR="00210BCD">
        <w:rPr>
          <w:rFonts w:ascii="Times New Roman" w:hAnsi="Times New Roman" w:cs="Times New Roman"/>
          <w:sz w:val="20"/>
          <w:szCs w:val="24"/>
        </w:rPr>
        <w:t>.</w:t>
      </w:r>
      <w:r w:rsidR="00064B97" w:rsidRPr="00A227A2">
        <w:rPr>
          <w:rFonts w:ascii="Times New Roman" w:hAnsi="Times New Roman" w:cs="Times New Roman"/>
          <w:sz w:val="20"/>
          <w:szCs w:val="24"/>
        </w:rPr>
        <w:t xml:space="preserve">  </w:t>
      </w:r>
    </w:p>
    <w:p w14:paraId="737DB4FD" w14:textId="389540B3" w:rsidR="008051F8" w:rsidRDefault="008B4A97" w:rsidP="00841765">
      <w:pPr>
        <w:spacing w:after="0" w:line="360" w:lineRule="auto"/>
        <w:jc w:val="both"/>
        <w:rPr>
          <w:rFonts w:ascii="Times New Roman" w:hAnsi="Times New Roman" w:cs="Times New Roman"/>
          <w:sz w:val="20"/>
          <w:szCs w:val="24"/>
        </w:rPr>
      </w:pPr>
      <w:r w:rsidRPr="008B4A97">
        <w:rPr>
          <w:rFonts w:ascii="Times New Roman" w:hAnsi="Times New Roman" w:cs="Times New Roman"/>
          <w:sz w:val="20"/>
          <w:szCs w:val="24"/>
          <w:vertAlign w:val="superscript"/>
        </w:rPr>
        <w:t>c</w:t>
      </w:r>
      <w:r w:rsidR="00B431C7">
        <w:rPr>
          <w:rFonts w:ascii="Times New Roman" w:hAnsi="Times New Roman" w:cs="Times New Roman"/>
          <w:sz w:val="20"/>
          <w:szCs w:val="24"/>
        </w:rPr>
        <w:t xml:space="preserve">56/845 </w:t>
      </w:r>
      <w:r w:rsidR="00B27988">
        <w:rPr>
          <w:rFonts w:ascii="Times New Roman" w:hAnsi="Times New Roman" w:cs="Times New Roman"/>
          <w:sz w:val="20"/>
          <w:szCs w:val="24"/>
        </w:rPr>
        <w:t>participants did not</w:t>
      </w:r>
      <w:r>
        <w:rPr>
          <w:rFonts w:ascii="Times New Roman" w:hAnsi="Times New Roman" w:cs="Times New Roman"/>
          <w:sz w:val="20"/>
          <w:szCs w:val="24"/>
        </w:rPr>
        <w:t xml:space="preserve"> undergo</w:t>
      </w:r>
      <w:r w:rsidR="00B27988">
        <w:rPr>
          <w:rFonts w:ascii="Times New Roman" w:hAnsi="Times New Roman" w:cs="Times New Roman"/>
          <w:sz w:val="20"/>
          <w:szCs w:val="24"/>
        </w:rPr>
        <w:t xml:space="preserve"> smear microscopy</w:t>
      </w:r>
      <w:r w:rsidR="00F4469A">
        <w:rPr>
          <w:rFonts w:ascii="Times New Roman" w:hAnsi="Times New Roman" w:cs="Times New Roman"/>
          <w:sz w:val="20"/>
          <w:szCs w:val="24"/>
        </w:rPr>
        <w:t>.</w:t>
      </w:r>
    </w:p>
    <w:p w14:paraId="3E99EB4D" w14:textId="13E514F8" w:rsidR="003918C5" w:rsidRDefault="003918C5" w:rsidP="003918C5">
      <w:pPr>
        <w:spacing w:after="0" w:line="360" w:lineRule="auto"/>
        <w:jc w:val="both"/>
        <w:rPr>
          <w:rFonts w:ascii="Times New Roman" w:hAnsi="Times New Roman" w:cs="Times New Roman"/>
          <w:sz w:val="20"/>
          <w:szCs w:val="20"/>
        </w:rPr>
      </w:pPr>
      <w:proofErr w:type="spellStart"/>
      <w:r w:rsidRPr="00870B05">
        <w:rPr>
          <w:rFonts w:ascii="Times New Roman" w:hAnsi="Times New Roman" w:cs="Times New Roman"/>
          <w:sz w:val="20"/>
          <w:szCs w:val="20"/>
          <w:vertAlign w:val="superscript"/>
        </w:rPr>
        <w:t>d</w:t>
      </w:r>
      <w:r w:rsidR="00870B05" w:rsidRPr="001A64BE">
        <w:rPr>
          <w:rFonts w:ascii="Times New Roman" w:hAnsi="Times New Roman" w:cs="Times New Roman"/>
          <w:sz w:val="20"/>
          <w:szCs w:val="20"/>
        </w:rPr>
        <w:t>Among</w:t>
      </w:r>
      <w:proofErr w:type="spellEnd"/>
      <w:r w:rsidR="00DE52A4">
        <w:rPr>
          <w:rFonts w:ascii="Times New Roman" w:hAnsi="Times New Roman" w:cs="Times New Roman"/>
          <w:sz w:val="20"/>
          <w:szCs w:val="20"/>
        </w:rPr>
        <w:t xml:space="preserve"> 1</w:t>
      </w:r>
      <w:r w:rsidR="00B431C7" w:rsidRPr="00870B05">
        <w:rPr>
          <w:rFonts w:ascii="Times New Roman" w:hAnsi="Times New Roman" w:cs="Times New Roman"/>
          <w:sz w:val="20"/>
          <w:szCs w:val="20"/>
        </w:rPr>
        <w:t>65</w:t>
      </w:r>
      <w:r w:rsidR="00B431C7">
        <w:rPr>
          <w:rFonts w:ascii="Times New Roman" w:hAnsi="Times New Roman" w:cs="Times New Roman"/>
          <w:sz w:val="20"/>
          <w:szCs w:val="20"/>
        </w:rPr>
        <w:t xml:space="preserve"> patients </w:t>
      </w:r>
      <w:r w:rsidR="00870B05">
        <w:rPr>
          <w:rFonts w:ascii="Times New Roman" w:hAnsi="Times New Roman" w:cs="Times New Roman"/>
          <w:sz w:val="20"/>
          <w:szCs w:val="20"/>
        </w:rPr>
        <w:t xml:space="preserve">who </w:t>
      </w:r>
      <w:r w:rsidRPr="00E80544">
        <w:rPr>
          <w:rFonts w:ascii="Times New Roman" w:hAnsi="Times New Roman" w:cs="Times New Roman"/>
          <w:sz w:val="20"/>
          <w:szCs w:val="20"/>
        </w:rPr>
        <w:t>were smear-negative but culture-positive</w:t>
      </w:r>
      <w:r w:rsidR="00DE52A4">
        <w:rPr>
          <w:rFonts w:ascii="Times New Roman" w:hAnsi="Times New Roman" w:cs="Times New Roman"/>
          <w:sz w:val="20"/>
          <w:szCs w:val="20"/>
        </w:rPr>
        <w:t>,</w:t>
      </w:r>
      <w:r w:rsidRPr="00E80544">
        <w:rPr>
          <w:rFonts w:ascii="Times New Roman" w:hAnsi="Times New Roman" w:cs="Times New Roman"/>
          <w:sz w:val="20"/>
          <w:szCs w:val="20"/>
        </w:rPr>
        <w:t xml:space="preserve"> 122/142 were T-SPOT.TB-positive</w:t>
      </w:r>
      <w:r w:rsidR="008C5A32" w:rsidRPr="00E80544">
        <w:rPr>
          <w:rFonts w:ascii="Times New Roman" w:hAnsi="Times New Roman" w:cs="Times New Roman"/>
          <w:sz w:val="20"/>
          <w:szCs w:val="20"/>
        </w:rPr>
        <w:t>;</w:t>
      </w:r>
      <w:r w:rsidRPr="00E80544">
        <w:rPr>
          <w:rFonts w:ascii="Times New Roman" w:hAnsi="Times New Roman" w:cs="Times New Roman"/>
          <w:sz w:val="20"/>
          <w:szCs w:val="20"/>
        </w:rPr>
        <w:t xml:space="preserve"> 105/153 were QFT-GIT-positive</w:t>
      </w:r>
      <w:r w:rsidR="008C5A32" w:rsidRPr="00E80544">
        <w:rPr>
          <w:rFonts w:ascii="Times New Roman" w:hAnsi="Times New Roman" w:cs="Times New Roman"/>
          <w:sz w:val="20"/>
          <w:szCs w:val="20"/>
        </w:rPr>
        <w:t xml:space="preserve">; </w:t>
      </w:r>
      <w:r w:rsidRPr="00E80544">
        <w:rPr>
          <w:rFonts w:ascii="Times New Roman" w:hAnsi="Times New Roman" w:cs="Times New Roman"/>
          <w:sz w:val="20"/>
          <w:szCs w:val="20"/>
        </w:rPr>
        <w:t xml:space="preserve">135/144 were positive in </w:t>
      </w:r>
      <w:r w:rsidR="00C9141C">
        <w:rPr>
          <w:rFonts w:ascii="Times New Roman" w:hAnsi="Times New Roman" w:cs="Times New Roman"/>
          <w:sz w:val="20"/>
          <w:szCs w:val="20"/>
        </w:rPr>
        <w:t>second-generation</w:t>
      </w:r>
      <w:r w:rsidRPr="00E80544">
        <w:rPr>
          <w:rFonts w:ascii="Times New Roman" w:hAnsi="Times New Roman" w:cs="Times New Roman"/>
          <w:sz w:val="20"/>
          <w:szCs w:val="20"/>
        </w:rPr>
        <w:t xml:space="preserve"> IGRA</w:t>
      </w:r>
      <w:r w:rsidR="008C5A32" w:rsidRPr="00E80544">
        <w:rPr>
          <w:rFonts w:ascii="Times New Roman" w:hAnsi="Times New Roman" w:cs="Times New Roman"/>
          <w:sz w:val="20"/>
          <w:szCs w:val="20"/>
        </w:rPr>
        <w:t xml:space="preserve"> and </w:t>
      </w:r>
      <w:r w:rsidRPr="00E80544">
        <w:rPr>
          <w:rFonts w:ascii="Times New Roman" w:hAnsi="Times New Roman" w:cs="Times New Roman"/>
          <w:sz w:val="20"/>
          <w:szCs w:val="20"/>
        </w:rPr>
        <w:t>131/141 were positive in ESAT-6-free IGRA</w:t>
      </w:r>
      <w:r w:rsidR="008C5A32" w:rsidRPr="00E80544">
        <w:rPr>
          <w:rFonts w:ascii="Times New Roman" w:hAnsi="Times New Roman" w:cs="Times New Roman"/>
          <w:sz w:val="20"/>
          <w:szCs w:val="20"/>
        </w:rPr>
        <w:t>.</w:t>
      </w:r>
    </w:p>
    <w:p w14:paraId="70D69688" w14:textId="56623AAB" w:rsidR="008051F8" w:rsidRDefault="008051F8" w:rsidP="008051F8">
      <w:pPr>
        <w:spacing w:after="0" w:line="360" w:lineRule="auto"/>
        <w:jc w:val="both"/>
        <w:rPr>
          <w:rFonts w:ascii="Times New Roman" w:hAnsi="Times New Roman" w:cs="Times New Roman"/>
          <w:sz w:val="20"/>
          <w:szCs w:val="24"/>
        </w:rPr>
      </w:pPr>
      <w:r w:rsidRPr="008051F8">
        <w:rPr>
          <w:rFonts w:ascii="Times New Roman" w:hAnsi="Times New Roman" w:cs="Times New Roman"/>
          <w:sz w:val="20"/>
          <w:szCs w:val="24"/>
          <w:vertAlign w:val="superscript"/>
        </w:rPr>
        <w:t xml:space="preserve"> </w:t>
      </w:r>
      <w:proofErr w:type="spellStart"/>
      <w:r>
        <w:rPr>
          <w:rFonts w:ascii="Times New Roman" w:hAnsi="Times New Roman" w:cs="Times New Roman"/>
          <w:sz w:val="20"/>
          <w:szCs w:val="24"/>
          <w:vertAlign w:val="superscript"/>
        </w:rPr>
        <w:t>e</w:t>
      </w:r>
      <w:r w:rsidRPr="00A227A2">
        <w:rPr>
          <w:rFonts w:ascii="Times New Roman" w:hAnsi="Times New Roman" w:cs="Times New Roman"/>
          <w:sz w:val="20"/>
          <w:szCs w:val="24"/>
        </w:rPr>
        <w:t>Indeterminate</w:t>
      </w:r>
      <w:proofErr w:type="spellEnd"/>
      <w:r w:rsidRPr="00A227A2">
        <w:rPr>
          <w:rFonts w:ascii="Times New Roman" w:hAnsi="Times New Roman" w:cs="Times New Roman"/>
          <w:sz w:val="20"/>
          <w:szCs w:val="24"/>
        </w:rPr>
        <w:t xml:space="preserve"> </w:t>
      </w:r>
      <w:r>
        <w:rPr>
          <w:rFonts w:ascii="Times New Roman" w:hAnsi="Times New Roman" w:cs="Times New Roman"/>
          <w:sz w:val="20"/>
          <w:szCs w:val="24"/>
        </w:rPr>
        <w:t xml:space="preserve">and borderline </w:t>
      </w:r>
      <w:r w:rsidRPr="00A227A2">
        <w:rPr>
          <w:rFonts w:ascii="Times New Roman" w:hAnsi="Times New Roman" w:cs="Times New Roman"/>
          <w:sz w:val="20"/>
          <w:szCs w:val="24"/>
        </w:rPr>
        <w:t xml:space="preserve">IGRA results were excluded from </w:t>
      </w:r>
      <w:r>
        <w:rPr>
          <w:rFonts w:ascii="Times New Roman" w:hAnsi="Times New Roman" w:cs="Times New Roman"/>
          <w:sz w:val="20"/>
          <w:szCs w:val="24"/>
        </w:rPr>
        <w:t xml:space="preserve">the </w:t>
      </w:r>
      <w:r w:rsidRPr="00A227A2">
        <w:rPr>
          <w:rFonts w:ascii="Times New Roman" w:hAnsi="Times New Roman" w:cs="Times New Roman"/>
          <w:sz w:val="20"/>
          <w:szCs w:val="24"/>
        </w:rPr>
        <w:t>analys</w:t>
      </w:r>
      <w:r>
        <w:rPr>
          <w:rFonts w:ascii="Times New Roman" w:hAnsi="Times New Roman" w:cs="Times New Roman"/>
          <w:sz w:val="20"/>
          <w:szCs w:val="24"/>
        </w:rPr>
        <w:t>i</w:t>
      </w:r>
      <w:r w:rsidRPr="00A227A2">
        <w:rPr>
          <w:rFonts w:ascii="Times New Roman" w:hAnsi="Times New Roman" w:cs="Times New Roman"/>
          <w:sz w:val="20"/>
          <w:szCs w:val="24"/>
        </w:rPr>
        <w:t>s</w:t>
      </w:r>
      <w:r>
        <w:rPr>
          <w:rFonts w:ascii="Times New Roman" w:hAnsi="Times New Roman" w:cs="Times New Roman"/>
          <w:sz w:val="20"/>
          <w:szCs w:val="24"/>
        </w:rPr>
        <w:t xml:space="preserve"> and thus also from data presented in this table. Numbers of indeterminate and borderline results for T-SPOT.TB/QFT-GIT and </w:t>
      </w:r>
      <w:r w:rsidR="00C9141C">
        <w:rPr>
          <w:rFonts w:ascii="Times New Roman" w:hAnsi="Times New Roman" w:cs="Times New Roman"/>
          <w:sz w:val="20"/>
          <w:szCs w:val="24"/>
        </w:rPr>
        <w:t>second-generation</w:t>
      </w:r>
      <w:r>
        <w:rPr>
          <w:rFonts w:ascii="Times New Roman" w:hAnsi="Times New Roman" w:cs="Times New Roman"/>
          <w:sz w:val="20"/>
          <w:szCs w:val="24"/>
        </w:rPr>
        <w:t xml:space="preserve"> IGRA are presented in the Appendix (Supplementary Tables 3 (page5) and 4 (page 6), respectively). </w:t>
      </w:r>
    </w:p>
    <w:p w14:paraId="7359D0D8" w14:textId="1171A464" w:rsidR="008051F8" w:rsidRPr="00A227A2" w:rsidRDefault="008051F8" w:rsidP="008051F8">
      <w:pPr>
        <w:spacing w:after="0" w:line="360" w:lineRule="auto"/>
        <w:jc w:val="both"/>
        <w:rPr>
          <w:rFonts w:ascii="Times New Roman" w:hAnsi="Times New Roman" w:cs="Times New Roman"/>
          <w:sz w:val="20"/>
          <w:szCs w:val="24"/>
        </w:rPr>
      </w:pPr>
      <w:proofErr w:type="spellStart"/>
      <w:r w:rsidRPr="00893C09">
        <w:rPr>
          <w:rFonts w:ascii="Times New Roman" w:hAnsi="Times New Roman" w:cs="Times New Roman"/>
          <w:sz w:val="20"/>
          <w:szCs w:val="24"/>
          <w:vertAlign w:val="superscript"/>
        </w:rPr>
        <w:t>f</w:t>
      </w:r>
      <w:r>
        <w:rPr>
          <w:rFonts w:ascii="Times New Roman" w:hAnsi="Times New Roman" w:cs="Times New Roman"/>
          <w:sz w:val="20"/>
          <w:szCs w:val="24"/>
        </w:rPr>
        <w:t>When</w:t>
      </w:r>
      <w:proofErr w:type="spellEnd"/>
      <w:r>
        <w:rPr>
          <w:rFonts w:ascii="Times New Roman" w:hAnsi="Times New Roman" w:cs="Times New Roman"/>
          <w:sz w:val="20"/>
          <w:szCs w:val="24"/>
        </w:rPr>
        <w:t xml:space="preserve"> indeterminate and borderline results were included as test positives in sensitivity analyses (positive on the basis that such a result could not exclude a TB diagnosis), s</w:t>
      </w:r>
      <w:r w:rsidRPr="00A227A2">
        <w:rPr>
          <w:rFonts w:ascii="Times New Roman" w:hAnsi="Times New Roman" w:cs="Times New Roman"/>
          <w:sz w:val="20"/>
          <w:szCs w:val="24"/>
        </w:rPr>
        <w:t>ensitivity (</w:t>
      </w:r>
      <w:r>
        <w:rPr>
          <w:rFonts w:ascii="Times New Roman" w:hAnsi="Times New Roman" w:cs="Times New Roman"/>
          <w:sz w:val="20"/>
          <w:szCs w:val="24"/>
        </w:rPr>
        <w:t>95%CI</w:t>
      </w:r>
      <w:r w:rsidRPr="00A227A2">
        <w:rPr>
          <w:rFonts w:ascii="Times New Roman" w:hAnsi="Times New Roman" w:cs="Times New Roman"/>
          <w:sz w:val="20"/>
          <w:szCs w:val="24"/>
        </w:rPr>
        <w:t xml:space="preserve">) </w:t>
      </w:r>
      <w:r>
        <w:rPr>
          <w:rFonts w:ascii="Times New Roman" w:hAnsi="Times New Roman" w:cs="Times New Roman"/>
          <w:sz w:val="20"/>
          <w:szCs w:val="24"/>
        </w:rPr>
        <w:t xml:space="preserve">results for all TB were as follows: </w:t>
      </w:r>
      <w:r w:rsidRPr="00A227A2">
        <w:rPr>
          <w:rFonts w:ascii="Times New Roman" w:hAnsi="Times New Roman" w:cs="Times New Roman"/>
          <w:sz w:val="20"/>
          <w:szCs w:val="24"/>
        </w:rPr>
        <w:t xml:space="preserve">T-SPOT.TB </w:t>
      </w:r>
      <w:r w:rsidRPr="00A76BB4">
        <w:rPr>
          <w:rFonts w:ascii="Times New Roman" w:hAnsi="Times New Roman" w:cs="Times New Roman"/>
          <w:sz w:val="20"/>
          <w:szCs w:val="24"/>
        </w:rPr>
        <w:t xml:space="preserve">– 83.2% (78.9-86.8); QFT-GIT – 69.7% (64.7–74.2); </w:t>
      </w:r>
      <w:r w:rsidR="00C9141C">
        <w:rPr>
          <w:rFonts w:ascii="Times New Roman" w:hAnsi="Times New Roman" w:cs="Times New Roman"/>
          <w:sz w:val="20"/>
          <w:szCs w:val="24"/>
        </w:rPr>
        <w:t>second-generation</w:t>
      </w:r>
      <w:r w:rsidRPr="00A76BB4">
        <w:rPr>
          <w:rFonts w:ascii="Times New Roman" w:hAnsi="Times New Roman" w:cs="Times New Roman"/>
          <w:sz w:val="20"/>
          <w:szCs w:val="24"/>
        </w:rPr>
        <w:t xml:space="preserve"> IGRA (ESAT-6, CFP-10, Rv3615c) – 90.4% (86.9–93.1); ESAT-6-free IGRA (CFP-10, Rv3615c, Rv3879c) – 89.6% (85.9–92.4).</w:t>
      </w:r>
      <w:r w:rsidRPr="00A227A2">
        <w:rPr>
          <w:rFonts w:ascii="Times New Roman" w:hAnsi="Times New Roman" w:cs="Times New Roman"/>
          <w:sz w:val="20"/>
          <w:szCs w:val="24"/>
        </w:rPr>
        <w:t xml:space="preserve">  </w:t>
      </w:r>
    </w:p>
    <w:p w14:paraId="46BDDA4C" w14:textId="77777777" w:rsidR="008E5953" w:rsidRPr="00957E32" w:rsidRDefault="008E5953" w:rsidP="001B1048">
      <w:pPr>
        <w:spacing w:after="0" w:line="360" w:lineRule="auto"/>
        <w:rPr>
          <w:rFonts w:ascii="Times New Roman" w:hAnsi="Times New Roman" w:cs="Times New Roman"/>
          <w:sz w:val="24"/>
          <w:szCs w:val="24"/>
        </w:rPr>
      </w:pPr>
    </w:p>
    <w:p w14:paraId="7C6C6734" w14:textId="77777777" w:rsidR="008E5953" w:rsidRPr="00957E32" w:rsidRDefault="008E5953" w:rsidP="001B1048">
      <w:pPr>
        <w:spacing w:after="0" w:line="360" w:lineRule="auto"/>
        <w:rPr>
          <w:rFonts w:ascii="Times New Roman" w:hAnsi="Times New Roman" w:cs="Times New Roman"/>
          <w:sz w:val="24"/>
          <w:szCs w:val="24"/>
        </w:rPr>
      </w:pPr>
    </w:p>
    <w:p w14:paraId="65C02EAC" w14:textId="77777777" w:rsidR="008E5953" w:rsidRPr="00957E32" w:rsidRDefault="008E5953" w:rsidP="001B1048">
      <w:pPr>
        <w:spacing w:after="0" w:line="360" w:lineRule="auto"/>
        <w:rPr>
          <w:rFonts w:ascii="Times New Roman" w:hAnsi="Times New Roman" w:cs="Times New Roman"/>
          <w:sz w:val="24"/>
          <w:szCs w:val="24"/>
        </w:rPr>
      </w:pPr>
    </w:p>
    <w:p w14:paraId="18CB7532" w14:textId="77777777" w:rsidR="008E5953" w:rsidRPr="00957E32" w:rsidRDefault="008E5953" w:rsidP="001B1048">
      <w:pPr>
        <w:spacing w:after="0" w:line="360" w:lineRule="auto"/>
        <w:rPr>
          <w:rFonts w:ascii="Times New Roman" w:hAnsi="Times New Roman" w:cs="Times New Roman"/>
          <w:sz w:val="24"/>
          <w:szCs w:val="24"/>
        </w:rPr>
      </w:pPr>
    </w:p>
    <w:p w14:paraId="505BCA8B" w14:textId="77777777" w:rsidR="008E5953" w:rsidRPr="00957E32" w:rsidRDefault="008E5953" w:rsidP="001B1048">
      <w:pPr>
        <w:spacing w:after="0" w:line="360" w:lineRule="auto"/>
        <w:rPr>
          <w:rFonts w:ascii="Times New Roman" w:hAnsi="Times New Roman" w:cs="Times New Roman"/>
          <w:sz w:val="24"/>
          <w:szCs w:val="24"/>
        </w:rPr>
      </w:pPr>
    </w:p>
    <w:p w14:paraId="5C6C3130" w14:textId="77777777" w:rsidR="009C2BA9" w:rsidRPr="00957E32" w:rsidRDefault="009C2BA9" w:rsidP="00EC5B9A">
      <w:pPr>
        <w:spacing w:after="0" w:line="360" w:lineRule="auto"/>
        <w:rPr>
          <w:rFonts w:ascii="Times New Roman" w:hAnsi="Times New Roman" w:cs="Times New Roman"/>
          <w:sz w:val="24"/>
          <w:szCs w:val="24"/>
        </w:rPr>
      </w:pPr>
    </w:p>
    <w:sectPr w:rsidR="009C2BA9" w:rsidRPr="00957E32" w:rsidSect="00EC5B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82BB9" w14:textId="77777777" w:rsidR="00A8040B" w:rsidRDefault="00A8040B" w:rsidP="00B663E8">
      <w:pPr>
        <w:spacing w:after="0" w:line="240" w:lineRule="auto"/>
      </w:pPr>
      <w:r>
        <w:separator/>
      </w:r>
    </w:p>
  </w:endnote>
  <w:endnote w:type="continuationSeparator" w:id="0">
    <w:p w14:paraId="0DA2F9CF" w14:textId="77777777" w:rsidR="00A8040B" w:rsidRDefault="00A8040B" w:rsidP="00B6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QuayItcT-Book">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7755121"/>
      <w:docPartObj>
        <w:docPartGallery w:val="Page Numbers (Bottom of Page)"/>
        <w:docPartUnique/>
      </w:docPartObj>
    </w:sdtPr>
    <w:sdtEndPr>
      <w:rPr>
        <w:noProof/>
      </w:rPr>
    </w:sdtEndPr>
    <w:sdtContent>
      <w:p w14:paraId="6AEDF679" w14:textId="769E089A" w:rsidR="00B0459C" w:rsidRDefault="00B0459C" w:rsidP="001B1048">
        <w:pPr>
          <w:pStyle w:val="Footer"/>
          <w:jc w:val="right"/>
        </w:pPr>
        <w:r>
          <w:fldChar w:fldCharType="begin"/>
        </w:r>
        <w:r>
          <w:instrText xml:space="preserve"> PAGE   \* MERGEFORMAT </w:instrText>
        </w:r>
        <w:r>
          <w:fldChar w:fldCharType="separate"/>
        </w:r>
        <w:r>
          <w:rPr>
            <w:noProof/>
          </w:rPr>
          <w:t>26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C8281" w14:textId="77777777" w:rsidR="00A8040B" w:rsidRDefault="00A8040B" w:rsidP="00B663E8">
      <w:pPr>
        <w:spacing w:after="0" w:line="240" w:lineRule="auto"/>
      </w:pPr>
      <w:r>
        <w:separator/>
      </w:r>
    </w:p>
  </w:footnote>
  <w:footnote w:type="continuationSeparator" w:id="0">
    <w:p w14:paraId="218D8FF6" w14:textId="77777777" w:rsidR="00A8040B" w:rsidRDefault="00A8040B" w:rsidP="00B663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6720C"/>
    <w:multiLevelType w:val="hybridMultilevel"/>
    <w:tmpl w:val="DAD22ABE"/>
    <w:lvl w:ilvl="0" w:tplc="1FF2F780">
      <w:start w:val="1"/>
      <w:numFmt w:val="decimal"/>
      <w:lvlText w:val="%1."/>
      <w:lvlJc w:val="left"/>
      <w:pPr>
        <w:ind w:left="720" w:hanging="360"/>
      </w:pPr>
      <w:rPr>
        <w:rFonts w:hint="default"/>
        <w:sz w:val="24"/>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FB6922"/>
    <w:multiLevelType w:val="hybridMultilevel"/>
    <w:tmpl w:val="52F01858"/>
    <w:lvl w:ilvl="0" w:tplc="EB4E99C2">
      <w:start w:val="1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171BC"/>
    <w:multiLevelType w:val="hybridMultilevel"/>
    <w:tmpl w:val="0A129C82"/>
    <w:lvl w:ilvl="0" w:tplc="6B4A6690">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1FE02E5"/>
    <w:multiLevelType w:val="hybridMultilevel"/>
    <w:tmpl w:val="8DEAC404"/>
    <w:lvl w:ilvl="0" w:tplc="EC68F8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966D11"/>
    <w:multiLevelType w:val="hybridMultilevel"/>
    <w:tmpl w:val="7B3297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130301"/>
    <w:multiLevelType w:val="hybridMultilevel"/>
    <w:tmpl w:val="F0E29F2C"/>
    <w:lvl w:ilvl="0" w:tplc="2F1A4784">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6915FA"/>
    <w:multiLevelType w:val="hybridMultilevel"/>
    <w:tmpl w:val="04BACA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D82F8D"/>
    <w:multiLevelType w:val="hybridMultilevel"/>
    <w:tmpl w:val="F36AE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B840D2"/>
    <w:multiLevelType w:val="hybridMultilevel"/>
    <w:tmpl w:val="A70CFF12"/>
    <w:lvl w:ilvl="0" w:tplc="17D833AC">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FAB55E5"/>
    <w:multiLevelType w:val="hybridMultilevel"/>
    <w:tmpl w:val="D8408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230FE7"/>
    <w:multiLevelType w:val="hybridMultilevel"/>
    <w:tmpl w:val="98BE617A"/>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BA7C4D"/>
    <w:multiLevelType w:val="hybridMultilevel"/>
    <w:tmpl w:val="B3C41A36"/>
    <w:lvl w:ilvl="0" w:tplc="41D047A4">
      <w:start w:val="3"/>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903896"/>
    <w:multiLevelType w:val="hybridMultilevel"/>
    <w:tmpl w:val="0BB69C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60611E"/>
    <w:multiLevelType w:val="hybridMultilevel"/>
    <w:tmpl w:val="004EF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5C77DE"/>
    <w:multiLevelType w:val="hybridMultilevel"/>
    <w:tmpl w:val="A4B4FDD6"/>
    <w:lvl w:ilvl="0" w:tplc="A4CA4AA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6D663D"/>
    <w:multiLevelType w:val="hybridMultilevel"/>
    <w:tmpl w:val="B8D20A70"/>
    <w:lvl w:ilvl="0" w:tplc="F784281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F537B7"/>
    <w:multiLevelType w:val="hybridMultilevel"/>
    <w:tmpl w:val="35509E12"/>
    <w:lvl w:ilvl="0" w:tplc="99107BC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A501F7"/>
    <w:multiLevelType w:val="hybridMultilevel"/>
    <w:tmpl w:val="38AC6B44"/>
    <w:lvl w:ilvl="0" w:tplc="A238BA5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C725CB"/>
    <w:multiLevelType w:val="hybridMultilevel"/>
    <w:tmpl w:val="B052E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7C0961"/>
    <w:multiLevelType w:val="hybridMultilevel"/>
    <w:tmpl w:val="DF125C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40D6EE1"/>
    <w:multiLevelType w:val="hybridMultilevel"/>
    <w:tmpl w:val="340AAFE6"/>
    <w:lvl w:ilvl="0" w:tplc="682AB004">
      <w:start w:val="3"/>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14588C"/>
    <w:multiLevelType w:val="hybridMultilevel"/>
    <w:tmpl w:val="3C7249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13000D"/>
    <w:multiLevelType w:val="hybridMultilevel"/>
    <w:tmpl w:val="8D104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D52E3E"/>
    <w:multiLevelType w:val="multilevel"/>
    <w:tmpl w:val="65F87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F530BD"/>
    <w:multiLevelType w:val="multilevel"/>
    <w:tmpl w:val="215AC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4"/>
  </w:num>
  <w:num w:numId="3">
    <w:abstractNumId w:val="5"/>
  </w:num>
  <w:num w:numId="4">
    <w:abstractNumId w:val="18"/>
  </w:num>
  <w:num w:numId="5">
    <w:abstractNumId w:val="8"/>
  </w:num>
  <w:num w:numId="6">
    <w:abstractNumId w:val="2"/>
  </w:num>
  <w:num w:numId="7">
    <w:abstractNumId w:val="20"/>
  </w:num>
  <w:num w:numId="8">
    <w:abstractNumId w:val="10"/>
  </w:num>
  <w:num w:numId="9">
    <w:abstractNumId w:val="23"/>
  </w:num>
  <w:num w:numId="10">
    <w:abstractNumId w:val="7"/>
  </w:num>
  <w:num w:numId="11">
    <w:abstractNumId w:val="13"/>
  </w:num>
  <w:num w:numId="12">
    <w:abstractNumId w:val="9"/>
  </w:num>
  <w:num w:numId="13">
    <w:abstractNumId w:val="22"/>
  </w:num>
  <w:num w:numId="14">
    <w:abstractNumId w:val="0"/>
  </w:num>
  <w:num w:numId="15">
    <w:abstractNumId w:val="19"/>
  </w:num>
  <w:num w:numId="16">
    <w:abstractNumId w:val="12"/>
  </w:num>
  <w:num w:numId="17">
    <w:abstractNumId w:val="14"/>
  </w:num>
  <w:num w:numId="18">
    <w:abstractNumId w:val="24"/>
  </w:num>
  <w:num w:numId="19">
    <w:abstractNumId w:val="15"/>
  </w:num>
  <w:num w:numId="20">
    <w:abstractNumId w:val="3"/>
  </w:num>
  <w:num w:numId="21">
    <w:abstractNumId w:val="21"/>
  </w:num>
  <w:num w:numId="22">
    <w:abstractNumId w:val="1"/>
  </w:num>
  <w:num w:numId="23">
    <w:abstractNumId w:val="11"/>
  </w:num>
  <w:num w:numId="24">
    <w:abstractNumId w:val="6"/>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C31"/>
    <w:rsid w:val="00000D2A"/>
    <w:rsid w:val="00001AC1"/>
    <w:rsid w:val="00001E39"/>
    <w:rsid w:val="0000226C"/>
    <w:rsid w:val="000033E9"/>
    <w:rsid w:val="000062C7"/>
    <w:rsid w:val="000073E8"/>
    <w:rsid w:val="00011E5E"/>
    <w:rsid w:val="00012F59"/>
    <w:rsid w:val="00016795"/>
    <w:rsid w:val="00016B15"/>
    <w:rsid w:val="00016F80"/>
    <w:rsid w:val="00017BBD"/>
    <w:rsid w:val="000210C8"/>
    <w:rsid w:val="0002153A"/>
    <w:rsid w:val="00024DFB"/>
    <w:rsid w:val="0002625B"/>
    <w:rsid w:val="00027CFF"/>
    <w:rsid w:val="00032BE5"/>
    <w:rsid w:val="0003456B"/>
    <w:rsid w:val="00042FA0"/>
    <w:rsid w:val="00044E0F"/>
    <w:rsid w:val="00050637"/>
    <w:rsid w:val="00054EC5"/>
    <w:rsid w:val="000559D0"/>
    <w:rsid w:val="00055E0D"/>
    <w:rsid w:val="00057C43"/>
    <w:rsid w:val="00061DD0"/>
    <w:rsid w:val="00063F4E"/>
    <w:rsid w:val="00064B97"/>
    <w:rsid w:val="00065B65"/>
    <w:rsid w:val="00066570"/>
    <w:rsid w:val="00066860"/>
    <w:rsid w:val="00066E10"/>
    <w:rsid w:val="00070496"/>
    <w:rsid w:val="00070E02"/>
    <w:rsid w:val="0007316A"/>
    <w:rsid w:val="000739F5"/>
    <w:rsid w:val="00073ABE"/>
    <w:rsid w:val="00073FA9"/>
    <w:rsid w:val="00074A3E"/>
    <w:rsid w:val="00077440"/>
    <w:rsid w:val="000812B4"/>
    <w:rsid w:val="00086E97"/>
    <w:rsid w:val="00087F85"/>
    <w:rsid w:val="00087FE3"/>
    <w:rsid w:val="00093D5F"/>
    <w:rsid w:val="000959A4"/>
    <w:rsid w:val="000A019E"/>
    <w:rsid w:val="000A0556"/>
    <w:rsid w:val="000A062E"/>
    <w:rsid w:val="000A0CBC"/>
    <w:rsid w:val="000A144F"/>
    <w:rsid w:val="000A1AB9"/>
    <w:rsid w:val="000A2411"/>
    <w:rsid w:val="000A3353"/>
    <w:rsid w:val="000A7146"/>
    <w:rsid w:val="000B1C0E"/>
    <w:rsid w:val="000B3786"/>
    <w:rsid w:val="000B3AB6"/>
    <w:rsid w:val="000B4C32"/>
    <w:rsid w:val="000C05EE"/>
    <w:rsid w:val="000C2D26"/>
    <w:rsid w:val="000C39C5"/>
    <w:rsid w:val="000C52B8"/>
    <w:rsid w:val="000C5B19"/>
    <w:rsid w:val="000D2885"/>
    <w:rsid w:val="000D33A0"/>
    <w:rsid w:val="000D35C1"/>
    <w:rsid w:val="000D7A52"/>
    <w:rsid w:val="000E27FF"/>
    <w:rsid w:val="000E70E9"/>
    <w:rsid w:val="000E7B96"/>
    <w:rsid w:val="000E7DC3"/>
    <w:rsid w:val="000F13AD"/>
    <w:rsid w:val="000F17CC"/>
    <w:rsid w:val="000F1BAE"/>
    <w:rsid w:val="000F2631"/>
    <w:rsid w:val="000F2A64"/>
    <w:rsid w:val="000F2FBB"/>
    <w:rsid w:val="000F3D1F"/>
    <w:rsid w:val="000F45D3"/>
    <w:rsid w:val="000F5156"/>
    <w:rsid w:val="000F6F5C"/>
    <w:rsid w:val="001015A9"/>
    <w:rsid w:val="001026DD"/>
    <w:rsid w:val="001052F9"/>
    <w:rsid w:val="0010655F"/>
    <w:rsid w:val="0010736B"/>
    <w:rsid w:val="00110487"/>
    <w:rsid w:val="001117E3"/>
    <w:rsid w:val="001129C7"/>
    <w:rsid w:val="00113B04"/>
    <w:rsid w:val="001148C3"/>
    <w:rsid w:val="001174DD"/>
    <w:rsid w:val="00122707"/>
    <w:rsid w:val="00122964"/>
    <w:rsid w:val="00122E67"/>
    <w:rsid w:val="0012620D"/>
    <w:rsid w:val="001265BE"/>
    <w:rsid w:val="00127CC4"/>
    <w:rsid w:val="0013011B"/>
    <w:rsid w:val="00131910"/>
    <w:rsid w:val="00134BAF"/>
    <w:rsid w:val="00134F80"/>
    <w:rsid w:val="001361BC"/>
    <w:rsid w:val="00136E40"/>
    <w:rsid w:val="00140663"/>
    <w:rsid w:val="0014305B"/>
    <w:rsid w:val="001435B0"/>
    <w:rsid w:val="00143F53"/>
    <w:rsid w:val="0014424C"/>
    <w:rsid w:val="001465FF"/>
    <w:rsid w:val="00150900"/>
    <w:rsid w:val="001510C0"/>
    <w:rsid w:val="00154067"/>
    <w:rsid w:val="00154BA8"/>
    <w:rsid w:val="00155D99"/>
    <w:rsid w:val="001570ED"/>
    <w:rsid w:val="00165A66"/>
    <w:rsid w:val="00165D5E"/>
    <w:rsid w:val="00166EEA"/>
    <w:rsid w:val="001723E4"/>
    <w:rsid w:val="00175F1D"/>
    <w:rsid w:val="00177CD3"/>
    <w:rsid w:val="00180D38"/>
    <w:rsid w:val="00181D72"/>
    <w:rsid w:val="00182890"/>
    <w:rsid w:val="00183C2E"/>
    <w:rsid w:val="00187B31"/>
    <w:rsid w:val="00191FF3"/>
    <w:rsid w:val="00192B90"/>
    <w:rsid w:val="00194684"/>
    <w:rsid w:val="001A0503"/>
    <w:rsid w:val="001A571A"/>
    <w:rsid w:val="001A5E92"/>
    <w:rsid w:val="001A64BE"/>
    <w:rsid w:val="001B0318"/>
    <w:rsid w:val="001B06DF"/>
    <w:rsid w:val="001B1048"/>
    <w:rsid w:val="001B2734"/>
    <w:rsid w:val="001B53D0"/>
    <w:rsid w:val="001B6E9A"/>
    <w:rsid w:val="001B7C52"/>
    <w:rsid w:val="001C21D7"/>
    <w:rsid w:val="001C6FC5"/>
    <w:rsid w:val="001D0FC5"/>
    <w:rsid w:val="001D213B"/>
    <w:rsid w:val="001D2C38"/>
    <w:rsid w:val="001D36A8"/>
    <w:rsid w:val="001D3A88"/>
    <w:rsid w:val="001D4A49"/>
    <w:rsid w:val="001E094C"/>
    <w:rsid w:val="001E4DF5"/>
    <w:rsid w:val="001E7712"/>
    <w:rsid w:val="001F11E6"/>
    <w:rsid w:val="001F387D"/>
    <w:rsid w:val="001F426D"/>
    <w:rsid w:val="001F5AFA"/>
    <w:rsid w:val="00200C5F"/>
    <w:rsid w:val="00202673"/>
    <w:rsid w:val="002028FF"/>
    <w:rsid w:val="0020310C"/>
    <w:rsid w:val="00204A63"/>
    <w:rsid w:val="00205F9F"/>
    <w:rsid w:val="00210BCD"/>
    <w:rsid w:val="002112DD"/>
    <w:rsid w:val="00212739"/>
    <w:rsid w:val="00212C3D"/>
    <w:rsid w:val="0021622A"/>
    <w:rsid w:val="00220C39"/>
    <w:rsid w:val="00221CEB"/>
    <w:rsid w:val="002240D6"/>
    <w:rsid w:val="00224BD6"/>
    <w:rsid w:val="00224D49"/>
    <w:rsid w:val="00224DA1"/>
    <w:rsid w:val="002252B2"/>
    <w:rsid w:val="002254F8"/>
    <w:rsid w:val="00226F7B"/>
    <w:rsid w:val="00226FF7"/>
    <w:rsid w:val="002315CA"/>
    <w:rsid w:val="002315FF"/>
    <w:rsid w:val="00234542"/>
    <w:rsid w:val="00240427"/>
    <w:rsid w:val="0024222C"/>
    <w:rsid w:val="00242714"/>
    <w:rsid w:val="002444B4"/>
    <w:rsid w:val="002445A6"/>
    <w:rsid w:val="002445EB"/>
    <w:rsid w:val="00246795"/>
    <w:rsid w:val="00253A0B"/>
    <w:rsid w:val="00253DBA"/>
    <w:rsid w:val="00257A2E"/>
    <w:rsid w:val="0026042D"/>
    <w:rsid w:val="002635D9"/>
    <w:rsid w:val="00263E5E"/>
    <w:rsid w:val="00264132"/>
    <w:rsid w:val="00264789"/>
    <w:rsid w:val="00265CA7"/>
    <w:rsid w:val="00265E49"/>
    <w:rsid w:val="00266D69"/>
    <w:rsid w:val="0027034E"/>
    <w:rsid w:val="002703B3"/>
    <w:rsid w:val="00275040"/>
    <w:rsid w:val="002762B8"/>
    <w:rsid w:val="0027755C"/>
    <w:rsid w:val="00277EF5"/>
    <w:rsid w:val="002813C3"/>
    <w:rsid w:val="00283BED"/>
    <w:rsid w:val="00283D2A"/>
    <w:rsid w:val="00285173"/>
    <w:rsid w:val="00286624"/>
    <w:rsid w:val="00293DB7"/>
    <w:rsid w:val="002942FF"/>
    <w:rsid w:val="00294D0B"/>
    <w:rsid w:val="00296FC5"/>
    <w:rsid w:val="00297B3B"/>
    <w:rsid w:val="002A45F2"/>
    <w:rsid w:val="002B1960"/>
    <w:rsid w:val="002B4371"/>
    <w:rsid w:val="002B6414"/>
    <w:rsid w:val="002B6CCB"/>
    <w:rsid w:val="002C0EB7"/>
    <w:rsid w:val="002C227E"/>
    <w:rsid w:val="002C2BAE"/>
    <w:rsid w:val="002C44A5"/>
    <w:rsid w:val="002D03F1"/>
    <w:rsid w:val="002D084A"/>
    <w:rsid w:val="002D0A9C"/>
    <w:rsid w:val="002D2187"/>
    <w:rsid w:val="002D3152"/>
    <w:rsid w:val="002D356D"/>
    <w:rsid w:val="002D41A2"/>
    <w:rsid w:val="002E035F"/>
    <w:rsid w:val="002F0764"/>
    <w:rsid w:val="002F0796"/>
    <w:rsid w:val="002F088D"/>
    <w:rsid w:val="002F1C82"/>
    <w:rsid w:val="002F50DC"/>
    <w:rsid w:val="002F5966"/>
    <w:rsid w:val="003027AB"/>
    <w:rsid w:val="0030462A"/>
    <w:rsid w:val="003055E7"/>
    <w:rsid w:val="00305637"/>
    <w:rsid w:val="00305BDB"/>
    <w:rsid w:val="0030660C"/>
    <w:rsid w:val="003101AF"/>
    <w:rsid w:val="00310445"/>
    <w:rsid w:val="003118DF"/>
    <w:rsid w:val="00312499"/>
    <w:rsid w:val="00313526"/>
    <w:rsid w:val="0031677A"/>
    <w:rsid w:val="003175FD"/>
    <w:rsid w:val="00321173"/>
    <w:rsid w:val="00321693"/>
    <w:rsid w:val="003228A0"/>
    <w:rsid w:val="00325707"/>
    <w:rsid w:val="00325C94"/>
    <w:rsid w:val="0033041B"/>
    <w:rsid w:val="003326A3"/>
    <w:rsid w:val="00332F53"/>
    <w:rsid w:val="00333D49"/>
    <w:rsid w:val="0033525D"/>
    <w:rsid w:val="0033624F"/>
    <w:rsid w:val="003377BC"/>
    <w:rsid w:val="0034175C"/>
    <w:rsid w:val="00344D19"/>
    <w:rsid w:val="003458C8"/>
    <w:rsid w:val="003459DB"/>
    <w:rsid w:val="00346663"/>
    <w:rsid w:val="00347C15"/>
    <w:rsid w:val="00351F95"/>
    <w:rsid w:val="00355181"/>
    <w:rsid w:val="003553C7"/>
    <w:rsid w:val="00355667"/>
    <w:rsid w:val="0035609C"/>
    <w:rsid w:val="00365059"/>
    <w:rsid w:val="00370455"/>
    <w:rsid w:val="00371C1B"/>
    <w:rsid w:val="003722F0"/>
    <w:rsid w:val="003743EA"/>
    <w:rsid w:val="003746A3"/>
    <w:rsid w:val="0037691A"/>
    <w:rsid w:val="003806AB"/>
    <w:rsid w:val="00383EAA"/>
    <w:rsid w:val="00384523"/>
    <w:rsid w:val="003855EC"/>
    <w:rsid w:val="00385E0B"/>
    <w:rsid w:val="00387A03"/>
    <w:rsid w:val="00390E71"/>
    <w:rsid w:val="003918C5"/>
    <w:rsid w:val="00397356"/>
    <w:rsid w:val="003A383D"/>
    <w:rsid w:val="003A6835"/>
    <w:rsid w:val="003B2E58"/>
    <w:rsid w:val="003B4280"/>
    <w:rsid w:val="003B5BD5"/>
    <w:rsid w:val="003C0DF2"/>
    <w:rsid w:val="003C24F7"/>
    <w:rsid w:val="003C5EBA"/>
    <w:rsid w:val="003C61B2"/>
    <w:rsid w:val="003C672A"/>
    <w:rsid w:val="003C6DE7"/>
    <w:rsid w:val="003D03F2"/>
    <w:rsid w:val="003D0B06"/>
    <w:rsid w:val="003D3FCE"/>
    <w:rsid w:val="003D4550"/>
    <w:rsid w:val="003D5CC8"/>
    <w:rsid w:val="003D620B"/>
    <w:rsid w:val="003D74A3"/>
    <w:rsid w:val="003D7641"/>
    <w:rsid w:val="003D7981"/>
    <w:rsid w:val="003E002C"/>
    <w:rsid w:val="003E102B"/>
    <w:rsid w:val="003E2465"/>
    <w:rsid w:val="003E36B7"/>
    <w:rsid w:val="003E3EC4"/>
    <w:rsid w:val="003E40A8"/>
    <w:rsid w:val="003E43D6"/>
    <w:rsid w:val="003E4B8C"/>
    <w:rsid w:val="003E4FF3"/>
    <w:rsid w:val="003E6350"/>
    <w:rsid w:val="003E6E37"/>
    <w:rsid w:val="003F28EC"/>
    <w:rsid w:val="003F29D5"/>
    <w:rsid w:val="003F3305"/>
    <w:rsid w:val="003F5838"/>
    <w:rsid w:val="003F5CBA"/>
    <w:rsid w:val="003F6BA0"/>
    <w:rsid w:val="003F6E56"/>
    <w:rsid w:val="0040605C"/>
    <w:rsid w:val="00407A74"/>
    <w:rsid w:val="0041173A"/>
    <w:rsid w:val="00412CCA"/>
    <w:rsid w:val="00413AD6"/>
    <w:rsid w:val="004146B8"/>
    <w:rsid w:val="004172DF"/>
    <w:rsid w:val="00417EAF"/>
    <w:rsid w:val="00420DF6"/>
    <w:rsid w:val="00420EE9"/>
    <w:rsid w:val="00423CBD"/>
    <w:rsid w:val="00424D0A"/>
    <w:rsid w:val="00424F10"/>
    <w:rsid w:val="004314E0"/>
    <w:rsid w:val="0043167F"/>
    <w:rsid w:val="004357C6"/>
    <w:rsid w:val="004410BE"/>
    <w:rsid w:val="004419C0"/>
    <w:rsid w:val="00442653"/>
    <w:rsid w:val="00442D3E"/>
    <w:rsid w:val="004445AA"/>
    <w:rsid w:val="004466FE"/>
    <w:rsid w:val="004502B5"/>
    <w:rsid w:val="00450584"/>
    <w:rsid w:val="00451CB6"/>
    <w:rsid w:val="00452738"/>
    <w:rsid w:val="0045424F"/>
    <w:rsid w:val="00454296"/>
    <w:rsid w:val="00455974"/>
    <w:rsid w:val="00456140"/>
    <w:rsid w:val="004601E8"/>
    <w:rsid w:val="00460A3B"/>
    <w:rsid w:val="004617CE"/>
    <w:rsid w:val="004657C0"/>
    <w:rsid w:val="00465E3D"/>
    <w:rsid w:val="00470369"/>
    <w:rsid w:val="004714B5"/>
    <w:rsid w:val="00471EFC"/>
    <w:rsid w:val="00472261"/>
    <w:rsid w:val="004722F5"/>
    <w:rsid w:val="004723D0"/>
    <w:rsid w:val="00474165"/>
    <w:rsid w:val="00474F49"/>
    <w:rsid w:val="00475E45"/>
    <w:rsid w:val="004762B1"/>
    <w:rsid w:val="00480129"/>
    <w:rsid w:val="004802AF"/>
    <w:rsid w:val="00482269"/>
    <w:rsid w:val="00485819"/>
    <w:rsid w:val="0048583D"/>
    <w:rsid w:val="004872E9"/>
    <w:rsid w:val="004872FD"/>
    <w:rsid w:val="00491B5F"/>
    <w:rsid w:val="00494D47"/>
    <w:rsid w:val="00497CE1"/>
    <w:rsid w:val="004A0BCA"/>
    <w:rsid w:val="004A1BEB"/>
    <w:rsid w:val="004A7F08"/>
    <w:rsid w:val="004B17F0"/>
    <w:rsid w:val="004B2215"/>
    <w:rsid w:val="004B4569"/>
    <w:rsid w:val="004B4FD2"/>
    <w:rsid w:val="004B5B4C"/>
    <w:rsid w:val="004B63F0"/>
    <w:rsid w:val="004B7318"/>
    <w:rsid w:val="004C1851"/>
    <w:rsid w:val="004C2A45"/>
    <w:rsid w:val="004C3A39"/>
    <w:rsid w:val="004C4E34"/>
    <w:rsid w:val="004C5142"/>
    <w:rsid w:val="004C52A5"/>
    <w:rsid w:val="004D05F9"/>
    <w:rsid w:val="004D304F"/>
    <w:rsid w:val="004D31CF"/>
    <w:rsid w:val="004D4BE0"/>
    <w:rsid w:val="004D5A1C"/>
    <w:rsid w:val="004E038F"/>
    <w:rsid w:val="004E1154"/>
    <w:rsid w:val="004E20F8"/>
    <w:rsid w:val="004E490B"/>
    <w:rsid w:val="004E54A0"/>
    <w:rsid w:val="004F20BD"/>
    <w:rsid w:val="004F4DB5"/>
    <w:rsid w:val="004F6809"/>
    <w:rsid w:val="00500A23"/>
    <w:rsid w:val="00500ACE"/>
    <w:rsid w:val="005032C1"/>
    <w:rsid w:val="00504501"/>
    <w:rsid w:val="00504A04"/>
    <w:rsid w:val="00506960"/>
    <w:rsid w:val="00507A5C"/>
    <w:rsid w:val="0051066F"/>
    <w:rsid w:val="00510C81"/>
    <w:rsid w:val="005120E5"/>
    <w:rsid w:val="0051234A"/>
    <w:rsid w:val="00515B55"/>
    <w:rsid w:val="00517C43"/>
    <w:rsid w:val="00520B01"/>
    <w:rsid w:val="005222E3"/>
    <w:rsid w:val="00525EEC"/>
    <w:rsid w:val="00531B1E"/>
    <w:rsid w:val="00533F3A"/>
    <w:rsid w:val="005372CE"/>
    <w:rsid w:val="00540244"/>
    <w:rsid w:val="00545E18"/>
    <w:rsid w:val="0054761F"/>
    <w:rsid w:val="005512AB"/>
    <w:rsid w:val="00552F73"/>
    <w:rsid w:val="00554DC0"/>
    <w:rsid w:val="005556AB"/>
    <w:rsid w:val="0056018C"/>
    <w:rsid w:val="00560E78"/>
    <w:rsid w:val="00562881"/>
    <w:rsid w:val="00563A19"/>
    <w:rsid w:val="00563A28"/>
    <w:rsid w:val="00566E1C"/>
    <w:rsid w:val="005672FB"/>
    <w:rsid w:val="005701AD"/>
    <w:rsid w:val="005707BF"/>
    <w:rsid w:val="005750B7"/>
    <w:rsid w:val="005750C0"/>
    <w:rsid w:val="005758BE"/>
    <w:rsid w:val="00580C0C"/>
    <w:rsid w:val="00581DA8"/>
    <w:rsid w:val="00581E4E"/>
    <w:rsid w:val="005860F9"/>
    <w:rsid w:val="00586AC1"/>
    <w:rsid w:val="00587470"/>
    <w:rsid w:val="00592D03"/>
    <w:rsid w:val="00596B12"/>
    <w:rsid w:val="005972C8"/>
    <w:rsid w:val="00597C69"/>
    <w:rsid w:val="005A1718"/>
    <w:rsid w:val="005A1720"/>
    <w:rsid w:val="005A2D6C"/>
    <w:rsid w:val="005A378F"/>
    <w:rsid w:val="005A477F"/>
    <w:rsid w:val="005A4E12"/>
    <w:rsid w:val="005A4F3C"/>
    <w:rsid w:val="005B525A"/>
    <w:rsid w:val="005B5525"/>
    <w:rsid w:val="005B65E4"/>
    <w:rsid w:val="005B7508"/>
    <w:rsid w:val="005C06B9"/>
    <w:rsid w:val="005C18EA"/>
    <w:rsid w:val="005C22C6"/>
    <w:rsid w:val="005C5C72"/>
    <w:rsid w:val="005C6787"/>
    <w:rsid w:val="005D0688"/>
    <w:rsid w:val="005D4051"/>
    <w:rsid w:val="005D5493"/>
    <w:rsid w:val="005E22A0"/>
    <w:rsid w:val="005E2B94"/>
    <w:rsid w:val="005E3E5A"/>
    <w:rsid w:val="005E7963"/>
    <w:rsid w:val="005E7D54"/>
    <w:rsid w:val="005F52D3"/>
    <w:rsid w:val="005F5536"/>
    <w:rsid w:val="005F6A0F"/>
    <w:rsid w:val="006017FE"/>
    <w:rsid w:val="0060436A"/>
    <w:rsid w:val="006052C1"/>
    <w:rsid w:val="0060585F"/>
    <w:rsid w:val="00605A48"/>
    <w:rsid w:val="006106DB"/>
    <w:rsid w:val="00612B10"/>
    <w:rsid w:val="006132F7"/>
    <w:rsid w:val="00613A53"/>
    <w:rsid w:val="00615EFB"/>
    <w:rsid w:val="00616407"/>
    <w:rsid w:val="00617E0D"/>
    <w:rsid w:val="006202D1"/>
    <w:rsid w:val="0062170C"/>
    <w:rsid w:val="0062384F"/>
    <w:rsid w:val="00624034"/>
    <w:rsid w:val="00624FD1"/>
    <w:rsid w:val="0062563E"/>
    <w:rsid w:val="006260A3"/>
    <w:rsid w:val="00626973"/>
    <w:rsid w:val="00627193"/>
    <w:rsid w:val="00634F9C"/>
    <w:rsid w:val="00635CB4"/>
    <w:rsid w:val="006371B4"/>
    <w:rsid w:val="00637F8D"/>
    <w:rsid w:val="006412AF"/>
    <w:rsid w:val="006414EA"/>
    <w:rsid w:val="006415B5"/>
    <w:rsid w:val="00643587"/>
    <w:rsid w:val="006457FF"/>
    <w:rsid w:val="00646126"/>
    <w:rsid w:val="00647A63"/>
    <w:rsid w:val="00650C9B"/>
    <w:rsid w:val="00660839"/>
    <w:rsid w:val="006609FB"/>
    <w:rsid w:val="00662F48"/>
    <w:rsid w:val="00663592"/>
    <w:rsid w:val="00663604"/>
    <w:rsid w:val="00671684"/>
    <w:rsid w:val="00671FC4"/>
    <w:rsid w:val="006723FE"/>
    <w:rsid w:val="00675BF7"/>
    <w:rsid w:val="00676FD3"/>
    <w:rsid w:val="006804DA"/>
    <w:rsid w:val="00680F35"/>
    <w:rsid w:val="0068192C"/>
    <w:rsid w:val="00681B17"/>
    <w:rsid w:val="006829A9"/>
    <w:rsid w:val="00682A3C"/>
    <w:rsid w:val="00684265"/>
    <w:rsid w:val="00684DF4"/>
    <w:rsid w:val="0068544E"/>
    <w:rsid w:val="006858A7"/>
    <w:rsid w:val="00685DA9"/>
    <w:rsid w:val="00690A37"/>
    <w:rsid w:val="00690F81"/>
    <w:rsid w:val="0069221E"/>
    <w:rsid w:val="0069262C"/>
    <w:rsid w:val="00692D62"/>
    <w:rsid w:val="00696399"/>
    <w:rsid w:val="00697BB5"/>
    <w:rsid w:val="006A05F2"/>
    <w:rsid w:val="006A07C5"/>
    <w:rsid w:val="006A1251"/>
    <w:rsid w:val="006A6805"/>
    <w:rsid w:val="006A6CEE"/>
    <w:rsid w:val="006B2FB6"/>
    <w:rsid w:val="006B7BB5"/>
    <w:rsid w:val="006C194F"/>
    <w:rsid w:val="006C3B0A"/>
    <w:rsid w:val="006C460D"/>
    <w:rsid w:val="006C57FB"/>
    <w:rsid w:val="006C610F"/>
    <w:rsid w:val="006D1367"/>
    <w:rsid w:val="006D462D"/>
    <w:rsid w:val="006D586A"/>
    <w:rsid w:val="006D5BAB"/>
    <w:rsid w:val="006D60A3"/>
    <w:rsid w:val="006D63A5"/>
    <w:rsid w:val="006E07B3"/>
    <w:rsid w:val="006E35CE"/>
    <w:rsid w:val="006E3D12"/>
    <w:rsid w:val="006E4A45"/>
    <w:rsid w:val="006E511E"/>
    <w:rsid w:val="006E5616"/>
    <w:rsid w:val="006E6693"/>
    <w:rsid w:val="006E6909"/>
    <w:rsid w:val="006F127F"/>
    <w:rsid w:val="006F37E4"/>
    <w:rsid w:val="006F3D7B"/>
    <w:rsid w:val="006F51D2"/>
    <w:rsid w:val="006F59EC"/>
    <w:rsid w:val="0070258D"/>
    <w:rsid w:val="00702C3C"/>
    <w:rsid w:val="00704318"/>
    <w:rsid w:val="0070447A"/>
    <w:rsid w:val="00705C7A"/>
    <w:rsid w:val="00706B54"/>
    <w:rsid w:val="0070750C"/>
    <w:rsid w:val="00707C8C"/>
    <w:rsid w:val="00714C66"/>
    <w:rsid w:val="00715B73"/>
    <w:rsid w:val="007164CE"/>
    <w:rsid w:val="0072123C"/>
    <w:rsid w:val="00723F59"/>
    <w:rsid w:val="007246E1"/>
    <w:rsid w:val="007253D7"/>
    <w:rsid w:val="00726415"/>
    <w:rsid w:val="007329BB"/>
    <w:rsid w:val="00733315"/>
    <w:rsid w:val="00733E61"/>
    <w:rsid w:val="007361F2"/>
    <w:rsid w:val="00740116"/>
    <w:rsid w:val="00741757"/>
    <w:rsid w:val="00741960"/>
    <w:rsid w:val="00747351"/>
    <w:rsid w:val="00747AFB"/>
    <w:rsid w:val="007519A3"/>
    <w:rsid w:val="00752E5E"/>
    <w:rsid w:val="00753D30"/>
    <w:rsid w:val="00754208"/>
    <w:rsid w:val="0075506E"/>
    <w:rsid w:val="00755EB6"/>
    <w:rsid w:val="007562CB"/>
    <w:rsid w:val="0076214B"/>
    <w:rsid w:val="007629CC"/>
    <w:rsid w:val="00762CBB"/>
    <w:rsid w:val="00767091"/>
    <w:rsid w:val="00771D2A"/>
    <w:rsid w:val="00773355"/>
    <w:rsid w:val="00775D61"/>
    <w:rsid w:val="0077611D"/>
    <w:rsid w:val="00781538"/>
    <w:rsid w:val="00784E85"/>
    <w:rsid w:val="007855C3"/>
    <w:rsid w:val="00785A26"/>
    <w:rsid w:val="00787896"/>
    <w:rsid w:val="00787E46"/>
    <w:rsid w:val="0079154F"/>
    <w:rsid w:val="007937C0"/>
    <w:rsid w:val="00796E65"/>
    <w:rsid w:val="007A0513"/>
    <w:rsid w:val="007A36D5"/>
    <w:rsid w:val="007A3B9C"/>
    <w:rsid w:val="007A4E70"/>
    <w:rsid w:val="007A6C78"/>
    <w:rsid w:val="007A726A"/>
    <w:rsid w:val="007B08DC"/>
    <w:rsid w:val="007B0B21"/>
    <w:rsid w:val="007B21EF"/>
    <w:rsid w:val="007B235D"/>
    <w:rsid w:val="007B53A8"/>
    <w:rsid w:val="007C01CC"/>
    <w:rsid w:val="007C18F6"/>
    <w:rsid w:val="007C25E4"/>
    <w:rsid w:val="007C31F1"/>
    <w:rsid w:val="007C5FAB"/>
    <w:rsid w:val="007C60D3"/>
    <w:rsid w:val="007D05D2"/>
    <w:rsid w:val="007D0743"/>
    <w:rsid w:val="007D1641"/>
    <w:rsid w:val="007D222A"/>
    <w:rsid w:val="007D2B45"/>
    <w:rsid w:val="007D559B"/>
    <w:rsid w:val="007D692F"/>
    <w:rsid w:val="007D74E6"/>
    <w:rsid w:val="007E0617"/>
    <w:rsid w:val="007E1A93"/>
    <w:rsid w:val="007E35D2"/>
    <w:rsid w:val="007E4FEF"/>
    <w:rsid w:val="007E6D33"/>
    <w:rsid w:val="007E727D"/>
    <w:rsid w:val="007E7B7C"/>
    <w:rsid w:val="007F1698"/>
    <w:rsid w:val="007F2741"/>
    <w:rsid w:val="007F3BF5"/>
    <w:rsid w:val="007F6C17"/>
    <w:rsid w:val="008000F6"/>
    <w:rsid w:val="00800884"/>
    <w:rsid w:val="00802CCD"/>
    <w:rsid w:val="00804FDB"/>
    <w:rsid w:val="008051F8"/>
    <w:rsid w:val="008057EF"/>
    <w:rsid w:val="008063B4"/>
    <w:rsid w:val="00806CF7"/>
    <w:rsid w:val="0080774C"/>
    <w:rsid w:val="008107D1"/>
    <w:rsid w:val="008129B7"/>
    <w:rsid w:val="00813A2E"/>
    <w:rsid w:val="0081465C"/>
    <w:rsid w:val="00816425"/>
    <w:rsid w:val="00816913"/>
    <w:rsid w:val="00816D0D"/>
    <w:rsid w:val="008307EC"/>
    <w:rsid w:val="008317EE"/>
    <w:rsid w:val="008327AB"/>
    <w:rsid w:val="008335B1"/>
    <w:rsid w:val="00835288"/>
    <w:rsid w:val="00835DF7"/>
    <w:rsid w:val="00836FF6"/>
    <w:rsid w:val="00841765"/>
    <w:rsid w:val="0084221B"/>
    <w:rsid w:val="008439EF"/>
    <w:rsid w:val="00846E38"/>
    <w:rsid w:val="00850632"/>
    <w:rsid w:val="0085245D"/>
    <w:rsid w:val="00854C31"/>
    <w:rsid w:val="00856F3D"/>
    <w:rsid w:val="008605B7"/>
    <w:rsid w:val="00862249"/>
    <w:rsid w:val="00862949"/>
    <w:rsid w:val="0086614E"/>
    <w:rsid w:val="00866A0B"/>
    <w:rsid w:val="008674BB"/>
    <w:rsid w:val="008674CF"/>
    <w:rsid w:val="00870B05"/>
    <w:rsid w:val="00870FEE"/>
    <w:rsid w:val="00871D59"/>
    <w:rsid w:val="00873BAC"/>
    <w:rsid w:val="00873D1D"/>
    <w:rsid w:val="00874AC1"/>
    <w:rsid w:val="0088126B"/>
    <w:rsid w:val="00882001"/>
    <w:rsid w:val="0088218F"/>
    <w:rsid w:val="008827E6"/>
    <w:rsid w:val="00882C43"/>
    <w:rsid w:val="00883762"/>
    <w:rsid w:val="00890F24"/>
    <w:rsid w:val="00891524"/>
    <w:rsid w:val="00893C09"/>
    <w:rsid w:val="00896F4E"/>
    <w:rsid w:val="0089711C"/>
    <w:rsid w:val="008A075A"/>
    <w:rsid w:val="008A1FF1"/>
    <w:rsid w:val="008A2038"/>
    <w:rsid w:val="008A2A27"/>
    <w:rsid w:val="008A6B26"/>
    <w:rsid w:val="008A70A9"/>
    <w:rsid w:val="008A79DA"/>
    <w:rsid w:val="008A7DF2"/>
    <w:rsid w:val="008B09FB"/>
    <w:rsid w:val="008B4A97"/>
    <w:rsid w:val="008B564D"/>
    <w:rsid w:val="008B5CF6"/>
    <w:rsid w:val="008B77A7"/>
    <w:rsid w:val="008C0032"/>
    <w:rsid w:val="008C2A92"/>
    <w:rsid w:val="008C5A32"/>
    <w:rsid w:val="008C638D"/>
    <w:rsid w:val="008D0726"/>
    <w:rsid w:val="008D7F15"/>
    <w:rsid w:val="008E0A24"/>
    <w:rsid w:val="008E10AE"/>
    <w:rsid w:val="008E1D9D"/>
    <w:rsid w:val="008E330E"/>
    <w:rsid w:val="008E33DE"/>
    <w:rsid w:val="008E41A3"/>
    <w:rsid w:val="008E5953"/>
    <w:rsid w:val="008E79D5"/>
    <w:rsid w:val="008F23CB"/>
    <w:rsid w:val="008F7595"/>
    <w:rsid w:val="009004C1"/>
    <w:rsid w:val="00902E36"/>
    <w:rsid w:val="00905E58"/>
    <w:rsid w:val="00906E52"/>
    <w:rsid w:val="009104FA"/>
    <w:rsid w:val="00915693"/>
    <w:rsid w:val="009162AC"/>
    <w:rsid w:val="00916D89"/>
    <w:rsid w:val="009231BC"/>
    <w:rsid w:val="0092409E"/>
    <w:rsid w:val="00924809"/>
    <w:rsid w:val="00926149"/>
    <w:rsid w:val="009301EB"/>
    <w:rsid w:val="00933A4B"/>
    <w:rsid w:val="00933B8B"/>
    <w:rsid w:val="00936085"/>
    <w:rsid w:val="009367FF"/>
    <w:rsid w:val="00937469"/>
    <w:rsid w:val="009415EE"/>
    <w:rsid w:val="00942AAE"/>
    <w:rsid w:val="00943F7D"/>
    <w:rsid w:val="00943FD8"/>
    <w:rsid w:val="009442FC"/>
    <w:rsid w:val="00946A29"/>
    <w:rsid w:val="0095191C"/>
    <w:rsid w:val="0095286C"/>
    <w:rsid w:val="009537F9"/>
    <w:rsid w:val="0095494C"/>
    <w:rsid w:val="00955AAA"/>
    <w:rsid w:val="00956C8C"/>
    <w:rsid w:val="00957E32"/>
    <w:rsid w:val="009619E7"/>
    <w:rsid w:val="00962A8E"/>
    <w:rsid w:val="009641F8"/>
    <w:rsid w:val="00967196"/>
    <w:rsid w:val="00967DD0"/>
    <w:rsid w:val="009723B6"/>
    <w:rsid w:val="0097286D"/>
    <w:rsid w:val="00973B50"/>
    <w:rsid w:val="00976F17"/>
    <w:rsid w:val="00977405"/>
    <w:rsid w:val="009775B3"/>
    <w:rsid w:val="00980642"/>
    <w:rsid w:val="00980807"/>
    <w:rsid w:val="00981E8E"/>
    <w:rsid w:val="00982239"/>
    <w:rsid w:val="00982B84"/>
    <w:rsid w:val="00983EC7"/>
    <w:rsid w:val="00986AE3"/>
    <w:rsid w:val="00987B78"/>
    <w:rsid w:val="00990729"/>
    <w:rsid w:val="00997CEC"/>
    <w:rsid w:val="009A2F1C"/>
    <w:rsid w:val="009A49AD"/>
    <w:rsid w:val="009A52B6"/>
    <w:rsid w:val="009B1100"/>
    <w:rsid w:val="009B1DFF"/>
    <w:rsid w:val="009B1EAA"/>
    <w:rsid w:val="009B5420"/>
    <w:rsid w:val="009B5688"/>
    <w:rsid w:val="009B7831"/>
    <w:rsid w:val="009B7F2C"/>
    <w:rsid w:val="009C19CB"/>
    <w:rsid w:val="009C1BC0"/>
    <w:rsid w:val="009C2BA9"/>
    <w:rsid w:val="009C2E75"/>
    <w:rsid w:val="009C6668"/>
    <w:rsid w:val="009C6F64"/>
    <w:rsid w:val="009D025A"/>
    <w:rsid w:val="009D0DB6"/>
    <w:rsid w:val="009D14B9"/>
    <w:rsid w:val="009D1ACC"/>
    <w:rsid w:val="009D1AE1"/>
    <w:rsid w:val="009D39D4"/>
    <w:rsid w:val="009D54D4"/>
    <w:rsid w:val="009D5625"/>
    <w:rsid w:val="009D7B4D"/>
    <w:rsid w:val="009E0123"/>
    <w:rsid w:val="009E1067"/>
    <w:rsid w:val="009E1FC1"/>
    <w:rsid w:val="009E2E9E"/>
    <w:rsid w:val="009E3DC5"/>
    <w:rsid w:val="009E4878"/>
    <w:rsid w:val="009F27A4"/>
    <w:rsid w:val="009F29A3"/>
    <w:rsid w:val="009F2E2D"/>
    <w:rsid w:val="009F31F5"/>
    <w:rsid w:val="009F3D56"/>
    <w:rsid w:val="009F5378"/>
    <w:rsid w:val="009F5498"/>
    <w:rsid w:val="009F5A10"/>
    <w:rsid w:val="009F5EB1"/>
    <w:rsid w:val="009F6264"/>
    <w:rsid w:val="009F75CD"/>
    <w:rsid w:val="00A01563"/>
    <w:rsid w:val="00A01604"/>
    <w:rsid w:val="00A027B5"/>
    <w:rsid w:val="00A02D7F"/>
    <w:rsid w:val="00A03032"/>
    <w:rsid w:val="00A031F4"/>
    <w:rsid w:val="00A040CE"/>
    <w:rsid w:val="00A05551"/>
    <w:rsid w:val="00A07267"/>
    <w:rsid w:val="00A10790"/>
    <w:rsid w:val="00A12E70"/>
    <w:rsid w:val="00A15109"/>
    <w:rsid w:val="00A169DF"/>
    <w:rsid w:val="00A21043"/>
    <w:rsid w:val="00A2126B"/>
    <w:rsid w:val="00A21974"/>
    <w:rsid w:val="00A227A2"/>
    <w:rsid w:val="00A250B0"/>
    <w:rsid w:val="00A2548E"/>
    <w:rsid w:val="00A267F0"/>
    <w:rsid w:val="00A268AF"/>
    <w:rsid w:val="00A27009"/>
    <w:rsid w:val="00A27BB7"/>
    <w:rsid w:val="00A309F3"/>
    <w:rsid w:val="00A315AA"/>
    <w:rsid w:val="00A3232B"/>
    <w:rsid w:val="00A329B8"/>
    <w:rsid w:val="00A32ABF"/>
    <w:rsid w:val="00A355B6"/>
    <w:rsid w:val="00A36D3D"/>
    <w:rsid w:val="00A37450"/>
    <w:rsid w:val="00A378D1"/>
    <w:rsid w:val="00A37D08"/>
    <w:rsid w:val="00A4189A"/>
    <w:rsid w:val="00A42327"/>
    <w:rsid w:val="00A42A06"/>
    <w:rsid w:val="00A42F75"/>
    <w:rsid w:val="00A43E15"/>
    <w:rsid w:val="00A52C2A"/>
    <w:rsid w:val="00A53276"/>
    <w:rsid w:val="00A54513"/>
    <w:rsid w:val="00A54526"/>
    <w:rsid w:val="00A558B6"/>
    <w:rsid w:val="00A55DBA"/>
    <w:rsid w:val="00A5630C"/>
    <w:rsid w:val="00A56550"/>
    <w:rsid w:val="00A571E4"/>
    <w:rsid w:val="00A575FD"/>
    <w:rsid w:val="00A61086"/>
    <w:rsid w:val="00A61AD5"/>
    <w:rsid w:val="00A64439"/>
    <w:rsid w:val="00A64D67"/>
    <w:rsid w:val="00A65097"/>
    <w:rsid w:val="00A650C5"/>
    <w:rsid w:val="00A72B86"/>
    <w:rsid w:val="00A72DC6"/>
    <w:rsid w:val="00A7426C"/>
    <w:rsid w:val="00A74C45"/>
    <w:rsid w:val="00A75FFC"/>
    <w:rsid w:val="00A76024"/>
    <w:rsid w:val="00A76738"/>
    <w:rsid w:val="00A76BB4"/>
    <w:rsid w:val="00A77CB7"/>
    <w:rsid w:val="00A8040B"/>
    <w:rsid w:val="00A80EB5"/>
    <w:rsid w:val="00A8397B"/>
    <w:rsid w:val="00A83C5A"/>
    <w:rsid w:val="00A8410F"/>
    <w:rsid w:val="00A87350"/>
    <w:rsid w:val="00A904E0"/>
    <w:rsid w:val="00A91B1D"/>
    <w:rsid w:val="00A95764"/>
    <w:rsid w:val="00A95D36"/>
    <w:rsid w:val="00A968F5"/>
    <w:rsid w:val="00AA0827"/>
    <w:rsid w:val="00AA0DAF"/>
    <w:rsid w:val="00AA0FB6"/>
    <w:rsid w:val="00AA145D"/>
    <w:rsid w:val="00AA2035"/>
    <w:rsid w:val="00AA3372"/>
    <w:rsid w:val="00AA5FC6"/>
    <w:rsid w:val="00AA7C1E"/>
    <w:rsid w:val="00AB2466"/>
    <w:rsid w:val="00AB4704"/>
    <w:rsid w:val="00AB4CA2"/>
    <w:rsid w:val="00AB4F54"/>
    <w:rsid w:val="00AB5985"/>
    <w:rsid w:val="00AB65B3"/>
    <w:rsid w:val="00AC20B7"/>
    <w:rsid w:val="00AC2638"/>
    <w:rsid w:val="00AD0AE0"/>
    <w:rsid w:val="00AD154E"/>
    <w:rsid w:val="00AD1D03"/>
    <w:rsid w:val="00AD31CC"/>
    <w:rsid w:val="00AD4477"/>
    <w:rsid w:val="00AD5EB7"/>
    <w:rsid w:val="00AD6109"/>
    <w:rsid w:val="00AE032C"/>
    <w:rsid w:val="00AE0DBC"/>
    <w:rsid w:val="00AE3F4D"/>
    <w:rsid w:val="00AE4968"/>
    <w:rsid w:val="00AE72D2"/>
    <w:rsid w:val="00AE79E7"/>
    <w:rsid w:val="00AF2A34"/>
    <w:rsid w:val="00AF2E71"/>
    <w:rsid w:val="00AF48B2"/>
    <w:rsid w:val="00AF6551"/>
    <w:rsid w:val="00AF7B68"/>
    <w:rsid w:val="00AF7F63"/>
    <w:rsid w:val="00B0064F"/>
    <w:rsid w:val="00B00E42"/>
    <w:rsid w:val="00B01123"/>
    <w:rsid w:val="00B024B4"/>
    <w:rsid w:val="00B043A5"/>
    <w:rsid w:val="00B0459C"/>
    <w:rsid w:val="00B05A3B"/>
    <w:rsid w:val="00B05F69"/>
    <w:rsid w:val="00B06E14"/>
    <w:rsid w:val="00B077BD"/>
    <w:rsid w:val="00B07DA3"/>
    <w:rsid w:val="00B10915"/>
    <w:rsid w:val="00B109B7"/>
    <w:rsid w:val="00B11A38"/>
    <w:rsid w:val="00B13A4D"/>
    <w:rsid w:val="00B15969"/>
    <w:rsid w:val="00B176DB"/>
    <w:rsid w:val="00B241F6"/>
    <w:rsid w:val="00B2439F"/>
    <w:rsid w:val="00B245D8"/>
    <w:rsid w:val="00B25A35"/>
    <w:rsid w:val="00B27988"/>
    <w:rsid w:val="00B341F9"/>
    <w:rsid w:val="00B35112"/>
    <w:rsid w:val="00B36D4A"/>
    <w:rsid w:val="00B37E6A"/>
    <w:rsid w:val="00B4212E"/>
    <w:rsid w:val="00B42CAB"/>
    <w:rsid w:val="00B431C7"/>
    <w:rsid w:val="00B432AA"/>
    <w:rsid w:val="00B45456"/>
    <w:rsid w:val="00B45638"/>
    <w:rsid w:val="00B45EBC"/>
    <w:rsid w:val="00B46057"/>
    <w:rsid w:val="00B509FB"/>
    <w:rsid w:val="00B5243D"/>
    <w:rsid w:val="00B52EB1"/>
    <w:rsid w:val="00B53358"/>
    <w:rsid w:val="00B53839"/>
    <w:rsid w:val="00B53D0F"/>
    <w:rsid w:val="00B54A17"/>
    <w:rsid w:val="00B56B52"/>
    <w:rsid w:val="00B57D77"/>
    <w:rsid w:val="00B61B63"/>
    <w:rsid w:val="00B62785"/>
    <w:rsid w:val="00B6285F"/>
    <w:rsid w:val="00B63A90"/>
    <w:rsid w:val="00B64538"/>
    <w:rsid w:val="00B65087"/>
    <w:rsid w:val="00B663E8"/>
    <w:rsid w:val="00B7175E"/>
    <w:rsid w:val="00B71AD5"/>
    <w:rsid w:val="00B72785"/>
    <w:rsid w:val="00B733B8"/>
    <w:rsid w:val="00B739DE"/>
    <w:rsid w:val="00B83FD1"/>
    <w:rsid w:val="00B8429A"/>
    <w:rsid w:val="00B85B24"/>
    <w:rsid w:val="00B8611B"/>
    <w:rsid w:val="00B872D2"/>
    <w:rsid w:val="00B9281B"/>
    <w:rsid w:val="00B9416D"/>
    <w:rsid w:val="00B96281"/>
    <w:rsid w:val="00B96BB8"/>
    <w:rsid w:val="00BA1153"/>
    <w:rsid w:val="00BA1702"/>
    <w:rsid w:val="00BA197E"/>
    <w:rsid w:val="00BA26EA"/>
    <w:rsid w:val="00BA291D"/>
    <w:rsid w:val="00BA2AAE"/>
    <w:rsid w:val="00BA3098"/>
    <w:rsid w:val="00BA348B"/>
    <w:rsid w:val="00BA3F2A"/>
    <w:rsid w:val="00BA3F57"/>
    <w:rsid w:val="00BA6E08"/>
    <w:rsid w:val="00BA742B"/>
    <w:rsid w:val="00BB1113"/>
    <w:rsid w:val="00BB2FB0"/>
    <w:rsid w:val="00BB4877"/>
    <w:rsid w:val="00BB5C0B"/>
    <w:rsid w:val="00BB614D"/>
    <w:rsid w:val="00BB7097"/>
    <w:rsid w:val="00BC057D"/>
    <w:rsid w:val="00BC08CC"/>
    <w:rsid w:val="00BC1681"/>
    <w:rsid w:val="00BC2259"/>
    <w:rsid w:val="00BC3396"/>
    <w:rsid w:val="00BC5598"/>
    <w:rsid w:val="00BC5DEE"/>
    <w:rsid w:val="00BC71DE"/>
    <w:rsid w:val="00BC720A"/>
    <w:rsid w:val="00BC7500"/>
    <w:rsid w:val="00BD038C"/>
    <w:rsid w:val="00BD25DF"/>
    <w:rsid w:val="00BD2856"/>
    <w:rsid w:val="00BD4063"/>
    <w:rsid w:val="00BD50F4"/>
    <w:rsid w:val="00BD5456"/>
    <w:rsid w:val="00BD5D50"/>
    <w:rsid w:val="00BD654F"/>
    <w:rsid w:val="00BD7E0A"/>
    <w:rsid w:val="00BE015B"/>
    <w:rsid w:val="00BE0DBE"/>
    <w:rsid w:val="00BE107D"/>
    <w:rsid w:val="00BE5CCF"/>
    <w:rsid w:val="00BF17AF"/>
    <w:rsid w:val="00BF4D0F"/>
    <w:rsid w:val="00BF4F00"/>
    <w:rsid w:val="00BF56C4"/>
    <w:rsid w:val="00BF6D3C"/>
    <w:rsid w:val="00C0040C"/>
    <w:rsid w:val="00C00CD3"/>
    <w:rsid w:val="00C0234B"/>
    <w:rsid w:val="00C02D9B"/>
    <w:rsid w:val="00C03D86"/>
    <w:rsid w:val="00C03E0C"/>
    <w:rsid w:val="00C03F45"/>
    <w:rsid w:val="00C0536F"/>
    <w:rsid w:val="00C06F28"/>
    <w:rsid w:val="00C07546"/>
    <w:rsid w:val="00C1198F"/>
    <w:rsid w:val="00C208B3"/>
    <w:rsid w:val="00C243B7"/>
    <w:rsid w:val="00C248E5"/>
    <w:rsid w:val="00C249B9"/>
    <w:rsid w:val="00C258D0"/>
    <w:rsid w:val="00C30728"/>
    <w:rsid w:val="00C3257C"/>
    <w:rsid w:val="00C34816"/>
    <w:rsid w:val="00C37B82"/>
    <w:rsid w:val="00C40313"/>
    <w:rsid w:val="00C415C9"/>
    <w:rsid w:val="00C44CD7"/>
    <w:rsid w:val="00C4675C"/>
    <w:rsid w:val="00C47228"/>
    <w:rsid w:val="00C50EF2"/>
    <w:rsid w:val="00C51038"/>
    <w:rsid w:val="00C51F54"/>
    <w:rsid w:val="00C52390"/>
    <w:rsid w:val="00C53471"/>
    <w:rsid w:val="00C53B7E"/>
    <w:rsid w:val="00C55F72"/>
    <w:rsid w:val="00C5687D"/>
    <w:rsid w:val="00C57C37"/>
    <w:rsid w:val="00C60BBE"/>
    <w:rsid w:val="00C60CA0"/>
    <w:rsid w:val="00C6132B"/>
    <w:rsid w:val="00C62964"/>
    <w:rsid w:val="00C63BC7"/>
    <w:rsid w:val="00C640AF"/>
    <w:rsid w:val="00C65540"/>
    <w:rsid w:val="00C76C87"/>
    <w:rsid w:val="00C77CE0"/>
    <w:rsid w:val="00C832C1"/>
    <w:rsid w:val="00C8495C"/>
    <w:rsid w:val="00C850F5"/>
    <w:rsid w:val="00C873D7"/>
    <w:rsid w:val="00C879FA"/>
    <w:rsid w:val="00C87AD9"/>
    <w:rsid w:val="00C87D32"/>
    <w:rsid w:val="00C9141C"/>
    <w:rsid w:val="00C9515F"/>
    <w:rsid w:val="00C96C93"/>
    <w:rsid w:val="00CA2547"/>
    <w:rsid w:val="00CA265E"/>
    <w:rsid w:val="00CA2850"/>
    <w:rsid w:val="00CA4A36"/>
    <w:rsid w:val="00CA4A77"/>
    <w:rsid w:val="00CA50B0"/>
    <w:rsid w:val="00CA57DB"/>
    <w:rsid w:val="00CA6E93"/>
    <w:rsid w:val="00CB0138"/>
    <w:rsid w:val="00CB1058"/>
    <w:rsid w:val="00CB1A89"/>
    <w:rsid w:val="00CB2030"/>
    <w:rsid w:val="00CB7588"/>
    <w:rsid w:val="00CC05E6"/>
    <w:rsid w:val="00CC2CD9"/>
    <w:rsid w:val="00CC5DA8"/>
    <w:rsid w:val="00CC7F05"/>
    <w:rsid w:val="00CD034F"/>
    <w:rsid w:val="00CD2746"/>
    <w:rsid w:val="00CD46D2"/>
    <w:rsid w:val="00CD55DC"/>
    <w:rsid w:val="00CE0215"/>
    <w:rsid w:val="00CE06FA"/>
    <w:rsid w:val="00CE588B"/>
    <w:rsid w:val="00CE6E12"/>
    <w:rsid w:val="00CE7D44"/>
    <w:rsid w:val="00CE7F36"/>
    <w:rsid w:val="00CE7FFB"/>
    <w:rsid w:val="00CF05CB"/>
    <w:rsid w:val="00CF0907"/>
    <w:rsid w:val="00CF2105"/>
    <w:rsid w:val="00CF2E55"/>
    <w:rsid w:val="00CF4C55"/>
    <w:rsid w:val="00CF59DF"/>
    <w:rsid w:val="00CF5A4E"/>
    <w:rsid w:val="00CF7B46"/>
    <w:rsid w:val="00D00BFC"/>
    <w:rsid w:val="00D00E98"/>
    <w:rsid w:val="00D0127E"/>
    <w:rsid w:val="00D01AA5"/>
    <w:rsid w:val="00D01E16"/>
    <w:rsid w:val="00D0425B"/>
    <w:rsid w:val="00D0464A"/>
    <w:rsid w:val="00D0679E"/>
    <w:rsid w:val="00D1036C"/>
    <w:rsid w:val="00D11625"/>
    <w:rsid w:val="00D1296F"/>
    <w:rsid w:val="00D13139"/>
    <w:rsid w:val="00D13742"/>
    <w:rsid w:val="00D141A4"/>
    <w:rsid w:val="00D14200"/>
    <w:rsid w:val="00D14E34"/>
    <w:rsid w:val="00D1541B"/>
    <w:rsid w:val="00D174CD"/>
    <w:rsid w:val="00D17E4E"/>
    <w:rsid w:val="00D21342"/>
    <w:rsid w:val="00D2409A"/>
    <w:rsid w:val="00D24B74"/>
    <w:rsid w:val="00D24C85"/>
    <w:rsid w:val="00D26043"/>
    <w:rsid w:val="00D27881"/>
    <w:rsid w:val="00D27EC6"/>
    <w:rsid w:val="00D31AF9"/>
    <w:rsid w:val="00D33257"/>
    <w:rsid w:val="00D3367F"/>
    <w:rsid w:val="00D34DB8"/>
    <w:rsid w:val="00D35D38"/>
    <w:rsid w:val="00D37C05"/>
    <w:rsid w:val="00D404D9"/>
    <w:rsid w:val="00D426F8"/>
    <w:rsid w:val="00D4284C"/>
    <w:rsid w:val="00D4503A"/>
    <w:rsid w:val="00D510FD"/>
    <w:rsid w:val="00D52495"/>
    <w:rsid w:val="00D6460C"/>
    <w:rsid w:val="00D64799"/>
    <w:rsid w:val="00D664AA"/>
    <w:rsid w:val="00D70310"/>
    <w:rsid w:val="00D7088F"/>
    <w:rsid w:val="00D70F86"/>
    <w:rsid w:val="00D72727"/>
    <w:rsid w:val="00D72A3B"/>
    <w:rsid w:val="00D738EF"/>
    <w:rsid w:val="00D73AA6"/>
    <w:rsid w:val="00D748E2"/>
    <w:rsid w:val="00D7631A"/>
    <w:rsid w:val="00D815D4"/>
    <w:rsid w:val="00D911FA"/>
    <w:rsid w:val="00D93641"/>
    <w:rsid w:val="00D9559A"/>
    <w:rsid w:val="00D9632D"/>
    <w:rsid w:val="00D97DC2"/>
    <w:rsid w:val="00DA09DE"/>
    <w:rsid w:val="00DA0B70"/>
    <w:rsid w:val="00DA138B"/>
    <w:rsid w:val="00DB164E"/>
    <w:rsid w:val="00DB30B7"/>
    <w:rsid w:val="00DB46F2"/>
    <w:rsid w:val="00DB630E"/>
    <w:rsid w:val="00DB73F7"/>
    <w:rsid w:val="00DC3197"/>
    <w:rsid w:val="00DC4CD1"/>
    <w:rsid w:val="00DC5834"/>
    <w:rsid w:val="00DC6A63"/>
    <w:rsid w:val="00DD070A"/>
    <w:rsid w:val="00DD0D50"/>
    <w:rsid w:val="00DD1B3B"/>
    <w:rsid w:val="00DD238E"/>
    <w:rsid w:val="00DD7371"/>
    <w:rsid w:val="00DE0103"/>
    <w:rsid w:val="00DE055E"/>
    <w:rsid w:val="00DE07F9"/>
    <w:rsid w:val="00DE1A4E"/>
    <w:rsid w:val="00DE2973"/>
    <w:rsid w:val="00DE3323"/>
    <w:rsid w:val="00DE482A"/>
    <w:rsid w:val="00DE52A4"/>
    <w:rsid w:val="00DE5330"/>
    <w:rsid w:val="00DE7C0B"/>
    <w:rsid w:val="00DF1081"/>
    <w:rsid w:val="00DF19D7"/>
    <w:rsid w:val="00DF1B12"/>
    <w:rsid w:val="00DF1C16"/>
    <w:rsid w:val="00DF2800"/>
    <w:rsid w:val="00DF291E"/>
    <w:rsid w:val="00DF35F2"/>
    <w:rsid w:val="00DF458D"/>
    <w:rsid w:val="00E00C40"/>
    <w:rsid w:val="00E01BD9"/>
    <w:rsid w:val="00E036D5"/>
    <w:rsid w:val="00E03A6D"/>
    <w:rsid w:val="00E07DE0"/>
    <w:rsid w:val="00E11DD6"/>
    <w:rsid w:val="00E12251"/>
    <w:rsid w:val="00E12B23"/>
    <w:rsid w:val="00E133FD"/>
    <w:rsid w:val="00E15443"/>
    <w:rsid w:val="00E17D49"/>
    <w:rsid w:val="00E20EF8"/>
    <w:rsid w:val="00E231BB"/>
    <w:rsid w:val="00E2362D"/>
    <w:rsid w:val="00E2529F"/>
    <w:rsid w:val="00E3006F"/>
    <w:rsid w:val="00E343A2"/>
    <w:rsid w:val="00E361A7"/>
    <w:rsid w:val="00E3654A"/>
    <w:rsid w:val="00E36ABA"/>
    <w:rsid w:val="00E370E9"/>
    <w:rsid w:val="00E3715C"/>
    <w:rsid w:val="00E447BF"/>
    <w:rsid w:val="00E50B1B"/>
    <w:rsid w:val="00E52233"/>
    <w:rsid w:val="00E5600B"/>
    <w:rsid w:val="00E653E5"/>
    <w:rsid w:val="00E665EC"/>
    <w:rsid w:val="00E7119B"/>
    <w:rsid w:val="00E723D3"/>
    <w:rsid w:val="00E736C7"/>
    <w:rsid w:val="00E73A5C"/>
    <w:rsid w:val="00E75038"/>
    <w:rsid w:val="00E75D3B"/>
    <w:rsid w:val="00E80544"/>
    <w:rsid w:val="00E809DF"/>
    <w:rsid w:val="00E810DA"/>
    <w:rsid w:val="00E8239F"/>
    <w:rsid w:val="00E8435B"/>
    <w:rsid w:val="00E84810"/>
    <w:rsid w:val="00E85C3A"/>
    <w:rsid w:val="00E85E40"/>
    <w:rsid w:val="00E860A0"/>
    <w:rsid w:val="00E86AF3"/>
    <w:rsid w:val="00E871CA"/>
    <w:rsid w:val="00E87D2B"/>
    <w:rsid w:val="00E939FC"/>
    <w:rsid w:val="00E9584A"/>
    <w:rsid w:val="00E95CC8"/>
    <w:rsid w:val="00E964E9"/>
    <w:rsid w:val="00E970AF"/>
    <w:rsid w:val="00E97930"/>
    <w:rsid w:val="00E97DF7"/>
    <w:rsid w:val="00EA125F"/>
    <w:rsid w:val="00EA186E"/>
    <w:rsid w:val="00EA34D7"/>
    <w:rsid w:val="00EA5181"/>
    <w:rsid w:val="00EA7424"/>
    <w:rsid w:val="00EB0174"/>
    <w:rsid w:val="00EB37AE"/>
    <w:rsid w:val="00EB3B1F"/>
    <w:rsid w:val="00EB7500"/>
    <w:rsid w:val="00EC0646"/>
    <w:rsid w:val="00EC0D88"/>
    <w:rsid w:val="00EC102A"/>
    <w:rsid w:val="00EC4472"/>
    <w:rsid w:val="00EC44BE"/>
    <w:rsid w:val="00EC45D8"/>
    <w:rsid w:val="00EC4931"/>
    <w:rsid w:val="00EC5B9A"/>
    <w:rsid w:val="00EC5BB5"/>
    <w:rsid w:val="00EC6C18"/>
    <w:rsid w:val="00EC6F86"/>
    <w:rsid w:val="00ED2897"/>
    <w:rsid w:val="00ED3CF9"/>
    <w:rsid w:val="00ED5DCD"/>
    <w:rsid w:val="00EE388C"/>
    <w:rsid w:val="00EE5BE6"/>
    <w:rsid w:val="00EE6C4A"/>
    <w:rsid w:val="00EF0D5F"/>
    <w:rsid w:val="00EF256F"/>
    <w:rsid w:val="00EF2A3E"/>
    <w:rsid w:val="00EF4181"/>
    <w:rsid w:val="00EF72EA"/>
    <w:rsid w:val="00F00E03"/>
    <w:rsid w:val="00F030D9"/>
    <w:rsid w:val="00F03413"/>
    <w:rsid w:val="00F047F0"/>
    <w:rsid w:val="00F06578"/>
    <w:rsid w:val="00F0660C"/>
    <w:rsid w:val="00F06803"/>
    <w:rsid w:val="00F06BB9"/>
    <w:rsid w:val="00F11608"/>
    <w:rsid w:val="00F11899"/>
    <w:rsid w:val="00F12817"/>
    <w:rsid w:val="00F13E25"/>
    <w:rsid w:val="00F205B1"/>
    <w:rsid w:val="00F21847"/>
    <w:rsid w:val="00F262F6"/>
    <w:rsid w:val="00F344B0"/>
    <w:rsid w:val="00F4169D"/>
    <w:rsid w:val="00F427A6"/>
    <w:rsid w:val="00F42D77"/>
    <w:rsid w:val="00F4469A"/>
    <w:rsid w:val="00F45076"/>
    <w:rsid w:val="00F473F5"/>
    <w:rsid w:val="00F47AF2"/>
    <w:rsid w:val="00F47CB2"/>
    <w:rsid w:val="00F509F6"/>
    <w:rsid w:val="00F56ED3"/>
    <w:rsid w:val="00F57E2E"/>
    <w:rsid w:val="00F6073A"/>
    <w:rsid w:val="00F60A1F"/>
    <w:rsid w:val="00F618B4"/>
    <w:rsid w:val="00F61BBD"/>
    <w:rsid w:val="00F62DB5"/>
    <w:rsid w:val="00F660BC"/>
    <w:rsid w:val="00F666AE"/>
    <w:rsid w:val="00F66BA4"/>
    <w:rsid w:val="00F67EE9"/>
    <w:rsid w:val="00F7246D"/>
    <w:rsid w:val="00F73255"/>
    <w:rsid w:val="00F736FC"/>
    <w:rsid w:val="00F77F8F"/>
    <w:rsid w:val="00F8099B"/>
    <w:rsid w:val="00F80FC7"/>
    <w:rsid w:val="00F865B8"/>
    <w:rsid w:val="00F866A1"/>
    <w:rsid w:val="00F877AE"/>
    <w:rsid w:val="00F952E1"/>
    <w:rsid w:val="00F96403"/>
    <w:rsid w:val="00F965C3"/>
    <w:rsid w:val="00F96E44"/>
    <w:rsid w:val="00F97642"/>
    <w:rsid w:val="00FA3C13"/>
    <w:rsid w:val="00FA44AD"/>
    <w:rsid w:val="00FA78A2"/>
    <w:rsid w:val="00FB097D"/>
    <w:rsid w:val="00FB3028"/>
    <w:rsid w:val="00FB4926"/>
    <w:rsid w:val="00FB6EC4"/>
    <w:rsid w:val="00FB7D97"/>
    <w:rsid w:val="00FC2B3D"/>
    <w:rsid w:val="00FC342B"/>
    <w:rsid w:val="00FC446C"/>
    <w:rsid w:val="00FC591E"/>
    <w:rsid w:val="00FC7520"/>
    <w:rsid w:val="00FD25AA"/>
    <w:rsid w:val="00FD61EA"/>
    <w:rsid w:val="00FD7147"/>
    <w:rsid w:val="00FD7FB8"/>
    <w:rsid w:val="00FE02BC"/>
    <w:rsid w:val="00FE05C2"/>
    <w:rsid w:val="00FE1EE2"/>
    <w:rsid w:val="00FE2D37"/>
    <w:rsid w:val="00FE3633"/>
    <w:rsid w:val="00FE3C37"/>
    <w:rsid w:val="00FE7BB3"/>
    <w:rsid w:val="00FF1B5D"/>
    <w:rsid w:val="00FF254E"/>
    <w:rsid w:val="00FF2763"/>
    <w:rsid w:val="00FF44DA"/>
    <w:rsid w:val="00FF5697"/>
    <w:rsid w:val="00FF570D"/>
    <w:rsid w:val="00FF6554"/>
    <w:rsid w:val="00FF6F48"/>
    <w:rsid w:val="00FF7452"/>
    <w:rsid w:val="00FF7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648AA"/>
  <w15:docId w15:val="{EF0AA824-F489-4BA0-A556-DA0566F7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2C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3C6DE7"/>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FB0"/>
    <w:pPr>
      <w:ind w:left="720"/>
      <w:contextualSpacing/>
    </w:pPr>
  </w:style>
  <w:style w:type="character" w:styleId="CommentReference">
    <w:name w:val="annotation reference"/>
    <w:basedOn w:val="DefaultParagraphFont"/>
    <w:uiPriority w:val="99"/>
    <w:semiHidden/>
    <w:unhideWhenUsed/>
    <w:rsid w:val="00660839"/>
    <w:rPr>
      <w:sz w:val="16"/>
      <w:szCs w:val="16"/>
    </w:rPr>
  </w:style>
  <w:style w:type="paragraph" w:styleId="CommentText">
    <w:name w:val="annotation text"/>
    <w:basedOn w:val="Normal"/>
    <w:link w:val="CommentTextChar"/>
    <w:uiPriority w:val="99"/>
    <w:unhideWhenUsed/>
    <w:rsid w:val="00660839"/>
    <w:pPr>
      <w:spacing w:line="240" w:lineRule="auto"/>
    </w:pPr>
    <w:rPr>
      <w:sz w:val="20"/>
      <w:szCs w:val="20"/>
    </w:rPr>
  </w:style>
  <w:style w:type="character" w:customStyle="1" w:styleId="CommentTextChar">
    <w:name w:val="Comment Text Char"/>
    <w:basedOn w:val="DefaultParagraphFont"/>
    <w:link w:val="CommentText"/>
    <w:uiPriority w:val="99"/>
    <w:rsid w:val="00660839"/>
    <w:rPr>
      <w:sz w:val="20"/>
      <w:szCs w:val="20"/>
    </w:rPr>
  </w:style>
  <w:style w:type="paragraph" w:styleId="CommentSubject">
    <w:name w:val="annotation subject"/>
    <w:basedOn w:val="CommentText"/>
    <w:next w:val="CommentText"/>
    <w:link w:val="CommentSubjectChar"/>
    <w:uiPriority w:val="99"/>
    <w:semiHidden/>
    <w:unhideWhenUsed/>
    <w:rsid w:val="00660839"/>
    <w:rPr>
      <w:b/>
      <w:bCs/>
    </w:rPr>
  </w:style>
  <w:style w:type="character" w:customStyle="1" w:styleId="CommentSubjectChar">
    <w:name w:val="Comment Subject Char"/>
    <w:basedOn w:val="CommentTextChar"/>
    <w:link w:val="CommentSubject"/>
    <w:uiPriority w:val="99"/>
    <w:semiHidden/>
    <w:rsid w:val="00660839"/>
    <w:rPr>
      <w:b/>
      <w:bCs/>
      <w:sz w:val="20"/>
      <w:szCs w:val="20"/>
    </w:rPr>
  </w:style>
  <w:style w:type="paragraph" w:styleId="BalloonText">
    <w:name w:val="Balloon Text"/>
    <w:basedOn w:val="Normal"/>
    <w:link w:val="BalloonTextChar"/>
    <w:uiPriority w:val="99"/>
    <w:semiHidden/>
    <w:unhideWhenUsed/>
    <w:rsid w:val="006608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839"/>
    <w:rPr>
      <w:rFonts w:ascii="Segoe UI" w:hAnsi="Segoe UI" w:cs="Segoe UI"/>
      <w:sz w:val="18"/>
      <w:szCs w:val="18"/>
    </w:rPr>
  </w:style>
  <w:style w:type="paragraph" w:styleId="Revision">
    <w:name w:val="Revision"/>
    <w:hidden/>
    <w:uiPriority w:val="99"/>
    <w:semiHidden/>
    <w:rsid w:val="00660839"/>
    <w:pPr>
      <w:spacing w:after="0" w:line="240" w:lineRule="auto"/>
    </w:pPr>
  </w:style>
  <w:style w:type="table" w:styleId="TableGrid">
    <w:name w:val="Table Grid"/>
    <w:basedOn w:val="TableNormal"/>
    <w:uiPriority w:val="39"/>
    <w:rsid w:val="003C6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unhideWhenUsed/>
    <w:qFormat/>
    <w:rsid w:val="003C6DE7"/>
    <w:pPr>
      <w:spacing w:after="200" w:line="240" w:lineRule="auto"/>
    </w:pPr>
    <w:rPr>
      <w:rFonts w:ascii="Times New Roman" w:hAnsi="Times New Roman"/>
      <w:b/>
      <w:bCs/>
      <w:color w:val="000000" w:themeColor="text1"/>
      <w:sz w:val="24"/>
      <w:szCs w:val="18"/>
    </w:rPr>
  </w:style>
  <w:style w:type="character" w:customStyle="1" w:styleId="Heading2Char">
    <w:name w:val="Heading 2 Char"/>
    <w:basedOn w:val="DefaultParagraphFont"/>
    <w:link w:val="Heading2"/>
    <w:rsid w:val="003C6DE7"/>
    <w:rPr>
      <w:rFonts w:asciiTheme="majorHAnsi" w:eastAsiaTheme="majorEastAsia" w:hAnsiTheme="majorHAnsi" w:cstheme="majorBidi"/>
      <w:b/>
      <w:bCs/>
      <w:color w:val="5B9BD5" w:themeColor="accent1"/>
      <w:sz w:val="26"/>
      <w:szCs w:val="26"/>
    </w:rPr>
  </w:style>
  <w:style w:type="table" w:customStyle="1" w:styleId="TableGrid2">
    <w:name w:val="Table Grid2"/>
    <w:basedOn w:val="TableNormal"/>
    <w:next w:val="TableGrid"/>
    <w:uiPriority w:val="59"/>
    <w:rsid w:val="003C6DE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6860"/>
    <w:pPr>
      <w:autoSpaceDE w:val="0"/>
      <w:autoSpaceDN w:val="0"/>
      <w:adjustRightInd w:val="0"/>
      <w:spacing w:after="0" w:line="240" w:lineRule="auto"/>
    </w:pPr>
    <w:rPr>
      <w:rFonts w:ascii="Arial" w:hAnsi="Arial" w:cs="Arial"/>
      <w:color w:val="000000"/>
      <w:sz w:val="24"/>
      <w:szCs w:val="24"/>
    </w:rPr>
  </w:style>
  <w:style w:type="paragraph" w:customStyle="1" w:styleId="numberedlevel2text">
    <w:name w:val="numberedlevel2text"/>
    <w:basedOn w:val="Normal"/>
    <w:rsid w:val="000B3AB6"/>
    <w:pPr>
      <w:spacing w:after="180"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B3AB6"/>
    <w:rPr>
      <w:i/>
      <w:iCs/>
    </w:rPr>
  </w:style>
  <w:style w:type="character" w:styleId="Hyperlink">
    <w:name w:val="Hyperlink"/>
    <w:basedOn w:val="DefaultParagraphFont"/>
    <w:uiPriority w:val="99"/>
    <w:unhideWhenUsed/>
    <w:rsid w:val="00545E18"/>
    <w:rPr>
      <w:strike w:val="0"/>
      <w:dstrike w:val="0"/>
      <w:color w:val="004276"/>
      <w:u w:val="none"/>
      <w:effect w:val="none"/>
      <w:shd w:val="clear" w:color="auto" w:fill="auto"/>
    </w:rPr>
  </w:style>
  <w:style w:type="character" w:styleId="Strong">
    <w:name w:val="Strong"/>
    <w:basedOn w:val="DefaultParagraphFont"/>
    <w:uiPriority w:val="22"/>
    <w:qFormat/>
    <w:rsid w:val="00545E18"/>
    <w:rPr>
      <w:b/>
      <w:bCs/>
    </w:rPr>
  </w:style>
  <w:style w:type="character" w:customStyle="1" w:styleId="Heading1Char">
    <w:name w:val="Heading 1 Char"/>
    <w:basedOn w:val="DefaultParagraphFont"/>
    <w:link w:val="Heading1"/>
    <w:uiPriority w:val="9"/>
    <w:rsid w:val="00B42CAB"/>
    <w:rPr>
      <w:rFonts w:asciiTheme="majorHAnsi" w:eastAsiaTheme="majorEastAsia" w:hAnsiTheme="majorHAnsi" w:cstheme="majorBidi"/>
      <w:color w:val="2E74B5" w:themeColor="accent1" w:themeShade="BF"/>
      <w:sz w:val="32"/>
      <w:szCs w:val="32"/>
    </w:rPr>
  </w:style>
  <w:style w:type="character" w:customStyle="1" w:styleId="highlight2">
    <w:name w:val="highlight2"/>
    <w:basedOn w:val="DefaultParagraphFont"/>
    <w:rsid w:val="00B42CAB"/>
  </w:style>
  <w:style w:type="paragraph" w:styleId="Header">
    <w:name w:val="header"/>
    <w:basedOn w:val="Normal"/>
    <w:link w:val="HeaderChar"/>
    <w:uiPriority w:val="99"/>
    <w:unhideWhenUsed/>
    <w:rsid w:val="00B663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3E8"/>
  </w:style>
  <w:style w:type="paragraph" w:styleId="Footer">
    <w:name w:val="footer"/>
    <w:basedOn w:val="Normal"/>
    <w:link w:val="FooterChar"/>
    <w:uiPriority w:val="99"/>
    <w:unhideWhenUsed/>
    <w:rsid w:val="00B663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3E8"/>
  </w:style>
  <w:style w:type="table" w:customStyle="1" w:styleId="TableGridLight1">
    <w:name w:val="Table Grid Light1"/>
    <w:basedOn w:val="TableNormal"/>
    <w:uiPriority w:val="40"/>
    <w:rsid w:val="00016B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uiPriority w:val="59"/>
    <w:rsid w:val="000C2D2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8B09FB"/>
    <w:pPr>
      <w:spacing w:after="200" w:line="240" w:lineRule="auto"/>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8B09FB"/>
    <w:rPr>
      <w:rFonts w:ascii="Times New Roman" w:hAnsi="Times New Roman" w:cs="Times New Roman"/>
      <w:noProof/>
      <w:sz w:val="24"/>
      <w:lang w:val="en-US"/>
    </w:rPr>
  </w:style>
  <w:style w:type="character" w:customStyle="1" w:styleId="highlight">
    <w:name w:val="highlight"/>
    <w:basedOn w:val="DefaultParagraphFont"/>
    <w:rsid w:val="008107D1"/>
  </w:style>
  <w:style w:type="paragraph" w:customStyle="1" w:styleId="title1">
    <w:name w:val="title1"/>
    <w:basedOn w:val="Normal"/>
    <w:rsid w:val="00D6460C"/>
    <w:pPr>
      <w:spacing w:after="0" w:line="240" w:lineRule="auto"/>
    </w:pPr>
    <w:rPr>
      <w:rFonts w:ascii="Times New Roman" w:eastAsia="Times New Roman" w:hAnsi="Times New Roman" w:cs="Times New Roman"/>
      <w:sz w:val="27"/>
      <w:szCs w:val="27"/>
      <w:lang w:eastAsia="en-GB"/>
    </w:rPr>
  </w:style>
  <w:style w:type="paragraph" w:customStyle="1" w:styleId="desc2">
    <w:name w:val="desc2"/>
    <w:basedOn w:val="Normal"/>
    <w:rsid w:val="00D6460C"/>
    <w:pPr>
      <w:spacing w:after="0" w:line="240" w:lineRule="auto"/>
    </w:pPr>
    <w:rPr>
      <w:rFonts w:ascii="Times New Roman" w:eastAsia="Times New Roman" w:hAnsi="Times New Roman" w:cs="Times New Roman"/>
      <w:sz w:val="26"/>
      <w:szCs w:val="26"/>
      <w:lang w:eastAsia="en-GB"/>
    </w:rPr>
  </w:style>
  <w:style w:type="paragraph" w:customStyle="1" w:styleId="details1">
    <w:name w:val="details1"/>
    <w:basedOn w:val="Normal"/>
    <w:rsid w:val="00D6460C"/>
    <w:pPr>
      <w:spacing w:after="0" w:line="240" w:lineRule="auto"/>
    </w:pPr>
    <w:rPr>
      <w:rFonts w:ascii="Times New Roman" w:eastAsia="Times New Roman" w:hAnsi="Times New Roman" w:cs="Times New Roman"/>
      <w:lang w:eastAsia="en-GB"/>
    </w:rPr>
  </w:style>
  <w:style w:type="character" w:customStyle="1" w:styleId="jrnl">
    <w:name w:val="jrnl"/>
    <w:basedOn w:val="DefaultParagraphFont"/>
    <w:rsid w:val="00D6460C"/>
  </w:style>
  <w:style w:type="character" w:styleId="HTMLCite">
    <w:name w:val="HTML Cite"/>
    <w:basedOn w:val="DefaultParagraphFont"/>
    <w:uiPriority w:val="99"/>
    <w:semiHidden/>
    <w:unhideWhenUsed/>
    <w:rsid w:val="00E12251"/>
    <w:rPr>
      <w:i w:val="0"/>
      <w:iCs w:val="0"/>
      <w:color w:val="006D21"/>
    </w:rPr>
  </w:style>
  <w:style w:type="character" w:customStyle="1" w:styleId="UnresolvedMention1">
    <w:name w:val="Unresolved Mention1"/>
    <w:basedOn w:val="DefaultParagraphFont"/>
    <w:uiPriority w:val="99"/>
    <w:semiHidden/>
    <w:unhideWhenUsed/>
    <w:rsid w:val="00E12251"/>
    <w:rPr>
      <w:color w:val="605E5C"/>
      <w:shd w:val="clear" w:color="auto" w:fill="E1DFDD"/>
    </w:rPr>
  </w:style>
  <w:style w:type="character" w:styleId="FollowedHyperlink">
    <w:name w:val="FollowedHyperlink"/>
    <w:basedOn w:val="DefaultParagraphFont"/>
    <w:uiPriority w:val="99"/>
    <w:semiHidden/>
    <w:unhideWhenUsed/>
    <w:rsid w:val="00D93641"/>
    <w:rPr>
      <w:color w:val="954F72" w:themeColor="followedHyperlink"/>
      <w:u w:val="single"/>
    </w:rPr>
  </w:style>
  <w:style w:type="paragraph" w:styleId="NormalWeb">
    <w:name w:val="Normal (Web)"/>
    <w:basedOn w:val="Normal"/>
    <w:uiPriority w:val="99"/>
    <w:semiHidden/>
    <w:unhideWhenUsed/>
    <w:rsid w:val="00B36D4A"/>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customStyle="1" w:styleId="TableGrid3">
    <w:name w:val="Table Grid3"/>
    <w:basedOn w:val="TableNormal"/>
    <w:next w:val="TableGrid"/>
    <w:uiPriority w:val="59"/>
    <w:rsid w:val="009C2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C2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0A019E"/>
  </w:style>
  <w:style w:type="character" w:customStyle="1" w:styleId="UnresolvedMention2">
    <w:name w:val="Unresolved Mention2"/>
    <w:basedOn w:val="DefaultParagraphFont"/>
    <w:uiPriority w:val="99"/>
    <w:semiHidden/>
    <w:unhideWhenUsed/>
    <w:rsid w:val="00200C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843">
      <w:bodyDiv w:val="1"/>
      <w:marLeft w:val="0"/>
      <w:marRight w:val="0"/>
      <w:marTop w:val="0"/>
      <w:marBottom w:val="0"/>
      <w:divBdr>
        <w:top w:val="none" w:sz="0" w:space="0" w:color="auto"/>
        <w:left w:val="none" w:sz="0" w:space="0" w:color="auto"/>
        <w:bottom w:val="none" w:sz="0" w:space="0" w:color="auto"/>
        <w:right w:val="none" w:sz="0" w:space="0" w:color="auto"/>
      </w:divBdr>
    </w:div>
    <w:div w:id="68621814">
      <w:bodyDiv w:val="1"/>
      <w:marLeft w:val="0"/>
      <w:marRight w:val="0"/>
      <w:marTop w:val="0"/>
      <w:marBottom w:val="0"/>
      <w:divBdr>
        <w:top w:val="none" w:sz="0" w:space="0" w:color="auto"/>
        <w:left w:val="none" w:sz="0" w:space="0" w:color="auto"/>
        <w:bottom w:val="none" w:sz="0" w:space="0" w:color="auto"/>
        <w:right w:val="none" w:sz="0" w:space="0" w:color="auto"/>
      </w:divBdr>
      <w:divsChild>
        <w:div w:id="1712144896">
          <w:marLeft w:val="0"/>
          <w:marRight w:val="1"/>
          <w:marTop w:val="0"/>
          <w:marBottom w:val="0"/>
          <w:divBdr>
            <w:top w:val="none" w:sz="0" w:space="0" w:color="auto"/>
            <w:left w:val="none" w:sz="0" w:space="0" w:color="auto"/>
            <w:bottom w:val="none" w:sz="0" w:space="0" w:color="auto"/>
            <w:right w:val="none" w:sz="0" w:space="0" w:color="auto"/>
          </w:divBdr>
          <w:divsChild>
            <w:div w:id="993334956">
              <w:marLeft w:val="0"/>
              <w:marRight w:val="0"/>
              <w:marTop w:val="0"/>
              <w:marBottom w:val="0"/>
              <w:divBdr>
                <w:top w:val="none" w:sz="0" w:space="0" w:color="auto"/>
                <w:left w:val="none" w:sz="0" w:space="0" w:color="auto"/>
                <w:bottom w:val="none" w:sz="0" w:space="0" w:color="auto"/>
                <w:right w:val="none" w:sz="0" w:space="0" w:color="auto"/>
              </w:divBdr>
              <w:divsChild>
                <w:div w:id="957445560">
                  <w:marLeft w:val="0"/>
                  <w:marRight w:val="1"/>
                  <w:marTop w:val="0"/>
                  <w:marBottom w:val="0"/>
                  <w:divBdr>
                    <w:top w:val="none" w:sz="0" w:space="0" w:color="auto"/>
                    <w:left w:val="none" w:sz="0" w:space="0" w:color="auto"/>
                    <w:bottom w:val="none" w:sz="0" w:space="0" w:color="auto"/>
                    <w:right w:val="none" w:sz="0" w:space="0" w:color="auto"/>
                  </w:divBdr>
                  <w:divsChild>
                    <w:div w:id="21785772">
                      <w:marLeft w:val="0"/>
                      <w:marRight w:val="0"/>
                      <w:marTop w:val="0"/>
                      <w:marBottom w:val="0"/>
                      <w:divBdr>
                        <w:top w:val="none" w:sz="0" w:space="0" w:color="auto"/>
                        <w:left w:val="none" w:sz="0" w:space="0" w:color="auto"/>
                        <w:bottom w:val="none" w:sz="0" w:space="0" w:color="auto"/>
                        <w:right w:val="none" w:sz="0" w:space="0" w:color="auto"/>
                      </w:divBdr>
                      <w:divsChild>
                        <w:div w:id="1785877253">
                          <w:marLeft w:val="0"/>
                          <w:marRight w:val="0"/>
                          <w:marTop w:val="0"/>
                          <w:marBottom w:val="0"/>
                          <w:divBdr>
                            <w:top w:val="none" w:sz="0" w:space="0" w:color="auto"/>
                            <w:left w:val="none" w:sz="0" w:space="0" w:color="auto"/>
                            <w:bottom w:val="none" w:sz="0" w:space="0" w:color="auto"/>
                            <w:right w:val="none" w:sz="0" w:space="0" w:color="auto"/>
                          </w:divBdr>
                          <w:divsChild>
                            <w:div w:id="1265530507">
                              <w:marLeft w:val="0"/>
                              <w:marRight w:val="0"/>
                              <w:marTop w:val="120"/>
                              <w:marBottom w:val="360"/>
                              <w:divBdr>
                                <w:top w:val="none" w:sz="0" w:space="0" w:color="auto"/>
                                <w:left w:val="none" w:sz="0" w:space="0" w:color="auto"/>
                                <w:bottom w:val="none" w:sz="0" w:space="0" w:color="auto"/>
                                <w:right w:val="none" w:sz="0" w:space="0" w:color="auto"/>
                              </w:divBdr>
                              <w:divsChild>
                                <w:div w:id="1359282254">
                                  <w:marLeft w:val="0"/>
                                  <w:marRight w:val="0"/>
                                  <w:marTop w:val="0"/>
                                  <w:marBottom w:val="0"/>
                                  <w:divBdr>
                                    <w:top w:val="none" w:sz="0" w:space="0" w:color="auto"/>
                                    <w:left w:val="none" w:sz="0" w:space="0" w:color="auto"/>
                                    <w:bottom w:val="none" w:sz="0" w:space="0" w:color="auto"/>
                                    <w:right w:val="none" w:sz="0" w:space="0" w:color="auto"/>
                                  </w:divBdr>
                                </w:div>
                                <w:div w:id="101149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93469">
      <w:bodyDiv w:val="1"/>
      <w:marLeft w:val="0"/>
      <w:marRight w:val="0"/>
      <w:marTop w:val="0"/>
      <w:marBottom w:val="0"/>
      <w:divBdr>
        <w:top w:val="none" w:sz="0" w:space="0" w:color="auto"/>
        <w:left w:val="none" w:sz="0" w:space="0" w:color="auto"/>
        <w:bottom w:val="none" w:sz="0" w:space="0" w:color="auto"/>
        <w:right w:val="none" w:sz="0" w:space="0" w:color="auto"/>
      </w:divBdr>
      <w:divsChild>
        <w:div w:id="1721633950">
          <w:marLeft w:val="0"/>
          <w:marRight w:val="0"/>
          <w:marTop w:val="0"/>
          <w:marBottom w:val="0"/>
          <w:divBdr>
            <w:top w:val="none" w:sz="0" w:space="0" w:color="auto"/>
            <w:left w:val="none" w:sz="0" w:space="0" w:color="auto"/>
            <w:bottom w:val="none" w:sz="0" w:space="0" w:color="auto"/>
            <w:right w:val="none" w:sz="0" w:space="0" w:color="auto"/>
          </w:divBdr>
          <w:divsChild>
            <w:div w:id="1165709871">
              <w:marLeft w:val="-225"/>
              <w:marRight w:val="-225"/>
              <w:marTop w:val="0"/>
              <w:marBottom w:val="0"/>
              <w:divBdr>
                <w:top w:val="none" w:sz="0" w:space="0" w:color="auto"/>
                <w:left w:val="none" w:sz="0" w:space="0" w:color="auto"/>
                <w:bottom w:val="none" w:sz="0" w:space="0" w:color="auto"/>
                <w:right w:val="none" w:sz="0" w:space="0" w:color="auto"/>
              </w:divBdr>
              <w:divsChild>
                <w:div w:id="378939093">
                  <w:marLeft w:val="0"/>
                  <w:marRight w:val="0"/>
                  <w:marTop w:val="0"/>
                  <w:marBottom w:val="0"/>
                  <w:divBdr>
                    <w:top w:val="none" w:sz="0" w:space="0" w:color="auto"/>
                    <w:left w:val="none" w:sz="0" w:space="0" w:color="auto"/>
                    <w:bottom w:val="none" w:sz="0" w:space="0" w:color="auto"/>
                    <w:right w:val="none" w:sz="0" w:space="0" w:color="auto"/>
                  </w:divBdr>
                  <w:divsChild>
                    <w:div w:id="2084521119">
                      <w:marLeft w:val="-225"/>
                      <w:marRight w:val="-225"/>
                      <w:marTop w:val="0"/>
                      <w:marBottom w:val="0"/>
                      <w:divBdr>
                        <w:top w:val="none" w:sz="0" w:space="0" w:color="auto"/>
                        <w:left w:val="none" w:sz="0" w:space="0" w:color="auto"/>
                        <w:bottom w:val="none" w:sz="0" w:space="0" w:color="auto"/>
                        <w:right w:val="none" w:sz="0" w:space="0" w:color="auto"/>
                      </w:divBdr>
                      <w:divsChild>
                        <w:div w:id="140699679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139885984">
      <w:bodyDiv w:val="1"/>
      <w:marLeft w:val="0"/>
      <w:marRight w:val="0"/>
      <w:marTop w:val="0"/>
      <w:marBottom w:val="0"/>
      <w:divBdr>
        <w:top w:val="none" w:sz="0" w:space="0" w:color="auto"/>
        <w:left w:val="none" w:sz="0" w:space="0" w:color="auto"/>
        <w:bottom w:val="none" w:sz="0" w:space="0" w:color="auto"/>
        <w:right w:val="none" w:sz="0" w:space="0" w:color="auto"/>
      </w:divBdr>
    </w:div>
    <w:div w:id="151264487">
      <w:bodyDiv w:val="1"/>
      <w:marLeft w:val="0"/>
      <w:marRight w:val="0"/>
      <w:marTop w:val="0"/>
      <w:marBottom w:val="0"/>
      <w:divBdr>
        <w:top w:val="none" w:sz="0" w:space="0" w:color="auto"/>
        <w:left w:val="none" w:sz="0" w:space="0" w:color="auto"/>
        <w:bottom w:val="none" w:sz="0" w:space="0" w:color="auto"/>
        <w:right w:val="none" w:sz="0" w:space="0" w:color="auto"/>
      </w:divBdr>
      <w:divsChild>
        <w:div w:id="1041050841">
          <w:marLeft w:val="0"/>
          <w:marRight w:val="1"/>
          <w:marTop w:val="0"/>
          <w:marBottom w:val="0"/>
          <w:divBdr>
            <w:top w:val="none" w:sz="0" w:space="0" w:color="auto"/>
            <w:left w:val="none" w:sz="0" w:space="0" w:color="auto"/>
            <w:bottom w:val="none" w:sz="0" w:space="0" w:color="auto"/>
            <w:right w:val="none" w:sz="0" w:space="0" w:color="auto"/>
          </w:divBdr>
          <w:divsChild>
            <w:div w:id="875390424">
              <w:marLeft w:val="0"/>
              <w:marRight w:val="0"/>
              <w:marTop w:val="0"/>
              <w:marBottom w:val="0"/>
              <w:divBdr>
                <w:top w:val="none" w:sz="0" w:space="0" w:color="auto"/>
                <w:left w:val="none" w:sz="0" w:space="0" w:color="auto"/>
                <w:bottom w:val="none" w:sz="0" w:space="0" w:color="auto"/>
                <w:right w:val="none" w:sz="0" w:space="0" w:color="auto"/>
              </w:divBdr>
              <w:divsChild>
                <w:div w:id="716781326">
                  <w:marLeft w:val="0"/>
                  <w:marRight w:val="1"/>
                  <w:marTop w:val="0"/>
                  <w:marBottom w:val="0"/>
                  <w:divBdr>
                    <w:top w:val="none" w:sz="0" w:space="0" w:color="auto"/>
                    <w:left w:val="none" w:sz="0" w:space="0" w:color="auto"/>
                    <w:bottom w:val="none" w:sz="0" w:space="0" w:color="auto"/>
                    <w:right w:val="none" w:sz="0" w:space="0" w:color="auto"/>
                  </w:divBdr>
                  <w:divsChild>
                    <w:div w:id="458106387">
                      <w:marLeft w:val="0"/>
                      <w:marRight w:val="0"/>
                      <w:marTop w:val="0"/>
                      <w:marBottom w:val="0"/>
                      <w:divBdr>
                        <w:top w:val="none" w:sz="0" w:space="0" w:color="auto"/>
                        <w:left w:val="none" w:sz="0" w:space="0" w:color="auto"/>
                        <w:bottom w:val="none" w:sz="0" w:space="0" w:color="auto"/>
                        <w:right w:val="none" w:sz="0" w:space="0" w:color="auto"/>
                      </w:divBdr>
                      <w:divsChild>
                        <w:div w:id="261305789">
                          <w:marLeft w:val="0"/>
                          <w:marRight w:val="0"/>
                          <w:marTop w:val="0"/>
                          <w:marBottom w:val="0"/>
                          <w:divBdr>
                            <w:top w:val="none" w:sz="0" w:space="0" w:color="auto"/>
                            <w:left w:val="none" w:sz="0" w:space="0" w:color="auto"/>
                            <w:bottom w:val="none" w:sz="0" w:space="0" w:color="auto"/>
                            <w:right w:val="none" w:sz="0" w:space="0" w:color="auto"/>
                          </w:divBdr>
                          <w:divsChild>
                            <w:div w:id="1275134122">
                              <w:marLeft w:val="0"/>
                              <w:marRight w:val="0"/>
                              <w:marTop w:val="120"/>
                              <w:marBottom w:val="360"/>
                              <w:divBdr>
                                <w:top w:val="none" w:sz="0" w:space="0" w:color="auto"/>
                                <w:left w:val="none" w:sz="0" w:space="0" w:color="auto"/>
                                <w:bottom w:val="none" w:sz="0" w:space="0" w:color="auto"/>
                                <w:right w:val="none" w:sz="0" w:space="0" w:color="auto"/>
                              </w:divBdr>
                              <w:divsChild>
                                <w:div w:id="861357927">
                                  <w:marLeft w:val="420"/>
                                  <w:marRight w:val="0"/>
                                  <w:marTop w:val="0"/>
                                  <w:marBottom w:val="0"/>
                                  <w:divBdr>
                                    <w:top w:val="none" w:sz="0" w:space="0" w:color="auto"/>
                                    <w:left w:val="none" w:sz="0" w:space="0" w:color="auto"/>
                                    <w:bottom w:val="none" w:sz="0" w:space="0" w:color="auto"/>
                                    <w:right w:val="none" w:sz="0" w:space="0" w:color="auto"/>
                                  </w:divBdr>
                                  <w:divsChild>
                                    <w:div w:id="37520338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65697">
      <w:bodyDiv w:val="1"/>
      <w:marLeft w:val="0"/>
      <w:marRight w:val="0"/>
      <w:marTop w:val="0"/>
      <w:marBottom w:val="0"/>
      <w:divBdr>
        <w:top w:val="none" w:sz="0" w:space="0" w:color="auto"/>
        <w:left w:val="none" w:sz="0" w:space="0" w:color="auto"/>
        <w:bottom w:val="none" w:sz="0" w:space="0" w:color="auto"/>
        <w:right w:val="none" w:sz="0" w:space="0" w:color="auto"/>
      </w:divBdr>
      <w:divsChild>
        <w:div w:id="525288563">
          <w:marLeft w:val="0"/>
          <w:marRight w:val="1"/>
          <w:marTop w:val="0"/>
          <w:marBottom w:val="0"/>
          <w:divBdr>
            <w:top w:val="none" w:sz="0" w:space="0" w:color="auto"/>
            <w:left w:val="none" w:sz="0" w:space="0" w:color="auto"/>
            <w:bottom w:val="none" w:sz="0" w:space="0" w:color="auto"/>
            <w:right w:val="none" w:sz="0" w:space="0" w:color="auto"/>
          </w:divBdr>
          <w:divsChild>
            <w:div w:id="572156936">
              <w:marLeft w:val="0"/>
              <w:marRight w:val="0"/>
              <w:marTop w:val="0"/>
              <w:marBottom w:val="0"/>
              <w:divBdr>
                <w:top w:val="none" w:sz="0" w:space="0" w:color="auto"/>
                <w:left w:val="none" w:sz="0" w:space="0" w:color="auto"/>
                <w:bottom w:val="none" w:sz="0" w:space="0" w:color="auto"/>
                <w:right w:val="none" w:sz="0" w:space="0" w:color="auto"/>
              </w:divBdr>
              <w:divsChild>
                <w:div w:id="1665736847">
                  <w:marLeft w:val="0"/>
                  <w:marRight w:val="1"/>
                  <w:marTop w:val="0"/>
                  <w:marBottom w:val="0"/>
                  <w:divBdr>
                    <w:top w:val="none" w:sz="0" w:space="0" w:color="auto"/>
                    <w:left w:val="none" w:sz="0" w:space="0" w:color="auto"/>
                    <w:bottom w:val="none" w:sz="0" w:space="0" w:color="auto"/>
                    <w:right w:val="none" w:sz="0" w:space="0" w:color="auto"/>
                  </w:divBdr>
                  <w:divsChild>
                    <w:div w:id="1700425738">
                      <w:marLeft w:val="0"/>
                      <w:marRight w:val="0"/>
                      <w:marTop w:val="0"/>
                      <w:marBottom w:val="0"/>
                      <w:divBdr>
                        <w:top w:val="none" w:sz="0" w:space="0" w:color="auto"/>
                        <w:left w:val="none" w:sz="0" w:space="0" w:color="auto"/>
                        <w:bottom w:val="none" w:sz="0" w:space="0" w:color="auto"/>
                        <w:right w:val="none" w:sz="0" w:space="0" w:color="auto"/>
                      </w:divBdr>
                      <w:divsChild>
                        <w:div w:id="783037236">
                          <w:marLeft w:val="0"/>
                          <w:marRight w:val="0"/>
                          <w:marTop w:val="0"/>
                          <w:marBottom w:val="0"/>
                          <w:divBdr>
                            <w:top w:val="none" w:sz="0" w:space="0" w:color="auto"/>
                            <w:left w:val="none" w:sz="0" w:space="0" w:color="auto"/>
                            <w:bottom w:val="none" w:sz="0" w:space="0" w:color="auto"/>
                            <w:right w:val="none" w:sz="0" w:space="0" w:color="auto"/>
                          </w:divBdr>
                          <w:divsChild>
                            <w:div w:id="968360171">
                              <w:marLeft w:val="0"/>
                              <w:marRight w:val="0"/>
                              <w:marTop w:val="120"/>
                              <w:marBottom w:val="360"/>
                              <w:divBdr>
                                <w:top w:val="none" w:sz="0" w:space="0" w:color="auto"/>
                                <w:left w:val="none" w:sz="0" w:space="0" w:color="auto"/>
                                <w:bottom w:val="none" w:sz="0" w:space="0" w:color="auto"/>
                                <w:right w:val="none" w:sz="0" w:space="0" w:color="auto"/>
                              </w:divBdr>
                              <w:divsChild>
                                <w:div w:id="1179082536">
                                  <w:marLeft w:val="0"/>
                                  <w:marRight w:val="0"/>
                                  <w:marTop w:val="0"/>
                                  <w:marBottom w:val="0"/>
                                  <w:divBdr>
                                    <w:top w:val="none" w:sz="0" w:space="0" w:color="auto"/>
                                    <w:left w:val="none" w:sz="0" w:space="0" w:color="auto"/>
                                    <w:bottom w:val="none" w:sz="0" w:space="0" w:color="auto"/>
                                    <w:right w:val="none" w:sz="0" w:space="0" w:color="auto"/>
                                  </w:divBdr>
                                </w:div>
                                <w:div w:id="59031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756010">
      <w:bodyDiv w:val="1"/>
      <w:marLeft w:val="0"/>
      <w:marRight w:val="0"/>
      <w:marTop w:val="0"/>
      <w:marBottom w:val="0"/>
      <w:divBdr>
        <w:top w:val="none" w:sz="0" w:space="0" w:color="auto"/>
        <w:left w:val="none" w:sz="0" w:space="0" w:color="auto"/>
        <w:bottom w:val="none" w:sz="0" w:space="0" w:color="auto"/>
        <w:right w:val="none" w:sz="0" w:space="0" w:color="auto"/>
      </w:divBdr>
    </w:div>
    <w:div w:id="248975851">
      <w:bodyDiv w:val="1"/>
      <w:marLeft w:val="0"/>
      <w:marRight w:val="0"/>
      <w:marTop w:val="0"/>
      <w:marBottom w:val="0"/>
      <w:divBdr>
        <w:top w:val="none" w:sz="0" w:space="0" w:color="auto"/>
        <w:left w:val="none" w:sz="0" w:space="0" w:color="auto"/>
        <w:bottom w:val="none" w:sz="0" w:space="0" w:color="auto"/>
        <w:right w:val="none" w:sz="0" w:space="0" w:color="auto"/>
      </w:divBdr>
    </w:div>
    <w:div w:id="253823664">
      <w:bodyDiv w:val="1"/>
      <w:marLeft w:val="0"/>
      <w:marRight w:val="0"/>
      <w:marTop w:val="0"/>
      <w:marBottom w:val="0"/>
      <w:divBdr>
        <w:top w:val="none" w:sz="0" w:space="0" w:color="auto"/>
        <w:left w:val="none" w:sz="0" w:space="0" w:color="auto"/>
        <w:bottom w:val="none" w:sz="0" w:space="0" w:color="auto"/>
        <w:right w:val="none" w:sz="0" w:space="0" w:color="auto"/>
      </w:divBdr>
    </w:div>
    <w:div w:id="272636446">
      <w:bodyDiv w:val="1"/>
      <w:marLeft w:val="0"/>
      <w:marRight w:val="0"/>
      <w:marTop w:val="0"/>
      <w:marBottom w:val="0"/>
      <w:divBdr>
        <w:top w:val="none" w:sz="0" w:space="0" w:color="auto"/>
        <w:left w:val="none" w:sz="0" w:space="0" w:color="auto"/>
        <w:bottom w:val="none" w:sz="0" w:space="0" w:color="auto"/>
        <w:right w:val="none" w:sz="0" w:space="0" w:color="auto"/>
      </w:divBdr>
    </w:div>
    <w:div w:id="348722819">
      <w:bodyDiv w:val="1"/>
      <w:marLeft w:val="0"/>
      <w:marRight w:val="0"/>
      <w:marTop w:val="0"/>
      <w:marBottom w:val="0"/>
      <w:divBdr>
        <w:top w:val="none" w:sz="0" w:space="0" w:color="auto"/>
        <w:left w:val="none" w:sz="0" w:space="0" w:color="auto"/>
        <w:bottom w:val="none" w:sz="0" w:space="0" w:color="auto"/>
        <w:right w:val="none" w:sz="0" w:space="0" w:color="auto"/>
      </w:divBdr>
    </w:div>
    <w:div w:id="465514207">
      <w:bodyDiv w:val="1"/>
      <w:marLeft w:val="0"/>
      <w:marRight w:val="0"/>
      <w:marTop w:val="0"/>
      <w:marBottom w:val="0"/>
      <w:divBdr>
        <w:top w:val="none" w:sz="0" w:space="0" w:color="auto"/>
        <w:left w:val="none" w:sz="0" w:space="0" w:color="auto"/>
        <w:bottom w:val="none" w:sz="0" w:space="0" w:color="auto"/>
        <w:right w:val="none" w:sz="0" w:space="0" w:color="auto"/>
      </w:divBdr>
    </w:div>
    <w:div w:id="473645471">
      <w:bodyDiv w:val="1"/>
      <w:marLeft w:val="0"/>
      <w:marRight w:val="0"/>
      <w:marTop w:val="0"/>
      <w:marBottom w:val="0"/>
      <w:divBdr>
        <w:top w:val="none" w:sz="0" w:space="0" w:color="auto"/>
        <w:left w:val="none" w:sz="0" w:space="0" w:color="auto"/>
        <w:bottom w:val="none" w:sz="0" w:space="0" w:color="auto"/>
        <w:right w:val="none" w:sz="0" w:space="0" w:color="auto"/>
      </w:divBdr>
    </w:div>
    <w:div w:id="530000831">
      <w:bodyDiv w:val="1"/>
      <w:marLeft w:val="0"/>
      <w:marRight w:val="0"/>
      <w:marTop w:val="0"/>
      <w:marBottom w:val="0"/>
      <w:divBdr>
        <w:top w:val="none" w:sz="0" w:space="0" w:color="auto"/>
        <w:left w:val="none" w:sz="0" w:space="0" w:color="auto"/>
        <w:bottom w:val="none" w:sz="0" w:space="0" w:color="auto"/>
        <w:right w:val="none" w:sz="0" w:space="0" w:color="auto"/>
      </w:divBdr>
      <w:divsChild>
        <w:div w:id="1378118261">
          <w:marLeft w:val="0"/>
          <w:marRight w:val="1"/>
          <w:marTop w:val="0"/>
          <w:marBottom w:val="0"/>
          <w:divBdr>
            <w:top w:val="none" w:sz="0" w:space="0" w:color="auto"/>
            <w:left w:val="none" w:sz="0" w:space="0" w:color="auto"/>
            <w:bottom w:val="none" w:sz="0" w:space="0" w:color="auto"/>
            <w:right w:val="none" w:sz="0" w:space="0" w:color="auto"/>
          </w:divBdr>
          <w:divsChild>
            <w:div w:id="1999841245">
              <w:marLeft w:val="0"/>
              <w:marRight w:val="0"/>
              <w:marTop w:val="0"/>
              <w:marBottom w:val="0"/>
              <w:divBdr>
                <w:top w:val="none" w:sz="0" w:space="0" w:color="auto"/>
                <w:left w:val="none" w:sz="0" w:space="0" w:color="auto"/>
                <w:bottom w:val="none" w:sz="0" w:space="0" w:color="auto"/>
                <w:right w:val="none" w:sz="0" w:space="0" w:color="auto"/>
              </w:divBdr>
              <w:divsChild>
                <w:div w:id="751898178">
                  <w:marLeft w:val="0"/>
                  <w:marRight w:val="1"/>
                  <w:marTop w:val="0"/>
                  <w:marBottom w:val="0"/>
                  <w:divBdr>
                    <w:top w:val="none" w:sz="0" w:space="0" w:color="auto"/>
                    <w:left w:val="none" w:sz="0" w:space="0" w:color="auto"/>
                    <w:bottom w:val="none" w:sz="0" w:space="0" w:color="auto"/>
                    <w:right w:val="none" w:sz="0" w:space="0" w:color="auto"/>
                  </w:divBdr>
                  <w:divsChild>
                    <w:div w:id="2058163179">
                      <w:marLeft w:val="0"/>
                      <w:marRight w:val="0"/>
                      <w:marTop w:val="0"/>
                      <w:marBottom w:val="0"/>
                      <w:divBdr>
                        <w:top w:val="none" w:sz="0" w:space="0" w:color="auto"/>
                        <w:left w:val="none" w:sz="0" w:space="0" w:color="auto"/>
                        <w:bottom w:val="none" w:sz="0" w:space="0" w:color="auto"/>
                        <w:right w:val="none" w:sz="0" w:space="0" w:color="auto"/>
                      </w:divBdr>
                      <w:divsChild>
                        <w:div w:id="2071493157">
                          <w:marLeft w:val="0"/>
                          <w:marRight w:val="0"/>
                          <w:marTop w:val="0"/>
                          <w:marBottom w:val="0"/>
                          <w:divBdr>
                            <w:top w:val="none" w:sz="0" w:space="0" w:color="auto"/>
                            <w:left w:val="none" w:sz="0" w:space="0" w:color="auto"/>
                            <w:bottom w:val="none" w:sz="0" w:space="0" w:color="auto"/>
                            <w:right w:val="none" w:sz="0" w:space="0" w:color="auto"/>
                          </w:divBdr>
                          <w:divsChild>
                            <w:div w:id="1513184743">
                              <w:marLeft w:val="0"/>
                              <w:marRight w:val="0"/>
                              <w:marTop w:val="120"/>
                              <w:marBottom w:val="360"/>
                              <w:divBdr>
                                <w:top w:val="none" w:sz="0" w:space="0" w:color="auto"/>
                                <w:left w:val="none" w:sz="0" w:space="0" w:color="auto"/>
                                <w:bottom w:val="none" w:sz="0" w:space="0" w:color="auto"/>
                                <w:right w:val="none" w:sz="0" w:space="0" w:color="auto"/>
                              </w:divBdr>
                              <w:divsChild>
                                <w:div w:id="645354140">
                                  <w:marLeft w:val="420"/>
                                  <w:marRight w:val="0"/>
                                  <w:marTop w:val="0"/>
                                  <w:marBottom w:val="0"/>
                                  <w:divBdr>
                                    <w:top w:val="none" w:sz="0" w:space="0" w:color="auto"/>
                                    <w:left w:val="none" w:sz="0" w:space="0" w:color="auto"/>
                                    <w:bottom w:val="none" w:sz="0" w:space="0" w:color="auto"/>
                                    <w:right w:val="none" w:sz="0" w:space="0" w:color="auto"/>
                                  </w:divBdr>
                                  <w:divsChild>
                                    <w:div w:id="28824278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171511">
      <w:bodyDiv w:val="1"/>
      <w:marLeft w:val="0"/>
      <w:marRight w:val="0"/>
      <w:marTop w:val="0"/>
      <w:marBottom w:val="0"/>
      <w:divBdr>
        <w:top w:val="none" w:sz="0" w:space="0" w:color="auto"/>
        <w:left w:val="none" w:sz="0" w:space="0" w:color="auto"/>
        <w:bottom w:val="none" w:sz="0" w:space="0" w:color="auto"/>
        <w:right w:val="none" w:sz="0" w:space="0" w:color="auto"/>
      </w:divBdr>
      <w:divsChild>
        <w:div w:id="146827589">
          <w:marLeft w:val="0"/>
          <w:marRight w:val="1"/>
          <w:marTop w:val="0"/>
          <w:marBottom w:val="0"/>
          <w:divBdr>
            <w:top w:val="none" w:sz="0" w:space="0" w:color="auto"/>
            <w:left w:val="none" w:sz="0" w:space="0" w:color="auto"/>
            <w:bottom w:val="none" w:sz="0" w:space="0" w:color="auto"/>
            <w:right w:val="none" w:sz="0" w:space="0" w:color="auto"/>
          </w:divBdr>
          <w:divsChild>
            <w:div w:id="1906912459">
              <w:marLeft w:val="0"/>
              <w:marRight w:val="0"/>
              <w:marTop w:val="0"/>
              <w:marBottom w:val="0"/>
              <w:divBdr>
                <w:top w:val="none" w:sz="0" w:space="0" w:color="auto"/>
                <w:left w:val="none" w:sz="0" w:space="0" w:color="auto"/>
                <w:bottom w:val="none" w:sz="0" w:space="0" w:color="auto"/>
                <w:right w:val="none" w:sz="0" w:space="0" w:color="auto"/>
              </w:divBdr>
              <w:divsChild>
                <w:div w:id="1522163988">
                  <w:marLeft w:val="0"/>
                  <w:marRight w:val="1"/>
                  <w:marTop w:val="0"/>
                  <w:marBottom w:val="0"/>
                  <w:divBdr>
                    <w:top w:val="none" w:sz="0" w:space="0" w:color="auto"/>
                    <w:left w:val="none" w:sz="0" w:space="0" w:color="auto"/>
                    <w:bottom w:val="none" w:sz="0" w:space="0" w:color="auto"/>
                    <w:right w:val="none" w:sz="0" w:space="0" w:color="auto"/>
                  </w:divBdr>
                  <w:divsChild>
                    <w:div w:id="1041514576">
                      <w:marLeft w:val="0"/>
                      <w:marRight w:val="0"/>
                      <w:marTop w:val="0"/>
                      <w:marBottom w:val="0"/>
                      <w:divBdr>
                        <w:top w:val="none" w:sz="0" w:space="0" w:color="auto"/>
                        <w:left w:val="none" w:sz="0" w:space="0" w:color="auto"/>
                        <w:bottom w:val="none" w:sz="0" w:space="0" w:color="auto"/>
                        <w:right w:val="none" w:sz="0" w:space="0" w:color="auto"/>
                      </w:divBdr>
                      <w:divsChild>
                        <w:div w:id="1042052803">
                          <w:marLeft w:val="0"/>
                          <w:marRight w:val="0"/>
                          <w:marTop w:val="0"/>
                          <w:marBottom w:val="0"/>
                          <w:divBdr>
                            <w:top w:val="none" w:sz="0" w:space="0" w:color="auto"/>
                            <w:left w:val="none" w:sz="0" w:space="0" w:color="auto"/>
                            <w:bottom w:val="none" w:sz="0" w:space="0" w:color="auto"/>
                            <w:right w:val="none" w:sz="0" w:space="0" w:color="auto"/>
                          </w:divBdr>
                          <w:divsChild>
                            <w:div w:id="1837767163">
                              <w:marLeft w:val="0"/>
                              <w:marRight w:val="0"/>
                              <w:marTop w:val="120"/>
                              <w:marBottom w:val="360"/>
                              <w:divBdr>
                                <w:top w:val="none" w:sz="0" w:space="0" w:color="auto"/>
                                <w:left w:val="none" w:sz="0" w:space="0" w:color="auto"/>
                                <w:bottom w:val="none" w:sz="0" w:space="0" w:color="auto"/>
                                <w:right w:val="none" w:sz="0" w:space="0" w:color="auto"/>
                              </w:divBdr>
                              <w:divsChild>
                                <w:div w:id="1516460467">
                                  <w:marLeft w:val="0"/>
                                  <w:marRight w:val="0"/>
                                  <w:marTop w:val="0"/>
                                  <w:marBottom w:val="0"/>
                                  <w:divBdr>
                                    <w:top w:val="none" w:sz="0" w:space="0" w:color="auto"/>
                                    <w:left w:val="none" w:sz="0" w:space="0" w:color="auto"/>
                                    <w:bottom w:val="none" w:sz="0" w:space="0" w:color="auto"/>
                                    <w:right w:val="none" w:sz="0" w:space="0" w:color="auto"/>
                                  </w:divBdr>
                                </w:div>
                                <w:div w:id="14743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935143">
      <w:bodyDiv w:val="1"/>
      <w:marLeft w:val="0"/>
      <w:marRight w:val="0"/>
      <w:marTop w:val="0"/>
      <w:marBottom w:val="0"/>
      <w:divBdr>
        <w:top w:val="none" w:sz="0" w:space="0" w:color="auto"/>
        <w:left w:val="none" w:sz="0" w:space="0" w:color="auto"/>
        <w:bottom w:val="none" w:sz="0" w:space="0" w:color="auto"/>
        <w:right w:val="none" w:sz="0" w:space="0" w:color="auto"/>
      </w:divBdr>
    </w:div>
    <w:div w:id="586765165">
      <w:bodyDiv w:val="1"/>
      <w:marLeft w:val="0"/>
      <w:marRight w:val="0"/>
      <w:marTop w:val="0"/>
      <w:marBottom w:val="0"/>
      <w:divBdr>
        <w:top w:val="none" w:sz="0" w:space="0" w:color="auto"/>
        <w:left w:val="none" w:sz="0" w:space="0" w:color="auto"/>
        <w:bottom w:val="none" w:sz="0" w:space="0" w:color="auto"/>
        <w:right w:val="none" w:sz="0" w:space="0" w:color="auto"/>
      </w:divBdr>
    </w:div>
    <w:div w:id="657733279">
      <w:bodyDiv w:val="1"/>
      <w:marLeft w:val="0"/>
      <w:marRight w:val="0"/>
      <w:marTop w:val="0"/>
      <w:marBottom w:val="0"/>
      <w:divBdr>
        <w:top w:val="none" w:sz="0" w:space="0" w:color="auto"/>
        <w:left w:val="none" w:sz="0" w:space="0" w:color="auto"/>
        <w:bottom w:val="none" w:sz="0" w:space="0" w:color="auto"/>
        <w:right w:val="none" w:sz="0" w:space="0" w:color="auto"/>
      </w:divBdr>
    </w:div>
    <w:div w:id="897595748">
      <w:bodyDiv w:val="1"/>
      <w:marLeft w:val="0"/>
      <w:marRight w:val="0"/>
      <w:marTop w:val="0"/>
      <w:marBottom w:val="0"/>
      <w:divBdr>
        <w:top w:val="none" w:sz="0" w:space="0" w:color="auto"/>
        <w:left w:val="none" w:sz="0" w:space="0" w:color="auto"/>
        <w:bottom w:val="none" w:sz="0" w:space="0" w:color="auto"/>
        <w:right w:val="none" w:sz="0" w:space="0" w:color="auto"/>
      </w:divBdr>
      <w:divsChild>
        <w:div w:id="111633780">
          <w:marLeft w:val="0"/>
          <w:marRight w:val="1"/>
          <w:marTop w:val="0"/>
          <w:marBottom w:val="0"/>
          <w:divBdr>
            <w:top w:val="none" w:sz="0" w:space="0" w:color="auto"/>
            <w:left w:val="none" w:sz="0" w:space="0" w:color="auto"/>
            <w:bottom w:val="none" w:sz="0" w:space="0" w:color="auto"/>
            <w:right w:val="none" w:sz="0" w:space="0" w:color="auto"/>
          </w:divBdr>
          <w:divsChild>
            <w:div w:id="1171598456">
              <w:marLeft w:val="0"/>
              <w:marRight w:val="0"/>
              <w:marTop w:val="0"/>
              <w:marBottom w:val="0"/>
              <w:divBdr>
                <w:top w:val="none" w:sz="0" w:space="0" w:color="auto"/>
                <w:left w:val="none" w:sz="0" w:space="0" w:color="auto"/>
                <w:bottom w:val="none" w:sz="0" w:space="0" w:color="auto"/>
                <w:right w:val="none" w:sz="0" w:space="0" w:color="auto"/>
              </w:divBdr>
              <w:divsChild>
                <w:div w:id="1819104831">
                  <w:marLeft w:val="0"/>
                  <w:marRight w:val="1"/>
                  <w:marTop w:val="0"/>
                  <w:marBottom w:val="0"/>
                  <w:divBdr>
                    <w:top w:val="none" w:sz="0" w:space="0" w:color="auto"/>
                    <w:left w:val="none" w:sz="0" w:space="0" w:color="auto"/>
                    <w:bottom w:val="none" w:sz="0" w:space="0" w:color="auto"/>
                    <w:right w:val="none" w:sz="0" w:space="0" w:color="auto"/>
                  </w:divBdr>
                  <w:divsChild>
                    <w:div w:id="2004359636">
                      <w:marLeft w:val="0"/>
                      <w:marRight w:val="0"/>
                      <w:marTop w:val="0"/>
                      <w:marBottom w:val="0"/>
                      <w:divBdr>
                        <w:top w:val="none" w:sz="0" w:space="0" w:color="auto"/>
                        <w:left w:val="none" w:sz="0" w:space="0" w:color="auto"/>
                        <w:bottom w:val="none" w:sz="0" w:space="0" w:color="auto"/>
                        <w:right w:val="none" w:sz="0" w:space="0" w:color="auto"/>
                      </w:divBdr>
                      <w:divsChild>
                        <w:div w:id="1059090099">
                          <w:marLeft w:val="0"/>
                          <w:marRight w:val="0"/>
                          <w:marTop w:val="0"/>
                          <w:marBottom w:val="0"/>
                          <w:divBdr>
                            <w:top w:val="none" w:sz="0" w:space="0" w:color="auto"/>
                            <w:left w:val="none" w:sz="0" w:space="0" w:color="auto"/>
                            <w:bottom w:val="none" w:sz="0" w:space="0" w:color="auto"/>
                            <w:right w:val="none" w:sz="0" w:space="0" w:color="auto"/>
                          </w:divBdr>
                          <w:divsChild>
                            <w:div w:id="2009015083">
                              <w:marLeft w:val="0"/>
                              <w:marRight w:val="0"/>
                              <w:marTop w:val="120"/>
                              <w:marBottom w:val="360"/>
                              <w:divBdr>
                                <w:top w:val="none" w:sz="0" w:space="0" w:color="auto"/>
                                <w:left w:val="none" w:sz="0" w:space="0" w:color="auto"/>
                                <w:bottom w:val="none" w:sz="0" w:space="0" w:color="auto"/>
                                <w:right w:val="none" w:sz="0" w:space="0" w:color="auto"/>
                              </w:divBdr>
                              <w:divsChild>
                                <w:div w:id="1618220787">
                                  <w:marLeft w:val="420"/>
                                  <w:marRight w:val="0"/>
                                  <w:marTop w:val="0"/>
                                  <w:marBottom w:val="0"/>
                                  <w:divBdr>
                                    <w:top w:val="none" w:sz="0" w:space="0" w:color="auto"/>
                                    <w:left w:val="none" w:sz="0" w:space="0" w:color="auto"/>
                                    <w:bottom w:val="none" w:sz="0" w:space="0" w:color="auto"/>
                                    <w:right w:val="none" w:sz="0" w:space="0" w:color="auto"/>
                                  </w:divBdr>
                                  <w:divsChild>
                                    <w:div w:id="188679793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6351356">
      <w:bodyDiv w:val="1"/>
      <w:marLeft w:val="0"/>
      <w:marRight w:val="0"/>
      <w:marTop w:val="0"/>
      <w:marBottom w:val="0"/>
      <w:divBdr>
        <w:top w:val="none" w:sz="0" w:space="0" w:color="auto"/>
        <w:left w:val="none" w:sz="0" w:space="0" w:color="auto"/>
        <w:bottom w:val="none" w:sz="0" w:space="0" w:color="auto"/>
        <w:right w:val="none" w:sz="0" w:space="0" w:color="auto"/>
      </w:divBdr>
      <w:divsChild>
        <w:div w:id="1354575416">
          <w:marLeft w:val="0"/>
          <w:marRight w:val="1"/>
          <w:marTop w:val="0"/>
          <w:marBottom w:val="0"/>
          <w:divBdr>
            <w:top w:val="none" w:sz="0" w:space="0" w:color="auto"/>
            <w:left w:val="none" w:sz="0" w:space="0" w:color="auto"/>
            <w:bottom w:val="none" w:sz="0" w:space="0" w:color="auto"/>
            <w:right w:val="none" w:sz="0" w:space="0" w:color="auto"/>
          </w:divBdr>
          <w:divsChild>
            <w:div w:id="1894658290">
              <w:marLeft w:val="0"/>
              <w:marRight w:val="0"/>
              <w:marTop w:val="0"/>
              <w:marBottom w:val="0"/>
              <w:divBdr>
                <w:top w:val="none" w:sz="0" w:space="0" w:color="auto"/>
                <w:left w:val="none" w:sz="0" w:space="0" w:color="auto"/>
                <w:bottom w:val="none" w:sz="0" w:space="0" w:color="auto"/>
                <w:right w:val="none" w:sz="0" w:space="0" w:color="auto"/>
              </w:divBdr>
              <w:divsChild>
                <w:div w:id="229268486">
                  <w:marLeft w:val="0"/>
                  <w:marRight w:val="1"/>
                  <w:marTop w:val="0"/>
                  <w:marBottom w:val="0"/>
                  <w:divBdr>
                    <w:top w:val="none" w:sz="0" w:space="0" w:color="auto"/>
                    <w:left w:val="none" w:sz="0" w:space="0" w:color="auto"/>
                    <w:bottom w:val="none" w:sz="0" w:space="0" w:color="auto"/>
                    <w:right w:val="none" w:sz="0" w:space="0" w:color="auto"/>
                  </w:divBdr>
                  <w:divsChild>
                    <w:div w:id="1755127277">
                      <w:marLeft w:val="0"/>
                      <w:marRight w:val="0"/>
                      <w:marTop w:val="0"/>
                      <w:marBottom w:val="0"/>
                      <w:divBdr>
                        <w:top w:val="none" w:sz="0" w:space="0" w:color="auto"/>
                        <w:left w:val="none" w:sz="0" w:space="0" w:color="auto"/>
                        <w:bottom w:val="none" w:sz="0" w:space="0" w:color="auto"/>
                        <w:right w:val="none" w:sz="0" w:space="0" w:color="auto"/>
                      </w:divBdr>
                      <w:divsChild>
                        <w:div w:id="1741444638">
                          <w:marLeft w:val="0"/>
                          <w:marRight w:val="0"/>
                          <w:marTop w:val="0"/>
                          <w:marBottom w:val="0"/>
                          <w:divBdr>
                            <w:top w:val="none" w:sz="0" w:space="0" w:color="auto"/>
                            <w:left w:val="none" w:sz="0" w:space="0" w:color="auto"/>
                            <w:bottom w:val="none" w:sz="0" w:space="0" w:color="auto"/>
                            <w:right w:val="none" w:sz="0" w:space="0" w:color="auto"/>
                          </w:divBdr>
                          <w:divsChild>
                            <w:div w:id="1978367855">
                              <w:marLeft w:val="0"/>
                              <w:marRight w:val="0"/>
                              <w:marTop w:val="120"/>
                              <w:marBottom w:val="360"/>
                              <w:divBdr>
                                <w:top w:val="none" w:sz="0" w:space="0" w:color="auto"/>
                                <w:left w:val="none" w:sz="0" w:space="0" w:color="auto"/>
                                <w:bottom w:val="none" w:sz="0" w:space="0" w:color="auto"/>
                                <w:right w:val="none" w:sz="0" w:space="0" w:color="auto"/>
                              </w:divBdr>
                              <w:divsChild>
                                <w:div w:id="1392074233">
                                  <w:marLeft w:val="0"/>
                                  <w:marRight w:val="0"/>
                                  <w:marTop w:val="0"/>
                                  <w:marBottom w:val="0"/>
                                  <w:divBdr>
                                    <w:top w:val="none" w:sz="0" w:space="0" w:color="auto"/>
                                    <w:left w:val="none" w:sz="0" w:space="0" w:color="auto"/>
                                    <w:bottom w:val="none" w:sz="0" w:space="0" w:color="auto"/>
                                    <w:right w:val="none" w:sz="0" w:space="0" w:color="auto"/>
                                  </w:divBdr>
                                </w:div>
                                <w:div w:id="122502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601717">
      <w:bodyDiv w:val="1"/>
      <w:marLeft w:val="0"/>
      <w:marRight w:val="0"/>
      <w:marTop w:val="0"/>
      <w:marBottom w:val="0"/>
      <w:divBdr>
        <w:top w:val="none" w:sz="0" w:space="0" w:color="auto"/>
        <w:left w:val="none" w:sz="0" w:space="0" w:color="auto"/>
        <w:bottom w:val="none" w:sz="0" w:space="0" w:color="auto"/>
        <w:right w:val="none" w:sz="0" w:space="0" w:color="auto"/>
      </w:divBdr>
    </w:div>
    <w:div w:id="988823484">
      <w:bodyDiv w:val="1"/>
      <w:marLeft w:val="0"/>
      <w:marRight w:val="0"/>
      <w:marTop w:val="0"/>
      <w:marBottom w:val="0"/>
      <w:divBdr>
        <w:top w:val="none" w:sz="0" w:space="0" w:color="auto"/>
        <w:left w:val="none" w:sz="0" w:space="0" w:color="auto"/>
        <w:bottom w:val="none" w:sz="0" w:space="0" w:color="auto"/>
        <w:right w:val="none" w:sz="0" w:space="0" w:color="auto"/>
      </w:divBdr>
    </w:div>
    <w:div w:id="1046955710">
      <w:bodyDiv w:val="1"/>
      <w:marLeft w:val="0"/>
      <w:marRight w:val="0"/>
      <w:marTop w:val="0"/>
      <w:marBottom w:val="0"/>
      <w:divBdr>
        <w:top w:val="none" w:sz="0" w:space="0" w:color="auto"/>
        <w:left w:val="none" w:sz="0" w:space="0" w:color="auto"/>
        <w:bottom w:val="none" w:sz="0" w:space="0" w:color="auto"/>
        <w:right w:val="none" w:sz="0" w:space="0" w:color="auto"/>
      </w:divBdr>
    </w:div>
    <w:div w:id="1145927429">
      <w:bodyDiv w:val="1"/>
      <w:marLeft w:val="0"/>
      <w:marRight w:val="0"/>
      <w:marTop w:val="0"/>
      <w:marBottom w:val="0"/>
      <w:divBdr>
        <w:top w:val="none" w:sz="0" w:space="0" w:color="auto"/>
        <w:left w:val="none" w:sz="0" w:space="0" w:color="auto"/>
        <w:bottom w:val="none" w:sz="0" w:space="0" w:color="auto"/>
        <w:right w:val="none" w:sz="0" w:space="0" w:color="auto"/>
      </w:divBdr>
    </w:div>
    <w:div w:id="1226069146">
      <w:bodyDiv w:val="1"/>
      <w:marLeft w:val="0"/>
      <w:marRight w:val="0"/>
      <w:marTop w:val="0"/>
      <w:marBottom w:val="0"/>
      <w:divBdr>
        <w:top w:val="none" w:sz="0" w:space="0" w:color="auto"/>
        <w:left w:val="none" w:sz="0" w:space="0" w:color="auto"/>
        <w:bottom w:val="none" w:sz="0" w:space="0" w:color="auto"/>
        <w:right w:val="none" w:sz="0" w:space="0" w:color="auto"/>
      </w:divBdr>
      <w:divsChild>
        <w:div w:id="1564293416">
          <w:marLeft w:val="0"/>
          <w:marRight w:val="1"/>
          <w:marTop w:val="0"/>
          <w:marBottom w:val="0"/>
          <w:divBdr>
            <w:top w:val="none" w:sz="0" w:space="0" w:color="auto"/>
            <w:left w:val="none" w:sz="0" w:space="0" w:color="auto"/>
            <w:bottom w:val="none" w:sz="0" w:space="0" w:color="auto"/>
            <w:right w:val="none" w:sz="0" w:space="0" w:color="auto"/>
          </w:divBdr>
          <w:divsChild>
            <w:div w:id="1429739080">
              <w:marLeft w:val="0"/>
              <w:marRight w:val="0"/>
              <w:marTop w:val="0"/>
              <w:marBottom w:val="0"/>
              <w:divBdr>
                <w:top w:val="none" w:sz="0" w:space="0" w:color="auto"/>
                <w:left w:val="none" w:sz="0" w:space="0" w:color="auto"/>
                <w:bottom w:val="none" w:sz="0" w:space="0" w:color="auto"/>
                <w:right w:val="none" w:sz="0" w:space="0" w:color="auto"/>
              </w:divBdr>
              <w:divsChild>
                <w:div w:id="1177040929">
                  <w:marLeft w:val="0"/>
                  <w:marRight w:val="1"/>
                  <w:marTop w:val="0"/>
                  <w:marBottom w:val="0"/>
                  <w:divBdr>
                    <w:top w:val="none" w:sz="0" w:space="0" w:color="auto"/>
                    <w:left w:val="none" w:sz="0" w:space="0" w:color="auto"/>
                    <w:bottom w:val="none" w:sz="0" w:space="0" w:color="auto"/>
                    <w:right w:val="none" w:sz="0" w:space="0" w:color="auto"/>
                  </w:divBdr>
                  <w:divsChild>
                    <w:div w:id="1367634417">
                      <w:marLeft w:val="0"/>
                      <w:marRight w:val="0"/>
                      <w:marTop w:val="0"/>
                      <w:marBottom w:val="0"/>
                      <w:divBdr>
                        <w:top w:val="none" w:sz="0" w:space="0" w:color="auto"/>
                        <w:left w:val="none" w:sz="0" w:space="0" w:color="auto"/>
                        <w:bottom w:val="none" w:sz="0" w:space="0" w:color="auto"/>
                        <w:right w:val="none" w:sz="0" w:space="0" w:color="auto"/>
                      </w:divBdr>
                      <w:divsChild>
                        <w:div w:id="1952004886">
                          <w:marLeft w:val="0"/>
                          <w:marRight w:val="0"/>
                          <w:marTop w:val="0"/>
                          <w:marBottom w:val="0"/>
                          <w:divBdr>
                            <w:top w:val="none" w:sz="0" w:space="0" w:color="auto"/>
                            <w:left w:val="none" w:sz="0" w:space="0" w:color="auto"/>
                            <w:bottom w:val="none" w:sz="0" w:space="0" w:color="auto"/>
                            <w:right w:val="none" w:sz="0" w:space="0" w:color="auto"/>
                          </w:divBdr>
                          <w:divsChild>
                            <w:div w:id="239292741">
                              <w:marLeft w:val="0"/>
                              <w:marRight w:val="0"/>
                              <w:marTop w:val="120"/>
                              <w:marBottom w:val="360"/>
                              <w:divBdr>
                                <w:top w:val="none" w:sz="0" w:space="0" w:color="auto"/>
                                <w:left w:val="none" w:sz="0" w:space="0" w:color="auto"/>
                                <w:bottom w:val="none" w:sz="0" w:space="0" w:color="auto"/>
                                <w:right w:val="none" w:sz="0" w:space="0" w:color="auto"/>
                              </w:divBdr>
                              <w:divsChild>
                                <w:div w:id="676201639">
                                  <w:marLeft w:val="420"/>
                                  <w:marRight w:val="0"/>
                                  <w:marTop w:val="0"/>
                                  <w:marBottom w:val="0"/>
                                  <w:divBdr>
                                    <w:top w:val="none" w:sz="0" w:space="0" w:color="auto"/>
                                    <w:left w:val="none" w:sz="0" w:space="0" w:color="auto"/>
                                    <w:bottom w:val="none" w:sz="0" w:space="0" w:color="auto"/>
                                    <w:right w:val="none" w:sz="0" w:space="0" w:color="auto"/>
                                  </w:divBdr>
                                  <w:divsChild>
                                    <w:div w:id="2256038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855462">
      <w:bodyDiv w:val="1"/>
      <w:marLeft w:val="0"/>
      <w:marRight w:val="0"/>
      <w:marTop w:val="0"/>
      <w:marBottom w:val="0"/>
      <w:divBdr>
        <w:top w:val="none" w:sz="0" w:space="0" w:color="auto"/>
        <w:left w:val="none" w:sz="0" w:space="0" w:color="auto"/>
        <w:bottom w:val="none" w:sz="0" w:space="0" w:color="auto"/>
        <w:right w:val="none" w:sz="0" w:space="0" w:color="auto"/>
      </w:divBdr>
    </w:div>
    <w:div w:id="1397430978">
      <w:bodyDiv w:val="1"/>
      <w:marLeft w:val="0"/>
      <w:marRight w:val="0"/>
      <w:marTop w:val="0"/>
      <w:marBottom w:val="0"/>
      <w:divBdr>
        <w:top w:val="none" w:sz="0" w:space="0" w:color="auto"/>
        <w:left w:val="none" w:sz="0" w:space="0" w:color="auto"/>
        <w:bottom w:val="none" w:sz="0" w:space="0" w:color="auto"/>
        <w:right w:val="none" w:sz="0" w:space="0" w:color="auto"/>
      </w:divBdr>
      <w:divsChild>
        <w:div w:id="12465361">
          <w:marLeft w:val="0"/>
          <w:marRight w:val="1"/>
          <w:marTop w:val="0"/>
          <w:marBottom w:val="0"/>
          <w:divBdr>
            <w:top w:val="none" w:sz="0" w:space="0" w:color="auto"/>
            <w:left w:val="none" w:sz="0" w:space="0" w:color="auto"/>
            <w:bottom w:val="none" w:sz="0" w:space="0" w:color="auto"/>
            <w:right w:val="none" w:sz="0" w:space="0" w:color="auto"/>
          </w:divBdr>
          <w:divsChild>
            <w:div w:id="530415174">
              <w:marLeft w:val="0"/>
              <w:marRight w:val="0"/>
              <w:marTop w:val="0"/>
              <w:marBottom w:val="0"/>
              <w:divBdr>
                <w:top w:val="none" w:sz="0" w:space="0" w:color="auto"/>
                <w:left w:val="none" w:sz="0" w:space="0" w:color="auto"/>
                <w:bottom w:val="none" w:sz="0" w:space="0" w:color="auto"/>
                <w:right w:val="none" w:sz="0" w:space="0" w:color="auto"/>
              </w:divBdr>
              <w:divsChild>
                <w:div w:id="1002582941">
                  <w:marLeft w:val="0"/>
                  <w:marRight w:val="1"/>
                  <w:marTop w:val="0"/>
                  <w:marBottom w:val="0"/>
                  <w:divBdr>
                    <w:top w:val="none" w:sz="0" w:space="0" w:color="auto"/>
                    <w:left w:val="none" w:sz="0" w:space="0" w:color="auto"/>
                    <w:bottom w:val="none" w:sz="0" w:space="0" w:color="auto"/>
                    <w:right w:val="none" w:sz="0" w:space="0" w:color="auto"/>
                  </w:divBdr>
                  <w:divsChild>
                    <w:div w:id="321666587">
                      <w:marLeft w:val="0"/>
                      <w:marRight w:val="0"/>
                      <w:marTop w:val="0"/>
                      <w:marBottom w:val="0"/>
                      <w:divBdr>
                        <w:top w:val="none" w:sz="0" w:space="0" w:color="auto"/>
                        <w:left w:val="none" w:sz="0" w:space="0" w:color="auto"/>
                        <w:bottom w:val="none" w:sz="0" w:space="0" w:color="auto"/>
                        <w:right w:val="none" w:sz="0" w:space="0" w:color="auto"/>
                      </w:divBdr>
                      <w:divsChild>
                        <w:div w:id="1361541779">
                          <w:marLeft w:val="0"/>
                          <w:marRight w:val="0"/>
                          <w:marTop w:val="0"/>
                          <w:marBottom w:val="0"/>
                          <w:divBdr>
                            <w:top w:val="none" w:sz="0" w:space="0" w:color="auto"/>
                            <w:left w:val="none" w:sz="0" w:space="0" w:color="auto"/>
                            <w:bottom w:val="none" w:sz="0" w:space="0" w:color="auto"/>
                            <w:right w:val="none" w:sz="0" w:space="0" w:color="auto"/>
                          </w:divBdr>
                          <w:divsChild>
                            <w:div w:id="841093223">
                              <w:marLeft w:val="0"/>
                              <w:marRight w:val="0"/>
                              <w:marTop w:val="120"/>
                              <w:marBottom w:val="360"/>
                              <w:divBdr>
                                <w:top w:val="none" w:sz="0" w:space="0" w:color="auto"/>
                                <w:left w:val="none" w:sz="0" w:space="0" w:color="auto"/>
                                <w:bottom w:val="none" w:sz="0" w:space="0" w:color="auto"/>
                                <w:right w:val="none" w:sz="0" w:space="0" w:color="auto"/>
                              </w:divBdr>
                              <w:divsChild>
                                <w:div w:id="1097824509">
                                  <w:marLeft w:val="0"/>
                                  <w:marRight w:val="0"/>
                                  <w:marTop w:val="0"/>
                                  <w:marBottom w:val="0"/>
                                  <w:divBdr>
                                    <w:top w:val="none" w:sz="0" w:space="0" w:color="auto"/>
                                    <w:left w:val="none" w:sz="0" w:space="0" w:color="auto"/>
                                    <w:bottom w:val="none" w:sz="0" w:space="0" w:color="auto"/>
                                    <w:right w:val="none" w:sz="0" w:space="0" w:color="auto"/>
                                  </w:divBdr>
                                </w:div>
                                <w:div w:id="102433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776164">
      <w:bodyDiv w:val="1"/>
      <w:marLeft w:val="0"/>
      <w:marRight w:val="0"/>
      <w:marTop w:val="0"/>
      <w:marBottom w:val="0"/>
      <w:divBdr>
        <w:top w:val="none" w:sz="0" w:space="0" w:color="auto"/>
        <w:left w:val="none" w:sz="0" w:space="0" w:color="auto"/>
        <w:bottom w:val="none" w:sz="0" w:space="0" w:color="auto"/>
        <w:right w:val="none" w:sz="0" w:space="0" w:color="auto"/>
      </w:divBdr>
    </w:div>
    <w:div w:id="1594049999">
      <w:bodyDiv w:val="1"/>
      <w:marLeft w:val="0"/>
      <w:marRight w:val="0"/>
      <w:marTop w:val="0"/>
      <w:marBottom w:val="0"/>
      <w:divBdr>
        <w:top w:val="none" w:sz="0" w:space="0" w:color="auto"/>
        <w:left w:val="none" w:sz="0" w:space="0" w:color="auto"/>
        <w:bottom w:val="none" w:sz="0" w:space="0" w:color="auto"/>
        <w:right w:val="none" w:sz="0" w:space="0" w:color="auto"/>
      </w:divBdr>
    </w:div>
    <w:div w:id="1606621251">
      <w:bodyDiv w:val="1"/>
      <w:marLeft w:val="0"/>
      <w:marRight w:val="0"/>
      <w:marTop w:val="0"/>
      <w:marBottom w:val="0"/>
      <w:divBdr>
        <w:top w:val="none" w:sz="0" w:space="0" w:color="auto"/>
        <w:left w:val="none" w:sz="0" w:space="0" w:color="auto"/>
        <w:bottom w:val="none" w:sz="0" w:space="0" w:color="auto"/>
        <w:right w:val="none" w:sz="0" w:space="0" w:color="auto"/>
      </w:divBdr>
      <w:divsChild>
        <w:div w:id="1669865467">
          <w:marLeft w:val="0"/>
          <w:marRight w:val="1"/>
          <w:marTop w:val="0"/>
          <w:marBottom w:val="0"/>
          <w:divBdr>
            <w:top w:val="none" w:sz="0" w:space="0" w:color="auto"/>
            <w:left w:val="none" w:sz="0" w:space="0" w:color="auto"/>
            <w:bottom w:val="none" w:sz="0" w:space="0" w:color="auto"/>
            <w:right w:val="none" w:sz="0" w:space="0" w:color="auto"/>
          </w:divBdr>
          <w:divsChild>
            <w:div w:id="1196962031">
              <w:marLeft w:val="0"/>
              <w:marRight w:val="0"/>
              <w:marTop w:val="0"/>
              <w:marBottom w:val="0"/>
              <w:divBdr>
                <w:top w:val="none" w:sz="0" w:space="0" w:color="auto"/>
                <w:left w:val="none" w:sz="0" w:space="0" w:color="auto"/>
                <w:bottom w:val="none" w:sz="0" w:space="0" w:color="auto"/>
                <w:right w:val="none" w:sz="0" w:space="0" w:color="auto"/>
              </w:divBdr>
              <w:divsChild>
                <w:div w:id="1461221326">
                  <w:marLeft w:val="0"/>
                  <w:marRight w:val="1"/>
                  <w:marTop w:val="0"/>
                  <w:marBottom w:val="0"/>
                  <w:divBdr>
                    <w:top w:val="none" w:sz="0" w:space="0" w:color="auto"/>
                    <w:left w:val="none" w:sz="0" w:space="0" w:color="auto"/>
                    <w:bottom w:val="none" w:sz="0" w:space="0" w:color="auto"/>
                    <w:right w:val="none" w:sz="0" w:space="0" w:color="auto"/>
                  </w:divBdr>
                  <w:divsChild>
                    <w:div w:id="586884254">
                      <w:marLeft w:val="0"/>
                      <w:marRight w:val="0"/>
                      <w:marTop w:val="0"/>
                      <w:marBottom w:val="0"/>
                      <w:divBdr>
                        <w:top w:val="none" w:sz="0" w:space="0" w:color="auto"/>
                        <w:left w:val="none" w:sz="0" w:space="0" w:color="auto"/>
                        <w:bottom w:val="none" w:sz="0" w:space="0" w:color="auto"/>
                        <w:right w:val="none" w:sz="0" w:space="0" w:color="auto"/>
                      </w:divBdr>
                      <w:divsChild>
                        <w:div w:id="328824307">
                          <w:marLeft w:val="0"/>
                          <w:marRight w:val="0"/>
                          <w:marTop w:val="0"/>
                          <w:marBottom w:val="0"/>
                          <w:divBdr>
                            <w:top w:val="none" w:sz="0" w:space="0" w:color="auto"/>
                            <w:left w:val="none" w:sz="0" w:space="0" w:color="auto"/>
                            <w:bottom w:val="none" w:sz="0" w:space="0" w:color="auto"/>
                            <w:right w:val="none" w:sz="0" w:space="0" w:color="auto"/>
                          </w:divBdr>
                          <w:divsChild>
                            <w:div w:id="1074397978">
                              <w:marLeft w:val="0"/>
                              <w:marRight w:val="0"/>
                              <w:marTop w:val="120"/>
                              <w:marBottom w:val="360"/>
                              <w:divBdr>
                                <w:top w:val="none" w:sz="0" w:space="0" w:color="auto"/>
                                <w:left w:val="none" w:sz="0" w:space="0" w:color="auto"/>
                                <w:bottom w:val="none" w:sz="0" w:space="0" w:color="auto"/>
                                <w:right w:val="none" w:sz="0" w:space="0" w:color="auto"/>
                              </w:divBdr>
                              <w:divsChild>
                                <w:div w:id="97649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094427">
      <w:bodyDiv w:val="1"/>
      <w:marLeft w:val="0"/>
      <w:marRight w:val="0"/>
      <w:marTop w:val="0"/>
      <w:marBottom w:val="0"/>
      <w:divBdr>
        <w:top w:val="none" w:sz="0" w:space="0" w:color="auto"/>
        <w:left w:val="none" w:sz="0" w:space="0" w:color="auto"/>
        <w:bottom w:val="none" w:sz="0" w:space="0" w:color="auto"/>
        <w:right w:val="none" w:sz="0" w:space="0" w:color="auto"/>
      </w:divBdr>
    </w:div>
    <w:div w:id="1770347169">
      <w:bodyDiv w:val="1"/>
      <w:marLeft w:val="0"/>
      <w:marRight w:val="0"/>
      <w:marTop w:val="0"/>
      <w:marBottom w:val="0"/>
      <w:divBdr>
        <w:top w:val="none" w:sz="0" w:space="0" w:color="auto"/>
        <w:left w:val="none" w:sz="0" w:space="0" w:color="auto"/>
        <w:bottom w:val="none" w:sz="0" w:space="0" w:color="auto"/>
        <w:right w:val="none" w:sz="0" w:space="0" w:color="auto"/>
      </w:divBdr>
    </w:div>
    <w:div w:id="1837921476">
      <w:bodyDiv w:val="1"/>
      <w:marLeft w:val="0"/>
      <w:marRight w:val="0"/>
      <w:marTop w:val="0"/>
      <w:marBottom w:val="0"/>
      <w:divBdr>
        <w:top w:val="none" w:sz="0" w:space="0" w:color="auto"/>
        <w:left w:val="none" w:sz="0" w:space="0" w:color="auto"/>
        <w:bottom w:val="none" w:sz="0" w:space="0" w:color="auto"/>
        <w:right w:val="none" w:sz="0" w:space="0" w:color="auto"/>
      </w:divBdr>
    </w:div>
    <w:div w:id="1850632843">
      <w:bodyDiv w:val="1"/>
      <w:marLeft w:val="0"/>
      <w:marRight w:val="0"/>
      <w:marTop w:val="0"/>
      <w:marBottom w:val="0"/>
      <w:divBdr>
        <w:top w:val="none" w:sz="0" w:space="0" w:color="auto"/>
        <w:left w:val="none" w:sz="0" w:space="0" w:color="auto"/>
        <w:bottom w:val="none" w:sz="0" w:space="0" w:color="auto"/>
        <w:right w:val="none" w:sz="0" w:space="0" w:color="auto"/>
      </w:divBdr>
      <w:divsChild>
        <w:div w:id="185605662">
          <w:marLeft w:val="0"/>
          <w:marRight w:val="0"/>
          <w:marTop w:val="0"/>
          <w:marBottom w:val="0"/>
          <w:divBdr>
            <w:top w:val="none" w:sz="0" w:space="0" w:color="auto"/>
            <w:left w:val="none" w:sz="0" w:space="0" w:color="auto"/>
            <w:bottom w:val="none" w:sz="0" w:space="0" w:color="auto"/>
            <w:right w:val="none" w:sz="0" w:space="0" w:color="auto"/>
          </w:divBdr>
          <w:divsChild>
            <w:div w:id="1330594501">
              <w:marLeft w:val="0"/>
              <w:marRight w:val="0"/>
              <w:marTop w:val="0"/>
              <w:marBottom w:val="0"/>
              <w:divBdr>
                <w:top w:val="none" w:sz="0" w:space="0" w:color="auto"/>
                <w:left w:val="none" w:sz="0" w:space="0" w:color="auto"/>
                <w:bottom w:val="none" w:sz="0" w:space="0" w:color="auto"/>
                <w:right w:val="none" w:sz="0" w:space="0" w:color="auto"/>
              </w:divBdr>
              <w:divsChild>
                <w:div w:id="388040066">
                  <w:marLeft w:val="0"/>
                  <w:marRight w:val="0"/>
                  <w:marTop w:val="0"/>
                  <w:marBottom w:val="0"/>
                  <w:divBdr>
                    <w:top w:val="none" w:sz="0" w:space="0" w:color="auto"/>
                    <w:left w:val="none" w:sz="0" w:space="0" w:color="auto"/>
                    <w:bottom w:val="none" w:sz="0" w:space="0" w:color="auto"/>
                    <w:right w:val="none" w:sz="0" w:space="0" w:color="auto"/>
                  </w:divBdr>
                  <w:divsChild>
                    <w:div w:id="1140610531">
                      <w:marLeft w:val="0"/>
                      <w:marRight w:val="0"/>
                      <w:marTop w:val="0"/>
                      <w:marBottom w:val="0"/>
                      <w:divBdr>
                        <w:top w:val="none" w:sz="0" w:space="0" w:color="auto"/>
                        <w:left w:val="none" w:sz="0" w:space="0" w:color="auto"/>
                        <w:bottom w:val="none" w:sz="0" w:space="0" w:color="auto"/>
                        <w:right w:val="none" w:sz="0" w:space="0" w:color="auto"/>
                      </w:divBdr>
                      <w:divsChild>
                        <w:div w:id="97826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446926">
      <w:bodyDiv w:val="1"/>
      <w:marLeft w:val="0"/>
      <w:marRight w:val="0"/>
      <w:marTop w:val="0"/>
      <w:marBottom w:val="0"/>
      <w:divBdr>
        <w:top w:val="none" w:sz="0" w:space="0" w:color="auto"/>
        <w:left w:val="none" w:sz="0" w:space="0" w:color="auto"/>
        <w:bottom w:val="none" w:sz="0" w:space="0" w:color="auto"/>
        <w:right w:val="none" w:sz="0" w:space="0" w:color="auto"/>
      </w:divBdr>
      <w:divsChild>
        <w:div w:id="2127583271">
          <w:marLeft w:val="0"/>
          <w:marRight w:val="0"/>
          <w:marTop w:val="750"/>
          <w:marBottom w:val="0"/>
          <w:divBdr>
            <w:top w:val="none" w:sz="0" w:space="0" w:color="auto"/>
            <w:left w:val="none" w:sz="0" w:space="0" w:color="auto"/>
            <w:bottom w:val="none" w:sz="0" w:space="0" w:color="auto"/>
            <w:right w:val="none" w:sz="0" w:space="0" w:color="auto"/>
          </w:divBdr>
          <w:divsChild>
            <w:div w:id="676537687">
              <w:marLeft w:val="-225"/>
              <w:marRight w:val="-225"/>
              <w:marTop w:val="0"/>
              <w:marBottom w:val="0"/>
              <w:divBdr>
                <w:top w:val="none" w:sz="0" w:space="0" w:color="auto"/>
                <w:left w:val="none" w:sz="0" w:space="0" w:color="auto"/>
                <w:bottom w:val="none" w:sz="0" w:space="0" w:color="auto"/>
                <w:right w:val="none" w:sz="0" w:space="0" w:color="auto"/>
              </w:divBdr>
              <w:divsChild>
                <w:div w:id="1612473839">
                  <w:marLeft w:val="0"/>
                  <w:marRight w:val="0"/>
                  <w:marTop w:val="0"/>
                  <w:marBottom w:val="0"/>
                  <w:divBdr>
                    <w:top w:val="none" w:sz="0" w:space="0" w:color="auto"/>
                    <w:left w:val="none" w:sz="0" w:space="0" w:color="auto"/>
                    <w:bottom w:val="none" w:sz="0" w:space="0" w:color="auto"/>
                    <w:right w:val="none" w:sz="0" w:space="0" w:color="auto"/>
                  </w:divBdr>
                  <w:divsChild>
                    <w:div w:id="746999055">
                      <w:marLeft w:val="-225"/>
                      <w:marRight w:val="-225"/>
                      <w:marTop w:val="0"/>
                      <w:marBottom w:val="0"/>
                      <w:divBdr>
                        <w:top w:val="none" w:sz="0" w:space="0" w:color="auto"/>
                        <w:left w:val="none" w:sz="0" w:space="0" w:color="auto"/>
                        <w:bottom w:val="none" w:sz="0" w:space="0" w:color="auto"/>
                        <w:right w:val="none" w:sz="0" w:space="0" w:color="auto"/>
                      </w:divBdr>
                      <w:divsChild>
                        <w:div w:id="775831761">
                          <w:marLeft w:val="0"/>
                          <w:marRight w:val="0"/>
                          <w:marTop w:val="0"/>
                          <w:marBottom w:val="0"/>
                          <w:divBdr>
                            <w:top w:val="none" w:sz="0" w:space="0" w:color="auto"/>
                            <w:left w:val="none" w:sz="0" w:space="0" w:color="auto"/>
                            <w:bottom w:val="none" w:sz="0" w:space="0" w:color="auto"/>
                            <w:right w:val="none" w:sz="0" w:space="0" w:color="auto"/>
                          </w:divBdr>
                          <w:divsChild>
                            <w:div w:id="155803472">
                              <w:marLeft w:val="0"/>
                              <w:marRight w:val="0"/>
                              <w:marTop w:val="225"/>
                              <w:marBottom w:val="0"/>
                              <w:divBdr>
                                <w:top w:val="none" w:sz="0" w:space="0" w:color="auto"/>
                                <w:left w:val="none" w:sz="0" w:space="0" w:color="auto"/>
                                <w:bottom w:val="none" w:sz="0" w:space="0" w:color="auto"/>
                                <w:right w:val="none" w:sz="0" w:space="0" w:color="auto"/>
                              </w:divBdr>
                              <w:divsChild>
                                <w:div w:id="132935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97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lvani@imperial.ac.uk" TargetMode="External"/><Relationship Id="rId13" Type="http://schemas.openxmlformats.org/officeDocument/2006/relationships/hyperlink" Target="https://www.ncbi.nlm.nih.gov/pubmed/?term=Nabeta%20P%5BAuthor%5D&amp;cauthor=true&amp;cauthor_uid=29198911" TargetMode="External"/><Relationship Id="rId18" Type="http://schemas.openxmlformats.org/officeDocument/2006/relationships/hyperlink" Target="https://www.ncbi.nlm.nih.gov/pubmed/?term=Lange%20C%5BAuthor%5D&amp;cauthor=true&amp;cauthor_uid=20847080" TargetMode="External"/><Relationship Id="rId3" Type="http://schemas.openxmlformats.org/officeDocument/2006/relationships/styles" Target="styles.xml"/><Relationship Id="rId21" Type="http://schemas.openxmlformats.org/officeDocument/2006/relationships/hyperlink" Target="https://www.ncbi.nlm.nih.gov/pubmed/?term=Migliori%20GB%5BAuthor%5D&amp;cauthor=true&amp;cauthor_uid=20847080" TargetMode="External"/><Relationship Id="rId7" Type="http://schemas.openxmlformats.org/officeDocument/2006/relationships/endnotes" Target="endnotes.xml"/><Relationship Id="rId12" Type="http://schemas.openxmlformats.org/officeDocument/2006/relationships/hyperlink" Target="https://www.ncbi.nlm.nih.gov/pubmed/?term=Alland%20D%5BAuthor%5D&amp;cauthor=true&amp;cauthor_uid=29198911" TargetMode="External"/><Relationship Id="rId17" Type="http://schemas.openxmlformats.org/officeDocument/2006/relationships/hyperlink" Target="https://www.ncbi.nlm.nih.gov/pubmed/?term=Sotgiu%20G%5BAuthor%5D&amp;cauthor=true&amp;cauthor_uid=2084708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cbi.nlm.nih.gov/pubmed/?term=Sester%20M%5BAuthor%5D&amp;cauthor=true&amp;cauthor_uid=20847080" TargetMode="External"/><Relationship Id="rId20" Type="http://schemas.openxmlformats.org/officeDocument/2006/relationships/hyperlink" Target="https://www.ncbi.nlm.nih.gov/pubmed/?term=Girardi%20E%5BAuthor%5D&amp;cauthor=true&amp;cauthor_uid=208470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Schumacher%20SG%5BAuthor%5D&amp;cauthor=true&amp;cauthor_uid=2919891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cbi.nlm.nih.gov/pubmed/?term=King%20B%5BAuthor%5D&amp;cauthor=true&amp;cauthor_uid=29198911" TargetMode="External"/><Relationship Id="rId23" Type="http://schemas.openxmlformats.org/officeDocument/2006/relationships/footer" Target="footer1.xml"/><Relationship Id="rId10" Type="http://schemas.openxmlformats.org/officeDocument/2006/relationships/hyperlink" Target="https://www.ncbi.nlm.nih.gov/pubmed/?term=Dorman%20SE%5BAuthor%5D&amp;cauthor=true&amp;cauthor_uid=29198911" TargetMode="External"/><Relationship Id="rId19" Type="http://schemas.openxmlformats.org/officeDocument/2006/relationships/hyperlink" Target="https://www.ncbi.nlm.nih.gov/pubmed/?term=Giehl%20C%5BAuthor%5D&amp;cauthor=true&amp;cauthor_uid=20847080" TargetMode="External"/><Relationship Id="rId4" Type="http://schemas.openxmlformats.org/officeDocument/2006/relationships/settings" Target="settings.xml"/><Relationship Id="rId9" Type="http://schemas.openxmlformats.org/officeDocument/2006/relationships/hyperlink" Target="https://njl-admin.nihr.ac.uk/document%20/" TargetMode="External"/><Relationship Id="rId14" Type="http://schemas.openxmlformats.org/officeDocument/2006/relationships/hyperlink" Target="https://www.ncbi.nlm.nih.gov/pubmed/?term=Armstrong%20DT%5BAuthor%5D&amp;cauthor=true&amp;cauthor_uid=29198911" TargetMode="External"/><Relationship Id="rId22" Type="http://schemas.openxmlformats.org/officeDocument/2006/relationships/hyperlink" Target="https://www.ncbi.nlm.nih.gov/pubmed/208470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6F729-CF1B-4D5D-9134-CD9F78CA7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8023</Words>
  <Characters>45734</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53650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Hilary Whitworth</cp:lastModifiedBy>
  <cp:revision>5</cp:revision>
  <cp:lastPrinted>2018-06-14T14:16:00Z</cp:lastPrinted>
  <dcterms:created xsi:type="dcterms:W3CDTF">2018-09-19T20:04:00Z</dcterms:created>
  <dcterms:modified xsi:type="dcterms:W3CDTF">2018-09-20T02:35:00Z</dcterms:modified>
</cp:coreProperties>
</file>