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B" w:rsidRDefault="002C165A" w:rsidP="00642FAB">
      <w:r>
        <w:t>Supplementary Table 4</w:t>
      </w:r>
      <w:bookmarkStart w:id="0" w:name="_GoBack"/>
      <w:bookmarkEnd w:id="0"/>
      <w:r w:rsidR="00642FAB">
        <w:t xml:space="preserve">: </w:t>
      </w:r>
      <w:r w:rsidR="00642FAB">
        <w:rPr>
          <w:rFonts w:eastAsia="Times New Roman"/>
        </w:rPr>
        <w:t xml:space="preserve">Intra-class correlation coefficients </w:t>
      </w:r>
      <w:r w:rsidR="00642FAB">
        <w:t>for individual and grouped urinary EMs.</w:t>
      </w: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Individual and grouped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ICCs (95% CI)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0.65 (0.41-0.87)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Parent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8-0.85)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Estrone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9-0.86)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Estradiol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-0.85)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Catechol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0.60 (0.38-0.81)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2-Catechol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0.70 (0.49-0.91)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2-Hydrox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estrone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0.71 (0.51-0.92)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2-Hydroxyestradiol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0.64 (0.40-0.79)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4-Catechol EMs</w:t>
            </w:r>
          </w:p>
        </w:tc>
        <w:tc>
          <w:tcPr>
            <w:tcW w:w="2410" w:type="dxa"/>
            <w:vAlign w:val="bottom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4-Hydroxyestrone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0.68 (0.45-0.81)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Methylated 2-catechol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0.85 (0.74-0.97)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2-Methoxyestrone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0.86 (0.75-0.97)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2-Methoxyestradiol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 (0.3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2-0.83)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2-Hydroxyestrone-3-methyl ether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 (0.4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0-0.86)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eastAsia="Times New Roman" w:cs="Times New Roman"/>
                <w:b/>
                <w:color w:val="000000"/>
                <w:lang w:eastAsia="en-GB"/>
              </w:rPr>
              <w:t>Methylated 4-Catechol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4-Methoxyestrone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4-Methoxyestradiol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2-Hydroxylation pathway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0.73 (0.54-0.92)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4-Hydroxylation pathway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7D5588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D558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16-Hydroxylation pathway EMs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0.76 (0.59-0.94)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16α-Hydroxyestrone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0.70 (0.48-0.91)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17-Epiestriol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0.83 (0.70-0.96)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Estriol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0.76 (0.58-0.93)</w:t>
            </w:r>
          </w:p>
        </w:tc>
      </w:tr>
      <w:tr w:rsidR="00642FAB" w:rsidTr="00A50FA7">
        <w:tc>
          <w:tcPr>
            <w:tcW w:w="3794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16-Ketoestradiol </w:t>
            </w:r>
          </w:p>
        </w:tc>
        <w:tc>
          <w:tcPr>
            <w:tcW w:w="2410" w:type="dxa"/>
            <w:vAlign w:val="center"/>
          </w:tcPr>
          <w:p w:rsidR="00642FAB" w:rsidRPr="004E70DC" w:rsidRDefault="00642FAB" w:rsidP="00A50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0.80 (0.66-0.95)</w:t>
            </w:r>
          </w:p>
        </w:tc>
      </w:tr>
    </w:tbl>
    <w:p w:rsidR="00642FAB" w:rsidRDefault="00642FAB" w:rsidP="00642FAB">
      <w:pPr>
        <w:spacing w:after="0"/>
      </w:pPr>
      <w:r>
        <w:t xml:space="preserve">ICCs were calculated based on two consecutive </w:t>
      </w:r>
      <w:proofErr w:type="spellStart"/>
      <w:r>
        <w:t>periovulatory</w:t>
      </w:r>
      <w:proofErr w:type="spellEnd"/>
      <w:r>
        <w:t xml:space="preserve"> samples per woman. </w:t>
      </w:r>
    </w:p>
    <w:p w:rsidR="00D824A7" w:rsidRDefault="00642FAB" w:rsidP="00642FAB">
      <w:pPr>
        <w:spacing w:after="0"/>
      </w:pPr>
      <w:r>
        <w:t xml:space="preserve">For the majority of EMs estimates were based on measurements in 30 non-carriers, </w:t>
      </w:r>
    </w:p>
    <w:p w:rsidR="00642FAB" w:rsidRDefault="00642FAB" w:rsidP="00642FAB">
      <w:pPr>
        <w:spacing w:after="0"/>
        <w:rPr>
          <w:rFonts w:eastAsia="Times New Roman" w:cs="Arial"/>
          <w:color w:val="000000"/>
          <w:kern w:val="24"/>
          <w:sz w:val="20"/>
          <w:szCs w:val="20"/>
          <w:lang w:eastAsia="en-GB"/>
        </w:rPr>
      </w:pPr>
      <w:proofErr w:type="gramStart"/>
      <w:r>
        <w:t>exceptions</w:t>
      </w:r>
      <w:proofErr w:type="gramEnd"/>
      <w:r>
        <w:t xml:space="preserve"> were</w:t>
      </w:r>
      <w:r w:rsidR="00D824A7">
        <w:t xml:space="preserve"> 2OHE2 (N=29), </w:t>
      </w:r>
      <w:r w:rsidR="00D824A7" w:rsidRPr="006F09BB">
        <w:rPr>
          <w:sz w:val="20"/>
          <w:szCs w:val="20"/>
        </w:rPr>
        <w:t>2-MeOE</w:t>
      </w:r>
      <w:r w:rsidR="00D824A7" w:rsidRPr="006F09BB">
        <w:rPr>
          <w:sz w:val="20"/>
          <w:szCs w:val="20"/>
          <w:vertAlign w:val="subscript"/>
        </w:rPr>
        <w:t>2</w:t>
      </w:r>
      <w:r w:rsidR="00D824A7">
        <w:rPr>
          <w:sz w:val="20"/>
          <w:szCs w:val="20"/>
        </w:rPr>
        <w:t xml:space="preserve"> (N=28), </w:t>
      </w:r>
      <w:r w:rsidR="00D824A7"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>3-MeOE</w:t>
      </w:r>
      <w:r w:rsidR="00D824A7" w:rsidRPr="006F09BB">
        <w:rPr>
          <w:rFonts w:eastAsia="Times New Roman" w:cs="Arial"/>
          <w:color w:val="000000"/>
          <w:kern w:val="24"/>
          <w:sz w:val="20"/>
          <w:szCs w:val="20"/>
          <w:vertAlign w:val="subscript"/>
          <w:lang w:eastAsia="en-GB"/>
        </w:rPr>
        <w:t>1</w:t>
      </w:r>
      <w:r w:rsidR="00D824A7">
        <w:rPr>
          <w:rFonts w:eastAsia="Times New Roman" w:cs="Arial"/>
          <w:color w:val="000000"/>
          <w:kern w:val="24"/>
          <w:sz w:val="20"/>
          <w:szCs w:val="20"/>
          <w:lang w:eastAsia="en-GB"/>
        </w:rPr>
        <w:t xml:space="preserve"> (N=28), </w:t>
      </w:r>
      <w:r w:rsidR="00D824A7" w:rsidRPr="006F09BB">
        <w:rPr>
          <w:rFonts w:eastAsia="Times New Roman" w:cs="Arial"/>
          <w:color w:val="000000"/>
          <w:kern w:val="24"/>
          <w:sz w:val="20"/>
          <w:szCs w:val="20"/>
          <w:lang w:eastAsia="en-GB"/>
        </w:rPr>
        <w:t>16-ketoE</w:t>
      </w:r>
      <w:r w:rsidR="00D824A7" w:rsidRPr="006F09BB">
        <w:rPr>
          <w:rFonts w:eastAsia="Times New Roman" w:cs="Arial"/>
          <w:color w:val="000000"/>
          <w:kern w:val="24"/>
          <w:sz w:val="20"/>
          <w:szCs w:val="20"/>
          <w:vertAlign w:val="subscript"/>
          <w:lang w:eastAsia="en-GB"/>
        </w:rPr>
        <w:t>2</w:t>
      </w:r>
      <w:r w:rsidR="00D824A7">
        <w:rPr>
          <w:rFonts w:eastAsia="Times New Roman" w:cs="Arial"/>
          <w:color w:val="000000"/>
          <w:kern w:val="24"/>
          <w:sz w:val="20"/>
          <w:szCs w:val="20"/>
          <w:lang w:eastAsia="en-GB"/>
        </w:rPr>
        <w:t xml:space="preserve"> (N=28).</w:t>
      </w:r>
    </w:p>
    <w:p w:rsidR="00D824A7" w:rsidRPr="00D824A7" w:rsidRDefault="00D824A7" w:rsidP="00642FAB">
      <w:pPr>
        <w:spacing w:after="0"/>
      </w:pPr>
      <w:r>
        <w:rPr>
          <w:rFonts w:ascii="Calibri" w:eastAsia="Times New Roman" w:hAnsi="Calibri" w:cs="Arial"/>
          <w:color w:val="000000"/>
          <w:kern w:val="24"/>
          <w:lang w:eastAsia="en-GB"/>
        </w:rPr>
        <w:t>n/a=not available</w:t>
      </w:r>
    </w:p>
    <w:p w:rsidR="00642FAB" w:rsidRDefault="00642FAB" w:rsidP="00642FAB"/>
    <w:p w:rsidR="00996B2B" w:rsidRDefault="00996B2B"/>
    <w:sectPr w:rsidR="0099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B"/>
    <w:rsid w:val="002C165A"/>
    <w:rsid w:val="00642FAB"/>
    <w:rsid w:val="007D5588"/>
    <w:rsid w:val="00996B2B"/>
    <w:rsid w:val="00D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Fletcher</dc:creator>
  <cp:lastModifiedBy>Olivia Fletcher</cp:lastModifiedBy>
  <cp:revision>4</cp:revision>
  <dcterms:created xsi:type="dcterms:W3CDTF">2016-11-10T15:13:00Z</dcterms:created>
  <dcterms:modified xsi:type="dcterms:W3CDTF">2016-11-17T11:05:00Z</dcterms:modified>
</cp:coreProperties>
</file>