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D9D3" w14:textId="77777777" w:rsidR="003532FE" w:rsidRDefault="003532FE" w:rsidP="003532FE">
      <w:pPr>
        <w:jc w:val="center"/>
      </w:pPr>
    </w:p>
    <w:p w14:paraId="4E065416" w14:textId="77777777" w:rsidR="00884497" w:rsidRDefault="00884497" w:rsidP="00884497">
      <w:pPr>
        <w:jc w:val="center"/>
        <w:rPr>
          <w:b/>
        </w:rPr>
      </w:pPr>
    </w:p>
    <w:p w14:paraId="63D4A123" w14:textId="77777777" w:rsidR="00884497" w:rsidRDefault="00884497" w:rsidP="00884497">
      <w:pPr>
        <w:jc w:val="center"/>
        <w:rPr>
          <w:b/>
        </w:rPr>
      </w:pPr>
    </w:p>
    <w:p w14:paraId="6F36B10D" w14:textId="77777777" w:rsidR="00884497" w:rsidRDefault="00884497" w:rsidP="00884497">
      <w:pPr>
        <w:jc w:val="center"/>
        <w:rPr>
          <w:b/>
        </w:rPr>
      </w:pPr>
    </w:p>
    <w:p w14:paraId="20332ACC" w14:textId="77777777" w:rsidR="00884497" w:rsidRDefault="00884497" w:rsidP="00884497">
      <w:pPr>
        <w:jc w:val="center"/>
        <w:rPr>
          <w:b/>
        </w:rPr>
      </w:pPr>
    </w:p>
    <w:p w14:paraId="65FD9D50" w14:textId="77777777" w:rsidR="00884497" w:rsidRDefault="00884497" w:rsidP="00884497">
      <w:pPr>
        <w:jc w:val="center"/>
        <w:rPr>
          <w:b/>
        </w:rPr>
      </w:pPr>
    </w:p>
    <w:p w14:paraId="4D88F1A9" w14:textId="77777777" w:rsidR="00884497" w:rsidRDefault="00884497" w:rsidP="00884497">
      <w:pPr>
        <w:jc w:val="center"/>
        <w:rPr>
          <w:b/>
        </w:rPr>
      </w:pPr>
    </w:p>
    <w:p w14:paraId="19ABB3F1" w14:textId="77777777" w:rsidR="00884497" w:rsidRDefault="00884497" w:rsidP="00884497">
      <w:pPr>
        <w:jc w:val="center"/>
        <w:rPr>
          <w:b/>
        </w:rPr>
      </w:pPr>
      <w:r>
        <w:rPr>
          <w:b/>
        </w:rPr>
        <w:t>Nested event-level case-control study of drug use and sexual outcomes in multipartner encounters reported by men who have sex with men</w:t>
      </w:r>
    </w:p>
    <w:p w14:paraId="0F3EFA7F" w14:textId="77777777" w:rsidR="00BD48F6" w:rsidRDefault="00BD48F6" w:rsidP="00884497">
      <w:pPr>
        <w:jc w:val="center"/>
        <w:rPr>
          <w:b/>
        </w:rPr>
      </w:pPr>
    </w:p>
    <w:p w14:paraId="29042B1D" w14:textId="77777777" w:rsidR="00BD48F6" w:rsidRDefault="00BD48F6" w:rsidP="00BD48F6">
      <w:pPr>
        <w:jc w:val="center"/>
        <w:rPr>
          <w:b/>
        </w:rPr>
      </w:pPr>
    </w:p>
    <w:p w14:paraId="57FC81E1" w14:textId="77777777" w:rsidR="00BD48F6" w:rsidRDefault="00BD48F6" w:rsidP="00BD48F6">
      <w:pPr>
        <w:jc w:val="center"/>
        <w:rPr>
          <w:b/>
        </w:rPr>
      </w:pPr>
      <w:bookmarkStart w:id="0" w:name="_GoBack"/>
      <w:bookmarkEnd w:id="0"/>
    </w:p>
    <w:p w14:paraId="0D0F6896" w14:textId="77777777" w:rsidR="00BD48F6" w:rsidRPr="00FB0206" w:rsidRDefault="00BD48F6" w:rsidP="00BD48F6">
      <w:pPr>
        <w:rPr>
          <w:vertAlign w:val="superscript"/>
        </w:rPr>
      </w:pPr>
      <w:r>
        <w:t>G.J. Melendez-Torres</w:t>
      </w:r>
      <w:r>
        <w:rPr>
          <w:vertAlign w:val="superscript"/>
        </w:rPr>
        <w:t>1,2</w:t>
      </w:r>
      <w:r>
        <w:t>, Ford Hickson</w:t>
      </w:r>
      <w:r>
        <w:rPr>
          <w:vertAlign w:val="superscript"/>
        </w:rPr>
        <w:t>3</w:t>
      </w:r>
      <w:r>
        <w:t>, David Reid</w:t>
      </w:r>
      <w:r>
        <w:rPr>
          <w:vertAlign w:val="superscript"/>
        </w:rPr>
        <w:t>3</w:t>
      </w:r>
      <w:r>
        <w:t>, Peter Weatherburn</w:t>
      </w:r>
      <w:r>
        <w:rPr>
          <w:vertAlign w:val="superscript"/>
        </w:rPr>
        <w:t>3</w:t>
      </w:r>
      <w:r>
        <w:t>, Chris Bonell</w:t>
      </w:r>
      <w:r>
        <w:rPr>
          <w:vertAlign w:val="superscript"/>
        </w:rPr>
        <w:t>2</w:t>
      </w:r>
    </w:p>
    <w:p w14:paraId="232BFFC9" w14:textId="77777777" w:rsidR="00BD48F6" w:rsidRDefault="00BD48F6" w:rsidP="00BD48F6">
      <w:pPr>
        <w:rPr>
          <w:vertAlign w:val="superscript"/>
        </w:rPr>
      </w:pPr>
    </w:p>
    <w:p w14:paraId="6A008BD2" w14:textId="77777777" w:rsidR="00BD48F6" w:rsidRDefault="00BD48F6" w:rsidP="00BD48F6">
      <w:r w:rsidRPr="00FB0206">
        <w:rPr>
          <w:vertAlign w:val="superscript"/>
        </w:rPr>
        <w:t>1</w:t>
      </w:r>
      <w:r>
        <w:t>Department of Social Policy and Intervention, University of Oxford</w:t>
      </w:r>
    </w:p>
    <w:p w14:paraId="3200F445" w14:textId="77777777" w:rsidR="00BD48F6" w:rsidRDefault="00BD48F6" w:rsidP="00BD48F6">
      <w:pPr>
        <w:rPr>
          <w:vertAlign w:val="superscript"/>
        </w:rPr>
      </w:pPr>
    </w:p>
    <w:p w14:paraId="69A7D401" w14:textId="77777777" w:rsidR="00BD48F6" w:rsidRDefault="00BD48F6" w:rsidP="00BD48F6">
      <w:r w:rsidRPr="00FB0206">
        <w:rPr>
          <w:vertAlign w:val="superscript"/>
        </w:rPr>
        <w:t>2</w:t>
      </w:r>
      <w:r>
        <w:t>Department of Childhood, Families and Health, Institute of Education, University College London</w:t>
      </w:r>
    </w:p>
    <w:p w14:paraId="667D1B81" w14:textId="77777777" w:rsidR="00BD48F6" w:rsidRDefault="00BD48F6" w:rsidP="00BD48F6">
      <w:pPr>
        <w:rPr>
          <w:vertAlign w:val="superscript"/>
        </w:rPr>
      </w:pPr>
    </w:p>
    <w:p w14:paraId="68950857" w14:textId="77777777" w:rsidR="00BD48F6" w:rsidRDefault="00BD48F6" w:rsidP="00BD48F6">
      <w:r w:rsidRPr="00FB0206">
        <w:rPr>
          <w:vertAlign w:val="superscript"/>
        </w:rPr>
        <w:t>3</w:t>
      </w:r>
      <w:r>
        <w:t>Sigma Research, London School of Hygiene and Tropical Medicine, University of London</w:t>
      </w:r>
    </w:p>
    <w:p w14:paraId="386DE1B3" w14:textId="77777777" w:rsidR="00BD48F6" w:rsidRDefault="00BD48F6" w:rsidP="00BD48F6"/>
    <w:p w14:paraId="6A785FAD" w14:textId="77777777" w:rsidR="00BD48F6" w:rsidRPr="00104B9B" w:rsidRDefault="00BD48F6" w:rsidP="00BD48F6">
      <w:r>
        <w:t>G.J. Melendez-Torres (corresponding author)</w:t>
      </w:r>
    </w:p>
    <w:p w14:paraId="26FB4CE9" w14:textId="77777777" w:rsidR="00BD48F6" w:rsidRPr="00104B9B" w:rsidRDefault="00BD48F6" w:rsidP="00BD48F6">
      <w:r w:rsidRPr="00104B9B">
        <w:t>Department of Social Policy and Intervention</w:t>
      </w:r>
    </w:p>
    <w:p w14:paraId="11C2510D" w14:textId="77777777" w:rsidR="00BD48F6" w:rsidRPr="00104B9B" w:rsidRDefault="00BD48F6" w:rsidP="00BD48F6">
      <w:r w:rsidRPr="00104B9B">
        <w:t>University of Oxford</w:t>
      </w:r>
    </w:p>
    <w:p w14:paraId="66AC215C" w14:textId="77777777" w:rsidR="00BD48F6" w:rsidRPr="00104B9B" w:rsidRDefault="00BD48F6" w:rsidP="00BD48F6">
      <w:r w:rsidRPr="00104B9B">
        <w:t>Barnett House, 32 Wellington Square</w:t>
      </w:r>
    </w:p>
    <w:p w14:paraId="7488A4C1" w14:textId="77777777" w:rsidR="00BD48F6" w:rsidRPr="00104B9B" w:rsidRDefault="00BD48F6" w:rsidP="00BD48F6">
      <w:r w:rsidRPr="00104B9B">
        <w:t>Oxford OX1 2ER</w:t>
      </w:r>
    </w:p>
    <w:p w14:paraId="39257441" w14:textId="77777777" w:rsidR="00BD48F6" w:rsidRPr="00104B9B" w:rsidRDefault="00BD48F6" w:rsidP="00BD48F6">
      <w:r w:rsidRPr="00104B9B">
        <w:t>UNITED KINGDOM</w:t>
      </w:r>
    </w:p>
    <w:p w14:paraId="6CE9AA11" w14:textId="77777777" w:rsidR="00BD48F6" w:rsidRPr="00104B9B" w:rsidRDefault="00BD48F6" w:rsidP="00BD48F6">
      <w:r w:rsidRPr="00104B9B">
        <w:t>+44 1865 270260</w:t>
      </w:r>
    </w:p>
    <w:p w14:paraId="5B2E40D1" w14:textId="77777777" w:rsidR="00BD48F6" w:rsidRPr="00104B9B" w:rsidRDefault="00BD48F6" w:rsidP="00BD48F6">
      <w:r w:rsidRPr="00104B9B">
        <w:t>gerardo.melendez-torres@spi.ox.ac.uk</w:t>
      </w:r>
    </w:p>
    <w:p w14:paraId="7E1C916E" w14:textId="77777777" w:rsidR="00BD48F6" w:rsidRDefault="00BD48F6" w:rsidP="00884497">
      <w:pPr>
        <w:jc w:val="center"/>
        <w:rPr>
          <w:b/>
        </w:rPr>
      </w:pPr>
    </w:p>
    <w:p w14:paraId="6B22EC54" w14:textId="77777777" w:rsidR="00884497" w:rsidRDefault="00884497" w:rsidP="00884497">
      <w:pPr>
        <w:rPr>
          <w:b/>
        </w:rPr>
      </w:pPr>
      <w:r>
        <w:rPr>
          <w:b/>
        </w:rPr>
        <w:br w:type="page"/>
      </w:r>
    </w:p>
    <w:p w14:paraId="35D1532B" w14:textId="77777777" w:rsidR="007131C4" w:rsidRDefault="0006596D" w:rsidP="007131C4">
      <w:pPr>
        <w:spacing w:line="480" w:lineRule="auto"/>
        <w:rPr>
          <w:b/>
        </w:rPr>
      </w:pPr>
      <w:r>
        <w:rPr>
          <w:b/>
        </w:rPr>
        <w:lastRenderedPageBreak/>
        <w:t>Abstract</w:t>
      </w:r>
    </w:p>
    <w:p w14:paraId="3A706DD1" w14:textId="0AA4B737" w:rsidR="00885C57" w:rsidRPr="00D417F4" w:rsidRDefault="00D417F4" w:rsidP="007131C4">
      <w:pPr>
        <w:spacing w:line="480" w:lineRule="auto"/>
      </w:pPr>
      <w:r>
        <w:t xml:space="preserve">Previous event-level analyses have </w:t>
      </w:r>
      <w:r w:rsidR="00C9321B">
        <w:t xml:space="preserve">often, but not always, </w:t>
      </w:r>
      <w:r>
        <w:t>found significant associations between drug use and sexual risk behaviour</w:t>
      </w:r>
      <w:r w:rsidR="00C9321B">
        <w:t xml:space="preserve"> in men who have sex with men (MSM)</w:t>
      </w:r>
      <w:r>
        <w:t xml:space="preserve">, but these analyses have rarely considered either multipartner encounters specifically, or other </w:t>
      </w:r>
      <w:r w:rsidR="009D28CF">
        <w:t>sexual outcomes</w:t>
      </w:r>
      <w:r>
        <w:t xml:space="preserve"> such as pleasure and control.  Using data from an internet-based longitudinal survey of </w:t>
      </w:r>
      <w:r w:rsidR="00C9321B">
        <w:t>MSM</w:t>
      </w:r>
      <w:r>
        <w:t>, we tested the association between drug use by respondent and by partners and unprotected anal intercourse (UAI), pleasure and control over sexual activity.  Overall respondent substance use was significantly associated with increased odds of UAI</w:t>
      </w:r>
      <w:r w:rsidR="009D28CF">
        <w:t>,</w:t>
      </w:r>
      <w:r>
        <w:t xml:space="preserve"> though not with </w:t>
      </w:r>
      <w:r w:rsidR="009D28CF">
        <w:t xml:space="preserve">pleasure or </w:t>
      </w:r>
      <w:r>
        <w:t xml:space="preserve">control.  Respondent use of crystal methamphetamine was significantly associated with </w:t>
      </w:r>
      <w:r w:rsidR="00BA11B9">
        <w:t xml:space="preserve">both </w:t>
      </w:r>
      <w:r>
        <w:t>increased odds of UAI and decreased odds of control over sexual activity.</w:t>
      </w:r>
      <w:r w:rsidR="009D28CF">
        <w:t xml:space="preserve">  This analysis agrees with previous studies of dyadic encounters, and specifically suggests that the association between crystal methamphetamine and sexual risk behaviour may be mediated by loss of control.</w:t>
      </w:r>
    </w:p>
    <w:p w14:paraId="0631B290" w14:textId="77777777" w:rsidR="00885C57" w:rsidRDefault="00885C57" w:rsidP="00885C57">
      <w:pPr>
        <w:spacing w:line="480" w:lineRule="auto"/>
      </w:pPr>
      <w:r>
        <w:rPr>
          <w:b/>
        </w:rPr>
        <w:t>Keywords:</w:t>
      </w:r>
      <w:r w:rsidR="00CD316F">
        <w:t xml:space="preserve"> Sexual risk behaviour; observational epidemiology; multipartner encounters;</w:t>
      </w:r>
      <w:r>
        <w:t xml:space="preserve"> </w:t>
      </w:r>
      <w:r w:rsidR="00D417F4">
        <w:t>drug</w:t>
      </w:r>
      <w:r w:rsidR="00CD316F">
        <w:t xml:space="preserve"> use;</w:t>
      </w:r>
      <w:r>
        <w:t xml:space="preserve"> men who have sex with men</w:t>
      </w:r>
    </w:p>
    <w:p w14:paraId="3B9BE44D" w14:textId="77777777" w:rsidR="00885C57" w:rsidRDefault="00885C57">
      <w:r>
        <w:br w:type="page"/>
      </w:r>
    </w:p>
    <w:p w14:paraId="66923B55" w14:textId="77777777" w:rsidR="007131C4" w:rsidRDefault="0060060A" w:rsidP="007131C4">
      <w:pPr>
        <w:spacing w:line="480" w:lineRule="auto"/>
      </w:pPr>
      <w:r>
        <w:rPr>
          <w:b/>
        </w:rPr>
        <w:t>Introduction</w:t>
      </w:r>
    </w:p>
    <w:p w14:paraId="12FB1229" w14:textId="00166130" w:rsidR="001B1BB3" w:rsidRDefault="007A0D49" w:rsidP="007131C4">
      <w:pPr>
        <w:spacing w:line="480" w:lineRule="auto"/>
      </w:pPr>
      <w:r>
        <w:tab/>
      </w:r>
      <w:r w:rsidR="00094B5C">
        <w:t>As a</w:t>
      </w:r>
      <w:r w:rsidR="004B3D2C">
        <w:t xml:space="preserve"> recent systematic review</w:t>
      </w:r>
      <w:r w:rsidR="00094B5C">
        <w:t xml:space="preserve"> has demonstrated,</w:t>
      </w:r>
      <w:r w:rsidR="004B3D2C">
        <w:t xml:space="preserve"> studies examining event-level associations between </w:t>
      </w:r>
      <w:r w:rsidR="001A30A7">
        <w:t>specific drugs</w:t>
      </w:r>
      <w:r w:rsidR="004B3D2C">
        <w:t xml:space="preserve"> and sexual risk behaviour in</w:t>
      </w:r>
      <w:r w:rsidR="004D01E0">
        <w:t xml:space="preserve"> men who have sex with men</w:t>
      </w:r>
      <w:r w:rsidR="004B3D2C">
        <w:t xml:space="preserve"> </w:t>
      </w:r>
      <w:r w:rsidR="004D01E0">
        <w:t>(</w:t>
      </w:r>
      <w:r w:rsidR="004B3D2C">
        <w:t>MSM</w:t>
      </w:r>
      <w:r w:rsidR="004D01E0">
        <w:t>)</w:t>
      </w:r>
      <w:r w:rsidR="004B3D2C">
        <w:t xml:space="preserve"> </w:t>
      </w:r>
      <w:r w:rsidR="00094B5C">
        <w:t xml:space="preserve">do not yield consistent results </w:t>
      </w:r>
      <w:r w:rsidR="00B90C8D">
        <w:fldChar w:fldCharType="begin" w:fldLock="1"/>
      </w:r>
      <w:r w:rsidR="00030835">
        <w:instrText>ADDIN CSL_CITATION { "citationItems" : [ { "id" : "ITEM-1", "itemData" : { "DOI" : "10.1007/s10461-011-0131-8", "ISBN" : "1573-3254", "ISSN" : "1573-3254", "PMID" : "22323004", "abstract" : "In the United States, there continues to be high incidence of HIV infection among men who have sex with men (MSM), who represent 57% of new infections in 2009. While many studies report associations between non-injection substance use and sexual risk behavior among MSM, overall results are mixed. Summarizing these studies is difficult because researchers have used a variety of assessment periods for substance use and sexual behavior. We review the scientific literature on event-level measures, which assess substance use and sexual risk behavior immediately before or during a sexual encounter and provide the most precise link between these two behaviors. From January 2009 through March 2010, we searched four databases: Ovid (MEDLINE and PsycINFO), Web of Knowledge, and Sociofile. Across studies, results varied by substance with little within substance consistency or a lack of research except for two notable exceptions: methamphetamine and binge alcohol use. The findings underscore the importance of providing HIV risk-reduction interventions for substance-using MSM.", "author" : [ { "dropping-particle" : "", "family" : "Vosburgh", "given" : "H Waverly", "non-dropping-particle" : "", "parse-names" : false, "suffix" : "" }, { "dropping-particle" : "", "family" : "Mansergh", "given" : "Gordon", "non-dropping-particle" : "", "parse-names" : false, "suffix" : "" }, { "dropping-particle" : "", "family" : "Sullivan", "given" : "Patrick S", "non-dropping-particle" : "", "parse-names" : false, "suffix" : "" }, { "dropping-particle" : "", "family" : "Purcell", "given" : "David W", "non-dropping-particle" : "", "parse-names" : false, "suffix" : "" } ], "chapter-number" : "1394", "container-title" : "AIDS &amp; Behavior", "id" : "ITEM-1", "issue" : "6", "issued" : { "date-parts" : [ [ "2012" ] ] }, "page" : "1394-1410", "publisher-place" : "United States", "title" : "A review of the literature on event-level substance use and sexual risk behavior among men who have sex with men.", "type" : "article-journal", "volume" : "16" }, "uris" : [ "http://www.mendeley.com/documents/?uuid=8fb530c3-1bc2-49fb-8cfc-bb64fa06310b" ] } ], "mendeley" : { "formattedCitation" : "(1)", "plainTextFormattedCitation" : "(1)", "previouslyFormattedCitation" : "(1)" }, "properties" : { "noteIndex" : 0 }, "schema" : "https://github.com/citation-style-language/schema/raw/master/csl-citation.json" }</w:instrText>
      </w:r>
      <w:r w:rsidR="00B90C8D">
        <w:fldChar w:fldCharType="separate"/>
      </w:r>
      <w:r w:rsidR="00B16AAB" w:rsidRPr="00B16AAB">
        <w:rPr>
          <w:noProof/>
        </w:rPr>
        <w:t>(1)</w:t>
      </w:r>
      <w:r w:rsidR="00B90C8D">
        <w:fldChar w:fldCharType="end"/>
      </w:r>
      <w:r w:rsidR="00094B5C">
        <w:t xml:space="preserve">.  This review specifically </w:t>
      </w:r>
      <w:r w:rsidR="004B3D2C">
        <w:t xml:space="preserve">noted </w:t>
      </w:r>
      <w:r w:rsidR="001A30A7">
        <w:t xml:space="preserve">substantial </w:t>
      </w:r>
      <w:r w:rsidR="00632695">
        <w:t xml:space="preserve">evidence </w:t>
      </w:r>
      <w:r w:rsidR="00094B5C">
        <w:t xml:space="preserve">only </w:t>
      </w:r>
      <w:r w:rsidR="00632695">
        <w:t>for</w:t>
      </w:r>
      <w:r w:rsidR="004B3D2C">
        <w:t xml:space="preserve"> </w:t>
      </w:r>
      <w:r w:rsidR="00094B5C">
        <w:t xml:space="preserve">associations with </w:t>
      </w:r>
      <w:r w:rsidR="00A170DD">
        <w:t>excessive</w:t>
      </w:r>
      <w:r w:rsidR="004B3D2C">
        <w:t xml:space="preserve"> </w:t>
      </w:r>
      <w:r w:rsidR="00A170DD">
        <w:t xml:space="preserve">alcohol use (i.e. at least five drinks before sex) </w:t>
      </w:r>
      <w:r w:rsidR="00094B5C">
        <w:t>or</w:t>
      </w:r>
      <w:r w:rsidR="004B3D2C">
        <w:t xml:space="preserve"> crystal methamphetamine</w:t>
      </w:r>
      <w:r w:rsidR="003351C5">
        <w:t xml:space="preserve">.  </w:t>
      </w:r>
      <w:r w:rsidR="00094B5C">
        <w:t xml:space="preserve">While several event-level </w:t>
      </w:r>
      <w:r w:rsidR="004D01E0">
        <w:t xml:space="preserve">case-crossover </w:t>
      </w:r>
      <w:r w:rsidR="00094B5C">
        <w:t xml:space="preserve">studies have demonstrated statistically significant associations between specific drug use and sexual risk behaviour </w:t>
      </w:r>
      <w:r w:rsidR="00B90C8D">
        <w:fldChar w:fldCharType="begin" w:fldLock="1"/>
      </w:r>
      <w:r w:rsidR="00030835">
        <w:instrText>ADDIN CSL_CITATION { "citationItems" : [ { "id" : "ITEM-1", "itemData" : { "DOI" : "10.1007/s10461-012-0167-4", "ISBN" : "1573-3254", "ISSN" : "1573-3254", "PMID" : "22392156", "abstract" : "Men who have sex with men (MSM) make up nearly half of all people living with HIV in the United States. The prevalence of the epidemic in this population makes it vitally important to understand the transmission of the infection and to develop methods to prevent its spread. The current study uses longitudinal diary methods to examine relationships between substance use and unprotected anal intercourse in a sample of 158 HIV-positive, mostly ethnic minority MSM. Results indicate that both general substance use and use of specific drugs (i.e., inhalants, cocaine, crack, and club drugs) have a substantial impact on the sexual risk behavior of this population.", "author" : [ { "dropping-particle" : "", "family" : "Boone", "given" : "Melissa R", "non-dropping-particle" : "", "parse-names" : false, "suffix" : "" }, { "dropping-particle" : "", "family" : "Cook", "given" : "Stephanie H", "non-dropping-particle" : "", "parse-names" : false, "suffix" : "" }, { "dropping-particle" : "", "family" : "Wilson", "given" : "Patrick", "non-dropping-particle" : "", "parse-names" : false, "suffix" : "" } ], "container-title" : "AIDS and behavior", "id" : "ITEM-1", "issue" : "5", "issued" : { "date-parts" : [ [ "2013" ] ] }, "page" : "1883-1887", "publisher-place" : "United States", "title" : "Substance use and sexual risk behavior in HIV-positive men who have sex with men: An episode-level analysis.", "type" : "article-journal", "volume" : "17" }, "uris" : [ "http://www.mendeley.com/documents/?uuid=260cfa18-781d-4a03-82e5-0b3bec386e42" ] }, { "id" : "ITEM-2", "itemData" : { "DOI" : "10.1093/aje/kwh135",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"ITEM-2", "issue" : "10", "issued" : { "date-parts" : [ [ "2004" ] ] }, "note" : "From Duplicate 1 ( ", "page" : "1002-1012", "title" : "Substance use and sexual risk: A participant- and episode-level analysis among a cohort of men who have sex with men", "type" : "article-journal", "volume" : "159" }, "uris" : [ "http://www.mendeley.com/documents/?uuid=0bdce725-f385-4ef4-b137-b8f3182036ff" ] }, { "id" : "ITEM-3", "itemData" : { "DOI" : "10.1080/10826080701212519", "ISBN" : "1082-6084, 1082-6084", "ISSN" : "1082-6084", "abstract" : "A 2004 - 2005 survey among 503 men who have sex with men who attend public venues in New York City was used to examine the relationship of amphetamine use with sexual risk behaviors. Among the men recruited, 51.1% were under 30 years of age, 27.4% were Latino, and 23.3% were African American. Most identified as either gay ( 78.9%) or bisexual ( 18.1%). A standardized questionnaire collected data on demographics, sexual risk behaviors, drug and alcohol use, history of HIV testing, and occurrences of sexually transmitted infections. Amphetamine use in the past year was reported by 13.8%. Of those, 71.0% used amphetamines with sex. Amphetamine use was associated with unprotected receptive anal intercourse with non- main partners. In event- specific analysis, amphetamine use was higher with unprotected encounters compared with protected encounters. This study confirms the association between amphetamine use and sexual risk furthers our understanding of risky circumstances and lays the groundwork for the design of interventions.", "author" : [ { "dropping-particle" : "", "family" : "Koblin", "given" : "Beryl A", "non-dropping-particle" : "", "parse-names" : false, "suffix" : "" }, { "dropping-particle" : "", "family" : "Murrill", "given" : "Christopher", "non-dropping-particle" : "", "parse-names" : false, "suffix" : "" }, { "dropping-particle" : "", "family" : "Camacho", "given" : "Michael", "non-dropping-particle" : "", "parse-names" : false, "suffix" : "" }, { "dropping-particle" : "", "family" : "Xu", "given" : "Guozhen", "non-dropping-particle" : "", "parse-names" : false, "suffix" : "" }, { "dropping-particle" : "", "family" : "Liu", "given" : "Kai-Lih", "non-dropping-particle" : "", "parse-names" : false, "suffix" : "" }, { "dropping-particle" : "", "family" : "Raj-Singh", "given" : "Shavvy", "non-dropping-particle" : "", "parse-names" : false, "suffix" : "" }, { "dropping-particle" : "", "family" : "Torian", "given" : "Lucia", "non-dropping-particle" : "", "parse-names" : false, "suffix" : "" } ], "chapter-number" : "1613", "container-title" : "SUBSTANCE USE &amp; MISUSE", "id" : "ITEM-3", "issue" : "10", "issued" : { "date-parts" : [ [ "2007" ] ] }, "page" : "1613-1628", "title" : "Amphetamine use and sexual risk among men who have sex with men: Results from the National HIV Behavioral Surveillance study - New York City", "type" : "article-journal", "volume" : "42" }, "uris" : [ "http://www.mendeley.com/documents/?uuid=d90094d3-f8c4-471b-adfa-ce402f3f9246" ] }, { "id" : "ITEM-4", "itemData" : { "DOI" : "10.1136/sti.2008.031583", "ISSN" : "1368-4973", "abstract" : "Background: Men with HIV who have sex with men (MSM) represent the largest group of people living with HIV/AIDS in the United States. It is important to understand the sexual risk-taking behaviours that may be linked to the transmission of HIV and other sexually transmitted infections in this population. Models of HIV risk that focus solely on personal factors have been demonstrated to be ineffective at explaining risk behaviour. Rather, in order to fully understand sexual risk-taking, it is important to examine the factors linked to high-risk sexual situations and not solely the factors linked to potentially high-risk people. Methods: A diverse sample of 100 MSM with HIV completed a 6-week internet-based sex diary that collected detailed information on recent sexual encounters. In total, information on over 250 sexual episodes was collected and analysed. Generalised linear mixed models were used to examine situational predictors of risk episodes. Results: Analyses revealed that drug use by self and sex partners (examined individually and together) were positively related to risk episodes. Likewise, having a sex partner met online and having a sexual encounter in a sex party or bathhouse setting was linked to risk episodes. Sexual episodes that involved a sex-partner who was perceived as sexually desirable and those involving communication about HIV and/or condom use with partners each were negatively related to risk. Conclusions: Situational factors play an important role in explaining sexual risk-taking among MSM with HIV. Researchers should place a greater focus on drug use and characteristics of sex partners and settings in which sexual behaviours occur as situational predictors of risk in order to comprehensively understand sexual risk-taking in this population.", "author" : [ { "dropping-particle" : "", "family" : "Wilson", "given" : "Patrick A", "non-dropping-particle" : "", "parse-names" : false, "suffix" : "" }, { "dropping-particle" : "", "family" : "Cook", "given" : "S", "non-dropping-particle" : "", "parse-names" : false, "suffix" : "" }, { "dropping-particle" : "", "family" : "McGaskey", "given" : "J", "non-dropping-particle" : "", "parse-names" : false, "suffix" : "" }, { "dropping-particle" : "", "family" : "Rowe", "given" : "M", "non-dropping-particle" : "", "parse-names" : false, "suffix" : "" }, { "dropping-particle" : "", "family" : "Dennis", "given" : "N", "non-dropping-particle" : "", "parse-names" : false, "suffix" : "" } ], "container-title" : "Sexually Transmitted Infections", "id" : "ITEM-4", "issue" : "6", "issued" : { "date-parts" : [ [ "2008", "11" ] ] }, "page" : "506-508", "title" : "Situational predictors of sexual risk episodes among men with HIV who have sex with men", "type" : "article-journal", "volume" : "84" }, "uris" : [ "http://www.mendeley.com/documents/?uuid=9e7297a7-0d52-42d1-b7d7-43e0e12a7a78" ] } ], "mendeley" : { "formattedCitation" : "(2\u20135)", "plainTextFormattedCitation" : "(2\u20135)", "previouslyFormattedCitation" : "(2\u20135)" }, "properties" : { "noteIndex" : 0 }, "schema" : "https://github.com/citation-style-language/schema/raw/master/csl-citation.json" }</w:instrText>
      </w:r>
      <w:r w:rsidR="00B90C8D">
        <w:fldChar w:fldCharType="separate"/>
      </w:r>
      <w:r w:rsidR="00B16AAB" w:rsidRPr="00B16AAB">
        <w:rPr>
          <w:noProof/>
        </w:rPr>
        <w:t>(2–5)</w:t>
      </w:r>
      <w:r w:rsidR="00B90C8D">
        <w:fldChar w:fldCharType="end"/>
      </w:r>
      <w:r w:rsidR="00A51E53">
        <w:t xml:space="preserve">, others have demonstrated non-significant results </w:t>
      </w:r>
      <w:r w:rsidR="00B90C8D">
        <w:fldChar w:fldCharType="begin" w:fldLock="1"/>
      </w:r>
      <w:r w:rsidR="00030835">
        <w:instrText>ADDIN CSL_CITATION { "citationItems" : [ { "id" : "ITEM-1", "itemData" : { "ISBN" : "9780542509537; 0542509539", "abstract" : "A small and growing body of literature suggests that online sex seeking among men who have sex with men (MSM) is associated with risk for HIV. Little is known of the possible mechanisms that account for the relation between Internet use and HIV risk. Internet technology offers advantages for collecting daily reports of online and sexual activities; however, no studies have utilized a web-based daily data collection method. To gain a greater understanding of the relation between online sex seeking and HIV risk, 45 sexually-active, Internet-using MSM completed a four-week daily web diary of their Internet use and sexual activities, followed by a retrospective recall survey of their sexual behaviors during the diary period. Results revealed that men who completed the study were significantly more likely to be non-White, older, and more educated than drop-outs. Men indicated that most of their sexual partners were met online and had disclosed their HIV status. Similar sexual risk activities with Internet and non-Internet partners were reported, as well as similar degrees of trust for new online and offline sexual partners. Men who went online seeking sexual partners the most were at less risk for having unprotected anal intercourse (UAI) with their Internet partners, despite having high levels of sexual sensation seeking, than men who use the Internet less often for this purpose. Men's estimates of sexual activities derived through the daily diary and retrospective recall data collection methods were similar, and men rated the web diary method favorably. Overall, the results suggest that the Internet primarily serves as a new avenue by which groups of high risk MSM enact well-established sexual risk-taking behaviors, although HIV status may be more easily disclosed online. Interventions should target men who sporadically go online seeking sex partners, as they appear to be at high risk for UAI. Web-based diaries appear to be a promising data collection tool for event sampling.", "author" : [ { "dropping-particle" : "", "family" : "Horvath", "given" : "Keith J", "non-dropping-particle" : "", "parse-names" : false, "suffix" : "" } ], "collection-title" : "Dissertation Abstracts International", "container-title" : "ProQuest Dissertations and Theses", "id" : "ITEM-1", "issue" : "1-B", "issued" : { "date-parts" : [ [ "2005" ] ] }, "language" : "English", "note" : "From Duplicate 1 ( ", "number-of-pages" : "94-94 p.", "publisher" : "University of Wyoming", "publisher-place" : "Ann Arbor", "title" : "The use of a daily web diary to examine the relation between online sex seeking and HIV risk among internet-using men who have sex with men.", "type" : "thesis", "volume" : "67" }, "uris" : [ "http://www.mendeley.com/documents/?uuid=84192671-bd0d-4d32-830d-3e51a89b921a" ] }, { "id" : "ITEM-2",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"ITEM-2", "issue" : "1", "issued" : { "date-parts" : [ [ "2005" ] ] }, "note" : "From Duplicate 2 ( ", "page" : "23-32", "title" : "Contexts for last occasions of unprotected anal intercourse among HIV-negative gay men in Sydney: the health in men cohort.", "type" : "article-journal", "volume" : "17" }, "uris" : [ "http://www.mendeley.com/documents/?uuid=e28415b8-0d6c-457e-b3d1-53f26fd4dd9a" ] } ], "mendeley" : { "formattedCitation" : "(6,7)", "plainTextFormattedCitation" : "(6,7)", "previouslyFormattedCitation" : "(6,7)" }, "properties" : { "noteIndex" : 0 }, "schema" : "https://github.com/citation-style-language/schema/raw/master/csl-citation.json" }</w:instrText>
      </w:r>
      <w:r w:rsidR="00B90C8D">
        <w:fldChar w:fldCharType="separate"/>
      </w:r>
      <w:r w:rsidR="00B16AAB" w:rsidRPr="00B16AAB">
        <w:rPr>
          <w:noProof/>
        </w:rPr>
        <w:t>(6,7)</w:t>
      </w:r>
      <w:r w:rsidR="00B90C8D">
        <w:fldChar w:fldCharType="end"/>
      </w:r>
      <w:r w:rsidR="00A51E53">
        <w:t xml:space="preserve">.  </w:t>
      </w:r>
      <w:r w:rsidR="003351C5">
        <w:t xml:space="preserve">In addition, </w:t>
      </w:r>
      <w:r w:rsidR="00A51E53">
        <w:t>few event-level</w:t>
      </w:r>
      <w:r w:rsidR="003351C5">
        <w:t xml:space="preserve"> studies </w:t>
      </w:r>
      <w:r w:rsidR="00A51E53">
        <w:t xml:space="preserve">have </w:t>
      </w:r>
      <w:r w:rsidR="003351C5">
        <w:t xml:space="preserve">specifically </w:t>
      </w:r>
      <w:r w:rsidR="00660996">
        <w:t>examine</w:t>
      </w:r>
      <w:r w:rsidR="00BD0585">
        <w:t>d</w:t>
      </w:r>
      <w:r w:rsidR="00660996">
        <w:t xml:space="preserve"> </w:t>
      </w:r>
      <w:r w:rsidR="003351C5">
        <w:t xml:space="preserve">the context of multipartner </w:t>
      </w:r>
      <w:r w:rsidR="006D6938">
        <w:t xml:space="preserve">sexual </w:t>
      </w:r>
      <w:r w:rsidR="003351C5">
        <w:t xml:space="preserve">encounters, </w:t>
      </w:r>
      <w:r w:rsidR="00660996">
        <w:t xml:space="preserve">i.e. </w:t>
      </w:r>
      <w:r w:rsidR="003351C5">
        <w:t xml:space="preserve">encounters in which three </w:t>
      </w:r>
      <w:r w:rsidR="005E2D8F">
        <w:t xml:space="preserve">or more </w:t>
      </w:r>
      <w:r w:rsidR="00C9321B">
        <w:t xml:space="preserve">participants </w:t>
      </w:r>
      <w:r w:rsidR="003351C5">
        <w:t xml:space="preserve">are </w:t>
      </w:r>
      <w:r w:rsidR="006D6938">
        <w:t>involved</w:t>
      </w:r>
      <w:r w:rsidR="003351C5">
        <w:t xml:space="preserve">.  </w:t>
      </w:r>
      <w:r w:rsidR="004D01E0">
        <w:t xml:space="preserve">One study examining the most recent multipartner encounter reported by MSM in Australia </w:t>
      </w:r>
      <w:r w:rsidR="009A00CC">
        <w:t xml:space="preserve">noted that methamphetamine use and binge drinking were both associated with </w:t>
      </w:r>
      <w:r w:rsidR="005E1ACD">
        <w:t>unprotected anal intercourse (</w:t>
      </w:r>
      <w:r w:rsidR="009A00CC">
        <w:t>UAI</w:t>
      </w:r>
      <w:r w:rsidR="005E1ACD">
        <w:t>)</w:t>
      </w:r>
      <w:r w:rsidR="009A00CC">
        <w:t xml:space="preserve"> </w:t>
      </w:r>
      <w:r w:rsidR="005E1ACD">
        <w:t xml:space="preserve">between HIV </w:t>
      </w:r>
      <w:r w:rsidR="00C9321B">
        <w:t>sero</w:t>
      </w:r>
      <w:r w:rsidR="005E1ACD">
        <w:t xml:space="preserve">nonconcordant partners </w:t>
      </w:r>
      <w:r w:rsidR="00B90C8D">
        <w:fldChar w:fldCharType="begin" w:fldLock="1"/>
      </w:r>
      <w:r w:rsidR="00030835">
        <w:instrText>ADDIN CSL_CITATION { "citationItems" : [ { "id" : "ITEM-1", "itemData" : { "ISBN" : "1448-5028", "abstract" : "BACKGROUND: Drug use has been associated with risk behaviour among gay men. We examined the use of drugs and sexual risk behaviour among homosexually-active men who engaged in group sex in Australia., METHODS: We used an anonymous, self-complete survey about participants' most recent occasion of group sex with other men and in-depth interviews with a small number of these survey participants. The 746 men who reported having engaged in group sex within the previous 6 months were included in these analyses., RESULTS: Among 746 men who engaged in group sex within the previous 6 months, 63.0% reported using illicit drugs at the group sex encounter. Men commonly reported using drugs specifically to enhance their sexual experience and to intensify the pleasure of that experience. After controlling for each drug type and other risk factors, only use of methamphetamine (odds ratio = 1.74, confidence interval = 1.06-2.88, P = 0.030) and having more than five drinks (odds ratio = 2.41, confidence interval = 1.34-4.33, P = 0.003) were independently associated with unprotected anal intercourse with non-HIV seroconcordant partners in multivariate analysis., CONCLUSION: Methamphetamine and heavy alcohol use are associated with increased sexual risk behaviour among men who engage in group sex. Within more 'adventurous' gay community subcultures, drug use is often for the explicit purpose of enhancing the sexual experience and this complex relationship may be key to understanding HIV risk among these men.", "author" : [ { "dropping-particle" : "", "family" : "Prestage", "given" : "Garrett", "non-dropping-particle" : "", "parse-names" : false, "suffix" : "" }, { "dropping-particle" : "", "family" : "Grierson", "given" : "Jeffrey", "non-dropping-particle" : "", "parse-names" : false, "suffix" : "" }, { "dropping-particle" : "", "family" : "Bradley", "given" : "Jack", "non-dropping-particle" : "", "parse-names" : false, "suffix" : "" }, { "dropping-particle" : "", "family" : "Hurley", "given" : "Michael", "non-dropping-particle" : "", "parse-names" : false, "suffix" : "" }, { "dropping-particle" : "", "family" : "Hudson", "given" : "Jeff", "non-dropping-particle" : "", "parse-names" : false, "suffix" : "" }, { "dropping-particle" : "", "family" : "G.", "given" : "Prestage", "non-dropping-particle" : "", "parse-names" : false, "suffix" : "" }, { "dropping-particle" : "", "family" : "J.", "given" : "Grierson", "non-dropping-particle" : "", "parse-names" : false, "suffix" : "" }, { "dropping-particle" : "", "family" : "J.", "given" : "Bradley", "non-dropping-particle" : "", "parse-names" : false, "suffix" : "" }, { "dropping-particle" : "", "family" : "M.", "given" : "Hurley", "non-dropping-particle" : "", "parse-names" : false, "suffix" : "" }, { "dropping-particle" : "", "family" : "J.", "given" : "Hudson", "non-dropping-particle" : "", "parse-names" : false, "suffix" : "" } ], "container-title" : "Sexual health", "id" : "ITEM-1", "issue" : "4", "issued" : { "date-parts" : [ [ "2009" ] ] }, "page" : "310-317", "title" : "The role of drugs during group sex among gay men in Australia.", "type" : "article", "volume" : "6" }, "uris" : [ "http://www.mendeley.com/documents/?uuid=dc54bfde-63ab-483f-80f4-f3cdaae2c168" ] } ], "mendeley" : { "formattedCitation" : "(8)", "plainTextFormattedCitation" : "(8)", "previouslyFormattedCitation" : "(8)" }, "properties" : { "noteIndex" : 0 }, "schema" : "https://github.com/citation-style-language/schema/raw/master/csl-citation.json" }</w:instrText>
      </w:r>
      <w:r w:rsidR="00B90C8D">
        <w:fldChar w:fldCharType="separate"/>
      </w:r>
      <w:r w:rsidR="00B16AAB" w:rsidRPr="00B16AAB">
        <w:rPr>
          <w:noProof/>
        </w:rPr>
        <w:t>(8)</w:t>
      </w:r>
      <w:r w:rsidR="00B90C8D">
        <w:fldChar w:fldCharType="end"/>
      </w:r>
      <w:r w:rsidR="009A00CC">
        <w:t xml:space="preserve">.  </w:t>
      </w:r>
      <w:r w:rsidR="00A61180">
        <w:t xml:space="preserve">Another event-level analysis comparing different types of multipartner encounters reported by MSM suggests that drugs are associated with increased odds of the multipartner encounter being unplanned group sex as compared to threesomes or organised sex parties </w:t>
      </w:r>
      <w:r w:rsidR="00B90C8D">
        <w:fldChar w:fldCharType="begin" w:fldLock="1"/>
      </w:r>
      <w:r w:rsidR="00B16AAB">
        <w:instrText>ADDIN CSL_CITATION { "citationItems" : [ { "id" : "ITEM-1", "itemData" : { "abstract" : "Introduction: Researchers have investigated group sexual encounters (GSEs) as potential sources for HIV/STI transmission among men who have sex with men (MSM); however, much of this work has focused on organized sex parties. Aim: To compare behavioral and social characteristics of groups of men who engaged in three types of GSEs: threesomes, spontaneous group sex, and organized sex parties. Methods: In 2012, 1,815 U.S.-based MSM completed an online survey. Main Outcome Measure: We compared men based on their most recent type of GSE: threesome (68.2%), spontaneous group sex (19.7%), or organized sex party (12.1%). Results: Using multinomial logistic regression, with type of GSE as the dependent variable, MSM who were HIV-positive, used stimulants (cocaine, methamphetamine, crack), consumed five or more alcoholic drinks, and reported receptive unprotected anal intercourse (UAI) during the most recent GSE had significantly higher odds of having had spontaneous group sex as compared to a threesome. MSM who were HIV-positive, not in a relationship, and did not report receptive UAI during the most recent GSE had significantly higher odds of having attended an organized sex party as compared to a threesome. MSM who were in a relationship, had consumed five or more alcoholic drinks, had used stimulants, and reported receptive UAI during the most recent GSE had significantly higher odds of having had spontaneous group sex as compared to an organized sex party. Compared to others, those having engaged in a GSE were more likely to report recent UAI (65% vs. 45%). Conclusions: Men having engaged in a GSE were at greater risk for behaviors that transmit HIV and STIs. Unique social and behavioral characteristics inherent to threesomes, spontaneous group sex, and sex parties highlight the need to identify prevention strategies to help those who participate in GSEs reduce their risk for HIV and STI transmission. (PsycINFO Database Record (c) 2013 APA, all rights reserved) (journal abstract).", "author" : [ { "dropping-particle" : "", "family" : "Grov", "given" : "Christian", "non-dropping-particle" : "", "parse-names" : false, "suffix" : "" }, { "dropping-particle" : "", "family" : "Rendina", "given" : "H Jonathon", "non-dropping-particle" : "", "parse-names" : false, "suffix" : "" }, { "dropping-particle" : "", "family" : "Ventuneac", "given" : "Ana", "non-dropping-particle" : "", "parse-names" : false, "suffix" : "" }, { "dropping-particle" : "", "family" : "Parsons", "given" : "Jeffrey T", "non-dropping-particle" : "", "parse-names" : false, "suffix" : "" } ], "container-title" : "Journal of Sexual Medicine", "id" : "ITEM-1", "issue" : "9", "issued" : { "date-parts" : [ [ "2013" ] ] }, "page" : "2285-2294", "title" : "HIV risk in group sexual encounters: An event-level analysis from a national online survey of MSM in the U. S", "type" : "article-journal", "volume" : "10" }, "uris" : [ "http://www.mendeley.com/documents/?uuid=969f91ae-7f10-49ab-b00a-ecb63a9f61a1" ] } ], "mendeley" : { "formattedCitation" : "(9)", "plainTextFormattedCitation" : "(9)", "previouslyFormattedCitation" : "(9)" }, "properties" : { "noteIndex" : 0 }, "schema" : "https://github.com/citation-style-language/schema/raw/master/csl-citation.json" }</w:instrText>
      </w:r>
      <w:r w:rsidR="00B90C8D">
        <w:fldChar w:fldCharType="separate"/>
      </w:r>
      <w:r w:rsidR="00B16AAB" w:rsidRPr="00B16AAB">
        <w:rPr>
          <w:noProof/>
        </w:rPr>
        <w:t>(9)</w:t>
      </w:r>
      <w:r w:rsidR="00B90C8D">
        <w:fldChar w:fldCharType="end"/>
      </w:r>
      <w:r w:rsidR="001B1BB3">
        <w:t>.</w:t>
      </w:r>
    </w:p>
    <w:p w14:paraId="44F4600C" w14:textId="759B25F5" w:rsidR="003351C5" w:rsidRDefault="001B1BB3" w:rsidP="007131C4">
      <w:pPr>
        <w:spacing w:line="480" w:lineRule="auto"/>
      </w:pPr>
      <w:r>
        <w:tab/>
        <w:t xml:space="preserve">It is important to understand contexts and correlates of multipartner sex because observations about dyadic encounters may not be generalisable to such encounters.  Multipartner encounters may be an especially salient setting for ‘chemsex’, </w:t>
      </w:r>
      <w:r w:rsidR="005E1ACD">
        <w:t xml:space="preserve">the intentional combining of </w:t>
      </w:r>
      <w:r>
        <w:t xml:space="preserve">sex </w:t>
      </w:r>
      <w:r w:rsidR="005E1ACD">
        <w:t xml:space="preserve">with drugs, typically </w:t>
      </w:r>
      <w:r>
        <w:t xml:space="preserve">crystal methamphetamine, GHB or mephedrone </w:t>
      </w:r>
      <w:r w:rsidR="00B90C8D">
        <w:fldChar w:fldCharType="begin" w:fldLock="1"/>
      </w:r>
      <w:r w:rsidR="00B16AAB">
        <w:instrText>ADDIN CSL_CITATION { "citationItems" : [ { "id" : "ITEM-1", "itemData" : { "ISBN" : "9781906673185",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 Rueda", "given" : "Sergio", "non-dropping-particle" : "", "parse-names" : false, "suffix" : "" }, { "dropping-particle" : "", "family" : "Weatherburn", "given" : "Peter", "non-dropping-particle" : "", "parse-names" : false, "suffix" : "" } ], "id" : "ITEM-1", "issued" : { "date-parts" : [ [ "2014" ] ] }, "publisher" : "Sigma Research, London School of Hygiene and Tropical Medicine", "publisher-place" : "London", "title" : "The Chemsex Study: drug use in sexual settings among gay &amp; bisexual men in Lambeth, Southwark, &amp; Lewisham.", "type" : "book" }, "uris" : [ "http://www.mendeley.com/documents/?uuid=27fcc919-3ed9-40dc-b7d4-4ec0d8dbf603" ] } ], "mendeley" : { "formattedCitation" : "(10)", "plainTextFormattedCitation" : "(10)", "previouslyFormattedCitation" : "(10)" }, "properties" : { "noteIndex" : 0 }, "schema" : "https://github.com/citation-style-language/schema/raw/master/csl-citation.json" }</w:instrText>
      </w:r>
      <w:r w:rsidR="00B90C8D">
        <w:fldChar w:fldCharType="separate"/>
      </w:r>
      <w:r w:rsidR="00B16AAB" w:rsidRPr="00B16AAB">
        <w:rPr>
          <w:noProof/>
        </w:rPr>
        <w:t>(10)</w:t>
      </w:r>
      <w:r w:rsidR="00B90C8D">
        <w:fldChar w:fldCharType="end"/>
      </w:r>
      <w:r>
        <w:t xml:space="preserve">.  </w:t>
      </w:r>
      <w:r w:rsidR="003351C5">
        <w:t xml:space="preserve">Multipartner encounters are </w:t>
      </w:r>
      <w:r>
        <w:t xml:space="preserve">also </w:t>
      </w:r>
      <w:r w:rsidR="003351C5">
        <w:t xml:space="preserve">a </w:t>
      </w:r>
      <w:r w:rsidR="005E2D8F">
        <w:t xml:space="preserve">defining </w:t>
      </w:r>
      <w:r w:rsidR="003351C5">
        <w:t xml:space="preserve">feature of sex-on-premises venues (SOPVs), including </w:t>
      </w:r>
      <w:r w:rsidR="00BD0585">
        <w:t xml:space="preserve">saunas and </w:t>
      </w:r>
      <w:r w:rsidR="005E2D8F">
        <w:t xml:space="preserve">backrooms of </w:t>
      </w:r>
      <w:r w:rsidR="00E30F53">
        <w:t>gay bars and clubs</w:t>
      </w:r>
      <w:r w:rsidR="003351C5">
        <w:t>, and</w:t>
      </w:r>
      <w:r w:rsidR="005E2D8F">
        <w:t xml:space="preserve"> also</w:t>
      </w:r>
      <w:r w:rsidR="003351C5">
        <w:t xml:space="preserve"> occur </w:t>
      </w:r>
      <w:r w:rsidR="001A30A7">
        <w:t xml:space="preserve">at </w:t>
      </w:r>
      <w:r w:rsidR="003351C5">
        <w:t>organised sex parties</w:t>
      </w:r>
      <w:r w:rsidR="00656BA2">
        <w:t xml:space="preserve"> in </w:t>
      </w:r>
      <w:r w:rsidR="001A30A7">
        <w:t>hotel rooms and private homes</w:t>
      </w:r>
      <w:r w:rsidR="003351C5">
        <w:t xml:space="preserve"> </w:t>
      </w:r>
      <w:r w:rsidR="00B90C8D">
        <w:fldChar w:fldCharType="begin" w:fldLock="1"/>
      </w:r>
      <w:r w:rsidR="00CB369F">
        <w:instrText>ADDIN CSL_CITATION { "citationItems" : [ { "id" : "ITEM-1", "itemData" : { "DOI" : "10.1080/13691050902721853", "ISSN" : "1369-1058", "abstract" : "Intensive sex partying is a framework developed to analyse specific frequent behaviours amongst a small minority of gay men in Sydney, Australia. The behaviours included a higher frequency of dance party attendance, more frequent sex, more anal sex, multiple sex partners, more unprotected anal intercourse with casual partners and more frequent drug taking. These occur at a contextual intersection between a sub-group of sexually adventurous gay men and 'party boys'. The men appear to be involved in both high-risk, adventurous sex practices and a specific form of partying distinguishable from dance partying and 'clubbing'. Sex partying occurs on multiple sites (domestic spaces; within dance parties; sex parties; sex-on-premises venues) and appears to be geared to the maximisation of sexual pleasure. Intensive sex partying describes this coincidence of factors and locates them in relation to the multiple pleasures offered by sex partying. It emphasises the importance of 'intensity' in order to understand better the relations between sex, drug use, pleasure, care and risk in some gay men's lives.", "author" : [ { "dropping-particle" : "", "family" : "Hurley", "given" : "M", "non-dropping-particle" : "", "parse-names" : false, "suffix" : "" }, { "dropping-particle" : "", "family" : "Prestage", "given" : "G", "non-dropping-particle" : "", "parse-names" : false, "suffix" : "" } ], "container-title" : "Culture, Health &amp; Sexuality", "id" : "ITEM-1", "issue" : "6", "issued" : { "date-parts" : [ [ "2009" ] ] }, "page" : "597-610", "title" : "Intensive sex partying amongst gay men in Sydney.", "type" : "article-journal", "volume" : "11" }, "uris" : [ "http://www.mendeley.com/documents/?uuid=6a9aa746-2ffc-4e2c-a5d0-812265352b48" ] }, { "id" : "ITEM-2", "itemData" : { "ISBN" : "1468-2869", "abstract" : "Very little information exists with regard to sex party behaviors in young men who have sex with men (YMSM), often defined as men ranging in age from 13 to 29 years. The current analysis examines sex party attendance and behavior in a sample of 540 emergent adult gay, bisexual, and other YMSM in New York City, ages 18-29 years. Findings indicate that 8.7% (n[THIN SPACE]=[THIN SPACE]47) of the sample had attended a sex party 3 months prior to assessment. Sex party attendees reported that parties included both HIV-positive and HIV-negative men; attendees also reported unprotected sex and limited access to condoms and lubricant. As compared with those who did not attend sex parties, those who did indicated significantly more lifetime and recent (last 3 months) casual sex partners, drug use (both number of different drugs used and total lifetime use), psychosocial burden (history of partner violence and number of arrests), and total syndemic burden (a composite of unprotected anal sex, drug use and psychosocial burden). These results indicate that while only a small percentage of the overall sample attended sex parties, the intersection of both individual risk factors coupled with risk factors engendered within the sex party environment itself has the potential to be a catalyst in the proliferation of the HIV/AIDS epidemic in urban settings. Lastly, given that sex parties are different than other sex environments, commercial and public, with regard to how they are accessed, public health strategies may need to become more tailored in order to reach this potentially highly risky group.", "author" : [ { "dropping-particle" : "", "family" : "Solomon", "given" : "Todd M", "non-dropping-particle" : "", "parse-names" : false, "suffix" : "" }, { "dropping-particle" : "", "family" : "Halkitis", "given" : "Perry N", "non-dropping-particle" : "", "parse-names" : false, "suffix" : "" }, { "dropping-particle" : "", "family" : "Moeller", "given" : "Robert M", "non-dropping-particle" : "", "parse-names" : false, "suffix" : "" }, { "dropping-particle" : "", "family" : "Siconolfi", "given" : "Daniel E", "non-dropping-particle" : "", "parse-names" : false, "suffix" : "" }, { "dropping-particle" : "V", "family" : "Kiang", "given" : "Mathew", "non-dropping-particle" : "", "parse-names" : false, "suffix" : "" }, { "dropping-particle" : "", "family" : "Barton", "given" : "Staci C", "non-dropping-particle" : "", "parse-names" : false, "suffix" : "" } ], "container-title" : "Journal of Urban Health", "id" : "ITEM-2", "issue" : "6", "issued" : { "date-parts" : [ [ "2011" ] ] }, "page" : "1063-1075", "title" : "Sex parties among young gay, bisexual, and other men who have sex with men in New York City: attendance and behavior.", "type" : "article", "volume" : "88" }, "uris" : [ "http://www.mendeley.com/documents/?uuid=0b8b5da0-c1b3-4fea-bbdf-12b792b2fabe" ] }, { "id" : "ITEM-3", "itemData" : { "abstract" : "Introduction: Researchers have investigated group sexual encounters (GSEs) as potential sources for HIV/STI transmission among men who have sex with men (MSM); however, much of this work has focused on organized sex parties. Aim: To compare behavioral and social characteristics of groups of men who engaged in three types of GSEs: threesomes, spontaneous group sex, and organized sex parties. Methods: In 2012, 1,815 U.S.-based MSM completed an online survey. Main Outcome Measure: We compared men based on their most recent type of GSE: threesome (68.2%), spontaneous group sex (19.7%), or organized sex party (12.1%). Results: Using multinomial logistic regression, with type of GSE as the dependent variable, MSM who were HIV-positive, used stimulants (cocaine, methamphetamine, crack), consumed five or more alcoholic drinks, and reported receptive unprotected anal intercourse (UAI) during the most recent GSE had significantly higher odds of having had spontaneous group sex as compared to a threesome. MSM who were HIV-positive, not in a relationship, and did not report receptive UAI during the most recent GSE had significantly higher odds of having attended an organized sex party as compared to a threesome. MSM who were in a relationship, had consumed five or more alcoholic drinks, had used stimulants, and reported receptive UAI during the most recent GSE had significantly higher odds of having had spontaneous group sex as compared to an organized sex party. Compared to others, those having engaged in a GSE were more likely to report recent UAI (65% vs. 45%). Conclusions: Men having engaged in a GSE were at greater risk for behaviors that transmit HIV and STIs. Unique social and behavioral characteristics inherent to threesomes, spontaneous group sex, and sex parties highlight the need to identify prevention strategies to help those who participate in GSEs reduce their risk for HIV and STI transmission. (PsycINFO Database Record (c) 2013 APA, all rights reserved) (journal abstract).", "author" : [ { "dropping-particle" : "", "family" : "Grov", "given" : "Christian", "non-dropping-particle" : "", "parse-names" : false, "suffix" : "" }, { "dropping-particle" : "", "family" : "Rendina", "given" : "H Jonathon", "non-dropping-particle" : "", "parse-names" : false, "suffix" : "" }, { "dropping-particle" : "", "family" : "Ventuneac", "given" : "Ana", "non-dropping-particle" : "", "parse-names" : false, "suffix" : "" }, { "dropping-particle" : "", "family" : "Parsons", "given" : "Jeffrey T", "non-dropping-particle" : "", "parse-names" : false, "suffix" : "" } ], "container-title" : "Journal of Sexual Medicine", "id" : "ITEM-3", "issue" : "9", "issued" : { "date-parts" : [ [ "2013" ] ] }, "page" : "2285-2294", "title" : "HIV risk in group sexual encounters: An event-level analysis from a national online survey of MSM in the U. S", "type" : "article-journal", "volume" : "10" }, "uris" : [ "http://www.mendeley.com/documents/?uuid=969f91ae-7f10-49ab-b00a-ecb63a9f61a1" ] } ], "mendeley" : { "formattedCitation" : "(9,11,12)", "plainTextFormattedCitation" : "(9,11,12)", "previouslyFormattedCitation" : "(9,11,12)" }, "properties" : { "noteIndex" : 0 }, "schema" : "https://github.com/citation-style-language/schema/raw/master/csl-citation.json" }</w:instrText>
      </w:r>
      <w:r w:rsidR="00B90C8D">
        <w:fldChar w:fldCharType="separate"/>
      </w:r>
      <w:r w:rsidR="00B16AAB" w:rsidRPr="00B16AAB">
        <w:rPr>
          <w:noProof/>
        </w:rPr>
        <w:t>(9,11,12)</w:t>
      </w:r>
      <w:r w:rsidR="00B90C8D">
        <w:fldChar w:fldCharType="end"/>
      </w:r>
      <w:r w:rsidR="003351C5">
        <w:t xml:space="preserve">.  </w:t>
      </w:r>
      <w:r w:rsidR="00BD0585">
        <w:t xml:space="preserve">SOPVs </w:t>
      </w:r>
      <w:r w:rsidR="00633821">
        <w:t xml:space="preserve">are of particular </w:t>
      </w:r>
      <w:r w:rsidR="001A30A7">
        <w:t xml:space="preserve">concern </w:t>
      </w:r>
      <w:r w:rsidR="00633821">
        <w:t xml:space="preserve">to HIV </w:t>
      </w:r>
      <w:r w:rsidR="00660996">
        <w:t>health promot</w:t>
      </w:r>
      <w:r w:rsidR="00B53BE1">
        <w:t>e</w:t>
      </w:r>
      <w:r w:rsidR="00660996">
        <w:t>rs</w:t>
      </w:r>
      <w:r w:rsidR="00633821">
        <w:t xml:space="preserve"> as multipartner encounters, particularly with anonymous partners, may facilitate the mixing of </w:t>
      </w:r>
      <w:r w:rsidR="00660996">
        <w:t xml:space="preserve">men drawn from </w:t>
      </w:r>
      <w:r w:rsidR="00633821">
        <w:t xml:space="preserve">sexual networks </w:t>
      </w:r>
      <w:r w:rsidR="00F705FF">
        <w:t xml:space="preserve">with different levels of HIV prevalence and infectivity </w:t>
      </w:r>
      <w:r w:rsidR="00B90C8D">
        <w:fldChar w:fldCharType="begin" w:fldLock="1"/>
      </w:r>
      <w:r w:rsidR="00CB369F">
        <w:instrText>ADDIN CSL_CITATION { "citationItems" : [ { "id" : "ITEM-1", "itemData" : { "abstract" : "Introduction: Researchers have investigated group sexual encounters (GSEs) as potential sources for HIV/STI transmission among men who have sex with men (MSM); however, much of this work has focused on organized sex parties. Aim: To compare behavioral and social characteristics of groups of men who engaged in three types of GSEs: threesomes, spontaneous group sex, and organized sex parties. Methods: In 2012, 1,815 U.S.-based MSM completed an online survey. Main Outcome Measure: We compared men based on their most recent type of GSE: threesome (68.2%), spontaneous group sex (19.7%), or organized sex party (12.1%). Results: Using multinomial logistic regression, with type of GSE as the dependent variable, MSM who were HIV-positive, used stimulants (cocaine, methamphetamine, crack), consumed five or more alcoholic drinks, and reported receptive unprotected anal intercourse (UAI) during the most recent GSE had significantly higher odds of having had spontaneous group sex as compared to a threesome. MSM who were HIV-positive, not in a relationship, and did not report receptive UAI during the most recent GSE had significantly higher odds of having attended an organized sex party as compared to a threesome. MSM who were in a relationship, had consumed five or more alcoholic drinks, had used stimulants, and reported receptive UAI during the most recent GSE had significantly higher odds of having had spontaneous group sex as compared to an organized sex party. Compared to others, those having engaged in a GSE were more likely to report recent UAI (65% vs. 45%). Conclusions: Men having engaged in a GSE were at greater risk for behaviors that transmit HIV and STIs. Unique social and behavioral characteristics inherent to threesomes, spontaneous group sex, and sex parties highlight the need to identify prevention strategies to help those who participate in GSEs reduce their risk for HIV and STI transmission. (PsycINFO Database Record (c) 2013 APA, all rights reserved) (journal abstract).", "author" : [ { "dropping-particle" : "", "family" : "Grov", "given" : "Christian", "non-dropping-particle" : "", "parse-names" : false, "suffix" : "" }, { "dropping-particle" : "", "family" : "Rendina", "given" : "H Jonathon", "non-dropping-particle" : "", "parse-names" : false, "suffix" : "" }, { "dropping-particle" : "", "family" : "Ventuneac", "given" : "Ana", "non-dropping-particle" : "", "parse-names" : false, "suffix" : "" }, { "dropping-particle" : "", "family" : "Parsons", "given" : "Jeffrey T", "non-dropping-particle" : "", "parse-names" : false, "suffix" : "" } ], "container-title" : "Journal of Sexual Medicine", "id" : "ITEM-1", "issue" : "9", "issued" : { "date-parts" : [ [ "2013" ] ] }, "page" : "2285-2294", "title" : "HIV risk in group sexual encounters: An event-level analysis from a national online survey of MSM in the U. S", "type" : "article-journal", "volume" : "10" }, "uris" : [ "http://www.mendeley.com/documents/?uuid=969f91ae-7f10-49ab-b00a-ecb63a9f61a1" ] }, { "id" : "ITEM-2", "itemData" : { "DOI" : "10.1097/01.olq.0000175394.81945.68", "ISSN" : "0148-5717", "author" : [ { "dropping-particle" : "", "family" : "Wohlfeiler", "given" : "Dan", "non-dropping-particle" : "", "parse-names" : false, "suffix" : "" }, { "dropping-particle" : "", "family" : "Potterat", "given" : "John J.", "non-dropping-particle" : "", "parse-names" : false, "suffix" : "" } ], "container-title" : "Sexually Transmitted Diseases", "id" : "ITEM-2", "issue" : "10 Suppl", "issued" : { "date-parts" : [ [ "2005" ] ] }, "page" : "S48-S52", "title" : "Using gay men's sexual networks to reduce sexually transmitted disease (STD)/human immunodeficiency virus (HIV) transmission", "type" : "article-journal", "volume" : "32" }, "uris" : [ "http://www.mendeley.com/documents/?uuid=44db74ca-9493-4ae7-a52c-a5a7064dc3ed" ] } ], "mendeley" : { "formattedCitation" : "(9,13)", "plainTextFormattedCitation" : "(9,13)", "previouslyFormattedCitation" : "(9,13)" }, "properties" : { "noteIndex" : 0 }, "schema" : "https://github.com/citation-style-language/schema/raw/master/csl-citation.json" }</w:instrText>
      </w:r>
      <w:r w:rsidR="00B90C8D">
        <w:fldChar w:fldCharType="separate"/>
      </w:r>
      <w:r w:rsidR="00B16AAB" w:rsidRPr="00B16AAB">
        <w:rPr>
          <w:noProof/>
        </w:rPr>
        <w:t>(9,13)</w:t>
      </w:r>
      <w:r w:rsidR="00B90C8D">
        <w:fldChar w:fldCharType="end"/>
      </w:r>
      <w:r w:rsidR="00633821">
        <w:t>.</w:t>
      </w:r>
    </w:p>
    <w:p w14:paraId="6E158C31" w14:textId="10C846C2" w:rsidR="0060060A" w:rsidRDefault="003351C5" w:rsidP="007131C4">
      <w:pPr>
        <w:spacing w:line="480" w:lineRule="auto"/>
      </w:pPr>
      <w:r>
        <w:tab/>
      </w:r>
      <w:r w:rsidR="000A514D">
        <w:t xml:space="preserve">In addition to the </w:t>
      </w:r>
      <w:r w:rsidR="005E1ACD">
        <w:t>scarcity</w:t>
      </w:r>
      <w:r w:rsidR="000A514D">
        <w:t xml:space="preserve"> of event-level evidence on multipartner encounters, t</w:t>
      </w:r>
      <w:r>
        <w:t xml:space="preserve">o our knowledge, no event-level studies examining </w:t>
      </w:r>
      <w:r w:rsidR="001A30A7">
        <w:t>drug</w:t>
      </w:r>
      <w:r>
        <w:t xml:space="preserve"> use in sexual encounters between men have examined outcomes </w:t>
      </w:r>
      <w:r w:rsidR="001A30A7">
        <w:t xml:space="preserve">other than </w:t>
      </w:r>
      <w:r>
        <w:t>risk behaviour</w:t>
      </w:r>
      <w:r w:rsidR="001A30A7">
        <w:t>s</w:t>
      </w:r>
      <w:r>
        <w:t xml:space="preserve">. </w:t>
      </w:r>
      <w:r w:rsidR="00633821">
        <w:t xml:space="preserve"> G</w:t>
      </w:r>
      <w:r>
        <w:t xml:space="preserve">iven that many MSM report </w:t>
      </w:r>
      <w:r w:rsidR="005E1ACD">
        <w:t xml:space="preserve">combining </w:t>
      </w:r>
      <w:r w:rsidR="001A30A7">
        <w:t>drug</w:t>
      </w:r>
      <w:r>
        <w:t xml:space="preserve">s </w:t>
      </w:r>
      <w:r w:rsidR="005E1ACD">
        <w:t xml:space="preserve">with </w:t>
      </w:r>
      <w:r>
        <w:t xml:space="preserve">sex </w:t>
      </w:r>
      <w:r w:rsidR="001A30A7">
        <w:t xml:space="preserve">in order to intensify </w:t>
      </w:r>
      <w:r>
        <w:t>sensation</w:t>
      </w:r>
      <w:r w:rsidR="001A30A7">
        <w:t>s</w:t>
      </w:r>
      <w:r>
        <w:t xml:space="preserve"> </w:t>
      </w:r>
      <w:r w:rsidR="00B90C8D">
        <w:fldChar w:fldCharType="begin" w:fldLock="1"/>
      </w:r>
      <w:r w:rsidR="00CB369F">
        <w:instrText>ADDIN CSL_CITATION { "citationItems" : [ { "id" : "ITEM-1", "itemData" : { "ISBN" : "9781906673185",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 Rueda", "given" : "Sergio", "non-dropping-particle" : "", "parse-names" : false, "suffix" : "" }, { "dropping-particle" : "", "family" : "Weatherburn", "given" : "Peter", "non-dropping-particle" : "", "parse-names" : false, "suffix" : "" } ], "id" : "ITEM-1", "issued" : { "date-parts" : [ [ "2014" ] ] }, "publisher" : "Sigma Research, London School of Hygiene and Tropical Medicine", "publisher-place" : "London", "title" : "The Chemsex Study: drug use in sexual settings among gay &amp; bisexual men in Lambeth, Southwark, &amp; Lewisham.", "type" : "book" }, "uris" : [ "http://www.mendeley.com/documents/?uuid=27fcc919-3ed9-40dc-b7d4-4ec0d8dbf603" ] }, { "id" : "ITEM-2",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"ITEM-2", "issue" : "3", "issued" : { "date-parts" : [ [ "2004" ] ] }, "note" : "From Duplicate 1 ( Drugs, space, and sociality in a gay nightclub in Sydney. - Slavin, Sean )", "page" : "265-295", "title" : "Drugs, space, and sociality in a gay nightclub in Sydney.", "type" : "article-journal", "volume" : "33" }, "uris" : [ "http://www.mendeley.com/documents/?uuid=de710868-38de-4ccc-8224-93c6ecb601d7" ] }, { "id" : "ITEM-3",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"ITEM-3", "issue" : "4", "issued" : { "date-parts" : [ [ "2006" ] ] }, "page" : "317-333", "title" : "Crystal methamphetamine and sexual sociality in an urban gay subculture: An elective affinity.", "type" : "article-journal", "volume" : "8" }, "uris" : [ "http://www.mendeley.com/documents/?uuid=53a12245-c624-4674-88f0-90ba26381367" ] } ], "mendeley" : { "formattedCitation" : "(10,14,15)", "plainTextFormattedCitation" : "(10,14,15)", "previouslyFormattedCitation" : "(10,14,15)" }, "properties" : { "noteIndex" : 0 }, "schema" : "https://github.com/citation-style-language/schema/raw/master/csl-citation.json" }</w:instrText>
      </w:r>
      <w:r w:rsidR="00B90C8D">
        <w:fldChar w:fldCharType="separate"/>
      </w:r>
      <w:r w:rsidR="00B16AAB" w:rsidRPr="00B16AAB">
        <w:rPr>
          <w:noProof/>
        </w:rPr>
        <w:t>(10,14,15)</w:t>
      </w:r>
      <w:r w:rsidR="00B90C8D">
        <w:fldChar w:fldCharType="end"/>
      </w:r>
      <w:r>
        <w:t xml:space="preserve">, pleasure as a sexual outcome is of interest. </w:t>
      </w:r>
      <w:r w:rsidR="00633821">
        <w:t xml:space="preserve"> Finally, </w:t>
      </w:r>
      <w:r w:rsidR="00D96FE9">
        <w:t xml:space="preserve">given that some qualitative reports have indicated that ‘diminished capacity’ </w:t>
      </w:r>
      <w:r w:rsidR="00B90C8D">
        <w:fldChar w:fldCharType="begin" w:fldLock="1"/>
      </w:r>
      <w:r w:rsidR="00CE61FF">
        <w:instrText>ADDIN CSL_CITATION { "citationItems" : [ { "id" : "ITEM-1", "itemData" : { "DOI" : "10.1080/13691058.2010.510610", "ISBN" : "1369-1058", "ISSN" : "1464-5351", "PMID" : "20830637", "abstract" : "Recently, there has been an increase in research dedicated to the topic of drug/alcohol use and unsafe sex among gay men. Findings of this work suggest that drug/alcohol use is particularly common within gay circuit parties (GCPs). More recently, this work has begun to suggest that further exploration is needed to understand the desires of gay men who use drugs and alcohol and who engage in unsafe sex. Based on the foregoing, an ethnographic study was undertaken with the goal of better understanding the role of desire in the sequence of drugs/alcohol and unsafe sex. This research was guided theoretically by Deleuze and Guattari's work on desire. Using this theoretical orientation, the results revealed that some GCP-goers intentionally use drugs/alcohol to form connections.", "author" : [ { "dropping-particle" : "", "family" : "O'Byrne", "given" : "Patrick", "non-dropping-particle" : "", "parse-names" : false, "suffix" : "" }, { "dropping-particle" : "", "family" : "Holmes", "given" : "Dave", "non-dropping-particle" : "", "parse-names" : false, "suffix" : "" } ], "container-title" : "Culture, Health &amp; Sexuality", "id" : "ITEM-1", "issue" : "1", "issued" : { "date-parts" : [ [ "2011" ] ] }, "page" : "1-13", "title" : "Desire, drug use and unsafe sex: a qualitative examination of gay men who attend gay circuit parties.", "type" : "article-journal", "volume" : "13" }, "uris" : [ "http://www.mendeley.com/documents/?uuid=4a56a6d1-54f2-42c7-b2b1-9db6e467c303" ] } ], "mendeley" : { "formattedCitation" : "(16)", "plainTextFormattedCitation" : "(16)", "previouslyFormattedCitation" : "(16)" }, "properties" : { "noteIndex" : 0 }, "schema" : "https://github.com/citation-style-language/schema/raw/master/csl-citation.json" }</w:instrText>
      </w:r>
      <w:r w:rsidR="00B90C8D">
        <w:fldChar w:fldCharType="separate"/>
      </w:r>
      <w:r w:rsidR="00B16AAB" w:rsidRPr="00B16AAB">
        <w:rPr>
          <w:noProof/>
        </w:rPr>
        <w:t>(16)</w:t>
      </w:r>
      <w:r w:rsidR="00B90C8D">
        <w:fldChar w:fldCharType="end"/>
      </w:r>
      <w:r w:rsidR="00D96FE9">
        <w:t xml:space="preserve"> or the inability to maintain safer sex norms established while sober </w:t>
      </w:r>
      <w:r w:rsidR="00B90C8D">
        <w:fldChar w:fldCharType="begin" w:fldLock="1"/>
      </w:r>
      <w:r w:rsidR="00CB369F">
        <w:instrText>ADDIN CSL_CITATION { "citationItems" : [ { "id" : "ITEM-1", "itemData" : { "ISBN" : "9781906673185",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 Rueda", "given" : "Sergio", "non-dropping-particle" : "", "parse-names" : false, "suffix" : "" }, { "dropping-particle" : "", "family" : "Weatherburn", "given" : "Peter", "non-dropping-particle" : "", "parse-names" : false, "suffix" : "" } ], "id" : "ITEM-1", "issued" : { "date-parts" : [ [ "2014" ] ] }, "publisher" : "Sigma Research, London School of Hygiene and Tropical Medicine", "publisher-place" : "London", "title" : "The Chemsex Study: drug use in sexual settings among gay &amp; bisexual men in Lambeth, Southwark, &amp; Lewisham.", "type" : "book" }, "uris" : [ "http://www.mendeley.com/documents/?uuid=27fcc919-3ed9-40dc-b7d4-4ec0d8dbf603" ] }, { "id" : "ITEM-2",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"ITEM-2", "issue" : "4", "issued" : { "date-parts" : [ [ "2006" ] ] }, "page" : "317-333", "title" : "Crystal methamphetamine and sexual sociality in an urban gay subculture: An elective affinity.", "type" : "article-journal", "volume" : "8" }, "uris" : [ "http://www.mendeley.com/documents/?uuid=53a12245-c624-4674-88f0-90ba26381367" ] } ], "mendeley" : { "formattedCitation" : "(10,15)", "plainTextFormattedCitation" : "(10,15)", "previouslyFormattedCitation" : "(10,15)" }, "properties" : { "noteIndex" : 0 }, "schema" : "https://github.com/citation-style-language/schema/raw/master/csl-citation.json" }</w:instrText>
      </w:r>
      <w:r w:rsidR="00B90C8D">
        <w:fldChar w:fldCharType="separate"/>
      </w:r>
      <w:r w:rsidR="00B16AAB" w:rsidRPr="00B16AAB">
        <w:rPr>
          <w:noProof/>
        </w:rPr>
        <w:t>(10,15)</w:t>
      </w:r>
      <w:r w:rsidR="00B90C8D">
        <w:fldChar w:fldCharType="end"/>
      </w:r>
      <w:r w:rsidR="00505552">
        <w:t xml:space="preserve"> follow from </w:t>
      </w:r>
      <w:r w:rsidR="001A30A7">
        <w:t>drug</w:t>
      </w:r>
      <w:r w:rsidR="00505552">
        <w:t xml:space="preserve"> use before sex, it is </w:t>
      </w:r>
      <w:r w:rsidR="00BD0585">
        <w:t xml:space="preserve">also </w:t>
      </w:r>
      <w:r w:rsidR="00505552">
        <w:t xml:space="preserve">of interest to examine control over sexual </w:t>
      </w:r>
      <w:r w:rsidR="00BD0585">
        <w:t xml:space="preserve">activity </w:t>
      </w:r>
      <w:r w:rsidR="00505552">
        <w:t>as an outcome.</w:t>
      </w:r>
    </w:p>
    <w:p w14:paraId="4BB019DA" w14:textId="1B362621" w:rsidR="00505552" w:rsidRPr="0060060A" w:rsidRDefault="00505552" w:rsidP="007131C4">
      <w:pPr>
        <w:spacing w:line="480" w:lineRule="auto"/>
      </w:pPr>
      <w:r>
        <w:tab/>
      </w:r>
      <w:r w:rsidR="00C9321B">
        <w:t>We used</w:t>
      </w:r>
      <w:r>
        <w:t xml:space="preserve"> a nested case-control </w:t>
      </w:r>
      <w:r w:rsidR="00660996">
        <w:t>design</w:t>
      </w:r>
      <w:r>
        <w:t xml:space="preserve"> with </w:t>
      </w:r>
      <w:r w:rsidR="00C9321B">
        <w:t xml:space="preserve">data on </w:t>
      </w:r>
      <w:r w:rsidR="00583BFF">
        <w:t xml:space="preserve">multipartner </w:t>
      </w:r>
      <w:r>
        <w:t xml:space="preserve">sexual encounters </w:t>
      </w:r>
      <w:r w:rsidR="00C9321B">
        <w:t xml:space="preserve">that were collected </w:t>
      </w:r>
      <w:r>
        <w:t xml:space="preserve">as part of a national longitudinal study of men </w:t>
      </w:r>
      <w:r w:rsidR="004A0C4B">
        <w:t xml:space="preserve">living in England </w:t>
      </w:r>
      <w:r>
        <w:t>who have sex with men</w:t>
      </w:r>
      <w:r w:rsidR="00E30F53">
        <w:t>.  We used these data</w:t>
      </w:r>
      <w:r w:rsidR="00C9321B">
        <w:t xml:space="preserve"> </w:t>
      </w:r>
      <w:r w:rsidR="00583BFF">
        <w:t>to describe and test associations between</w:t>
      </w:r>
      <w:r>
        <w:t xml:space="preserve"> respondent</w:t>
      </w:r>
      <w:r w:rsidR="005E1ACD">
        <w:t>’s</w:t>
      </w:r>
      <w:r>
        <w:t xml:space="preserve"> and partner</w:t>
      </w:r>
      <w:r w:rsidR="00583BFF">
        <w:t>s’</w:t>
      </w:r>
      <w:r>
        <w:t xml:space="preserve"> </w:t>
      </w:r>
      <w:r w:rsidR="001A30A7">
        <w:t>drug</w:t>
      </w:r>
      <w:r>
        <w:t xml:space="preserve"> use and </w:t>
      </w:r>
      <w:r w:rsidR="00BD0585">
        <w:t xml:space="preserve">three </w:t>
      </w:r>
      <w:r w:rsidR="00D97633">
        <w:t xml:space="preserve">features of the </w:t>
      </w:r>
      <w:r>
        <w:t xml:space="preserve">sexual </w:t>
      </w:r>
      <w:r w:rsidR="00632695">
        <w:t>session:</w:t>
      </w:r>
      <w:r w:rsidR="00583BFF">
        <w:t xml:space="preserve"> </w:t>
      </w:r>
      <w:r w:rsidR="009A00CC">
        <w:t>UAI</w:t>
      </w:r>
      <w:r w:rsidR="00983887">
        <w:t>,</w:t>
      </w:r>
      <w:r w:rsidR="00583BFF">
        <w:t xml:space="preserve"> </w:t>
      </w:r>
      <w:r w:rsidR="00D97633">
        <w:t xml:space="preserve">sexual </w:t>
      </w:r>
      <w:r w:rsidR="00583BFF">
        <w:t>pleasure and control</w:t>
      </w:r>
      <w:r w:rsidR="00D97633">
        <w:t xml:space="preserve"> </w:t>
      </w:r>
      <w:r w:rsidR="00983887">
        <w:t>over what happened during sex</w:t>
      </w:r>
      <w:r w:rsidR="00583BFF">
        <w:t xml:space="preserve">.  </w:t>
      </w:r>
      <w:r w:rsidR="00BD0585">
        <w:t>A</w:t>
      </w:r>
      <w:r w:rsidR="00583BFF">
        <w:t xml:space="preserve">dditional situational characteristics </w:t>
      </w:r>
      <w:r w:rsidR="00BD0585">
        <w:t xml:space="preserve">included </w:t>
      </w:r>
      <w:r w:rsidR="00583BFF">
        <w:t xml:space="preserve">as </w:t>
      </w:r>
      <w:r w:rsidR="00660996">
        <w:t xml:space="preserve">potential </w:t>
      </w:r>
      <w:r w:rsidR="00583BFF">
        <w:t xml:space="preserve">confounders </w:t>
      </w:r>
      <w:r w:rsidR="00EB3C3A">
        <w:t>were</w:t>
      </w:r>
      <w:r w:rsidR="00583BFF">
        <w:t xml:space="preserve"> </w:t>
      </w:r>
      <w:r w:rsidR="00BD0585">
        <w:t xml:space="preserve">perceived HIV </w:t>
      </w:r>
      <w:r w:rsidR="00583BFF">
        <w:t xml:space="preserve">serodiscordance between respondent and partners, location of sex and number of partners.  To </w:t>
      </w:r>
      <w:r w:rsidR="00660996">
        <w:t xml:space="preserve">describe </w:t>
      </w:r>
      <w:r w:rsidR="00583BFF">
        <w:t>mo</w:t>
      </w:r>
      <w:r w:rsidR="00BD0585">
        <w:t>re</w:t>
      </w:r>
      <w:r w:rsidR="00583BFF">
        <w:t xml:space="preserve"> precisely the relationship between situational characteristics and sexual outcomes, we analysed data at the </w:t>
      </w:r>
      <w:r w:rsidR="00CA7393">
        <w:t>level of the sexual encounter</w:t>
      </w:r>
      <w:r w:rsidR="00583BFF">
        <w:t xml:space="preserve"> </w:t>
      </w:r>
      <w:r w:rsidR="00B90C8D">
        <w:fldChar w:fldCharType="begin" w:fldLock="1"/>
      </w:r>
      <w:r w:rsidR="00B16AAB">
        <w:instrText>ADDIN CSL_CITATION { "citationItems" : [ { "id" : "ITEM-1", "itemData" : { "author" : [ { "dropping-particle" : "", "family" : "Leigh", "given" : "Barbara C", "non-dropping-particle" : "", "parse-names" : false, "suffix" : "" }, { "dropping-particle" : "", "family" : "Stall", "given" : "Ron", "non-dropping-particle" : "", "parse-names" : false, "suffix" : "" } ], "container-title" : "American Psychologist", "id" : "ITEM-1", "issue" : "10", "issued" : { "date-parts" : [ [ "1993" ] ] }, "page" : "1035-1045", "title" : "Substance use and risky sexual behavior for exposure to HIV: issues in methdology, interpretation, and prevention", "type" : "article-journal", "volume" : "48" }, "uris" : [ "http://www.mendeley.com/documents/?uuid=19a47efa-3fe8-4625-a4a4-04cf6c9e5bdc" ] } ], "mendeley" : { "formattedCitation" : "(17)", "plainTextFormattedCitation" : "(17)", "previouslyFormattedCitation" : "(17)" }, "properties" : { "noteIndex" : 0 }, "schema" : "https://github.com/citation-style-language/schema/raw/master/csl-citation.json" }</w:instrText>
      </w:r>
      <w:r w:rsidR="00B90C8D">
        <w:fldChar w:fldCharType="separate"/>
      </w:r>
      <w:r w:rsidR="00B16AAB" w:rsidRPr="00B16AAB">
        <w:rPr>
          <w:noProof/>
        </w:rPr>
        <w:t>(17)</w:t>
      </w:r>
      <w:r w:rsidR="00B90C8D">
        <w:fldChar w:fldCharType="end"/>
      </w:r>
      <w:r w:rsidR="00583BFF">
        <w:t xml:space="preserve"> and addressed person-level confounding factors via generalised estimating equations.</w:t>
      </w:r>
    </w:p>
    <w:p w14:paraId="3DDCA952" w14:textId="77777777" w:rsidR="007131C4" w:rsidRDefault="007131C4" w:rsidP="007131C4">
      <w:pPr>
        <w:spacing w:line="480" w:lineRule="auto"/>
        <w:rPr>
          <w:b/>
        </w:rPr>
      </w:pPr>
      <w:r>
        <w:rPr>
          <w:b/>
        </w:rPr>
        <w:t>Methods</w:t>
      </w:r>
    </w:p>
    <w:p w14:paraId="5558828F" w14:textId="73639767" w:rsidR="007131C4" w:rsidRDefault="007131C4" w:rsidP="007131C4">
      <w:pPr>
        <w:spacing w:line="480" w:lineRule="auto"/>
      </w:pPr>
      <w:r>
        <w:tab/>
        <w:t xml:space="preserve">This </w:t>
      </w:r>
      <w:r w:rsidR="006778FC">
        <w:t xml:space="preserve">paper </w:t>
      </w:r>
      <w:r>
        <w:t>use</w:t>
      </w:r>
      <w:r w:rsidR="006778FC">
        <w:t>s</w:t>
      </w:r>
      <w:r>
        <w:t xml:space="preserve"> data from </w:t>
      </w:r>
      <w:r w:rsidR="006778FC">
        <w:t xml:space="preserve">the </w:t>
      </w:r>
      <w:r w:rsidR="00BD0585">
        <w:t>Sigma Panel</w:t>
      </w:r>
      <w:r w:rsidR="00E30F53">
        <w:t>,</w:t>
      </w:r>
      <w:r w:rsidR="00BD0585">
        <w:t xml:space="preserve"> a </w:t>
      </w:r>
      <w:r w:rsidR="006778FC">
        <w:t>longitudinal internet</w:t>
      </w:r>
      <w:r w:rsidR="00BD0585">
        <w:t>-based</w:t>
      </w:r>
      <w:r w:rsidR="006778FC">
        <w:t xml:space="preserve"> study</w:t>
      </w:r>
      <w:r>
        <w:t xml:space="preserve"> </w:t>
      </w:r>
      <w:r w:rsidR="00E30F53">
        <w:t>that</w:t>
      </w:r>
      <w:r>
        <w:t xml:space="preserve"> collected </w:t>
      </w:r>
      <w:r w:rsidR="006778FC">
        <w:t xml:space="preserve">monthly </w:t>
      </w:r>
      <w:r>
        <w:t xml:space="preserve">data </w:t>
      </w:r>
      <w:r w:rsidR="003D3AE2">
        <w:t>from community-</w:t>
      </w:r>
      <w:r w:rsidR="006778FC">
        <w:t xml:space="preserve">recruited </w:t>
      </w:r>
      <w:r>
        <w:t xml:space="preserve">MSM living in England between </w:t>
      </w:r>
      <w:r w:rsidR="006778FC">
        <w:t>January 2011</w:t>
      </w:r>
      <w:r>
        <w:t xml:space="preserve"> and </w:t>
      </w:r>
      <w:r w:rsidR="006778FC">
        <w:t>January</w:t>
      </w:r>
      <w:r>
        <w:t xml:space="preserve"> 2012</w:t>
      </w:r>
      <w:r w:rsidR="004A0C4B">
        <w:t xml:space="preserve"> inclusive</w:t>
      </w:r>
      <w:r>
        <w:t xml:space="preserve">.  </w:t>
      </w:r>
      <w:r w:rsidR="006778FC">
        <w:t>R</w:t>
      </w:r>
      <w:r w:rsidR="00884C04">
        <w:t xml:space="preserve">ecruitment </w:t>
      </w:r>
      <w:r w:rsidR="006778FC">
        <w:t>and methods are report</w:t>
      </w:r>
      <w:r w:rsidR="00632695">
        <w:t>ed</w:t>
      </w:r>
      <w:r w:rsidR="006778FC">
        <w:t xml:space="preserve"> </w:t>
      </w:r>
      <w:r w:rsidR="00884C04">
        <w:t xml:space="preserve">elsewhere </w:t>
      </w:r>
      <w:r w:rsidR="00B90C8D">
        <w:fldChar w:fldCharType="begin" w:fldLock="1"/>
      </w:r>
      <w:r w:rsidR="00CE61FF">
        <w:instrText>ADDIN CSL_CITATION { "citationItems" : [ { "id" : "ITEM-1", "itemData" : { "DOI" : "10.1136/sextrans-2014-051598", "ISSN" : "1472-3263", "PMID" : "25270006", "abstract" : "OBJECTIVES: Increasing HIV testing among men who have sex with men (MSM) is a major policy goal in the UK. Social marketing is a common intervention to increase testing uptake. We used an online panel of MSM to examine rates of HIV testing behaviour and the impact of a social marketing intervention on them. METHOD: MSM in England were recruited to a longitudinal internet panel through community websites and a previous survey. Following an enrolment survey, respondents were invited to self-complete 13 surveys at monthly intervals throughout 2011. A unique alphanumeric code linked surveys for individuals. Rates of HIV testing were compared relative to prompted recognition of a multi-part media campaign aiming to normalise HIV testing. RESULTS: Of 3386 unique enrolments, 2047 respondents were included in the analysis, between them submitting 15 353 monthly surveys (equivalent to 1279 years of follow-up), and recording 1517 HIV tests taken, giving an annual rate of tests per participant of 1.19 (95% CI 1.13 to 1.25). Tests were highly clustered in individuals (61% reported no test during the study). Testing rates were higher in London, single men and those aged 25-34 years. Only 7.6% recognised the intervention when prompted. After controlling for sociodemographic characteristics and exposure to other health promotion campaigns, intervention recognition was not associated with increased likelihood of testing. Higher rates of testing were strongly associated with higher number of casual sexual partners and how recently men had HIV tested before study enrolment. CONCLUSIONS: This social marketing intervention was not associated with increased rates of HIV testing. More effective promotion of HIV testing is needed among MSM in England to reduce the average duration of undiagnosed infection.", "author" : [ { "dropping-particle" : "", "family" : "Hickson", "given" : "Ford", "non-dropping-particle" : "", "parse-names" : false, "suffix" : "" }, { "dropping-particle" : "", "family" : "Tomlin", "given" : "Keith", "non-dropping-particle" : "", "parse-names" : false, "suffix" : "" }, { "dropping-particle" : "", "family" : "Hargreaves", "given" : "James", "non-dropping-particle" : "", "parse-names" : false, "suffix" : "" }, { "dropping-particle" : "", "family" : "Bonell", "given" : "Chris", "non-dropping-particle" : "", "parse-names" : false, "suffix" : "" }, { "dropping-particle" : "", "family" : "Reid", "given" : "David", "non-dropping-particle" : "", "parse-names" : false, "suffix" : "" }, { "dropping-particle" : "", "family" : "Weatherburn", "given" : "Peter", "non-dropping-particle" : "", "parse-names" : false, "suffix" : "" } ], "container-title" : "Sexually transmitted infections", "id" : "ITEM-1", "issued" : { "date-parts" : [ [ "2014" ] ] }, "page" : "1-7", "title" : "Internet-based cohort study of HIV testing over 1 year among men who have sex with men living in England and exposed to a social marketing intervention promoting testing.", "type" : "article-journal" }, "uris" : [ "http://www.mendeley.com/documents/?uuid=60e94cdf-b62a-4aab-bdd9-2bc849ad5d0c" ] } ], "mendeley" : { "formattedCitation" : "(18)", "plainTextFormattedCitation" : "(18)", "previouslyFormattedCitation" : "(18)" }, "properties" : { "noteIndex" : 0 }, "schema" : "https://github.com/citation-style-language/schema/raw/master/csl-citation.json" }</w:instrText>
      </w:r>
      <w:r w:rsidR="00B90C8D">
        <w:fldChar w:fldCharType="separate"/>
      </w:r>
      <w:r w:rsidR="00B16AAB" w:rsidRPr="00B16AAB">
        <w:rPr>
          <w:noProof/>
        </w:rPr>
        <w:t>(18)</w:t>
      </w:r>
      <w:r w:rsidR="00B90C8D">
        <w:fldChar w:fldCharType="end"/>
      </w:r>
      <w:r w:rsidR="00884C04">
        <w:t xml:space="preserve">.  </w:t>
      </w:r>
      <w:r w:rsidR="006778FC">
        <w:t xml:space="preserve">At three points during the year </w:t>
      </w:r>
      <w:r w:rsidR="00BF2751">
        <w:t>(months 7, 10 and 13, sent on 1</w:t>
      </w:r>
      <w:r w:rsidR="00BF2751" w:rsidRPr="00632695">
        <w:rPr>
          <w:vertAlign w:val="superscript"/>
        </w:rPr>
        <w:t>st</w:t>
      </w:r>
      <w:r w:rsidR="00BF2751">
        <w:t xml:space="preserve"> August and 1</w:t>
      </w:r>
      <w:r w:rsidR="00BF2751" w:rsidRPr="00632695">
        <w:rPr>
          <w:vertAlign w:val="superscript"/>
        </w:rPr>
        <w:t>st</w:t>
      </w:r>
      <w:r w:rsidR="00BF2751">
        <w:t xml:space="preserve"> November </w:t>
      </w:r>
      <w:r w:rsidR="005A3F22">
        <w:t xml:space="preserve">2011 </w:t>
      </w:r>
      <w:r w:rsidR="00BF2751">
        <w:t>and 1</w:t>
      </w:r>
      <w:r w:rsidR="00BF2751" w:rsidRPr="00632695">
        <w:rPr>
          <w:vertAlign w:val="superscript"/>
        </w:rPr>
        <w:t>st</w:t>
      </w:r>
      <w:r w:rsidR="00BF2751">
        <w:t xml:space="preserve"> </w:t>
      </w:r>
      <w:r w:rsidR="00E30F53">
        <w:t xml:space="preserve">Februrary </w:t>
      </w:r>
      <w:r w:rsidR="00BF2751">
        <w:t>201</w:t>
      </w:r>
      <w:r w:rsidR="005A3F22">
        <w:t>2</w:t>
      </w:r>
      <w:r w:rsidR="00BF2751">
        <w:t>)</w:t>
      </w:r>
      <w:r w:rsidR="00632695">
        <w:t xml:space="preserve">, </w:t>
      </w:r>
      <w:r w:rsidR="00884C04">
        <w:t xml:space="preserve">respondents </w:t>
      </w:r>
      <w:r w:rsidR="003C20C3">
        <w:t>answered questions</w:t>
      </w:r>
      <w:r w:rsidR="00884C04">
        <w:t xml:space="preserve"> about their most recent sexual encounter.  </w:t>
      </w:r>
      <w:r w:rsidR="006778FC">
        <w:t>Here w</w:t>
      </w:r>
      <w:r w:rsidR="00884C04">
        <w:t xml:space="preserve">e examine encounters reported </w:t>
      </w:r>
      <w:r w:rsidR="006778FC">
        <w:t xml:space="preserve">at those </w:t>
      </w:r>
      <w:r w:rsidR="00884C04">
        <w:t xml:space="preserve">three </w:t>
      </w:r>
      <w:r w:rsidR="006778FC">
        <w:t>points</w:t>
      </w:r>
      <w:r w:rsidR="00884C04">
        <w:t xml:space="preserve"> in which three or more men participated as sexual partners.</w:t>
      </w:r>
      <w:r w:rsidR="00CA7393">
        <w:t xml:space="preserve">  That is to say, the sexual encounter was the unit of analysis.</w:t>
      </w:r>
    </w:p>
    <w:p w14:paraId="3F9584A3" w14:textId="5F330494" w:rsidR="00D97633" w:rsidRDefault="00884C04" w:rsidP="00D97633">
      <w:pPr>
        <w:spacing w:line="480" w:lineRule="auto"/>
      </w:pPr>
      <w:r>
        <w:tab/>
      </w:r>
      <w:r w:rsidR="002C6FD8">
        <w:t>The main i</w:t>
      </w:r>
      <w:r w:rsidR="007404C8">
        <w:t xml:space="preserve">ndependent variables </w:t>
      </w:r>
      <w:r w:rsidR="002C6FD8">
        <w:t xml:space="preserve">of interest were </w:t>
      </w:r>
      <w:r w:rsidR="007404C8">
        <w:t>respondent</w:t>
      </w:r>
      <w:r w:rsidR="005E1ACD">
        <w:t>’s</w:t>
      </w:r>
      <w:r w:rsidR="007404C8">
        <w:t xml:space="preserve"> and partners’ </w:t>
      </w:r>
      <w:r w:rsidR="001A30A7">
        <w:t>drug</w:t>
      </w:r>
      <w:r w:rsidR="002C6FD8">
        <w:t xml:space="preserve"> use.</w:t>
      </w:r>
      <w:r w:rsidR="007404C8">
        <w:t xml:space="preserve"> </w:t>
      </w:r>
      <w:r w:rsidR="002C6FD8">
        <w:t xml:space="preserve"> </w:t>
      </w:r>
      <w:r w:rsidR="00983887">
        <w:t>We measured r</w:t>
      </w:r>
      <w:r w:rsidR="00FC0022">
        <w:t xml:space="preserve">espondent </w:t>
      </w:r>
      <w:r w:rsidR="001A30A7">
        <w:t>drug</w:t>
      </w:r>
      <w:r w:rsidR="00FC0022">
        <w:t xml:space="preserve"> use us</w:t>
      </w:r>
      <w:r w:rsidR="00BD6317">
        <w:t>ing</w:t>
      </w:r>
      <w:r w:rsidR="00FC0022">
        <w:t xml:space="preserve"> </w:t>
      </w:r>
      <w:r w:rsidR="00BD6317">
        <w:t xml:space="preserve">a </w:t>
      </w:r>
      <w:r w:rsidR="00FC0022">
        <w:t xml:space="preserve">binary (yes/no) </w:t>
      </w:r>
      <w:r w:rsidR="00BD6317">
        <w:t xml:space="preserve">variable. </w:t>
      </w:r>
      <w:r w:rsidR="00983887">
        <w:t xml:space="preserve"> We measured p</w:t>
      </w:r>
      <w:r w:rsidR="00BD6317">
        <w:t xml:space="preserve">artners’ </w:t>
      </w:r>
      <w:r w:rsidR="001A30A7">
        <w:t>drug</w:t>
      </w:r>
      <w:r w:rsidR="00BD6317">
        <w:t xml:space="preserve"> use using a </w:t>
      </w:r>
      <w:r w:rsidR="00983887">
        <w:t xml:space="preserve">four-category </w:t>
      </w:r>
      <w:r w:rsidR="00BD6317">
        <w:t xml:space="preserve">variable with the following categories: </w:t>
      </w:r>
      <w:r w:rsidR="00BF2751">
        <w:t xml:space="preserve">‘No, I think he had taken no alcohol or drugs before sex’, </w:t>
      </w:r>
      <w:r w:rsidR="00632695">
        <w:t>‘</w:t>
      </w:r>
      <w:r w:rsidR="00BF2751">
        <w:t>Yes, but I don’t know what he’d taken’, ‘</w:t>
      </w:r>
      <w:r w:rsidR="00D97633">
        <w:t xml:space="preserve">Yes, and I’ve an idea what he’d taken’ and ‘I don’t know </w:t>
      </w:r>
      <w:r w:rsidR="00632695">
        <w:t>whether</w:t>
      </w:r>
      <w:r w:rsidR="00D97633">
        <w:t xml:space="preserve"> he’d taken anything or not’</w:t>
      </w:r>
      <w:r w:rsidR="002C6FD8">
        <w:t>.</w:t>
      </w:r>
      <w:r w:rsidR="00030DB6">
        <w:t xml:space="preserve">  We also tested use of specific </w:t>
      </w:r>
      <w:r w:rsidR="001A30A7">
        <w:t>drug</w:t>
      </w:r>
      <w:r w:rsidR="00030DB6">
        <w:t xml:space="preserve">s </w:t>
      </w:r>
      <w:r w:rsidR="00B60575">
        <w:t xml:space="preserve">(poppers, alcohol, erectile dysfunction medication, GHB, crystal methamphetamine, MDMA, mephedrone, cocaine, cannabis and ketamine) </w:t>
      </w:r>
      <w:r w:rsidR="00030DB6">
        <w:t>reported by the respondent.</w:t>
      </w:r>
    </w:p>
    <w:p w14:paraId="660E2F23" w14:textId="5CFA64E6" w:rsidR="002C6FD8" w:rsidRDefault="00D97633" w:rsidP="00110F82">
      <w:pPr>
        <w:spacing w:line="480" w:lineRule="auto"/>
      </w:pPr>
      <w:r>
        <w:tab/>
      </w:r>
      <w:r w:rsidR="00983887">
        <w:t>The d</w:t>
      </w:r>
      <w:r>
        <w:t>ependent variables</w:t>
      </w:r>
      <w:r w:rsidR="00983887">
        <w:t xml:space="preserve"> in these analyses</w:t>
      </w:r>
      <w:r>
        <w:t xml:space="preserve"> were UAI, pleasure and control.  </w:t>
      </w:r>
      <w:r w:rsidR="00983887">
        <w:t xml:space="preserve">We measured </w:t>
      </w:r>
      <w:r>
        <w:t xml:space="preserve">UAI as a binary variable.  </w:t>
      </w:r>
      <w:r w:rsidR="00983887">
        <w:t>We measured p</w:t>
      </w:r>
      <w:r>
        <w:t xml:space="preserve">leasure with the question ‘How good was the sex </w:t>
      </w:r>
      <w:r w:rsidR="005E1ACD">
        <w:t>on</w:t>
      </w:r>
      <w:r>
        <w:t xml:space="preserve"> this occasion?’  Answers were on a scale from 1 to 10 with 1 labelled ‘the worst sex you’ve had’ and 10 labelled ‘the best sex you’ve had’ (intermediate </w:t>
      </w:r>
      <w:r w:rsidR="005E1ACD">
        <w:t xml:space="preserve">points </w:t>
      </w:r>
      <w:r>
        <w:t xml:space="preserve">were not labelled).  </w:t>
      </w:r>
      <w:r w:rsidR="003C20C3">
        <w:t>Finally, we measured c</w:t>
      </w:r>
      <w:r>
        <w:t xml:space="preserve">ontrol </w:t>
      </w:r>
      <w:r w:rsidR="00983887">
        <w:t xml:space="preserve">over what happened during sex </w:t>
      </w:r>
      <w:r>
        <w:t xml:space="preserve">with the question ‘How much control of what happened would you say you had during this sexual session?’  </w:t>
      </w:r>
      <w:r w:rsidR="00B53626">
        <w:t>The f</w:t>
      </w:r>
      <w:r>
        <w:t>our responses offered (I was in total control of what happened / I was mostly</w:t>
      </w:r>
      <w:r w:rsidR="00B53626">
        <w:t xml:space="preserve"> in control of what happened / </w:t>
      </w:r>
      <w:r>
        <w:t>I had some</w:t>
      </w:r>
      <w:r w:rsidR="00B53626">
        <w:t xml:space="preserve"> control of what happened / </w:t>
      </w:r>
      <w:r>
        <w:t>I had no</w:t>
      </w:r>
      <w:r w:rsidR="00B53626">
        <w:t xml:space="preserve"> control of what happened) were </w:t>
      </w:r>
      <w:r>
        <w:t xml:space="preserve">collapsed into a binary variable </w:t>
      </w:r>
      <w:r w:rsidR="00B53626">
        <w:t>(total or mostly in control vs. some or no control)</w:t>
      </w:r>
      <w:r>
        <w:t>.</w:t>
      </w:r>
    </w:p>
    <w:p w14:paraId="50507C40" w14:textId="7CF50EC2" w:rsidR="00595C62" w:rsidRDefault="002C6FD8" w:rsidP="00D97633">
      <w:pPr>
        <w:spacing w:line="480" w:lineRule="auto"/>
      </w:pPr>
      <w:r>
        <w:tab/>
      </w:r>
      <w:r w:rsidR="00BD6317">
        <w:t>Potential confounders</w:t>
      </w:r>
      <w:r>
        <w:t xml:space="preserve"> included</w:t>
      </w:r>
      <w:r w:rsidR="00BD6317">
        <w:t>:</w:t>
      </w:r>
      <w:r>
        <w:t xml:space="preserve"> HIV serodiscordance between respondent and partners</w:t>
      </w:r>
      <w:r w:rsidR="00BD6317">
        <w:t>;</w:t>
      </w:r>
      <w:r>
        <w:t xml:space="preserve"> location of sex</w:t>
      </w:r>
      <w:r w:rsidR="00BD6317">
        <w:t>;</w:t>
      </w:r>
      <w:r>
        <w:t xml:space="preserve"> and number of partners.  </w:t>
      </w:r>
      <w:r w:rsidR="00177A48">
        <w:t xml:space="preserve">We additionally included </w:t>
      </w:r>
      <w:r w:rsidR="00E14DB4">
        <w:t>the month</w:t>
      </w:r>
      <w:r w:rsidR="00177A48">
        <w:t xml:space="preserve"> of reporting as a co</w:t>
      </w:r>
      <w:r w:rsidR="00BD6317">
        <w:t>variate</w:t>
      </w:r>
      <w:r w:rsidR="00656BA2">
        <w:t xml:space="preserve"> to test differences in reporting over the</w:t>
      </w:r>
      <w:r w:rsidR="00E14DB4">
        <w:t xml:space="preserve"> course of the study</w:t>
      </w:r>
      <w:r w:rsidR="00177A48">
        <w:t xml:space="preserve">.  </w:t>
      </w:r>
      <w:r w:rsidR="00595C62">
        <w:t xml:space="preserve">HIV serodiscordance was a three-category variable reflecting understandings shared between respondent and partners of each other’s HIV serostatus.  Encounters were labelled as </w:t>
      </w:r>
      <w:r w:rsidR="00983887">
        <w:t xml:space="preserve">HIV </w:t>
      </w:r>
      <w:r w:rsidR="00595C62">
        <w:t xml:space="preserve">seroconcordant if </w:t>
      </w:r>
      <w:r w:rsidR="008351CF">
        <w:t xml:space="preserve">the </w:t>
      </w:r>
      <w:r w:rsidR="00595C62">
        <w:t xml:space="preserve">respondent believed </w:t>
      </w:r>
      <w:r w:rsidR="00EE7AD5">
        <w:t xml:space="preserve">himself </w:t>
      </w:r>
      <w:r w:rsidR="008351CF">
        <w:t xml:space="preserve">and all the partners involved </w:t>
      </w:r>
      <w:r w:rsidR="00595C62">
        <w:t>ha</w:t>
      </w:r>
      <w:r w:rsidR="008351CF">
        <w:t>d</w:t>
      </w:r>
      <w:r w:rsidR="00595C62">
        <w:t xml:space="preserve"> the same HIV serostatus</w:t>
      </w:r>
      <w:r w:rsidR="00E14DB4">
        <w:t>,</w:t>
      </w:r>
      <w:r w:rsidR="00595C62">
        <w:t xml:space="preserve"> and as </w:t>
      </w:r>
      <w:r w:rsidR="00983887">
        <w:t xml:space="preserve">HIV </w:t>
      </w:r>
      <w:r w:rsidR="00595C62">
        <w:t xml:space="preserve">serodiscordant if </w:t>
      </w:r>
      <w:r w:rsidR="008351CF">
        <w:t xml:space="preserve">the </w:t>
      </w:r>
      <w:r w:rsidR="00595C62">
        <w:t xml:space="preserve">respondent believed that different HIV serostatuses were present among sexual partners.  Encounters in which either </w:t>
      </w:r>
      <w:r w:rsidR="008351CF">
        <w:t xml:space="preserve">the </w:t>
      </w:r>
      <w:r w:rsidR="00632695">
        <w:t>respondent</w:t>
      </w:r>
      <w:r w:rsidR="00595C62">
        <w:t xml:space="preserve"> </w:t>
      </w:r>
      <w:r w:rsidR="008351CF">
        <w:t>did not know</w:t>
      </w:r>
      <w:r w:rsidR="00595C62">
        <w:t xml:space="preserve"> the HIV status </w:t>
      </w:r>
      <w:r w:rsidR="008351CF">
        <w:t xml:space="preserve">of any sex partner, or where the respondent thought </w:t>
      </w:r>
      <w:r w:rsidR="005B6956">
        <w:t>any</w:t>
      </w:r>
      <w:r w:rsidR="008351CF">
        <w:t xml:space="preserve"> partner did not know </w:t>
      </w:r>
      <w:r w:rsidR="005B6956">
        <w:t>the respondent</w:t>
      </w:r>
      <w:r w:rsidR="00632695">
        <w:t>’</w:t>
      </w:r>
      <w:r w:rsidR="005B6956">
        <w:t>s</w:t>
      </w:r>
      <w:r w:rsidR="008351CF">
        <w:t xml:space="preserve"> HIV status, </w:t>
      </w:r>
      <w:r w:rsidR="00595C62">
        <w:t xml:space="preserve">were labelled as </w:t>
      </w:r>
      <w:r w:rsidR="00983887">
        <w:t>‘</w:t>
      </w:r>
      <w:r w:rsidR="00595C62">
        <w:t>unknown</w:t>
      </w:r>
      <w:r w:rsidR="00983887">
        <w:t xml:space="preserve"> serostatus match’</w:t>
      </w:r>
      <w:r w:rsidR="00595C62">
        <w:t xml:space="preserve">.  </w:t>
      </w:r>
      <w:r w:rsidR="008351CF">
        <w:t>Respondents indicate</w:t>
      </w:r>
      <w:r w:rsidR="003C20C3">
        <w:t>d</w:t>
      </w:r>
      <w:r w:rsidR="008351CF">
        <w:t xml:space="preserve"> where the session occurred from a checklist of nine options (my (or our) place / his place / a friend’s place / a backroom of a bar, gay sex club, a public gay sex party / a gay sex party in a private home / a gay sauna / a porn cinema / a cruising location (street, roadside service area, park, beach, lavatory) / elsewhere) which was recoded into a </w:t>
      </w:r>
      <w:r w:rsidR="003C20C3">
        <w:t xml:space="preserve">three-category </w:t>
      </w:r>
      <w:r w:rsidR="008351CF">
        <w:t>variable: homes (my place, his place, a friend</w:t>
      </w:r>
      <w:r w:rsidR="00E14DB4">
        <w:t>’</w:t>
      </w:r>
      <w:r w:rsidR="008351CF">
        <w:t>s place, private home); sex-on-premises-venues</w:t>
      </w:r>
      <w:r w:rsidR="00BF3E6A">
        <w:t>, or SOPVs (back</w:t>
      </w:r>
      <w:r w:rsidR="008351CF">
        <w:t xml:space="preserve">room, sauna, cinema); and cruising locations.  </w:t>
      </w:r>
      <w:r w:rsidR="00595C62">
        <w:t xml:space="preserve">Number of partners captured the number of partners besides the respondent in the encounter.  See </w:t>
      </w:r>
      <w:r w:rsidR="00D417F4">
        <w:t>online supplemental material</w:t>
      </w:r>
      <w:r w:rsidR="00595C62">
        <w:t xml:space="preserve"> for more details on variable construction.</w:t>
      </w:r>
    </w:p>
    <w:p w14:paraId="3ABB82A2" w14:textId="09DDC7DC" w:rsidR="005B15DD" w:rsidRDefault="002C6FD8" w:rsidP="00110F82">
      <w:pPr>
        <w:spacing w:line="480" w:lineRule="auto"/>
      </w:pPr>
      <w:r>
        <w:tab/>
      </w:r>
      <w:r w:rsidR="003C20C3">
        <w:t>We first examined e</w:t>
      </w:r>
      <w:r>
        <w:t>ach independent variable separately in models with each</w:t>
      </w:r>
      <w:r w:rsidR="00177A48">
        <w:t xml:space="preserve"> dependent variable, with multi</w:t>
      </w:r>
      <w:r>
        <w:t>categor</w:t>
      </w:r>
      <w:r w:rsidR="00BF3E6A">
        <w:t>ical</w:t>
      </w:r>
      <w:r>
        <w:t xml:space="preserve"> variables recoded using dummies.</w:t>
      </w:r>
      <w:r w:rsidR="000176C9">
        <w:t xml:space="preserve">  </w:t>
      </w:r>
      <w:r w:rsidR="003C20C3">
        <w:t>We the</w:t>
      </w:r>
      <w:r w:rsidR="004D2977">
        <w:t>n</w:t>
      </w:r>
      <w:r w:rsidR="003C20C3">
        <w:t xml:space="preserve"> combined v</w:t>
      </w:r>
      <w:r w:rsidR="00177A48">
        <w:t xml:space="preserve">ariables significant at </w:t>
      </w:r>
      <w:r w:rsidR="00177A48" w:rsidRPr="00177A48">
        <w:rPr>
          <w:i/>
        </w:rPr>
        <w:t>p</w:t>
      </w:r>
      <w:r w:rsidR="00177A48">
        <w:t xml:space="preserve">&lt;0.05 </w:t>
      </w:r>
      <w:r w:rsidR="00177A48" w:rsidRPr="00177A48">
        <w:t>in</w:t>
      </w:r>
      <w:r w:rsidR="00177A48">
        <w:t xml:space="preserve"> initial models in multivariate models. </w:t>
      </w:r>
      <w:r w:rsidR="000176C9">
        <w:t xml:space="preserve"> </w:t>
      </w:r>
      <w:r w:rsidR="005B15DD">
        <w:t xml:space="preserve">Because of collinearity between respondent and partner </w:t>
      </w:r>
      <w:r w:rsidR="001A30A7">
        <w:t>drug</w:t>
      </w:r>
      <w:r w:rsidR="005B15DD">
        <w:t xml:space="preserve"> use measures, we planned </w:t>
      </w:r>
      <w:r w:rsidR="000176C9">
        <w:rPr>
          <w:i/>
        </w:rPr>
        <w:t>a priori</w:t>
      </w:r>
      <w:r w:rsidR="000176C9" w:rsidRPr="000176C9">
        <w:t xml:space="preserve"> </w:t>
      </w:r>
      <w:r w:rsidR="000176C9">
        <w:t xml:space="preserve">to compare </w:t>
      </w:r>
      <w:r w:rsidR="001F3F98">
        <w:t xml:space="preserve">two </w:t>
      </w:r>
      <w:r w:rsidR="000176C9">
        <w:t>multivariate models</w:t>
      </w:r>
      <w:r w:rsidR="001F3F98">
        <w:t xml:space="preserve">: one including </w:t>
      </w:r>
      <w:r w:rsidR="000176C9">
        <w:t>both respondent</w:t>
      </w:r>
      <w:r w:rsidR="005E1ACD">
        <w:t>’s</w:t>
      </w:r>
      <w:r w:rsidR="000176C9">
        <w:t xml:space="preserve"> and partner</w:t>
      </w:r>
      <w:r w:rsidR="005E1ACD">
        <w:t>s’</w:t>
      </w:r>
      <w:r w:rsidR="000176C9">
        <w:t xml:space="preserve"> </w:t>
      </w:r>
      <w:r w:rsidR="001A30A7">
        <w:t>drug</w:t>
      </w:r>
      <w:r w:rsidR="000176C9">
        <w:t xml:space="preserve"> use measures</w:t>
      </w:r>
      <w:r w:rsidR="001F3F98">
        <w:t xml:space="preserve"> alongside the covariates, and one including </w:t>
      </w:r>
      <w:r w:rsidR="000176C9">
        <w:t>just the respondent</w:t>
      </w:r>
      <w:r w:rsidR="005E1ACD">
        <w:t>’s</w:t>
      </w:r>
      <w:r w:rsidR="000176C9">
        <w:t xml:space="preserve"> </w:t>
      </w:r>
      <w:r w:rsidR="001A30A7">
        <w:t>drug</w:t>
      </w:r>
      <w:r w:rsidR="000176C9">
        <w:t xml:space="preserve"> use measure</w:t>
      </w:r>
      <w:r w:rsidR="001F3F98">
        <w:t xml:space="preserve"> alongside the covariates</w:t>
      </w:r>
      <w:r w:rsidR="000176C9">
        <w:t>.</w:t>
      </w:r>
      <w:r w:rsidR="00E912C3">
        <w:t xml:space="preserve">  </w:t>
      </w:r>
      <w:r w:rsidR="00D55C4F">
        <w:t>To compare models w</w:t>
      </w:r>
      <w:r w:rsidR="003C20C3">
        <w:t xml:space="preserve">e used the </w:t>
      </w:r>
      <w:r w:rsidR="00E912C3">
        <w:t xml:space="preserve">quasi-Akaike information criterion (QIC), which is equivalent to penalised log likelihood information criteria used with models estimated using maximum likelihood </w:t>
      </w:r>
      <w:r w:rsidR="00B90C8D">
        <w:fldChar w:fldCharType="begin" w:fldLock="1"/>
      </w:r>
      <w:r w:rsidR="00B16AAB">
        <w:instrText>ADDIN CSL_CITATION { "citationItems" : [ { "id" : "ITEM-1", "itemData" : { "ISSN" : "0006-341X", "PMID" : "11252586", "abstract" : "Correlated response data are common in biomedical studies. Regression analysis based on the generalized estimating equations (GEE) is an increasingly important method for such data. However, there seem to be few model-selection criteria available in GEE. The well-known Akaike Information Criterion (AIC) cannot be directly applied since AIC is based on maximum likelihood estimation while GEE is nonlikelihood based. We propose a modification to AIC, where the likelihood is replaced by the quasi-likelihood and a proper adjustment is made for the penalty term. Its performance is investigated through simulation studies. For illustration, the method is applied to a real data set.", "author" : [ { "dropping-particle" : "", "family" : "Pan", "given" : "Wei", "non-dropping-particle" : "", "parse-names" : false, "suffix" : "" } ], "container-title" : "Biometrics", "id" : "ITEM-1", "issue" : "1", "issued" : { "date-parts" : [ [ "2001", "3" ] ] }, "page" : "120-5", "title" : "Akaike's information criterion in generalized estimating equations.", "type" : "article-journal", "volume" : "57" }, "uris" : [ "http://www.mendeley.com/documents/?uuid=f4a92c93-f5ea-4325-84ff-53d1f9adf627" ] } ], "mendeley" : { "formattedCitation" : "(19)", "plainTextFormattedCitation" : "(19)", "previouslyFormattedCitation" : "(19)" }, "properties" : { "noteIndex" : 0 }, "schema" : "https://github.com/citation-style-language/schema/raw/master/csl-citation.json" }</w:instrText>
      </w:r>
      <w:r w:rsidR="00B90C8D">
        <w:fldChar w:fldCharType="separate"/>
      </w:r>
      <w:r w:rsidR="00B16AAB" w:rsidRPr="00B16AAB">
        <w:rPr>
          <w:noProof/>
        </w:rPr>
        <w:t>(19)</w:t>
      </w:r>
      <w:r w:rsidR="00B90C8D">
        <w:fldChar w:fldCharType="end"/>
      </w:r>
      <w:r w:rsidR="00E912C3">
        <w:t>.  Lower values indicate better model fit as compared to the number of parameters estimated.</w:t>
      </w:r>
    </w:p>
    <w:p w14:paraId="468F6375" w14:textId="38913CAA" w:rsidR="000176C9" w:rsidRDefault="000176C9" w:rsidP="00110F82">
      <w:pPr>
        <w:spacing w:line="480" w:lineRule="auto"/>
      </w:pPr>
      <w:r>
        <w:tab/>
        <w:t xml:space="preserve">We </w:t>
      </w:r>
      <w:r w:rsidR="00586A51">
        <w:t xml:space="preserve">separately </w:t>
      </w:r>
      <w:r>
        <w:t xml:space="preserve">examined </w:t>
      </w:r>
      <w:r w:rsidR="00E912C3">
        <w:t xml:space="preserve">specific </w:t>
      </w:r>
      <w:r w:rsidR="001A30A7">
        <w:t>drug</w:t>
      </w:r>
      <w:r w:rsidR="00586A51">
        <w:t>s</w:t>
      </w:r>
      <w:r w:rsidR="00E912C3">
        <w:t xml:space="preserve"> use</w:t>
      </w:r>
      <w:r w:rsidR="00586A51">
        <w:t>d</w:t>
      </w:r>
      <w:r>
        <w:t xml:space="preserve">.  Variables examining use of specific </w:t>
      </w:r>
      <w:r w:rsidR="001A30A7">
        <w:t>drug</w:t>
      </w:r>
      <w:r>
        <w:t xml:space="preserve">s were entered as a block </w:t>
      </w:r>
      <w:r w:rsidRPr="009A4209">
        <w:t xml:space="preserve">to isolate better the effects of specific </w:t>
      </w:r>
      <w:r w:rsidR="001A30A7">
        <w:t>drug</w:t>
      </w:r>
      <w:r w:rsidRPr="009A4209">
        <w:t>s in light of the frequency of poly</w:t>
      </w:r>
      <w:r w:rsidR="001A30A7">
        <w:t>drug</w:t>
      </w:r>
      <w:r w:rsidRPr="009A4209">
        <w:t xml:space="preserve"> combinations.</w:t>
      </w:r>
      <w:r>
        <w:t xml:space="preserve">  To avoid model instability, we </w:t>
      </w:r>
      <w:r w:rsidR="00D55C4F">
        <w:t>excluded</w:t>
      </w:r>
      <w:r>
        <w:t xml:space="preserve"> </w:t>
      </w:r>
      <w:r w:rsidR="001A30A7">
        <w:t>drug</w:t>
      </w:r>
      <w:r>
        <w:t xml:space="preserve">s used in </w:t>
      </w:r>
      <w:r w:rsidR="00D55C4F">
        <w:t xml:space="preserve">fewer </w:t>
      </w:r>
      <w:r>
        <w:t>than 1% of all encounters.</w:t>
      </w:r>
    </w:p>
    <w:p w14:paraId="05E75AD8" w14:textId="0DDBB799" w:rsidR="002C6FD8" w:rsidRDefault="005B15DD" w:rsidP="00110F82">
      <w:pPr>
        <w:spacing w:line="480" w:lineRule="auto"/>
      </w:pPr>
      <w:r>
        <w:tab/>
      </w:r>
      <w:r w:rsidR="003C20C3">
        <w:t>We estimated m</w:t>
      </w:r>
      <w:r w:rsidR="00177A48">
        <w:t xml:space="preserve">odels as generalised estimating equations using exchangeable correlation matrices with a logit link for UAI </w:t>
      </w:r>
      <w:r w:rsidR="008A4EBA">
        <w:t xml:space="preserve">and control </w:t>
      </w:r>
      <w:r w:rsidR="00177A48">
        <w:t xml:space="preserve">and a Gaussian link for pleasure.  </w:t>
      </w:r>
      <w:r w:rsidR="00A61180">
        <w:t xml:space="preserve">We used generalised estimating equations to correct for non-independence of observations.  We did not compare encounters within respondents because the average number of multipartner encounters reported by MSM was less than 2.  Interpretation of generalised estimating equations is ‘population-average’—that is, comparing across the population of multipartner encounters reported by MSM.  </w:t>
      </w:r>
      <w:r w:rsidR="00177A48">
        <w:t>Because missing data were trivial (less than 5% in every model), missingness was handled with pairwise deletion.</w:t>
      </w:r>
    </w:p>
    <w:p w14:paraId="1794D40F" w14:textId="77777777" w:rsidR="00884C04" w:rsidRPr="00884C04" w:rsidRDefault="00884C04" w:rsidP="00884C04">
      <w:pPr>
        <w:spacing w:line="480" w:lineRule="auto"/>
        <w:rPr>
          <w:b/>
        </w:rPr>
      </w:pPr>
      <w:r>
        <w:rPr>
          <w:b/>
        </w:rPr>
        <w:t>Results</w:t>
      </w:r>
    </w:p>
    <w:p w14:paraId="4397F0C8" w14:textId="411F110B" w:rsidR="00884C04" w:rsidRPr="009A4209" w:rsidRDefault="00177A48" w:rsidP="00177A48">
      <w:pPr>
        <w:spacing w:line="480" w:lineRule="auto"/>
      </w:pPr>
      <w:r>
        <w:tab/>
      </w:r>
      <w:r w:rsidRPr="00177A48">
        <w:t>A</w:t>
      </w:r>
      <w:r>
        <w:t xml:space="preserve"> </w:t>
      </w:r>
      <w:r w:rsidR="00884C04" w:rsidRPr="009A4209">
        <w:t xml:space="preserve">total of 321 respondents reported 438 </w:t>
      </w:r>
      <w:r w:rsidR="00D55C4F">
        <w:t xml:space="preserve">multipartner </w:t>
      </w:r>
      <w:r w:rsidR="00884C04" w:rsidRPr="009A4209">
        <w:t xml:space="preserve">encounters.  On average, </w:t>
      </w:r>
      <w:r w:rsidR="00CC5C52">
        <w:t xml:space="preserve">respondents </w:t>
      </w:r>
      <w:r w:rsidR="00884C04" w:rsidRPr="009A4209">
        <w:t xml:space="preserve">included </w:t>
      </w:r>
      <w:r w:rsidR="00CC5C52">
        <w:t>in our analyses</w:t>
      </w:r>
      <w:r w:rsidR="00884C04" w:rsidRPr="009A4209">
        <w:t xml:space="preserve"> reported 1.36 encounters (SD=0.61).</w:t>
      </w:r>
      <w:r>
        <w:t xml:space="preserve">  </w:t>
      </w:r>
      <w:r w:rsidR="005B6956">
        <w:t xml:space="preserve">The mean age of respondents reporting </w:t>
      </w:r>
      <w:r w:rsidR="003C20C3">
        <w:t>multipartner</w:t>
      </w:r>
      <w:r w:rsidR="005B6956">
        <w:t xml:space="preserve"> encounters was </w:t>
      </w:r>
      <w:r>
        <w:t>44.6 years (SD=10.5)</w:t>
      </w:r>
      <w:r w:rsidR="00D45512">
        <w:t>.  See Table 1 for a description of the study sample.</w:t>
      </w:r>
    </w:p>
    <w:p w14:paraId="36FCFE60" w14:textId="256D8778" w:rsidR="00884C04" w:rsidRPr="009A4209" w:rsidRDefault="00884C04" w:rsidP="00884C04">
      <w:pPr>
        <w:spacing w:line="480" w:lineRule="auto"/>
      </w:pPr>
      <w:r w:rsidRPr="009A4209">
        <w:tab/>
      </w:r>
      <w:r w:rsidR="003C20C3">
        <w:t xml:space="preserve">Respondents reported UAI in 37.7% of encounters.  </w:t>
      </w:r>
      <w:r w:rsidRPr="009A4209">
        <w:t xml:space="preserve">On average, respondents’ encounters were rated 6.8 for </w:t>
      </w:r>
      <w:r w:rsidR="00586A51">
        <w:t>pleasure</w:t>
      </w:r>
      <w:r w:rsidRPr="009A4209">
        <w:t xml:space="preserve"> (SD=1.6).  </w:t>
      </w:r>
      <w:r w:rsidR="00BF3E6A">
        <w:t xml:space="preserve">Respondents reported that they were totally or mostly in control over the sex in 87.2% of their encounters.  </w:t>
      </w:r>
      <w:r w:rsidR="00B124C3">
        <w:t>R</w:t>
      </w:r>
      <w:r w:rsidRPr="009A4209">
        <w:t xml:space="preserve">espondents reported </w:t>
      </w:r>
      <w:r w:rsidR="001A30A7">
        <w:t>drug</w:t>
      </w:r>
      <w:r w:rsidRPr="009A4209">
        <w:t xml:space="preserve"> use</w:t>
      </w:r>
      <w:r w:rsidR="00B124C3">
        <w:t xml:space="preserve"> in 67.7% of encounters and partner </w:t>
      </w:r>
      <w:r w:rsidR="001A30A7">
        <w:t>drug</w:t>
      </w:r>
      <w:r w:rsidR="00B124C3">
        <w:t xml:space="preserve"> use in 43.3% of encounters</w:t>
      </w:r>
      <w:r w:rsidRPr="009A4209">
        <w:t xml:space="preserve">.  The most commonly used specific </w:t>
      </w:r>
      <w:r w:rsidR="001A30A7">
        <w:t>drug</w:t>
      </w:r>
      <w:r w:rsidRPr="009A4209">
        <w:t xml:space="preserve">s </w:t>
      </w:r>
      <w:r w:rsidR="00B124C3">
        <w:t xml:space="preserve">reported by respondents </w:t>
      </w:r>
      <w:r w:rsidRPr="009A4209">
        <w:t xml:space="preserve">were poppers (45.4% of encounters), alcohol (38.0%) and erectile dysfunction medications (26.3%). </w:t>
      </w:r>
      <w:r w:rsidR="00B60575">
        <w:t xml:space="preserve"> </w:t>
      </w:r>
      <w:r w:rsidR="005C74F0">
        <w:t>The drugs most commonly implicated in chemsex</w:t>
      </w:r>
      <w:r w:rsidR="00EE7AD5">
        <w:t xml:space="preserve"> were also </w:t>
      </w:r>
      <w:r w:rsidR="000D0714">
        <w:t xml:space="preserve">frequently </w:t>
      </w:r>
      <w:r w:rsidR="00EE7AD5">
        <w:t xml:space="preserve">reported: </w:t>
      </w:r>
      <w:r w:rsidR="005C74F0">
        <w:t>GHB</w:t>
      </w:r>
      <w:r w:rsidR="001F3F98">
        <w:t xml:space="preserve"> was used in 9.2% of encounters, crystal meth</w:t>
      </w:r>
      <w:r w:rsidR="00EE7AD5">
        <w:t>amphetamine</w:t>
      </w:r>
      <w:r w:rsidR="001F3F98">
        <w:t xml:space="preserve"> was used in 8.0% of encounters, and mephedrone was used in 7.3% of encounters.  </w:t>
      </w:r>
      <w:r w:rsidR="00EE7AD5">
        <w:t>In total, 14.2</w:t>
      </w:r>
      <w:r w:rsidR="0065553F">
        <w:t xml:space="preserve">% of </w:t>
      </w:r>
      <w:r w:rsidR="003C20C3">
        <w:t>multipartner</w:t>
      </w:r>
      <w:r w:rsidR="0065553F">
        <w:t xml:space="preserve"> encounters included at least one of these chemsex drugs</w:t>
      </w:r>
      <w:r w:rsidR="005C74F0">
        <w:t xml:space="preserve">. </w:t>
      </w:r>
      <w:r w:rsidR="001F3F98">
        <w:t xml:space="preserve"> </w:t>
      </w:r>
      <w:r w:rsidRPr="009A4209">
        <w:t>Variables for amphetamine (speed), heroin, LSD</w:t>
      </w:r>
      <w:r w:rsidR="006711BB">
        <w:t xml:space="preserve"> or</w:t>
      </w:r>
      <w:r w:rsidRPr="009A4209">
        <w:t xml:space="preserve"> crack </w:t>
      </w:r>
      <w:r w:rsidR="001A1EC2">
        <w:t xml:space="preserve">cocaine </w:t>
      </w:r>
      <w:r w:rsidRPr="009A4209">
        <w:t xml:space="preserve">were not included in the analyses because five or fewer encounters involved the use of each of these </w:t>
      </w:r>
      <w:r w:rsidR="001A30A7">
        <w:t>drug</w:t>
      </w:r>
      <w:r w:rsidRPr="009A4209">
        <w:t>s.</w:t>
      </w:r>
      <w:r w:rsidR="00B124C3">
        <w:t xml:space="preserve">  See Table 2 for characteristics of included encounters.</w:t>
      </w:r>
    </w:p>
    <w:p w14:paraId="22B77AEC" w14:textId="77777777" w:rsidR="00884C04" w:rsidRPr="00E912C3" w:rsidRDefault="00E912C3" w:rsidP="00884C04">
      <w:pPr>
        <w:spacing w:line="480" w:lineRule="auto"/>
        <w:rPr>
          <w:b/>
        </w:rPr>
      </w:pPr>
      <w:r>
        <w:rPr>
          <w:b/>
        </w:rPr>
        <w:tab/>
      </w:r>
      <w:r w:rsidR="00884C04" w:rsidRPr="009A4209">
        <w:rPr>
          <w:b/>
        </w:rPr>
        <w:t>Models testing associations with UAI</w:t>
      </w:r>
      <w:r>
        <w:rPr>
          <w:b/>
        </w:rPr>
        <w:t>.</w:t>
      </w:r>
      <w:r>
        <w:t xml:space="preserve">  </w:t>
      </w:r>
      <w:r w:rsidR="00A025DA">
        <w:t>A</w:t>
      </w:r>
      <w:r w:rsidR="00884C04" w:rsidRPr="009A4209">
        <w:t xml:space="preserve">ny </w:t>
      </w:r>
      <w:r w:rsidR="00964753">
        <w:t xml:space="preserve">respondent </w:t>
      </w:r>
      <w:r w:rsidR="001A30A7">
        <w:t>drug</w:t>
      </w:r>
      <w:r w:rsidR="00884C04" w:rsidRPr="009A4209">
        <w:t xml:space="preserve"> use </w:t>
      </w:r>
      <w:r w:rsidR="00A025DA">
        <w:t>was</w:t>
      </w:r>
      <w:r w:rsidR="00884C04" w:rsidRPr="009A4209">
        <w:t xml:space="preserve"> significantly associated with UAI </w:t>
      </w:r>
      <w:r w:rsidR="00964753">
        <w:t>(see Table 3</w:t>
      </w:r>
      <w:r w:rsidR="00884C04" w:rsidRPr="009A4209">
        <w:t xml:space="preserve">). </w:t>
      </w:r>
      <w:r w:rsidR="00964753">
        <w:t xml:space="preserve"> </w:t>
      </w:r>
      <w:r w:rsidR="00884C04" w:rsidRPr="009A4209">
        <w:t xml:space="preserve">Only two specific </w:t>
      </w:r>
      <w:r w:rsidR="001A30A7">
        <w:t>drug</w:t>
      </w:r>
      <w:r w:rsidR="00884C04" w:rsidRPr="009A4209">
        <w:t xml:space="preserve">s were significantly associated with UAI while controlling for other specific </w:t>
      </w:r>
      <w:r w:rsidR="001A30A7">
        <w:t>drug</w:t>
      </w:r>
      <w:r w:rsidR="00884C04" w:rsidRPr="009A4209">
        <w:t>s—erectile dysfunction medications (</w:t>
      </w:r>
      <w:r w:rsidR="00964753">
        <w:t xml:space="preserve">OR </w:t>
      </w:r>
      <w:r w:rsidR="00884C04" w:rsidRPr="009A4209">
        <w:t xml:space="preserve">2.23, </w:t>
      </w:r>
      <w:r w:rsidR="00A025DA">
        <w:t>95%</w:t>
      </w:r>
      <w:r w:rsidR="00964753">
        <w:t xml:space="preserve"> CI </w:t>
      </w:r>
      <w:r w:rsidR="00884C04" w:rsidRPr="009A4209">
        <w:t>[1.26, 3.96]) and crystal methamp</w:t>
      </w:r>
      <w:r w:rsidR="00964753">
        <w:t>hetamine (3.18, [1.19, 8.48])</w:t>
      </w:r>
      <w:r w:rsidR="00272BD6">
        <w:t xml:space="preserve"> (see Table 4)</w:t>
      </w:r>
      <w:r w:rsidR="00964753">
        <w:t xml:space="preserve">.  </w:t>
      </w:r>
      <w:r w:rsidR="00884C04" w:rsidRPr="009A4209">
        <w:t xml:space="preserve">Of the three dummies generated for the categorical measure of any </w:t>
      </w:r>
      <w:r w:rsidR="001A30A7">
        <w:t>drug</w:t>
      </w:r>
      <w:r w:rsidR="00884C04" w:rsidRPr="009A4209">
        <w:t xml:space="preserve"> use by partners, only specific knowledge of partners’ </w:t>
      </w:r>
      <w:r w:rsidR="001A30A7">
        <w:t>drug</w:t>
      </w:r>
      <w:r w:rsidR="00884C04" w:rsidRPr="009A4209">
        <w:t xml:space="preserve"> use was associated, on average, with increased odds of UAI</w:t>
      </w:r>
      <w:r w:rsidR="00964753">
        <w:t xml:space="preserve"> as compared to</w:t>
      </w:r>
      <w:r w:rsidR="00884C04" w:rsidRPr="009A4209">
        <w:t xml:space="preserve"> no </w:t>
      </w:r>
      <w:r w:rsidR="001A30A7">
        <w:t>drug</w:t>
      </w:r>
      <w:r w:rsidR="00884C04" w:rsidRPr="009A4209">
        <w:t xml:space="preserve"> use </w:t>
      </w:r>
      <w:r w:rsidR="00964753">
        <w:t>(1.71,</w:t>
      </w:r>
      <w:r w:rsidR="00884C04" w:rsidRPr="009A4209">
        <w:t xml:space="preserve"> [1.03, 2.83]).  Dummies for not knowing partners’ </w:t>
      </w:r>
      <w:r w:rsidR="001A30A7">
        <w:t>drug</w:t>
      </w:r>
      <w:r w:rsidR="00884C04" w:rsidRPr="009A4209">
        <w:t xml:space="preserve"> use and not knowing specific </w:t>
      </w:r>
      <w:r w:rsidR="001A30A7">
        <w:t>drug</w:t>
      </w:r>
      <w:r w:rsidR="00884C04" w:rsidRPr="009A4209">
        <w:t xml:space="preserve">s taken by partners were not significantly associated with UAI (both </w:t>
      </w:r>
      <w:r w:rsidR="00884C04" w:rsidRPr="009A4209">
        <w:rPr>
          <w:i/>
        </w:rPr>
        <w:t>p</w:t>
      </w:r>
      <w:r w:rsidR="00030DB6">
        <w:t>s&gt;0.10).</w:t>
      </w:r>
    </w:p>
    <w:p w14:paraId="73F38599" w14:textId="0014C576" w:rsidR="00884C04" w:rsidRPr="009A4209" w:rsidRDefault="00884C04" w:rsidP="00884C04">
      <w:pPr>
        <w:spacing w:line="480" w:lineRule="auto"/>
      </w:pPr>
      <w:r w:rsidRPr="009A4209">
        <w:tab/>
        <w:t xml:space="preserve">Relative to encounters where all partners were believed to be </w:t>
      </w:r>
      <w:r w:rsidR="00255260">
        <w:t xml:space="preserve">HIV </w:t>
      </w:r>
      <w:r w:rsidRPr="009A4209">
        <w:t xml:space="preserve">seroconcordant, encounters with partners of </w:t>
      </w:r>
      <w:r w:rsidR="00427C35">
        <w:t>unknown</w:t>
      </w:r>
      <w:r w:rsidR="00427C35" w:rsidRPr="009A4209">
        <w:t xml:space="preserve"> </w:t>
      </w:r>
      <w:r w:rsidRPr="009A4209">
        <w:t xml:space="preserve">serostatus </w:t>
      </w:r>
      <w:r w:rsidR="00255260">
        <w:t xml:space="preserve">match </w:t>
      </w:r>
      <w:r w:rsidRPr="009A4209">
        <w:t>were, on average, less likely to involve UAI (</w:t>
      </w:r>
      <w:r w:rsidR="00C36169">
        <w:t xml:space="preserve">OR </w:t>
      </w:r>
      <w:r w:rsidRPr="009A4209">
        <w:t xml:space="preserve">0.39, </w:t>
      </w:r>
      <w:r w:rsidR="00C36169">
        <w:t xml:space="preserve">95% CI </w:t>
      </w:r>
      <w:r w:rsidRPr="009A4209">
        <w:t xml:space="preserve">[0.25, 0.63]), but </w:t>
      </w:r>
      <w:r w:rsidR="00CC5C52">
        <w:t>no</w:t>
      </w:r>
      <w:r w:rsidRPr="009A4209">
        <w:t xml:space="preserve"> association was found for</w:t>
      </w:r>
      <w:r w:rsidR="00427C35">
        <w:t xml:space="preserve"> </w:t>
      </w:r>
      <w:r w:rsidR="00255260">
        <w:t xml:space="preserve">HIV </w:t>
      </w:r>
      <w:r w:rsidRPr="009A4209">
        <w:t>serodiscordant multipartner encounters (0.62, [0.21, 1.81]).</w:t>
      </w:r>
      <w:r w:rsidR="005B15DD" w:rsidRPr="005B15DD">
        <w:t xml:space="preserve"> </w:t>
      </w:r>
      <w:r w:rsidR="005B15DD">
        <w:t xml:space="preserve"> Neither location of sex nor n</w:t>
      </w:r>
      <w:r w:rsidR="005B15DD" w:rsidRPr="009A4209">
        <w:t xml:space="preserve">umber of male participants </w:t>
      </w:r>
      <w:r w:rsidR="005B15DD">
        <w:t>was</w:t>
      </w:r>
      <w:r w:rsidR="005B15DD" w:rsidRPr="009A4209">
        <w:t xml:space="preserve"> s</w:t>
      </w:r>
      <w:r w:rsidR="005B15DD">
        <w:t>ignificantly associated with UAI.</w:t>
      </w:r>
    </w:p>
    <w:p w14:paraId="605944ED" w14:textId="0D4BD4C1" w:rsidR="00884C04" w:rsidRPr="009A4209" w:rsidRDefault="0099450F" w:rsidP="00884C04">
      <w:pPr>
        <w:spacing w:line="480" w:lineRule="auto"/>
        <w:ind w:firstLine="720"/>
      </w:pPr>
      <w:r>
        <w:t>We then estimated</w:t>
      </w:r>
      <w:r w:rsidR="00884C04" w:rsidRPr="009A4209">
        <w:t xml:space="preserve"> two multivariate models</w:t>
      </w:r>
      <w:r w:rsidR="005B15DD">
        <w:t>:</w:t>
      </w:r>
      <w:r w:rsidR="00884C04" w:rsidRPr="009A4209">
        <w:t xml:space="preserve"> one including categorical measures of respondent</w:t>
      </w:r>
      <w:r w:rsidR="00427C35">
        <w:t>’s</w:t>
      </w:r>
      <w:r w:rsidR="00884C04" w:rsidRPr="009A4209">
        <w:t xml:space="preserve"> and partners’ </w:t>
      </w:r>
      <w:r w:rsidR="001A30A7">
        <w:t>drug</w:t>
      </w:r>
      <w:r w:rsidR="00884C04" w:rsidRPr="009A4209">
        <w:t xml:space="preserve"> use, serodiscordance and </w:t>
      </w:r>
      <w:r w:rsidR="00A025DA">
        <w:t>wave</w:t>
      </w:r>
      <w:r w:rsidR="00884C04" w:rsidRPr="009A4209">
        <w:t xml:space="preserve"> of reporting, and one including categorical measures of respondent </w:t>
      </w:r>
      <w:r w:rsidR="001A30A7">
        <w:t>drug</w:t>
      </w:r>
      <w:r w:rsidR="00884C04" w:rsidRPr="009A4209">
        <w:t xml:space="preserve"> use alone, </w:t>
      </w:r>
      <w:r w:rsidR="00255260">
        <w:t xml:space="preserve">HIV </w:t>
      </w:r>
      <w:r w:rsidR="00884C04" w:rsidRPr="009A4209">
        <w:t xml:space="preserve">serodiscordance and </w:t>
      </w:r>
      <w:r w:rsidR="00A025DA">
        <w:t>wave</w:t>
      </w:r>
      <w:r w:rsidR="00884C04" w:rsidRPr="009A4209">
        <w:t xml:space="preserve"> of reporting</w:t>
      </w:r>
      <w:r w:rsidR="00272BD6">
        <w:t xml:space="preserve"> (see Table 5)</w:t>
      </w:r>
      <w:r w:rsidR="00884C04" w:rsidRPr="009A4209">
        <w:t xml:space="preserve">.  Both models included </w:t>
      </w:r>
      <w:r>
        <w:t>associations</w:t>
      </w:r>
      <w:r w:rsidR="00884C04" w:rsidRPr="009A4209">
        <w:t xml:space="preserve"> for </w:t>
      </w:r>
      <w:r w:rsidR="00255260">
        <w:t xml:space="preserve">HIV </w:t>
      </w:r>
      <w:r w:rsidR="00884C04" w:rsidRPr="009A4209">
        <w:t xml:space="preserve">serodiscordance similar in magnitude and </w:t>
      </w:r>
      <w:r>
        <w:t>significance</w:t>
      </w:r>
      <w:r w:rsidR="00884C04" w:rsidRPr="009A4209">
        <w:t xml:space="preserve"> to those seen in initial models.  However, only the second model included a statistically significant association between respondent </w:t>
      </w:r>
      <w:r w:rsidR="001A30A7">
        <w:t>drug</w:t>
      </w:r>
      <w:r w:rsidR="00884C04" w:rsidRPr="009A4209">
        <w:t xml:space="preserve"> use and odds of UAI (OR=1.67, 95% CI [1.06, 2.62]).  Comparison between QIC values for the first model including partners’ </w:t>
      </w:r>
      <w:r w:rsidR="001A30A7">
        <w:t>drug</w:t>
      </w:r>
      <w:r w:rsidR="00884C04" w:rsidRPr="009A4209">
        <w:t xml:space="preserve"> use (557.41) and for the second model with respondent</w:t>
      </w:r>
      <w:r w:rsidR="003C20C3">
        <w:t>’s</w:t>
      </w:r>
      <w:r w:rsidR="00884C04" w:rsidRPr="009A4209">
        <w:t xml:space="preserve"> </w:t>
      </w:r>
      <w:r w:rsidR="001A30A7">
        <w:t>drug</w:t>
      </w:r>
      <w:r w:rsidR="00E912C3">
        <w:t xml:space="preserve"> use alone (556.26) indicated</w:t>
      </w:r>
      <w:r w:rsidR="002D2E94">
        <w:t xml:space="preserve"> that the second model would be</w:t>
      </w:r>
      <w:r w:rsidR="00884C04" w:rsidRPr="009A4209">
        <w:t xml:space="preserve"> preferable, though only slightly.</w:t>
      </w:r>
    </w:p>
    <w:p w14:paraId="5BB62C29" w14:textId="77777777" w:rsidR="00884C04" w:rsidRPr="009A4209" w:rsidRDefault="00E912C3" w:rsidP="00884C04">
      <w:pPr>
        <w:spacing w:line="480" w:lineRule="auto"/>
      </w:pPr>
      <w:r>
        <w:rPr>
          <w:b/>
        </w:rPr>
        <w:tab/>
      </w:r>
      <w:r w:rsidR="00884C04" w:rsidRPr="009A4209">
        <w:rPr>
          <w:b/>
        </w:rPr>
        <w:t>Models testing associations with pleasure</w:t>
      </w:r>
      <w:r>
        <w:rPr>
          <w:b/>
        </w:rPr>
        <w:t>.</w:t>
      </w:r>
      <w:r>
        <w:t xml:space="preserve">  Any</w:t>
      </w:r>
      <w:r w:rsidR="00884C04" w:rsidRPr="009A4209">
        <w:t xml:space="preserve"> </w:t>
      </w:r>
      <w:r w:rsidR="001A30A7">
        <w:t>drug</w:t>
      </w:r>
      <w:r w:rsidR="00884C04" w:rsidRPr="009A4209">
        <w:t xml:space="preserve"> use by respondent was not associated with pleasure (</w:t>
      </w:r>
      <w:r w:rsidR="00884C04" w:rsidRPr="009A4209">
        <w:rPr>
          <w:i/>
        </w:rPr>
        <w:t>p</w:t>
      </w:r>
      <w:r w:rsidR="00884C04" w:rsidRPr="009A4209">
        <w:t xml:space="preserve">&gt;0.10), </w:t>
      </w:r>
      <w:r>
        <w:t>and</w:t>
      </w:r>
      <w:r w:rsidR="00884C04" w:rsidRPr="009A4209">
        <w:t xml:space="preserve"> </w:t>
      </w:r>
      <w:r w:rsidR="00B62A2A">
        <w:t xml:space="preserve">for specific drugs </w:t>
      </w:r>
      <w:r w:rsidR="00884C04" w:rsidRPr="009A4209">
        <w:t>only use of poppers was marginally associated (</w:t>
      </w:r>
      <w:r w:rsidR="00884C04" w:rsidRPr="009A4209">
        <w:rPr>
          <w:i/>
        </w:rPr>
        <w:t>p</w:t>
      </w:r>
      <w:r w:rsidR="00884C04" w:rsidRPr="009A4209">
        <w:t xml:space="preserve">&lt;0.10, but not </w:t>
      </w:r>
      <w:r w:rsidR="00884C04" w:rsidRPr="009A4209">
        <w:rPr>
          <w:i/>
        </w:rPr>
        <w:t>p</w:t>
      </w:r>
      <w:r w:rsidR="00884C04" w:rsidRPr="009A4209">
        <w:t xml:space="preserve">&lt;0.05) with </w:t>
      </w:r>
      <w:r w:rsidR="00701F33">
        <w:t>higher</w:t>
      </w:r>
      <w:r w:rsidR="00701F33" w:rsidRPr="009A4209">
        <w:t xml:space="preserve"> </w:t>
      </w:r>
      <w:r w:rsidR="00884C04" w:rsidRPr="009A4209">
        <w:t>pleasure</w:t>
      </w:r>
      <w:r w:rsidR="00272BD6">
        <w:t xml:space="preserve"> (see Table 3</w:t>
      </w:r>
      <w:r>
        <w:t>)</w:t>
      </w:r>
      <w:r w:rsidR="00884C04" w:rsidRPr="009A4209">
        <w:t>.</w:t>
      </w:r>
      <w:r>
        <w:t xml:space="preserve">  </w:t>
      </w:r>
      <w:r w:rsidR="0080732D">
        <w:t xml:space="preserve">In a model testing partner substance use, </w:t>
      </w:r>
      <w:r w:rsidR="00884C04" w:rsidRPr="009A4209">
        <w:t xml:space="preserve">not knowing if partners had used </w:t>
      </w:r>
      <w:r w:rsidR="001A30A7">
        <w:t>drug</w:t>
      </w:r>
      <w:r w:rsidR="00884C04" w:rsidRPr="009A4209">
        <w:t>s was associated with decreased pleasure (β=-0.50, 95% CI [-0.91, -0.09])</w:t>
      </w:r>
      <w:r w:rsidR="0080732D">
        <w:t xml:space="preserve"> as compared to </w:t>
      </w:r>
      <w:r w:rsidR="0080732D" w:rsidRPr="009A4209">
        <w:t xml:space="preserve">no </w:t>
      </w:r>
      <w:r w:rsidR="0080732D">
        <w:t>drug</w:t>
      </w:r>
      <w:r w:rsidR="0080732D" w:rsidRPr="009A4209">
        <w:t xml:space="preserve"> </w:t>
      </w:r>
      <w:r w:rsidR="0080732D">
        <w:t xml:space="preserve">use </w:t>
      </w:r>
      <w:r w:rsidR="0080732D" w:rsidRPr="009A4209">
        <w:t>by partners</w:t>
      </w:r>
      <w:r w:rsidR="0080732D">
        <w:t xml:space="preserve">.  However, any </w:t>
      </w:r>
      <w:r w:rsidR="001A30A7">
        <w:t>drug</w:t>
      </w:r>
      <w:r w:rsidR="00884C04" w:rsidRPr="009A4209">
        <w:t xml:space="preserve"> use by partners w</w:t>
      </w:r>
      <w:r w:rsidR="0080732D">
        <w:t>as not significantly</w:t>
      </w:r>
      <w:r w:rsidR="00884C04" w:rsidRPr="009A4209">
        <w:t xml:space="preserve"> associated with increased pleasure relative to no </w:t>
      </w:r>
      <w:r w:rsidR="001A30A7">
        <w:t>drug</w:t>
      </w:r>
      <w:r w:rsidR="00884C04" w:rsidRPr="009A4209">
        <w:t xml:space="preserve"> use (both </w:t>
      </w:r>
      <w:r w:rsidR="00884C04" w:rsidRPr="009A4209">
        <w:rPr>
          <w:i/>
        </w:rPr>
        <w:t>p</w:t>
      </w:r>
      <w:r w:rsidR="00030DB6">
        <w:t>s&gt;0.10).</w:t>
      </w:r>
    </w:p>
    <w:p w14:paraId="76C90898" w14:textId="37E7DFDD" w:rsidR="00884C04" w:rsidRDefault="00884C04" w:rsidP="00884C04">
      <w:pPr>
        <w:spacing w:line="480" w:lineRule="auto"/>
      </w:pPr>
      <w:r w:rsidRPr="00E912C3">
        <w:tab/>
      </w:r>
      <w:r w:rsidR="00E912C3" w:rsidRPr="00E912C3">
        <w:t>Each</w:t>
      </w:r>
      <w:r w:rsidRPr="00E912C3">
        <w:t xml:space="preserve"> </w:t>
      </w:r>
      <w:r w:rsidRPr="009A4209">
        <w:t>additional participant was associated on average with an increase in pleasure of 0.05 points</w:t>
      </w:r>
      <w:r w:rsidR="00C36169">
        <w:t xml:space="preserve"> out of </w:t>
      </w:r>
      <w:r w:rsidR="00CC5C52">
        <w:t>10</w:t>
      </w:r>
      <w:r w:rsidRPr="009A4209">
        <w:t xml:space="preserve"> (95% CI [0.02, 0.09]).  Relative to encounters where all partners were believed to be </w:t>
      </w:r>
      <w:r w:rsidR="00255260">
        <w:t xml:space="preserve">HIV </w:t>
      </w:r>
      <w:r w:rsidRPr="009A4209">
        <w:t xml:space="preserve">seroconcordant, encounters </w:t>
      </w:r>
      <w:r w:rsidR="00B62A2A">
        <w:t>including</w:t>
      </w:r>
      <w:r w:rsidRPr="009A4209">
        <w:t xml:space="preserve"> </w:t>
      </w:r>
      <w:r w:rsidR="00B62A2A" w:rsidRPr="009A4209">
        <w:t>partners</w:t>
      </w:r>
      <w:r w:rsidR="00B62A2A">
        <w:t xml:space="preserve"> of</w:t>
      </w:r>
      <w:r w:rsidR="00B62A2A" w:rsidRPr="009A4209">
        <w:t xml:space="preserve"> </w:t>
      </w:r>
      <w:r w:rsidRPr="009A4209">
        <w:t>unknown serostatus</w:t>
      </w:r>
      <w:r w:rsidR="00255260">
        <w:t xml:space="preserve"> match</w:t>
      </w:r>
      <w:r w:rsidRPr="009A4209">
        <w:t xml:space="preserve"> were, on average, associated with less pleasure (-0.38, [-0.76, -0.001]), though </w:t>
      </w:r>
      <w:r w:rsidR="00255260">
        <w:t xml:space="preserve">HIV </w:t>
      </w:r>
      <w:r w:rsidRPr="009A4209">
        <w:t xml:space="preserve">serodiscordant encounters were not statistically different from seroconcordant encounters.  On average, multipartner encounters in cruising locations were less pleasurable than encounters in </w:t>
      </w:r>
      <w:r w:rsidR="00701F33">
        <w:t>homes</w:t>
      </w:r>
      <w:r w:rsidRPr="009A4209">
        <w:t xml:space="preserve"> (-1.02, [-1.54, -0.50]), but encounters in </w:t>
      </w:r>
      <w:r w:rsidR="00CC5C52">
        <w:t>SOPV</w:t>
      </w:r>
      <w:r w:rsidRPr="009A4209">
        <w:t xml:space="preserve">s were not statistically different from </w:t>
      </w:r>
      <w:r w:rsidR="00255260">
        <w:t xml:space="preserve">those in </w:t>
      </w:r>
      <w:r w:rsidR="00701F33">
        <w:t>homes</w:t>
      </w:r>
      <w:r w:rsidRPr="009A4209">
        <w:t xml:space="preserve"> (</w:t>
      </w:r>
      <w:r w:rsidRPr="009A4209">
        <w:rPr>
          <w:i/>
        </w:rPr>
        <w:t>p</w:t>
      </w:r>
      <w:r w:rsidR="00E912C3">
        <w:t>&gt;0.10).</w:t>
      </w:r>
    </w:p>
    <w:p w14:paraId="195B980C" w14:textId="5583EA44" w:rsidR="00E912C3" w:rsidRPr="009A4209" w:rsidRDefault="00E912C3" w:rsidP="00884C04">
      <w:pPr>
        <w:spacing w:line="480" w:lineRule="auto"/>
      </w:pPr>
      <w:r>
        <w:tab/>
      </w:r>
      <w:r w:rsidR="0099450F">
        <w:t>We then estimated a</w:t>
      </w:r>
      <w:r>
        <w:t xml:space="preserve"> multivariate model </w:t>
      </w:r>
      <w:r w:rsidR="0099450F">
        <w:t xml:space="preserve">that </w:t>
      </w:r>
      <w:r>
        <w:t xml:space="preserve">included measures of partners’ </w:t>
      </w:r>
      <w:r w:rsidR="001A30A7">
        <w:t>drug</w:t>
      </w:r>
      <w:r>
        <w:t xml:space="preserve"> use, </w:t>
      </w:r>
      <w:r w:rsidR="00255260">
        <w:t xml:space="preserve">HIV </w:t>
      </w:r>
      <w:r>
        <w:t xml:space="preserve">serodiscordance, location of sex and number of partners.  </w:t>
      </w:r>
      <w:r w:rsidR="00030DB6">
        <w:t>Associations were similar to those seen in univariate models, with the exception of unknown serostatus</w:t>
      </w:r>
      <w:r w:rsidR="00255260">
        <w:t xml:space="preserve"> match</w:t>
      </w:r>
      <w:r w:rsidR="00030DB6">
        <w:t>, which was no longer statistically significant</w:t>
      </w:r>
      <w:r w:rsidR="00272BD6">
        <w:t xml:space="preserve"> (see Table 5)</w:t>
      </w:r>
      <w:r w:rsidR="00030DB6">
        <w:t>.</w:t>
      </w:r>
      <w:r w:rsidR="00272BD6">
        <w:t xml:space="preserve">  We tested a model that also included respondent </w:t>
      </w:r>
      <w:r w:rsidR="001A30A7">
        <w:t>drug</w:t>
      </w:r>
      <w:r w:rsidR="00272BD6">
        <w:t xml:space="preserve"> use, but this did not change findings and did not yield a significant association for respondent </w:t>
      </w:r>
      <w:r w:rsidR="001A30A7">
        <w:t>drug</w:t>
      </w:r>
      <w:r w:rsidR="00272BD6">
        <w:t xml:space="preserve"> use (data not shown).</w:t>
      </w:r>
    </w:p>
    <w:p w14:paraId="69E4BC54" w14:textId="47A622B5" w:rsidR="00A025DA" w:rsidRPr="009A4209" w:rsidRDefault="00030DB6" w:rsidP="00A025DA">
      <w:pPr>
        <w:spacing w:line="480" w:lineRule="auto"/>
      </w:pPr>
      <w:r>
        <w:rPr>
          <w:b/>
        </w:rPr>
        <w:tab/>
      </w:r>
      <w:r w:rsidR="00A025DA" w:rsidRPr="009A4209">
        <w:rPr>
          <w:b/>
        </w:rPr>
        <w:t>Models testing associations with control</w:t>
      </w:r>
      <w:r>
        <w:rPr>
          <w:b/>
        </w:rPr>
        <w:t>.</w:t>
      </w:r>
      <w:r>
        <w:t xml:space="preserve">  </w:t>
      </w:r>
      <w:r w:rsidR="00A025DA" w:rsidRPr="009A4209">
        <w:t xml:space="preserve">Neither any </w:t>
      </w:r>
      <w:r w:rsidR="001A30A7">
        <w:t>drug</w:t>
      </w:r>
      <w:r w:rsidR="00A025DA" w:rsidRPr="009A4209">
        <w:t xml:space="preserve"> use by r</w:t>
      </w:r>
      <w:r>
        <w:t xml:space="preserve">espondent nor </w:t>
      </w:r>
      <w:r w:rsidR="001A30A7">
        <w:t>drug</w:t>
      </w:r>
      <w:r>
        <w:t xml:space="preserve"> use by partners</w:t>
      </w:r>
      <w:r w:rsidR="00A025DA" w:rsidRPr="009A4209">
        <w:t xml:space="preserve"> w</w:t>
      </w:r>
      <w:r w:rsidR="00C32C2A">
        <w:t>as</w:t>
      </w:r>
      <w:r w:rsidR="00A025DA" w:rsidRPr="009A4209">
        <w:t xml:space="preserve"> associated with reporting being in control of sexual outcomes (both </w:t>
      </w:r>
      <w:r w:rsidR="00A025DA" w:rsidRPr="009A4209">
        <w:rPr>
          <w:i/>
        </w:rPr>
        <w:t>p</w:t>
      </w:r>
      <w:r w:rsidR="00A025DA" w:rsidRPr="009A4209">
        <w:t xml:space="preserve">&lt;0.10), though as expected, both associations were negative in direction </w:t>
      </w:r>
      <w:r w:rsidR="00272BD6">
        <w:t>(see Table 3</w:t>
      </w:r>
      <w:r>
        <w:t>)</w:t>
      </w:r>
      <w:r w:rsidR="00A025DA" w:rsidRPr="009A4209">
        <w:t>.</w:t>
      </w:r>
      <w:r w:rsidR="0099450F">
        <w:t xml:space="preserve"> </w:t>
      </w:r>
      <w:r w:rsidR="00A025DA" w:rsidRPr="009A4209">
        <w:t xml:space="preserve"> </w:t>
      </w:r>
      <w:r w:rsidRPr="009A4209">
        <w:t>No</w:t>
      </w:r>
      <w:r>
        <w:t>ne of the co</w:t>
      </w:r>
      <w:r w:rsidR="00C32C2A">
        <w:t>variates</w:t>
      </w:r>
      <w:r>
        <w:t xml:space="preserve"> tested</w:t>
      </w:r>
      <w:r w:rsidRPr="009A4209">
        <w:t xml:space="preserve"> were significantly associated with odds of control (all </w:t>
      </w:r>
      <w:r w:rsidRPr="009A4209">
        <w:rPr>
          <w:i/>
        </w:rPr>
        <w:t>p</w:t>
      </w:r>
      <w:r>
        <w:t>&gt;0.10).</w:t>
      </w:r>
    </w:p>
    <w:p w14:paraId="0719D6A9" w14:textId="77777777" w:rsidR="00A025DA" w:rsidRPr="009A4209" w:rsidRDefault="00030DB6" w:rsidP="00A025DA">
      <w:pPr>
        <w:spacing w:line="480" w:lineRule="auto"/>
        <w:ind w:firstLine="720"/>
      </w:pPr>
      <w:r w:rsidRPr="009A4209">
        <w:t xml:space="preserve">A model </w:t>
      </w:r>
      <w:r>
        <w:t xml:space="preserve">for </w:t>
      </w:r>
      <w:r w:rsidRPr="009A4209">
        <w:t xml:space="preserve">specific </w:t>
      </w:r>
      <w:r w:rsidR="001A30A7">
        <w:t>drug</w:t>
      </w:r>
      <w:r w:rsidRPr="009A4209">
        <w:t xml:space="preserve">s </w:t>
      </w:r>
      <w:r>
        <w:t>used by respondent</w:t>
      </w:r>
      <w:r w:rsidRPr="009A4209">
        <w:t xml:space="preserve"> only yielded a significant association between crystal methamphetamine and reduced odds of control (OR=0.15, 95% CI [0.05, 0.53]), though cocaine was marginally associated (</w:t>
      </w:r>
      <w:r w:rsidRPr="009A4209">
        <w:rPr>
          <w:i/>
        </w:rPr>
        <w:t>p</w:t>
      </w:r>
      <w:r w:rsidRPr="009A4209">
        <w:t xml:space="preserve">&lt;0.10, but </w:t>
      </w:r>
      <w:r w:rsidRPr="009A4209">
        <w:rPr>
          <w:i/>
        </w:rPr>
        <w:t>p</w:t>
      </w:r>
      <w:r w:rsidRPr="009A4209">
        <w:t>&gt;0.05) with reduced odds of control (0.37, [0.13, 1.03</w:t>
      </w:r>
      <w:r>
        <w:t>])</w:t>
      </w:r>
      <w:r w:rsidR="00272BD6">
        <w:t xml:space="preserve"> (see Table 4)</w:t>
      </w:r>
      <w:r>
        <w:t>.</w:t>
      </w:r>
      <w:r w:rsidR="0099450F">
        <w:t xml:space="preserve">  </w:t>
      </w:r>
      <w:r w:rsidR="0099450F" w:rsidRPr="009A4209">
        <w:t xml:space="preserve">All other specific </w:t>
      </w:r>
      <w:r w:rsidR="001A30A7">
        <w:t>drug</w:t>
      </w:r>
      <w:r w:rsidR="0099450F" w:rsidRPr="009A4209">
        <w:t xml:space="preserve">s except for alcohol appeared to be associated with </w:t>
      </w:r>
      <w:r w:rsidR="0099450F" w:rsidRPr="009A4209">
        <w:rPr>
          <w:i/>
        </w:rPr>
        <w:t>increased</w:t>
      </w:r>
      <w:r w:rsidR="0099450F" w:rsidRPr="009A4209">
        <w:t xml:space="preserve"> odds of control, though confidence intervals were wide </w:t>
      </w:r>
      <w:r w:rsidR="0006596D">
        <w:t xml:space="preserve">and </w:t>
      </w:r>
      <w:r w:rsidR="000D0714">
        <w:t xml:space="preserve">associations </w:t>
      </w:r>
      <w:r w:rsidR="0006596D">
        <w:t xml:space="preserve">statistically non-significant </w:t>
      </w:r>
      <w:r w:rsidR="0099450F" w:rsidRPr="009A4209">
        <w:t>in all accounts.</w:t>
      </w:r>
    </w:p>
    <w:p w14:paraId="054CB357" w14:textId="77777777" w:rsidR="00884C04" w:rsidRPr="00B05899" w:rsidRDefault="00764C88" w:rsidP="00884C04">
      <w:pPr>
        <w:spacing w:line="480" w:lineRule="auto"/>
        <w:rPr>
          <w:b/>
        </w:rPr>
      </w:pPr>
      <w:r>
        <w:rPr>
          <w:b/>
        </w:rPr>
        <w:t>Discussion</w:t>
      </w:r>
    </w:p>
    <w:p w14:paraId="6A88CEF2" w14:textId="7EB26E10" w:rsidR="00A247EC" w:rsidRDefault="00884C04" w:rsidP="00884C04">
      <w:pPr>
        <w:spacing w:line="480" w:lineRule="auto"/>
      </w:pPr>
      <w:r w:rsidRPr="009A4209">
        <w:rPr>
          <w:b/>
        </w:rPr>
        <w:tab/>
      </w:r>
      <w:r w:rsidR="002D2E94">
        <w:t xml:space="preserve">In this nested case-control study of multipartner encounters reported by </w:t>
      </w:r>
      <w:r w:rsidR="00A3220C">
        <w:t xml:space="preserve">MSM </w:t>
      </w:r>
      <w:r w:rsidR="002D2E94">
        <w:t>living in England, we found that o</w:t>
      </w:r>
      <w:r w:rsidRPr="002D2E94">
        <w:t xml:space="preserve">n average, </w:t>
      </w:r>
      <w:r w:rsidR="002D2E94">
        <w:t xml:space="preserve">a binary measure of </w:t>
      </w:r>
      <w:r w:rsidRPr="002D2E94">
        <w:t xml:space="preserve">respondent </w:t>
      </w:r>
      <w:r w:rsidR="001A30A7">
        <w:t>drug</w:t>
      </w:r>
      <w:r w:rsidRPr="002D2E94">
        <w:t xml:space="preserve"> use in multipartner encounters was significantly assoc</w:t>
      </w:r>
      <w:r w:rsidR="002D2E94">
        <w:t>iated with increased odds of UAI, but not with pleasure or control</w:t>
      </w:r>
      <w:r w:rsidRPr="002D2E94">
        <w:t>.</w:t>
      </w:r>
      <w:r w:rsidRPr="009A4209">
        <w:t xml:space="preserve"> </w:t>
      </w:r>
      <w:r w:rsidR="002D2E94">
        <w:t xml:space="preserve"> </w:t>
      </w:r>
      <w:r w:rsidR="00701F33">
        <w:t>Considering</w:t>
      </w:r>
      <w:r w:rsidRPr="009A4209">
        <w:t xml:space="preserve"> </w:t>
      </w:r>
      <w:r w:rsidR="00701F33">
        <w:t>u</w:t>
      </w:r>
      <w:r w:rsidRPr="009A4209">
        <w:t xml:space="preserve">se of </w:t>
      </w:r>
      <w:r w:rsidR="00701F33">
        <w:t xml:space="preserve">specific drugs, </w:t>
      </w:r>
      <w:r w:rsidRPr="009A4209">
        <w:t xml:space="preserve">erectile dysfunction medication and crystal methamphetamine were both associated with UAI, but no specific </w:t>
      </w:r>
      <w:r w:rsidR="001A30A7">
        <w:t>drug</w:t>
      </w:r>
      <w:r w:rsidRPr="009A4209">
        <w:t xml:space="preserve"> was associated with pleasure.  Only use of crystal methamphetamine was significantly associated with decreased odds of control in multipartner encounters.</w:t>
      </w:r>
      <w:r w:rsidR="002D2E94">
        <w:t xml:space="preserve">  In initial models, knowing </w:t>
      </w:r>
      <w:r w:rsidR="00C32C2A">
        <w:t xml:space="preserve">the </w:t>
      </w:r>
      <w:r w:rsidR="002D2E94">
        <w:t xml:space="preserve">specifics of partners’ </w:t>
      </w:r>
      <w:r w:rsidR="001A30A7">
        <w:t>drug</w:t>
      </w:r>
      <w:r w:rsidR="002D2E94">
        <w:t xml:space="preserve"> use </w:t>
      </w:r>
      <w:r w:rsidR="00C32C2A">
        <w:t>w</w:t>
      </w:r>
      <w:r w:rsidR="002D2E94">
        <w:t xml:space="preserve">as associated with increased odds of UAI, while not knowing about partners’ </w:t>
      </w:r>
      <w:r w:rsidR="001A30A7">
        <w:t>drug</w:t>
      </w:r>
      <w:r w:rsidR="002D2E94">
        <w:t xml:space="preserve"> use was associated with decreased pleasure.  </w:t>
      </w:r>
      <w:r w:rsidR="003C5469">
        <w:t>Only the finding on pleasure persisted in multivariate models.</w:t>
      </w:r>
      <w:r w:rsidR="00A0184E">
        <w:t xml:space="preserve">  Findings on crystal methamphetamine and sexual risk match that of a systematic review of event-level encounters </w:t>
      </w:r>
      <w:r w:rsidR="00B90C8D">
        <w:fldChar w:fldCharType="begin" w:fldLock="1"/>
      </w:r>
      <w:r w:rsidR="00030835">
        <w:instrText>ADDIN CSL_CITATION { "citationItems" : [ { "id" : "ITEM-1", "itemData" : { "DOI" : "10.1007/s10461-011-0131-8", "ISBN" : "1573-3254", "ISSN" : "1573-3254", "PMID" : "22323004", "abstract" : "In the United States, there continues to be high incidence of HIV infection among men who have sex with men (MSM), who represent 57% of new infections in 2009. While many studies report associations between non-injection substance use and sexual risk behavior among MSM, overall results are mixed. Summarizing these studies is difficult because researchers have used a variety of assessment periods for substance use and sexual behavior. We review the scientific literature on event-level measures, which assess substance use and sexual risk behavior immediately before or during a sexual encounter and provide the most precise link between these two behaviors. From January 2009 through March 2010, we searched four databases: Ovid (MEDLINE and PsycINFO), Web of Knowledge, and Sociofile. Across studies, results varied by substance with little within substance consistency or a lack of research except for two notable exceptions: methamphetamine and binge alcohol use. The findings underscore the importance of providing HIV risk-reduction interventions for substance-using MSM.", "author" : [ { "dropping-particle" : "", "family" : "Vosburgh", "given" : "H Waverly", "non-dropping-particle" : "", "parse-names" : false, "suffix" : "" }, { "dropping-particle" : "", "family" : "Mansergh", "given" : "Gordon", "non-dropping-particle" : "", "parse-names" : false, "suffix" : "" }, { "dropping-particle" : "", "family" : "Sullivan", "given" : "Patrick S", "non-dropping-particle" : "", "parse-names" : false, "suffix" : "" }, { "dropping-particle" : "", "family" : "Purcell", "given" : "David W", "non-dropping-particle" : "", "parse-names" : false, "suffix" : "" } ], "chapter-number" : "1394", "container-title" : "AIDS &amp; Behavior", "id" : "ITEM-1", "issue" : "6", "issued" : { "date-parts" : [ [ "2012" ] ] }, "page" : "1394-1410", "publisher-place" : "United States", "title" : "A review of the literature on event-level substance use and sexual risk behavior among men who have sex with men.", "type" : "article-journal", "volume" : "16" }, "uris" : [ "http://www.mendeley.com/documents/?uuid=8fb530c3-1bc2-49fb-8cfc-bb64fa06310b" ] } ], "mendeley" : { "formattedCitation" : "(1)", "plainTextFormattedCitation" : "(1)", "previouslyFormattedCitation" : "(1)" }, "properties" : { "noteIndex" : 0 }, "schema" : "https://github.com/citation-style-language/schema/raw/master/csl-citation.json" }</w:instrText>
      </w:r>
      <w:r w:rsidR="00B90C8D">
        <w:fldChar w:fldCharType="separate"/>
      </w:r>
      <w:r w:rsidR="00B16AAB" w:rsidRPr="00B16AAB">
        <w:rPr>
          <w:noProof/>
        </w:rPr>
        <w:t>(1)</w:t>
      </w:r>
      <w:r w:rsidR="00B90C8D">
        <w:fldChar w:fldCharType="end"/>
      </w:r>
      <w:r w:rsidR="008D2276">
        <w:t>.  F</w:t>
      </w:r>
      <w:r w:rsidR="00A0184E">
        <w:t xml:space="preserve">indings on erectile dysfunction medications </w:t>
      </w:r>
      <w:r w:rsidR="008D2276">
        <w:t xml:space="preserve">and crystal methamphetamine also match with person-level studies of MSM describing associations between specific drug use and longitudinal risk of HIV seroconversion conducted on cohorts in Australia </w:t>
      </w:r>
      <w:r w:rsidR="00B90C8D">
        <w:fldChar w:fldCharType="begin" w:fldLock="1"/>
      </w:r>
      <w:r w:rsidR="00CE61FF">
        <w:instrText>ADDIN CSL_CITATION { "citationItems" : [ { "id" : "ITEM-1", "itemData" : { "ISBN" : "1743-6109", "abstract" : "INTRODUCTION: Use of illicit drugs and oral erectile dysfunction medications (OEM) have been associated with risk behavior among gay men., AIM: To determine the effects of illicit drugs and OEM as risk factors for HIV seroconversion in a community-based cohort of HIV-negative homosexually active men in Sydney, Australia., MAIN OUTCOME MEASURES: Drug use in the previous 6 months and at the most recent sexual encounter; Most recent occasions of unprotected and protected anal intercourse; HIV-positive diagnosis., METHODS: From June 2001 to June 2007, participants were followed up with 6-monthly detailed behavioral interviews and annual testing for HIV. Detailed information about sexual, drug-using and other behavior was collected., RESULTS: Among 1,427 participants enrolled, 53 HIV seroconverters were identified by June 2007. At baseline, 62.7% reported using illicit drugs in the previous 6 months, including 10.7% who reported at least weekly use. Illicit drug use was associated with unprotected anal intercourse with casual partners (P &lt; 0.001). Use of illicit drugs was associated with increased risk of HIV infection at a univariate level, and this risk increased with greater frequency of use. This was also true of the use of OEM. Use of each type of illicit drug was included in multivariate analysis, and after controlling for sexual risk behaviors, only use of OEM remained significantly predictive of HIV infection (Hazard ratios [HR] = 1.75, CI = 1.31-2.33, P &lt; 0.001), although amyl nitrite was of borderline significance (HR = 1.26, CI = 0.98-1.62, P = 0.074)., CONCLUSION: The association between drug use and increased risk of HIV infection was strongest for drugs used specifically to enhance sexual pleasure, particularly OEM. The risk of infection was substantially increased when both OEM and methamphetamine were used. Within more \"adventurous\" gay community subcultures, the interconnectedness of sexual behavior and drug use may be key to understanding HIV risk and is an appropriate priority in HIV-prevention efforts in this population.", "author" : [ { "dropping-particle" : "", "family" : "Prestage", "given" : "Garrett", "non-dropping-particle" : "", "parse-names" : false, "suffix" : "" }, { "dropping-particle" : "", "family" : "Jin", "given" : "Fengyi", "non-dropping-particle" : "", "parse-names" : false, "suffix" : "" }, { "dropping-particle" : "", "family" : "Kippax", "given" : "Susan", "non-dropping-particle" : "", "parse-names" : false, "suffix" : "" }, { "dropping-particle" : "", "family" : "Zablotska", "given" : "Iryna", "non-dropping-particle" : "", "parse-names" : false, "suffix" : "" }, { "dropping-particle" : "", "family" : "Imrie", "given" : "John", "non-dropping-particle" : "", "parse-names" : false, "suffix" : "" }, { "dropping-particle" : "", "family" : "Grulich", "given" : "Andrew", "non-dropping-particle" : "", "parse-names" : false, "suffix" : "" } ], "container-title" : "Journal of Sexual Medicine", "id" : "ITEM-1", "issue" : "8", "issued" : { "date-parts" : [ [ "2009" ] ] }, "page" : "2311-2320", "title" : "Use of illicit drugs and erectile dysfunction medications and subsequent HIV infection among gay men in Sydney, Australia.", "type" : "article", "volume" : "6" }, "uris" : [ "http://www.mendeley.com/documents/?uuid=f3222e70-02dc-43d3-ba40-a82025eb072f" ] } ], "mendeley" : { "formattedCitation" : "(20)", "plainTextFormattedCitation" : "(20)", "previouslyFormattedCitation" : "(20)" }, "properties" : { "noteIndex" : 0 }, "schema" : "https://github.com/citation-style-language/schema/raw/master/csl-citation.json" }</w:instrText>
      </w:r>
      <w:r w:rsidR="00B90C8D">
        <w:fldChar w:fldCharType="separate"/>
      </w:r>
      <w:r w:rsidR="00B16AAB" w:rsidRPr="00B16AAB">
        <w:rPr>
          <w:noProof/>
        </w:rPr>
        <w:t>(20)</w:t>
      </w:r>
      <w:r w:rsidR="00B90C8D">
        <w:fldChar w:fldCharType="end"/>
      </w:r>
      <w:r w:rsidR="008D2276">
        <w:t xml:space="preserve"> and in the United States </w:t>
      </w:r>
      <w:r w:rsidR="00B90C8D">
        <w:fldChar w:fldCharType="begin" w:fldLock="1"/>
      </w:r>
      <w:r w:rsidR="00CE61FF">
        <w:instrText>ADDIN CSL_CITATION { "citationItems" : [ { "id" : "ITEM-1", "itemData" : { "DOI" : "10.1097/QAI.0b013e3181a24b20", "ISSN" : "1525-4135", "PMID" : "19387357", "abstract" : "New HIV infections are being observed among men who have sex with men (MSM). Understanding the fusion of risky sexual behaviors, stimulant and erectile dysfunction drug use with HIV seroconversion may provide direction for focused intervention.", "author" : [ { "dropping-particle" : "", "family" : "Ostrow", "given" : "David G", "non-dropping-particle" : "", "parse-names" : false, "suffix" : "" }, { "dropping-particle" : "", "family" : "Plankey", "given" : "Michael W", "non-dropping-particle" : "", "parse-names" : false, "suffix" : "" }, { "dropping-particle" : "", "family" : "Cox", "given" : "Christopher", "non-dropping-particle" : "", "parse-names" : false, "suffix" : "" }, { "dropping-particle" : "", "family" : "Li", "given" : "Xiuhong", "non-dropping-particle" : "", "parse-names" : false, "suffix" : "" }, { "dropping-particle" : "", "family" : "Shoptaw", "given" : "Steven", "non-dropping-particle" : "", "parse-names" : false, "suffix" : "" }, { "dropping-particle" : "", "family" : "Jacobson", "given" : "Lisa P", "non-dropping-particle" : "", "parse-names" : false, "suffix" : "" }, { "dropping-particle" : "", "family" : "Stall", "given" : "Ronald C", "non-dropping-particle" : "", "parse-names" : false, "suffix" : "" } ], "container-title" : "Journal of acquired immune deficiency syndromes", "id" : "ITEM-1", "issue" : "3", "issued" : { "date-parts" : [ [ "2009" ] ] }, "page" : "349-55", "title" : "Specific sex drug combinations contribute to the majority of recent HIV seroconversions among MSM in the MACS.", "type" : "article-journal", "volume" : "51" }, "uris" : [ "http://www.mendeley.com/documents/?uuid=3c142360-7ffe-4a8c-bf15-63704262bf49" ] } ], "mendeley" : { "formattedCitation" : "(21)", "plainTextFormattedCitation" : "(21)", "previouslyFormattedCitation" : "(21)" }, "properties" : { "noteIndex" : 0 }, "schema" : "https://github.com/citation-style-language/schema/raw/master/csl-citation.json" }</w:instrText>
      </w:r>
      <w:r w:rsidR="00B90C8D">
        <w:fldChar w:fldCharType="separate"/>
      </w:r>
      <w:r w:rsidR="00B16AAB" w:rsidRPr="00B16AAB">
        <w:rPr>
          <w:noProof/>
        </w:rPr>
        <w:t>(21)</w:t>
      </w:r>
      <w:r w:rsidR="00B90C8D">
        <w:fldChar w:fldCharType="end"/>
      </w:r>
      <w:r w:rsidR="008D2276">
        <w:t>.</w:t>
      </w:r>
    </w:p>
    <w:p w14:paraId="1D77F88D" w14:textId="7DE3700F" w:rsidR="003C5469" w:rsidRDefault="00A247EC" w:rsidP="00884C04">
      <w:pPr>
        <w:spacing w:line="480" w:lineRule="auto"/>
      </w:pPr>
      <w:r>
        <w:tab/>
      </w:r>
      <w:r w:rsidR="003C5469">
        <w:t>The additional situational characteristics used as covaria</w:t>
      </w:r>
      <w:r w:rsidR="00C32C2A">
        <w:t>t</w:t>
      </w:r>
      <w:r w:rsidR="003C5469">
        <w:t xml:space="preserve">es also painted an interesting picture.  </w:t>
      </w:r>
      <w:r w:rsidR="000A514D">
        <w:t xml:space="preserve">Encounters with </w:t>
      </w:r>
      <w:r w:rsidR="000F4A27">
        <w:t>m</w:t>
      </w:r>
      <w:r>
        <w:t>ore partners w</w:t>
      </w:r>
      <w:r w:rsidR="000A514D">
        <w:t>ere</w:t>
      </w:r>
      <w:r>
        <w:t xml:space="preserve"> associated with increased pleasure, but not UAI or control.  </w:t>
      </w:r>
      <w:r w:rsidR="003C5469">
        <w:t xml:space="preserve">An unknown serostatus match between respondent and partners, but not </w:t>
      </w:r>
      <w:r w:rsidR="00FB4FCA">
        <w:t xml:space="preserve">HIV </w:t>
      </w:r>
      <w:r w:rsidR="003C5469">
        <w:t>serodiscordance</w:t>
      </w:r>
      <w:r w:rsidR="00C32C2A">
        <w:t>,</w:t>
      </w:r>
      <w:r w:rsidR="003C5469">
        <w:t xml:space="preserve"> was associated with decreased odds of UAI and decreased pleasure, though the association with pleasure was not significant in multivariate models.  </w:t>
      </w:r>
      <w:r w:rsidR="003C5469" w:rsidRPr="003C5469">
        <w:t>Similarly</w:t>
      </w:r>
      <w:r w:rsidR="003C5469">
        <w:t>, while location of sex was not associated with UAI, cruising</w:t>
      </w:r>
      <w:r w:rsidR="00701F33">
        <w:t xml:space="preserve"> locations</w:t>
      </w:r>
      <w:r w:rsidR="003C5469">
        <w:t xml:space="preserve"> w</w:t>
      </w:r>
      <w:r w:rsidR="00701F33">
        <w:t>ere</w:t>
      </w:r>
      <w:r w:rsidR="003C5469">
        <w:t xml:space="preserve"> consistently associated with </w:t>
      </w:r>
      <w:r w:rsidR="00701F33">
        <w:t xml:space="preserve">less </w:t>
      </w:r>
      <w:r w:rsidR="003C5469">
        <w:t>pleasure</w:t>
      </w:r>
      <w:r w:rsidR="00701F33">
        <w:t xml:space="preserve"> than homes and SOPVs</w:t>
      </w:r>
      <w:r w:rsidR="003C5469">
        <w:t xml:space="preserve">.  </w:t>
      </w:r>
      <w:r>
        <w:t xml:space="preserve">This finding regarding decreased pleasure in unknown serostatus match encounters may be due to decreased partner familiarity.  This is in part supported by the decreased pleasure also associated with encounters in cruising locations.  Qualitative evidence has shown that MSM report greater pleasure in encounters with well-known, long-term partners </w:t>
      </w:r>
      <w:r w:rsidR="00B90C8D">
        <w:fldChar w:fldCharType="begin" w:fldLock="1"/>
      </w:r>
      <w:r w:rsidR="00CE61FF">
        <w:instrText>ADDIN CSL_CITATION { "citationItems" : [ { "id" : "ITEM-1", "itemData" : { "ISBN" : "9781906673185",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 Rueda", "given" : "Sergio", "non-dropping-particle" : "", "parse-names" : false, "suffix" : "" }, { "dropping-particle" : "", "family" : "Weatherburn", "given" : "Peter", "non-dropping-particle" : "", "parse-names" : false, "suffix" : "" } ], "id" : "ITEM-1", "issued" : { "date-parts" : [ [ "2014" ] ] }, "publisher" : "Sigma Research, London School of Hygiene and Tropical Medicine", "publisher-place" : "London", "title" : "The Chemsex Study: drug use in sexual settings among gay &amp; bisexual men in Lambeth, Southwark, &amp; Lewisham.", "type" : "book" }, "uris" : [ "http://www.mendeley.com/documents/?uuid=27fcc919-3ed9-40dc-b7d4-4ec0d8dbf603" ] }, { "id" : "ITEM-2", "itemData" : { "DOI" : "10.1186/1471-2458-12-916", "ISSN" : "1471-2458", "PMID" : "23107161", "abstract" : "A significant research literature exists that details the sexual health and sexual behaviour of gay and bisexual men who have diagnosed HIV. However, much of this research has focussed on HIV transmission risk behaviours among this group, rather than seeking to understand their sexual health and sexual well-being more broadly. There have been growing calls for interventions to support people with diagnosed HIV to achieve health and well-being, including sexual health and well-being. A detailed understanding of the problems people in this group face, and how they might be overcome, is required to facilitate such interventions.", "author" : [ { "dropping-particle" : "", "family" : "Bourne", "given" : "Adam", "non-dropping-particle" : "", "parse-names" : false, "suffix" : "" }, { "dropping-particle" : "", "family" : "Hickson", "given" : "Ford", "non-dropping-particle" : "", "parse-names" : false, "suffix" : "" }, { "dropping-particle" : "", "family" : "Keogh", "given" : "Peter", "non-dropping-particle" : "", "parse-names" : false, "suffix" : "" }, { "dropping-particle" : "", "family" : "Reid", "given" : "David", "non-dropping-particle" : "", "parse-names" : false, "suffix" : "" }, { "dropping-particle" : "", "family" : "Weatherburn", "given" : "Peter", "non-dropping-particle" : "", "parse-names" : false, "suffix" : "" } ], "container-title" : "BMC public health", "id" : "ITEM-2", "issue" : "916", "issued" : { "date-parts" : [ [ "2012" ] ] }, "title" : "Problems with sex among gay and bisexual men with diagnosed HIV in the United Kingdom.", "type" : "article-journal", "volume" : "12" }, "uris" : [ "http://www.mendeley.com/documents/?uuid=50476773-a794-4993-a6c0-c40025bdaf42" ] } ], "mendeley" : { "formattedCitation" : "(10,22)", "plainTextFormattedCitation" : "(10,22)", "previouslyFormattedCitation" : "(10,22)" }, "properties" : { "noteIndex" : 0 }, "schema" : "https://github.com/citation-style-language/schema/raw/master/csl-citation.json" }</w:instrText>
      </w:r>
      <w:r w:rsidR="00B90C8D">
        <w:fldChar w:fldCharType="separate"/>
      </w:r>
      <w:r w:rsidR="00B16AAB" w:rsidRPr="00B16AAB">
        <w:rPr>
          <w:noProof/>
        </w:rPr>
        <w:t>(10,22)</w:t>
      </w:r>
      <w:r w:rsidR="00B90C8D">
        <w:fldChar w:fldCharType="end"/>
      </w:r>
      <w:r>
        <w:t xml:space="preserve">.  </w:t>
      </w:r>
      <w:r w:rsidR="002F1570">
        <w:t xml:space="preserve">Similarly, associations between unknown serostatus </w:t>
      </w:r>
      <w:r w:rsidR="00C31AB1">
        <w:t xml:space="preserve">partners </w:t>
      </w:r>
      <w:r w:rsidR="002F1570">
        <w:t xml:space="preserve">and decreased odds of UAI are also likely due to partner familiarity, as prior research </w:t>
      </w:r>
      <w:r w:rsidR="00756989">
        <w:t>comparing frequency of behaviours with different partners reported by the same respondent h</w:t>
      </w:r>
      <w:r w:rsidR="002F1570">
        <w:t xml:space="preserve">as shown </w:t>
      </w:r>
      <w:r w:rsidR="00B90C8D">
        <w:fldChar w:fldCharType="begin" w:fldLock="1"/>
      </w:r>
      <w:r w:rsidR="00CE61FF">
        <w:instrText>ADDIN CSL_CITATION { "citationItems" : [ { "id" : "ITEM-1", "itemData" : { "DOI" : "10.1037/a0023858", "ISBN" : "0278-6133", "ISSN" : "0278-6133", "abstract" : "Objective: Young men who have sex with men (MSM), particularly young men of color, are experiencing the largest increase in HIV incidence of any risk group in the United States Epidemiol\u00c3\u00b3gica! research suggests that the majority of transmissions among MSM are occurring in the context of primary partnerships, but little research has been done on the processes within these dyads that increase HIV risk behaviors. The aim of this study was to use longitudinal partnership-level data to explore the effects of partner and relationship characteristics on the frequency of unprotected sex within young MSM relationships. Method: One hundred twenty-two young MSM (age 16-20 at baseline) were assessed at three time-points six months apart, with 91% retention at the 12-month follow-up wave. Over 80% were racial/ethnic minorities. At each wave, participants reported on characteristics of the relationships and partners for up to three sexual partners. Hierarchical linear modeling was used for analyses. Results: The largest effect was for considering the relationship to be serious, which was associated with nearly an eightfold increase in the rate of unprotected sex. Other factors that increased risk behaviors included older partners, drug use prior to sex, physical violence, forced sex, and partnership lasting more than six months. Partners met online were not associated with significantly more sexual risk. Conclusions: These data provide insight into the relationship processes that should be addressed in prevention programs targeted at young MSM. Relationships may serve as a promising unit for HIV prevention interventions, although more formative research will be required to address potential logistical obstacles to implementing such interventions. The partner-by-partner analytic approach (i.e., evaluating situational variables associated with several partners for a given participant) holds promise for future HIV behavioral research.", "author" : [ { "dropping-particle" : "", "family" : "Mustanski", "given" : "Brian S", "non-dropping-particle" : "", "parse-names" : false, "suffix" : "" }, { "dropping-particle" : "", "family" : "Newcomb", "given" : "Michael E", "non-dropping-particle" : "", "parse-names" : false, "suffix" : "" }, { "dropping-particle" : "", "family" : "Clerkin", "given" : "Elise", "non-dropping-particle" : "", "parse-names" : false, "suffix" : "" } ], "container-title" : "Health Psychology", "id" : "ITEM-1", "issue" : "5", "issued" : { "date-parts" : [ [ "2011" ] ] }, "note" : "From Duplicate 1 ( ", "page" : "597-605", "title" : "Relationship Characteristics and Sexual Risk-Taking in Young Men Who Have Sex With Men.", "type" : "article-journal", "volume" : "30" }, "uris" : [ "http://www.mendeley.com/documents/?uuid=6c3daa8f-482b-4a4a-bb44-19a58ffcfa4b" ] } ], "mendeley" : { "formattedCitation" : "(23)", "plainTextFormattedCitation" : "(23)", "previouslyFormattedCitation" : "(23)" }, "properties" : { "noteIndex" : 0 }, "schema" : "https://github.com/citation-style-language/schema/raw/master/csl-citation.json" }</w:instrText>
      </w:r>
      <w:r w:rsidR="00B90C8D">
        <w:fldChar w:fldCharType="separate"/>
      </w:r>
      <w:r w:rsidR="00B16AAB" w:rsidRPr="00B16AAB">
        <w:rPr>
          <w:noProof/>
        </w:rPr>
        <w:t>(23)</w:t>
      </w:r>
      <w:r w:rsidR="00B90C8D">
        <w:fldChar w:fldCharType="end"/>
      </w:r>
      <w:r w:rsidR="002F1570">
        <w:t>.  There are several mechanisms that may be part of this association, including refusal to not use condoms with casual sex partners and ‘strategic’ engagement in sexual practices that are lower risk for HIV transmission than UAI.</w:t>
      </w:r>
    </w:p>
    <w:p w14:paraId="1E86FC83" w14:textId="7FCE2870" w:rsidR="00206AAD" w:rsidRDefault="00206AAD" w:rsidP="00884C04">
      <w:pPr>
        <w:spacing w:line="480" w:lineRule="auto"/>
      </w:pPr>
      <w:r>
        <w:tab/>
      </w:r>
      <w:r w:rsidR="0091216B">
        <w:rPr>
          <w:b/>
        </w:rPr>
        <w:t>Strengths and limitations</w:t>
      </w:r>
      <w:r w:rsidR="0091216B" w:rsidRPr="0091216B">
        <w:rPr>
          <w:b/>
        </w:rPr>
        <w:t>.</w:t>
      </w:r>
      <w:r w:rsidR="0091216B" w:rsidRPr="0091216B">
        <w:t xml:space="preserve">  </w:t>
      </w:r>
      <w:r>
        <w:t xml:space="preserve">This study drew on a sizeable sample of encounters and addressed a type of encounter that has not been studied extensively.  Moreover, it included </w:t>
      </w:r>
      <w:r w:rsidR="000762D0">
        <w:t xml:space="preserve">additional sexual </w:t>
      </w:r>
      <w:r w:rsidR="00EF4423">
        <w:t xml:space="preserve">session </w:t>
      </w:r>
      <w:r w:rsidR="0006350E">
        <w:t>characteristics</w:t>
      </w:r>
      <w:r w:rsidR="000762D0">
        <w:t xml:space="preserve"> besides risk behaviour </w:t>
      </w:r>
      <w:r w:rsidR="00EF4423">
        <w:t xml:space="preserve">to </w:t>
      </w:r>
      <w:r w:rsidR="000762D0">
        <w:t>better</w:t>
      </w:r>
      <w:r w:rsidR="00C32C2A">
        <w:t xml:space="preserve"> </w:t>
      </w:r>
      <w:r w:rsidR="000762D0">
        <w:t xml:space="preserve">understand the contexts and outcomes </w:t>
      </w:r>
      <w:r w:rsidR="00C32C2A">
        <w:t xml:space="preserve">of </w:t>
      </w:r>
      <w:r w:rsidR="000762D0">
        <w:t xml:space="preserve">sexual encounters.  Multipartner encounters may be a particular feature of </w:t>
      </w:r>
      <w:r w:rsidR="00B53BE1">
        <w:t>SOPV</w:t>
      </w:r>
      <w:r w:rsidR="000762D0">
        <w:t xml:space="preserve">s </w:t>
      </w:r>
      <w:r w:rsidR="00B90C8D">
        <w:fldChar w:fldCharType="begin" w:fldLock="1"/>
      </w:r>
      <w:r w:rsidR="00030835">
        <w:instrText>ADDIN CSL_CITATION { "citationItems" : [ { "id" : "ITEM-1", "itemData" : { "DOI" : "10.1080/13691050902721853", "ISSN" : "1369-1058", "abstract" : "Intensive sex partying is a framework developed to analyse specific frequent behaviours amongst a small minority of gay men in Sydney, Australia. The behaviours included a higher frequency of dance party attendance, more frequent sex, more anal sex, multiple sex partners, more unprotected anal intercourse with casual partners and more frequent drug taking. These occur at a contextual intersection between a sub-group of sexually adventurous gay men and 'party boys'. The men appear to be involved in both high-risk, adventurous sex practices and a specific form of partying distinguishable from dance partying and 'clubbing'. Sex partying occurs on multiple sites (domestic spaces; within dance parties; sex parties; sex-on-premises venues) and appears to be geared to the maximisation of sexual pleasure. Intensive sex partying describes this coincidence of factors and locates them in relation to the multiple pleasures offered by sex partying. It emphasises the importance of 'intensity' in order to understand better the relations between sex, drug use, pleasure, care and risk in some gay men's lives.", "author" : [ { "dropping-particle" : "", "family" : "Hurley", "given" : "M", "non-dropping-particle" : "", "parse-names" : false, "suffix" : "" }, { "dropping-particle" : "", "family" : "Prestage", "given" : "G", "non-dropping-particle" : "", "parse-names" : false, "suffix" : "" } ], "container-title" : "Culture, Health &amp; Sexuality", "id" : "ITEM-1", "issue" : "6", "issued" : { "date-parts" : [ [ "2009" ] ] }, "page" : "597-610", "title" : "Intensive sex partying amongst gay men in Sydney.", "type" : "article-journal", "volume" : "11" }, "uris" : [ "http://www.mendeley.com/documents/?uuid=6a9aa746-2ffc-4e2c-a5d0-812265352b48" ] } ], "mendeley" : { "formattedCitation" : "(11)", "plainTextFormattedCitation" : "(11)", "previouslyFormattedCitation" : "(11)" }, "properties" : { "noteIndex" : 0 }, "schema" : "https://github.com/citation-style-language/schema/raw/master/csl-citation.json" }</w:instrText>
      </w:r>
      <w:r w:rsidR="00B90C8D">
        <w:fldChar w:fldCharType="separate"/>
      </w:r>
      <w:r w:rsidR="00B16AAB" w:rsidRPr="00B16AAB">
        <w:rPr>
          <w:noProof/>
        </w:rPr>
        <w:t>(11)</w:t>
      </w:r>
      <w:r w:rsidR="00B90C8D">
        <w:fldChar w:fldCharType="end"/>
      </w:r>
      <w:r w:rsidR="000762D0">
        <w:t>.  In this regard, this paper is uniquely positioned to add to comparative understandings of sexual risk between these and other venues of sex.</w:t>
      </w:r>
    </w:p>
    <w:p w14:paraId="3B91E569" w14:textId="65097846" w:rsidR="000762D0" w:rsidRPr="00206AAD" w:rsidRDefault="000762D0" w:rsidP="00884C04">
      <w:pPr>
        <w:spacing w:line="480" w:lineRule="auto"/>
      </w:pPr>
      <w:r>
        <w:tab/>
        <w:t xml:space="preserve">This study drew from a large-scale community-recruited sample of MSM in England.  This may present a weakness, as community-recruited samples may report more risk than probability-recruited samples in surveys of MSM </w:t>
      </w:r>
      <w:r w:rsidR="00B90C8D">
        <w:fldChar w:fldCharType="begin" w:fldLock="1"/>
      </w:r>
      <w:r w:rsidR="00B16AAB">
        <w:instrText>ADDIN CSL_CITATION { "citationItems" : [ { "id" : "ITEM-1", "itemData" : { "DOI" : "10.1136/sti.2005.015248", "ISSN" : "1368-4973", "PMID" : "16461615", "abstract" : "We compared characteristics of men who have sex with men (MSM) in a probability sample survey with a community based study in London. The majority of men in both surveys reported male sex partner(s) in the last year but MSM recruited through the population based survey had lower levels of HIV risk behaviour, reported fewer sexually transmitted infections and HIV testing than those recruited from gay venues. Community samples are likely to overestimate levels of risk behaviour among all MSM.", "author" : [ { "dropping-particle" : "", "family" : "Dodds", "given" : "J P", "non-dropping-particle" : "", "parse-names" : false, "suffix" : "" }, { "dropping-particle" : "", "family" : "Mercer", "given" : "C H", "non-dropping-particle" : "", "parse-names" : false, "suffix" : "" }, { "dropping-particle" : "", "family" : "Mercey", "given" : "D E", "non-dropping-particle" : "", "parse-names" : false, "suffix" : "" }, { "dropping-particle" : "", "family" : "Copas", "given" : "A J", "non-dropping-particle" : "", "parse-names" : false, "suffix" : "" }, { "dropping-particle" : "", "family" : "Johnson", "given" : "A M", "non-dropping-particle" : "", "parse-names" : false, "suffix" : "" } ], "container-title" : "Sexually transmitted infections", "id" : "ITEM-1", "issue" : "1", "issued" : { "date-parts" : [ [ "2006", "2" ] ] }, "page" : "86-7", "title" : "Men who have sex with men: a comparison of a probability sample survey and a community based study.", "type" : "article-journal", "volume" : "82" }, "uris" : [ "http://www.mendeley.com/documents/?uuid=61ee55db-5925-4c7c-a3c3-5c2c47559b99" ] }, { "id" : "ITEM-2", "itemData" : { "ISBN" : "1090-7165", "abstract" : "Understanding the link between venues for meeting sex partners and sexual risk behavior is critical to developing and placing effective sexual health education and HIV prevention services. Non-monogamous gay and bisexual men (n = 886) were surveyed in New York and Los Angeles about the venues that they met recent sex partners: bathhouses, private sex parties, gay bars/clubs, the gym, via public cruising, and the Internet. Bars/clubs, bathhouses, and the Internet were the most endorsed venues for meeting partners. Men having met a majority of their partners (i.e., \"preference\") via these three venues were compared/contrasted. Those having preference for bars/clubs were dissimilar from men with preference for bathhouses or the Internet on multiple levels (e.g. age, number of sex partners, temptation for unsafe sex). However, these men were proportionally similar in whether they had engaged in a recent episode of unprotected anal intercourse (UAI). Logistic regressions predicting UAI suggested venues might not play a role in differentiating men who had preference for bars/clubs, bathhouses or the Internet. Additional regression analyses utilizing all six venues to predict UAI suggested other person-factors such as identity as a barebacker and temptation for unsafe sex better explain UAI. This research suggests HIV prevention and educational campaigns targeted within venues need also address socio-psychological person-factors in addition to environmental/venue contexts.", "author" : [ { "dropping-particle" : "", "family" : "Grov", "given" : "Christian", "non-dropping-particle" : "", "parse-names" : false, "suffix" : "" }, { "dropping-particle" : "", "family" : "Parsons", "given" : "Jeffrey T", "non-dropping-particle" : "", "parse-names" : false, "suffix" : "" }, { "dropping-particle" : "", "family" : "Bimbi", "given" : "David S", "non-dropping-particle" : "", "parse-names" : false, "suffix" : "" } ], "container-title" : "AIDS and behavior", "id" : "ITEM-2", "issue" : "6", "issued" : { "date-parts" : [ [ "2007" ] ] }, "page" : "915-926", "publisher" : "Center for HIV/AIDS Educational Studies and Training (CHEST), New York, NY, USA.", "publisher-place" : "United States", "title" : "Sexual risk behavior and venues for meeting sex partners: an intercept survey of gay and bisexual men in LA and NYC.", "type" : "article-journal", "volume" : "11" }, "uris" : [ "http://www.mendeley.com/documents/?uuid=8f1d86af-b380-41df-a50f-b8aa86e408f0" ] } ], "mendeley" : { "formattedCitation" : "(24,25)", "plainTextFormattedCitation" : "(24,25)", "previouslyFormattedCitation" : "(24,25)" }, "properties" : { "noteIndex" : 0 }, "schema" : "https://github.com/citation-style-language/schema/raw/master/csl-citation.json" }</w:instrText>
      </w:r>
      <w:r w:rsidR="00B90C8D">
        <w:fldChar w:fldCharType="separate"/>
      </w:r>
      <w:r w:rsidR="00B16AAB" w:rsidRPr="00B16AAB">
        <w:rPr>
          <w:noProof/>
        </w:rPr>
        <w:t>(24,25)</w:t>
      </w:r>
      <w:r w:rsidR="00B90C8D">
        <w:fldChar w:fldCharType="end"/>
      </w:r>
      <w:r>
        <w:t>.  Moreover, while the focus on multipartner encounters offers a specific examination of a class of sexual encounters, these results may not be generalisable to dyadic encounters.</w:t>
      </w:r>
      <w:r w:rsidR="005C3491">
        <w:t xml:space="preserve">  </w:t>
      </w:r>
      <w:r w:rsidR="006C6CDB">
        <w:t xml:space="preserve">Another limitation is that we were unable to examine partner familiarity and relationship consistently across all multipartner encounters in this dataset.  Partner familiarity, though difficult to measure in a clear and consistent fashion, may be an important confounder in respect of risk for UAI in multipartner encounters.  </w:t>
      </w:r>
      <w:r w:rsidR="005C3491">
        <w:t>Finally, we note that a stronger form of analysis would have been to use a within-subjects comparison (e.g. conditional logistic regressions) to separate out the effect of person-level characteristics.  However, we did not have enough encounters per respondent to accomplish this.</w:t>
      </w:r>
    </w:p>
    <w:p w14:paraId="671AD358" w14:textId="13E8630B" w:rsidR="000B0596" w:rsidRPr="000B0596" w:rsidRDefault="0091216B" w:rsidP="00884C04">
      <w:pPr>
        <w:spacing w:line="480" w:lineRule="auto"/>
      </w:pPr>
      <w:r>
        <w:rPr>
          <w:b/>
        </w:rPr>
        <w:tab/>
      </w:r>
      <w:r w:rsidR="000B0596">
        <w:rPr>
          <w:b/>
        </w:rPr>
        <w:t>Implications for research and practice</w:t>
      </w:r>
      <w:r>
        <w:rPr>
          <w:b/>
        </w:rPr>
        <w:t>.</w:t>
      </w:r>
      <w:r>
        <w:t xml:space="preserve">  </w:t>
      </w:r>
      <w:r w:rsidR="000B0596">
        <w:t xml:space="preserve">The findings from this study match those of analyses of </w:t>
      </w:r>
      <w:r w:rsidR="00BF3E6A">
        <w:t>dyadic encounters</w:t>
      </w:r>
      <w:r w:rsidR="00FB4FCA">
        <w:t xml:space="preserve"> that</w:t>
      </w:r>
      <w:r w:rsidR="000B0596">
        <w:t xml:space="preserve"> f</w:t>
      </w:r>
      <w:r w:rsidR="00FB4FCA">
        <w:t>ound</w:t>
      </w:r>
      <w:r w:rsidR="000B0596">
        <w:t xml:space="preserve"> significant associations between </w:t>
      </w:r>
      <w:r w:rsidR="001A30A7">
        <w:t>drug</w:t>
      </w:r>
      <w:r w:rsidR="000B0596">
        <w:t xml:space="preserve"> use and UAI </w:t>
      </w:r>
      <w:r w:rsidR="00F40A92">
        <w:t xml:space="preserve">in MSM </w:t>
      </w:r>
      <w:r w:rsidR="00B90C8D">
        <w:fldChar w:fldCharType="begin" w:fldLock="1"/>
      </w:r>
      <w:r w:rsidR="00030835">
        <w:instrText>ADDIN CSL_CITATION { "citationItems" : [ { "id" : "ITEM-1", "itemData" : { "DOI" : "10.1007/s10461-012-0206-1", "ISSN" : "1573-3254", "PMID" : "22614745", "abstract" : "As HIV infection rates remain high among young gay and bisexual men, investigations into determinants of sexual risk are paramount. This study examined independent and interactive effects of substance use, mental health, perceived benefits of unprotected sex, and type of sex partner on odds of not using condoms. Analyses included 188 high-risk substance using HIV-negative and unknown status young gay and bisexual men (ages 18-29). Substance use and endorsing favorable attitudes towards unprotected sex strongly predicted sexual risk. Mental health moderated the relationship between partner type (main vs. casual) and condom use such that increased anxiety and depression were associated with increased odds of using condoms with main partners and not using condoms with casual partners. Understanding how these determinants of HIV risk converge to predict unprotected anal sex can identify essential risk relationships for prevention, obtain effects sizes of greater magnitude and prolonged sustainability, and build robust couples-based interventions.", "author" : [ { "dropping-particle" : "", "family" : "Parsons", "given" : "Jeffrey T", "non-dropping-particle" : "", "parse-names" : false, "suffix" : "" }, { "dropping-particle" : "", "family" : "Lelutiu-Weinberger", "given" : "Corina", "non-dropping-particle" : "", "parse-names" : false, "suffix" : "" }, { "dropping-particle" : "", "family" : "Botsko", "given" : "Michael", "non-dropping-particle" : "", "parse-names" : false, "suffix" : "" }, { "dropping-particle" : "", "family" : "Golub", "given" : "Sarit A", "non-dropping-particle" : "", "parse-names" : false, "suffix" : "" } ], "container-title" : "AIDS and behavior", "id" : "ITEM-1", "issue" : "4", "issued" : { "date-parts" : [ [ "2012", "5", "22" ] ] }, "language" : "English", "note" : "From Duplicate 1 ( ", "page" : "1465-1477", "title" : "Predictors of day-level sexual risk for young gay and bisexual men", "type" : "article-journal", "volume" : "17" }, "uris" : [ "http://www.mendeley.com/documents/?uuid=8929c278-8842-414a-8090-ec806627c345" ] }, { "id" : "ITEM-2", "itemData" : { "DOI" : "10.1007/s10461-012-0167-4", "ISBN" : "1573-3254", "ISSN" : "1573-3254", "PMID" : "22392156", "abstract" : "Men who have sex with men (MSM) make up nearly half of all people living with HIV in the United States. The prevalence of the epidemic in this population makes it vitally important to understand the transmission of the infection and to develop methods to prevent its spread. The current study uses longitudinal diary methods to examine relationships between substance use and unprotected anal intercourse in a sample of 158 HIV-positive, mostly ethnic minority MSM. Results indicate that both general substance use and use of specific drugs (i.e., inhalants, cocaine, crack, and club drugs) have a substantial impact on the sexual risk behavior of this population.", "author" : [ { "dropping-particle" : "", "family" : "Boone", "given" : "Melissa R", "non-dropping-particle" : "", "parse-names" : false, "suffix" : "" }, { "dropping-particle" : "", "family" : "Cook", "given" : "Stephanie H", "non-dropping-particle" : "", "parse-names" : false, "suffix" : "" }, { "dropping-particle" : "", "family" : "Wilson", "given" : "Patrick", "non-dropping-particle" : "", "parse-names" : false, "suffix" : "" } ], "container-title" : "AIDS and behavior", "id" : "ITEM-2", "issue" : "5", "issued" : { "date-parts" : [ [ "2013" ] ] }, "page" : "1883-1887", "publisher-place" : "United States", "title" : "Substance use and sexual risk behavior in HIV-positive men who have sex with men: An episode-level analysis.", "type" : "article-journal", "volume" : "17" }, "uris" : [ "http://www.mendeley.com/documents/?uuid=260cfa18-781d-4a03-82e5-0b3bec386e42" ] }, { "id" : "ITEM-3", "itemData" : { "DOI" : "10.1093/aje/kwh135",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"ITEM-3", "issue" : "10", "issued" : { "date-parts" : [ [ "2004" ] ] }, "note" : "From Duplicate 1 ( ", "page" : "1002-1012", "title" : "Substance use and sexual risk: A participant- and episode-level analysis among a cohort of men who have sex with men", "type" : "article-journal", "volume" : "159" }, "uris" : [ "http://www.mendeley.com/documents/?uuid=0bdce725-f385-4ef4-b137-b8f3182036ff" ] }, { "id" : "ITEM-4", "itemData" : { "DOI" : "10.1007/s10461-008-9479-9", "ISBN" : "1573-3254", "ISSN" : "1573-3254", "PMID" : "18985447", "abstract" : "It is important to understand situational factors linked to episodes of unprotected sexual intercourse among Latino gay men (LGM), who are disproportionately affected by HIV/AIDS in the U.S. Past research has suggested that participation in difficult sexual situations mediates the relationship between socio-cultural factors and sexual risk behaviors among LGM. This study examined drug use by self and sex partners, interpersonal factors, and other key variables, each examined at the situation-level of analysis, as predictors of episodes of unprotected anal intercourse (UAI) among LGM. Study participants included 270 LGM living in New York City, Miami, and Los Angeles who reported inconsistent condom use during anal intercourse in the last year. Men participated in structured interviews in which they were asked sets of detailed questions about their most recent episode of anal intercourse in which they used condoms, and their most recent anal intercourse episode in which they did not use condoms. Conditional logistic regression was used to compare the relevance of specific situational factors to participants' episodes of UAI and protected anal intercourse. We found that drug use by a sex partner and lacks of discussions about condom use with partners, among other situational factors, were significantly related to episodes of UAI. The findings highlight the importance of considering the impact of sexual situations and interactions with sex partners when studying HIV risk among LGM and when designing interventions.", "author" : [ { "dropping-particle" : "", "family" : "Wilson", "given" : "Patrick A", "non-dropping-particle" : "", "parse-names" : false, "suffix" : "" }, { "dropping-particle" : "", "family" : "D\u00edaz", "given" : "Rafael M", "non-dropping-particle" : "", "parse-names" : false, "suffix" : "" }, { "dropping-particle" : "", "family" : "Yoshikawa", "given" : "Hirokazu", "non-dropping-particle" : "", "parse-names" : false, "suffix" : "" }, { "dropping-particle" : "", "family" : "Shrout", "given" : "Patrick E Y", "non-dropping-particle" : "", "parse-names" : false, "suffix" : "" }, { "dropping-particle" : "", "family" : "Diaz", "given" : "Rafael M", "non-dropping-particle" : "", "parse-names" : false, "suffix" : "" } ], "chapter-number" : "691", "container-title" : "AIDS and behavior", "id" : "ITEM-4", "issue" : "4", "issued" : { "date-parts" : [ [ "2009", "8" ] ] }, "note" : "From Duplicate 1 ( ", "page" : "691-9", "publisher" : "Department of Sociomedical Sciences, Mailman School of Public Health, Columbia University, 722 West 168th Street, New York, NY 10032, USA. pw2219@columbia.edu", "publisher-place" : "Netherlands", "title" : "Drug use, interpersonal attraction, and communication: situational factors as predictors of episodes of unprotected anal intercourse among Latino gay men.", "type" : "article-journal", "volume" : "13" }, "uris" : [ "http://www.mendeley.com/documents/?uuid=95eeb411-607f-46a2-9e81-a604d9292c0f" ] }, { "id" : "ITEM-5", "itemData" : { "DOI" : "10.1136/sti.2008.031583", "ISSN" : "1368-4973", "abstract" : "Background: Men with HIV who have sex with men (MSM) represent the largest group of people living with HIV/AIDS in the United States. It is important to understand the sexual risk-taking behaviours that may be linked to the transmission of HIV and other sexually transmitted infections in this population. Models of HIV risk that focus solely on personal factors have been demonstrated to be ineffective at explaining risk behaviour. Rather, in order to fully understand sexual risk-taking, it is important to examine the factors linked to high-risk sexual situations and not solely the factors linked to potentially high-risk people. Methods: A diverse sample of 100 MSM with HIV completed a 6-week internet-based sex diary that collected detailed information on recent sexual encounters. In total, information on over 250 sexual episodes was collected and analysed. Generalised linear mixed models were used to examine situational predictors of risk episodes. Results: Analyses revealed that drug use by self and sex partners (examined individually and together) were positively related to risk episodes. Likewise, having a sex partner met online and having a sexual encounter in a sex party or bathhouse setting was linked to risk episodes. Sexual episodes that involved a sex-partner who was perceived as sexually desirable and those involving communication about HIV and/or condom use with partners each were negatively related to risk. Conclusions: Situational factors play an important role in explaining sexual risk-taking among MSM with HIV. Researchers should place a greater focus on drug use and characteristics of sex partners and settings in which sexual behaviours occur as situational predictors of risk in order to comprehensively understand sexual risk-taking in this population.", "author" : [ { "dropping-particle" : "", "family" : "Wilson", "given" : "Patrick A", "non-dropping-particle" : "", "parse-names" : false, "suffix" : "" }, { "dropping-particle" : "", "family" : "Cook", "given" : "S", "non-dropping-particle" : "", "parse-names" : false, "suffix" : "" }, { "dropping-particle" : "", "family" : "McGaskey", "given" : "J", "non-dropping-particle" : "", "parse-names" : false, "suffix" : "" }, { "dropping-particle" : "", "family" : "Rowe", "given" : "M", "non-dropping-particle" : "", "parse-names" : false, "suffix" : "" }, { "dropping-particle" : "", "family" : "Dennis", "given" : "N", "non-dropping-particle" : "", "parse-names" : false, "suffix" : "" } ], "container-title" : "Sexually Transmitted Infections", "id" : "ITEM-5", "issue" : "6", "issued" : { "date-parts" : [ [ "2008", "11" ] ] }, "page" : "506-508", "title" : "Situational predictors of sexual risk episodes among men with HIV who have sex with men", "type" : "article-journal", "volume" : "84" }, "uris" : [ "http://www.mendeley.com/documents/?uuid=9e7297a7-0d52-42d1-b7d7-43e0e12a7a78" ] } ], "mendeley" : { "formattedCitation" : "(2,3,5,26,27)", "plainTextFormattedCitation" : "(2,3,5,26,27)", "previouslyFormattedCitation" : "(2,3,5,26,27)" }, "properties" : { "noteIndex" : 0 }, "schema" : "https://github.com/citation-style-language/schema/raw/master/csl-citation.json" }</w:instrText>
      </w:r>
      <w:r w:rsidR="00B90C8D">
        <w:fldChar w:fldCharType="separate"/>
      </w:r>
      <w:r w:rsidR="00B16AAB" w:rsidRPr="00B16AAB">
        <w:rPr>
          <w:noProof/>
        </w:rPr>
        <w:t>(2,3,5,26,27)</w:t>
      </w:r>
      <w:r w:rsidR="00B90C8D">
        <w:fldChar w:fldCharType="end"/>
      </w:r>
      <w:r w:rsidR="000B0596">
        <w:t xml:space="preserve">, and stands in contrast to those studies which have not found a significant association </w:t>
      </w:r>
      <w:r w:rsidR="00B90C8D">
        <w:fldChar w:fldCharType="begin" w:fldLock="1"/>
      </w:r>
      <w:r w:rsidR="00030835">
        <w:instrText>ADDIN CSL_CITATION { "citationItems" : [ { "id" : "ITEM-1",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"ITEM-1", "issue" : "1", "issued" : { "date-parts" : [ [ "2005" ] ] }, "note" : "From Duplicate 2 ( ", "page" : "23-32", "title" : "Contexts for last occasions of unprotected anal intercourse among HIV-negative gay men in Sydney: the health in men cohort.", "type" : "article-journal", "volume" : "17" }, "uris" : [ "http://www.mendeley.com/documents/?uuid=e28415b8-0d6c-457e-b3d1-53f26fd4dd9a" ] }, { "id" : "ITEM-2", "itemData" : { "ISBN" : "9780542509537; 0542509539", "abstract" : "A small and growing body of literature suggests that online sex seeking among men who have sex with men (MSM) is associated with risk for HIV. Little is known of the possible mechanisms that account for the relation between Internet use and HIV risk. Internet technology offers advantages for collecting daily reports of online and sexual activities; however, no studies have utilized a web-based daily data collection method. To gain a greater understanding of the relation between online sex seeking and HIV risk, 45 sexually-active, Internet-using MSM completed a four-week daily web diary of their Internet use and sexual activities, followed by a retrospective recall survey of their sexual behaviors during the diary period. Results revealed that men who completed the study were significantly more likely to be non-White, older, and more educated than drop-outs. Men indicated that most of their sexual partners were met online and had disclosed their HIV status. Similar sexual risk activities with Internet and non-Internet partners were reported, as well as similar degrees of trust for new online and offline sexual partners. Men who went online seeking sexual partners the most were at less risk for having unprotected anal intercourse (UAI) with their Internet partners, despite having high levels of sexual sensation seeking, than men who use the Internet less often for this purpose. Men's estimates of sexual activities derived through the daily diary and retrospective recall data collection methods were similar, and men rated the web diary method favorably. Overall, the results suggest that the Internet primarily serves as a new avenue by which groups of high risk MSM enact well-established sexual risk-taking behaviors, although HIV status may be more easily disclosed online. Interventions should target men who sporadically go online seeking sex partners, as they appear to be at high risk for UAI. Web-based diaries appear to be a promising data collection tool for event sampling.", "author" : [ { "dropping-particle" : "", "family" : "Horvath", "given" : "Keith J", "non-dropping-particle" : "", "parse-names" : false, "suffix" : "" } ], "collection-title" : "Dissertation Abstracts International", "container-title" : "ProQuest Dissertations and Theses", "id" : "ITEM-2", "issue" : "1-B", "issued" : { "date-parts" : [ [ "2005" ] ] }, "language" : "English", "note" : "From Duplicate 1 ( ", "number-of-pages" : "94-94 p.", "publisher" : "University of Wyoming", "publisher-place" : "Ann Arbor", "title" : "The use of a daily web diary to examine the relation between online sex seeking and HIV risk among internet-using men who have sex with men.", "type" : "thesis", "volume" : "67" }, "uris" : [ "http://www.mendeley.com/documents/?uuid=84192671-bd0d-4d32-830d-3e51a89b921a" ] } ], "mendeley" : { "formattedCitation" : "(6,7)", "plainTextFormattedCitation" : "(6,7)", "previouslyFormattedCitation" : "(6,7)" }, "properties" : { "noteIndex" : 0 }, "schema" : "https://github.com/citation-style-language/schema/raw/master/csl-citation.json" }</w:instrText>
      </w:r>
      <w:r w:rsidR="00B90C8D">
        <w:fldChar w:fldCharType="separate"/>
      </w:r>
      <w:r w:rsidR="00B16AAB" w:rsidRPr="00B16AAB">
        <w:rPr>
          <w:noProof/>
        </w:rPr>
        <w:t>(6,7)</w:t>
      </w:r>
      <w:r w:rsidR="00B90C8D">
        <w:fldChar w:fldCharType="end"/>
      </w:r>
      <w:r w:rsidR="000B0596">
        <w:t xml:space="preserve">.  </w:t>
      </w:r>
      <w:r w:rsidR="00F40A92">
        <w:t xml:space="preserve">Previous studies have been mixed as to the association between location of sex and sexual risk behaviour in MSM </w:t>
      </w:r>
      <w:r w:rsidR="00B90C8D">
        <w:fldChar w:fldCharType="begin" w:fldLock="1"/>
      </w:r>
      <w:r w:rsidR="00030835">
        <w:instrText>ADDIN CSL_CITATION { "citationItems" : [ { "id" : "ITEM-1",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"ITEM-1", "issue" : "1", "issued" : { "date-parts" : [ [ "2005" ] ] }, "note" : "From Duplicate 2 ( ", "page" : "23-32", "title" : "Contexts for last occasions of unprotected anal intercourse among HIV-negative gay men in Sydney: the health in men cohort.", "type" : "article-journal", "volume" : "17" }, "uris" : [ "http://www.mendeley.com/documents/?uuid=e28415b8-0d6c-457e-b3d1-53f26fd4dd9a" ] }, { "id" : "ITEM-2", "itemData" : { "ISBN" : "0419-4217", "abstract" : "Latino men who have sex with men (LMSM) are disproportionately affected by HIV/AIDS in the U.S. Use of drugs like methamphetamine during sex has been posited to be related to HIV-risk behavior among LMSM. This dissertation is comprised of three separate studies that each aim to describe features of sexual episodes that predict unprotected and protected anal intercourse (UAI and PAI) among LMSM. The first study used data from a survey of Latino gay men living in three U.S. cities. This study aimed to examine whether drug use and other contextual factors (heightened levels of attraction, partner characteristics, and condom discussions), examined individually and in combination, were related to unprotected sex among Latino gay men. Study 2, which was conducted using data from a different sample of men, examined whether use of methamphetamine during sex and the same contextual factors were related to unprotected sex among stimulant-using Latino gay men. Finally, the third study aimed to better describe the risky contexts of methamphetamine use and sexual behavior among meth-using Latino MSM. Studies 1 and 2 employed conditional logistic regressions to examine the relationship between contextual factors and episodes in which the same men had protected and unprotected sexual encounters. Study 3 examined participants' qualitative reports of sexual encounters in which they used methamphetamine and had sex. Several of the findings obtained in the three studies overlapped and/or were complementary. Notably, drug use by a sex partner, a lack of discussions about condom use with sex partners, and heightened levels of attraction were linked to unprotected sex in each of the three studies. Methamphetamine use, in conjunction with other contextual factors, was also linked to unprotected sex. Certain sexual contexts (e.g., those in which sex partners use drugs, bathhouse/sex club settings), in combination with Latino MSM's methamphetamine use, appear to lead to cognitive distancing, in which men experience a \"time out\" from rules normally used to guide behavior. By mentally distancing themselves from their behavior and their sex partners, many LMSM were able to engage in HIV risk. Other notable findings are discussed, and implications for intervention are presented.", "author" : [ { "dropping-particle" : "", "family" : "Wilson", "given" : "Patrick A", "non-dropping-particle" : "", "parse-names" : false, "suffix" : "" } ], "collection-title" : "Dissertation Abstracts International", "container-title" : "ProQuest Dissertations and Theses", "id" : "ITEM-2", "issue" : "9-B", "issued" : { "date-parts" : [ [ "2004" ] ] }, "language" : "English", "note" : "From Duplicate 1 ( ", "number-of-pages" : "181-181 p.", "publisher" : "ProQuest Information &amp; Learning", "publisher-place" : "United States -- New York", "title" : "Sexual risk-taking and drug use among Latino men: Examining episodes of high-risk and low-risk sexual behavior", "type" : "thesis", "volume" : "65" }, "uris" : [ "http://www.mendeley.com/documents/?uuid=6bc34262-a413-48ac-a745-391ab3f6e8a9" ] }, { "id" : "ITEM-3", "itemData" : { "DOI" : "10.1136/sti.2008.031583", "ISSN" : "1368-4973", "abstract" : "Background: Men with HIV who have sex with men (MSM) represent the largest group of people living with HIV/AIDS in the United States. It is important to understand the sexual risk-taking behaviours that may be linked to the transmission of HIV and other sexually transmitted infections in this population. Models of HIV risk that focus solely on personal factors have been demonstrated to be ineffective at explaining risk behaviour. Rather, in order to fully understand sexual risk-taking, it is important to examine the factors linked to high-risk sexual situations and not solely the factors linked to potentially high-risk people. Methods: A diverse sample of 100 MSM with HIV completed a 6-week internet-based sex diary that collected detailed information on recent sexual encounters. In total, information on over 250 sexual episodes was collected and analysed. Generalised linear mixed models were used to examine situational predictors of risk episodes. Results: Analyses revealed that drug use by self and sex partners (examined individually and together) were positively related to risk episodes. Likewise, having a sex partner met online and having a sexual encounter in a sex party or bathhouse setting was linked to risk episodes. Sexual episodes that involved a sex-partner who was perceived as sexually desirable and those involving communication about HIV and/or condom use with partners each were negatively related to risk. Conclusions: Situational factors play an important role in explaining sexual risk-taking among MSM with HIV. Researchers should place a greater focus on drug use and characteristics of sex partners and settings in which sexual behaviours occur as situational predictors of risk in order to comprehensively understand sexual risk-taking in this population.", "author" : [ { "dropping-particle" : "", "family" : "Wilson", "given" : "Patrick A", "non-dropping-particle" : "", "parse-names" : false, "suffix" : "" }, { "dropping-particle" : "", "family" : "Cook", "given" : "S", "non-dropping-particle" : "", "parse-names" : false, "suffix" : "" }, { "dropping-particle" : "", "family" : "McGaskey", "given" : "J", "non-dropping-particle" : "", "parse-names" : false, "suffix" : "" }, { "dropping-particle" : "", "family" : "Rowe", "given" : "M", "non-dropping-particle" : "", "parse-names" : false, "suffix" : "" }, { "dropping-particle" : "", "family" : "Dennis", "given" : "N", "non-dropping-particle" : "", "parse-names" : false, "suffix" : "" } ], "container-title" : "Sexually Transmitted Infections", "id" : "ITEM-3", "issue" : "6", "issued" : { "date-parts" : [ [ "2008", "11" ] ] }, "page" : "506-508", "title" : "Situational predictors of sexual risk episodes among men with HIV who have sex with men", "type" : "article-journal", "volume" : "84" }, "uris" : [ "http://www.mendeley.com/documents/?uuid=9e7297a7-0d52-42d1-b7d7-43e0e12a7a78" ] }, { "id" : "ITEM-4", "itemData" : { "DOI" : "http://dx.doi.org/10.1080/09540120903325433", "ISSN" : "0954-0121, 0954-0121", "abstract" : "Latino men who have sex with men (MSM) constitute a group at high risk for HIV. Recent approaches to understanding sexual risk have emphasized the role that contextual factors can play in shaping behavior. This study examined sexual behavior of Latino MSM in private and public settings. First, a within-person comparison of behaviors performed in sexual encounters that occurred in public and private settings was conducted. Unprotected anal intercourse (UAI) and other sexual behaviors involving anal stimulation were more common in private settings; group sex was more likely in public settings. Second, a between-person analysis compared sexual behaviors of MSM who went to three different types of public sex settings during the past six months. The types were: (1) commercial sex venues (CSVs), which were defined as businesses with the function of providing a space where MSM can go to have sexual encounters, such as gay bathhouses; (2) commercial sex environments (CSEs), which were defined as businesses with another apparent function, but in which MSM sometimes have sexual encounters, such as gay bars or pornographic movie houses; and (3) public sex environments (PSEs), which were defined as free public areas where MSM can go to find partners for anonymous sex, such as parks or public restrooms. Results indicated that anal sexual behavior was most likely to occur in CSVs and least likely in PSEs, but the probability of UAI was not found to differ among the three types of settings. Behavioral differences were discussed in terms of structural conditions related to privacy and safety, and psychological factors related to intimacy. Adapted from the source document.", "author" : [ { "dropping-particle" : "", "family" : "Reisen", "given" : "Carol A", "non-dropping-particle" : "", "parse-names" : false, "suffix" : "" }, { "dropping-particle" : "", "family" : "Iracheta", "given" : "Miguel A", "non-dropping-particle" : "", "parse-names" : false, "suffix" : "" }, { "dropping-particle" : "", "family" : "Zea", "given" : "Maria Cecilia", "non-dropping-particle" : "", "parse-names" : false, "suffix" : "" }, { "dropping-particle" : "", "family" : "Bianchi", "given" : "Fernanda T", "non-dropping-particle" : "", "parse-names" : false, "suffix" : "" }, { "dropping-particle" : "", "family" : "Poppen", "given" : "Paul J", "non-dropping-particle" : "", "parse-names" : false, "suffix" : "" } ], "container-title" : "AIDS Care", "id" : "ITEM-4", "issue" : "6", "issued" : { "date-parts" : [ [ "2010", "6" ] ] }, "language" : "English", "page" : "697-704", "publisher" : "Taylor &amp; Francis, Abingdon UK", "publisher-place" : "Department of Psychology, George Washington University, Washington, DC, USA", "title" : "Sex in public and private settings among Latino MSM", "type" : "article-journal", "volume" : "22" }, "uris" : [ "http://www.mendeley.com/documents/?uuid=80be694c-6324-408e-a930-ee9732ebe181" ] }, { "id" : "ITEM-5", "itemData" : { "ISBN" : "1368-4973", "abstract" : "OBJECTIVE: To describe individual, social network and encounter specific factors associated with protected anal intercourse (PAI) and unprotected anal intercourse (UAI)., METHODS: This was a cross sectional survey conducted between April and November 2002. A total of 733 sexual encounters were reported by 202 men recruited from the gay community in Melbourne, Australia. Predictors of self reported PAI and UAI were examined., RESULTS: Of the 733 sexual events most (56.3%) did not involve anal intercourse, and more involved PAI than UAI (30.6% versus 13.1%). PAI was more likely than no anal intercourse (NAI) if the participant's social network was mostly homosexual, the partner was an occasional or casual partner, or was HIV positive. PAI was less likely if sex took place at a \"beat\" but more likely if it took place at a sauna. PAI was more likely if the partner was affected by drugs or alcohol. UAI was more likely than NAI if the participant had injected drugs in the year before interview. It was less likely if the partner was occasional or casual or was HIV positive but more likely if the partner's HIV status was unknown. UAI was much more likely than NAI if the encounter took place at a \"sex on premises\" venue., CONCLUSIONS: In this analysis it is the characteristics of the sexual encounter that predict whether PAI or UAI rather than NAI takes place.", "author" : [ { "dropping-particle" : "", "family" : "Smith", "given" : "A M A", "non-dropping-particle" : "", "parse-names" : false, "suffix" : "" }, { "dropping-particle" : "", "family" : "Grierson", "given" : "J", "non-dropping-particle" : "", "parse-names" : false, "suffix" : "" }, { "dropping-particle" : "", "family" : "Pitts", "given" : "M", "non-dropping-particle" : "", "parse-names" : false, "suffix" : "" }, { "dropping-particle" : "", "family" : "Pattison", "given" : "P", "non-dropping-particle" : "", "parse-names" : false, "suffix" : "" } ], "container-title" : "Sexually Transmitted Infections", "id" : "ITEM-5", "issue" : "6", "issued" : { "date-parts" : [ [ "2006" ] ] }, "page" : "474-477", "publisher" : "Australian Research Centre In Sex, Health and Society, La Trobe University, 215 Franklin Street, Melbourne, Victoria 3000, Australia. anthony.smith@latrobe.edu.au", "publisher-place" : "England", "title" : "Individual characteristics are less important than event characteristics in predicting protected and unprotected anal intercourse among homosexual and bisexual men in Melbourne, Australia.", "type" : "article-journal", "volume" : "82" }, "uris" : [ "http://www.mendeley.com/documents/?uuid=4fd8c5a8-56af-4456-ad1e-b4cefe46db5f" ] } ], "mendeley" : { "formattedCitation" : "(5,7,28\u201330)", "plainTextFormattedCitation" : "(5,7,28\u201330)", "previouslyFormattedCitation" : "(5,7,28\u201330)" }, "properties" : { "noteIndex" : 0 }, "schema" : "https://github.com/citation-style-language/schema/raw/master/csl-citation.json" }</w:instrText>
      </w:r>
      <w:r w:rsidR="00B90C8D">
        <w:fldChar w:fldCharType="separate"/>
      </w:r>
      <w:r w:rsidR="00B16AAB" w:rsidRPr="00B16AAB">
        <w:rPr>
          <w:noProof/>
        </w:rPr>
        <w:t>(5,7,28–30)</w:t>
      </w:r>
      <w:r w:rsidR="00B90C8D">
        <w:fldChar w:fldCharType="end"/>
      </w:r>
      <w:r w:rsidR="00F40A92">
        <w:t xml:space="preserve">.  The non-significant associations between location of sex and sexual risk behaviour in this study continue the debate and extend findings to multipartner encounters specifically.  Finally, this analysis agrees with previous studies that have shown </w:t>
      </w:r>
      <w:r w:rsidR="0080732D">
        <w:t xml:space="preserve">negative </w:t>
      </w:r>
      <w:r w:rsidR="00F40A92">
        <w:t xml:space="preserve">associations between </w:t>
      </w:r>
      <w:r w:rsidR="001A6C4A">
        <w:t xml:space="preserve">perceived HIV </w:t>
      </w:r>
      <w:r w:rsidR="00F40A92">
        <w:t>sero</w:t>
      </w:r>
      <w:r w:rsidR="00EF26EB">
        <w:t>noncon</w:t>
      </w:r>
      <w:r w:rsidR="00F40A92">
        <w:t xml:space="preserve">cordance and sexual risk behaviour </w:t>
      </w:r>
      <w:r w:rsidR="00B90C8D">
        <w:fldChar w:fldCharType="begin" w:fldLock="1"/>
      </w:r>
      <w:r w:rsidR="00030835">
        <w:instrText>ADDIN CSL_CITATION { "citationItems" : [ { "id" : "ITEM-1", "itemData" : { "ISBN" : "1368-4973", "abstract" : "OBJECTIVE: To describe individual, social network and encounter specific factors associated with protected anal intercourse (PAI) and unprotected anal intercourse (UAI)., METHODS: This was a cross sectional survey conducted between April and November 2002. A total of 733 sexual encounters were reported by 202 men recruited from the gay community in Melbourne, Australia. Predictors of self reported PAI and UAI were examined., RESULTS: Of the 733 sexual events most (56.3%) did not involve anal intercourse, and more involved PAI than UAI (30.6% versus 13.1%). PAI was more likely than no anal intercourse (NAI) if the participant's social network was mostly homosexual, the partner was an occasional or casual partner, or was HIV positive. PAI was less likely if sex took place at a \"beat\" but more likely if it took place at a sauna. PAI was more likely if the partner was affected by drugs or alcohol. UAI was more likely than NAI if the participant had injected drugs in the year before interview. It was less likely if the partner was occasional or casual or was HIV positive but more likely if the partner's HIV status was unknown. UAI was much more likely than NAI if the encounter took place at a \"sex on premises\" venue., CONCLUSIONS: In this analysis it is the characteristics of the sexual encounter that predict whether PAI or UAI rather than NAI takes place.", "author" : [ { "dropping-particle" : "", "family" : "Smith", "given" : "A M A", "non-dropping-particle" : "", "parse-names" : false, "suffix" : "" }, { "dropping-particle" : "", "family" : "Grierson", "given" : "J", "non-dropping-particle" : "", "parse-names" : false, "suffix" : "" }, { "dropping-particle" : "", "family" : "Pitts", "given" : "M", "non-dropping-particle" : "", "parse-names" : false, "suffix" : "" }, { "dropping-particle" : "", "family" : "Pattison", "given" : "P", "non-dropping-particle" : "", "parse-names" : false, "suffix" : "" } ], "container-title" : "Sexually Transmitted Infections", "id" : "ITEM-1", "issue" : "6", "issued" : { "date-parts" : [ [ "2006" ] ] }, "page" : "474-477", "publisher" : "Australian Research Centre In Sex, Health and Society, La Trobe University, 215 Franklin Street, Melbourne, Victoria 3000, Australia. anthony.smith@latrobe.edu.au", "publisher-place" : "England", "title" : "Individual characteristics are less important than event characteristics in predicting protected and unprotected anal intercourse among homosexual and bisexual men in Melbourne, Australia.", "type" : "article-journal", "volume" : "82" }, "uris" : [ "http://www.mendeley.com/documents/?uuid=4fd8c5a8-56af-4456-ad1e-b4cefe46db5f" ] }, { "id" : "ITEM-2",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"ITEM-2", "issue" : "1", "issued" : { "date-parts" : [ [ "2005" ] ] }, "note" : "From Duplicate 2 ( ", "page" : "23-32", "title" : "Contexts for last occasions of unprotected anal intercourse among HIV-negative gay men in Sydney: the health in men cohort.", "type" : "article-journal", "volume" : "17" }, "uris" : [ "http://www.mendeley.com/documents/?uuid=e28415b8-0d6c-457e-b3d1-53f26fd4dd9a" ] }, { "id" : "ITEM-3", "itemData" : { "ISBN" : "1573-3254", "abstract" : "Theoretical models of sexual risk-taking have traditionally focused on personal characteristics, but conceptual approaches emphasizing the social and situational context have also been proposed. This study examined the impact of characteristics of the person and of the sexual encounter on unprotected anal intercourse (UAI) among 482 immigrant Latino MSM. Analyses included logistic regression and hierarchical linear modeling. The personal characteristic of self-efficacy for safer sex was negatively associated with UAI over the previous three months, at the most recent encounter, and over multiple encounters reported by each participant. In addition, a cross-level interaction of self-efficacy at the person-level and sexual desire at the encounter-level showed that increased sexual desire was associated with greater likelihood of UAI for those with low self-efficacy, but not those with high self-efficacy. Likelihood of UAI was also linked to the situational characteristics of closeness to the partner, seroconcordance, and concern about STIs in the encounter.", "author" : [ { "dropping-particle" : "", "family" : "Zea", "given" : "Maria Cecilia", "non-dropping-particle" : "", "parse-names" : false, "suffix" : "" }, { "dropping-particle" : "", "family" : "Reisen", "given" : "Carol A", "non-dropping-particle" : "", "parse-names" : false, "suffix" : "" }, { "dropping-particle" : "", "family" : "Poppen", "given" : "Paul J", "non-dropping-particle" : "", "parse-names" : false, "suffix" : "" }, { "dropping-particle" : "", "family" : "Bianchi", "given" : "Fernanda T", "non-dropping-particle" : "", "parse-names" : false, "suffix" : "" } ], "container-title" : "AIDS and behavior", "id" : "ITEM-3", "issue" : "4", "issued" : { "date-parts" : [ [ "2009" ] ] }, "page" : "700-715", "publisher" : "Department of Psychology, George Washington University, 2125 G. St., NW, Washington, DC 20052, USA. zea@gwu.edu", "publisher-place" : "United States", "title" : "Unprotected anal intercourse among immigrant Latino MSM: the role of characteristics of the person and the sexual encounter.", "type" : "article-journal", "volume" : "13" }, "uris" : [ "http://www.mendeley.com/documents/?uuid=2985c366-3828-4709-9f6a-91b3923f9628" ] } ], "mendeley" : { "formattedCitation" : "(7,30,31)", "plainTextFormattedCitation" : "(7,30,31)", "previouslyFormattedCitation" : "(7,30,31)" }, "properties" : { "noteIndex" : 0 }, "schema" : "https://github.com/citation-style-language/schema/raw/master/csl-citation.json" }</w:instrText>
      </w:r>
      <w:r w:rsidR="00B90C8D">
        <w:fldChar w:fldCharType="separate"/>
      </w:r>
      <w:r w:rsidR="00B16AAB" w:rsidRPr="00B16AAB">
        <w:rPr>
          <w:noProof/>
        </w:rPr>
        <w:t>(7,30,31)</w:t>
      </w:r>
      <w:r w:rsidR="00B90C8D">
        <w:fldChar w:fldCharType="end"/>
      </w:r>
      <w:r w:rsidR="00F40A92">
        <w:t>.</w:t>
      </w:r>
      <w:r w:rsidR="00385690">
        <w:t xml:space="preserve">  One possible reason for differences between this study’s findings and the findings of other studies is that UAI was compared here against all other sexual behaviour, instead of against a more limited coital repertoire—such as anal intercourse or oral intercourse </w:t>
      </w:r>
      <w:r w:rsidR="007154C1">
        <w:fldChar w:fldCharType="begin" w:fldLock="1"/>
      </w:r>
      <w:r w:rsidR="00030835">
        <w:instrText>ADDIN CSL_CITATION { "citationItems" : [ { "id" : "ITEM-1", "itemData" : { "DOI" : "10.1093/aje/kwh135",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"ITEM-1", "issue" : "10", "issued" : { "date-parts" : [ [ "2004" ] ] }, "note" : "From Duplicate 1 ( ", "page" : "1002-1012", "title" : "Substance use and sexual risk: A participant- and episode-level analysis among a cohort of men who have sex with men", "type" : "article-journal", "volume" : "159" }, "uris" : [ "http://www.mendeley.com/documents/?uuid=0bdce725-f385-4ef4-b137-b8f3182036ff" ] } ], "mendeley" : { "formattedCitation" : "(3)", "plainTextFormattedCitation" : "(3)", "previouslyFormattedCitation" : "(3)" }, "properties" : { "noteIndex" : 0 }, "schema" : "https://github.com/citation-style-language/schema/raw/master/csl-citation.json" }</w:instrText>
      </w:r>
      <w:r w:rsidR="007154C1">
        <w:fldChar w:fldCharType="separate"/>
      </w:r>
      <w:r w:rsidR="00B16AAB" w:rsidRPr="00B16AAB">
        <w:rPr>
          <w:noProof/>
        </w:rPr>
        <w:t>(3)</w:t>
      </w:r>
      <w:r w:rsidR="007154C1">
        <w:fldChar w:fldCharType="end"/>
      </w:r>
      <w:r w:rsidR="007154C1">
        <w:t xml:space="preserve"> or against protected anal intercourse specifically </w:t>
      </w:r>
      <w:r w:rsidR="007154C1">
        <w:fldChar w:fldCharType="begin" w:fldLock="1"/>
      </w:r>
      <w:r w:rsidR="00030835">
        <w:instrText>ADDIN CSL_CITATION { "citationItems" : [ { "id" : "ITEM-1",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"ITEM-1", "issue" : "1", "issued" : { "date-parts" : [ [ "2005" ] ] }, "note" : "From Duplicate 2 ( ", "page" : "23-32", "title" : "Contexts for last occasions of unprotected anal intercourse among HIV-negative gay men in Sydney: the health in men cohort.", "type" : "article-journal", "volume" : "17" }, "uris" : [ "http://www.mendeley.com/documents/?uuid=e28415b8-0d6c-457e-b3d1-53f26fd4dd9a" ] } ], "mendeley" : { "formattedCitation" : "(7)", "plainTextFormattedCitation" : "(7)", "previouslyFormattedCitation" : "(7)" }, "properties" : { "noteIndex" : 0 }, "schema" : "https://github.com/citation-style-language/schema/raw/master/csl-citation.json" }</w:instrText>
      </w:r>
      <w:r w:rsidR="007154C1">
        <w:fldChar w:fldCharType="separate"/>
      </w:r>
      <w:r w:rsidR="00B16AAB" w:rsidRPr="00B16AAB">
        <w:rPr>
          <w:noProof/>
        </w:rPr>
        <w:t>(7)</w:t>
      </w:r>
      <w:r w:rsidR="007154C1">
        <w:fldChar w:fldCharType="end"/>
      </w:r>
      <w:r w:rsidR="007154C1">
        <w:t xml:space="preserve">.  </w:t>
      </w:r>
      <w:r w:rsidR="008346FC">
        <w:t>Thus, t</w:t>
      </w:r>
      <w:r w:rsidR="007154C1">
        <w:t xml:space="preserve">he findings of this specific study may be best understood in terms of understanding how situational characteristics are associated with a specific high-risk behaviour, </w:t>
      </w:r>
      <w:r w:rsidR="008346FC">
        <w:t xml:space="preserve">that is, UAI, </w:t>
      </w:r>
      <w:r w:rsidR="007154C1">
        <w:t>rather than in understanding</w:t>
      </w:r>
      <w:r w:rsidR="008346FC">
        <w:t xml:space="preserve"> </w:t>
      </w:r>
      <w:r w:rsidR="007154C1">
        <w:t xml:space="preserve">how </w:t>
      </w:r>
      <w:r w:rsidR="008346FC">
        <w:t>situational characteristics are associated with the decision to use a condom or not in anal intercourse</w:t>
      </w:r>
      <w:r w:rsidR="007154C1">
        <w:t xml:space="preserve">.  </w:t>
      </w:r>
      <w:r w:rsidR="00DB7158">
        <w:t>A</w:t>
      </w:r>
      <w:r w:rsidR="007154C1">
        <w:t>n analysis comparing UAI against other anal intercourse would require a dataset specifically powered to examine this difference between encounters</w:t>
      </w:r>
      <w:r w:rsidR="00DB7158">
        <w:t xml:space="preserve">—something </w:t>
      </w:r>
      <w:r w:rsidR="008346FC">
        <w:t xml:space="preserve">we were not powered to test with </w:t>
      </w:r>
      <w:r w:rsidR="00DB7158">
        <w:t>our dataset.</w:t>
      </w:r>
    </w:p>
    <w:p w14:paraId="0B2ACDE2" w14:textId="2233E616" w:rsidR="000B0596" w:rsidRDefault="000B0596" w:rsidP="000B0596">
      <w:pPr>
        <w:spacing w:line="480" w:lineRule="auto"/>
      </w:pPr>
      <w:r>
        <w:tab/>
      </w:r>
      <w:r w:rsidR="00F40A92">
        <w:t xml:space="preserve">The pattern of results contains implications for </w:t>
      </w:r>
      <w:r w:rsidR="00C32C2A">
        <w:t xml:space="preserve">future </w:t>
      </w:r>
      <w:r w:rsidR="00F40A92">
        <w:t xml:space="preserve">research and practice.  </w:t>
      </w:r>
      <w:r>
        <w:t xml:space="preserve">In multivariate models testing associations with UAI, it appeared that partners’ and respondent </w:t>
      </w:r>
      <w:r w:rsidR="001A30A7">
        <w:t>drug</w:t>
      </w:r>
      <w:r>
        <w:t xml:space="preserve"> use confounded each other.  Indeed, a model including just respondent </w:t>
      </w:r>
      <w:r w:rsidR="001A30A7">
        <w:t>drug</w:t>
      </w:r>
      <w:r>
        <w:t xml:space="preserve"> use fit the data as well as a model with both respondent and partners’ </w:t>
      </w:r>
      <w:r w:rsidR="001A30A7">
        <w:t>drug</w:t>
      </w:r>
      <w:r>
        <w:t xml:space="preserve"> use.  Put otherwise, including partners’ </w:t>
      </w:r>
      <w:r w:rsidR="001A30A7">
        <w:t>drug</w:t>
      </w:r>
      <w:r>
        <w:t xml:space="preserve"> use in the model did not offer any additional improvement in model fit above and beyond the binary measure of respondent </w:t>
      </w:r>
      <w:r w:rsidR="001A30A7">
        <w:t>drug</w:t>
      </w:r>
      <w:r>
        <w:t xml:space="preserve"> use.  This has implications for the measurement of </w:t>
      </w:r>
      <w:r w:rsidR="001A30A7">
        <w:t>drug</w:t>
      </w:r>
      <w:r>
        <w:t xml:space="preserve"> use and sexual risk behaviour in future studies, including a) the possibility of unreliable measures of partners’ </w:t>
      </w:r>
      <w:r w:rsidR="001A30A7">
        <w:t>drug</w:t>
      </w:r>
      <w:r>
        <w:t xml:space="preserve"> use, b) the ‘adequacy’ of capturing respondent </w:t>
      </w:r>
      <w:r w:rsidR="001A30A7">
        <w:t>drug</w:t>
      </w:r>
      <w:r>
        <w:t xml:space="preserve"> use to measure the potential for sexual risk behaviour, and c) the suggestion that respondent and partners’ </w:t>
      </w:r>
      <w:r w:rsidR="001A30A7">
        <w:t>drug</w:t>
      </w:r>
      <w:r>
        <w:t xml:space="preserve"> use may be planned prior to sex, or that </w:t>
      </w:r>
      <w:r w:rsidR="003D415E">
        <w:t xml:space="preserve">patterns </w:t>
      </w:r>
      <w:r>
        <w:t xml:space="preserve">of </w:t>
      </w:r>
      <w:r w:rsidR="001A30A7">
        <w:t>drug</w:t>
      </w:r>
      <w:r>
        <w:t xml:space="preserve"> use before sex may be understood by respondent and partners, perhaps as a function of </w:t>
      </w:r>
      <w:r w:rsidR="00F40A92">
        <w:t xml:space="preserve">the venues </w:t>
      </w:r>
      <w:r w:rsidR="005C74F0">
        <w:t xml:space="preserve">or the events </w:t>
      </w:r>
      <w:r w:rsidR="00F40A92">
        <w:t xml:space="preserve">where these encounters occur.  To test this last possibility, encounters from </w:t>
      </w:r>
      <w:r w:rsidR="00212958">
        <w:t xml:space="preserve">the same respondent </w:t>
      </w:r>
      <w:r w:rsidR="00F40A92">
        <w:t xml:space="preserve">within the same venue or visit to an SOPV </w:t>
      </w:r>
      <w:r w:rsidR="00212958">
        <w:t>wou</w:t>
      </w:r>
      <w:r w:rsidR="006E3D94">
        <w:t xml:space="preserve">ld need to be compared, though </w:t>
      </w:r>
      <w:r w:rsidR="00212958">
        <w:t xml:space="preserve">qualitative research on chemsex suggests that </w:t>
      </w:r>
      <w:r w:rsidR="001A30A7">
        <w:t>drug</w:t>
      </w:r>
      <w:r w:rsidR="00212958">
        <w:t xml:space="preserve"> use is more often planned prior to sexu</w:t>
      </w:r>
      <w:r w:rsidR="006E3D94">
        <w:t xml:space="preserve">al encounters rather than in the ‘heat of the moment’ </w:t>
      </w:r>
      <w:r w:rsidR="00B90C8D">
        <w:fldChar w:fldCharType="begin" w:fldLock="1"/>
      </w:r>
      <w:r w:rsidR="00CB369F">
        <w:instrText>ADDIN CSL_CITATION { "citationItems" : [ { "id" : "ITEM-1", "itemData" : { "DOI" : "10.3109/10826084.2011.572329", "ISBN" : "1082-6084", "ISSN" : "1532-2491", "PMID" : "21692603", "abstract" : "Research findings have revealed that gay circuit parties may be locations that are disproportionately responsible for the increasing rates of many STIs/HIV among gay/bisexual men. Theories have been put forth that this may be the case because circuit parties are locales of prevalent drug use and unsafe sex. To explore the relationship between these two phenomena, in-depth qualitative interviews were undertaken with 17 men who (1) have sex with other men, (2) attended gay circuit parties in Montr\u00e9al, Canada, in 2007. These revealed that drugs (including alcohol) were used intentionally to engage in unsafe sex, and then to justify this behavior after the fact. This process we called boundary play.", "author" : [ { "dropping-particle" : "", "family" : "O'Byrne", "given" : "Patrick", "non-dropping-particle" : "", "parse-names" : false, "suffix" : "" }, { "dropping-particle" : "", "family" : "Holmes", "given" : "Dave", "non-dropping-particle" : "", "parse-names" : false, "suffix" : "" } ], "collection-title" : "International Journal of the Addictions", "container-title" : "Substance use &amp; misuse", "id" : "ITEM-1", "issue" : "12", "issued" : { "date-parts" : [ [ "2011", "1" ] ] }, "page" : "1510-22", "publisher" : "Informa Healthcare", "publisher-place" : "O'Byrne, Patrick: School of Nursing, Faculty of Health Sciences, University of Ottawa, 451 Smyth Road, Ottawa, ON, Canada, K1H 8M5, pjobyrne@uottawa.ca", "title" : "Drug use as boundary play: a qualitative exploration of gay circuit parties.", "type" : "article-journal", "volume" : "46" }, "uris" : [ "http://www.mendeley.com/documents/?uuid=4ff40cac-ca50-4075-98b0-16a3cee01fc0" ] }, { "id" : "ITEM-2", "itemData" : { "DOI" : "10.1016/j.drugpo.2010.09.004", "ISBN" : "0955-3959", "ISSN" : "0955-3959", "PMID" : "20952176", "abstract" : "Background: Research on harm reduction has typically focused on broad-based or organisational strategies such as needle exchange and opiate substitute programmes. Less attention has been paid to the self-directed harm reduction practices of substance users themselves. Few studies have focused on sexual minority populations such as gay and bisexual men and fewer still on the marginalised groups that constitute these populations. This paper identifies self-directed harm reduction strategies among substance using ethno-racially diverse gay and bisexual men. Methods: This article presents findings from the Party Drugs Study in Toronto's gay dance club scene, a community-based qualitative study in Toronto, Canada. We present a thematic analysis of interviews with 43 gay and bisexual men from diverse ethno-racial backgrounds about their substance use in the gay dance club scene. Findings: We identify five self-directed harm reduction strategies: rationing, controlling or avoiding mixing, controlling quality, maintaining a healthy lifestyle, and following guidelines during substance use. Conclusions: We discuss our findings in relation to prior research and to critical theory. We suggest that drug users' awareness of possible harm, and their personal investment in harm reduction, constitute a viable platform from which community-based and public health organisations may promote and strengthen harm reduction among gay and bisexual men from ethno-racially diverse backgrounds. 2010 Elsevier B.V.", "author" : [ { "dropping-particle" : "", "family" : "Greenspan", "given" : "Nicole R", "non-dropping-particle" : "", "parse-names" : false, "suffix" : "" }, { "dropping-particle" : "", "family" : "Aguinaldo", "given" : "Jeffrey P", "non-dropping-particle" : "", "parse-names" : false, "suffix" : "" }, { "dropping-particle" : "", "family" : "Husbands", "given" : "Winston", "non-dropping-particle" : "", "parse-names" : false, "suffix" : "" }, { "dropping-particle" : "", "family" : "Murray", "given" : "James", "non-dropping-particle" : "", "parse-names" : false, "suffix" : "" }, { "dropping-particle" : "", "family" : "Ho", "given" : "Peter", "non-dropping-particle" : "", "parse-names" : false, "suffix" : "" }, { "dropping-particle" : "", "family" : "Sutdhibhasilp", "given" : "Noulmook", "non-dropping-particle" : "", "parse-names" : false, "suffix" : "" }, { "dropping-particle" : "", "family" : "Cedano", "given" : "Jos\u00e9", "non-dropping-particle" : "", "parse-names" : false, "suffix" : "" }, { "dropping-particle" : "", "family" : "Lau", "given" : "Chris", "non-dropping-particle" : "", "parse-names" : false, "suffix" : "" }, { "dropping-particle" : "", "family" : "Gray", "given" : "Trevor", "non-dropping-particle" : "", "parse-names" : false, "suffix" : "" }, { "dropping-particle" : "", "family" : "Maharaj", "given" : "Rajendra", "non-dropping-particle" : "", "parse-names" : false, "suffix" : "" } ], "container-title" : "International Journal of Drug Policy", "id" : "ITEM-2", "issue" : "1", "issued" : { "date-parts" : [ [ "2011", "1" ] ] }, "note" : "From Duplicate 2 ( ", "page" : "56-62", "publisher" : "ELSEVIER SCIENCE BV", "publisher-place" : "PO BOX 211, 1000 AE AMSTERDAM, NETHERLANDS", "title" : "\"It's not rocket science, what I do\": Self-directed harm reduction strategies among drug using ethno-racially diverse gay and bisexual men.", "type" : "article-journal", "volume" : "22" }, "uris" : [ "http://www.mendeley.com/documents/?uuid=92ffb215-750d-49a9-8bc8-c41ab11062fd" ] }, { "id" : "ITEM-3",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"ITEM-3", "issue" : "4", "issued" : { "date-parts" : [ [ "2006" ] ] }, "page" : "317-333", "title" : "Crystal methamphetamine and sexual sociality in an urban gay subculture: An elective affinity.", "type" : "article-journal", "volume" : "8" }, "uris" : [ "http://www.mendeley.com/documents/?uuid=53a12245-c624-4674-88f0-90ba26381367" ] } ], "mendeley" : { "formattedCitation" : "(15,32,33)", "plainTextFormattedCitation" : "(15,32,33)", "previouslyFormattedCitation" : "(15,32,33)" }, "properties" : { "noteIndex" : 0 }, "schema" : "https://github.com/citation-style-language/schema/raw/master/csl-citation.json" }</w:instrText>
      </w:r>
      <w:r w:rsidR="00B90C8D">
        <w:fldChar w:fldCharType="separate"/>
      </w:r>
      <w:r w:rsidR="00B16AAB" w:rsidRPr="00B16AAB">
        <w:rPr>
          <w:noProof/>
        </w:rPr>
        <w:t>(15,32,33)</w:t>
      </w:r>
      <w:r w:rsidR="00B90C8D">
        <w:fldChar w:fldCharType="end"/>
      </w:r>
      <w:r w:rsidR="006E3D94">
        <w:t>.</w:t>
      </w:r>
    </w:p>
    <w:p w14:paraId="042914B2" w14:textId="21AD5165" w:rsidR="003C5469" w:rsidRDefault="006E3D94" w:rsidP="00884C04">
      <w:pPr>
        <w:spacing w:line="480" w:lineRule="auto"/>
      </w:pPr>
      <w:r>
        <w:tab/>
      </w:r>
      <w:r w:rsidR="002C055B">
        <w:t>The use of pleasure as an outcome</w:t>
      </w:r>
      <w:r>
        <w:t xml:space="preserve"> in this study </w:t>
      </w:r>
      <w:r w:rsidR="002C055B">
        <w:t>quantifies</w:t>
      </w:r>
      <w:r>
        <w:t xml:space="preserve"> for the first time</w:t>
      </w:r>
      <w:r w:rsidR="00A8125C">
        <w:t xml:space="preserve"> a relationship</w:t>
      </w:r>
      <w:r>
        <w:t xml:space="preserve"> </w:t>
      </w:r>
      <w:r w:rsidR="00A8125C">
        <w:t>t</w:t>
      </w:r>
      <w:r>
        <w:t xml:space="preserve">hat many HIV </w:t>
      </w:r>
      <w:r w:rsidR="00C32C2A">
        <w:t>health promoters</w:t>
      </w:r>
      <w:r w:rsidR="00926733">
        <w:t>, researchers</w:t>
      </w:r>
      <w:r>
        <w:t xml:space="preserve"> an</w:t>
      </w:r>
      <w:r w:rsidR="002C055B">
        <w:t xml:space="preserve">d public health </w:t>
      </w:r>
      <w:r w:rsidR="00C32C2A">
        <w:t>practitioners</w:t>
      </w:r>
      <w:r w:rsidR="002C055B">
        <w:t xml:space="preserve">, let alone MSM who use drugs recreationally, </w:t>
      </w:r>
      <w:r w:rsidR="00926733">
        <w:t xml:space="preserve">have qualitatively </w:t>
      </w:r>
      <w:r w:rsidR="00A8125C">
        <w:t xml:space="preserve">believed </w:t>
      </w:r>
      <w:r w:rsidR="00926733">
        <w:t xml:space="preserve">for a time—namely, that </w:t>
      </w:r>
      <w:r w:rsidR="001A30A7">
        <w:t>drug</w:t>
      </w:r>
      <w:r w:rsidR="00926733">
        <w:t xml:space="preserve"> use is associated with increased sexual pleasure.  </w:t>
      </w:r>
      <w:r w:rsidR="00A8125C">
        <w:t xml:space="preserve">Yet our findings did not support these associations in the context of multipartner encounters.  </w:t>
      </w:r>
      <w:r w:rsidR="00926733">
        <w:t xml:space="preserve">What is particularly interesting, however, is that none of the specific </w:t>
      </w:r>
      <w:r w:rsidR="001A30A7">
        <w:t>drug</w:t>
      </w:r>
      <w:r w:rsidR="00926733">
        <w:t>s tested yielded statistically significant associations, though use of poppers did reach marginal significance (</w:t>
      </w:r>
      <w:r w:rsidR="00926733">
        <w:rPr>
          <w:i/>
        </w:rPr>
        <w:t>p</w:t>
      </w:r>
      <w:r w:rsidR="00926733">
        <w:t xml:space="preserve">&lt;0.10).  This may be due to statistical power, as many of the </w:t>
      </w:r>
      <w:r w:rsidR="001A30A7">
        <w:t>drug</w:t>
      </w:r>
      <w:r w:rsidR="00926733">
        <w:t xml:space="preserve">s did not occur with </w:t>
      </w:r>
      <w:r w:rsidR="0080732D">
        <w:t xml:space="preserve">high </w:t>
      </w:r>
      <w:r w:rsidR="00926733">
        <w:t xml:space="preserve">frequency.  Moreover, a novel finding is that lack of knowledge </w:t>
      </w:r>
      <w:r w:rsidR="00B53BE1">
        <w:t>of</w:t>
      </w:r>
      <w:r w:rsidR="00926733">
        <w:t xml:space="preserve"> partners’ </w:t>
      </w:r>
      <w:r w:rsidR="001A30A7">
        <w:t>drug</w:t>
      </w:r>
      <w:r w:rsidR="00926733">
        <w:t xml:space="preserve"> use was associated with </w:t>
      </w:r>
      <w:r w:rsidR="00926733">
        <w:rPr>
          <w:i/>
        </w:rPr>
        <w:t>decreased</w:t>
      </w:r>
      <w:r w:rsidR="00926733">
        <w:t xml:space="preserve"> pleasure—a finding that may point to larger characteristics of multipartner encounters relating to their organisation and </w:t>
      </w:r>
      <w:r w:rsidR="002C055B">
        <w:t xml:space="preserve">respondent’s </w:t>
      </w:r>
      <w:r w:rsidR="00926733">
        <w:t>familiarity with partners.</w:t>
      </w:r>
    </w:p>
    <w:p w14:paraId="566AF651" w14:textId="11186377" w:rsidR="00D45512" w:rsidRDefault="00926733" w:rsidP="00333B20">
      <w:pPr>
        <w:spacing w:line="480" w:lineRule="auto"/>
      </w:pPr>
      <w:r>
        <w:tab/>
        <w:t xml:space="preserve">Finally, this analysis tested control as an outcome.  </w:t>
      </w:r>
      <w:r w:rsidR="002C055B">
        <w:t xml:space="preserve">This </w:t>
      </w:r>
      <w:r w:rsidR="0080732D">
        <w:t>outcome has several theoretical interpretations, including as a</w:t>
      </w:r>
      <w:r w:rsidR="002C055B">
        <w:t xml:space="preserve"> test of </w:t>
      </w:r>
      <w:r w:rsidR="0080732D">
        <w:t xml:space="preserve">whether </w:t>
      </w:r>
      <w:r w:rsidR="00E465FE">
        <w:t xml:space="preserve">loss of control </w:t>
      </w:r>
      <w:r w:rsidR="002C055B">
        <w:t>mediat</w:t>
      </w:r>
      <w:r w:rsidR="0080732D">
        <w:t>es</w:t>
      </w:r>
      <w:r w:rsidR="002C055B">
        <w:t xml:space="preserve"> </w:t>
      </w:r>
      <w:r w:rsidR="00BF3E6A">
        <w:t xml:space="preserve">the relationship </w:t>
      </w:r>
      <w:r w:rsidR="002C055B">
        <w:t xml:space="preserve">between </w:t>
      </w:r>
      <w:r w:rsidR="001A30A7">
        <w:t>drug</w:t>
      </w:r>
      <w:r w:rsidR="002C055B">
        <w:t xml:space="preserve"> use and sexual risk.  </w:t>
      </w:r>
      <w:r>
        <w:t>It is particularly striking that neither respondent no</w:t>
      </w:r>
      <w:r w:rsidR="00B53BE1">
        <w:t>r</w:t>
      </w:r>
      <w:r>
        <w:t xml:space="preserve"> partners’ </w:t>
      </w:r>
      <w:r w:rsidR="001A30A7">
        <w:t>drug</w:t>
      </w:r>
      <w:r>
        <w:t xml:space="preserve"> use were significantly associated with control, though this may be due to a ‘small-cell’ problem since respondents reported relatively few encounters not characterised by control over sexual </w:t>
      </w:r>
      <w:r w:rsidR="001A6C4A">
        <w:t>activities</w:t>
      </w:r>
      <w:r>
        <w:t>.</w:t>
      </w:r>
      <w:r w:rsidR="002C055B">
        <w:t xml:space="preserve">  However, of specific </w:t>
      </w:r>
      <w:r w:rsidR="001A30A7">
        <w:t>drug</w:t>
      </w:r>
      <w:r w:rsidR="002C055B">
        <w:t xml:space="preserve">s tested, use of crystal methamphetamine was significantly and substantially associated with decreased odds of control.  This matches the substantial and significant association </w:t>
      </w:r>
      <w:r w:rsidR="00BF3E6A">
        <w:t>between crystal methamphetamine use and</w:t>
      </w:r>
      <w:r w:rsidR="002C055B">
        <w:t xml:space="preserve"> UAI.  Though there is little evidence of the association between </w:t>
      </w:r>
      <w:r w:rsidR="001A30A7">
        <w:t>drug</w:t>
      </w:r>
      <w:r w:rsidR="002C055B">
        <w:t xml:space="preserve"> use generally and sexual risk behaviour being mediated by control over sexual </w:t>
      </w:r>
      <w:r w:rsidR="00E465FE">
        <w:t>activities</w:t>
      </w:r>
      <w:r w:rsidR="002C055B">
        <w:t xml:space="preserve">, it would appear that </w:t>
      </w:r>
      <w:r w:rsidR="0060060A">
        <w:t xml:space="preserve">this may be the case for crystal methamphetamine.  Future research should seek to understand mediating factors between </w:t>
      </w:r>
      <w:r w:rsidR="001A30A7">
        <w:t>drug</w:t>
      </w:r>
      <w:r w:rsidR="0060060A">
        <w:t xml:space="preserve"> use and sexual risk behaviour.</w:t>
      </w:r>
      <w:r w:rsidR="00D45512">
        <w:br w:type="page"/>
      </w:r>
    </w:p>
    <w:p w14:paraId="60785BDD" w14:textId="77777777" w:rsidR="00D45512" w:rsidRDefault="00D45512" w:rsidP="00885C57">
      <w:pPr>
        <w:spacing w:line="480" w:lineRule="auto"/>
        <w:jc w:val="center"/>
      </w:pPr>
      <w:r w:rsidRPr="00D45512">
        <w:rPr>
          <w:b/>
        </w:rPr>
        <w:t>Table 1.</w:t>
      </w:r>
      <w:r>
        <w:t xml:space="preserve">  Descriptive statistics of included sample.</w:t>
      </w:r>
    </w:p>
    <w:tbl>
      <w:tblPr>
        <w:tblStyle w:val="TableGrid"/>
        <w:tblW w:w="0" w:type="auto"/>
        <w:jc w:val="center"/>
        <w:tblLook w:val="04A0" w:firstRow="1" w:lastRow="0" w:firstColumn="1" w:lastColumn="0" w:noHBand="0" w:noVBand="1"/>
      </w:tblPr>
      <w:tblGrid>
        <w:gridCol w:w="5702"/>
        <w:gridCol w:w="2036"/>
      </w:tblGrid>
      <w:tr w:rsidR="00D45512" w:rsidRPr="00D45512" w14:paraId="4342A58D" w14:textId="77777777" w:rsidTr="00885C57">
        <w:trPr>
          <w:trHeight w:val="510"/>
          <w:jc w:val="center"/>
        </w:trPr>
        <w:tc>
          <w:tcPr>
            <w:tcW w:w="0" w:type="auto"/>
            <w:vAlign w:val="center"/>
            <w:hideMark/>
          </w:tcPr>
          <w:p w14:paraId="04691058" w14:textId="77777777" w:rsidR="00D45512" w:rsidRPr="00D45512" w:rsidRDefault="00D45512" w:rsidP="00D45512">
            <w:pPr>
              <w:rPr>
                <w:rFonts w:ascii="Times New Roman" w:eastAsia="Times New Roman" w:hAnsi="Times New Roman" w:cs="Times New Roman"/>
                <w:b/>
                <w:bCs/>
                <w:color w:val="000000"/>
                <w:lang w:val="en-GB"/>
              </w:rPr>
            </w:pPr>
            <w:r w:rsidRPr="00D45512">
              <w:rPr>
                <w:rFonts w:ascii="Times New Roman" w:eastAsia="Times New Roman" w:hAnsi="Times New Roman" w:cs="Times New Roman"/>
                <w:b/>
                <w:bCs/>
                <w:color w:val="000000"/>
                <w:lang w:val="en-GB"/>
              </w:rPr>
              <w:t>Variable</w:t>
            </w:r>
          </w:p>
        </w:tc>
        <w:tc>
          <w:tcPr>
            <w:tcW w:w="0" w:type="auto"/>
            <w:vAlign w:val="center"/>
            <w:hideMark/>
          </w:tcPr>
          <w:p w14:paraId="4DA4B864" w14:textId="77777777" w:rsidR="00D45512" w:rsidRPr="00D45512" w:rsidRDefault="00D45512" w:rsidP="00D45512">
            <w:pPr>
              <w:rPr>
                <w:rFonts w:ascii="Times New Roman" w:eastAsia="Times New Roman" w:hAnsi="Times New Roman" w:cs="Times New Roman"/>
                <w:b/>
                <w:color w:val="000000"/>
                <w:lang w:val="en-GB"/>
              </w:rPr>
            </w:pPr>
            <w:r w:rsidRPr="00D45512">
              <w:rPr>
                <w:rFonts w:ascii="Times New Roman" w:eastAsia="Times New Roman" w:hAnsi="Times New Roman" w:cs="Times New Roman"/>
                <w:b/>
                <w:color w:val="000000"/>
                <w:lang w:val="en-GB"/>
              </w:rPr>
              <w:t>N (%)</w:t>
            </w:r>
            <w:r w:rsidRPr="00D45512">
              <w:rPr>
                <w:rFonts w:ascii="Times New Roman" w:eastAsia="Times New Roman" w:hAnsi="Times New Roman" w:cs="Times New Roman"/>
                <w:b/>
                <w:color w:val="000000"/>
                <w:lang w:val="en-GB"/>
              </w:rPr>
              <w:br/>
              <w:t>Mean (SD, range)</w:t>
            </w:r>
          </w:p>
        </w:tc>
      </w:tr>
      <w:tr w:rsidR="00D45512" w:rsidRPr="00D45512" w14:paraId="54B53345" w14:textId="77777777" w:rsidTr="00885C57">
        <w:trPr>
          <w:trHeight w:val="255"/>
          <w:jc w:val="center"/>
        </w:trPr>
        <w:tc>
          <w:tcPr>
            <w:tcW w:w="0" w:type="auto"/>
            <w:vAlign w:val="center"/>
            <w:hideMark/>
          </w:tcPr>
          <w:p w14:paraId="6ED5E82A" w14:textId="77777777" w:rsidR="00D45512" w:rsidRPr="00D45512" w:rsidRDefault="00D45512" w:rsidP="00D45512">
            <w:pPr>
              <w:rPr>
                <w:rFonts w:ascii="Times New Roman" w:eastAsia="Times New Roman" w:hAnsi="Times New Roman" w:cs="Times New Roman"/>
                <w:b/>
                <w:bCs/>
                <w:color w:val="000000"/>
                <w:lang w:val="en-GB"/>
              </w:rPr>
            </w:pPr>
            <w:r w:rsidRPr="00D45512">
              <w:rPr>
                <w:rFonts w:ascii="Times New Roman" w:eastAsia="Times New Roman" w:hAnsi="Times New Roman" w:cs="Times New Roman"/>
                <w:b/>
                <w:bCs/>
                <w:color w:val="000000"/>
                <w:lang w:val="en-GB"/>
              </w:rPr>
              <w:t>Age (n=320)</w:t>
            </w:r>
          </w:p>
        </w:tc>
        <w:tc>
          <w:tcPr>
            <w:tcW w:w="0" w:type="auto"/>
            <w:vAlign w:val="center"/>
            <w:hideMark/>
          </w:tcPr>
          <w:p w14:paraId="1F387A36"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44.6 (10.5, 18-70)</w:t>
            </w:r>
          </w:p>
        </w:tc>
      </w:tr>
      <w:tr w:rsidR="00D45512" w:rsidRPr="00D45512" w14:paraId="67764916" w14:textId="77777777" w:rsidTr="00885C57">
        <w:trPr>
          <w:trHeight w:val="255"/>
          <w:jc w:val="center"/>
        </w:trPr>
        <w:tc>
          <w:tcPr>
            <w:tcW w:w="0" w:type="auto"/>
            <w:vAlign w:val="center"/>
            <w:hideMark/>
          </w:tcPr>
          <w:p w14:paraId="467CCD1C"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b/>
                <w:bCs/>
                <w:color w:val="000000"/>
                <w:lang w:val="en-GB"/>
              </w:rPr>
              <w:t>Education (n=319)</w:t>
            </w:r>
          </w:p>
        </w:tc>
        <w:tc>
          <w:tcPr>
            <w:tcW w:w="0" w:type="auto"/>
            <w:vAlign w:val="center"/>
            <w:hideMark/>
          </w:tcPr>
          <w:p w14:paraId="3CD58C5B" w14:textId="77777777" w:rsidR="00D45512" w:rsidRPr="00D45512" w:rsidRDefault="00D45512" w:rsidP="00D45512">
            <w:pPr>
              <w:rPr>
                <w:rFonts w:ascii="Times New Roman" w:eastAsia="Times New Roman" w:hAnsi="Times New Roman" w:cs="Times New Roman"/>
                <w:color w:val="000000"/>
                <w:lang w:val="en-GB"/>
              </w:rPr>
            </w:pPr>
          </w:p>
        </w:tc>
      </w:tr>
      <w:tr w:rsidR="00D45512" w:rsidRPr="00D45512" w14:paraId="269C8D4F" w14:textId="77777777" w:rsidTr="00885C57">
        <w:trPr>
          <w:trHeight w:val="255"/>
          <w:jc w:val="center"/>
        </w:trPr>
        <w:tc>
          <w:tcPr>
            <w:tcW w:w="0" w:type="auto"/>
            <w:vAlign w:val="center"/>
            <w:hideMark/>
          </w:tcPr>
          <w:p w14:paraId="3FDEBC84" w14:textId="77777777" w:rsidR="00D45512" w:rsidRPr="00D45512" w:rsidRDefault="00D45512" w:rsidP="00B53BE1">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 xml:space="preserve">Low (no </w:t>
            </w:r>
            <w:r w:rsidR="00B53BE1">
              <w:rPr>
                <w:rFonts w:ascii="Times New Roman" w:eastAsia="Times New Roman" w:hAnsi="Times New Roman" w:cs="Times New Roman"/>
                <w:color w:val="000000"/>
                <w:lang w:val="en-GB"/>
              </w:rPr>
              <w:t>post 16 academic qualifications</w:t>
            </w:r>
            <w:r w:rsidRPr="00D45512">
              <w:rPr>
                <w:rFonts w:ascii="Times New Roman" w:eastAsia="Times New Roman" w:hAnsi="Times New Roman" w:cs="Times New Roman"/>
                <w:color w:val="000000"/>
                <w:lang w:val="en-GB"/>
              </w:rPr>
              <w:t>)</w:t>
            </w:r>
          </w:p>
        </w:tc>
        <w:tc>
          <w:tcPr>
            <w:tcW w:w="0" w:type="auto"/>
            <w:vAlign w:val="center"/>
            <w:hideMark/>
          </w:tcPr>
          <w:p w14:paraId="5EF2E087"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13.5% (43)</w:t>
            </w:r>
          </w:p>
        </w:tc>
      </w:tr>
      <w:tr w:rsidR="00D45512" w:rsidRPr="00D45512" w14:paraId="7400361D" w14:textId="77777777" w:rsidTr="00885C57">
        <w:trPr>
          <w:trHeight w:val="255"/>
          <w:jc w:val="center"/>
        </w:trPr>
        <w:tc>
          <w:tcPr>
            <w:tcW w:w="0" w:type="auto"/>
            <w:vAlign w:val="center"/>
            <w:hideMark/>
          </w:tcPr>
          <w:p w14:paraId="5EE5E99D" w14:textId="77777777" w:rsidR="00D45512" w:rsidRPr="00D45512" w:rsidRDefault="00D45512" w:rsidP="006711BB">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Medium (</w:t>
            </w:r>
            <w:r w:rsidR="00B53BE1">
              <w:rPr>
                <w:rFonts w:ascii="Times New Roman" w:eastAsia="Times New Roman" w:hAnsi="Times New Roman" w:cs="Times New Roman"/>
                <w:color w:val="000000"/>
                <w:lang w:val="en-GB"/>
              </w:rPr>
              <w:t>post 16 qualifications but no</w:t>
            </w:r>
            <w:r w:rsidRPr="00D45512">
              <w:rPr>
                <w:rFonts w:ascii="Times New Roman" w:eastAsia="Times New Roman" w:hAnsi="Times New Roman" w:cs="Times New Roman"/>
                <w:color w:val="000000"/>
                <w:lang w:val="en-GB"/>
              </w:rPr>
              <w:t xml:space="preserve"> </w:t>
            </w:r>
            <w:r w:rsidR="006711BB">
              <w:rPr>
                <w:rFonts w:ascii="Times New Roman" w:eastAsia="Times New Roman" w:hAnsi="Times New Roman" w:cs="Times New Roman"/>
                <w:color w:val="000000"/>
                <w:lang w:val="en-GB"/>
              </w:rPr>
              <w:t>university degree</w:t>
            </w:r>
            <w:r w:rsidRPr="00D45512">
              <w:rPr>
                <w:rFonts w:ascii="Times New Roman" w:eastAsia="Times New Roman" w:hAnsi="Times New Roman" w:cs="Times New Roman"/>
                <w:color w:val="000000"/>
                <w:lang w:val="en-GB"/>
              </w:rPr>
              <w:t>)</w:t>
            </w:r>
          </w:p>
        </w:tc>
        <w:tc>
          <w:tcPr>
            <w:tcW w:w="0" w:type="auto"/>
            <w:vAlign w:val="center"/>
            <w:hideMark/>
          </w:tcPr>
          <w:p w14:paraId="354004AD"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33.5% (107)</w:t>
            </w:r>
          </w:p>
        </w:tc>
      </w:tr>
      <w:tr w:rsidR="00D45512" w:rsidRPr="00D45512" w14:paraId="1DEBA48B" w14:textId="77777777" w:rsidTr="00885C57">
        <w:trPr>
          <w:trHeight w:val="255"/>
          <w:jc w:val="center"/>
        </w:trPr>
        <w:tc>
          <w:tcPr>
            <w:tcW w:w="0" w:type="auto"/>
            <w:vAlign w:val="center"/>
            <w:hideMark/>
          </w:tcPr>
          <w:p w14:paraId="4728EB80"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High (university degree)</w:t>
            </w:r>
          </w:p>
        </w:tc>
        <w:tc>
          <w:tcPr>
            <w:tcW w:w="0" w:type="auto"/>
            <w:vAlign w:val="center"/>
            <w:hideMark/>
          </w:tcPr>
          <w:p w14:paraId="07DF55CF"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53.0% (169)</w:t>
            </w:r>
          </w:p>
        </w:tc>
      </w:tr>
      <w:tr w:rsidR="00D45512" w:rsidRPr="00D45512" w14:paraId="1FA6D188" w14:textId="77777777" w:rsidTr="00885C57">
        <w:trPr>
          <w:trHeight w:val="255"/>
          <w:jc w:val="center"/>
        </w:trPr>
        <w:tc>
          <w:tcPr>
            <w:tcW w:w="0" w:type="auto"/>
            <w:vAlign w:val="center"/>
            <w:hideMark/>
          </w:tcPr>
          <w:p w14:paraId="741420C4"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b/>
                <w:bCs/>
                <w:color w:val="000000"/>
                <w:lang w:val="en-GB"/>
              </w:rPr>
              <w:t>Ethnic group (n=319)</w:t>
            </w:r>
          </w:p>
        </w:tc>
        <w:tc>
          <w:tcPr>
            <w:tcW w:w="0" w:type="auto"/>
            <w:vAlign w:val="center"/>
            <w:hideMark/>
          </w:tcPr>
          <w:p w14:paraId="4339E8DA" w14:textId="77777777" w:rsidR="00D45512" w:rsidRPr="00D45512" w:rsidRDefault="00D45512" w:rsidP="00D45512">
            <w:pPr>
              <w:rPr>
                <w:rFonts w:ascii="Times New Roman" w:eastAsia="Times New Roman" w:hAnsi="Times New Roman" w:cs="Times New Roman"/>
                <w:color w:val="000000"/>
                <w:lang w:val="en-GB"/>
              </w:rPr>
            </w:pPr>
          </w:p>
        </w:tc>
      </w:tr>
      <w:tr w:rsidR="00D45512" w:rsidRPr="00D45512" w14:paraId="74EC10F0" w14:textId="77777777" w:rsidTr="00885C57">
        <w:trPr>
          <w:trHeight w:val="255"/>
          <w:jc w:val="center"/>
        </w:trPr>
        <w:tc>
          <w:tcPr>
            <w:tcW w:w="0" w:type="auto"/>
            <w:vAlign w:val="center"/>
            <w:hideMark/>
          </w:tcPr>
          <w:p w14:paraId="5DC11C2E"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White British</w:t>
            </w:r>
          </w:p>
        </w:tc>
        <w:tc>
          <w:tcPr>
            <w:tcW w:w="0" w:type="auto"/>
            <w:vAlign w:val="center"/>
            <w:hideMark/>
          </w:tcPr>
          <w:p w14:paraId="5462FF61"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79.3% (253)</w:t>
            </w:r>
          </w:p>
        </w:tc>
      </w:tr>
      <w:tr w:rsidR="00D45512" w:rsidRPr="00D45512" w14:paraId="54414743" w14:textId="77777777" w:rsidTr="00885C57">
        <w:trPr>
          <w:trHeight w:val="255"/>
          <w:jc w:val="center"/>
        </w:trPr>
        <w:tc>
          <w:tcPr>
            <w:tcW w:w="0" w:type="auto"/>
            <w:vAlign w:val="center"/>
            <w:hideMark/>
          </w:tcPr>
          <w:p w14:paraId="1F52CC30"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White other</w:t>
            </w:r>
          </w:p>
        </w:tc>
        <w:tc>
          <w:tcPr>
            <w:tcW w:w="0" w:type="auto"/>
            <w:vAlign w:val="center"/>
            <w:hideMark/>
          </w:tcPr>
          <w:p w14:paraId="467010CC"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14.4% (46)</w:t>
            </w:r>
          </w:p>
        </w:tc>
      </w:tr>
      <w:tr w:rsidR="00D45512" w:rsidRPr="00D45512" w14:paraId="31958DF7" w14:textId="77777777" w:rsidTr="00885C57">
        <w:trPr>
          <w:trHeight w:val="255"/>
          <w:jc w:val="center"/>
        </w:trPr>
        <w:tc>
          <w:tcPr>
            <w:tcW w:w="0" w:type="auto"/>
            <w:vAlign w:val="center"/>
            <w:hideMark/>
          </w:tcPr>
          <w:p w14:paraId="6757B76B" w14:textId="77777777" w:rsidR="00D45512" w:rsidRPr="00D45512" w:rsidRDefault="00D45512" w:rsidP="00D45512">
            <w:pPr>
              <w:rPr>
                <w:rFonts w:ascii="Times New Roman" w:eastAsia="Times New Roman" w:hAnsi="Times New Roman" w:cs="Times New Roman"/>
                <w:b/>
                <w:bCs/>
                <w:color w:val="000000"/>
                <w:lang w:val="en-GB"/>
              </w:rPr>
            </w:pPr>
            <w:r w:rsidRPr="00D45512">
              <w:rPr>
                <w:rFonts w:ascii="Times New Roman" w:eastAsia="Times New Roman" w:hAnsi="Times New Roman" w:cs="Times New Roman"/>
                <w:color w:val="000000"/>
                <w:lang w:val="en-GB"/>
              </w:rPr>
              <w:t>Black</w:t>
            </w:r>
            <w:r w:rsidR="003030ED">
              <w:rPr>
                <w:rFonts w:ascii="Times New Roman" w:eastAsia="Times New Roman" w:hAnsi="Times New Roman" w:cs="Times New Roman"/>
                <w:color w:val="000000"/>
                <w:lang w:val="en-GB"/>
              </w:rPr>
              <w:t xml:space="preserve"> (African, Caribbean)</w:t>
            </w:r>
          </w:p>
        </w:tc>
        <w:tc>
          <w:tcPr>
            <w:tcW w:w="0" w:type="auto"/>
            <w:vAlign w:val="center"/>
            <w:hideMark/>
          </w:tcPr>
          <w:p w14:paraId="2B247B29" w14:textId="77777777" w:rsidR="00D45512" w:rsidRPr="00D45512" w:rsidRDefault="00D45512" w:rsidP="00D45512">
            <w:pPr>
              <w:rPr>
                <w:rFonts w:ascii="Times New Roman" w:eastAsia="Times New Roman" w:hAnsi="Times New Roman" w:cs="Times New Roman"/>
                <w:b/>
                <w:bCs/>
                <w:color w:val="000000"/>
                <w:lang w:val="en-GB"/>
              </w:rPr>
            </w:pPr>
            <w:r w:rsidRPr="00D45512">
              <w:rPr>
                <w:rFonts w:ascii="Times New Roman" w:eastAsia="Times New Roman" w:hAnsi="Times New Roman" w:cs="Times New Roman"/>
                <w:color w:val="000000"/>
                <w:lang w:val="en-GB"/>
              </w:rPr>
              <w:t>1.9% (6)</w:t>
            </w:r>
          </w:p>
        </w:tc>
      </w:tr>
      <w:tr w:rsidR="00D45512" w:rsidRPr="00D45512" w14:paraId="4963AA4C" w14:textId="77777777" w:rsidTr="00885C57">
        <w:trPr>
          <w:trHeight w:val="255"/>
          <w:jc w:val="center"/>
        </w:trPr>
        <w:tc>
          <w:tcPr>
            <w:tcW w:w="0" w:type="auto"/>
            <w:vAlign w:val="center"/>
            <w:hideMark/>
          </w:tcPr>
          <w:p w14:paraId="51740DCD"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Asian</w:t>
            </w:r>
            <w:r w:rsidR="003030ED">
              <w:rPr>
                <w:rFonts w:ascii="Times New Roman" w:eastAsia="Times New Roman" w:hAnsi="Times New Roman" w:cs="Times New Roman"/>
                <w:color w:val="000000"/>
                <w:lang w:val="en-GB"/>
              </w:rPr>
              <w:t xml:space="preserve"> (Indian, Pakistani, Bangladeshi)</w:t>
            </w:r>
          </w:p>
        </w:tc>
        <w:tc>
          <w:tcPr>
            <w:tcW w:w="0" w:type="auto"/>
            <w:vAlign w:val="center"/>
            <w:hideMark/>
          </w:tcPr>
          <w:p w14:paraId="6C425FD7"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2.5% (8)</w:t>
            </w:r>
          </w:p>
        </w:tc>
      </w:tr>
      <w:tr w:rsidR="00D45512" w:rsidRPr="00D45512" w14:paraId="58E77E1D" w14:textId="77777777" w:rsidTr="00885C57">
        <w:trPr>
          <w:trHeight w:val="255"/>
          <w:jc w:val="center"/>
        </w:trPr>
        <w:tc>
          <w:tcPr>
            <w:tcW w:w="0" w:type="auto"/>
            <w:vAlign w:val="center"/>
            <w:hideMark/>
          </w:tcPr>
          <w:p w14:paraId="0F8914BB"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Other</w:t>
            </w:r>
          </w:p>
        </w:tc>
        <w:tc>
          <w:tcPr>
            <w:tcW w:w="0" w:type="auto"/>
            <w:vAlign w:val="center"/>
            <w:hideMark/>
          </w:tcPr>
          <w:p w14:paraId="18ED0BB9"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1.9% (6)</w:t>
            </w:r>
          </w:p>
        </w:tc>
      </w:tr>
      <w:tr w:rsidR="00D45512" w:rsidRPr="00D45512" w14:paraId="7F651FE5" w14:textId="77777777" w:rsidTr="00885C57">
        <w:trPr>
          <w:trHeight w:val="255"/>
          <w:jc w:val="center"/>
        </w:trPr>
        <w:tc>
          <w:tcPr>
            <w:tcW w:w="0" w:type="auto"/>
            <w:vAlign w:val="center"/>
            <w:hideMark/>
          </w:tcPr>
          <w:p w14:paraId="43DE0A6F"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b/>
                <w:bCs/>
                <w:color w:val="000000"/>
                <w:lang w:val="en-GB"/>
              </w:rPr>
              <w:t>Place of residence (n=310)</w:t>
            </w:r>
          </w:p>
        </w:tc>
        <w:tc>
          <w:tcPr>
            <w:tcW w:w="0" w:type="auto"/>
            <w:vAlign w:val="center"/>
            <w:hideMark/>
          </w:tcPr>
          <w:p w14:paraId="38430D61" w14:textId="77777777" w:rsidR="00D45512" w:rsidRPr="00D45512" w:rsidRDefault="00D45512" w:rsidP="00D45512">
            <w:pPr>
              <w:rPr>
                <w:rFonts w:ascii="Times New Roman" w:eastAsia="Times New Roman" w:hAnsi="Times New Roman" w:cs="Times New Roman"/>
                <w:color w:val="000000"/>
                <w:lang w:val="en-GB"/>
              </w:rPr>
            </w:pPr>
          </w:p>
        </w:tc>
      </w:tr>
      <w:tr w:rsidR="00D45512" w:rsidRPr="00D45512" w14:paraId="0DC94235" w14:textId="77777777" w:rsidTr="00885C57">
        <w:trPr>
          <w:trHeight w:val="255"/>
          <w:jc w:val="center"/>
        </w:trPr>
        <w:tc>
          <w:tcPr>
            <w:tcW w:w="0" w:type="auto"/>
            <w:vAlign w:val="center"/>
            <w:hideMark/>
          </w:tcPr>
          <w:p w14:paraId="65859657" w14:textId="77777777" w:rsidR="00D45512" w:rsidRPr="00D45512" w:rsidRDefault="00D45512" w:rsidP="00D45512">
            <w:pPr>
              <w:rPr>
                <w:rFonts w:ascii="Times New Roman" w:eastAsia="Times New Roman" w:hAnsi="Times New Roman" w:cs="Times New Roman"/>
                <w:b/>
                <w:bCs/>
                <w:color w:val="000000"/>
                <w:lang w:val="en-GB"/>
              </w:rPr>
            </w:pPr>
            <w:r w:rsidRPr="00D45512">
              <w:rPr>
                <w:rFonts w:ascii="Times New Roman" w:eastAsia="Times New Roman" w:hAnsi="Times New Roman" w:cs="Times New Roman"/>
                <w:color w:val="000000"/>
                <w:lang w:val="en-GB"/>
              </w:rPr>
              <w:t>London</w:t>
            </w:r>
          </w:p>
        </w:tc>
        <w:tc>
          <w:tcPr>
            <w:tcW w:w="0" w:type="auto"/>
            <w:vAlign w:val="center"/>
            <w:hideMark/>
          </w:tcPr>
          <w:p w14:paraId="50E57513" w14:textId="77777777" w:rsidR="00D45512" w:rsidRPr="00D45512" w:rsidRDefault="00D45512" w:rsidP="00D45512">
            <w:pPr>
              <w:rPr>
                <w:rFonts w:ascii="Times New Roman" w:eastAsia="Times New Roman" w:hAnsi="Times New Roman" w:cs="Times New Roman"/>
                <w:b/>
                <w:bCs/>
                <w:color w:val="000000"/>
                <w:lang w:val="en-GB"/>
              </w:rPr>
            </w:pPr>
            <w:r w:rsidRPr="00D45512">
              <w:rPr>
                <w:rFonts w:ascii="Times New Roman" w:eastAsia="Times New Roman" w:hAnsi="Times New Roman" w:cs="Times New Roman"/>
                <w:color w:val="000000"/>
                <w:lang w:val="en-GB"/>
              </w:rPr>
              <w:t>39.7% (123)</w:t>
            </w:r>
          </w:p>
        </w:tc>
      </w:tr>
      <w:tr w:rsidR="00D45512" w:rsidRPr="00D45512" w14:paraId="55AA2598" w14:textId="77777777" w:rsidTr="00885C57">
        <w:trPr>
          <w:trHeight w:val="255"/>
          <w:jc w:val="center"/>
        </w:trPr>
        <w:tc>
          <w:tcPr>
            <w:tcW w:w="0" w:type="auto"/>
            <w:vAlign w:val="center"/>
            <w:hideMark/>
          </w:tcPr>
          <w:p w14:paraId="7CFD98BB"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Rest of England</w:t>
            </w:r>
          </w:p>
        </w:tc>
        <w:tc>
          <w:tcPr>
            <w:tcW w:w="0" w:type="auto"/>
            <w:vAlign w:val="center"/>
            <w:hideMark/>
          </w:tcPr>
          <w:p w14:paraId="27D947F4"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60.3% (187)</w:t>
            </w:r>
          </w:p>
        </w:tc>
      </w:tr>
      <w:tr w:rsidR="00D45512" w:rsidRPr="00D45512" w14:paraId="1976F418" w14:textId="77777777" w:rsidTr="00885C57">
        <w:trPr>
          <w:trHeight w:val="255"/>
          <w:jc w:val="center"/>
        </w:trPr>
        <w:tc>
          <w:tcPr>
            <w:tcW w:w="0" w:type="auto"/>
            <w:vAlign w:val="center"/>
          </w:tcPr>
          <w:p w14:paraId="7B711CC5" w14:textId="77777777" w:rsidR="00D45512" w:rsidRPr="00D45512" w:rsidRDefault="00D45512" w:rsidP="00D45512">
            <w:pPr>
              <w:rPr>
                <w:rFonts w:ascii="Times New Roman" w:eastAsia="Times New Roman" w:hAnsi="Times New Roman" w:cs="Times New Roman"/>
                <w:b/>
                <w:bCs/>
                <w:color w:val="000000"/>
                <w:lang w:val="en-GB"/>
              </w:rPr>
            </w:pPr>
            <w:r w:rsidRPr="00D45512">
              <w:rPr>
                <w:rFonts w:ascii="Times New Roman" w:eastAsia="Times New Roman" w:hAnsi="Times New Roman" w:cs="Times New Roman"/>
                <w:b/>
                <w:bCs/>
                <w:color w:val="000000"/>
                <w:lang w:val="en-GB"/>
              </w:rPr>
              <w:t>Relationship status at enrolment (n=319)</w:t>
            </w:r>
          </w:p>
        </w:tc>
        <w:tc>
          <w:tcPr>
            <w:tcW w:w="0" w:type="auto"/>
            <w:vAlign w:val="center"/>
          </w:tcPr>
          <w:p w14:paraId="3D69A8A1" w14:textId="77777777" w:rsidR="00D45512" w:rsidRPr="00D45512" w:rsidRDefault="00D45512" w:rsidP="00D45512">
            <w:pPr>
              <w:rPr>
                <w:rFonts w:ascii="Times New Roman" w:eastAsia="Times New Roman" w:hAnsi="Times New Roman" w:cs="Times New Roman"/>
                <w:b/>
                <w:bCs/>
                <w:color w:val="000000"/>
                <w:lang w:val="en-GB"/>
              </w:rPr>
            </w:pPr>
          </w:p>
        </w:tc>
      </w:tr>
      <w:tr w:rsidR="00D45512" w:rsidRPr="00D45512" w14:paraId="37EA60B7" w14:textId="77777777" w:rsidTr="00885C57">
        <w:trPr>
          <w:trHeight w:val="255"/>
          <w:jc w:val="center"/>
        </w:trPr>
        <w:tc>
          <w:tcPr>
            <w:tcW w:w="0" w:type="auto"/>
            <w:vAlign w:val="center"/>
          </w:tcPr>
          <w:p w14:paraId="037EFAC3"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Single</w:t>
            </w:r>
          </w:p>
        </w:tc>
        <w:tc>
          <w:tcPr>
            <w:tcW w:w="0" w:type="auto"/>
            <w:vAlign w:val="center"/>
          </w:tcPr>
          <w:p w14:paraId="3966CD9A"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44.8% (143)</w:t>
            </w:r>
          </w:p>
        </w:tc>
      </w:tr>
      <w:tr w:rsidR="00D45512" w:rsidRPr="00D45512" w14:paraId="2693E51B" w14:textId="77777777" w:rsidTr="00885C57">
        <w:trPr>
          <w:trHeight w:val="255"/>
          <w:jc w:val="center"/>
        </w:trPr>
        <w:tc>
          <w:tcPr>
            <w:tcW w:w="0" w:type="auto"/>
            <w:vAlign w:val="center"/>
          </w:tcPr>
          <w:p w14:paraId="358D292B"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One man only</w:t>
            </w:r>
          </w:p>
        </w:tc>
        <w:tc>
          <w:tcPr>
            <w:tcW w:w="0" w:type="auto"/>
            <w:vAlign w:val="center"/>
          </w:tcPr>
          <w:p w14:paraId="0371248D"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42.0% (134)</w:t>
            </w:r>
          </w:p>
        </w:tc>
      </w:tr>
      <w:tr w:rsidR="00D45512" w:rsidRPr="00D45512" w14:paraId="3616955D" w14:textId="77777777" w:rsidTr="00885C57">
        <w:trPr>
          <w:trHeight w:val="255"/>
          <w:jc w:val="center"/>
        </w:trPr>
        <w:tc>
          <w:tcPr>
            <w:tcW w:w="0" w:type="auto"/>
            <w:vAlign w:val="center"/>
          </w:tcPr>
          <w:p w14:paraId="12C8F2E9"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Two or more men, no women</w:t>
            </w:r>
          </w:p>
        </w:tc>
        <w:tc>
          <w:tcPr>
            <w:tcW w:w="0" w:type="auto"/>
            <w:vAlign w:val="center"/>
          </w:tcPr>
          <w:p w14:paraId="421B8DAA"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5.0% (16)</w:t>
            </w:r>
          </w:p>
        </w:tc>
      </w:tr>
      <w:tr w:rsidR="00D45512" w:rsidRPr="00D45512" w14:paraId="12712A51" w14:textId="77777777" w:rsidTr="00885C57">
        <w:trPr>
          <w:trHeight w:val="255"/>
          <w:jc w:val="center"/>
        </w:trPr>
        <w:tc>
          <w:tcPr>
            <w:tcW w:w="0" w:type="auto"/>
            <w:vAlign w:val="center"/>
          </w:tcPr>
          <w:p w14:paraId="1B6CEC20"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One or more women</w:t>
            </w:r>
          </w:p>
        </w:tc>
        <w:tc>
          <w:tcPr>
            <w:tcW w:w="0" w:type="auto"/>
            <w:vAlign w:val="center"/>
          </w:tcPr>
          <w:p w14:paraId="3CAB4B36"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8.1% (26)</w:t>
            </w:r>
          </w:p>
        </w:tc>
      </w:tr>
      <w:tr w:rsidR="00D45512" w:rsidRPr="00D45512" w14:paraId="7E3BE541" w14:textId="77777777" w:rsidTr="00885C57">
        <w:trPr>
          <w:trHeight w:val="255"/>
          <w:jc w:val="center"/>
        </w:trPr>
        <w:tc>
          <w:tcPr>
            <w:tcW w:w="0" w:type="auto"/>
            <w:vAlign w:val="center"/>
          </w:tcPr>
          <w:p w14:paraId="1A7114C8" w14:textId="77777777" w:rsidR="00D45512" w:rsidRPr="00D45512" w:rsidRDefault="00D45512" w:rsidP="00D45512">
            <w:pPr>
              <w:rPr>
                <w:rFonts w:ascii="Times New Roman" w:eastAsia="Times New Roman" w:hAnsi="Times New Roman" w:cs="Times New Roman"/>
                <w:b/>
                <w:bCs/>
                <w:color w:val="000000"/>
                <w:lang w:val="en-GB"/>
              </w:rPr>
            </w:pPr>
            <w:r w:rsidRPr="00D45512">
              <w:rPr>
                <w:rFonts w:ascii="Times New Roman" w:eastAsia="Times New Roman" w:hAnsi="Times New Roman" w:cs="Times New Roman"/>
                <w:b/>
                <w:bCs/>
                <w:color w:val="000000"/>
                <w:lang w:val="en-GB"/>
              </w:rPr>
              <w:t>Describe sexual orientation (n=316)</w:t>
            </w:r>
          </w:p>
        </w:tc>
        <w:tc>
          <w:tcPr>
            <w:tcW w:w="0" w:type="auto"/>
            <w:vAlign w:val="center"/>
          </w:tcPr>
          <w:p w14:paraId="7F370EB3" w14:textId="77777777" w:rsidR="00D45512" w:rsidRPr="00D45512" w:rsidRDefault="00D45512" w:rsidP="00D45512">
            <w:pPr>
              <w:rPr>
                <w:rFonts w:ascii="Times New Roman" w:eastAsia="Times New Roman" w:hAnsi="Times New Roman" w:cs="Times New Roman"/>
                <w:b/>
                <w:bCs/>
                <w:color w:val="000000"/>
                <w:lang w:val="en-GB"/>
              </w:rPr>
            </w:pPr>
          </w:p>
        </w:tc>
      </w:tr>
      <w:tr w:rsidR="00D45512" w:rsidRPr="00D45512" w14:paraId="48F2FAA8" w14:textId="77777777" w:rsidTr="00885C57">
        <w:trPr>
          <w:trHeight w:val="255"/>
          <w:jc w:val="center"/>
        </w:trPr>
        <w:tc>
          <w:tcPr>
            <w:tcW w:w="0" w:type="auto"/>
            <w:vAlign w:val="center"/>
          </w:tcPr>
          <w:p w14:paraId="5AD6F51C"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Gay or homosexual</w:t>
            </w:r>
          </w:p>
        </w:tc>
        <w:tc>
          <w:tcPr>
            <w:tcW w:w="0" w:type="auto"/>
            <w:vAlign w:val="center"/>
          </w:tcPr>
          <w:p w14:paraId="03860ED0"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84.2% (266)</w:t>
            </w:r>
          </w:p>
        </w:tc>
      </w:tr>
      <w:tr w:rsidR="00D45512" w:rsidRPr="00D45512" w14:paraId="78F55400" w14:textId="77777777" w:rsidTr="00885C57">
        <w:trPr>
          <w:trHeight w:val="255"/>
          <w:jc w:val="center"/>
        </w:trPr>
        <w:tc>
          <w:tcPr>
            <w:tcW w:w="0" w:type="auto"/>
            <w:vAlign w:val="center"/>
          </w:tcPr>
          <w:p w14:paraId="2C86E89B" w14:textId="7D1A24B3" w:rsidR="00D45512" w:rsidRPr="00D45512" w:rsidRDefault="003D415E" w:rsidP="00D45512">
            <w:p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Bisexual, s</w:t>
            </w:r>
            <w:r w:rsidR="00D45512" w:rsidRPr="00D45512">
              <w:rPr>
                <w:rFonts w:ascii="Times New Roman" w:eastAsia="Times New Roman" w:hAnsi="Times New Roman" w:cs="Times New Roman"/>
                <w:color w:val="000000"/>
                <w:lang w:val="en-GB"/>
              </w:rPr>
              <w:t>traight or other</w:t>
            </w:r>
          </w:p>
        </w:tc>
        <w:tc>
          <w:tcPr>
            <w:tcW w:w="0" w:type="auto"/>
            <w:vAlign w:val="center"/>
          </w:tcPr>
          <w:p w14:paraId="4E965986" w14:textId="77777777" w:rsidR="00D45512" w:rsidRPr="00D45512" w:rsidRDefault="00D45512" w:rsidP="00D45512">
            <w:pPr>
              <w:rPr>
                <w:rFonts w:ascii="Times New Roman" w:eastAsia="Times New Roman" w:hAnsi="Times New Roman" w:cs="Times New Roman"/>
                <w:color w:val="000000"/>
                <w:lang w:val="en-GB"/>
              </w:rPr>
            </w:pPr>
            <w:r w:rsidRPr="00D45512">
              <w:rPr>
                <w:rFonts w:ascii="Times New Roman" w:eastAsia="Times New Roman" w:hAnsi="Times New Roman" w:cs="Times New Roman"/>
                <w:color w:val="000000"/>
                <w:lang w:val="en-GB"/>
              </w:rPr>
              <w:t>15.8% (50)</w:t>
            </w:r>
          </w:p>
        </w:tc>
      </w:tr>
    </w:tbl>
    <w:p w14:paraId="76A47A89" w14:textId="77777777" w:rsidR="00D45512" w:rsidRDefault="00D45512">
      <w:r>
        <w:br w:type="page"/>
      </w:r>
    </w:p>
    <w:p w14:paraId="1EFDC166" w14:textId="77777777" w:rsidR="00D45512" w:rsidRDefault="00D45512" w:rsidP="00885C57">
      <w:pPr>
        <w:spacing w:line="480" w:lineRule="auto"/>
        <w:jc w:val="center"/>
      </w:pPr>
      <w:r w:rsidRPr="00D45512">
        <w:rPr>
          <w:b/>
        </w:rPr>
        <w:t>Table 2.</w:t>
      </w:r>
      <w:r>
        <w:t xml:space="preserve">  Characteristics of included encounters.</w:t>
      </w:r>
    </w:p>
    <w:tbl>
      <w:tblPr>
        <w:tblStyle w:val="TableGrid"/>
        <w:tblW w:w="0" w:type="auto"/>
        <w:jc w:val="center"/>
        <w:tblLook w:val="04A0" w:firstRow="1" w:lastRow="0" w:firstColumn="1" w:lastColumn="0" w:noHBand="0" w:noVBand="1"/>
      </w:tblPr>
      <w:tblGrid>
        <w:gridCol w:w="3563"/>
        <w:gridCol w:w="576"/>
        <w:gridCol w:w="2036"/>
      </w:tblGrid>
      <w:tr w:rsidR="00D45512" w:rsidRPr="006711BB" w14:paraId="291ED128" w14:textId="77777777" w:rsidTr="00885C57">
        <w:trPr>
          <w:trHeight w:val="284"/>
          <w:jc w:val="center"/>
        </w:trPr>
        <w:tc>
          <w:tcPr>
            <w:tcW w:w="0" w:type="auto"/>
            <w:vAlign w:val="center"/>
            <w:hideMark/>
          </w:tcPr>
          <w:p w14:paraId="07F121A0" w14:textId="77777777" w:rsidR="00D45512" w:rsidRPr="006711BB" w:rsidRDefault="00D45512" w:rsidP="00D45512">
            <w:pPr>
              <w:rPr>
                <w:rFonts w:ascii="Times New Roman" w:eastAsia="Times New Roman" w:hAnsi="Times New Roman" w:cs="Times New Roman"/>
                <w:b/>
                <w:bCs/>
                <w:color w:val="000000"/>
                <w:lang w:val="en-GB"/>
              </w:rPr>
            </w:pPr>
            <w:r w:rsidRPr="006711BB">
              <w:rPr>
                <w:rFonts w:ascii="Times New Roman" w:eastAsia="Times New Roman" w:hAnsi="Times New Roman" w:cs="Times New Roman"/>
                <w:b/>
                <w:bCs/>
                <w:color w:val="000000"/>
                <w:lang w:val="en-GB"/>
              </w:rPr>
              <w:t>Variable</w:t>
            </w:r>
          </w:p>
        </w:tc>
        <w:tc>
          <w:tcPr>
            <w:tcW w:w="0" w:type="auto"/>
            <w:noWrap/>
            <w:vAlign w:val="center"/>
            <w:hideMark/>
          </w:tcPr>
          <w:p w14:paraId="48A3BA1C" w14:textId="77777777" w:rsidR="00D45512" w:rsidRPr="006711BB" w:rsidRDefault="00D45512" w:rsidP="00D45512">
            <w:pPr>
              <w:rPr>
                <w:rFonts w:ascii="Times New Roman" w:eastAsia="Times New Roman" w:hAnsi="Times New Roman" w:cs="Times New Roman"/>
                <w:b/>
                <w:bCs/>
                <w:color w:val="000000"/>
                <w:lang w:val="en-GB"/>
              </w:rPr>
            </w:pPr>
            <w:r w:rsidRPr="006711BB">
              <w:rPr>
                <w:rFonts w:ascii="Times New Roman" w:eastAsia="Times New Roman" w:hAnsi="Times New Roman" w:cs="Times New Roman"/>
                <w:b/>
                <w:bCs/>
                <w:color w:val="000000"/>
                <w:lang w:val="en-GB"/>
              </w:rPr>
              <w:t>N</w:t>
            </w:r>
          </w:p>
        </w:tc>
        <w:tc>
          <w:tcPr>
            <w:tcW w:w="0" w:type="auto"/>
            <w:vAlign w:val="center"/>
            <w:hideMark/>
          </w:tcPr>
          <w:p w14:paraId="4C27ACD9" w14:textId="77777777" w:rsidR="00D45512" w:rsidRPr="006711BB" w:rsidRDefault="00D45512" w:rsidP="00D45512">
            <w:pPr>
              <w:rPr>
                <w:rFonts w:ascii="Times New Roman" w:eastAsia="Times New Roman" w:hAnsi="Times New Roman" w:cs="Times New Roman"/>
                <w:b/>
                <w:bCs/>
                <w:color w:val="000000"/>
                <w:lang w:val="en-GB"/>
              </w:rPr>
            </w:pPr>
            <w:r w:rsidRPr="006711BB">
              <w:rPr>
                <w:rFonts w:ascii="Times New Roman" w:eastAsia="Times New Roman" w:hAnsi="Times New Roman" w:cs="Times New Roman"/>
                <w:b/>
                <w:bCs/>
                <w:color w:val="000000"/>
                <w:lang w:val="en-GB"/>
              </w:rPr>
              <w:t>% (n)</w:t>
            </w:r>
            <w:r w:rsidRPr="006711BB">
              <w:rPr>
                <w:rFonts w:ascii="Times New Roman" w:eastAsia="Times New Roman" w:hAnsi="Times New Roman" w:cs="Times New Roman"/>
                <w:b/>
                <w:bCs/>
                <w:color w:val="000000"/>
                <w:lang w:val="en-GB"/>
              </w:rPr>
              <w:br/>
              <w:t>Mean (SD, range)</w:t>
            </w:r>
          </w:p>
        </w:tc>
      </w:tr>
      <w:tr w:rsidR="00D45512" w:rsidRPr="006711BB" w14:paraId="1E353142" w14:textId="77777777" w:rsidTr="00885C57">
        <w:trPr>
          <w:trHeight w:val="255"/>
          <w:jc w:val="center"/>
        </w:trPr>
        <w:tc>
          <w:tcPr>
            <w:tcW w:w="0" w:type="auto"/>
            <w:noWrap/>
            <w:vAlign w:val="center"/>
            <w:hideMark/>
          </w:tcPr>
          <w:p w14:paraId="1E4ABA95" w14:textId="77777777" w:rsidR="00D45512" w:rsidRPr="006711BB" w:rsidRDefault="00D45512" w:rsidP="00D45512">
            <w:pPr>
              <w:rPr>
                <w:rFonts w:ascii="Times New Roman" w:eastAsia="Times New Roman" w:hAnsi="Times New Roman" w:cs="Times New Roman"/>
                <w:b/>
                <w:bCs/>
                <w:color w:val="000000"/>
                <w:lang w:val="en-GB"/>
              </w:rPr>
            </w:pPr>
            <w:r w:rsidRPr="006711BB">
              <w:rPr>
                <w:rFonts w:ascii="Times New Roman" w:eastAsia="Times New Roman" w:hAnsi="Times New Roman" w:cs="Times New Roman"/>
                <w:b/>
                <w:bCs/>
                <w:color w:val="000000"/>
                <w:lang w:val="en-GB"/>
              </w:rPr>
              <w:t>UAI</w:t>
            </w:r>
          </w:p>
        </w:tc>
        <w:tc>
          <w:tcPr>
            <w:tcW w:w="0" w:type="auto"/>
            <w:noWrap/>
            <w:vAlign w:val="center"/>
            <w:hideMark/>
          </w:tcPr>
          <w:p w14:paraId="33E4B1CF" w14:textId="77777777" w:rsidR="00D45512" w:rsidRPr="006711BB" w:rsidRDefault="00D45512"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438</w:t>
            </w:r>
          </w:p>
        </w:tc>
        <w:tc>
          <w:tcPr>
            <w:tcW w:w="0" w:type="auto"/>
            <w:noWrap/>
            <w:vAlign w:val="center"/>
            <w:hideMark/>
          </w:tcPr>
          <w:p w14:paraId="67861735" w14:textId="77777777" w:rsidR="00D45512" w:rsidRPr="006711BB" w:rsidRDefault="00D45512"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37.7% (165)</w:t>
            </w:r>
          </w:p>
        </w:tc>
      </w:tr>
      <w:tr w:rsidR="00D45512" w:rsidRPr="006711BB" w14:paraId="16AF2A04" w14:textId="77777777" w:rsidTr="00885C57">
        <w:trPr>
          <w:trHeight w:val="255"/>
          <w:jc w:val="center"/>
        </w:trPr>
        <w:tc>
          <w:tcPr>
            <w:tcW w:w="0" w:type="auto"/>
            <w:noWrap/>
            <w:vAlign w:val="center"/>
            <w:hideMark/>
          </w:tcPr>
          <w:p w14:paraId="79AF851E" w14:textId="77777777" w:rsidR="00D45512" w:rsidRPr="006711BB" w:rsidRDefault="00D45512" w:rsidP="00D45512">
            <w:pPr>
              <w:rPr>
                <w:rFonts w:ascii="Times New Roman" w:eastAsia="Times New Roman" w:hAnsi="Times New Roman" w:cs="Times New Roman"/>
                <w:b/>
                <w:bCs/>
                <w:color w:val="000000"/>
                <w:lang w:val="en-GB"/>
              </w:rPr>
            </w:pPr>
            <w:r w:rsidRPr="006711BB">
              <w:rPr>
                <w:rFonts w:ascii="Times New Roman" w:eastAsia="Times New Roman" w:hAnsi="Times New Roman" w:cs="Times New Roman"/>
                <w:b/>
                <w:bCs/>
                <w:color w:val="000000"/>
                <w:lang w:val="en-GB"/>
              </w:rPr>
              <w:t>Pleasure</w:t>
            </w:r>
          </w:p>
        </w:tc>
        <w:tc>
          <w:tcPr>
            <w:tcW w:w="0" w:type="auto"/>
            <w:noWrap/>
            <w:vAlign w:val="center"/>
            <w:hideMark/>
          </w:tcPr>
          <w:p w14:paraId="5D92CF6D" w14:textId="77777777" w:rsidR="00D45512" w:rsidRPr="006711BB" w:rsidRDefault="00D45512"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435</w:t>
            </w:r>
          </w:p>
        </w:tc>
        <w:tc>
          <w:tcPr>
            <w:tcW w:w="0" w:type="auto"/>
            <w:noWrap/>
            <w:vAlign w:val="center"/>
            <w:hideMark/>
          </w:tcPr>
          <w:p w14:paraId="642C686E" w14:textId="77777777" w:rsidR="00D45512" w:rsidRPr="006711BB" w:rsidRDefault="00D45512"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6.8 (1.6, 1-10)</w:t>
            </w:r>
          </w:p>
        </w:tc>
      </w:tr>
      <w:tr w:rsidR="006711BB" w:rsidRPr="006711BB" w14:paraId="2AD23F36" w14:textId="77777777" w:rsidTr="00885C57">
        <w:trPr>
          <w:trHeight w:val="255"/>
          <w:jc w:val="center"/>
        </w:trPr>
        <w:tc>
          <w:tcPr>
            <w:tcW w:w="0" w:type="auto"/>
            <w:noWrap/>
            <w:vAlign w:val="center"/>
          </w:tcPr>
          <w:p w14:paraId="58EB9E10" w14:textId="77777777" w:rsidR="006711BB" w:rsidRPr="006711BB" w:rsidRDefault="006711BB" w:rsidP="00D45512">
            <w:pPr>
              <w:rPr>
                <w:rFonts w:ascii="Times New Roman" w:eastAsia="Times New Roman" w:hAnsi="Times New Roman" w:cs="Times New Roman"/>
                <w:b/>
                <w:bCs/>
                <w:color w:val="000000"/>
              </w:rPr>
            </w:pPr>
            <w:r w:rsidRPr="006711BB">
              <w:rPr>
                <w:rFonts w:ascii="Times New Roman" w:eastAsia="Times New Roman" w:hAnsi="Times New Roman" w:cs="Times New Roman"/>
                <w:b/>
                <w:bCs/>
                <w:color w:val="000000"/>
              </w:rPr>
              <w:t>Totally/mostly in control</w:t>
            </w:r>
          </w:p>
        </w:tc>
        <w:tc>
          <w:tcPr>
            <w:tcW w:w="0" w:type="auto"/>
            <w:noWrap/>
            <w:vAlign w:val="center"/>
          </w:tcPr>
          <w:p w14:paraId="621BB802" w14:textId="77777777" w:rsidR="006711BB" w:rsidRPr="006711BB" w:rsidRDefault="006711BB" w:rsidP="00D45512">
            <w:pPr>
              <w:rPr>
                <w:rFonts w:ascii="Times New Roman" w:eastAsia="Times New Roman" w:hAnsi="Times New Roman" w:cs="Times New Roman"/>
                <w:color w:val="000000"/>
              </w:rPr>
            </w:pPr>
            <w:r w:rsidRPr="006711BB">
              <w:rPr>
                <w:rFonts w:ascii="Times New Roman" w:eastAsia="Times New Roman" w:hAnsi="Times New Roman" w:cs="Times New Roman"/>
                <w:color w:val="000000"/>
              </w:rPr>
              <w:t>436</w:t>
            </w:r>
          </w:p>
        </w:tc>
        <w:tc>
          <w:tcPr>
            <w:tcW w:w="0" w:type="auto"/>
            <w:noWrap/>
            <w:vAlign w:val="center"/>
          </w:tcPr>
          <w:p w14:paraId="5C6F09A7" w14:textId="77777777" w:rsidR="006711BB" w:rsidRPr="006711BB" w:rsidRDefault="006711BB" w:rsidP="00D45512">
            <w:pPr>
              <w:rPr>
                <w:rFonts w:ascii="Times New Roman" w:eastAsia="Times New Roman" w:hAnsi="Times New Roman" w:cs="Times New Roman"/>
                <w:color w:val="000000"/>
              </w:rPr>
            </w:pPr>
            <w:r w:rsidRPr="006711BB">
              <w:rPr>
                <w:rFonts w:ascii="Times New Roman" w:eastAsia="Times New Roman" w:hAnsi="Times New Roman" w:cs="Times New Roman"/>
                <w:color w:val="000000"/>
              </w:rPr>
              <w:t>87.2% (380)</w:t>
            </w:r>
          </w:p>
        </w:tc>
      </w:tr>
      <w:tr w:rsidR="00D45512" w:rsidRPr="006711BB" w14:paraId="25BCCB66" w14:textId="77777777" w:rsidTr="00885C57">
        <w:trPr>
          <w:trHeight w:val="255"/>
          <w:jc w:val="center"/>
        </w:trPr>
        <w:tc>
          <w:tcPr>
            <w:tcW w:w="0" w:type="auto"/>
            <w:noWrap/>
            <w:vAlign w:val="center"/>
            <w:hideMark/>
          </w:tcPr>
          <w:p w14:paraId="5ECFB18A" w14:textId="77777777" w:rsidR="00D45512" w:rsidRPr="006711BB" w:rsidRDefault="00D45512" w:rsidP="00D45512">
            <w:pPr>
              <w:rPr>
                <w:rFonts w:ascii="Times New Roman" w:eastAsia="Times New Roman" w:hAnsi="Times New Roman" w:cs="Times New Roman"/>
                <w:b/>
                <w:bCs/>
                <w:color w:val="000000"/>
                <w:lang w:val="en-GB"/>
              </w:rPr>
            </w:pPr>
            <w:r w:rsidRPr="006711BB">
              <w:rPr>
                <w:rFonts w:ascii="Times New Roman" w:eastAsia="Times New Roman" w:hAnsi="Times New Roman" w:cs="Times New Roman"/>
                <w:b/>
                <w:bCs/>
                <w:color w:val="000000"/>
                <w:lang w:val="en-GB"/>
              </w:rPr>
              <w:t xml:space="preserve">Any </w:t>
            </w:r>
            <w:r w:rsidR="001A30A7" w:rsidRPr="006711BB">
              <w:rPr>
                <w:rFonts w:ascii="Times New Roman" w:eastAsia="Times New Roman" w:hAnsi="Times New Roman" w:cs="Times New Roman"/>
                <w:b/>
                <w:bCs/>
                <w:color w:val="000000"/>
                <w:lang w:val="en-GB"/>
              </w:rPr>
              <w:t>drug</w:t>
            </w:r>
            <w:r w:rsidRPr="006711BB">
              <w:rPr>
                <w:rFonts w:ascii="Times New Roman" w:eastAsia="Times New Roman" w:hAnsi="Times New Roman" w:cs="Times New Roman"/>
                <w:b/>
                <w:bCs/>
                <w:color w:val="000000"/>
                <w:lang w:val="en-GB"/>
              </w:rPr>
              <w:t xml:space="preserve"> use by respondent</w:t>
            </w:r>
          </w:p>
        </w:tc>
        <w:tc>
          <w:tcPr>
            <w:tcW w:w="0" w:type="auto"/>
            <w:noWrap/>
            <w:vAlign w:val="center"/>
            <w:hideMark/>
          </w:tcPr>
          <w:p w14:paraId="60DADA71" w14:textId="77777777" w:rsidR="00D45512" w:rsidRPr="006711BB" w:rsidRDefault="00D45512"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437</w:t>
            </w:r>
          </w:p>
        </w:tc>
        <w:tc>
          <w:tcPr>
            <w:tcW w:w="0" w:type="auto"/>
            <w:noWrap/>
            <w:vAlign w:val="center"/>
            <w:hideMark/>
          </w:tcPr>
          <w:p w14:paraId="46FAFCB0" w14:textId="77777777" w:rsidR="00D45512" w:rsidRPr="006711BB" w:rsidRDefault="00D45512" w:rsidP="00D45512">
            <w:pPr>
              <w:rPr>
                <w:rFonts w:ascii="Times New Roman" w:eastAsia="Times New Roman" w:hAnsi="Times New Roman" w:cs="Times New Roman"/>
                <w:b/>
                <w:bCs/>
                <w:color w:val="000000"/>
                <w:lang w:val="en-GB"/>
              </w:rPr>
            </w:pPr>
            <w:r w:rsidRPr="006711BB">
              <w:rPr>
                <w:rFonts w:ascii="Times New Roman" w:eastAsia="Times New Roman" w:hAnsi="Times New Roman" w:cs="Times New Roman"/>
                <w:color w:val="000000"/>
                <w:lang w:val="en-GB"/>
              </w:rPr>
              <w:t>67.7% (296)</w:t>
            </w:r>
          </w:p>
        </w:tc>
      </w:tr>
      <w:tr w:rsidR="00D45512" w:rsidRPr="006711BB" w14:paraId="1883EFD7" w14:textId="77777777" w:rsidTr="00885C57">
        <w:trPr>
          <w:trHeight w:val="255"/>
          <w:jc w:val="center"/>
        </w:trPr>
        <w:tc>
          <w:tcPr>
            <w:tcW w:w="0" w:type="auto"/>
            <w:noWrap/>
            <w:vAlign w:val="center"/>
            <w:hideMark/>
          </w:tcPr>
          <w:p w14:paraId="56D3CB44" w14:textId="77777777" w:rsidR="00D45512" w:rsidRPr="006711BB" w:rsidRDefault="00D45512"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b/>
                <w:bCs/>
                <w:color w:val="000000"/>
                <w:lang w:val="en-GB"/>
              </w:rPr>
              <w:t xml:space="preserve">Number of </w:t>
            </w:r>
            <w:r w:rsidR="001A30A7" w:rsidRPr="006711BB">
              <w:rPr>
                <w:rFonts w:ascii="Times New Roman" w:eastAsia="Times New Roman" w:hAnsi="Times New Roman" w:cs="Times New Roman"/>
                <w:b/>
                <w:bCs/>
                <w:color w:val="000000"/>
                <w:lang w:val="en-GB"/>
              </w:rPr>
              <w:t>drug</w:t>
            </w:r>
            <w:r w:rsidRPr="006711BB">
              <w:rPr>
                <w:rFonts w:ascii="Times New Roman" w:eastAsia="Times New Roman" w:hAnsi="Times New Roman" w:cs="Times New Roman"/>
                <w:b/>
                <w:bCs/>
                <w:color w:val="000000"/>
                <w:lang w:val="en-GB"/>
              </w:rPr>
              <w:t>s used</w:t>
            </w:r>
          </w:p>
        </w:tc>
        <w:tc>
          <w:tcPr>
            <w:tcW w:w="0" w:type="auto"/>
            <w:noWrap/>
            <w:vAlign w:val="center"/>
            <w:hideMark/>
          </w:tcPr>
          <w:p w14:paraId="1629C6EC" w14:textId="77777777" w:rsidR="00D45512" w:rsidRPr="006711BB" w:rsidRDefault="00D45512"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433</w:t>
            </w:r>
          </w:p>
        </w:tc>
        <w:tc>
          <w:tcPr>
            <w:tcW w:w="0" w:type="auto"/>
            <w:noWrap/>
            <w:vAlign w:val="center"/>
            <w:hideMark/>
          </w:tcPr>
          <w:p w14:paraId="5BC10FB1" w14:textId="77777777" w:rsidR="00D45512" w:rsidRPr="006711BB" w:rsidRDefault="00D45512"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1.6 (1.8, 0-10)</w:t>
            </w:r>
          </w:p>
        </w:tc>
      </w:tr>
      <w:tr w:rsidR="00D45512" w:rsidRPr="006711BB" w14:paraId="6F096169" w14:textId="77777777" w:rsidTr="00885C57">
        <w:trPr>
          <w:trHeight w:val="255"/>
          <w:jc w:val="center"/>
        </w:trPr>
        <w:tc>
          <w:tcPr>
            <w:tcW w:w="0" w:type="auto"/>
            <w:noWrap/>
            <w:vAlign w:val="center"/>
            <w:hideMark/>
          </w:tcPr>
          <w:p w14:paraId="1894CC39" w14:textId="77777777" w:rsidR="00D45512" w:rsidRPr="006711BB" w:rsidRDefault="001A30A7"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b/>
                <w:bCs/>
                <w:color w:val="000000"/>
                <w:lang w:val="en-GB"/>
              </w:rPr>
              <w:t>Drug</w:t>
            </w:r>
            <w:r w:rsidR="00D45512" w:rsidRPr="006711BB">
              <w:rPr>
                <w:rFonts w:ascii="Times New Roman" w:eastAsia="Times New Roman" w:hAnsi="Times New Roman" w:cs="Times New Roman"/>
                <w:b/>
                <w:bCs/>
                <w:color w:val="000000"/>
                <w:lang w:val="en-GB"/>
              </w:rPr>
              <w:t xml:space="preserve"> use by respondent: specific</w:t>
            </w:r>
          </w:p>
        </w:tc>
        <w:tc>
          <w:tcPr>
            <w:tcW w:w="0" w:type="auto"/>
            <w:noWrap/>
            <w:vAlign w:val="center"/>
            <w:hideMark/>
          </w:tcPr>
          <w:p w14:paraId="1F6B5444" w14:textId="77777777" w:rsidR="00D45512" w:rsidRPr="006711BB" w:rsidRDefault="00D45512"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437</w:t>
            </w:r>
          </w:p>
        </w:tc>
        <w:tc>
          <w:tcPr>
            <w:tcW w:w="0" w:type="auto"/>
            <w:noWrap/>
            <w:vAlign w:val="center"/>
            <w:hideMark/>
          </w:tcPr>
          <w:p w14:paraId="738C78F6" w14:textId="77777777" w:rsidR="00D45512" w:rsidRPr="006711BB" w:rsidRDefault="00D45512" w:rsidP="00D45512">
            <w:pPr>
              <w:rPr>
                <w:rFonts w:ascii="Times New Roman" w:eastAsia="Times New Roman" w:hAnsi="Times New Roman" w:cs="Times New Roman"/>
                <w:color w:val="000000"/>
                <w:lang w:val="en-GB"/>
              </w:rPr>
            </w:pPr>
          </w:p>
        </w:tc>
      </w:tr>
      <w:tr w:rsidR="00D45512" w:rsidRPr="006711BB" w14:paraId="3E77C4EE" w14:textId="77777777" w:rsidTr="00885C57">
        <w:trPr>
          <w:trHeight w:val="255"/>
          <w:jc w:val="center"/>
        </w:trPr>
        <w:tc>
          <w:tcPr>
            <w:tcW w:w="0" w:type="auto"/>
            <w:noWrap/>
            <w:vAlign w:val="center"/>
            <w:hideMark/>
          </w:tcPr>
          <w:p w14:paraId="55EAF6A6" w14:textId="77777777" w:rsidR="00D45512" w:rsidRPr="006711BB" w:rsidRDefault="00D45512" w:rsidP="00D45512">
            <w:pPr>
              <w:rPr>
                <w:rFonts w:ascii="Times New Roman" w:eastAsia="Times New Roman" w:hAnsi="Times New Roman" w:cs="Times New Roman"/>
                <w:bCs/>
                <w:color w:val="000000"/>
                <w:lang w:val="en-GB"/>
              </w:rPr>
            </w:pPr>
            <w:r w:rsidRPr="006711BB">
              <w:rPr>
                <w:rFonts w:ascii="Times New Roman" w:eastAsia="Times New Roman" w:hAnsi="Times New Roman" w:cs="Times New Roman"/>
                <w:color w:val="000000"/>
                <w:lang w:val="en-GB"/>
              </w:rPr>
              <w:t>Poppers</w:t>
            </w:r>
            <w:r w:rsidR="00B124C3" w:rsidRPr="006711BB">
              <w:rPr>
                <w:rFonts w:ascii="Times New Roman" w:eastAsia="Times New Roman" w:hAnsi="Times New Roman" w:cs="Times New Roman"/>
                <w:color w:val="000000"/>
                <w:lang w:val="en-GB"/>
              </w:rPr>
              <w:t xml:space="preserve"> (n=434)</w:t>
            </w:r>
          </w:p>
        </w:tc>
        <w:tc>
          <w:tcPr>
            <w:tcW w:w="0" w:type="auto"/>
            <w:noWrap/>
            <w:vAlign w:val="center"/>
            <w:hideMark/>
          </w:tcPr>
          <w:p w14:paraId="320521BC" w14:textId="77777777" w:rsidR="00D45512" w:rsidRPr="006711BB" w:rsidRDefault="00D45512" w:rsidP="00D45512">
            <w:pPr>
              <w:rPr>
                <w:rFonts w:ascii="Times New Roman" w:eastAsia="Times New Roman" w:hAnsi="Times New Roman" w:cs="Times New Roman"/>
                <w:color w:val="000000"/>
                <w:lang w:val="en-GB"/>
              </w:rPr>
            </w:pPr>
          </w:p>
        </w:tc>
        <w:tc>
          <w:tcPr>
            <w:tcW w:w="0" w:type="auto"/>
            <w:noWrap/>
            <w:vAlign w:val="center"/>
            <w:hideMark/>
          </w:tcPr>
          <w:p w14:paraId="09EC0490" w14:textId="77777777" w:rsidR="00D45512" w:rsidRPr="006711BB" w:rsidRDefault="00D45512" w:rsidP="00964753">
            <w:pPr>
              <w:rPr>
                <w:rFonts w:ascii="Times New Roman" w:eastAsia="Times New Roman" w:hAnsi="Times New Roman" w:cs="Times New Roman"/>
                <w:color w:val="000000"/>
                <w:lang w:val="en-GB"/>
              </w:rPr>
            </w:pPr>
            <w:r w:rsidRPr="006711BB">
              <w:rPr>
                <w:rFonts w:ascii="Times New Roman" w:eastAsia="Times New Roman" w:hAnsi="Times New Roman" w:cs="Times New Roman"/>
                <w:bCs/>
                <w:color w:val="000000"/>
                <w:lang w:val="en-GB"/>
              </w:rPr>
              <w:t>45.4% (197)</w:t>
            </w:r>
          </w:p>
        </w:tc>
      </w:tr>
      <w:tr w:rsidR="00D45512" w:rsidRPr="006711BB" w14:paraId="438987A1" w14:textId="77777777" w:rsidTr="00885C57">
        <w:trPr>
          <w:trHeight w:val="255"/>
          <w:jc w:val="center"/>
        </w:trPr>
        <w:tc>
          <w:tcPr>
            <w:tcW w:w="0" w:type="auto"/>
            <w:noWrap/>
            <w:vAlign w:val="center"/>
            <w:hideMark/>
          </w:tcPr>
          <w:p w14:paraId="13CAB648" w14:textId="77777777" w:rsidR="00D45512" w:rsidRPr="006711BB" w:rsidRDefault="00D45512" w:rsidP="00964753">
            <w:pPr>
              <w:rPr>
                <w:rFonts w:ascii="Times New Roman" w:eastAsia="Times New Roman" w:hAnsi="Times New Roman" w:cs="Times New Roman"/>
                <w:bCs/>
                <w:color w:val="000000"/>
                <w:lang w:val="en-GB"/>
              </w:rPr>
            </w:pPr>
            <w:r w:rsidRPr="006711BB">
              <w:rPr>
                <w:rFonts w:ascii="Times New Roman" w:eastAsia="Times New Roman" w:hAnsi="Times New Roman" w:cs="Times New Roman"/>
                <w:color w:val="000000"/>
                <w:lang w:val="en-GB"/>
              </w:rPr>
              <w:t>Alcohol</w:t>
            </w:r>
          </w:p>
        </w:tc>
        <w:tc>
          <w:tcPr>
            <w:tcW w:w="0" w:type="auto"/>
            <w:noWrap/>
            <w:vAlign w:val="center"/>
            <w:hideMark/>
          </w:tcPr>
          <w:p w14:paraId="62BF9722" w14:textId="77777777" w:rsidR="00D45512" w:rsidRPr="006711BB" w:rsidRDefault="00D45512" w:rsidP="00964753">
            <w:pPr>
              <w:rPr>
                <w:rFonts w:ascii="Times New Roman" w:eastAsia="Times New Roman" w:hAnsi="Times New Roman" w:cs="Times New Roman"/>
                <w:color w:val="000000"/>
                <w:lang w:val="en-GB"/>
              </w:rPr>
            </w:pPr>
          </w:p>
        </w:tc>
        <w:tc>
          <w:tcPr>
            <w:tcW w:w="0" w:type="auto"/>
            <w:noWrap/>
            <w:vAlign w:val="center"/>
            <w:hideMark/>
          </w:tcPr>
          <w:p w14:paraId="6B15EF48" w14:textId="77777777" w:rsidR="00D45512" w:rsidRPr="006711BB" w:rsidRDefault="00D45512" w:rsidP="00964753">
            <w:pPr>
              <w:rPr>
                <w:rFonts w:ascii="Times New Roman" w:eastAsia="Times New Roman" w:hAnsi="Times New Roman" w:cs="Times New Roman"/>
                <w:color w:val="000000"/>
                <w:lang w:val="en-GB"/>
              </w:rPr>
            </w:pPr>
            <w:r w:rsidRPr="006711BB">
              <w:rPr>
                <w:rFonts w:ascii="Times New Roman" w:eastAsia="Times New Roman" w:hAnsi="Times New Roman" w:cs="Times New Roman"/>
                <w:bCs/>
                <w:color w:val="000000"/>
                <w:lang w:val="en-GB"/>
              </w:rPr>
              <w:t>38.0% (166)</w:t>
            </w:r>
          </w:p>
        </w:tc>
      </w:tr>
      <w:tr w:rsidR="00D45512" w:rsidRPr="006711BB" w14:paraId="1C962201" w14:textId="77777777" w:rsidTr="00885C57">
        <w:trPr>
          <w:trHeight w:val="255"/>
          <w:jc w:val="center"/>
        </w:trPr>
        <w:tc>
          <w:tcPr>
            <w:tcW w:w="0" w:type="auto"/>
            <w:noWrap/>
            <w:vAlign w:val="center"/>
            <w:hideMark/>
          </w:tcPr>
          <w:p w14:paraId="0E2509AD" w14:textId="77777777" w:rsidR="00D45512" w:rsidRPr="006711BB" w:rsidRDefault="00D45512" w:rsidP="00964753">
            <w:pPr>
              <w:rPr>
                <w:rFonts w:ascii="Times New Roman" w:eastAsia="Times New Roman" w:hAnsi="Times New Roman" w:cs="Times New Roman"/>
                <w:bCs/>
                <w:color w:val="000000"/>
                <w:lang w:val="en-GB"/>
              </w:rPr>
            </w:pPr>
            <w:r w:rsidRPr="006711BB">
              <w:rPr>
                <w:rFonts w:ascii="Times New Roman" w:eastAsia="Times New Roman" w:hAnsi="Times New Roman" w:cs="Times New Roman"/>
                <w:color w:val="000000"/>
                <w:lang w:val="en-GB"/>
              </w:rPr>
              <w:t>Erectile dysfunction medications</w:t>
            </w:r>
          </w:p>
        </w:tc>
        <w:tc>
          <w:tcPr>
            <w:tcW w:w="0" w:type="auto"/>
            <w:noWrap/>
            <w:vAlign w:val="center"/>
            <w:hideMark/>
          </w:tcPr>
          <w:p w14:paraId="3DF0F1B0" w14:textId="77777777" w:rsidR="00D45512" w:rsidRPr="006711BB" w:rsidRDefault="00D45512" w:rsidP="00964753">
            <w:pPr>
              <w:rPr>
                <w:rFonts w:ascii="Times New Roman" w:eastAsia="Times New Roman" w:hAnsi="Times New Roman" w:cs="Times New Roman"/>
                <w:color w:val="000000"/>
                <w:lang w:val="en-GB"/>
              </w:rPr>
            </w:pPr>
          </w:p>
        </w:tc>
        <w:tc>
          <w:tcPr>
            <w:tcW w:w="0" w:type="auto"/>
            <w:noWrap/>
            <w:vAlign w:val="center"/>
            <w:hideMark/>
          </w:tcPr>
          <w:p w14:paraId="5F74BD7C" w14:textId="77777777" w:rsidR="00D45512" w:rsidRPr="006711BB" w:rsidRDefault="00D45512" w:rsidP="00964753">
            <w:pPr>
              <w:rPr>
                <w:rFonts w:ascii="Times New Roman" w:eastAsia="Times New Roman" w:hAnsi="Times New Roman" w:cs="Times New Roman"/>
                <w:bCs/>
                <w:color w:val="000000"/>
                <w:lang w:val="en-GB"/>
              </w:rPr>
            </w:pPr>
            <w:r w:rsidRPr="006711BB">
              <w:rPr>
                <w:rFonts w:ascii="Times New Roman" w:eastAsia="Times New Roman" w:hAnsi="Times New Roman" w:cs="Times New Roman"/>
                <w:bCs/>
                <w:color w:val="000000"/>
                <w:lang w:val="en-GB"/>
              </w:rPr>
              <w:t>26.3% (115)</w:t>
            </w:r>
          </w:p>
        </w:tc>
      </w:tr>
      <w:tr w:rsidR="006711BB" w:rsidRPr="006711BB" w14:paraId="0F2BB6EA" w14:textId="77777777" w:rsidTr="00885C57">
        <w:trPr>
          <w:trHeight w:val="255"/>
          <w:jc w:val="center"/>
        </w:trPr>
        <w:tc>
          <w:tcPr>
            <w:tcW w:w="0" w:type="auto"/>
            <w:noWrap/>
            <w:vAlign w:val="center"/>
          </w:tcPr>
          <w:p w14:paraId="46A33FAD" w14:textId="77777777" w:rsidR="006711BB" w:rsidRPr="006711BB" w:rsidRDefault="006711BB" w:rsidP="00964753">
            <w:pPr>
              <w:rPr>
                <w:rFonts w:eastAsia="Times New Roman"/>
                <w:color w:val="000000"/>
              </w:rPr>
            </w:pPr>
            <w:r w:rsidRPr="006711BB">
              <w:rPr>
                <w:rFonts w:ascii="Times New Roman" w:eastAsia="Times New Roman" w:hAnsi="Times New Roman" w:cs="Times New Roman"/>
                <w:color w:val="000000"/>
                <w:lang w:val="en-GB"/>
              </w:rPr>
              <w:t>GHB</w:t>
            </w:r>
          </w:p>
        </w:tc>
        <w:tc>
          <w:tcPr>
            <w:tcW w:w="0" w:type="auto"/>
            <w:noWrap/>
            <w:vAlign w:val="center"/>
          </w:tcPr>
          <w:p w14:paraId="7FCEBC57" w14:textId="77777777" w:rsidR="006711BB" w:rsidRPr="006711BB" w:rsidRDefault="006711BB" w:rsidP="00964753">
            <w:pPr>
              <w:rPr>
                <w:rFonts w:eastAsia="Times New Roman"/>
                <w:color w:val="000000"/>
              </w:rPr>
            </w:pPr>
          </w:p>
        </w:tc>
        <w:tc>
          <w:tcPr>
            <w:tcW w:w="0" w:type="auto"/>
            <w:noWrap/>
            <w:vAlign w:val="center"/>
          </w:tcPr>
          <w:p w14:paraId="391C5668" w14:textId="77777777" w:rsidR="006711BB" w:rsidRPr="006711BB" w:rsidRDefault="006711BB" w:rsidP="00964753">
            <w:pPr>
              <w:rPr>
                <w:rFonts w:eastAsia="Times New Roman"/>
                <w:bCs/>
                <w:color w:val="000000"/>
              </w:rPr>
            </w:pPr>
            <w:r w:rsidRPr="006711BB">
              <w:rPr>
                <w:rFonts w:ascii="Times New Roman" w:eastAsia="Times New Roman" w:hAnsi="Times New Roman" w:cs="Times New Roman"/>
                <w:bCs/>
                <w:color w:val="000000"/>
                <w:lang w:val="en-GB"/>
              </w:rPr>
              <w:t>9.2% (40)</w:t>
            </w:r>
          </w:p>
        </w:tc>
      </w:tr>
      <w:tr w:rsidR="006711BB" w:rsidRPr="006711BB" w14:paraId="37205843" w14:textId="77777777" w:rsidTr="00885C57">
        <w:trPr>
          <w:trHeight w:val="255"/>
          <w:jc w:val="center"/>
        </w:trPr>
        <w:tc>
          <w:tcPr>
            <w:tcW w:w="0" w:type="auto"/>
            <w:noWrap/>
            <w:vAlign w:val="center"/>
          </w:tcPr>
          <w:p w14:paraId="1B14EE66" w14:textId="77777777" w:rsidR="006711BB" w:rsidRPr="006711BB" w:rsidRDefault="006711BB" w:rsidP="00964753">
            <w:pPr>
              <w:rPr>
                <w:rFonts w:eastAsia="Times New Roman"/>
                <w:color w:val="000000"/>
              </w:rPr>
            </w:pPr>
            <w:r w:rsidRPr="006711BB">
              <w:rPr>
                <w:rFonts w:ascii="Times New Roman" w:eastAsia="Times New Roman" w:hAnsi="Times New Roman" w:cs="Times New Roman"/>
                <w:color w:val="000000"/>
                <w:lang w:val="en-GB"/>
              </w:rPr>
              <w:t>Crystal methamphetamine</w:t>
            </w:r>
          </w:p>
        </w:tc>
        <w:tc>
          <w:tcPr>
            <w:tcW w:w="0" w:type="auto"/>
            <w:noWrap/>
            <w:vAlign w:val="center"/>
          </w:tcPr>
          <w:p w14:paraId="0D0A8C29" w14:textId="77777777" w:rsidR="006711BB" w:rsidRPr="006711BB" w:rsidRDefault="006711BB" w:rsidP="00964753">
            <w:pPr>
              <w:rPr>
                <w:rFonts w:eastAsia="Times New Roman"/>
                <w:color w:val="000000"/>
              </w:rPr>
            </w:pPr>
          </w:p>
        </w:tc>
        <w:tc>
          <w:tcPr>
            <w:tcW w:w="0" w:type="auto"/>
            <w:noWrap/>
            <w:vAlign w:val="center"/>
          </w:tcPr>
          <w:p w14:paraId="68AFB0D9" w14:textId="77777777" w:rsidR="006711BB" w:rsidRPr="006711BB" w:rsidRDefault="006711BB" w:rsidP="00964753">
            <w:pPr>
              <w:rPr>
                <w:rFonts w:eastAsia="Times New Roman"/>
                <w:bCs/>
                <w:color w:val="000000"/>
              </w:rPr>
            </w:pPr>
            <w:r w:rsidRPr="006711BB">
              <w:rPr>
                <w:rFonts w:ascii="Times New Roman" w:eastAsia="Times New Roman" w:hAnsi="Times New Roman" w:cs="Times New Roman"/>
                <w:bCs/>
                <w:color w:val="000000"/>
                <w:lang w:val="en-GB"/>
              </w:rPr>
              <w:t>8.0% (35)</w:t>
            </w:r>
          </w:p>
        </w:tc>
      </w:tr>
      <w:tr w:rsidR="006711BB" w:rsidRPr="006711BB" w14:paraId="3D4A4C39" w14:textId="77777777" w:rsidTr="00885C57">
        <w:trPr>
          <w:trHeight w:val="255"/>
          <w:jc w:val="center"/>
        </w:trPr>
        <w:tc>
          <w:tcPr>
            <w:tcW w:w="0" w:type="auto"/>
            <w:noWrap/>
            <w:vAlign w:val="center"/>
          </w:tcPr>
          <w:p w14:paraId="6EE6DD9A" w14:textId="77777777" w:rsidR="006711BB" w:rsidRPr="006711BB" w:rsidRDefault="006711BB" w:rsidP="00964753">
            <w:pPr>
              <w:rPr>
                <w:rFonts w:eastAsia="Times New Roman"/>
                <w:color w:val="000000"/>
              </w:rPr>
            </w:pPr>
            <w:r w:rsidRPr="006711BB">
              <w:rPr>
                <w:rFonts w:ascii="Times New Roman" w:eastAsia="Times New Roman" w:hAnsi="Times New Roman" w:cs="Times New Roman"/>
                <w:color w:val="000000"/>
                <w:lang w:val="en-GB"/>
              </w:rPr>
              <w:t>MDMA</w:t>
            </w:r>
          </w:p>
        </w:tc>
        <w:tc>
          <w:tcPr>
            <w:tcW w:w="0" w:type="auto"/>
            <w:noWrap/>
            <w:vAlign w:val="center"/>
          </w:tcPr>
          <w:p w14:paraId="29D03FED" w14:textId="77777777" w:rsidR="006711BB" w:rsidRPr="006711BB" w:rsidRDefault="006711BB" w:rsidP="00964753">
            <w:pPr>
              <w:rPr>
                <w:rFonts w:eastAsia="Times New Roman"/>
                <w:color w:val="000000"/>
              </w:rPr>
            </w:pPr>
          </w:p>
        </w:tc>
        <w:tc>
          <w:tcPr>
            <w:tcW w:w="0" w:type="auto"/>
            <w:noWrap/>
            <w:vAlign w:val="center"/>
          </w:tcPr>
          <w:p w14:paraId="35313EFD" w14:textId="77777777" w:rsidR="006711BB" w:rsidRPr="006711BB" w:rsidRDefault="006711BB" w:rsidP="00964753">
            <w:pPr>
              <w:rPr>
                <w:rFonts w:eastAsia="Times New Roman"/>
                <w:bCs/>
                <w:color w:val="000000"/>
              </w:rPr>
            </w:pPr>
            <w:r w:rsidRPr="006711BB">
              <w:rPr>
                <w:rFonts w:ascii="Times New Roman" w:eastAsia="Times New Roman" w:hAnsi="Times New Roman" w:cs="Times New Roman"/>
                <w:bCs/>
                <w:color w:val="000000"/>
                <w:lang w:val="en-GB"/>
              </w:rPr>
              <w:t>7.8% (34)</w:t>
            </w:r>
          </w:p>
        </w:tc>
      </w:tr>
      <w:tr w:rsidR="006711BB" w:rsidRPr="006711BB" w14:paraId="006287A1" w14:textId="77777777" w:rsidTr="00885C57">
        <w:trPr>
          <w:trHeight w:val="255"/>
          <w:jc w:val="center"/>
        </w:trPr>
        <w:tc>
          <w:tcPr>
            <w:tcW w:w="0" w:type="auto"/>
            <w:noWrap/>
            <w:vAlign w:val="center"/>
          </w:tcPr>
          <w:p w14:paraId="665AF827" w14:textId="77777777" w:rsidR="006711BB" w:rsidRPr="006711BB" w:rsidRDefault="006711BB" w:rsidP="00964753">
            <w:pPr>
              <w:rPr>
                <w:rFonts w:eastAsia="Times New Roman"/>
                <w:color w:val="000000"/>
              </w:rPr>
            </w:pPr>
            <w:r w:rsidRPr="006711BB">
              <w:rPr>
                <w:rFonts w:ascii="Times New Roman" w:eastAsia="Times New Roman" w:hAnsi="Times New Roman" w:cs="Times New Roman"/>
                <w:color w:val="000000"/>
                <w:lang w:val="en-GB"/>
              </w:rPr>
              <w:t>Mephedrone</w:t>
            </w:r>
          </w:p>
        </w:tc>
        <w:tc>
          <w:tcPr>
            <w:tcW w:w="0" w:type="auto"/>
            <w:noWrap/>
            <w:vAlign w:val="center"/>
          </w:tcPr>
          <w:p w14:paraId="4AEEDB04" w14:textId="77777777" w:rsidR="006711BB" w:rsidRPr="006711BB" w:rsidRDefault="006711BB" w:rsidP="00964753">
            <w:pPr>
              <w:rPr>
                <w:rFonts w:eastAsia="Times New Roman"/>
                <w:color w:val="000000"/>
              </w:rPr>
            </w:pPr>
          </w:p>
        </w:tc>
        <w:tc>
          <w:tcPr>
            <w:tcW w:w="0" w:type="auto"/>
            <w:noWrap/>
            <w:vAlign w:val="center"/>
          </w:tcPr>
          <w:p w14:paraId="4855030B" w14:textId="77777777" w:rsidR="006711BB" w:rsidRPr="006711BB" w:rsidRDefault="006711BB" w:rsidP="00964753">
            <w:pPr>
              <w:rPr>
                <w:rFonts w:eastAsia="Times New Roman"/>
                <w:bCs/>
                <w:color w:val="000000"/>
              </w:rPr>
            </w:pPr>
            <w:r w:rsidRPr="006711BB">
              <w:rPr>
                <w:rFonts w:ascii="Times New Roman" w:eastAsia="Times New Roman" w:hAnsi="Times New Roman" w:cs="Times New Roman"/>
                <w:bCs/>
                <w:color w:val="000000"/>
                <w:lang w:val="en-GB"/>
              </w:rPr>
              <w:t>7.3% (32)</w:t>
            </w:r>
          </w:p>
        </w:tc>
      </w:tr>
      <w:tr w:rsidR="006711BB" w:rsidRPr="006711BB" w14:paraId="31DEACAC" w14:textId="77777777" w:rsidTr="00885C57">
        <w:trPr>
          <w:trHeight w:val="255"/>
          <w:jc w:val="center"/>
        </w:trPr>
        <w:tc>
          <w:tcPr>
            <w:tcW w:w="0" w:type="auto"/>
            <w:noWrap/>
            <w:vAlign w:val="center"/>
          </w:tcPr>
          <w:p w14:paraId="5EF9DBAA" w14:textId="77777777" w:rsidR="006711BB" w:rsidRPr="006711BB" w:rsidRDefault="006711BB" w:rsidP="00964753">
            <w:pPr>
              <w:rPr>
                <w:rFonts w:eastAsia="Times New Roman"/>
                <w:color w:val="000000"/>
              </w:rPr>
            </w:pPr>
            <w:r w:rsidRPr="006711BB">
              <w:rPr>
                <w:rFonts w:ascii="Times New Roman" w:eastAsia="Times New Roman" w:hAnsi="Times New Roman" w:cs="Times New Roman"/>
                <w:color w:val="000000"/>
                <w:lang w:val="en-GB"/>
              </w:rPr>
              <w:t>Cocaine</w:t>
            </w:r>
          </w:p>
        </w:tc>
        <w:tc>
          <w:tcPr>
            <w:tcW w:w="0" w:type="auto"/>
            <w:noWrap/>
            <w:vAlign w:val="center"/>
          </w:tcPr>
          <w:p w14:paraId="326D0118" w14:textId="77777777" w:rsidR="006711BB" w:rsidRPr="006711BB" w:rsidRDefault="006711BB" w:rsidP="00964753">
            <w:pPr>
              <w:rPr>
                <w:rFonts w:eastAsia="Times New Roman"/>
                <w:color w:val="000000"/>
              </w:rPr>
            </w:pPr>
          </w:p>
        </w:tc>
        <w:tc>
          <w:tcPr>
            <w:tcW w:w="0" w:type="auto"/>
            <w:noWrap/>
            <w:vAlign w:val="center"/>
          </w:tcPr>
          <w:p w14:paraId="1ACFD302" w14:textId="77777777" w:rsidR="006711BB" w:rsidRPr="006711BB" w:rsidRDefault="006711BB" w:rsidP="00964753">
            <w:pPr>
              <w:rPr>
                <w:rFonts w:eastAsia="Times New Roman"/>
                <w:bCs/>
                <w:color w:val="000000"/>
              </w:rPr>
            </w:pPr>
            <w:r w:rsidRPr="006711BB">
              <w:rPr>
                <w:rFonts w:ascii="Times New Roman" w:eastAsia="Times New Roman" w:hAnsi="Times New Roman" w:cs="Times New Roman"/>
                <w:bCs/>
                <w:color w:val="000000"/>
                <w:lang w:val="en-GB"/>
              </w:rPr>
              <w:t>7.1% (31)</w:t>
            </w:r>
          </w:p>
        </w:tc>
      </w:tr>
      <w:tr w:rsidR="00BF3E6A" w:rsidRPr="006711BB" w14:paraId="30BE2617" w14:textId="77777777" w:rsidTr="00885C57">
        <w:trPr>
          <w:trHeight w:val="255"/>
          <w:jc w:val="center"/>
        </w:trPr>
        <w:tc>
          <w:tcPr>
            <w:tcW w:w="0" w:type="auto"/>
            <w:noWrap/>
            <w:vAlign w:val="center"/>
          </w:tcPr>
          <w:p w14:paraId="46931E1F" w14:textId="77777777" w:rsidR="00BF3E6A" w:rsidRPr="006711BB" w:rsidRDefault="00BF3E6A" w:rsidP="00964753">
            <w:pPr>
              <w:rPr>
                <w:rFonts w:eastAsia="Times New Roman"/>
                <w:color w:val="000000"/>
              </w:rPr>
            </w:pPr>
            <w:r w:rsidRPr="006711BB">
              <w:rPr>
                <w:rFonts w:ascii="Times New Roman" w:eastAsia="Times New Roman" w:hAnsi="Times New Roman" w:cs="Times New Roman"/>
                <w:color w:val="000000"/>
                <w:lang w:val="en-GB"/>
              </w:rPr>
              <w:t>Ketamine</w:t>
            </w:r>
          </w:p>
        </w:tc>
        <w:tc>
          <w:tcPr>
            <w:tcW w:w="0" w:type="auto"/>
            <w:noWrap/>
            <w:vAlign w:val="center"/>
          </w:tcPr>
          <w:p w14:paraId="14F76AB9" w14:textId="77777777" w:rsidR="00BF3E6A" w:rsidRPr="006711BB" w:rsidRDefault="00BF3E6A" w:rsidP="00964753">
            <w:pPr>
              <w:rPr>
                <w:rFonts w:eastAsia="Times New Roman"/>
                <w:color w:val="000000"/>
              </w:rPr>
            </w:pPr>
          </w:p>
        </w:tc>
        <w:tc>
          <w:tcPr>
            <w:tcW w:w="0" w:type="auto"/>
            <w:noWrap/>
            <w:vAlign w:val="center"/>
          </w:tcPr>
          <w:p w14:paraId="72C5FE6A" w14:textId="77777777" w:rsidR="00BF3E6A" w:rsidRPr="006711BB" w:rsidRDefault="00BF3E6A" w:rsidP="00964753">
            <w:pPr>
              <w:rPr>
                <w:rFonts w:eastAsia="Times New Roman"/>
                <w:bCs/>
                <w:color w:val="000000"/>
              </w:rPr>
            </w:pPr>
            <w:r w:rsidRPr="006711BB">
              <w:rPr>
                <w:rFonts w:ascii="Times New Roman" w:eastAsia="Times New Roman" w:hAnsi="Times New Roman" w:cs="Times New Roman"/>
                <w:bCs/>
                <w:color w:val="000000"/>
                <w:lang w:val="en-GB"/>
              </w:rPr>
              <w:t>6.0% (26)</w:t>
            </w:r>
          </w:p>
        </w:tc>
      </w:tr>
      <w:tr w:rsidR="00BF3E6A" w:rsidRPr="006711BB" w14:paraId="07B7535F" w14:textId="77777777" w:rsidTr="00885C57">
        <w:trPr>
          <w:trHeight w:val="255"/>
          <w:jc w:val="center"/>
        </w:trPr>
        <w:tc>
          <w:tcPr>
            <w:tcW w:w="0" w:type="auto"/>
            <w:noWrap/>
            <w:vAlign w:val="center"/>
          </w:tcPr>
          <w:p w14:paraId="09C80452" w14:textId="77777777" w:rsidR="00BF3E6A" w:rsidRPr="006711BB" w:rsidRDefault="00BF3E6A" w:rsidP="00964753">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Cannabis</w:t>
            </w:r>
          </w:p>
        </w:tc>
        <w:tc>
          <w:tcPr>
            <w:tcW w:w="0" w:type="auto"/>
            <w:noWrap/>
            <w:vAlign w:val="center"/>
          </w:tcPr>
          <w:p w14:paraId="595A6799" w14:textId="77777777" w:rsidR="00BF3E6A" w:rsidRPr="006711BB" w:rsidRDefault="00BF3E6A" w:rsidP="00964753">
            <w:pPr>
              <w:rPr>
                <w:rFonts w:ascii="Times New Roman" w:eastAsia="Times New Roman" w:hAnsi="Times New Roman" w:cs="Times New Roman"/>
                <w:color w:val="000000"/>
                <w:lang w:val="en-GB"/>
              </w:rPr>
            </w:pPr>
          </w:p>
        </w:tc>
        <w:tc>
          <w:tcPr>
            <w:tcW w:w="0" w:type="auto"/>
            <w:noWrap/>
            <w:vAlign w:val="center"/>
          </w:tcPr>
          <w:p w14:paraId="7C45400E" w14:textId="77777777" w:rsidR="00BF3E6A" w:rsidRPr="006711BB" w:rsidRDefault="00BF3E6A" w:rsidP="00964753">
            <w:pPr>
              <w:rPr>
                <w:rFonts w:ascii="Times New Roman" w:eastAsia="Times New Roman" w:hAnsi="Times New Roman" w:cs="Times New Roman"/>
                <w:bCs/>
                <w:color w:val="000000"/>
                <w:lang w:val="en-GB"/>
              </w:rPr>
            </w:pPr>
            <w:r w:rsidRPr="006711BB">
              <w:rPr>
                <w:rFonts w:ascii="Times New Roman" w:eastAsia="Times New Roman" w:hAnsi="Times New Roman" w:cs="Times New Roman"/>
                <w:bCs/>
                <w:color w:val="000000"/>
                <w:lang w:val="en-GB"/>
              </w:rPr>
              <w:t>5.3% (23)</w:t>
            </w:r>
          </w:p>
        </w:tc>
      </w:tr>
      <w:tr w:rsidR="00BF3E6A" w:rsidRPr="006711BB" w14:paraId="648E83F6" w14:textId="77777777" w:rsidTr="00885C57">
        <w:trPr>
          <w:trHeight w:val="255"/>
          <w:jc w:val="center"/>
        </w:trPr>
        <w:tc>
          <w:tcPr>
            <w:tcW w:w="0" w:type="auto"/>
            <w:noWrap/>
            <w:vAlign w:val="center"/>
          </w:tcPr>
          <w:p w14:paraId="1F0627C6" w14:textId="77777777" w:rsidR="00BF3E6A" w:rsidRPr="00B41DA3" w:rsidRDefault="00BF3E6A" w:rsidP="00964753">
            <w:pPr>
              <w:rPr>
                <w:rFonts w:ascii="Times New Roman" w:eastAsia="Times New Roman" w:hAnsi="Times New Roman" w:cs="Times New Roman"/>
                <w:color w:val="000000"/>
                <w:lang w:val="en-GB"/>
              </w:rPr>
            </w:pPr>
            <w:r w:rsidRPr="00B41DA3">
              <w:rPr>
                <w:rFonts w:ascii="Times New Roman" w:eastAsia="Times New Roman" w:hAnsi="Times New Roman" w:cs="Times New Roman"/>
                <w:color w:val="000000"/>
                <w:lang w:val="en-GB"/>
              </w:rPr>
              <w:t>Amphetamine (speed)</w:t>
            </w:r>
          </w:p>
        </w:tc>
        <w:tc>
          <w:tcPr>
            <w:tcW w:w="0" w:type="auto"/>
            <w:noWrap/>
            <w:vAlign w:val="center"/>
          </w:tcPr>
          <w:p w14:paraId="4A309C9D" w14:textId="77777777" w:rsidR="00BF3E6A" w:rsidRPr="00B41DA3" w:rsidRDefault="00BF3E6A" w:rsidP="00964753">
            <w:pPr>
              <w:rPr>
                <w:rFonts w:ascii="Times New Roman" w:eastAsia="Times New Roman" w:hAnsi="Times New Roman" w:cs="Times New Roman"/>
                <w:color w:val="000000"/>
                <w:lang w:val="en-GB"/>
              </w:rPr>
            </w:pPr>
          </w:p>
        </w:tc>
        <w:tc>
          <w:tcPr>
            <w:tcW w:w="0" w:type="auto"/>
            <w:noWrap/>
            <w:vAlign w:val="center"/>
          </w:tcPr>
          <w:p w14:paraId="45F50A07" w14:textId="77777777" w:rsidR="00BF3E6A" w:rsidRPr="00B41DA3" w:rsidRDefault="00BF3E6A" w:rsidP="00964753">
            <w:pPr>
              <w:rPr>
                <w:rFonts w:ascii="Times New Roman" w:eastAsia="Times New Roman" w:hAnsi="Times New Roman" w:cs="Times New Roman"/>
                <w:bCs/>
                <w:color w:val="000000"/>
                <w:lang w:val="en-GB"/>
              </w:rPr>
            </w:pPr>
            <w:r w:rsidRPr="00B41DA3">
              <w:rPr>
                <w:rFonts w:ascii="Times New Roman" w:eastAsia="Times New Roman" w:hAnsi="Times New Roman" w:cs="Times New Roman"/>
                <w:iCs/>
                <w:color w:val="000000"/>
                <w:lang w:val="en-GB"/>
              </w:rPr>
              <w:t>1.1% (5)</w:t>
            </w:r>
          </w:p>
        </w:tc>
      </w:tr>
      <w:tr w:rsidR="00BF3E6A" w:rsidRPr="006711BB" w14:paraId="77BF71EF" w14:textId="77777777" w:rsidTr="00885C57">
        <w:trPr>
          <w:trHeight w:val="255"/>
          <w:jc w:val="center"/>
        </w:trPr>
        <w:tc>
          <w:tcPr>
            <w:tcW w:w="0" w:type="auto"/>
            <w:noWrap/>
            <w:vAlign w:val="center"/>
          </w:tcPr>
          <w:p w14:paraId="4A6950E7" w14:textId="77777777" w:rsidR="00BF3E6A" w:rsidRPr="00B41DA3" w:rsidRDefault="00BF3E6A" w:rsidP="00964753">
            <w:pPr>
              <w:rPr>
                <w:rFonts w:ascii="Times New Roman" w:eastAsia="Times New Roman" w:hAnsi="Times New Roman" w:cs="Times New Roman"/>
                <w:color w:val="000000"/>
                <w:lang w:val="en-GB"/>
              </w:rPr>
            </w:pPr>
            <w:r w:rsidRPr="00B41DA3">
              <w:rPr>
                <w:rFonts w:ascii="Times New Roman" w:eastAsia="Times New Roman" w:hAnsi="Times New Roman" w:cs="Times New Roman"/>
                <w:color w:val="000000"/>
                <w:lang w:val="en-GB"/>
              </w:rPr>
              <w:t>Heroin</w:t>
            </w:r>
          </w:p>
        </w:tc>
        <w:tc>
          <w:tcPr>
            <w:tcW w:w="0" w:type="auto"/>
            <w:noWrap/>
            <w:vAlign w:val="center"/>
          </w:tcPr>
          <w:p w14:paraId="45519445" w14:textId="77777777" w:rsidR="00BF3E6A" w:rsidRPr="00B41DA3" w:rsidRDefault="00BF3E6A" w:rsidP="00964753">
            <w:pPr>
              <w:rPr>
                <w:rFonts w:ascii="Times New Roman" w:eastAsia="Times New Roman" w:hAnsi="Times New Roman" w:cs="Times New Roman"/>
                <w:color w:val="000000"/>
                <w:lang w:val="en-GB"/>
              </w:rPr>
            </w:pPr>
          </w:p>
        </w:tc>
        <w:tc>
          <w:tcPr>
            <w:tcW w:w="0" w:type="auto"/>
            <w:noWrap/>
            <w:vAlign w:val="center"/>
          </w:tcPr>
          <w:p w14:paraId="65B1F98D" w14:textId="77777777" w:rsidR="00BF3E6A" w:rsidRPr="00B41DA3" w:rsidRDefault="00BF3E6A" w:rsidP="00964753">
            <w:pPr>
              <w:rPr>
                <w:rFonts w:ascii="Times New Roman" w:eastAsia="Times New Roman" w:hAnsi="Times New Roman" w:cs="Times New Roman"/>
                <w:bCs/>
                <w:color w:val="000000"/>
                <w:lang w:val="en-GB"/>
              </w:rPr>
            </w:pPr>
            <w:r w:rsidRPr="00B41DA3">
              <w:rPr>
                <w:rFonts w:ascii="Times New Roman" w:eastAsia="Times New Roman" w:hAnsi="Times New Roman" w:cs="Times New Roman"/>
                <w:iCs/>
                <w:color w:val="000000"/>
                <w:lang w:val="en-GB"/>
              </w:rPr>
              <w:t>0.5% (2)</w:t>
            </w:r>
          </w:p>
        </w:tc>
      </w:tr>
      <w:tr w:rsidR="00BF3E6A" w:rsidRPr="006711BB" w14:paraId="07B0ADE1" w14:textId="77777777" w:rsidTr="00885C57">
        <w:trPr>
          <w:trHeight w:val="255"/>
          <w:jc w:val="center"/>
        </w:trPr>
        <w:tc>
          <w:tcPr>
            <w:tcW w:w="0" w:type="auto"/>
            <w:noWrap/>
            <w:vAlign w:val="center"/>
          </w:tcPr>
          <w:p w14:paraId="0682C441" w14:textId="77777777" w:rsidR="00BF3E6A" w:rsidRPr="00B41DA3" w:rsidRDefault="00BF3E6A" w:rsidP="00964753">
            <w:pPr>
              <w:rPr>
                <w:rFonts w:ascii="Times New Roman" w:eastAsia="Times New Roman" w:hAnsi="Times New Roman" w:cs="Times New Roman"/>
                <w:color w:val="000000"/>
                <w:lang w:val="en-GB"/>
              </w:rPr>
            </w:pPr>
            <w:r w:rsidRPr="00B41DA3">
              <w:rPr>
                <w:rFonts w:ascii="Times New Roman" w:eastAsia="Times New Roman" w:hAnsi="Times New Roman" w:cs="Times New Roman"/>
                <w:color w:val="000000"/>
                <w:lang w:val="en-GB"/>
              </w:rPr>
              <w:t>LSD</w:t>
            </w:r>
          </w:p>
        </w:tc>
        <w:tc>
          <w:tcPr>
            <w:tcW w:w="0" w:type="auto"/>
            <w:noWrap/>
            <w:vAlign w:val="center"/>
          </w:tcPr>
          <w:p w14:paraId="61AFB0C7" w14:textId="77777777" w:rsidR="00BF3E6A" w:rsidRPr="00B41DA3" w:rsidRDefault="00BF3E6A" w:rsidP="00964753">
            <w:pPr>
              <w:rPr>
                <w:rFonts w:ascii="Times New Roman" w:eastAsia="Times New Roman" w:hAnsi="Times New Roman" w:cs="Times New Roman"/>
                <w:color w:val="000000"/>
                <w:lang w:val="en-GB"/>
              </w:rPr>
            </w:pPr>
          </w:p>
        </w:tc>
        <w:tc>
          <w:tcPr>
            <w:tcW w:w="0" w:type="auto"/>
            <w:noWrap/>
            <w:vAlign w:val="center"/>
          </w:tcPr>
          <w:p w14:paraId="2C1DA0DB" w14:textId="77777777" w:rsidR="00BF3E6A" w:rsidRPr="00B41DA3" w:rsidRDefault="00BF3E6A" w:rsidP="00964753">
            <w:pPr>
              <w:rPr>
                <w:rFonts w:ascii="Times New Roman" w:eastAsia="Times New Roman" w:hAnsi="Times New Roman" w:cs="Times New Roman"/>
                <w:bCs/>
                <w:color w:val="000000"/>
                <w:lang w:val="en-GB"/>
              </w:rPr>
            </w:pPr>
            <w:r w:rsidRPr="00B41DA3">
              <w:rPr>
                <w:rFonts w:ascii="Times New Roman" w:eastAsia="Times New Roman" w:hAnsi="Times New Roman" w:cs="Times New Roman"/>
                <w:iCs/>
                <w:color w:val="000000"/>
                <w:lang w:val="en-GB"/>
              </w:rPr>
              <w:t>0.7% (3)</w:t>
            </w:r>
          </w:p>
        </w:tc>
      </w:tr>
      <w:tr w:rsidR="00BF3E6A" w:rsidRPr="006711BB" w14:paraId="05B4EFBE" w14:textId="77777777" w:rsidTr="00885C57">
        <w:trPr>
          <w:trHeight w:val="255"/>
          <w:jc w:val="center"/>
        </w:trPr>
        <w:tc>
          <w:tcPr>
            <w:tcW w:w="0" w:type="auto"/>
            <w:noWrap/>
            <w:vAlign w:val="center"/>
          </w:tcPr>
          <w:p w14:paraId="200B4CAF" w14:textId="77777777" w:rsidR="00BF3E6A" w:rsidRPr="00B41DA3" w:rsidRDefault="00BF3E6A" w:rsidP="00964753">
            <w:pPr>
              <w:rPr>
                <w:rFonts w:ascii="Times New Roman" w:eastAsia="Times New Roman" w:hAnsi="Times New Roman" w:cs="Times New Roman"/>
                <w:color w:val="000000"/>
                <w:lang w:val="en-GB"/>
              </w:rPr>
            </w:pPr>
            <w:r w:rsidRPr="00B41DA3">
              <w:rPr>
                <w:rFonts w:ascii="Times New Roman" w:eastAsia="Times New Roman" w:hAnsi="Times New Roman" w:cs="Times New Roman"/>
                <w:color w:val="000000"/>
                <w:lang w:val="en-GB"/>
              </w:rPr>
              <w:t>Crack</w:t>
            </w:r>
          </w:p>
        </w:tc>
        <w:tc>
          <w:tcPr>
            <w:tcW w:w="0" w:type="auto"/>
            <w:noWrap/>
            <w:vAlign w:val="center"/>
          </w:tcPr>
          <w:p w14:paraId="6C899509" w14:textId="77777777" w:rsidR="00BF3E6A" w:rsidRPr="00B41DA3" w:rsidRDefault="00BF3E6A" w:rsidP="00964753">
            <w:pPr>
              <w:rPr>
                <w:rFonts w:ascii="Times New Roman" w:eastAsia="Times New Roman" w:hAnsi="Times New Roman" w:cs="Times New Roman"/>
                <w:color w:val="000000"/>
                <w:lang w:val="en-GB"/>
              </w:rPr>
            </w:pPr>
          </w:p>
        </w:tc>
        <w:tc>
          <w:tcPr>
            <w:tcW w:w="0" w:type="auto"/>
            <w:noWrap/>
            <w:vAlign w:val="center"/>
          </w:tcPr>
          <w:p w14:paraId="752774B3" w14:textId="77777777" w:rsidR="00BF3E6A" w:rsidRPr="00B41DA3" w:rsidRDefault="00BF3E6A" w:rsidP="00964753">
            <w:pPr>
              <w:rPr>
                <w:rFonts w:ascii="Times New Roman" w:eastAsia="Times New Roman" w:hAnsi="Times New Roman" w:cs="Times New Roman"/>
                <w:iCs/>
                <w:color w:val="000000"/>
                <w:lang w:val="en-GB"/>
              </w:rPr>
            </w:pPr>
            <w:r w:rsidRPr="00B41DA3">
              <w:rPr>
                <w:rFonts w:ascii="Times New Roman" w:eastAsia="Times New Roman" w:hAnsi="Times New Roman" w:cs="Times New Roman"/>
                <w:iCs/>
                <w:color w:val="000000"/>
                <w:lang w:val="en-GB"/>
              </w:rPr>
              <w:t>0% (0)</w:t>
            </w:r>
          </w:p>
        </w:tc>
      </w:tr>
      <w:tr w:rsidR="00BF3E6A" w:rsidRPr="006711BB" w14:paraId="11E3123F" w14:textId="77777777" w:rsidTr="00885C57">
        <w:trPr>
          <w:trHeight w:val="255"/>
          <w:jc w:val="center"/>
        </w:trPr>
        <w:tc>
          <w:tcPr>
            <w:tcW w:w="0" w:type="auto"/>
            <w:noWrap/>
            <w:vAlign w:val="center"/>
            <w:hideMark/>
          </w:tcPr>
          <w:p w14:paraId="095DF11E"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b/>
                <w:bCs/>
                <w:color w:val="000000"/>
                <w:lang w:val="en-GB"/>
              </w:rPr>
              <w:t>Any drug use by partner</w:t>
            </w:r>
          </w:p>
        </w:tc>
        <w:tc>
          <w:tcPr>
            <w:tcW w:w="0" w:type="auto"/>
            <w:noWrap/>
            <w:vAlign w:val="center"/>
            <w:hideMark/>
          </w:tcPr>
          <w:p w14:paraId="73F7BC00"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436</w:t>
            </w:r>
          </w:p>
        </w:tc>
        <w:tc>
          <w:tcPr>
            <w:tcW w:w="0" w:type="auto"/>
            <w:noWrap/>
            <w:vAlign w:val="center"/>
            <w:hideMark/>
          </w:tcPr>
          <w:p w14:paraId="01F43D5F" w14:textId="77777777" w:rsidR="00BF3E6A" w:rsidRPr="006711BB" w:rsidRDefault="00BF3E6A" w:rsidP="00D45512">
            <w:pPr>
              <w:rPr>
                <w:rFonts w:ascii="Times New Roman" w:eastAsia="Times New Roman" w:hAnsi="Times New Roman" w:cs="Times New Roman"/>
                <w:b/>
                <w:bCs/>
                <w:color w:val="000000"/>
                <w:lang w:val="en-GB"/>
              </w:rPr>
            </w:pPr>
          </w:p>
        </w:tc>
      </w:tr>
      <w:tr w:rsidR="00BF3E6A" w:rsidRPr="006711BB" w14:paraId="59CEC579" w14:textId="77777777" w:rsidTr="00885C57">
        <w:trPr>
          <w:trHeight w:val="255"/>
          <w:jc w:val="center"/>
        </w:trPr>
        <w:tc>
          <w:tcPr>
            <w:tcW w:w="0" w:type="auto"/>
            <w:noWrap/>
            <w:vAlign w:val="center"/>
            <w:hideMark/>
          </w:tcPr>
          <w:p w14:paraId="4F3FBF39"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No drug use by partner</w:t>
            </w:r>
          </w:p>
        </w:tc>
        <w:tc>
          <w:tcPr>
            <w:tcW w:w="0" w:type="auto"/>
            <w:noWrap/>
            <w:vAlign w:val="center"/>
            <w:hideMark/>
          </w:tcPr>
          <w:p w14:paraId="5B97D15C" w14:textId="77777777" w:rsidR="00BF3E6A" w:rsidRPr="006711BB" w:rsidRDefault="00BF3E6A" w:rsidP="00D45512">
            <w:pPr>
              <w:rPr>
                <w:rFonts w:ascii="Times New Roman" w:eastAsia="Times New Roman" w:hAnsi="Times New Roman" w:cs="Times New Roman"/>
                <w:color w:val="000000"/>
                <w:lang w:val="en-GB"/>
              </w:rPr>
            </w:pPr>
          </w:p>
        </w:tc>
        <w:tc>
          <w:tcPr>
            <w:tcW w:w="0" w:type="auto"/>
            <w:noWrap/>
            <w:vAlign w:val="center"/>
            <w:hideMark/>
          </w:tcPr>
          <w:p w14:paraId="6A47A696" w14:textId="77777777" w:rsidR="00BF3E6A" w:rsidRPr="006711BB" w:rsidRDefault="00BF3E6A" w:rsidP="00D45512">
            <w:pPr>
              <w:rPr>
                <w:rFonts w:ascii="Times New Roman" w:eastAsia="Times New Roman" w:hAnsi="Times New Roman" w:cs="Times New Roman"/>
                <w:iCs/>
                <w:color w:val="000000"/>
                <w:lang w:val="en-GB"/>
              </w:rPr>
            </w:pPr>
            <w:r w:rsidRPr="006711BB">
              <w:rPr>
                <w:rFonts w:ascii="Times New Roman" w:eastAsia="Times New Roman" w:hAnsi="Times New Roman" w:cs="Times New Roman"/>
                <w:color w:val="000000"/>
                <w:lang w:val="en-GB"/>
              </w:rPr>
              <w:t>30.7% (134)</w:t>
            </w:r>
          </w:p>
        </w:tc>
      </w:tr>
      <w:tr w:rsidR="00BF3E6A" w:rsidRPr="006711BB" w14:paraId="272758E5" w14:textId="77777777" w:rsidTr="00885C57">
        <w:trPr>
          <w:trHeight w:val="255"/>
          <w:jc w:val="center"/>
        </w:trPr>
        <w:tc>
          <w:tcPr>
            <w:tcW w:w="0" w:type="auto"/>
            <w:noWrap/>
            <w:vAlign w:val="center"/>
            <w:hideMark/>
          </w:tcPr>
          <w:p w14:paraId="6C7A8BE5"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Don't know</w:t>
            </w:r>
          </w:p>
        </w:tc>
        <w:tc>
          <w:tcPr>
            <w:tcW w:w="0" w:type="auto"/>
            <w:noWrap/>
            <w:vAlign w:val="center"/>
            <w:hideMark/>
          </w:tcPr>
          <w:p w14:paraId="3455C156" w14:textId="77777777" w:rsidR="00BF3E6A" w:rsidRPr="006711BB" w:rsidRDefault="00BF3E6A" w:rsidP="00D45512">
            <w:pPr>
              <w:rPr>
                <w:rFonts w:ascii="Times New Roman" w:eastAsia="Times New Roman" w:hAnsi="Times New Roman" w:cs="Times New Roman"/>
                <w:color w:val="000000"/>
                <w:lang w:val="en-GB"/>
              </w:rPr>
            </w:pPr>
          </w:p>
        </w:tc>
        <w:tc>
          <w:tcPr>
            <w:tcW w:w="0" w:type="auto"/>
            <w:noWrap/>
            <w:vAlign w:val="center"/>
            <w:hideMark/>
          </w:tcPr>
          <w:p w14:paraId="58E6BE82" w14:textId="77777777" w:rsidR="00BF3E6A" w:rsidRPr="006711BB" w:rsidRDefault="00BF3E6A" w:rsidP="00D45512">
            <w:pPr>
              <w:rPr>
                <w:rFonts w:ascii="Times New Roman" w:eastAsia="Times New Roman" w:hAnsi="Times New Roman" w:cs="Times New Roman"/>
                <w:iCs/>
                <w:color w:val="000000"/>
                <w:lang w:val="en-GB"/>
              </w:rPr>
            </w:pPr>
            <w:r w:rsidRPr="006711BB">
              <w:rPr>
                <w:rFonts w:ascii="Times New Roman" w:eastAsia="Times New Roman" w:hAnsi="Times New Roman" w:cs="Times New Roman"/>
                <w:color w:val="000000"/>
                <w:lang w:val="en-GB"/>
              </w:rPr>
              <w:t>25.9% (113)</w:t>
            </w:r>
          </w:p>
        </w:tc>
      </w:tr>
      <w:tr w:rsidR="00BF3E6A" w:rsidRPr="006711BB" w14:paraId="2F8118E1" w14:textId="77777777" w:rsidTr="00885C57">
        <w:trPr>
          <w:trHeight w:val="255"/>
          <w:jc w:val="center"/>
        </w:trPr>
        <w:tc>
          <w:tcPr>
            <w:tcW w:w="0" w:type="auto"/>
            <w:noWrap/>
            <w:vAlign w:val="center"/>
            <w:hideMark/>
          </w:tcPr>
          <w:p w14:paraId="2B8A109A" w14:textId="77777777" w:rsidR="00BF3E6A" w:rsidRPr="006711BB" w:rsidRDefault="00BF3E6A" w:rsidP="00D45512">
            <w:pPr>
              <w:rPr>
                <w:rFonts w:ascii="Times New Roman" w:eastAsia="Times New Roman" w:hAnsi="Times New Roman" w:cs="Times New Roman"/>
                <w:b/>
                <w:bCs/>
                <w:color w:val="000000"/>
                <w:lang w:val="en-GB"/>
              </w:rPr>
            </w:pPr>
            <w:r w:rsidRPr="006711BB">
              <w:rPr>
                <w:rFonts w:ascii="Times New Roman" w:eastAsia="Times New Roman" w:hAnsi="Times New Roman" w:cs="Times New Roman"/>
                <w:color w:val="000000"/>
                <w:lang w:val="en-GB"/>
              </w:rPr>
              <w:t>Yes, but unsure what</w:t>
            </w:r>
          </w:p>
        </w:tc>
        <w:tc>
          <w:tcPr>
            <w:tcW w:w="0" w:type="auto"/>
            <w:noWrap/>
            <w:vAlign w:val="center"/>
            <w:hideMark/>
          </w:tcPr>
          <w:p w14:paraId="6AAB9B64" w14:textId="77777777" w:rsidR="00BF3E6A" w:rsidRPr="006711BB" w:rsidRDefault="00BF3E6A" w:rsidP="00D45512">
            <w:pPr>
              <w:rPr>
                <w:rFonts w:ascii="Times New Roman" w:eastAsia="Times New Roman" w:hAnsi="Times New Roman" w:cs="Times New Roman"/>
                <w:color w:val="000000"/>
                <w:lang w:val="en-GB"/>
              </w:rPr>
            </w:pPr>
          </w:p>
        </w:tc>
        <w:tc>
          <w:tcPr>
            <w:tcW w:w="0" w:type="auto"/>
            <w:noWrap/>
            <w:vAlign w:val="center"/>
            <w:hideMark/>
          </w:tcPr>
          <w:p w14:paraId="5475350D" w14:textId="77777777" w:rsidR="00BF3E6A" w:rsidRPr="006711BB" w:rsidRDefault="00BF3E6A" w:rsidP="00D45512">
            <w:pPr>
              <w:rPr>
                <w:rFonts w:ascii="Times New Roman" w:eastAsia="Times New Roman" w:hAnsi="Times New Roman" w:cs="Times New Roman"/>
                <w:b/>
                <w:bCs/>
                <w:color w:val="000000"/>
                <w:lang w:val="en-GB"/>
              </w:rPr>
            </w:pPr>
            <w:r w:rsidRPr="006711BB">
              <w:rPr>
                <w:rFonts w:ascii="Times New Roman" w:eastAsia="Times New Roman" w:hAnsi="Times New Roman" w:cs="Times New Roman"/>
                <w:color w:val="000000"/>
                <w:lang w:val="en-GB"/>
              </w:rPr>
              <w:t>14.2% (62)</w:t>
            </w:r>
          </w:p>
        </w:tc>
      </w:tr>
      <w:tr w:rsidR="00BF3E6A" w:rsidRPr="006711BB" w14:paraId="380459FB" w14:textId="77777777" w:rsidTr="00885C57">
        <w:trPr>
          <w:trHeight w:val="255"/>
          <w:jc w:val="center"/>
        </w:trPr>
        <w:tc>
          <w:tcPr>
            <w:tcW w:w="0" w:type="auto"/>
            <w:noWrap/>
            <w:vAlign w:val="center"/>
            <w:hideMark/>
          </w:tcPr>
          <w:p w14:paraId="06A42B76"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Yes, specifically</w:t>
            </w:r>
          </w:p>
        </w:tc>
        <w:tc>
          <w:tcPr>
            <w:tcW w:w="0" w:type="auto"/>
            <w:noWrap/>
            <w:vAlign w:val="center"/>
            <w:hideMark/>
          </w:tcPr>
          <w:p w14:paraId="6323F86D" w14:textId="77777777" w:rsidR="00BF3E6A" w:rsidRPr="006711BB" w:rsidRDefault="00BF3E6A" w:rsidP="00D45512">
            <w:pPr>
              <w:rPr>
                <w:rFonts w:ascii="Times New Roman" w:eastAsia="Times New Roman" w:hAnsi="Times New Roman" w:cs="Times New Roman"/>
                <w:color w:val="000000"/>
                <w:lang w:val="en-GB"/>
              </w:rPr>
            </w:pPr>
          </w:p>
        </w:tc>
        <w:tc>
          <w:tcPr>
            <w:tcW w:w="0" w:type="auto"/>
            <w:noWrap/>
            <w:vAlign w:val="center"/>
            <w:hideMark/>
          </w:tcPr>
          <w:p w14:paraId="75FE4E07"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29.1% (127)</w:t>
            </w:r>
          </w:p>
        </w:tc>
      </w:tr>
      <w:tr w:rsidR="00BF3E6A" w:rsidRPr="006711BB" w14:paraId="3E19F7DD" w14:textId="77777777" w:rsidTr="00885C57">
        <w:trPr>
          <w:trHeight w:val="255"/>
          <w:jc w:val="center"/>
        </w:trPr>
        <w:tc>
          <w:tcPr>
            <w:tcW w:w="0" w:type="auto"/>
            <w:noWrap/>
            <w:vAlign w:val="center"/>
            <w:hideMark/>
          </w:tcPr>
          <w:p w14:paraId="19FCBA58"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b/>
                <w:bCs/>
                <w:color w:val="000000"/>
                <w:lang w:val="en-GB"/>
              </w:rPr>
              <w:t>Number of participants</w:t>
            </w:r>
          </w:p>
        </w:tc>
        <w:tc>
          <w:tcPr>
            <w:tcW w:w="0" w:type="auto"/>
            <w:noWrap/>
            <w:vAlign w:val="center"/>
            <w:hideMark/>
          </w:tcPr>
          <w:p w14:paraId="0F857260"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437</w:t>
            </w:r>
          </w:p>
        </w:tc>
        <w:tc>
          <w:tcPr>
            <w:tcW w:w="0" w:type="auto"/>
            <w:noWrap/>
            <w:vAlign w:val="center"/>
            <w:hideMark/>
          </w:tcPr>
          <w:p w14:paraId="0D818D64"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3.7 (4.3, 1-50)</w:t>
            </w:r>
          </w:p>
        </w:tc>
      </w:tr>
      <w:tr w:rsidR="00BF3E6A" w:rsidRPr="006711BB" w14:paraId="452F5A0C" w14:textId="77777777" w:rsidTr="00885C57">
        <w:trPr>
          <w:trHeight w:val="255"/>
          <w:jc w:val="center"/>
        </w:trPr>
        <w:tc>
          <w:tcPr>
            <w:tcW w:w="0" w:type="auto"/>
            <w:noWrap/>
            <w:vAlign w:val="center"/>
            <w:hideMark/>
          </w:tcPr>
          <w:p w14:paraId="0546BE84" w14:textId="77777777" w:rsidR="00BF3E6A" w:rsidRPr="006711BB" w:rsidRDefault="00885C57" w:rsidP="00D45512">
            <w:pPr>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HIV s</w:t>
            </w:r>
            <w:r w:rsidR="00BF3E6A" w:rsidRPr="006711BB">
              <w:rPr>
                <w:rFonts w:ascii="Times New Roman" w:eastAsia="Times New Roman" w:hAnsi="Times New Roman" w:cs="Times New Roman"/>
                <w:b/>
                <w:bCs/>
                <w:color w:val="000000"/>
                <w:lang w:val="en-GB"/>
              </w:rPr>
              <w:t>erodiscordance</w:t>
            </w:r>
          </w:p>
        </w:tc>
        <w:tc>
          <w:tcPr>
            <w:tcW w:w="0" w:type="auto"/>
            <w:noWrap/>
            <w:vAlign w:val="center"/>
            <w:hideMark/>
          </w:tcPr>
          <w:p w14:paraId="060790A5"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434</w:t>
            </w:r>
          </w:p>
        </w:tc>
        <w:tc>
          <w:tcPr>
            <w:tcW w:w="0" w:type="auto"/>
            <w:noWrap/>
            <w:vAlign w:val="center"/>
            <w:hideMark/>
          </w:tcPr>
          <w:p w14:paraId="6B44B061" w14:textId="77777777" w:rsidR="00BF3E6A" w:rsidRPr="006711BB" w:rsidRDefault="00BF3E6A" w:rsidP="00D45512">
            <w:pPr>
              <w:rPr>
                <w:rFonts w:ascii="Times New Roman" w:eastAsia="Times New Roman" w:hAnsi="Times New Roman" w:cs="Times New Roman"/>
                <w:color w:val="000000"/>
                <w:lang w:val="en-GB"/>
              </w:rPr>
            </w:pPr>
          </w:p>
        </w:tc>
      </w:tr>
      <w:tr w:rsidR="00FB4FCA" w:rsidRPr="006711BB" w14:paraId="5B526B57" w14:textId="77777777" w:rsidTr="00885C57">
        <w:trPr>
          <w:trHeight w:val="255"/>
          <w:jc w:val="center"/>
        </w:trPr>
        <w:tc>
          <w:tcPr>
            <w:tcW w:w="0" w:type="auto"/>
            <w:tcBorders>
              <w:bottom w:val="single" w:sz="4" w:space="0" w:color="auto"/>
            </w:tcBorders>
            <w:noWrap/>
            <w:vAlign w:val="center"/>
            <w:hideMark/>
          </w:tcPr>
          <w:p w14:paraId="449E4BE9" w14:textId="6FAC828D" w:rsidR="00FB4FCA" w:rsidRPr="00FB4FCA" w:rsidRDefault="00FB4FCA" w:rsidP="00D45512">
            <w:pPr>
              <w:rPr>
                <w:rFonts w:ascii="Times New Roman" w:eastAsia="Times New Roman" w:hAnsi="Times New Roman" w:cs="Times New Roman"/>
                <w:color w:val="000000"/>
                <w:lang w:val="en-GB"/>
              </w:rPr>
            </w:pPr>
            <w:r w:rsidRPr="00FB4FCA">
              <w:rPr>
                <w:rFonts w:ascii="Times New Roman" w:eastAsia="Times New Roman" w:hAnsi="Times New Roman" w:cs="Times New Roman"/>
                <w:color w:val="000000"/>
              </w:rPr>
              <w:t>Seroconcordant</w:t>
            </w:r>
          </w:p>
        </w:tc>
        <w:tc>
          <w:tcPr>
            <w:tcW w:w="0" w:type="auto"/>
            <w:tcBorders>
              <w:bottom w:val="single" w:sz="4" w:space="0" w:color="auto"/>
            </w:tcBorders>
            <w:noWrap/>
            <w:vAlign w:val="center"/>
            <w:hideMark/>
          </w:tcPr>
          <w:p w14:paraId="07D3036A" w14:textId="77777777" w:rsidR="00FB4FCA" w:rsidRPr="006711BB" w:rsidRDefault="00FB4FCA" w:rsidP="00D45512">
            <w:pPr>
              <w:rPr>
                <w:rFonts w:ascii="Times New Roman" w:eastAsia="Times New Roman" w:hAnsi="Times New Roman" w:cs="Times New Roman"/>
                <w:color w:val="000000"/>
                <w:lang w:val="en-GB"/>
              </w:rPr>
            </w:pPr>
          </w:p>
        </w:tc>
        <w:tc>
          <w:tcPr>
            <w:tcW w:w="0" w:type="auto"/>
            <w:tcBorders>
              <w:bottom w:val="single" w:sz="4" w:space="0" w:color="auto"/>
            </w:tcBorders>
            <w:noWrap/>
            <w:vAlign w:val="center"/>
            <w:hideMark/>
          </w:tcPr>
          <w:p w14:paraId="45369DD9" w14:textId="77777777" w:rsidR="00FB4FCA" w:rsidRPr="006711BB" w:rsidRDefault="00FB4FC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21.7% (94)</w:t>
            </w:r>
          </w:p>
        </w:tc>
      </w:tr>
      <w:tr w:rsidR="00FB4FCA" w:rsidRPr="006711BB" w14:paraId="069A5F34" w14:textId="77777777" w:rsidTr="00885C57">
        <w:trPr>
          <w:trHeight w:val="255"/>
          <w:jc w:val="center"/>
        </w:trPr>
        <w:tc>
          <w:tcPr>
            <w:tcW w:w="0" w:type="auto"/>
            <w:tcBorders>
              <w:bottom w:val="single" w:sz="4" w:space="0" w:color="auto"/>
            </w:tcBorders>
            <w:noWrap/>
            <w:vAlign w:val="center"/>
            <w:hideMark/>
          </w:tcPr>
          <w:p w14:paraId="03ECDCD3" w14:textId="48194F83" w:rsidR="00FB4FCA" w:rsidRPr="00FB4FCA" w:rsidRDefault="00FB4FCA" w:rsidP="00D45512">
            <w:pPr>
              <w:rPr>
                <w:rFonts w:ascii="Times New Roman" w:eastAsia="Times New Roman" w:hAnsi="Times New Roman" w:cs="Times New Roman"/>
                <w:bCs/>
                <w:color w:val="000000"/>
                <w:lang w:val="en-GB"/>
              </w:rPr>
            </w:pPr>
            <w:r w:rsidRPr="00FB4FCA">
              <w:rPr>
                <w:rFonts w:ascii="Times New Roman" w:eastAsia="Times New Roman" w:hAnsi="Times New Roman" w:cs="Times New Roman"/>
                <w:color w:val="000000"/>
              </w:rPr>
              <w:t>Unknown serostatus match</w:t>
            </w:r>
          </w:p>
        </w:tc>
        <w:tc>
          <w:tcPr>
            <w:tcW w:w="0" w:type="auto"/>
            <w:tcBorders>
              <w:bottom w:val="single" w:sz="4" w:space="0" w:color="auto"/>
            </w:tcBorders>
            <w:noWrap/>
            <w:vAlign w:val="center"/>
            <w:hideMark/>
          </w:tcPr>
          <w:p w14:paraId="30E03390" w14:textId="77777777" w:rsidR="00FB4FCA" w:rsidRPr="006711BB" w:rsidRDefault="00FB4FCA" w:rsidP="00D45512">
            <w:pPr>
              <w:rPr>
                <w:rFonts w:ascii="Times New Roman" w:eastAsia="Times New Roman" w:hAnsi="Times New Roman" w:cs="Times New Roman"/>
                <w:color w:val="000000"/>
                <w:lang w:val="en-GB"/>
              </w:rPr>
            </w:pPr>
          </w:p>
        </w:tc>
        <w:tc>
          <w:tcPr>
            <w:tcW w:w="0" w:type="auto"/>
            <w:tcBorders>
              <w:bottom w:val="single" w:sz="4" w:space="0" w:color="auto"/>
            </w:tcBorders>
            <w:noWrap/>
            <w:vAlign w:val="center"/>
            <w:hideMark/>
          </w:tcPr>
          <w:p w14:paraId="2426FBE6" w14:textId="77777777" w:rsidR="00FB4FCA" w:rsidRPr="006711BB" w:rsidRDefault="00FB4FC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74.9% (325)</w:t>
            </w:r>
          </w:p>
        </w:tc>
      </w:tr>
      <w:tr w:rsidR="00FB4FCA" w:rsidRPr="006711BB" w14:paraId="6CF0D36E" w14:textId="77777777" w:rsidTr="00885C57">
        <w:trPr>
          <w:trHeight w:val="255"/>
          <w:jc w:val="center"/>
        </w:trPr>
        <w:tc>
          <w:tcPr>
            <w:tcW w:w="0" w:type="auto"/>
            <w:tcBorders>
              <w:bottom w:val="single" w:sz="4" w:space="0" w:color="auto"/>
            </w:tcBorders>
            <w:noWrap/>
            <w:vAlign w:val="center"/>
            <w:hideMark/>
          </w:tcPr>
          <w:p w14:paraId="6B430DA7" w14:textId="0E0C2AD6" w:rsidR="00FB4FCA" w:rsidRPr="00FB4FCA" w:rsidRDefault="00FB4FCA" w:rsidP="00D45512">
            <w:pPr>
              <w:rPr>
                <w:rFonts w:ascii="Times New Roman" w:eastAsia="Times New Roman" w:hAnsi="Times New Roman" w:cs="Times New Roman"/>
                <w:bCs/>
                <w:color w:val="000000"/>
                <w:lang w:val="en-GB"/>
              </w:rPr>
            </w:pPr>
            <w:r w:rsidRPr="00FB4FCA">
              <w:rPr>
                <w:rFonts w:ascii="Times New Roman" w:eastAsia="Times New Roman" w:hAnsi="Times New Roman" w:cs="Times New Roman"/>
                <w:color w:val="000000"/>
              </w:rPr>
              <w:t>Serodiscordant</w:t>
            </w:r>
          </w:p>
        </w:tc>
        <w:tc>
          <w:tcPr>
            <w:tcW w:w="0" w:type="auto"/>
            <w:tcBorders>
              <w:bottom w:val="single" w:sz="4" w:space="0" w:color="auto"/>
            </w:tcBorders>
            <w:noWrap/>
            <w:vAlign w:val="center"/>
            <w:hideMark/>
          </w:tcPr>
          <w:p w14:paraId="066FAF9D" w14:textId="77777777" w:rsidR="00FB4FCA" w:rsidRPr="006711BB" w:rsidRDefault="00FB4FCA" w:rsidP="00D45512">
            <w:pPr>
              <w:rPr>
                <w:rFonts w:ascii="Times New Roman" w:eastAsia="Times New Roman" w:hAnsi="Times New Roman" w:cs="Times New Roman"/>
                <w:color w:val="000000"/>
                <w:lang w:val="en-GB"/>
              </w:rPr>
            </w:pPr>
          </w:p>
        </w:tc>
        <w:tc>
          <w:tcPr>
            <w:tcW w:w="0" w:type="auto"/>
            <w:tcBorders>
              <w:bottom w:val="single" w:sz="4" w:space="0" w:color="auto"/>
            </w:tcBorders>
            <w:noWrap/>
            <w:vAlign w:val="center"/>
            <w:hideMark/>
          </w:tcPr>
          <w:p w14:paraId="05B0DBE7" w14:textId="77777777" w:rsidR="00FB4FCA" w:rsidRPr="006711BB" w:rsidRDefault="00FB4FCA" w:rsidP="00D45512">
            <w:pPr>
              <w:rPr>
                <w:rFonts w:ascii="Times New Roman" w:eastAsia="Times New Roman" w:hAnsi="Times New Roman" w:cs="Times New Roman"/>
                <w:bCs/>
                <w:color w:val="000000"/>
                <w:lang w:val="en-GB"/>
              </w:rPr>
            </w:pPr>
            <w:r w:rsidRPr="006711BB">
              <w:rPr>
                <w:rFonts w:ascii="Times New Roman" w:eastAsia="Times New Roman" w:hAnsi="Times New Roman" w:cs="Times New Roman"/>
                <w:color w:val="000000"/>
                <w:lang w:val="en-GB"/>
              </w:rPr>
              <w:t>3.5% (15)</w:t>
            </w:r>
          </w:p>
        </w:tc>
      </w:tr>
      <w:tr w:rsidR="00BF3E6A" w:rsidRPr="006711BB" w14:paraId="25FBE315" w14:textId="77777777" w:rsidTr="00885C57">
        <w:trPr>
          <w:trHeight w:val="255"/>
          <w:jc w:val="center"/>
        </w:trPr>
        <w:tc>
          <w:tcPr>
            <w:tcW w:w="0" w:type="auto"/>
            <w:tcBorders>
              <w:bottom w:val="single" w:sz="4" w:space="0" w:color="auto"/>
            </w:tcBorders>
            <w:noWrap/>
            <w:vAlign w:val="center"/>
            <w:hideMark/>
          </w:tcPr>
          <w:p w14:paraId="6DEC0ABC"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b/>
                <w:bCs/>
                <w:color w:val="000000"/>
                <w:lang w:val="en-GB"/>
              </w:rPr>
              <w:t>Location of sex</w:t>
            </w:r>
          </w:p>
        </w:tc>
        <w:tc>
          <w:tcPr>
            <w:tcW w:w="0" w:type="auto"/>
            <w:tcBorders>
              <w:bottom w:val="single" w:sz="4" w:space="0" w:color="auto"/>
            </w:tcBorders>
            <w:noWrap/>
            <w:vAlign w:val="center"/>
            <w:hideMark/>
          </w:tcPr>
          <w:p w14:paraId="1364BE2B"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434</w:t>
            </w:r>
          </w:p>
        </w:tc>
        <w:tc>
          <w:tcPr>
            <w:tcW w:w="0" w:type="auto"/>
            <w:tcBorders>
              <w:bottom w:val="single" w:sz="4" w:space="0" w:color="auto"/>
            </w:tcBorders>
            <w:noWrap/>
            <w:vAlign w:val="center"/>
            <w:hideMark/>
          </w:tcPr>
          <w:p w14:paraId="1AE03271" w14:textId="77777777" w:rsidR="00BF3E6A" w:rsidRPr="006711BB" w:rsidRDefault="00BF3E6A" w:rsidP="00D45512">
            <w:pPr>
              <w:rPr>
                <w:rFonts w:ascii="Times New Roman" w:eastAsia="Times New Roman" w:hAnsi="Times New Roman" w:cs="Times New Roman"/>
                <w:bCs/>
                <w:color w:val="000000"/>
                <w:lang w:val="en-GB"/>
              </w:rPr>
            </w:pPr>
          </w:p>
        </w:tc>
      </w:tr>
      <w:tr w:rsidR="00BF3E6A" w:rsidRPr="006711BB" w14:paraId="39ADD40E" w14:textId="77777777" w:rsidTr="00885C57">
        <w:trPr>
          <w:trHeight w:val="255"/>
          <w:jc w:val="center"/>
        </w:trPr>
        <w:tc>
          <w:tcPr>
            <w:tcW w:w="0" w:type="auto"/>
            <w:tcBorders>
              <w:bottom w:val="single" w:sz="4" w:space="0" w:color="auto"/>
            </w:tcBorders>
            <w:noWrap/>
            <w:vAlign w:val="center"/>
            <w:hideMark/>
          </w:tcPr>
          <w:p w14:paraId="4B4361CA" w14:textId="77777777" w:rsidR="00BF3E6A" w:rsidRPr="006711BB" w:rsidRDefault="00BF3E6A" w:rsidP="00D45512">
            <w:pPr>
              <w:rPr>
                <w:rFonts w:ascii="Times New Roman" w:eastAsia="Times New Roman" w:hAnsi="Times New Roman" w:cs="Times New Roman"/>
                <w:i/>
                <w:color w:val="000000"/>
                <w:lang w:val="en-GB"/>
              </w:rPr>
            </w:pPr>
            <w:r w:rsidRPr="006711BB">
              <w:rPr>
                <w:rFonts w:ascii="Times New Roman" w:eastAsia="Times New Roman" w:hAnsi="Times New Roman" w:cs="Times New Roman"/>
                <w:color w:val="000000"/>
                <w:lang w:val="en-GB"/>
              </w:rPr>
              <w:t>Homes</w:t>
            </w:r>
          </w:p>
        </w:tc>
        <w:tc>
          <w:tcPr>
            <w:tcW w:w="0" w:type="auto"/>
            <w:tcBorders>
              <w:bottom w:val="single" w:sz="4" w:space="0" w:color="auto"/>
            </w:tcBorders>
            <w:noWrap/>
            <w:vAlign w:val="center"/>
            <w:hideMark/>
          </w:tcPr>
          <w:p w14:paraId="730B4EF5" w14:textId="77777777" w:rsidR="00BF3E6A" w:rsidRPr="006711BB" w:rsidRDefault="00BF3E6A" w:rsidP="00D45512">
            <w:pPr>
              <w:rPr>
                <w:rFonts w:ascii="Times New Roman" w:eastAsia="Times New Roman" w:hAnsi="Times New Roman" w:cs="Times New Roman"/>
                <w:i/>
                <w:color w:val="000000"/>
                <w:lang w:val="en-GB"/>
              </w:rPr>
            </w:pPr>
          </w:p>
        </w:tc>
        <w:tc>
          <w:tcPr>
            <w:tcW w:w="0" w:type="auto"/>
            <w:tcBorders>
              <w:bottom w:val="single" w:sz="4" w:space="0" w:color="auto"/>
            </w:tcBorders>
            <w:noWrap/>
            <w:vAlign w:val="center"/>
            <w:hideMark/>
          </w:tcPr>
          <w:p w14:paraId="13E0FF46" w14:textId="77777777" w:rsidR="00BF3E6A" w:rsidRPr="006711BB" w:rsidRDefault="00BF3E6A" w:rsidP="00D45512">
            <w:pPr>
              <w:rPr>
                <w:rFonts w:ascii="Times New Roman" w:eastAsia="Times New Roman" w:hAnsi="Times New Roman" w:cs="Times New Roman"/>
                <w:bCs/>
                <w:i/>
                <w:color w:val="000000"/>
                <w:lang w:val="en-GB"/>
              </w:rPr>
            </w:pPr>
            <w:r w:rsidRPr="006711BB">
              <w:rPr>
                <w:rFonts w:ascii="Times New Roman" w:eastAsia="Times New Roman" w:hAnsi="Times New Roman" w:cs="Times New Roman"/>
                <w:color w:val="000000"/>
                <w:lang w:val="en-GB"/>
              </w:rPr>
              <w:t>51.6% (224)</w:t>
            </w:r>
          </w:p>
        </w:tc>
      </w:tr>
      <w:tr w:rsidR="00BF3E6A" w:rsidRPr="006711BB" w14:paraId="65C255FD" w14:textId="77777777" w:rsidTr="00885C57">
        <w:trPr>
          <w:trHeight w:val="255"/>
          <w:jc w:val="center"/>
        </w:trPr>
        <w:tc>
          <w:tcPr>
            <w:tcW w:w="0" w:type="auto"/>
            <w:tcBorders>
              <w:bottom w:val="single" w:sz="4" w:space="0" w:color="auto"/>
            </w:tcBorders>
            <w:noWrap/>
            <w:vAlign w:val="center"/>
            <w:hideMark/>
          </w:tcPr>
          <w:p w14:paraId="5CACFCB1" w14:textId="77777777" w:rsidR="00BF3E6A" w:rsidRPr="006711BB" w:rsidRDefault="00BF3E6A" w:rsidP="003030ED">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Sex-on-premises venue</w:t>
            </w:r>
          </w:p>
        </w:tc>
        <w:tc>
          <w:tcPr>
            <w:tcW w:w="0" w:type="auto"/>
            <w:tcBorders>
              <w:bottom w:val="single" w:sz="4" w:space="0" w:color="auto"/>
            </w:tcBorders>
            <w:noWrap/>
            <w:vAlign w:val="center"/>
            <w:hideMark/>
          </w:tcPr>
          <w:p w14:paraId="736709CF" w14:textId="77777777" w:rsidR="00BF3E6A" w:rsidRPr="006711BB" w:rsidRDefault="00BF3E6A" w:rsidP="00D45512">
            <w:pPr>
              <w:rPr>
                <w:rFonts w:ascii="Times New Roman" w:eastAsia="Times New Roman" w:hAnsi="Times New Roman" w:cs="Times New Roman"/>
                <w:color w:val="000000"/>
                <w:lang w:val="en-GB"/>
              </w:rPr>
            </w:pPr>
          </w:p>
        </w:tc>
        <w:tc>
          <w:tcPr>
            <w:tcW w:w="0" w:type="auto"/>
            <w:tcBorders>
              <w:bottom w:val="single" w:sz="4" w:space="0" w:color="auto"/>
            </w:tcBorders>
            <w:noWrap/>
            <w:vAlign w:val="center"/>
            <w:hideMark/>
          </w:tcPr>
          <w:p w14:paraId="52F03F89" w14:textId="77777777" w:rsidR="00BF3E6A" w:rsidRPr="006711BB" w:rsidRDefault="00BF3E6A" w:rsidP="00D45512">
            <w:pPr>
              <w:rPr>
                <w:rFonts w:ascii="Times New Roman" w:eastAsia="Times New Roman" w:hAnsi="Times New Roman" w:cs="Times New Roman"/>
                <w:bCs/>
                <w:color w:val="000000"/>
                <w:lang w:val="en-GB"/>
              </w:rPr>
            </w:pPr>
            <w:r w:rsidRPr="006711BB">
              <w:rPr>
                <w:rFonts w:ascii="Times New Roman" w:eastAsia="Times New Roman" w:hAnsi="Times New Roman" w:cs="Times New Roman"/>
                <w:color w:val="000000"/>
                <w:lang w:val="en-GB"/>
              </w:rPr>
              <w:t>37.6% (163)</w:t>
            </w:r>
          </w:p>
        </w:tc>
      </w:tr>
      <w:tr w:rsidR="00BF3E6A" w:rsidRPr="006711BB" w14:paraId="60CF2388" w14:textId="77777777" w:rsidTr="00885C57">
        <w:trPr>
          <w:trHeight w:val="255"/>
          <w:jc w:val="center"/>
        </w:trPr>
        <w:tc>
          <w:tcPr>
            <w:tcW w:w="0" w:type="auto"/>
            <w:tcBorders>
              <w:bottom w:val="single" w:sz="4" w:space="0" w:color="auto"/>
            </w:tcBorders>
            <w:noWrap/>
            <w:vAlign w:val="center"/>
            <w:hideMark/>
          </w:tcPr>
          <w:p w14:paraId="6B69C856" w14:textId="77777777" w:rsidR="00BF3E6A" w:rsidRPr="006711BB" w:rsidRDefault="00BF3E6A" w:rsidP="003030ED">
            <w:pPr>
              <w:rPr>
                <w:rFonts w:ascii="Times New Roman" w:eastAsia="Times New Roman" w:hAnsi="Times New Roman" w:cs="Times New Roman"/>
                <w:i/>
                <w:color w:val="000000"/>
                <w:lang w:val="en-GB"/>
              </w:rPr>
            </w:pPr>
            <w:r w:rsidRPr="006711BB">
              <w:rPr>
                <w:rFonts w:ascii="Times New Roman" w:eastAsia="Times New Roman" w:hAnsi="Times New Roman" w:cs="Times New Roman"/>
                <w:color w:val="000000"/>
                <w:lang w:val="en-GB"/>
              </w:rPr>
              <w:t>Cruising location</w:t>
            </w:r>
          </w:p>
        </w:tc>
        <w:tc>
          <w:tcPr>
            <w:tcW w:w="0" w:type="auto"/>
            <w:tcBorders>
              <w:bottom w:val="single" w:sz="4" w:space="0" w:color="auto"/>
            </w:tcBorders>
            <w:noWrap/>
            <w:vAlign w:val="center"/>
            <w:hideMark/>
          </w:tcPr>
          <w:p w14:paraId="54378DFE" w14:textId="77777777" w:rsidR="00BF3E6A" w:rsidRPr="006711BB" w:rsidRDefault="00BF3E6A" w:rsidP="00D45512">
            <w:pPr>
              <w:rPr>
                <w:rFonts w:ascii="Times New Roman" w:eastAsia="Times New Roman" w:hAnsi="Times New Roman" w:cs="Times New Roman"/>
                <w:i/>
                <w:color w:val="000000"/>
                <w:lang w:val="en-GB"/>
              </w:rPr>
            </w:pPr>
          </w:p>
        </w:tc>
        <w:tc>
          <w:tcPr>
            <w:tcW w:w="0" w:type="auto"/>
            <w:tcBorders>
              <w:bottom w:val="single" w:sz="4" w:space="0" w:color="auto"/>
            </w:tcBorders>
            <w:noWrap/>
            <w:vAlign w:val="center"/>
            <w:hideMark/>
          </w:tcPr>
          <w:p w14:paraId="724F21C3" w14:textId="77777777" w:rsidR="00BF3E6A" w:rsidRPr="006711BB" w:rsidRDefault="00BF3E6A" w:rsidP="00D45512">
            <w:pPr>
              <w:rPr>
                <w:rFonts w:ascii="Times New Roman" w:eastAsia="Times New Roman" w:hAnsi="Times New Roman" w:cs="Times New Roman"/>
                <w:bCs/>
                <w:i/>
                <w:color w:val="000000"/>
                <w:lang w:val="en-GB"/>
              </w:rPr>
            </w:pPr>
            <w:r w:rsidRPr="006711BB">
              <w:rPr>
                <w:rFonts w:ascii="Times New Roman" w:eastAsia="Times New Roman" w:hAnsi="Times New Roman" w:cs="Times New Roman"/>
                <w:color w:val="000000"/>
                <w:lang w:val="en-GB"/>
              </w:rPr>
              <w:t>10.8% (47)</w:t>
            </w:r>
          </w:p>
        </w:tc>
      </w:tr>
      <w:tr w:rsidR="00BF3E6A" w:rsidRPr="006711BB" w14:paraId="71EE0E9C" w14:textId="77777777" w:rsidTr="00885C57">
        <w:trPr>
          <w:trHeight w:val="255"/>
          <w:jc w:val="center"/>
        </w:trPr>
        <w:tc>
          <w:tcPr>
            <w:tcW w:w="0" w:type="auto"/>
            <w:tcBorders>
              <w:bottom w:val="single" w:sz="4" w:space="0" w:color="auto"/>
            </w:tcBorders>
            <w:noWrap/>
            <w:vAlign w:val="center"/>
            <w:hideMark/>
          </w:tcPr>
          <w:p w14:paraId="0593159E"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b/>
                <w:bCs/>
                <w:color w:val="000000"/>
                <w:lang w:val="en-GB"/>
              </w:rPr>
              <w:t>Wave of reporting</w:t>
            </w:r>
          </w:p>
        </w:tc>
        <w:tc>
          <w:tcPr>
            <w:tcW w:w="0" w:type="auto"/>
            <w:tcBorders>
              <w:bottom w:val="single" w:sz="4" w:space="0" w:color="auto"/>
            </w:tcBorders>
            <w:noWrap/>
            <w:vAlign w:val="center"/>
            <w:hideMark/>
          </w:tcPr>
          <w:p w14:paraId="76B0EF84"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438</w:t>
            </w:r>
          </w:p>
        </w:tc>
        <w:tc>
          <w:tcPr>
            <w:tcW w:w="0" w:type="auto"/>
            <w:tcBorders>
              <w:bottom w:val="single" w:sz="4" w:space="0" w:color="auto"/>
            </w:tcBorders>
            <w:noWrap/>
            <w:vAlign w:val="center"/>
            <w:hideMark/>
          </w:tcPr>
          <w:p w14:paraId="7CE17FBA" w14:textId="77777777" w:rsidR="00BF3E6A" w:rsidRPr="006711BB" w:rsidRDefault="00BF3E6A" w:rsidP="00D45512">
            <w:pPr>
              <w:rPr>
                <w:rFonts w:ascii="Times New Roman" w:eastAsia="Times New Roman" w:hAnsi="Times New Roman" w:cs="Times New Roman"/>
                <w:iCs/>
                <w:color w:val="000000"/>
                <w:lang w:val="en-GB"/>
              </w:rPr>
            </w:pPr>
          </w:p>
        </w:tc>
      </w:tr>
      <w:tr w:rsidR="00BF3E6A" w:rsidRPr="006711BB" w14:paraId="3B59E2BE" w14:textId="77777777" w:rsidTr="00885C57">
        <w:trPr>
          <w:trHeight w:val="255"/>
          <w:jc w:val="center"/>
        </w:trPr>
        <w:tc>
          <w:tcPr>
            <w:tcW w:w="0" w:type="auto"/>
            <w:tcBorders>
              <w:bottom w:val="single" w:sz="4" w:space="0" w:color="auto"/>
            </w:tcBorders>
            <w:noWrap/>
            <w:vAlign w:val="center"/>
            <w:hideMark/>
          </w:tcPr>
          <w:p w14:paraId="54B3633E"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Wave 1</w:t>
            </w:r>
          </w:p>
        </w:tc>
        <w:tc>
          <w:tcPr>
            <w:tcW w:w="0" w:type="auto"/>
            <w:tcBorders>
              <w:bottom w:val="single" w:sz="4" w:space="0" w:color="auto"/>
            </w:tcBorders>
            <w:noWrap/>
            <w:vAlign w:val="center"/>
            <w:hideMark/>
          </w:tcPr>
          <w:p w14:paraId="00F32302" w14:textId="77777777" w:rsidR="00BF3E6A" w:rsidRPr="006711BB" w:rsidRDefault="00BF3E6A" w:rsidP="00D45512">
            <w:pPr>
              <w:rPr>
                <w:rFonts w:ascii="Times New Roman" w:eastAsia="Times New Roman" w:hAnsi="Times New Roman" w:cs="Times New Roman"/>
                <w:color w:val="000000"/>
                <w:lang w:val="en-GB"/>
              </w:rPr>
            </w:pPr>
          </w:p>
        </w:tc>
        <w:tc>
          <w:tcPr>
            <w:tcW w:w="0" w:type="auto"/>
            <w:tcBorders>
              <w:bottom w:val="single" w:sz="4" w:space="0" w:color="auto"/>
            </w:tcBorders>
            <w:noWrap/>
            <w:vAlign w:val="center"/>
            <w:hideMark/>
          </w:tcPr>
          <w:p w14:paraId="0A92C345" w14:textId="77777777" w:rsidR="00BF3E6A" w:rsidRPr="006711BB" w:rsidRDefault="00BF3E6A" w:rsidP="00D45512">
            <w:pPr>
              <w:rPr>
                <w:rFonts w:ascii="Times New Roman" w:eastAsia="Times New Roman" w:hAnsi="Times New Roman" w:cs="Times New Roman"/>
                <w:bCs/>
                <w:color w:val="000000"/>
                <w:lang w:val="en-GB"/>
              </w:rPr>
            </w:pPr>
            <w:r w:rsidRPr="006711BB">
              <w:rPr>
                <w:rFonts w:ascii="Times New Roman" w:eastAsia="Times New Roman" w:hAnsi="Times New Roman" w:cs="Times New Roman"/>
                <w:color w:val="000000"/>
                <w:lang w:val="en-GB"/>
              </w:rPr>
              <w:t>35.6% (156)</w:t>
            </w:r>
          </w:p>
        </w:tc>
      </w:tr>
      <w:tr w:rsidR="00BF3E6A" w:rsidRPr="006711BB" w14:paraId="2A80CD44" w14:textId="77777777" w:rsidTr="00885C57">
        <w:trPr>
          <w:trHeight w:val="255"/>
          <w:jc w:val="center"/>
        </w:trPr>
        <w:tc>
          <w:tcPr>
            <w:tcW w:w="0" w:type="auto"/>
            <w:tcBorders>
              <w:bottom w:val="single" w:sz="4" w:space="0" w:color="auto"/>
            </w:tcBorders>
            <w:noWrap/>
            <w:vAlign w:val="center"/>
            <w:hideMark/>
          </w:tcPr>
          <w:p w14:paraId="025C6C9B" w14:textId="77777777" w:rsidR="00BF3E6A" w:rsidRPr="006711BB" w:rsidRDefault="00BF3E6A" w:rsidP="00D45512">
            <w:pPr>
              <w:rPr>
                <w:rFonts w:ascii="Times New Roman" w:eastAsia="Times New Roman" w:hAnsi="Times New Roman" w:cs="Times New Roman"/>
                <w:color w:val="000000"/>
                <w:lang w:val="en-GB"/>
              </w:rPr>
            </w:pPr>
            <w:r w:rsidRPr="006711BB">
              <w:rPr>
                <w:rFonts w:ascii="Times New Roman" w:eastAsia="Times New Roman" w:hAnsi="Times New Roman" w:cs="Times New Roman"/>
                <w:color w:val="000000"/>
                <w:lang w:val="en-GB"/>
              </w:rPr>
              <w:t>Wave 2</w:t>
            </w:r>
          </w:p>
        </w:tc>
        <w:tc>
          <w:tcPr>
            <w:tcW w:w="0" w:type="auto"/>
            <w:tcBorders>
              <w:bottom w:val="single" w:sz="4" w:space="0" w:color="auto"/>
            </w:tcBorders>
            <w:noWrap/>
            <w:vAlign w:val="center"/>
            <w:hideMark/>
          </w:tcPr>
          <w:p w14:paraId="2EBF1C60" w14:textId="77777777" w:rsidR="00BF3E6A" w:rsidRPr="006711BB" w:rsidRDefault="00BF3E6A" w:rsidP="00D45512">
            <w:pPr>
              <w:rPr>
                <w:rFonts w:ascii="Times New Roman" w:eastAsia="Times New Roman" w:hAnsi="Times New Roman" w:cs="Times New Roman"/>
                <w:color w:val="000000"/>
                <w:lang w:val="en-GB"/>
              </w:rPr>
            </w:pPr>
          </w:p>
        </w:tc>
        <w:tc>
          <w:tcPr>
            <w:tcW w:w="0" w:type="auto"/>
            <w:tcBorders>
              <w:bottom w:val="single" w:sz="4" w:space="0" w:color="auto"/>
            </w:tcBorders>
            <w:noWrap/>
            <w:vAlign w:val="center"/>
            <w:hideMark/>
          </w:tcPr>
          <w:p w14:paraId="74B04CD7" w14:textId="77777777" w:rsidR="00BF3E6A" w:rsidRPr="006711BB" w:rsidRDefault="00BF3E6A" w:rsidP="00D45512">
            <w:pPr>
              <w:rPr>
                <w:rFonts w:ascii="Times New Roman" w:eastAsia="Times New Roman" w:hAnsi="Times New Roman" w:cs="Times New Roman"/>
                <w:iCs/>
                <w:color w:val="000000"/>
                <w:lang w:val="en-GB"/>
              </w:rPr>
            </w:pPr>
            <w:r w:rsidRPr="006711BB">
              <w:rPr>
                <w:rFonts w:ascii="Times New Roman" w:eastAsia="Times New Roman" w:hAnsi="Times New Roman" w:cs="Times New Roman"/>
                <w:color w:val="000000"/>
                <w:lang w:val="en-GB"/>
              </w:rPr>
              <w:t>30.4% (133)</w:t>
            </w:r>
          </w:p>
        </w:tc>
      </w:tr>
      <w:tr w:rsidR="00BF3E6A" w:rsidRPr="006711BB" w14:paraId="568AA7B6" w14:textId="77777777" w:rsidTr="00885C57">
        <w:trPr>
          <w:trHeight w:val="255"/>
          <w:jc w:val="center"/>
        </w:trPr>
        <w:tc>
          <w:tcPr>
            <w:tcW w:w="0" w:type="auto"/>
            <w:tcBorders>
              <w:bottom w:val="single" w:sz="4" w:space="0" w:color="auto"/>
            </w:tcBorders>
            <w:noWrap/>
            <w:vAlign w:val="center"/>
            <w:hideMark/>
          </w:tcPr>
          <w:p w14:paraId="2A4F789B" w14:textId="77777777" w:rsidR="00BF3E6A" w:rsidRPr="006711BB" w:rsidRDefault="00BF3E6A" w:rsidP="00D45512">
            <w:pPr>
              <w:rPr>
                <w:rFonts w:ascii="Times New Roman" w:eastAsia="Times New Roman" w:hAnsi="Times New Roman" w:cs="Times New Roman"/>
                <w:i/>
                <w:color w:val="000000"/>
                <w:lang w:val="en-GB"/>
              </w:rPr>
            </w:pPr>
            <w:r w:rsidRPr="006711BB">
              <w:rPr>
                <w:rFonts w:ascii="Times New Roman" w:eastAsia="Times New Roman" w:hAnsi="Times New Roman" w:cs="Times New Roman"/>
                <w:color w:val="000000"/>
                <w:lang w:val="en-GB"/>
              </w:rPr>
              <w:t>Wave 3</w:t>
            </w:r>
          </w:p>
        </w:tc>
        <w:tc>
          <w:tcPr>
            <w:tcW w:w="0" w:type="auto"/>
            <w:tcBorders>
              <w:bottom w:val="single" w:sz="4" w:space="0" w:color="auto"/>
            </w:tcBorders>
            <w:noWrap/>
            <w:vAlign w:val="center"/>
            <w:hideMark/>
          </w:tcPr>
          <w:p w14:paraId="45D2900D" w14:textId="77777777" w:rsidR="00BF3E6A" w:rsidRPr="006711BB" w:rsidRDefault="00BF3E6A" w:rsidP="00D45512">
            <w:pPr>
              <w:rPr>
                <w:rFonts w:ascii="Times New Roman" w:eastAsia="Times New Roman" w:hAnsi="Times New Roman" w:cs="Times New Roman"/>
                <w:i/>
                <w:color w:val="000000"/>
                <w:lang w:val="en-GB"/>
              </w:rPr>
            </w:pPr>
          </w:p>
        </w:tc>
        <w:tc>
          <w:tcPr>
            <w:tcW w:w="0" w:type="auto"/>
            <w:tcBorders>
              <w:bottom w:val="single" w:sz="4" w:space="0" w:color="auto"/>
            </w:tcBorders>
            <w:noWrap/>
            <w:vAlign w:val="center"/>
            <w:hideMark/>
          </w:tcPr>
          <w:p w14:paraId="39ED0FF9" w14:textId="77777777" w:rsidR="00BF3E6A" w:rsidRPr="006711BB" w:rsidRDefault="00BF3E6A" w:rsidP="00D45512">
            <w:pPr>
              <w:rPr>
                <w:rFonts w:ascii="Times New Roman" w:eastAsia="Times New Roman" w:hAnsi="Times New Roman" w:cs="Times New Roman"/>
                <w:bCs/>
                <w:i/>
                <w:color w:val="000000"/>
                <w:lang w:val="en-GB"/>
              </w:rPr>
            </w:pPr>
            <w:r w:rsidRPr="006711BB">
              <w:rPr>
                <w:rFonts w:ascii="Times New Roman" w:eastAsia="Times New Roman" w:hAnsi="Times New Roman" w:cs="Times New Roman"/>
                <w:color w:val="000000"/>
                <w:lang w:val="en-GB"/>
              </w:rPr>
              <w:t>34.0% (149)</w:t>
            </w:r>
          </w:p>
        </w:tc>
      </w:tr>
    </w:tbl>
    <w:p w14:paraId="2050CC4F" w14:textId="77777777" w:rsidR="00A025DA" w:rsidRDefault="00A025DA" w:rsidP="00A025DA"/>
    <w:p w14:paraId="56BAA859" w14:textId="77777777" w:rsidR="003C4B2D" w:rsidRDefault="003C4B2D">
      <w:pPr>
        <w:sectPr w:rsidR="003C4B2D" w:rsidSect="0006596D">
          <w:headerReference w:type="default" r:id="rId7"/>
          <w:footerReference w:type="default" r:id="rId8"/>
          <w:pgSz w:w="11900" w:h="16840"/>
          <w:pgMar w:top="1418" w:right="1418" w:bottom="1418" w:left="1418" w:header="709" w:footer="709" w:gutter="0"/>
          <w:cols w:space="708"/>
          <w:docGrid w:linePitch="360"/>
        </w:sectPr>
      </w:pPr>
    </w:p>
    <w:p w14:paraId="51D93A45" w14:textId="77777777" w:rsidR="00B868D7" w:rsidRPr="00885C57" w:rsidRDefault="0099450F" w:rsidP="00885C57">
      <w:pPr>
        <w:spacing w:line="480" w:lineRule="auto"/>
        <w:jc w:val="center"/>
      </w:pPr>
      <w:r>
        <w:rPr>
          <w:b/>
        </w:rPr>
        <w:t>Table 3.</w:t>
      </w:r>
      <w:r>
        <w:t xml:space="preserve">  </w:t>
      </w:r>
      <w:r w:rsidR="005C0468">
        <w:t xml:space="preserve">Initial </w:t>
      </w:r>
      <w:r w:rsidR="003C4B2D">
        <w:t>models.</w:t>
      </w:r>
      <w:r w:rsidR="00885C57">
        <w:rPr>
          <w:vertAlign w:val="superscript"/>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850"/>
        <w:gridCol w:w="1850"/>
        <w:gridCol w:w="2005"/>
        <w:gridCol w:w="1810"/>
        <w:gridCol w:w="1527"/>
        <w:gridCol w:w="2003"/>
      </w:tblGrid>
      <w:tr w:rsidR="00B868D7" w:rsidRPr="003C4B2D" w14:paraId="6DCC971E" w14:textId="77777777" w:rsidTr="00885C57">
        <w:trPr>
          <w:trHeight w:val="284"/>
          <w:tblHeader/>
          <w:jc w:val="center"/>
        </w:trPr>
        <w:tc>
          <w:tcPr>
            <w:tcW w:w="0" w:type="auto"/>
            <w:vMerge w:val="restart"/>
            <w:shd w:val="clear" w:color="auto" w:fill="auto"/>
            <w:noWrap/>
            <w:vAlign w:val="center"/>
          </w:tcPr>
          <w:p w14:paraId="159D3E0A" w14:textId="77777777" w:rsidR="00B868D7" w:rsidRPr="003C4B2D" w:rsidRDefault="00B868D7" w:rsidP="00B868D7">
            <w:pPr>
              <w:rPr>
                <w:rFonts w:eastAsia="Times New Roman"/>
                <w:b/>
                <w:bCs/>
                <w:color w:val="000000"/>
                <w:sz w:val="20"/>
                <w:szCs w:val="20"/>
              </w:rPr>
            </w:pPr>
            <w:r w:rsidRPr="003C4B2D">
              <w:rPr>
                <w:rFonts w:eastAsia="Times New Roman"/>
                <w:b/>
                <w:bCs/>
                <w:color w:val="000000"/>
                <w:sz w:val="20"/>
                <w:szCs w:val="20"/>
              </w:rPr>
              <w:t>Variable</w:t>
            </w:r>
          </w:p>
        </w:tc>
        <w:tc>
          <w:tcPr>
            <w:tcW w:w="0" w:type="auto"/>
            <w:gridSpan w:val="2"/>
            <w:shd w:val="clear" w:color="auto" w:fill="auto"/>
            <w:noWrap/>
            <w:vAlign w:val="center"/>
          </w:tcPr>
          <w:p w14:paraId="4C61B85C" w14:textId="77777777" w:rsidR="00B868D7" w:rsidRPr="00B868D7" w:rsidRDefault="00B868D7" w:rsidP="00B868D7">
            <w:pPr>
              <w:rPr>
                <w:rFonts w:eastAsia="Times New Roman"/>
                <w:b/>
                <w:color w:val="000000"/>
                <w:sz w:val="20"/>
                <w:szCs w:val="20"/>
              </w:rPr>
            </w:pPr>
            <w:r w:rsidRPr="00B868D7">
              <w:rPr>
                <w:rFonts w:eastAsia="Times New Roman"/>
                <w:b/>
                <w:color w:val="000000"/>
                <w:sz w:val="20"/>
                <w:szCs w:val="20"/>
              </w:rPr>
              <w:t>UAI</w:t>
            </w:r>
          </w:p>
        </w:tc>
        <w:tc>
          <w:tcPr>
            <w:tcW w:w="0" w:type="auto"/>
            <w:gridSpan w:val="2"/>
            <w:vAlign w:val="center"/>
          </w:tcPr>
          <w:p w14:paraId="5BEA7A23" w14:textId="77777777" w:rsidR="00B868D7" w:rsidRPr="00B868D7" w:rsidRDefault="00B868D7" w:rsidP="00B868D7">
            <w:pPr>
              <w:rPr>
                <w:rFonts w:eastAsia="Times New Roman"/>
                <w:b/>
                <w:color w:val="000000"/>
                <w:sz w:val="20"/>
                <w:szCs w:val="20"/>
              </w:rPr>
            </w:pPr>
            <w:r w:rsidRPr="00B868D7">
              <w:rPr>
                <w:rFonts w:eastAsia="Times New Roman"/>
                <w:b/>
                <w:color w:val="000000"/>
                <w:sz w:val="20"/>
                <w:szCs w:val="20"/>
              </w:rPr>
              <w:t>Pleasure</w:t>
            </w:r>
          </w:p>
        </w:tc>
        <w:tc>
          <w:tcPr>
            <w:tcW w:w="0" w:type="auto"/>
            <w:gridSpan w:val="2"/>
            <w:vAlign w:val="center"/>
          </w:tcPr>
          <w:p w14:paraId="4D5C6CF3" w14:textId="77777777" w:rsidR="00B868D7" w:rsidRPr="00B868D7" w:rsidRDefault="00B868D7" w:rsidP="00B868D7">
            <w:pPr>
              <w:rPr>
                <w:rFonts w:eastAsia="Times New Roman"/>
                <w:b/>
                <w:color w:val="000000"/>
                <w:sz w:val="20"/>
                <w:szCs w:val="20"/>
              </w:rPr>
            </w:pPr>
            <w:r>
              <w:rPr>
                <w:rFonts w:eastAsia="Times New Roman"/>
                <w:b/>
                <w:color w:val="000000"/>
                <w:sz w:val="20"/>
                <w:szCs w:val="20"/>
              </w:rPr>
              <w:t>Control</w:t>
            </w:r>
          </w:p>
        </w:tc>
      </w:tr>
      <w:tr w:rsidR="00B868D7" w:rsidRPr="003C4B2D" w14:paraId="66AAFB61" w14:textId="77777777" w:rsidTr="00885C57">
        <w:trPr>
          <w:trHeight w:val="284"/>
          <w:tblHeader/>
          <w:jc w:val="center"/>
        </w:trPr>
        <w:tc>
          <w:tcPr>
            <w:tcW w:w="0" w:type="auto"/>
            <w:vMerge/>
            <w:shd w:val="clear" w:color="auto" w:fill="auto"/>
            <w:noWrap/>
            <w:vAlign w:val="center"/>
          </w:tcPr>
          <w:p w14:paraId="5CCE48DE" w14:textId="77777777" w:rsidR="00B868D7" w:rsidRPr="003C4B2D" w:rsidRDefault="00B868D7" w:rsidP="00B868D7">
            <w:pPr>
              <w:rPr>
                <w:rFonts w:eastAsia="Times New Roman"/>
                <w:b/>
                <w:bCs/>
                <w:color w:val="000000"/>
                <w:sz w:val="20"/>
                <w:szCs w:val="20"/>
              </w:rPr>
            </w:pPr>
          </w:p>
        </w:tc>
        <w:tc>
          <w:tcPr>
            <w:tcW w:w="0" w:type="auto"/>
            <w:shd w:val="clear" w:color="auto" w:fill="auto"/>
            <w:noWrap/>
            <w:vAlign w:val="center"/>
          </w:tcPr>
          <w:p w14:paraId="70CE46EF" w14:textId="77777777" w:rsidR="00B868D7" w:rsidRPr="003C4B2D" w:rsidRDefault="00B868D7" w:rsidP="00B868D7">
            <w:pPr>
              <w:rPr>
                <w:rFonts w:eastAsia="Times New Roman"/>
                <w:color w:val="000000"/>
                <w:sz w:val="20"/>
                <w:szCs w:val="20"/>
              </w:rPr>
            </w:pPr>
            <w:r w:rsidRPr="003C4B2D">
              <w:rPr>
                <w:rFonts w:eastAsia="Times New Roman"/>
                <w:color w:val="000000"/>
                <w:sz w:val="20"/>
                <w:szCs w:val="20"/>
              </w:rPr>
              <w:t>OR (95% CI)</w:t>
            </w:r>
          </w:p>
        </w:tc>
        <w:tc>
          <w:tcPr>
            <w:tcW w:w="0" w:type="auto"/>
            <w:shd w:val="clear" w:color="auto" w:fill="auto"/>
            <w:noWrap/>
            <w:vAlign w:val="center"/>
          </w:tcPr>
          <w:p w14:paraId="34843A4F" w14:textId="77777777" w:rsidR="00B868D7" w:rsidRPr="003C4B2D" w:rsidRDefault="00B868D7" w:rsidP="00B868D7">
            <w:pPr>
              <w:rPr>
                <w:rFonts w:eastAsia="Times New Roman"/>
                <w:color w:val="000000"/>
                <w:sz w:val="20"/>
                <w:szCs w:val="20"/>
              </w:rPr>
            </w:pPr>
            <w:r w:rsidRPr="003C4B2D">
              <w:rPr>
                <w:rFonts w:eastAsia="Times New Roman"/>
                <w:color w:val="000000"/>
                <w:sz w:val="20"/>
                <w:szCs w:val="20"/>
              </w:rPr>
              <w:t>Intercept (95% CI)</w:t>
            </w:r>
          </w:p>
        </w:tc>
        <w:tc>
          <w:tcPr>
            <w:tcW w:w="0" w:type="auto"/>
            <w:vAlign w:val="center"/>
          </w:tcPr>
          <w:p w14:paraId="4FBDA95D" w14:textId="77777777" w:rsidR="00B868D7" w:rsidRPr="003C4B2D" w:rsidRDefault="00B868D7" w:rsidP="00B868D7">
            <w:pPr>
              <w:rPr>
                <w:rFonts w:eastAsia="Times New Roman"/>
                <w:color w:val="000000"/>
                <w:sz w:val="20"/>
                <w:szCs w:val="20"/>
              </w:rPr>
            </w:pPr>
            <w:r w:rsidRPr="003C4B2D">
              <w:rPr>
                <w:rFonts w:eastAsia="Times New Roman"/>
                <w:color w:val="000000"/>
                <w:sz w:val="20"/>
                <w:szCs w:val="20"/>
              </w:rPr>
              <w:t>Beta (95% CI)</w:t>
            </w:r>
          </w:p>
        </w:tc>
        <w:tc>
          <w:tcPr>
            <w:tcW w:w="0" w:type="auto"/>
            <w:vAlign w:val="center"/>
          </w:tcPr>
          <w:p w14:paraId="3A172542" w14:textId="77777777" w:rsidR="00B868D7" w:rsidRPr="003C4B2D" w:rsidRDefault="00B868D7" w:rsidP="00B868D7">
            <w:pPr>
              <w:rPr>
                <w:rFonts w:eastAsia="Times New Roman"/>
                <w:color w:val="000000"/>
                <w:sz w:val="20"/>
                <w:szCs w:val="20"/>
              </w:rPr>
            </w:pPr>
            <w:r w:rsidRPr="003C4B2D">
              <w:rPr>
                <w:rFonts w:eastAsia="Times New Roman"/>
                <w:color w:val="000000"/>
                <w:sz w:val="20"/>
                <w:szCs w:val="20"/>
              </w:rPr>
              <w:t>Intercept (95% CI)</w:t>
            </w:r>
          </w:p>
        </w:tc>
        <w:tc>
          <w:tcPr>
            <w:tcW w:w="0" w:type="auto"/>
            <w:vAlign w:val="center"/>
          </w:tcPr>
          <w:p w14:paraId="24FD31F7" w14:textId="77777777" w:rsidR="00B868D7" w:rsidRPr="003C4B2D" w:rsidRDefault="00B868D7" w:rsidP="00B868D7">
            <w:pPr>
              <w:rPr>
                <w:rFonts w:eastAsia="Times New Roman"/>
                <w:color w:val="000000"/>
                <w:sz w:val="20"/>
                <w:szCs w:val="20"/>
              </w:rPr>
            </w:pPr>
            <w:r w:rsidRPr="003C4B2D">
              <w:rPr>
                <w:rFonts w:eastAsia="Times New Roman"/>
                <w:color w:val="000000"/>
                <w:sz w:val="20"/>
                <w:szCs w:val="20"/>
              </w:rPr>
              <w:t>OR (95% CI)</w:t>
            </w:r>
          </w:p>
        </w:tc>
        <w:tc>
          <w:tcPr>
            <w:tcW w:w="0" w:type="auto"/>
            <w:vAlign w:val="center"/>
          </w:tcPr>
          <w:p w14:paraId="2072942B" w14:textId="77777777" w:rsidR="00B868D7" w:rsidRPr="003C4B2D" w:rsidRDefault="00B868D7" w:rsidP="00B868D7">
            <w:pPr>
              <w:rPr>
                <w:rFonts w:eastAsia="Times New Roman"/>
                <w:color w:val="000000"/>
                <w:sz w:val="20"/>
                <w:szCs w:val="20"/>
              </w:rPr>
            </w:pPr>
            <w:r w:rsidRPr="003C4B2D">
              <w:rPr>
                <w:rFonts w:eastAsia="Times New Roman"/>
                <w:color w:val="000000"/>
                <w:sz w:val="20"/>
                <w:szCs w:val="20"/>
              </w:rPr>
              <w:t>Intercept (95% CI)</w:t>
            </w:r>
          </w:p>
        </w:tc>
      </w:tr>
      <w:tr w:rsidR="003C4B2D" w:rsidRPr="003C4B2D" w14:paraId="7D707BD0" w14:textId="77777777" w:rsidTr="00885C57">
        <w:trPr>
          <w:trHeight w:val="284"/>
          <w:tblHeader/>
          <w:jc w:val="center"/>
        </w:trPr>
        <w:tc>
          <w:tcPr>
            <w:tcW w:w="0" w:type="auto"/>
            <w:shd w:val="clear" w:color="auto" w:fill="auto"/>
            <w:noWrap/>
            <w:vAlign w:val="center"/>
            <w:hideMark/>
          </w:tcPr>
          <w:p w14:paraId="487A9633" w14:textId="77777777" w:rsidR="003C4B2D" w:rsidRPr="003C4B2D" w:rsidRDefault="001A30A7" w:rsidP="00B868D7">
            <w:pPr>
              <w:rPr>
                <w:rFonts w:eastAsia="Times New Roman"/>
                <w:b/>
                <w:bCs/>
                <w:color w:val="000000"/>
                <w:sz w:val="20"/>
                <w:szCs w:val="20"/>
              </w:rPr>
            </w:pPr>
            <w:r>
              <w:rPr>
                <w:rFonts w:eastAsia="Times New Roman"/>
                <w:b/>
                <w:bCs/>
                <w:color w:val="000000"/>
                <w:sz w:val="20"/>
                <w:szCs w:val="20"/>
              </w:rPr>
              <w:t>Drug</w:t>
            </w:r>
            <w:r w:rsidR="003C4B2D" w:rsidRPr="003C4B2D">
              <w:rPr>
                <w:rFonts w:eastAsia="Times New Roman"/>
                <w:b/>
                <w:bCs/>
                <w:color w:val="000000"/>
                <w:sz w:val="20"/>
                <w:szCs w:val="20"/>
              </w:rPr>
              <w:t xml:space="preserve"> use by respondent</w:t>
            </w:r>
          </w:p>
        </w:tc>
        <w:tc>
          <w:tcPr>
            <w:tcW w:w="0" w:type="auto"/>
            <w:shd w:val="clear" w:color="auto" w:fill="auto"/>
            <w:noWrap/>
            <w:vAlign w:val="center"/>
            <w:hideMark/>
          </w:tcPr>
          <w:p w14:paraId="21E0F3D4"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1.73* (1.12, 2.70)</w:t>
            </w:r>
          </w:p>
        </w:tc>
        <w:tc>
          <w:tcPr>
            <w:tcW w:w="0" w:type="auto"/>
            <w:shd w:val="clear" w:color="auto" w:fill="auto"/>
            <w:noWrap/>
            <w:vAlign w:val="center"/>
            <w:hideMark/>
          </w:tcPr>
          <w:p w14:paraId="4DF6C290"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0.41*** (0.28, 0.60)</w:t>
            </w:r>
          </w:p>
        </w:tc>
        <w:tc>
          <w:tcPr>
            <w:tcW w:w="0" w:type="auto"/>
            <w:vAlign w:val="center"/>
          </w:tcPr>
          <w:p w14:paraId="0E92F125"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0.25 (-0.09, 0.59)</w:t>
            </w:r>
          </w:p>
        </w:tc>
        <w:tc>
          <w:tcPr>
            <w:tcW w:w="0" w:type="auto"/>
            <w:vAlign w:val="center"/>
          </w:tcPr>
          <w:p w14:paraId="3639E252"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6.61*** (6.33, 6.89)</w:t>
            </w:r>
          </w:p>
        </w:tc>
        <w:tc>
          <w:tcPr>
            <w:tcW w:w="0" w:type="auto"/>
            <w:vAlign w:val="center"/>
          </w:tcPr>
          <w:p w14:paraId="65AC415F"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0.62 (0.31, 1.22)</w:t>
            </w:r>
          </w:p>
        </w:tc>
        <w:tc>
          <w:tcPr>
            <w:tcW w:w="0" w:type="auto"/>
            <w:vAlign w:val="center"/>
          </w:tcPr>
          <w:p w14:paraId="1C54D4B2"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10.46*** (5.71, 19.16)</w:t>
            </w:r>
          </w:p>
        </w:tc>
      </w:tr>
      <w:tr w:rsidR="003C4B2D" w:rsidRPr="003C4B2D" w14:paraId="5B9147A3" w14:textId="77777777" w:rsidTr="00885C57">
        <w:trPr>
          <w:trHeight w:val="284"/>
          <w:tblHeader/>
          <w:jc w:val="center"/>
        </w:trPr>
        <w:tc>
          <w:tcPr>
            <w:tcW w:w="0" w:type="auto"/>
            <w:shd w:val="clear" w:color="auto" w:fill="auto"/>
            <w:noWrap/>
            <w:vAlign w:val="center"/>
            <w:hideMark/>
          </w:tcPr>
          <w:p w14:paraId="5F4AE1E2" w14:textId="77777777" w:rsidR="003C4B2D" w:rsidRPr="003C4B2D" w:rsidRDefault="001A30A7" w:rsidP="00B868D7">
            <w:pPr>
              <w:rPr>
                <w:rFonts w:eastAsia="Times New Roman"/>
                <w:color w:val="000000"/>
                <w:sz w:val="20"/>
                <w:szCs w:val="20"/>
              </w:rPr>
            </w:pPr>
            <w:r>
              <w:rPr>
                <w:rFonts w:eastAsia="Times New Roman"/>
                <w:b/>
                <w:bCs/>
                <w:color w:val="000000"/>
                <w:sz w:val="20"/>
                <w:szCs w:val="20"/>
              </w:rPr>
              <w:t>Drug</w:t>
            </w:r>
            <w:r w:rsidR="003C4B2D" w:rsidRPr="003C4B2D">
              <w:rPr>
                <w:rFonts w:eastAsia="Times New Roman"/>
                <w:b/>
                <w:bCs/>
                <w:color w:val="000000"/>
                <w:sz w:val="20"/>
                <w:szCs w:val="20"/>
              </w:rPr>
              <w:t xml:space="preserve"> use by partner</w:t>
            </w:r>
          </w:p>
        </w:tc>
        <w:tc>
          <w:tcPr>
            <w:tcW w:w="0" w:type="auto"/>
            <w:shd w:val="clear" w:color="000000" w:fill="D9D9D9"/>
            <w:noWrap/>
            <w:vAlign w:val="center"/>
            <w:hideMark/>
          </w:tcPr>
          <w:p w14:paraId="56C876BD" w14:textId="77777777" w:rsidR="003C4B2D" w:rsidRPr="003C4B2D" w:rsidRDefault="003C4B2D" w:rsidP="00B868D7">
            <w:pPr>
              <w:rPr>
                <w:rFonts w:eastAsia="Times New Roman"/>
                <w:color w:val="000000"/>
                <w:sz w:val="20"/>
                <w:szCs w:val="20"/>
              </w:rPr>
            </w:pPr>
          </w:p>
        </w:tc>
        <w:tc>
          <w:tcPr>
            <w:tcW w:w="0" w:type="auto"/>
            <w:shd w:val="clear" w:color="auto" w:fill="auto"/>
            <w:noWrap/>
            <w:vAlign w:val="center"/>
            <w:hideMark/>
          </w:tcPr>
          <w:p w14:paraId="6380101E"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0.45*** (0.31, 0.66)</w:t>
            </w:r>
          </w:p>
        </w:tc>
        <w:tc>
          <w:tcPr>
            <w:tcW w:w="0" w:type="auto"/>
            <w:shd w:val="clear" w:color="auto" w:fill="D9D9D9" w:themeFill="background1" w:themeFillShade="D9"/>
            <w:vAlign w:val="center"/>
          </w:tcPr>
          <w:p w14:paraId="42F73879"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vAlign w:val="center"/>
          </w:tcPr>
          <w:p w14:paraId="213E512D"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6.86*** (6.58, 7.15)</w:t>
            </w:r>
          </w:p>
        </w:tc>
        <w:tc>
          <w:tcPr>
            <w:tcW w:w="0" w:type="auto"/>
            <w:shd w:val="clear" w:color="auto" w:fill="D9D9D9" w:themeFill="background1" w:themeFillShade="D9"/>
            <w:vAlign w:val="center"/>
          </w:tcPr>
          <w:p w14:paraId="6EBCEF4E"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vAlign w:val="center"/>
          </w:tcPr>
          <w:p w14:paraId="613579DF"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10.37*** (5.54, 19.41)</w:t>
            </w:r>
          </w:p>
        </w:tc>
      </w:tr>
      <w:tr w:rsidR="003C4B2D" w:rsidRPr="003C4B2D" w14:paraId="5B2B43F9" w14:textId="77777777" w:rsidTr="00885C57">
        <w:trPr>
          <w:trHeight w:val="284"/>
          <w:tblHeader/>
          <w:jc w:val="center"/>
        </w:trPr>
        <w:tc>
          <w:tcPr>
            <w:tcW w:w="0" w:type="auto"/>
            <w:shd w:val="clear" w:color="auto" w:fill="auto"/>
            <w:noWrap/>
            <w:vAlign w:val="center"/>
            <w:hideMark/>
          </w:tcPr>
          <w:p w14:paraId="6F761A12" w14:textId="77777777" w:rsidR="003C4B2D" w:rsidRPr="003C4B2D" w:rsidRDefault="003C4B2D" w:rsidP="00B868D7">
            <w:pPr>
              <w:rPr>
                <w:rFonts w:eastAsia="Times New Roman"/>
                <w:b/>
                <w:bCs/>
                <w:color w:val="000000"/>
                <w:sz w:val="20"/>
                <w:szCs w:val="20"/>
              </w:rPr>
            </w:pPr>
            <w:r w:rsidRPr="003C4B2D">
              <w:rPr>
                <w:rFonts w:eastAsia="Times New Roman"/>
                <w:color w:val="000000"/>
                <w:sz w:val="20"/>
                <w:szCs w:val="20"/>
              </w:rPr>
              <w:t xml:space="preserve">No </w:t>
            </w:r>
            <w:r w:rsidR="001A30A7">
              <w:rPr>
                <w:rFonts w:eastAsia="Times New Roman"/>
                <w:color w:val="000000"/>
                <w:sz w:val="20"/>
                <w:szCs w:val="20"/>
              </w:rPr>
              <w:t>drug</w:t>
            </w:r>
            <w:r w:rsidRPr="003C4B2D">
              <w:rPr>
                <w:rFonts w:eastAsia="Times New Roman"/>
                <w:color w:val="000000"/>
                <w:sz w:val="20"/>
                <w:szCs w:val="20"/>
              </w:rPr>
              <w:t xml:space="preserve"> use</w:t>
            </w:r>
          </w:p>
        </w:tc>
        <w:tc>
          <w:tcPr>
            <w:tcW w:w="0" w:type="auto"/>
            <w:shd w:val="clear" w:color="auto" w:fill="auto"/>
            <w:noWrap/>
            <w:vAlign w:val="center"/>
            <w:hideMark/>
          </w:tcPr>
          <w:p w14:paraId="20D306EC" w14:textId="77777777" w:rsidR="003C4B2D" w:rsidRPr="003C4B2D" w:rsidRDefault="003C4B2D" w:rsidP="00B868D7">
            <w:pPr>
              <w:rPr>
                <w:rFonts w:eastAsia="Times New Roman"/>
                <w:b/>
                <w:bCs/>
                <w:color w:val="000000"/>
                <w:sz w:val="20"/>
                <w:szCs w:val="20"/>
              </w:rPr>
            </w:pPr>
            <w:r w:rsidRPr="003C4B2D">
              <w:rPr>
                <w:rFonts w:eastAsia="Times New Roman"/>
                <w:color w:val="000000"/>
                <w:sz w:val="20"/>
                <w:szCs w:val="20"/>
              </w:rPr>
              <w:t>Reference</w:t>
            </w:r>
          </w:p>
        </w:tc>
        <w:tc>
          <w:tcPr>
            <w:tcW w:w="0" w:type="auto"/>
            <w:shd w:val="clear" w:color="000000" w:fill="D9D9D9"/>
            <w:noWrap/>
            <w:vAlign w:val="center"/>
            <w:hideMark/>
          </w:tcPr>
          <w:p w14:paraId="5ABD523E"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2C08EB71"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vAlign w:val="center"/>
          </w:tcPr>
          <w:p w14:paraId="6D3D1C80"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5C7B3B28"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vAlign w:val="center"/>
          </w:tcPr>
          <w:p w14:paraId="7E9953A8" w14:textId="77777777" w:rsidR="003C4B2D" w:rsidRPr="003C4B2D" w:rsidRDefault="003C4B2D" w:rsidP="00B868D7">
            <w:pPr>
              <w:rPr>
                <w:rFonts w:eastAsia="Times New Roman"/>
                <w:color w:val="000000"/>
                <w:sz w:val="20"/>
                <w:szCs w:val="20"/>
              </w:rPr>
            </w:pPr>
          </w:p>
        </w:tc>
      </w:tr>
      <w:tr w:rsidR="003C4B2D" w:rsidRPr="003C4B2D" w14:paraId="563AC53E" w14:textId="77777777" w:rsidTr="00885C57">
        <w:trPr>
          <w:trHeight w:val="284"/>
          <w:tblHeader/>
          <w:jc w:val="center"/>
        </w:trPr>
        <w:tc>
          <w:tcPr>
            <w:tcW w:w="0" w:type="auto"/>
            <w:shd w:val="clear" w:color="auto" w:fill="auto"/>
            <w:noWrap/>
            <w:vAlign w:val="center"/>
            <w:hideMark/>
          </w:tcPr>
          <w:p w14:paraId="25DB8FAF"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Don't know</w:t>
            </w:r>
          </w:p>
        </w:tc>
        <w:tc>
          <w:tcPr>
            <w:tcW w:w="0" w:type="auto"/>
            <w:shd w:val="clear" w:color="auto" w:fill="auto"/>
            <w:noWrap/>
            <w:vAlign w:val="center"/>
            <w:hideMark/>
          </w:tcPr>
          <w:p w14:paraId="7323F973"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1.33 (0.80, 2.23)</w:t>
            </w:r>
          </w:p>
        </w:tc>
        <w:tc>
          <w:tcPr>
            <w:tcW w:w="0" w:type="auto"/>
            <w:shd w:val="clear" w:color="000000" w:fill="D9D9D9"/>
            <w:noWrap/>
            <w:vAlign w:val="center"/>
            <w:hideMark/>
          </w:tcPr>
          <w:p w14:paraId="4625988E"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2B5A4918"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-0.50* (-0.91, -0.09)</w:t>
            </w:r>
          </w:p>
        </w:tc>
        <w:tc>
          <w:tcPr>
            <w:tcW w:w="0" w:type="auto"/>
            <w:shd w:val="clear" w:color="000000" w:fill="D9D9D9"/>
            <w:vAlign w:val="center"/>
          </w:tcPr>
          <w:p w14:paraId="41B2D87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0527104C"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0.78 (0.34, 1.77)</w:t>
            </w:r>
          </w:p>
        </w:tc>
        <w:tc>
          <w:tcPr>
            <w:tcW w:w="0" w:type="auto"/>
            <w:shd w:val="clear" w:color="000000" w:fill="D9D9D9"/>
            <w:vAlign w:val="center"/>
          </w:tcPr>
          <w:p w14:paraId="46A8D687"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r w:rsidR="003C4B2D" w:rsidRPr="003C4B2D" w14:paraId="277EB55B" w14:textId="77777777" w:rsidTr="00885C57">
        <w:trPr>
          <w:trHeight w:val="284"/>
          <w:tblHeader/>
          <w:jc w:val="center"/>
        </w:trPr>
        <w:tc>
          <w:tcPr>
            <w:tcW w:w="0" w:type="auto"/>
            <w:shd w:val="clear" w:color="auto" w:fill="auto"/>
            <w:noWrap/>
            <w:vAlign w:val="center"/>
            <w:hideMark/>
          </w:tcPr>
          <w:p w14:paraId="27ADD150"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Yes, but unsure what</w:t>
            </w:r>
          </w:p>
        </w:tc>
        <w:tc>
          <w:tcPr>
            <w:tcW w:w="0" w:type="auto"/>
            <w:shd w:val="clear" w:color="auto" w:fill="auto"/>
            <w:noWrap/>
            <w:vAlign w:val="center"/>
            <w:hideMark/>
          </w:tcPr>
          <w:p w14:paraId="5243B238"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1.33 (0.72, 2.46)</w:t>
            </w:r>
          </w:p>
        </w:tc>
        <w:tc>
          <w:tcPr>
            <w:tcW w:w="0" w:type="auto"/>
            <w:shd w:val="clear" w:color="000000" w:fill="D9D9D9"/>
            <w:noWrap/>
            <w:vAlign w:val="center"/>
            <w:hideMark/>
          </w:tcPr>
          <w:p w14:paraId="0A18E51D"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781A4A0C"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0.20 (-0.30, 0.69)</w:t>
            </w:r>
          </w:p>
        </w:tc>
        <w:tc>
          <w:tcPr>
            <w:tcW w:w="0" w:type="auto"/>
            <w:shd w:val="clear" w:color="000000" w:fill="D9D9D9"/>
            <w:vAlign w:val="center"/>
          </w:tcPr>
          <w:p w14:paraId="23979743"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0992A435" w14:textId="77777777" w:rsidR="003C4B2D" w:rsidRPr="003C4B2D" w:rsidRDefault="003C4B2D" w:rsidP="00B868D7">
            <w:pPr>
              <w:rPr>
                <w:rFonts w:eastAsia="Times New Roman"/>
                <w:i/>
                <w:iCs/>
                <w:color w:val="000000"/>
                <w:sz w:val="20"/>
                <w:szCs w:val="20"/>
              </w:rPr>
            </w:pPr>
            <w:r w:rsidRPr="003C4B2D">
              <w:rPr>
                <w:rFonts w:eastAsia="Times New Roman"/>
                <w:i/>
                <w:iCs/>
                <w:color w:val="000000"/>
                <w:sz w:val="20"/>
                <w:szCs w:val="20"/>
              </w:rPr>
              <w:t>0.47 (0.19, 1.13)</w:t>
            </w:r>
          </w:p>
        </w:tc>
        <w:tc>
          <w:tcPr>
            <w:tcW w:w="0" w:type="auto"/>
            <w:shd w:val="clear" w:color="000000" w:fill="D9D9D9"/>
            <w:vAlign w:val="center"/>
          </w:tcPr>
          <w:p w14:paraId="59B247F0"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r w:rsidR="003C4B2D" w:rsidRPr="003C4B2D" w14:paraId="67A8E33B" w14:textId="77777777" w:rsidTr="00885C57">
        <w:trPr>
          <w:trHeight w:val="284"/>
          <w:tblHeader/>
          <w:jc w:val="center"/>
        </w:trPr>
        <w:tc>
          <w:tcPr>
            <w:tcW w:w="0" w:type="auto"/>
            <w:shd w:val="clear" w:color="auto" w:fill="auto"/>
            <w:noWrap/>
            <w:vAlign w:val="center"/>
            <w:hideMark/>
          </w:tcPr>
          <w:p w14:paraId="43001E81"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Yes, specifically</w:t>
            </w:r>
          </w:p>
        </w:tc>
        <w:tc>
          <w:tcPr>
            <w:tcW w:w="0" w:type="auto"/>
            <w:shd w:val="clear" w:color="auto" w:fill="auto"/>
            <w:noWrap/>
            <w:vAlign w:val="center"/>
            <w:hideMark/>
          </w:tcPr>
          <w:p w14:paraId="769F0869"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1.71* (1.03, 2.83)</w:t>
            </w:r>
          </w:p>
        </w:tc>
        <w:tc>
          <w:tcPr>
            <w:tcW w:w="0" w:type="auto"/>
            <w:shd w:val="clear" w:color="000000" w:fill="D9D9D9"/>
            <w:noWrap/>
            <w:vAlign w:val="center"/>
            <w:hideMark/>
          </w:tcPr>
          <w:p w14:paraId="4E12A445"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3C34DC49"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0.08 (-0.32, 0.49)</w:t>
            </w:r>
          </w:p>
        </w:tc>
        <w:tc>
          <w:tcPr>
            <w:tcW w:w="0" w:type="auto"/>
            <w:shd w:val="clear" w:color="000000" w:fill="D9D9D9"/>
            <w:vAlign w:val="center"/>
          </w:tcPr>
          <w:p w14:paraId="52F3A19A"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678B7CEA"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0.63 (0.28, 1.39)</w:t>
            </w:r>
          </w:p>
        </w:tc>
        <w:tc>
          <w:tcPr>
            <w:tcW w:w="0" w:type="auto"/>
            <w:shd w:val="clear" w:color="000000" w:fill="D9D9D9"/>
            <w:vAlign w:val="center"/>
          </w:tcPr>
          <w:p w14:paraId="6D441364"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r w:rsidR="003C4B2D" w:rsidRPr="003C4B2D" w14:paraId="1B267282" w14:textId="77777777" w:rsidTr="00885C57">
        <w:trPr>
          <w:trHeight w:val="284"/>
          <w:tblHeader/>
          <w:jc w:val="center"/>
        </w:trPr>
        <w:tc>
          <w:tcPr>
            <w:tcW w:w="0" w:type="auto"/>
            <w:tcBorders>
              <w:bottom w:val="single" w:sz="4" w:space="0" w:color="auto"/>
            </w:tcBorders>
            <w:shd w:val="clear" w:color="auto" w:fill="auto"/>
            <w:noWrap/>
            <w:vAlign w:val="center"/>
            <w:hideMark/>
          </w:tcPr>
          <w:p w14:paraId="55222AAB" w14:textId="77777777" w:rsidR="003C4B2D" w:rsidRPr="003C4B2D" w:rsidRDefault="003C4B2D" w:rsidP="00B868D7">
            <w:pPr>
              <w:rPr>
                <w:rFonts w:eastAsia="Times New Roman"/>
                <w:color w:val="000000"/>
                <w:sz w:val="20"/>
                <w:szCs w:val="20"/>
              </w:rPr>
            </w:pPr>
            <w:r w:rsidRPr="003C4B2D">
              <w:rPr>
                <w:rFonts w:eastAsia="Times New Roman"/>
                <w:b/>
                <w:bCs/>
                <w:color w:val="000000"/>
                <w:sz w:val="20"/>
                <w:szCs w:val="20"/>
              </w:rPr>
              <w:t>Number of participants</w:t>
            </w:r>
          </w:p>
        </w:tc>
        <w:tc>
          <w:tcPr>
            <w:tcW w:w="0" w:type="auto"/>
            <w:tcBorders>
              <w:bottom w:val="single" w:sz="4" w:space="0" w:color="auto"/>
            </w:tcBorders>
            <w:shd w:val="clear" w:color="auto" w:fill="auto"/>
            <w:noWrap/>
            <w:vAlign w:val="center"/>
            <w:hideMark/>
          </w:tcPr>
          <w:p w14:paraId="1ACBD2F7"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1.04 (0.99, 1.08)</w:t>
            </w:r>
          </w:p>
        </w:tc>
        <w:tc>
          <w:tcPr>
            <w:tcW w:w="0" w:type="auto"/>
            <w:tcBorders>
              <w:bottom w:val="single" w:sz="4" w:space="0" w:color="auto"/>
            </w:tcBorders>
            <w:shd w:val="clear" w:color="auto" w:fill="auto"/>
            <w:noWrap/>
            <w:vAlign w:val="center"/>
            <w:hideMark/>
          </w:tcPr>
          <w:p w14:paraId="18691657"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0.52*** (0.39, 0.69)</w:t>
            </w:r>
          </w:p>
        </w:tc>
        <w:tc>
          <w:tcPr>
            <w:tcW w:w="0" w:type="auto"/>
            <w:tcBorders>
              <w:bottom w:val="single" w:sz="4" w:space="0" w:color="auto"/>
            </w:tcBorders>
            <w:shd w:val="clear" w:color="auto" w:fill="auto"/>
            <w:vAlign w:val="center"/>
          </w:tcPr>
          <w:p w14:paraId="128ABB75"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0.05** (0.02, 0.09)</w:t>
            </w:r>
          </w:p>
        </w:tc>
        <w:tc>
          <w:tcPr>
            <w:tcW w:w="0" w:type="auto"/>
            <w:tcBorders>
              <w:bottom w:val="single" w:sz="4" w:space="0" w:color="auto"/>
            </w:tcBorders>
            <w:vAlign w:val="center"/>
          </w:tcPr>
          <w:p w14:paraId="6F4645A7"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6.58*** (6.37, 6.79)</w:t>
            </w:r>
          </w:p>
        </w:tc>
        <w:tc>
          <w:tcPr>
            <w:tcW w:w="0" w:type="auto"/>
            <w:tcBorders>
              <w:bottom w:val="single" w:sz="4" w:space="0" w:color="auto"/>
            </w:tcBorders>
            <w:vAlign w:val="center"/>
          </w:tcPr>
          <w:p w14:paraId="75EB02D0"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1.11 (0.97, 1.27)</w:t>
            </w:r>
          </w:p>
        </w:tc>
        <w:tc>
          <w:tcPr>
            <w:tcW w:w="0" w:type="auto"/>
            <w:tcBorders>
              <w:bottom w:val="single" w:sz="4" w:space="0" w:color="auto"/>
            </w:tcBorders>
            <w:vAlign w:val="center"/>
          </w:tcPr>
          <w:p w14:paraId="53D7DC2C"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5.25*** (3.18, 8.68)</w:t>
            </w:r>
          </w:p>
        </w:tc>
      </w:tr>
      <w:tr w:rsidR="003C4B2D" w:rsidRPr="003C4B2D" w14:paraId="4FD88E53" w14:textId="77777777" w:rsidTr="00885C57">
        <w:trPr>
          <w:trHeight w:val="284"/>
          <w:tblHeader/>
          <w:jc w:val="center"/>
        </w:trPr>
        <w:tc>
          <w:tcPr>
            <w:tcW w:w="0" w:type="auto"/>
            <w:shd w:val="clear" w:color="auto" w:fill="auto"/>
            <w:noWrap/>
            <w:vAlign w:val="center"/>
            <w:hideMark/>
          </w:tcPr>
          <w:p w14:paraId="2D0395A2" w14:textId="77777777" w:rsidR="003C4B2D" w:rsidRPr="003C4B2D" w:rsidRDefault="00885C57" w:rsidP="00B868D7">
            <w:pPr>
              <w:rPr>
                <w:rFonts w:eastAsia="Times New Roman"/>
                <w:b/>
                <w:bCs/>
                <w:color w:val="000000"/>
                <w:sz w:val="20"/>
                <w:szCs w:val="20"/>
              </w:rPr>
            </w:pPr>
            <w:r>
              <w:rPr>
                <w:rFonts w:eastAsia="Times New Roman"/>
                <w:b/>
                <w:bCs/>
                <w:color w:val="000000"/>
                <w:sz w:val="20"/>
                <w:szCs w:val="20"/>
              </w:rPr>
              <w:t>HIV s</w:t>
            </w:r>
            <w:r w:rsidR="003C4B2D" w:rsidRPr="003C4B2D">
              <w:rPr>
                <w:rFonts w:eastAsia="Times New Roman"/>
                <w:b/>
                <w:bCs/>
                <w:color w:val="000000"/>
                <w:sz w:val="20"/>
                <w:szCs w:val="20"/>
              </w:rPr>
              <w:t>erodiscordance</w:t>
            </w:r>
          </w:p>
        </w:tc>
        <w:tc>
          <w:tcPr>
            <w:tcW w:w="0" w:type="auto"/>
            <w:shd w:val="clear" w:color="auto" w:fill="D9D9D9" w:themeFill="background1" w:themeFillShade="D9"/>
            <w:noWrap/>
            <w:vAlign w:val="center"/>
            <w:hideMark/>
          </w:tcPr>
          <w:p w14:paraId="7D90285D" w14:textId="77777777" w:rsidR="003C4B2D" w:rsidRPr="003C4B2D" w:rsidRDefault="003C4B2D" w:rsidP="00B868D7">
            <w:pPr>
              <w:rPr>
                <w:rFonts w:eastAsia="Times New Roman"/>
                <w:color w:val="000000"/>
                <w:sz w:val="20"/>
                <w:szCs w:val="20"/>
              </w:rPr>
            </w:pPr>
          </w:p>
        </w:tc>
        <w:tc>
          <w:tcPr>
            <w:tcW w:w="0" w:type="auto"/>
            <w:shd w:val="clear" w:color="000000" w:fill="auto"/>
            <w:noWrap/>
            <w:vAlign w:val="center"/>
            <w:hideMark/>
          </w:tcPr>
          <w:p w14:paraId="1E6960B0"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1.18 (0.78, 1.78)</w:t>
            </w:r>
          </w:p>
        </w:tc>
        <w:tc>
          <w:tcPr>
            <w:tcW w:w="0" w:type="auto"/>
            <w:shd w:val="clear" w:color="auto" w:fill="D9D9D9" w:themeFill="background1" w:themeFillShade="D9"/>
            <w:vAlign w:val="center"/>
          </w:tcPr>
          <w:p w14:paraId="4BAEFECD"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1371E78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7.04*** (6.70, 7.38)</w:t>
            </w:r>
          </w:p>
        </w:tc>
        <w:tc>
          <w:tcPr>
            <w:tcW w:w="0" w:type="auto"/>
            <w:shd w:val="clear" w:color="000000" w:fill="D9D9D9" w:themeFill="background1" w:themeFillShade="D9"/>
            <w:vAlign w:val="center"/>
          </w:tcPr>
          <w:p w14:paraId="13CBCC7C"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0C706B7F"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7.45*** (4.07, 13.66)</w:t>
            </w:r>
          </w:p>
        </w:tc>
      </w:tr>
      <w:tr w:rsidR="003C4B2D" w:rsidRPr="003C4B2D" w14:paraId="0FCD2231" w14:textId="77777777" w:rsidTr="00885C57">
        <w:trPr>
          <w:trHeight w:val="284"/>
          <w:tblHeader/>
          <w:jc w:val="center"/>
        </w:trPr>
        <w:tc>
          <w:tcPr>
            <w:tcW w:w="0" w:type="auto"/>
            <w:shd w:val="clear" w:color="auto" w:fill="auto"/>
            <w:noWrap/>
            <w:vAlign w:val="center"/>
            <w:hideMark/>
          </w:tcPr>
          <w:p w14:paraId="41D8DFEB" w14:textId="77777777" w:rsidR="003C4B2D" w:rsidRPr="003C4B2D" w:rsidRDefault="00B868D7" w:rsidP="00B868D7">
            <w:pPr>
              <w:rPr>
                <w:rFonts w:eastAsia="Times New Roman"/>
                <w:b/>
                <w:bCs/>
                <w:color w:val="000000"/>
                <w:sz w:val="20"/>
                <w:szCs w:val="20"/>
              </w:rPr>
            </w:pPr>
            <w:r>
              <w:rPr>
                <w:rFonts w:eastAsia="Times New Roman"/>
                <w:color w:val="000000"/>
                <w:sz w:val="20"/>
                <w:szCs w:val="20"/>
              </w:rPr>
              <w:t>Seroconcordant</w:t>
            </w:r>
          </w:p>
        </w:tc>
        <w:tc>
          <w:tcPr>
            <w:tcW w:w="0" w:type="auto"/>
            <w:shd w:val="clear" w:color="auto" w:fill="auto"/>
            <w:noWrap/>
            <w:vAlign w:val="center"/>
            <w:hideMark/>
          </w:tcPr>
          <w:p w14:paraId="38130513"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noWrap/>
            <w:vAlign w:val="center"/>
            <w:hideMark/>
          </w:tcPr>
          <w:p w14:paraId="4CB6876A"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1175BB5D"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vAlign w:val="center"/>
          </w:tcPr>
          <w:p w14:paraId="6CA187B2"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0BDF9840"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vAlign w:val="center"/>
          </w:tcPr>
          <w:p w14:paraId="1BE087F9"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r w:rsidR="003C4B2D" w:rsidRPr="003C4B2D" w14:paraId="683AECAA" w14:textId="77777777" w:rsidTr="00885C57">
        <w:trPr>
          <w:trHeight w:val="284"/>
          <w:tblHeader/>
          <w:jc w:val="center"/>
        </w:trPr>
        <w:tc>
          <w:tcPr>
            <w:tcW w:w="0" w:type="auto"/>
            <w:shd w:val="clear" w:color="auto" w:fill="auto"/>
            <w:noWrap/>
            <w:vAlign w:val="center"/>
          </w:tcPr>
          <w:p w14:paraId="4BA57742" w14:textId="77777777" w:rsidR="003C4B2D" w:rsidRPr="003C4B2D" w:rsidRDefault="00B868D7" w:rsidP="00B868D7">
            <w:pPr>
              <w:rPr>
                <w:rFonts w:eastAsia="Times New Roman"/>
                <w:b/>
                <w:bCs/>
                <w:color w:val="000000"/>
                <w:sz w:val="20"/>
                <w:szCs w:val="20"/>
              </w:rPr>
            </w:pPr>
            <w:r>
              <w:rPr>
                <w:rFonts w:eastAsia="Times New Roman"/>
                <w:color w:val="000000"/>
                <w:sz w:val="20"/>
                <w:szCs w:val="20"/>
              </w:rPr>
              <w:t>Unknown serostatus match</w:t>
            </w:r>
          </w:p>
        </w:tc>
        <w:tc>
          <w:tcPr>
            <w:tcW w:w="0" w:type="auto"/>
            <w:shd w:val="clear" w:color="auto" w:fill="auto"/>
            <w:noWrap/>
            <w:vAlign w:val="center"/>
          </w:tcPr>
          <w:p w14:paraId="25DD076E"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0.39*** (0.25, 0.63)</w:t>
            </w:r>
          </w:p>
        </w:tc>
        <w:tc>
          <w:tcPr>
            <w:tcW w:w="0" w:type="auto"/>
            <w:shd w:val="clear" w:color="000000" w:fill="D9D9D9"/>
            <w:noWrap/>
            <w:vAlign w:val="center"/>
          </w:tcPr>
          <w:p w14:paraId="2B72C261" w14:textId="77777777" w:rsidR="003C4B2D" w:rsidRPr="003C4B2D" w:rsidRDefault="003C4B2D" w:rsidP="00B868D7">
            <w:pPr>
              <w:rPr>
                <w:rFonts w:eastAsia="Times New Roman"/>
                <w:color w:val="000000"/>
                <w:sz w:val="20"/>
                <w:szCs w:val="20"/>
              </w:rPr>
            </w:pPr>
            <w:r w:rsidRPr="003C4B2D">
              <w:rPr>
                <w:rFonts w:eastAsia="Times New Roman"/>
                <w:b/>
                <w:bCs/>
                <w:color w:val="000000"/>
                <w:sz w:val="20"/>
                <w:szCs w:val="20"/>
              </w:rPr>
              <w:t> </w:t>
            </w:r>
          </w:p>
        </w:tc>
        <w:tc>
          <w:tcPr>
            <w:tcW w:w="0" w:type="auto"/>
            <w:shd w:val="clear" w:color="auto" w:fill="auto"/>
            <w:vAlign w:val="center"/>
          </w:tcPr>
          <w:p w14:paraId="6C97DEA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-0.38* (-0.76, -0.001)</w:t>
            </w:r>
          </w:p>
        </w:tc>
        <w:tc>
          <w:tcPr>
            <w:tcW w:w="0" w:type="auto"/>
            <w:shd w:val="clear" w:color="000000" w:fill="D9D9D9"/>
            <w:vAlign w:val="center"/>
          </w:tcPr>
          <w:p w14:paraId="19457739"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18FB955C"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1.00 (0.52, 1.92)</w:t>
            </w:r>
          </w:p>
        </w:tc>
        <w:tc>
          <w:tcPr>
            <w:tcW w:w="0" w:type="auto"/>
            <w:shd w:val="clear" w:color="000000" w:fill="D9D9D9"/>
            <w:vAlign w:val="center"/>
          </w:tcPr>
          <w:p w14:paraId="069DA120" w14:textId="77777777" w:rsidR="003C4B2D" w:rsidRPr="003C4B2D" w:rsidRDefault="003C4B2D" w:rsidP="00B868D7">
            <w:pPr>
              <w:rPr>
                <w:rFonts w:eastAsia="Times New Roman"/>
                <w:b/>
                <w:bCs/>
                <w:color w:val="000000"/>
                <w:sz w:val="20"/>
                <w:szCs w:val="20"/>
              </w:rPr>
            </w:pPr>
            <w:r w:rsidRPr="003C4B2D">
              <w:rPr>
                <w:rFonts w:eastAsia="Times New Roman"/>
                <w:b/>
                <w:bCs/>
                <w:color w:val="000000"/>
                <w:sz w:val="20"/>
                <w:szCs w:val="20"/>
              </w:rPr>
              <w:t> </w:t>
            </w:r>
          </w:p>
        </w:tc>
      </w:tr>
      <w:tr w:rsidR="003C4B2D" w:rsidRPr="003C4B2D" w14:paraId="70225692" w14:textId="77777777" w:rsidTr="00885C57">
        <w:trPr>
          <w:trHeight w:val="284"/>
          <w:tblHeader/>
          <w:jc w:val="center"/>
        </w:trPr>
        <w:tc>
          <w:tcPr>
            <w:tcW w:w="0" w:type="auto"/>
            <w:shd w:val="clear" w:color="auto" w:fill="auto"/>
            <w:noWrap/>
            <w:vAlign w:val="center"/>
          </w:tcPr>
          <w:p w14:paraId="37961DC2" w14:textId="77777777" w:rsidR="003C4B2D" w:rsidRPr="003C4B2D" w:rsidRDefault="00B868D7" w:rsidP="00B868D7">
            <w:pPr>
              <w:rPr>
                <w:rFonts w:eastAsia="Times New Roman"/>
                <w:color w:val="000000"/>
                <w:sz w:val="20"/>
                <w:szCs w:val="20"/>
              </w:rPr>
            </w:pPr>
            <w:r>
              <w:rPr>
                <w:rFonts w:eastAsia="Times New Roman"/>
                <w:color w:val="000000"/>
                <w:sz w:val="20"/>
                <w:szCs w:val="20"/>
              </w:rPr>
              <w:t>Serodiscordant</w:t>
            </w:r>
          </w:p>
        </w:tc>
        <w:tc>
          <w:tcPr>
            <w:tcW w:w="0" w:type="auto"/>
            <w:shd w:val="clear" w:color="auto" w:fill="auto"/>
            <w:noWrap/>
            <w:vAlign w:val="center"/>
          </w:tcPr>
          <w:p w14:paraId="150079D0"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0.62 (0.21, 1.81)</w:t>
            </w:r>
          </w:p>
        </w:tc>
        <w:tc>
          <w:tcPr>
            <w:tcW w:w="0" w:type="auto"/>
            <w:shd w:val="clear" w:color="000000" w:fill="D9D9D9"/>
            <w:noWrap/>
            <w:vAlign w:val="center"/>
          </w:tcPr>
          <w:p w14:paraId="4E4DEE5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1EBD47EA"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0.50 (-0.39, 1.39)</w:t>
            </w:r>
          </w:p>
        </w:tc>
        <w:tc>
          <w:tcPr>
            <w:tcW w:w="0" w:type="auto"/>
            <w:shd w:val="clear" w:color="000000" w:fill="D9D9D9"/>
            <w:vAlign w:val="center"/>
          </w:tcPr>
          <w:p w14:paraId="5E7C9A59" w14:textId="77777777" w:rsidR="003C4B2D" w:rsidRPr="003C4B2D" w:rsidRDefault="003C4B2D" w:rsidP="00B868D7">
            <w:pPr>
              <w:rPr>
                <w:rFonts w:eastAsia="Times New Roman"/>
                <w:b/>
                <w:bCs/>
                <w:color w:val="000000"/>
                <w:sz w:val="20"/>
                <w:szCs w:val="20"/>
              </w:rPr>
            </w:pPr>
            <w:r w:rsidRPr="003C4B2D">
              <w:rPr>
                <w:rFonts w:eastAsia="Times New Roman"/>
                <w:b/>
                <w:bCs/>
                <w:color w:val="000000"/>
                <w:sz w:val="20"/>
                <w:szCs w:val="20"/>
              </w:rPr>
              <w:t> </w:t>
            </w:r>
          </w:p>
        </w:tc>
        <w:tc>
          <w:tcPr>
            <w:tcW w:w="0" w:type="auto"/>
            <w:shd w:val="clear" w:color="000000" w:fill="auto"/>
            <w:vAlign w:val="center"/>
          </w:tcPr>
          <w:p w14:paraId="6D3A26F7"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1.02 (0.22, 4.84)</w:t>
            </w:r>
          </w:p>
        </w:tc>
        <w:tc>
          <w:tcPr>
            <w:tcW w:w="0" w:type="auto"/>
            <w:shd w:val="clear" w:color="000000" w:fill="D9D9D9"/>
            <w:vAlign w:val="center"/>
          </w:tcPr>
          <w:p w14:paraId="6AF5BB61"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r w:rsidR="003C4B2D" w:rsidRPr="003C4B2D" w14:paraId="2225CEDC" w14:textId="77777777" w:rsidTr="00885C57">
        <w:trPr>
          <w:trHeight w:val="284"/>
          <w:tblHeader/>
          <w:jc w:val="center"/>
        </w:trPr>
        <w:tc>
          <w:tcPr>
            <w:tcW w:w="0" w:type="auto"/>
            <w:shd w:val="clear" w:color="auto" w:fill="auto"/>
            <w:noWrap/>
            <w:vAlign w:val="center"/>
          </w:tcPr>
          <w:p w14:paraId="70601340" w14:textId="77777777" w:rsidR="003C4B2D" w:rsidRPr="003C4B2D" w:rsidRDefault="003C4B2D" w:rsidP="00B868D7">
            <w:pPr>
              <w:rPr>
                <w:rFonts w:eastAsia="Times New Roman"/>
                <w:color w:val="000000"/>
                <w:sz w:val="20"/>
                <w:szCs w:val="20"/>
              </w:rPr>
            </w:pPr>
            <w:r w:rsidRPr="003C4B2D">
              <w:rPr>
                <w:rFonts w:eastAsia="Times New Roman"/>
                <w:b/>
                <w:bCs/>
                <w:color w:val="000000"/>
                <w:sz w:val="20"/>
                <w:szCs w:val="20"/>
              </w:rPr>
              <w:t>Location of sex</w:t>
            </w:r>
          </w:p>
        </w:tc>
        <w:tc>
          <w:tcPr>
            <w:tcW w:w="0" w:type="auto"/>
            <w:shd w:val="clear" w:color="auto" w:fill="D9D9D9" w:themeFill="background1" w:themeFillShade="D9"/>
            <w:noWrap/>
            <w:vAlign w:val="center"/>
          </w:tcPr>
          <w:p w14:paraId="30CF73F7" w14:textId="77777777" w:rsidR="003C4B2D" w:rsidRPr="003C4B2D" w:rsidRDefault="003C4B2D" w:rsidP="00B868D7">
            <w:pPr>
              <w:rPr>
                <w:rFonts w:eastAsia="Times New Roman"/>
                <w:color w:val="000000"/>
                <w:sz w:val="20"/>
                <w:szCs w:val="20"/>
              </w:rPr>
            </w:pPr>
          </w:p>
        </w:tc>
        <w:tc>
          <w:tcPr>
            <w:tcW w:w="0" w:type="auto"/>
            <w:shd w:val="clear" w:color="000000" w:fill="auto"/>
            <w:noWrap/>
            <w:vAlign w:val="center"/>
          </w:tcPr>
          <w:p w14:paraId="21A08BFF" w14:textId="77777777" w:rsidR="003C4B2D" w:rsidRPr="003C4B2D" w:rsidRDefault="003C4B2D" w:rsidP="00B868D7">
            <w:pPr>
              <w:rPr>
                <w:rFonts w:eastAsia="Times New Roman"/>
                <w:b/>
                <w:bCs/>
                <w:color w:val="000000"/>
                <w:sz w:val="20"/>
                <w:szCs w:val="20"/>
              </w:rPr>
            </w:pPr>
            <w:r w:rsidRPr="003C4B2D">
              <w:rPr>
                <w:rFonts w:eastAsia="Times New Roman"/>
                <w:color w:val="000000"/>
                <w:sz w:val="20"/>
                <w:szCs w:val="20"/>
              </w:rPr>
              <w:t>0.69** (0.52, 0.91)</w:t>
            </w:r>
          </w:p>
        </w:tc>
        <w:tc>
          <w:tcPr>
            <w:tcW w:w="0" w:type="auto"/>
            <w:shd w:val="clear" w:color="auto" w:fill="D9D9D9" w:themeFill="background1" w:themeFillShade="D9"/>
            <w:vAlign w:val="center"/>
          </w:tcPr>
          <w:p w14:paraId="27277122" w14:textId="77777777" w:rsidR="003C4B2D" w:rsidRPr="003C4B2D" w:rsidRDefault="003C4B2D" w:rsidP="00B868D7">
            <w:pPr>
              <w:rPr>
                <w:rFonts w:eastAsia="Times New Roman"/>
                <w:b/>
                <w:bCs/>
                <w:color w:val="000000"/>
                <w:sz w:val="20"/>
                <w:szCs w:val="20"/>
              </w:rPr>
            </w:pPr>
            <w:r w:rsidRPr="003C4B2D">
              <w:rPr>
                <w:rFonts w:eastAsia="Times New Roman"/>
                <w:b/>
                <w:bCs/>
                <w:color w:val="000000"/>
                <w:sz w:val="20"/>
                <w:szCs w:val="20"/>
              </w:rPr>
              <w:t> </w:t>
            </w:r>
          </w:p>
        </w:tc>
        <w:tc>
          <w:tcPr>
            <w:tcW w:w="0" w:type="auto"/>
            <w:shd w:val="clear" w:color="000000" w:fill="auto"/>
            <w:vAlign w:val="center"/>
          </w:tcPr>
          <w:p w14:paraId="2F2BE15F"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6.94*** (6.72, 7.17)</w:t>
            </w:r>
          </w:p>
        </w:tc>
        <w:tc>
          <w:tcPr>
            <w:tcW w:w="0" w:type="auto"/>
            <w:shd w:val="clear" w:color="000000" w:fill="D9D9D9" w:themeFill="background1" w:themeFillShade="D9"/>
            <w:vAlign w:val="center"/>
          </w:tcPr>
          <w:p w14:paraId="4171BFF2"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43DD76DD"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6.00*** (4.04, 8.93)</w:t>
            </w:r>
          </w:p>
        </w:tc>
      </w:tr>
      <w:tr w:rsidR="003C4B2D" w:rsidRPr="003C4B2D" w14:paraId="6A6E5C28" w14:textId="77777777" w:rsidTr="00885C57">
        <w:trPr>
          <w:trHeight w:val="284"/>
          <w:tblHeader/>
          <w:jc w:val="center"/>
        </w:trPr>
        <w:tc>
          <w:tcPr>
            <w:tcW w:w="0" w:type="auto"/>
            <w:shd w:val="clear" w:color="auto" w:fill="auto"/>
            <w:noWrap/>
            <w:vAlign w:val="center"/>
          </w:tcPr>
          <w:p w14:paraId="1F7D87D8" w14:textId="77777777" w:rsidR="003C4B2D" w:rsidRPr="003C4B2D" w:rsidRDefault="003030ED" w:rsidP="00B868D7">
            <w:pPr>
              <w:rPr>
                <w:rFonts w:eastAsia="Times New Roman"/>
                <w:color w:val="000000"/>
                <w:sz w:val="20"/>
                <w:szCs w:val="20"/>
              </w:rPr>
            </w:pPr>
            <w:r>
              <w:rPr>
                <w:rFonts w:eastAsia="Times New Roman"/>
                <w:color w:val="000000"/>
                <w:sz w:val="20"/>
                <w:szCs w:val="20"/>
              </w:rPr>
              <w:t>Homes</w:t>
            </w:r>
          </w:p>
        </w:tc>
        <w:tc>
          <w:tcPr>
            <w:tcW w:w="0" w:type="auto"/>
            <w:shd w:val="clear" w:color="auto" w:fill="auto"/>
            <w:noWrap/>
            <w:vAlign w:val="center"/>
          </w:tcPr>
          <w:p w14:paraId="2DD12C9B"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noWrap/>
            <w:vAlign w:val="center"/>
          </w:tcPr>
          <w:p w14:paraId="4CA9068E"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0B6D6409"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vAlign w:val="center"/>
          </w:tcPr>
          <w:p w14:paraId="7EA356B4"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5B422263"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vAlign w:val="center"/>
          </w:tcPr>
          <w:p w14:paraId="132E187E"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r w:rsidR="003C4B2D" w:rsidRPr="003C4B2D" w14:paraId="00B1B2C3" w14:textId="77777777" w:rsidTr="00885C57">
        <w:trPr>
          <w:trHeight w:val="284"/>
          <w:tblHeader/>
          <w:jc w:val="center"/>
        </w:trPr>
        <w:tc>
          <w:tcPr>
            <w:tcW w:w="0" w:type="auto"/>
            <w:shd w:val="clear" w:color="auto" w:fill="auto"/>
            <w:noWrap/>
            <w:vAlign w:val="center"/>
          </w:tcPr>
          <w:p w14:paraId="26D26830" w14:textId="77777777" w:rsidR="003C4B2D" w:rsidRPr="003C4B2D" w:rsidRDefault="003C4B2D" w:rsidP="0006350E">
            <w:pPr>
              <w:rPr>
                <w:rFonts w:eastAsia="Times New Roman"/>
                <w:b/>
                <w:bCs/>
                <w:color w:val="000000"/>
                <w:sz w:val="20"/>
                <w:szCs w:val="20"/>
              </w:rPr>
            </w:pPr>
            <w:r w:rsidRPr="003C4B2D">
              <w:rPr>
                <w:rFonts w:eastAsia="Times New Roman"/>
                <w:color w:val="000000"/>
                <w:sz w:val="20"/>
                <w:szCs w:val="20"/>
              </w:rPr>
              <w:t>Sex-on-premises</w:t>
            </w:r>
            <w:r w:rsidR="0006350E">
              <w:rPr>
                <w:rFonts w:eastAsia="Times New Roman"/>
                <w:color w:val="000000"/>
                <w:sz w:val="20"/>
                <w:szCs w:val="20"/>
              </w:rPr>
              <w:t xml:space="preserve"> </w:t>
            </w:r>
            <w:r w:rsidRPr="003C4B2D">
              <w:rPr>
                <w:rFonts w:eastAsia="Times New Roman"/>
                <w:color w:val="000000"/>
                <w:sz w:val="20"/>
                <w:szCs w:val="20"/>
              </w:rPr>
              <w:t>venue</w:t>
            </w:r>
          </w:p>
        </w:tc>
        <w:tc>
          <w:tcPr>
            <w:tcW w:w="0" w:type="auto"/>
            <w:shd w:val="clear" w:color="auto" w:fill="auto"/>
            <w:noWrap/>
            <w:vAlign w:val="center"/>
          </w:tcPr>
          <w:p w14:paraId="70F3C45D"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0.74 (0.49, 1.12)</w:t>
            </w:r>
          </w:p>
        </w:tc>
        <w:tc>
          <w:tcPr>
            <w:tcW w:w="0" w:type="auto"/>
            <w:shd w:val="clear" w:color="000000" w:fill="D9D9D9"/>
            <w:noWrap/>
            <w:vAlign w:val="center"/>
          </w:tcPr>
          <w:p w14:paraId="52C11633" w14:textId="77777777" w:rsidR="003C4B2D" w:rsidRPr="003C4B2D" w:rsidRDefault="003C4B2D" w:rsidP="00B868D7">
            <w:pPr>
              <w:rPr>
                <w:rFonts w:eastAsia="Times New Roman"/>
                <w:color w:val="000000"/>
                <w:sz w:val="20"/>
                <w:szCs w:val="20"/>
              </w:rPr>
            </w:pPr>
            <w:r w:rsidRPr="003C4B2D">
              <w:rPr>
                <w:rFonts w:eastAsia="Times New Roman"/>
                <w:b/>
                <w:bCs/>
                <w:color w:val="000000"/>
                <w:sz w:val="20"/>
                <w:szCs w:val="20"/>
              </w:rPr>
              <w:t> </w:t>
            </w:r>
          </w:p>
        </w:tc>
        <w:tc>
          <w:tcPr>
            <w:tcW w:w="0" w:type="auto"/>
            <w:shd w:val="clear" w:color="auto" w:fill="auto"/>
            <w:vAlign w:val="center"/>
          </w:tcPr>
          <w:p w14:paraId="547D8A74"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-0.13 (-0.46, 0.21)</w:t>
            </w:r>
          </w:p>
        </w:tc>
        <w:tc>
          <w:tcPr>
            <w:tcW w:w="0" w:type="auto"/>
            <w:shd w:val="clear" w:color="000000" w:fill="D9D9D9"/>
            <w:vAlign w:val="center"/>
          </w:tcPr>
          <w:p w14:paraId="6F355B81"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6D045C1F"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1.54 (0.84, 2.82)</w:t>
            </w:r>
          </w:p>
        </w:tc>
        <w:tc>
          <w:tcPr>
            <w:tcW w:w="0" w:type="auto"/>
            <w:shd w:val="clear" w:color="000000" w:fill="D9D9D9"/>
            <w:vAlign w:val="center"/>
          </w:tcPr>
          <w:p w14:paraId="5B4EFFA1" w14:textId="77777777" w:rsidR="003C4B2D" w:rsidRPr="003C4B2D" w:rsidRDefault="003C4B2D" w:rsidP="00B868D7">
            <w:pPr>
              <w:rPr>
                <w:rFonts w:eastAsia="Times New Roman"/>
                <w:b/>
                <w:bCs/>
                <w:color w:val="000000"/>
                <w:sz w:val="20"/>
                <w:szCs w:val="20"/>
              </w:rPr>
            </w:pPr>
            <w:r w:rsidRPr="003C4B2D">
              <w:rPr>
                <w:rFonts w:eastAsia="Times New Roman"/>
                <w:b/>
                <w:bCs/>
                <w:color w:val="000000"/>
                <w:sz w:val="20"/>
                <w:szCs w:val="20"/>
              </w:rPr>
              <w:t> </w:t>
            </w:r>
          </w:p>
        </w:tc>
      </w:tr>
      <w:tr w:rsidR="003C4B2D" w:rsidRPr="003C4B2D" w14:paraId="15984D1F" w14:textId="77777777" w:rsidTr="00885C57">
        <w:trPr>
          <w:trHeight w:val="284"/>
          <w:tblHeader/>
          <w:jc w:val="center"/>
        </w:trPr>
        <w:tc>
          <w:tcPr>
            <w:tcW w:w="0" w:type="auto"/>
            <w:shd w:val="clear" w:color="auto" w:fill="auto"/>
            <w:noWrap/>
            <w:vAlign w:val="center"/>
          </w:tcPr>
          <w:p w14:paraId="3C238C33" w14:textId="77777777" w:rsidR="003C4B2D" w:rsidRPr="003C4B2D" w:rsidRDefault="003C4B2D" w:rsidP="003030ED">
            <w:pPr>
              <w:rPr>
                <w:rFonts w:eastAsia="Times New Roman"/>
                <w:color w:val="000000"/>
                <w:sz w:val="20"/>
                <w:szCs w:val="20"/>
              </w:rPr>
            </w:pPr>
            <w:r w:rsidRPr="003C4B2D">
              <w:rPr>
                <w:rFonts w:eastAsia="Times New Roman"/>
                <w:color w:val="000000"/>
                <w:sz w:val="20"/>
                <w:szCs w:val="20"/>
              </w:rPr>
              <w:t>Cruising location</w:t>
            </w:r>
          </w:p>
        </w:tc>
        <w:tc>
          <w:tcPr>
            <w:tcW w:w="0" w:type="auto"/>
            <w:shd w:val="clear" w:color="auto" w:fill="auto"/>
            <w:noWrap/>
            <w:vAlign w:val="center"/>
          </w:tcPr>
          <w:p w14:paraId="3AC6648F"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0.71 (0.36, 1.40)</w:t>
            </w:r>
          </w:p>
        </w:tc>
        <w:tc>
          <w:tcPr>
            <w:tcW w:w="0" w:type="auto"/>
            <w:shd w:val="clear" w:color="000000" w:fill="D9D9D9"/>
            <w:noWrap/>
            <w:vAlign w:val="center"/>
          </w:tcPr>
          <w:p w14:paraId="680C93B2"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458AF40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-1.02*** (-1.54, -0.50)</w:t>
            </w:r>
          </w:p>
        </w:tc>
        <w:tc>
          <w:tcPr>
            <w:tcW w:w="0" w:type="auto"/>
            <w:shd w:val="clear" w:color="000000" w:fill="D9D9D9"/>
            <w:vAlign w:val="center"/>
          </w:tcPr>
          <w:p w14:paraId="7EC05448" w14:textId="77777777" w:rsidR="003C4B2D" w:rsidRPr="003C4B2D" w:rsidRDefault="003C4B2D" w:rsidP="00B868D7">
            <w:pPr>
              <w:rPr>
                <w:rFonts w:eastAsia="Times New Roman"/>
                <w:b/>
                <w:bCs/>
                <w:color w:val="000000"/>
                <w:sz w:val="20"/>
                <w:szCs w:val="20"/>
              </w:rPr>
            </w:pPr>
            <w:r w:rsidRPr="003C4B2D">
              <w:rPr>
                <w:rFonts w:eastAsia="Times New Roman"/>
                <w:b/>
                <w:bCs/>
                <w:color w:val="000000"/>
                <w:sz w:val="20"/>
                <w:szCs w:val="20"/>
              </w:rPr>
              <w:t> </w:t>
            </w:r>
          </w:p>
        </w:tc>
        <w:tc>
          <w:tcPr>
            <w:tcW w:w="0" w:type="auto"/>
            <w:shd w:val="clear" w:color="000000" w:fill="auto"/>
            <w:vAlign w:val="center"/>
          </w:tcPr>
          <w:p w14:paraId="336E40A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2.43 (0.72, 8.18)</w:t>
            </w:r>
          </w:p>
        </w:tc>
        <w:tc>
          <w:tcPr>
            <w:tcW w:w="0" w:type="auto"/>
            <w:shd w:val="clear" w:color="000000" w:fill="D9D9D9"/>
            <w:vAlign w:val="center"/>
          </w:tcPr>
          <w:p w14:paraId="27B2E8C3"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r w:rsidR="003C4B2D" w:rsidRPr="003C4B2D" w14:paraId="6E2E2272" w14:textId="77777777" w:rsidTr="00885C57">
        <w:trPr>
          <w:trHeight w:val="284"/>
          <w:tblHeader/>
          <w:jc w:val="center"/>
        </w:trPr>
        <w:tc>
          <w:tcPr>
            <w:tcW w:w="0" w:type="auto"/>
            <w:shd w:val="clear" w:color="auto" w:fill="auto"/>
            <w:noWrap/>
            <w:vAlign w:val="center"/>
          </w:tcPr>
          <w:p w14:paraId="0ED34E4B" w14:textId="77777777" w:rsidR="003C4B2D" w:rsidRPr="003C4B2D" w:rsidRDefault="003C4B2D" w:rsidP="00B868D7">
            <w:pPr>
              <w:rPr>
                <w:rFonts w:eastAsia="Times New Roman"/>
                <w:color w:val="000000"/>
                <w:sz w:val="20"/>
                <w:szCs w:val="20"/>
              </w:rPr>
            </w:pPr>
            <w:r w:rsidRPr="003C4B2D">
              <w:rPr>
                <w:rFonts w:eastAsia="Times New Roman"/>
                <w:b/>
                <w:bCs/>
                <w:color w:val="000000"/>
                <w:sz w:val="20"/>
                <w:szCs w:val="20"/>
              </w:rPr>
              <w:t>Wave of reporting</w:t>
            </w:r>
          </w:p>
        </w:tc>
        <w:tc>
          <w:tcPr>
            <w:tcW w:w="0" w:type="auto"/>
            <w:shd w:val="clear" w:color="auto" w:fill="D9D9D9" w:themeFill="background1" w:themeFillShade="D9"/>
            <w:noWrap/>
            <w:vAlign w:val="center"/>
          </w:tcPr>
          <w:p w14:paraId="5B6F5748" w14:textId="77777777" w:rsidR="003C4B2D" w:rsidRPr="003C4B2D" w:rsidRDefault="003C4B2D" w:rsidP="00B868D7">
            <w:pPr>
              <w:rPr>
                <w:rFonts w:eastAsia="Times New Roman"/>
                <w:color w:val="000000"/>
                <w:sz w:val="20"/>
                <w:szCs w:val="20"/>
              </w:rPr>
            </w:pPr>
          </w:p>
        </w:tc>
        <w:tc>
          <w:tcPr>
            <w:tcW w:w="0" w:type="auto"/>
            <w:shd w:val="clear" w:color="000000" w:fill="auto"/>
            <w:noWrap/>
            <w:vAlign w:val="center"/>
          </w:tcPr>
          <w:p w14:paraId="59743C4C" w14:textId="77777777" w:rsidR="003C4B2D" w:rsidRPr="003C4B2D" w:rsidRDefault="003C4B2D" w:rsidP="00B868D7">
            <w:pPr>
              <w:rPr>
                <w:rFonts w:eastAsia="Times New Roman"/>
                <w:b/>
                <w:bCs/>
                <w:color w:val="000000"/>
                <w:sz w:val="20"/>
                <w:szCs w:val="20"/>
              </w:rPr>
            </w:pPr>
            <w:r w:rsidRPr="003C4B2D">
              <w:rPr>
                <w:rFonts w:eastAsia="Times New Roman"/>
                <w:color w:val="000000"/>
                <w:sz w:val="20"/>
                <w:szCs w:val="20"/>
              </w:rPr>
              <w:t>0.52*** (0.38, 0.70)</w:t>
            </w:r>
          </w:p>
        </w:tc>
        <w:tc>
          <w:tcPr>
            <w:tcW w:w="0" w:type="auto"/>
            <w:shd w:val="clear" w:color="auto" w:fill="D9D9D9" w:themeFill="background1" w:themeFillShade="D9"/>
            <w:vAlign w:val="center"/>
          </w:tcPr>
          <w:p w14:paraId="5B3A12F7"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5DF66206" w14:textId="77777777" w:rsidR="003C4B2D" w:rsidRPr="003C4B2D" w:rsidRDefault="003C4B2D" w:rsidP="00B868D7">
            <w:pPr>
              <w:rPr>
                <w:rFonts w:eastAsia="Times New Roman"/>
                <w:b/>
                <w:bCs/>
                <w:color w:val="000000"/>
                <w:sz w:val="20"/>
                <w:szCs w:val="20"/>
              </w:rPr>
            </w:pPr>
            <w:r w:rsidRPr="003C4B2D">
              <w:rPr>
                <w:rFonts w:eastAsia="Times New Roman"/>
                <w:color w:val="000000"/>
                <w:sz w:val="20"/>
                <w:szCs w:val="20"/>
              </w:rPr>
              <w:t>6.81*** (6.56, 7.06)</w:t>
            </w:r>
          </w:p>
        </w:tc>
        <w:tc>
          <w:tcPr>
            <w:tcW w:w="0" w:type="auto"/>
            <w:shd w:val="clear" w:color="000000" w:fill="D9D9D9" w:themeFill="background1" w:themeFillShade="D9"/>
            <w:vAlign w:val="center"/>
          </w:tcPr>
          <w:p w14:paraId="501B6748"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000000" w:fill="auto"/>
            <w:vAlign w:val="center"/>
          </w:tcPr>
          <w:p w14:paraId="46560C99"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7.48*** (4.91, 11.38)</w:t>
            </w:r>
          </w:p>
        </w:tc>
      </w:tr>
      <w:tr w:rsidR="003C4B2D" w:rsidRPr="003C4B2D" w14:paraId="0087ECEE" w14:textId="77777777" w:rsidTr="00885C57">
        <w:trPr>
          <w:trHeight w:val="284"/>
          <w:tblHeader/>
          <w:jc w:val="center"/>
        </w:trPr>
        <w:tc>
          <w:tcPr>
            <w:tcW w:w="0" w:type="auto"/>
            <w:shd w:val="clear" w:color="auto" w:fill="auto"/>
            <w:noWrap/>
            <w:vAlign w:val="center"/>
          </w:tcPr>
          <w:p w14:paraId="7AEC599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Wave 1</w:t>
            </w:r>
          </w:p>
        </w:tc>
        <w:tc>
          <w:tcPr>
            <w:tcW w:w="0" w:type="auto"/>
            <w:shd w:val="clear" w:color="auto" w:fill="auto"/>
            <w:noWrap/>
            <w:vAlign w:val="center"/>
          </w:tcPr>
          <w:p w14:paraId="5835B82A"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noWrap/>
            <w:vAlign w:val="center"/>
          </w:tcPr>
          <w:p w14:paraId="1FE71A05"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7FDE07D5"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vAlign w:val="center"/>
          </w:tcPr>
          <w:p w14:paraId="03DF644D" w14:textId="77777777" w:rsidR="003C4B2D" w:rsidRPr="003C4B2D" w:rsidRDefault="003C4B2D" w:rsidP="00B868D7">
            <w:pPr>
              <w:rPr>
                <w:rFonts w:eastAsia="Times New Roman"/>
                <w:b/>
                <w:bCs/>
                <w:color w:val="000000"/>
                <w:sz w:val="20"/>
                <w:szCs w:val="20"/>
              </w:rPr>
            </w:pPr>
            <w:r w:rsidRPr="003C4B2D">
              <w:rPr>
                <w:rFonts w:eastAsia="Times New Roman"/>
                <w:color w:val="000000"/>
                <w:sz w:val="20"/>
                <w:szCs w:val="20"/>
              </w:rPr>
              <w:t> </w:t>
            </w:r>
          </w:p>
        </w:tc>
        <w:tc>
          <w:tcPr>
            <w:tcW w:w="0" w:type="auto"/>
            <w:shd w:val="clear" w:color="000000" w:fill="auto"/>
            <w:vAlign w:val="center"/>
          </w:tcPr>
          <w:p w14:paraId="2C17A36F"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Reference</w:t>
            </w:r>
          </w:p>
        </w:tc>
        <w:tc>
          <w:tcPr>
            <w:tcW w:w="0" w:type="auto"/>
            <w:shd w:val="clear" w:color="000000" w:fill="D9D9D9"/>
            <w:vAlign w:val="center"/>
          </w:tcPr>
          <w:p w14:paraId="21E59B6A"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r w:rsidR="003C4B2D" w:rsidRPr="003C4B2D" w14:paraId="70848E6D" w14:textId="77777777" w:rsidTr="00885C57">
        <w:trPr>
          <w:trHeight w:val="284"/>
          <w:tblHeader/>
          <w:jc w:val="center"/>
        </w:trPr>
        <w:tc>
          <w:tcPr>
            <w:tcW w:w="0" w:type="auto"/>
            <w:shd w:val="clear" w:color="auto" w:fill="auto"/>
            <w:noWrap/>
            <w:vAlign w:val="center"/>
          </w:tcPr>
          <w:p w14:paraId="79991B82"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Wave 2</w:t>
            </w:r>
          </w:p>
        </w:tc>
        <w:tc>
          <w:tcPr>
            <w:tcW w:w="0" w:type="auto"/>
            <w:shd w:val="clear" w:color="auto" w:fill="auto"/>
            <w:noWrap/>
            <w:vAlign w:val="center"/>
          </w:tcPr>
          <w:p w14:paraId="01C13B2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1.03 (0.71, 1.49)</w:t>
            </w:r>
          </w:p>
        </w:tc>
        <w:tc>
          <w:tcPr>
            <w:tcW w:w="0" w:type="auto"/>
            <w:shd w:val="clear" w:color="000000" w:fill="D9D9D9"/>
            <w:noWrap/>
            <w:vAlign w:val="center"/>
          </w:tcPr>
          <w:p w14:paraId="6D06D5A0"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shd w:val="clear" w:color="auto" w:fill="auto"/>
            <w:vAlign w:val="center"/>
          </w:tcPr>
          <w:p w14:paraId="3A3E5D81"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-0.10 (-0.44, 0.24)</w:t>
            </w:r>
          </w:p>
        </w:tc>
        <w:tc>
          <w:tcPr>
            <w:tcW w:w="0" w:type="auto"/>
            <w:shd w:val="clear" w:color="000000" w:fill="D9D9D9"/>
            <w:vAlign w:val="center"/>
          </w:tcPr>
          <w:p w14:paraId="0595EA85" w14:textId="77777777" w:rsidR="003C4B2D" w:rsidRPr="003C4B2D" w:rsidRDefault="003C4B2D" w:rsidP="00B868D7">
            <w:pPr>
              <w:rPr>
                <w:rFonts w:eastAsia="Times New Roman"/>
                <w:b/>
                <w:bCs/>
                <w:color w:val="000000"/>
                <w:sz w:val="20"/>
                <w:szCs w:val="20"/>
              </w:rPr>
            </w:pPr>
            <w:r w:rsidRPr="003C4B2D">
              <w:rPr>
                <w:rFonts w:eastAsia="Times New Roman"/>
                <w:color w:val="000000"/>
                <w:sz w:val="20"/>
                <w:szCs w:val="20"/>
              </w:rPr>
              <w:t> </w:t>
            </w:r>
          </w:p>
        </w:tc>
        <w:tc>
          <w:tcPr>
            <w:tcW w:w="0" w:type="auto"/>
            <w:shd w:val="clear" w:color="auto" w:fill="auto"/>
            <w:vAlign w:val="center"/>
          </w:tcPr>
          <w:p w14:paraId="63529CD2"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1.17 (0.71, 1.91)</w:t>
            </w:r>
          </w:p>
        </w:tc>
        <w:tc>
          <w:tcPr>
            <w:tcW w:w="0" w:type="auto"/>
            <w:shd w:val="clear" w:color="000000" w:fill="D9D9D9"/>
            <w:vAlign w:val="center"/>
          </w:tcPr>
          <w:p w14:paraId="73572071"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r w:rsidR="003C4B2D" w:rsidRPr="003C4B2D" w14:paraId="3339436C" w14:textId="77777777" w:rsidTr="00885C57">
        <w:trPr>
          <w:trHeight w:val="284"/>
          <w:tblHeader/>
          <w:jc w:val="center"/>
        </w:trPr>
        <w:tc>
          <w:tcPr>
            <w:tcW w:w="0" w:type="auto"/>
            <w:tcBorders>
              <w:bottom w:val="single" w:sz="4" w:space="0" w:color="auto"/>
            </w:tcBorders>
            <w:shd w:val="clear" w:color="auto" w:fill="auto"/>
            <w:noWrap/>
            <w:vAlign w:val="center"/>
          </w:tcPr>
          <w:p w14:paraId="2858E3B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Wave 3</w:t>
            </w:r>
          </w:p>
        </w:tc>
        <w:tc>
          <w:tcPr>
            <w:tcW w:w="0" w:type="auto"/>
            <w:tcBorders>
              <w:bottom w:val="single" w:sz="4" w:space="0" w:color="auto"/>
            </w:tcBorders>
            <w:shd w:val="clear" w:color="auto" w:fill="auto"/>
            <w:noWrap/>
            <w:vAlign w:val="center"/>
          </w:tcPr>
          <w:p w14:paraId="7524772F"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1.43* (1.01, 2.03)</w:t>
            </w:r>
          </w:p>
        </w:tc>
        <w:tc>
          <w:tcPr>
            <w:tcW w:w="0" w:type="auto"/>
            <w:tcBorders>
              <w:bottom w:val="single" w:sz="4" w:space="0" w:color="auto"/>
            </w:tcBorders>
            <w:shd w:val="clear" w:color="auto" w:fill="D9D9D9" w:themeFill="background1" w:themeFillShade="D9"/>
            <w:noWrap/>
            <w:vAlign w:val="center"/>
          </w:tcPr>
          <w:p w14:paraId="12FD3D83"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c>
          <w:tcPr>
            <w:tcW w:w="0" w:type="auto"/>
            <w:tcBorders>
              <w:bottom w:val="single" w:sz="4" w:space="0" w:color="auto"/>
            </w:tcBorders>
            <w:shd w:val="clear" w:color="auto" w:fill="auto"/>
            <w:vAlign w:val="center"/>
          </w:tcPr>
          <w:p w14:paraId="182D92C0" w14:textId="77777777" w:rsidR="003C4B2D" w:rsidRPr="003C4B2D" w:rsidRDefault="00B868D7" w:rsidP="00B868D7">
            <w:pPr>
              <w:rPr>
                <w:rFonts w:eastAsia="Times New Roman"/>
                <w:color w:val="000000"/>
                <w:sz w:val="20"/>
                <w:szCs w:val="20"/>
              </w:rPr>
            </w:pPr>
            <w:r>
              <w:rPr>
                <w:rFonts w:eastAsia="Times New Roman"/>
                <w:color w:val="000000"/>
                <w:sz w:val="20"/>
                <w:szCs w:val="20"/>
              </w:rPr>
              <w:t>-0.01 (-0.33, 0.32)</w:t>
            </w:r>
          </w:p>
        </w:tc>
        <w:tc>
          <w:tcPr>
            <w:tcW w:w="0" w:type="auto"/>
            <w:tcBorders>
              <w:bottom w:val="single" w:sz="4" w:space="0" w:color="auto"/>
            </w:tcBorders>
            <w:shd w:val="clear" w:color="auto" w:fill="D9D9D9" w:themeFill="background1" w:themeFillShade="D9"/>
            <w:vAlign w:val="center"/>
          </w:tcPr>
          <w:p w14:paraId="27638028" w14:textId="77777777" w:rsidR="003C4B2D" w:rsidRPr="003C4B2D" w:rsidRDefault="003C4B2D" w:rsidP="00B868D7">
            <w:pPr>
              <w:rPr>
                <w:rFonts w:eastAsia="Times New Roman"/>
                <w:color w:val="000000"/>
                <w:sz w:val="20"/>
                <w:szCs w:val="20"/>
              </w:rPr>
            </w:pPr>
          </w:p>
        </w:tc>
        <w:tc>
          <w:tcPr>
            <w:tcW w:w="0" w:type="auto"/>
            <w:tcBorders>
              <w:bottom w:val="single" w:sz="4" w:space="0" w:color="auto"/>
            </w:tcBorders>
            <w:shd w:val="clear" w:color="auto" w:fill="auto"/>
            <w:vAlign w:val="center"/>
          </w:tcPr>
          <w:p w14:paraId="2F383F0C"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0.93 (0.59, 1.47)</w:t>
            </w:r>
          </w:p>
        </w:tc>
        <w:tc>
          <w:tcPr>
            <w:tcW w:w="0" w:type="auto"/>
            <w:tcBorders>
              <w:bottom w:val="single" w:sz="4" w:space="0" w:color="auto"/>
            </w:tcBorders>
            <w:shd w:val="clear" w:color="auto" w:fill="D9D9D9" w:themeFill="background1" w:themeFillShade="D9"/>
            <w:vAlign w:val="center"/>
          </w:tcPr>
          <w:p w14:paraId="1BD771E6" w14:textId="77777777" w:rsidR="003C4B2D" w:rsidRPr="003C4B2D" w:rsidRDefault="003C4B2D" w:rsidP="00B868D7">
            <w:pPr>
              <w:rPr>
                <w:rFonts w:eastAsia="Times New Roman"/>
                <w:color w:val="000000"/>
                <w:sz w:val="20"/>
                <w:szCs w:val="20"/>
              </w:rPr>
            </w:pPr>
            <w:r w:rsidRPr="003C4B2D">
              <w:rPr>
                <w:rFonts w:eastAsia="Times New Roman"/>
                <w:color w:val="000000"/>
                <w:sz w:val="20"/>
                <w:szCs w:val="20"/>
              </w:rPr>
              <w:t> </w:t>
            </w:r>
          </w:p>
        </w:tc>
      </w:tr>
    </w:tbl>
    <w:p w14:paraId="36DC48EC" w14:textId="77777777" w:rsidR="005C0468" w:rsidRPr="00885C57" w:rsidRDefault="00885C57" w:rsidP="00885C57">
      <w:r>
        <w:rPr>
          <w:vertAlign w:val="superscript"/>
        </w:rPr>
        <w:t>a</w:t>
      </w:r>
      <w:r>
        <w:t>*</w:t>
      </w:r>
      <w:r>
        <w:rPr>
          <w:i/>
        </w:rPr>
        <w:t>p</w:t>
      </w:r>
      <w:r>
        <w:t>&lt;0.05, **</w:t>
      </w:r>
      <w:r>
        <w:rPr>
          <w:i/>
        </w:rPr>
        <w:t>p</w:t>
      </w:r>
      <w:r>
        <w:t>&lt;0.01, ***</w:t>
      </w:r>
      <w:r>
        <w:rPr>
          <w:i/>
        </w:rPr>
        <w:t>p</w:t>
      </w:r>
      <w:r>
        <w:t>&lt;0.001</w:t>
      </w:r>
    </w:p>
    <w:p w14:paraId="3BE65289" w14:textId="77777777" w:rsidR="00885C57" w:rsidRDefault="00885C57" w:rsidP="007131C4">
      <w:pPr>
        <w:spacing w:line="480" w:lineRule="auto"/>
      </w:pPr>
    </w:p>
    <w:p w14:paraId="0DF93295" w14:textId="77777777" w:rsidR="005C0468" w:rsidRDefault="005C0468">
      <w:pPr>
        <w:sectPr w:rsidR="005C0468" w:rsidSect="0091216B">
          <w:pgSz w:w="16840" w:h="11900" w:orient="landscape"/>
          <w:pgMar w:top="1701" w:right="1701" w:bottom="1701" w:left="1701" w:header="709" w:footer="709" w:gutter="0"/>
          <w:cols w:space="708"/>
          <w:docGrid w:linePitch="360"/>
        </w:sectPr>
      </w:pPr>
    </w:p>
    <w:p w14:paraId="2C162551" w14:textId="77777777" w:rsidR="005C0468" w:rsidRPr="00885C57" w:rsidRDefault="005C0468" w:rsidP="00885C57">
      <w:pPr>
        <w:spacing w:line="480" w:lineRule="auto"/>
        <w:jc w:val="center"/>
      </w:pPr>
      <w:r>
        <w:rPr>
          <w:b/>
        </w:rPr>
        <w:t>Table 4.</w:t>
      </w:r>
      <w:r>
        <w:t xml:space="preserve">  Associations between outcomes and specific </w:t>
      </w:r>
      <w:r w:rsidR="001A30A7">
        <w:t>drug</w:t>
      </w:r>
      <w:r>
        <w:t>s used by respondent.</w:t>
      </w:r>
      <w:r w:rsidR="00885C57">
        <w:rPr>
          <w:vertAlign w:val="superscript"/>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183"/>
        <w:gridCol w:w="2729"/>
        <w:gridCol w:w="2543"/>
      </w:tblGrid>
      <w:tr w:rsidR="005C0468" w:rsidRPr="003C4B2D" w14:paraId="2B2CD8D9" w14:textId="77777777" w:rsidTr="00885C57">
        <w:trPr>
          <w:trHeight w:val="276"/>
          <w:tblHeader/>
          <w:jc w:val="center"/>
        </w:trPr>
        <w:tc>
          <w:tcPr>
            <w:tcW w:w="0" w:type="auto"/>
            <w:shd w:val="clear" w:color="auto" w:fill="auto"/>
            <w:noWrap/>
            <w:vAlign w:val="center"/>
          </w:tcPr>
          <w:p w14:paraId="68A26E30" w14:textId="77777777" w:rsidR="005C0468" w:rsidRPr="003C4B2D" w:rsidRDefault="005C0468" w:rsidP="005C0468">
            <w:pPr>
              <w:rPr>
                <w:rFonts w:eastAsia="Times New Roman"/>
                <w:b/>
                <w:bCs/>
                <w:color w:val="000000"/>
              </w:rPr>
            </w:pPr>
            <w:r w:rsidRPr="003C4B2D">
              <w:rPr>
                <w:rFonts w:eastAsia="Times New Roman"/>
                <w:b/>
                <w:bCs/>
                <w:color w:val="000000"/>
              </w:rPr>
              <w:t>Variable</w:t>
            </w:r>
          </w:p>
        </w:tc>
        <w:tc>
          <w:tcPr>
            <w:tcW w:w="0" w:type="auto"/>
            <w:shd w:val="clear" w:color="auto" w:fill="auto"/>
            <w:noWrap/>
            <w:vAlign w:val="center"/>
          </w:tcPr>
          <w:p w14:paraId="3A6A1881" w14:textId="77777777" w:rsidR="005C0468" w:rsidRPr="003C4B2D" w:rsidRDefault="005C0468" w:rsidP="005C0468">
            <w:pPr>
              <w:rPr>
                <w:rFonts w:eastAsia="Times New Roman"/>
                <w:b/>
                <w:color w:val="000000"/>
              </w:rPr>
            </w:pPr>
            <w:r w:rsidRPr="003C4B2D">
              <w:rPr>
                <w:rFonts w:eastAsia="Times New Roman"/>
                <w:b/>
                <w:color w:val="000000"/>
              </w:rPr>
              <w:t>UAI: OR (95% CI)</w:t>
            </w:r>
          </w:p>
        </w:tc>
        <w:tc>
          <w:tcPr>
            <w:tcW w:w="0" w:type="auto"/>
          </w:tcPr>
          <w:p w14:paraId="133AEA60" w14:textId="77777777" w:rsidR="005C0468" w:rsidRPr="003C4B2D" w:rsidRDefault="005C0468" w:rsidP="005C0468">
            <w:pPr>
              <w:rPr>
                <w:rFonts w:eastAsia="Times New Roman"/>
                <w:b/>
                <w:color w:val="000000"/>
              </w:rPr>
            </w:pPr>
            <w:r w:rsidRPr="003C4B2D">
              <w:rPr>
                <w:rFonts w:eastAsia="Times New Roman"/>
                <w:b/>
                <w:color w:val="000000"/>
              </w:rPr>
              <w:t xml:space="preserve">Pleasure: </w:t>
            </w:r>
            <w:r w:rsidR="003C4B2D" w:rsidRPr="003C4B2D">
              <w:rPr>
                <w:rFonts w:eastAsia="Times New Roman"/>
                <w:b/>
                <w:color w:val="000000"/>
              </w:rPr>
              <w:t>Beta (95% CI)</w:t>
            </w:r>
          </w:p>
        </w:tc>
        <w:tc>
          <w:tcPr>
            <w:tcW w:w="0" w:type="auto"/>
          </w:tcPr>
          <w:p w14:paraId="563E32B9" w14:textId="77777777" w:rsidR="005C0468" w:rsidRPr="003C4B2D" w:rsidRDefault="005C0468" w:rsidP="005C0468">
            <w:pPr>
              <w:rPr>
                <w:rFonts w:eastAsia="Times New Roman"/>
                <w:b/>
                <w:color w:val="000000"/>
              </w:rPr>
            </w:pPr>
            <w:r w:rsidRPr="003C4B2D">
              <w:rPr>
                <w:rFonts w:eastAsia="Times New Roman"/>
                <w:b/>
                <w:color w:val="000000"/>
              </w:rPr>
              <w:t>Control: OR (95% CI)</w:t>
            </w:r>
          </w:p>
        </w:tc>
      </w:tr>
      <w:tr w:rsidR="005C0468" w:rsidRPr="003C4B2D" w14:paraId="26F6BF68" w14:textId="77777777" w:rsidTr="00885C57">
        <w:trPr>
          <w:trHeight w:val="276"/>
          <w:tblHeader/>
          <w:jc w:val="center"/>
        </w:trPr>
        <w:tc>
          <w:tcPr>
            <w:tcW w:w="0" w:type="auto"/>
            <w:shd w:val="clear" w:color="auto" w:fill="auto"/>
            <w:noWrap/>
            <w:vAlign w:val="center"/>
            <w:hideMark/>
          </w:tcPr>
          <w:p w14:paraId="7287B70C" w14:textId="77777777" w:rsidR="005C0468" w:rsidRPr="00B868D7" w:rsidRDefault="005C0468" w:rsidP="005C0468">
            <w:pPr>
              <w:rPr>
                <w:rFonts w:eastAsia="Times New Roman"/>
                <w:bCs/>
                <w:color w:val="000000"/>
              </w:rPr>
            </w:pPr>
            <w:r w:rsidRPr="00B868D7">
              <w:rPr>
                <w:rFonts w:eastAsia="Times New Roman"/>
                <w:bCs/>
                <w:color w:val="000000"/>
              </w:rPr>
              <w:t>Intercept</w:t>
            </w:r>
          </w:p>
        </w:tc>
        <w:tc>
          <w:tcPr>
            <w:tcW w:w="0" w:type="auto"/>
            <w:shd w:val="clear" w:color="000000" w:fill="auto"/>
            <w:noWrap/>
            <w:vAlign w:val="center"/>
            <w:hideMark/>
          </w:tcPr>
          <w:p w14:paraId="5B864CBB" w14:textId="77777777" w:rsidR="005C0468" w:rsidRPr="003C4B2D" w:rsidRDefault="005C0468" w:rsidP="005C0468">
            <w:pPr>
              <w:rPr>
                <w:rFonts w:eastAsia="Times New Roman"/>
                <w:color w:val="000000"/>
              </w:rPr>
            </w:pPr>
            <w:r w:rsidRPr="003C4B2D">
              <w:rPr>
                <w:rFonts w:eastAsia="Times New Roman"/>
                <w:color w:val="000000"/>
              </w:rPr>
              <w:t>0.46*** (0.33, 0.64)</w:t>
            </w:r>
          </w:p>
        </w:tc>
        <w:tc>
          <w:tcPr>
            <w:tcW w:w="0" w:type="auto"/>
            <w:shd w:val="clear" w:color="000000" w:fill="auto"/>
            <w:vAlign w:val="center"/>
          </w:tcPr>
          <w:p w14:paraId="4A3A8810" w14:textId="77777777" w:rsidR="005C0468" w:rsidRPr="003C4B2D" w:rsidRDefault="005C0468" w:rsidP="005C0468">
            <w:pPr>
              <w:rPr>
                <w:rFonts w:eastAsia="Times New Roman"/>
                <w:color w:val="000000"/>
                <w:spacing w:val="-6"/>
              </w:rPr>
            </w:pPr>
            <w:r w:rsidRPr="003C4B2D">
              <w:rPr>
                <w:rFonts w:eastAsia="Times New Roman"/>
                <w:color w:val="000000"/>
                <w:spacing w:val="-6"/>
              </w:rPr>
              <w:t>6.50*** (6.26, 6.75)</w:t>
            </w:r>
          </w:p>
        </w:tc>
        <w:tc>
          <w:tcPr>
            <w:tcW w:w="0" w:type="auto"/>
            <w:shd w:val="clear" w:color="000000" w:fill="auto"/>
          </w:tcPr>
          <w:p w14:paraId="42829764" w14:textId="77777777" w:rsidR="005C0468" w:rsidRPr="003C4B2D" w:rsidRDefault="003C4B2D" w:rsidP="005C0468">
            <w:pPr>
              <w:rPr>
                <w:rFonts w:eastAsia="Times New Roman"/>
                <w:color w:val="000000"/>
              </w:rPr>
            </w:pPr>
            <w:r w:rsidRPr="003C4B2D">
              <w:rPr>
                <w:rFonts w:eastAsia="Times New Roman"/>
                <w:color w:val="000000"/>
              </w:rPr>
              <w:t>8.82*** (5.35, 14.53)</w:t>
            </w:r>
          </w:p>
        </w:tc>
      </w:tr>
      <w:tr w:rsidR="003C4B2D" w:rsidRPr="003C4B2D" w14:paraId="2BFEF5C8" w14:textId="77777777" w:rsidTr="00885C57">
        <w:trPr>
          <w:trHeight w:val="276"/>
          <w:tblHeader/>
          <w:jc w:val="center"/>
        </w:trPr>
        <w:tc>
          <w:tcPr>
            <w:tcW w:w="0" w:type="auto"/>
            <w:shd w:val="clear" w:color="auto" w:fill="auto"/>
            <w:noWrap/>
            <w:vAlign w:val="center"/>
            <w:hideMark/>
          </w:tcPr>
          <w:p w14:paraId="6319B7B8" w14:textId="77777777" w:rsidR="003C4B2D" w:rsidRPr="00B868D7" w:rsidRDefault="003C4B2D" w:rsidP="005C0468">
            <w:pPr>
              <w:rPr>
                <w:rFonts w:eastAsia="Times New Roman"/>
                <w:bCs/>
                <w:color w:val="000000"/>
              </w:rPr>
            </w:pPr>
            <w:r w:rsidRPr="00B868D7">
              <w:rPr>
                <w:rFonts w:eastAsia="Times New Roman"/>
                <w:color w:val="000000"/>
              </w:rPr>
              <w:t>Poppers</w:t>
            </w:r>
          </w:p>
        </w:tc>
        <w:tc>
          <w:tcPr>
            <w:tcW w:w="0" w:type="auto"/>
            <w:shd w:val="clear" w:color="auto" w:fill="auto"/>
            <w:noWrap/>
            <w:vAlign w:val="center"/>
            <w:hideMark/>
          </w:tcPr>
          <w:p w14:paraId="6CA9FDDC" w14:textId="77777777" w:rsidR="003C4B2D" w:rsidRPr="003C4B2D" w:rsidRDefault="003C4B2D" w:rsidP="005C0468">
            <w:pPr>
              <w:rPr>
                <w:rFonts w:eastAsia="Times New Roman"/>
                <w:color w:val="000000"/>
              </w:rPr>
            </w:pPr>
            <w:r w:rsidRPr="003C4B2D">
              <w:rPr>
                <w:rFonts w:eastAsia="Times New Roman"/>
                <w:color w:val="000000"/>
              </w:rPr>
              <w:t>1.06 (0.69, 1.65)</w:t>
            </w:r>
          </w:p>
        </w:tc>
        <w:tc>
          <w:tcPr>
            <w:tcW w:w="0" w:type="auto"/>
            <w:vAlign w:val="center"/>
          </w:tcPr>
          <w:p w14:paraId="507CCFF7" w14:textId="77777777" w:rsidR="003C4B2D" w:rsidRPr="003C4B2D" w:rsidRDefault="003C4B2D" w:rsidP="005C0468">
            <w:pPr>
              <w:rPr>
                <w:rFonts w:eastAsia="Times New Roman"/>
                <w:i/>
                <w:iCs/>
                <w:color w:val="000000"/>
                <w:spacing w:val="-6"/>
              </w:rPr>
            </w:pPr>
            <w:r w:rsidRPr="003C4B2D">
              <w:rPr>
                <w:rFonts w:eastAsia="Times New Roman"/>
                <w:i/>
                <w:iCs/>
                <w:color w:val="000000"/>
                <w:spacing w:val="-6"/>
              </w:rPr>
              <w:t>0.31 (-0.02, 0.65)</w:t>
            </w:r>
          </w:p>
        </w:tc>
        <w:tc>
          <w:tcPr>
            <w:tcW w:w="0" w:type="auto"/>
            <w:vAlign w:val="center"/>
          </w:tcPr>
          <w:p w14:paraId="5F431810" w14:textId="77777777" w:rsidR="003C4B2D" w:rsidRPr="003C4B2D" w:rsidRDefault="003C4B2D" w:rsidP="003C4B2D">
            <w:pPr>
              <w:rPr>
                <w:rFonts w:eastAsia="Times New Roman"/>
                <w:color w:val="000000"/>
                <w:spacing w:val="-6"/>
              </w:rPr>
            </w:pPr>
            <w:r w:rsidRPr="003C4B2D">
              <w:rPr>
                <w:rFonts w:eastAsia="Times New Roman"/>
                <w:color w:val="000000"/>
                <w:spacing w:val="-6"/>
              </w:rPr>
              <w:t>1.03 (0.55, 1.94)</w:t>
            </w:r>
          </w:p>
        </w:tc>
      </w:tr>
      <w:tr w:rsidR="003C4B2D" w:rsidRPr="003C4B2D" w14:paraId="7ECB55F2" w14:textId="77777777" w:rsidTr="00885C57">
        <w:trPr>
          <w:trHeight w:val="276"/>
          <w:tblHeader/>
          <w:jc w:val="center"/>
        </w:trPr>
        <w:tc>
          <w:tcPr>
            <w:tcW w:w="0" w:type="auto"/>
            <w:shd w:val="clear" w:color="auto" w:fill="auto"/>
            <w:noWrap/>
            <w:vAlign w:val="center"/>
            <w:hideMark/>
          </w:tcPr>
          <w:p w14:paraId="6F27B692" w14:textId="77777777" w:rsidR="003C4B2D" w:rsidRPr="00B868D7" w:rsidRDefault="003C4B2D" w:rsidP="005C0468">
            <w:pPr>
              <w:rPr>
                <w:rFonts w:eastAsia="Times New Roman"/>
                <w:color w:val="000000"/>
              </w:rPr>
            </w:pPr>
            <w:r w:rsidRPr="00B868D7">
              <w:rPr>
                <w:rFonts w:eastAsia="Times New Roman"/>
                <w:color w:val="000000"/>
              </w:rPr>
              <w:t>Alcohol</w:t>
            </w:r>
          </w:p>
        </w:tc>
        <w:tc>
          <w:tcPr>
            <w:tcW w:w="0" w:type="auto"/>
            <w:shd w:val="clear" w:color="auto" w:fill="auto"/>
            <w:noWrap/>
            <w:vAlign w:val="center"/>
            <w:hideMark/>
          </w:tcPr>
          <w:p w14:paraId="6193F2BA" w14:textId="77777777" w:rsidR="003C4B2D" w:rsidRPr="003C4B2D" w:rsidRDefault="003C4B2D" w:rsidP="005C0468">
            <w:pPr>
              <w:rPr>
                <w:rFonts w:eastAsia="Times New Roman"/>
                <w:color w:val="000000"/>
              </w:rPr>
            </w:pPr>
            <w:r w:rsidRPr="003C4B2D">
              <w:rPr>
                <w:rFonts w:eastAsia="Times New Roman"/>
                <w:color w:val="000000"/>
              </w:rPr>
              <w:t>0.82 (0.50, 1.34)</w:t>
            </w:r>
          </w:p>
        </w:tc>
        <w:tc>
          <w:tcPr>
            <w:tcW w:w="0" w:type="auto"/>
            <w:vAlign w:val="center"/>
          </w:tcPr>
          <w:p w14:paraId="03D3B4CC" w14:textId="77777777" w:rsidR="003C4B2D" w:rsidRPr="003C4B2D" w:rsidRDefault="003C4B2D" w:rsidP="005C0468">
            <w:pPr>
              <w:rPr>
                <w:rFonts w:eastAsia="Times New Roman"/>
                <w:color w:val="000000"/>
                <w:spacing w:val="-6"/>
              </w:rPr>
            </w:pPr>
            <w:r w:rsidRPr="003C4B2D">
              <w:rPr>
                <w:rFonts w:eastAsia="Times New Roman"/>
                <w:color w:val="000000"/>
                <w:spacing w:val="-6"/>
              </w:rPr>
              <w:t>0.03 (-0.34, 0.39)</w:t>
            </w:r>
          </w:p>
        </w:tc>
        <w:tc>
          <w:tcPr>
            <w:tcW w:w="0" w:type="auto"/>
            <w:vAlign w:val="center"/>
          </w:tcPr>
          <w:p w14:paraId="6BCBA6CF" w14:textId="77777777" w:rsidR="003C4B2D" w:rsidRPr="003C4B2D" w:rsidRDefault="003C4B2D" w:rsidP="003C4B2D">
            <w:pPr>
              <w:rPr>
                <w:rFonts w:eastAsia="Times New Roman"/>
                <w:color w:val="000000"/>
                <w:spacing w:val="-6"/>
              </w:rPr>
            </w:pPr>
            <w:r w:rsidRPr="003C4B2D">
              <w:rPr>
                <w:rFonts w:eastAsia="Times New Roman"/>
                <w:color w:val="000000"/>
                <w:spacing w:val="-6"/>
              </w:rPr>
              <w:t>0.61 (0.32, 1.17)</w:t>
            </w:r>
          </w:p>
        </w:tc>
      </w:tr>
      <w:tr w:rsidR="003C4B2D" w:rsidRPr="003C4B2D" w14:paraId="0F5BD9C1" w14:textId="77777777" w:rsidTr="00885C57">
        <w:trPr>
          <w:trHeight w:val="276"/>
          <w:tblHeader/>
          <w:jc w:val="center"/>
        </w:trPr>
        <w:tc>
          <w:tcPr>
            <w:tcW w:w="0" w:type="auto"/>
            <w:shd w:val="clear" w:color="auto" w:fill="auto"/>
            <w:noWrap/>
            <w:vAlign w:val="center"/>
            <w:hideMark/>
          </w:tcPr>
          <w:p w14:paraId="59AD23C4" w14:textId="77777777" w:rsidR="003C4B2D" w:rsidRPr="00B868D7" w:rsidRDefault="003C4B2D" w:rsidP="005C0468">
            <w:pPr>
              <w:rPr>
                <w:rFonts w:eastAsia="Times New Roman"/>
                <w:color w:val="000000"/>
              </w:rPr>
            </w:pPr>
            <w:r w:rsidRPr="00B868D7">
              <w:rPr>
                <w:rFonts w:eastAsia="Times New Roman"/>
                <w:color w:val="000000"/>
              </w:rPr>
              <w:t>Erectile dysfunction medications</w:t>
            </w:r>
          </w:p>
        </w:tc>
        <w:tc>
          <w:tcPr>
            <w:tcW w:w="0" w:type="auto"/>
            <w:shd w:val="clear" w:color="auto" w:fill="auto"/>
            <w:noWrap/>
            <w:vAlign w:val="center"/>
            <w:hideMark/>
          </w:tcPr>
          <w:p w14:paraId="624203F9" w14:textId="77777777" w:rsidR="003C4B2D" w:rsidRPr="003C4B2D" w:rsidRDefault="003C4B2D" w:rsidP="005C0468">
            <w:pPr>
              <w:rPr>
                <w:rFonts w:eastAsia="Times New Roman"/>
                <w:color w:val="000000"/>
              </w:rPr>
            </w:pPr>
            <w:r w:rsidRPr="003C4B2D">
              <w:rPr>
                <w:rFonts w:eastAsia="Times New Roman"/>
                <w:color w:val="000000"/>
              </w:rPr>
              <w:t>2.23* (1.26, 3.96)</w:t>
            </w:r>
          </w:p>
        </w:tc>
        <w:tc>
          <w:tcPr>
            <w:tcW w:w="0" w:type="auto"/>
            <w:vAlign w:val="center"/>
          </w:tcPr>
          <w:p w14:paraId="199F4545" w14:textId="77777777" w:rsidR="003C4B2D" w:rsidRPr="003C4B2D" w:rsidRDefault="003C4B2D" w:rsidP="005C0468">
            <w:pPr>
              <w:rPr>
                <w:rFonts w:eastAsia="Times New Roman"/>
                <w:color w:val="000000"/>
                <w:spacing w:val="-6"/>
              </w:rPr>
            </w:pPr>
            <w:r w:rsidRPr="003C4B2D">
              <w:rPr>
                <w:rFonts w:eastAsia="Times New Roman"/>
                <w:color w:val="000000"/>
                <w:spacing w:val="-6"/>
              </w:rPr>
              <w:t>0.26 (-0.19, 0.72)</w:t>
            </w:r>
          </w:p>
        </w:tc>
        <w:tc>
          <w:tcPr>
            <w:tcW w:w="0" w:type="auto"/>
            <w:vAlign w:val="center"/>
          </w:tcPr>
          <w:p w14:paraId="0E312B6E" w14:textId="77777777" w:rsidR="003C4B2D" w:rsidRPr="003C4B2D" w:rsidRDefault="003C4B2D" w:rsidP="003C4B2D">
            <w:pPr>
              <w:rPr>
                <w:rFonts w:eastAsia="Times New Roman"/>
                <w:color w:val="000000"/>
                <w:spacing w:val="-6"/>
              </w:rPr>
            </w:pPr>
            <w:r w:rsidRPr="003C4B2D">
              <w:rPr>
                <w:rFonts w:eastAsia="Times New Roman"/>
                <w:color w:val="000000"/>
                <w:spacing w:val="-6"/>
              </w:rPr>
              <w:t>2.02 (0.83, 4.88)</w:t>
            </w:r>
          </w:p>
        </w:tc>
      </w:tr>
      <w:tr w:rsidR="006711BB" w:rsidRPr="003C4B2D" w14:paraId="7568A96F" w14:textId="77777777" w:rsidTr="00885C57">
        <w:trPr>
          <w:trHeight w:val="276"/>
          <w:tblHeader/>
          <w:jc w:val="center"/>
        </w:trPr>
        <w:tc>
          <w:tcPr>
            <w:tcW w:w="0" w:type="auto"/>
            <w:shd w:val="clear" w:color="auto" w:fill="auto"/>
            <w:noWrap/>
            <w:vAlign w:val="center"/>
          </w:tcPr>
          <w:p w14:paraId="51BD7CD5" w14:textId="77777777" w:rsidR="006711BB" w:rsidRPr="00B868D7" w:rsidRDefault="006711BB" w:rsidP="005C0468">
            <w:pPr>
              <w:rPr>
                <w:rFonts w:eastAsia="Times New Roman"/>
                <w:color w:val="000000"/>
              </w:rPr>
            </w:pPr>
            <w:r w:rsidRPr="00B868D7">
              <w:rPr>
                <w:rFonts w:eastAsia="Times New Roman"/>
                <w:color w:val="000000"/>
              </w:rPr>
              <w:t>GHB</w:t>
            </w:r>
          </w:p>
        </w:tc>
        <w:tc>
          <w:tcPr>
            <w:tcW w:w="0" w:type="auto"/>
            <w:shd w:val="clear" w:color="auto" w:fill="auto"/>
            <w:noWrap/>
            <w:vAlign w:val="center"/>
          </w:tcPr>
          <w:p w14:paraId="6D6AC84D" w14:textId="77777777" w:rsidR="006711BB" w:rsidRPr="003C4B2D" w:rsidRDefault="006711BB" w:rsidP="005C0468">
            <w:pPr>
              <w:rPr>
                <w:rFonts w:eastAsia="Times New Roman"/>
                <w:color w:val="000000"/>
              </w:rPr>
            </w:pPr>
            <w:r w:rsidRPr="003C4B2D">
              <w:rPr>
                <w:rFonts w:eastAsia="Times New Roman"/>
                <w:color w:val="000000"/>
              </w:rPr>
              <w:t>1.50 (0.54, 4.17)</w:t>
            </w:r>
          </w:p>
        </w:tc>
        <w:tc>
          <w:tcPr>
            <w:tcW w:w="0" w:type="auto"/>
            <w:vAlign w:val="center"/>
          </w:tcPr>
          <w:p w14:paraId="34931268" w14:textId="77777777" w:rsidR="006711BB" w:rsidRPr="003C4B2D" w:rsidRDefault="006711BB" w:rsidP="005C0468">
            <w:pPr>
              <w:rPr>
                <w:rFonts w:eastAsia="Times New Roman"/>
                <w:color w:val="000000"/>
                <w:spacing w:val="-6"/>
              </w:rPr>
            </w:pPr>
            <w:r w:rsidRPr="003C4B2D">
              <w:rPr>
                <w:rFonts w:eastAsia="Times New Roman"/>
                <w:color w:val="000000"/>
                <w:spacing w:val="-6"/>
              </w:rPr>
              <w:t>-0.02 (-0.80, 0.72)</w:t>
            </w:r>
          </w:p>
        </w:tc>
        <w:tc>
          <w:tcPr>
            <w:tcW w:w="0" w:type="auto"/>
            <w:vAlign w:val="center"/>
          </w:tcPr>
          <w:p w14:paraId="0935F0EF" w14:textId="77777777" w:rsidR="006711BB" w:rsidRPr="003C4B2D" w:rsidRDefault="006711BB" w:rsidP="003C4B2D">
            <w:pPr>
              <w:rPr>
                <w:rFonts w:eastAsia="Times New Roman"/>
                <w:color w:val="000000"/>
                <w:spacing w:val="-6"/>
              </w:rPr>
            </w:pPr>
            <w:r w:rsidRPr="003C4B2D">
              <w:rPr>
                <w:rFonts w:eastAsia="Times New Roman"/>
                <w:color w:val="000000"/>
                <w:spacing w:val="-6"/>
              </w:rPr>
              <w:t>3.93 (0.70, 22.04)</w:t>
            </w:r>
          </w:p>
        </w:tc>
      </w:tr>
      <w:tr w:rsidR="006711BB" w:rsidRPr="003C4B2D" w14:paraId="0E69D710" w14:textId="77777777" w:rsidTr="00885C57">
        <w:trPr>
          <w:trHeight w:val="276"/>
          <w:tblHeader/>
          <w:jc w:val="center"/>
        </w:trPr>
        <w:tc>
          <w:tcPr>
            <w:tcW w:w="0" w:type="auto"/>
            <w:shd w:val="clear" w:color="auto" w:fill="auto"/>
            <w:noWrap/>
            <w:vAlign w:val="center"/>
          </w:tcPr>
          <w:p w14:paraId="4B38F265" w14:textId="77777777" w:rsidR="006711BB" w:rsidRPr="00B868D7" w:rsidRDefault="006711BB" w:rsidP="005C0468">
            <w:pPr>
              <w:rPr>
                <w:rFonts w:eastAsia="Times New Roman"/>
                <w:color w:val="000000"/>
              </w:rPr>
            </w:pPr>
            <w:r w:rsidRPr="00B868D7">
              <w:rPr>
                <w:rFonts w:eastAsia="Times New Roman"/>
                <w:color w:val="000000"/>
              </w:rPr>
              <w:t>Crystal methamphetamine</w:t>
            </w:r>
          </w:p>
        </w:tc>
        <w:tc>
          <w:tcPr>
            <w:tcW w:w="0" w:type="auto"/>
            <w:shd w:val="clear" w:color="auto" w:fill="auto"/>
            <w:noWrap/>
            <w:vAlign w:val="center"/>
          </w:tcPr>
          <w:p w14:paraId="62B7FC42" w14:textId="77777777" w:rsidR="006711BB" w:rsidRPr="003C4B2D" w:rsidRDefault="006711BB" w:rsidP="005C0468">
            <w:pPr>
              <w:rPr>
                <w:rFonts w:eastAsia="Times New Roman"/>
                <w:color w:val="000000"/>
              </w:rPr>
            </w:pPr>
            <w:r w:rsidRPr="003C4B2D">
              <w:rPr>
                <w:rFonts w:eastAsia="Times New Roman"/>
                <w:color w:val="000000"/>
              </w:rPr>
              <w:t>3.18* (1.19, 8.48)</w:t>
            </w:r>
          </w:p>
        </w:tc>
        <w:tc>
          <w:tcPr>
            <w:tcW w:w="0" w:type="auto"/>
            <w:vAlign w:val="center"/>
          </w:tcPr>
          <w:p w14:paraId="47555B93" w14:textId="77777777" w:rsidR="006711BB" w:rsidRPr="003C4B2D" w:rsidRDefault="006711BB" w:rsidP="005C0468">
            <w:pPr>
              <w:rPr>
                <w:rFonts w:eastAsia="Times New Roman"/>
                <w:color w:val="000000"/>
                <w:spacing w:val="-6"/>
              </w:rPr>
            </w:pPr>
            <w:r w:rsidRPr="003C4B2D">
              <w:rPr>
                <w:rFonts w:eastAsia="Times New Roman"/>
                <w:color w:val="000000"/>
                <w:spacing w:val="-6"/>
              </w:rPr>
              <w:t>0.17 (-0.55, 0.89)</w:t>
            </w:r>
          </w:p>
        </w:tc>
        <w:tc>
          <w:tcPr>
            <w:tcW w:w="0" w:type="auto"/>
            <w:vAlign w:val="center"/>
          </w:tcPr>
          <w:p w14:paraId="30A6E9F3" w14:textId="77777777" w:rsidR="006711BB" w:rsidRPr="003C4B2D" w:rsidRDefault="006711BB" w:rsidP="003C4B2D">
            <w:pPr>
              <w:rPr>
                <w:rFonts w:eastAsia="Times New Roman"/>
                <w:color w:val="000000"/>
                <w:spacing w:val="-6"/>
              </w:rPr>
            </w:pPr>
            <w:r w:rsidRPr="003C4B2D">
              <w:rPr>
                <w:rFonts w:eastAsia="Times New Roman"/>
                <w:color w:val="000000"/>
                <w:spacing w:val="-6"/>
              </w:rPr>
              <w:t>0.15*** (0.05, 0.53)</w:t>
            </w:r>
          </w:p>
        </w:tc>
      </w:tr>
      <w:tr w:rsidR="006711BB" w:rsidRPr="003C4B2D" w14:paraId="64B9D153" w14:textId="77777777" w:rsidTr="00885C57">
        <w:trPr>
          <w:trHeight w:val="276"/>
          <w:tblHeader/>
          <w:jc w:val="center"/>
        </w:trPr>
        <w:tc>
          <w:tcPr>
            <w:tcW w:w="0" w:type="auto"/>
            <w:shd w:val="clear" w:color="auto" w:fill="auto"/>
            <w:noWrap/>
            <w:vAlign w:val="center"/>
          </w:tcPr>
          <w:p w14:paraId="0D6C34BE" w14:textId="77777777" w:rsidR="006711BB" w:rsidRPr="00B868D7" w:rsidRDefault="006711BB" w:rsidP="005C0468">
            <w:pPr>
              <w:rPr>
                <w:rFonts w:eastAsia="Times New Roman"/>
                <w:color w:val="000000"/>
              </w:rPr>
            </w:pPr>
            <w:r w:rsidRPr="00B868D7">
              <w:rPr>
                <w:rFonts w:eastAsia="Times New Roman"/>
                <w:color w:val="000000"/>
              </w:rPr>
              <w:t>MDMA</w:t>
            </w:r>
          </w:p>
        </w:tc>
        <w:tc>
          <w:tcPr>
            <w:tcW w:w="0" w:type="auto"/>
            <w:shd w:val="clear" w:color="auto" w:fill="auto"/>
            <w:noWrap/>
            <w:vAlign w:val="center"/>
          </w:tcPr>
          <w:p w14:paraId="0B300BC8" w14:textId="77777777" w:rsidR="006711BB" w:rsidRPr="003C4B2D" w:rsidRDefault="006711BB" w:rsidP="005C0468">
            <w:pPr>
              <w:rPr>
                <w:rFonts w:eastAsia="Times New Roman"/>
                <w:color w:val="000000"/>
              </w:rPr>
            </w:pPr>
            <w:r w:rsidRPr="003C4B2D">
              <w:rPr>
                <w:rFonts w:eastAsia="Times New Roman"/>
                <w:color w:val="000000"/>
              </w:rPr>
              <w:t>0.64 (0.25, 1.61)</w:t>
            </w:r>
          </w:p>
        </w:tc>
        <w:tc>
          <w:tcPr>
            <w:tcW w:w="0" w:type="auto"/>
            <w:vAlign w:val="center"/>
          </w:tcPr>
          <w:p w14:paraId="4D40B852" w14:textId="77777777" w:rsidR="006711BB" w:rsidRPr="003C4B2D" w:rsidRDefault="006711BB" w:rsidP="005C0468">
            <w:pPr>
              <w:rPr>
                <w:rFonts w:eastAsia="Times New Roman"/>
                <w:color w:val="000000"/>
                <w:spacing w:val="-6"/>
              </w:rPr>
            </w:pPr>
            <w:r w:rsidRPr="003C4B2D">
              <w:rPr>
                <w:rFonts w:eastAsia="Times New Roman"/>
                <w:color w:val="000000"/>
                <w:spacing w:val="-6"/>
              </w:rPr>
              <w:t>0.24 (-0.46, 0.94)</w:t>
            </w:r>
          </w:p>
        </w:tc>
        <w:tc>
          <w:tcPr>
            <w:tcW w:w="0" w:type="auto"/>
            <w:vAlign w:val="center"/>
          </w:tcPr>
          <w:p w14:paraId="46EBF243" w14:textId="77777777" w:rsidR="006711BB" w:rsidRPr="003C4B2D" w:rsidRDefault="006711BB" w:rsidP="003C4B2D">
            <w:pPr>
              <w:rPr>
                <w:rFonts w:eastAsia="Times New Roman"/>
                <w:color w:val="000000"/>
                <w:spacing w:val="-6"/>
              </w:rPr>
            </w:pPr>
            <w:r w:rsidRPr="003C4B2D">
              <w:rPr>
                <w:rFonts w:eastAsia="Times New Roman"/>
                <w:color w:val="000000"/>
                <w:spacing w:val="-6"/>
              </w:rPr>
              <w:t>1.33 (0.38, 4.64)</w:t>
            </w:r>
          </w:p>
        </w:tc>
      </w:tr>
      <w:tr w:rsidR="006711BB" w:rsidRPr="003C4B2D" w14:paraId="42DA5767" w14:textId="77777777" w:rsidTr="00885C57">
        <w:trPr>
          <w:trHeight w:val="276"/>
          <w:tblHeader/>
          <w:jc w:val="center"/>
        </w:trPr>
        <w:tc>
          <w:tcPr>
            <w:tcW w:w="0" w:type="auto"/>
            <w:shd w:val="clear" w:color="auto" w:fill="auto"/>
            <w:noWrap/>
            <w:vAlign w:val="center"/>
          </w:tcPr>
          <w:p w14:paraId="47A046F3" w14:textId="77777777" w:rsidR="006711BB" w:rsidRPr="00B868D7" w:rsidRDefault="006711BB" w:rsidP="005C0468">
            <w:pPr>
              <w:rPr>
                <w:rFonts w:eastAsia="Times New Roman"/>
                <w:color w:val="000000"/>
              </w:rPr>
            </w:pPr>
            <w:r w:rsidRPr="00B868D7">
              <w:rPr>
                <w:rFonts w:eastAsia="Times New Roman"/>
                <w:color w:val="000000"/>
              </w:rPr>
              <w:t>Mephedrone</w:t>
            </w:r>
          </w:p>
        </w:tc>
        <w:tc>
          <w:tcPr>
            <w:tcW w:w="0" w:type="auto"/>
            <w:shd w:val="clear" w:color="auto" w:fill="auto"/>
            <w:noWrap/>
            <w:vAlign w:val="center"/>
          </w:tcPr>
          <w:p w14:paraId="6ACEC466" w14:textId="77777777" w:rsidR="006711BB" w:rsidRPr="003C4B2D" w:rsidRDefault="006711BB" w:rsidP="005C0468">
            <w:pPr>
              <w:rPr>
                <w:rFonts w:eastAsia="Times New Roman"/>
                <w:color w:val="000000"/>
              </w:rPr>
            </w:pPr>
            <w:r w:rsidRPr="003C4B2D">
              <w:rPr>
                <w:rFonts w:eastAsia="Times New Roman"/>
                <w:color w:val="000000"/>
              </w:rPr>
              <w:t>1.05 (0.42, 2.59)</w:t>
            </w:r>
          </w:p>
        </w:tc>
        <w:tc>
          <w:tcPr>
            <w:tcW w:w="0" w:type="auto"/>
            <w:vAlign w:val="center"/>
          </w:tcPr>
          <w:p w14:paraId="19515B04" w14:textId="77777777" w:rsidR="006711BB" w:rsidRPr="003C4B2D" w:rsidRDefault="006711BB" w:rsidP="005C0468">
            <w:pPr>
              <w:rPr>
                <w:rFonts w:eastAsia="Times New Roman"/>
                <w:color w:val="000000"/>
                <w:spacing w:val="-6"/>
              </w:rPr>
            </w:pPr>
            <w:r w:rsidRPr="003C4B2D">
              <w:rPr>
                <w:rFonts w:eastAsia="Times New Roman"/>
                <w:color w:val="000000"/>
                <w:spacing w:val="-6"/>
              </w:rPr>
              <w:t>0.02 (-0.67, 0.72)</w:t>
            </w:r>
          </w:p>
        </w:tc>
        <w:tc>
          <w:tcPr>
            <w:tcW w:w="0" w:type="auto"/>
            <w:vAlign w:val="center"/>
          </w:tcPr>
          <w:p w14:paraId="611D79E6" w14:textId="77777777" w:rsidR="006711BB" w:rsidRPr="003C4B2D" w:rsidRDefault="006711BB" w:rsidP="003C4B2D">
            <w:pPr>
              <w:rPr>
                <w:rFonts w:eastAsia="Times New Roman"/>
                <w:color w:val="000000"/>
                <w:spacing w:val="-6"/>
              </w:rPr>
            </w:pPr>
            <w:r w:rsidRPr="003C4B2D">
              <w:rPr>
                <w:rFonts w:eastAsia="Times New Roman"/>
                <w:color w:val="000000"/>
                <w:spacing w:val="-6"/>
              </w:rPr>
              <w:t>1.39 (0.35, 5.53)</w:t>
            </w:r>
          </w:p>
        </w:tc>
      </w:tr>
      <w:tr w:rsidR="006711BB" w:rsidRPr="003C4B2D" w14:paraId="3D74A045" w14:textId="77777777" w:rsidTr="00885C57">
        <w:trPr>
          <w:trHeight w:val="276"/>
          <w:tblHeader/>
          <w:jc w:val="center"/>
        </w:trPr>
        <w:tc>
          <w:tcPr>
            <w:tcW w:w="0" w:type="auto"/>
            <w:shd w:val="clear" w:color="auto" w:fill="auto"/>
            <w:noWrap/>
            <w:vAlign w:val="center"/>
          </w:tcPr>
          <w:p w14:paraId="4D57E501" w14:textId="77777777" w:rsidR="006711BB" w:rsidRPr="00B868D7" w:rsidRDefault="006711BB" w:rsidP="005C0468">
            <w:pPr>
              <w:rPr>
                <w:rFonts w:eastAsia="Times New Roman"/>
                <w:color w:val="000000"/>
              </w:rPr>
            </w:pPr>
            <w:r w:rsidRPr="00B868D7">
              <w:rPr>
                <w:rFonts w:eastAsia="Times New Roman"/>
                <w:color w:val="000000"/>
              </w:rPr>
              <w:t>Cocaine</w:t>
            </w:r>
          </w:p>
        </w:tc>
        <w:tc>
          <w:tcPr>
            <w:tcW w:w="0" w:type="auto"/>
            <w:shd w:val="clear" w:color="auto" w:fill="auto"/>
            <w:noWrap/>
            <w:vAlign w:val="center"/>
          </w:tcPr>
          <w:p w14:paraId="3FF9485B" w14:textId="77777777" w:rsidR="006711BB" w:rsidRPr="003C4B2D" w:rsidRDefault="006711BB" w:rsidP="005C0468">
            <w:pPr>
              <w:rPr>
                <w:rFonts w:eastAsia="Times New Roman"/>
                <w:color w:val="000000"/>
              </w:rPr>
            </w:pPr>
            <w:r w:rsidRPr="003C4B2D">
              <w:rPr>
                <w:rFonts w:eastAsia="Times New Roman"/>
                <w:color w:val="000000"/>
              </w:rPr>
              <w:t>0.92 (0.39, 2.14)</w:t>
            </w:r>
          </w:p>
        </w:tc>
        <w:tc>
          <w:tcPr>
            <w:tcW w:w="0" w:type="auto"/>
            <w:vAlign w:val="center"/>
          </w:tcPr>
          <w:p w14:paraId="5959A199" w14:textId="77777777" w:rsidR="006711BB" w:rsidRPr="003C4B2D" w:rsidRDefault="006711BB" w:rsidP="005C0468">
            <w:pPr>
              <w:rPr>
                <w:rFonts w:eastAsia="Times New Roman"/>
                <w:color w:val="000000"/>
                <w:spacing w:val="-6"/>
              </w:rPr>
            </w:pPr>
            <w:r w:rsidRPr="003C4B2D">
              <w:rPr>
                <w:rFonts w:eastAsia="Times New Roman"/>
                <w:color w:val="000000"/>
                <w:spacing w:val="-6"/>
              </w:rPr>
              <w:t>0.04 (-0.61, 0.70)</w:t>
            </w:r>
          </w:p>
        </w:tc>
        <w:tc>
          <w:tcPr>
            <w:tcW w:w="0" w:type="auto"/>
            <w:vAlign w:val="center"/>
          </w:tcPr>
          <w:p w14:paraId="5E9962EA" w14:textId="77777777" w:rsidR="006711BB" w:rsidRPr="003C4B2D" w:rsidRDefault="006711BB" w:rsidP="003C4B2D">
            <w:pPr>
              <w:rPr>
                <w:rFonts w:eastAsia="Times New Roman"/>
                <w:color w:val="000000"/>
                <w:spacing w:val="-6"/>
              </w:rPr>
            </w:pPr>
            <w:r w:rsidRPr="003C4B2D">
              <w:rPr>
                <w:rFonts w:eastAsia="Times New Roman"/>
                <w:i/>
                <w:iCs/>
                <w:color w:val="000000"/>
                <w:spacing w:val="-6"/>
              </w:rPr>
              <w:t>0.37 (0.13, 1.03)</w:t>
            </w:r>
          </w:p>
        </w:tc>
      </w:tr>
      <w:tr w:rsidR="00BF3E6A" w:rsidRPr="003C4B2D" w14:paraId="3A7BF5BB" w14:textId="77777777" w:rsidTr="00885C57">
        <w:trPr>
          <w:trHeight w:val="276"/>
          <w:tblHeader/>
          <w:jc w:val="center"/>
        </w:trPr>
        <w:tc>
          <w:tcPr>
            <w:tcW w:w="0" w:type="auto"/>
            <w:shd w:val="clear" w:color="auto" w:fill="auto"/>
            <w:noWrap/>
            <w:vAlign w:val="center"/>
          </w:tcPr>
          <w:p w14:paraId="3E355B2C" w14:textId="77777777" w:rsidR="00BF3E6A" w:rsidRPr="00B868D7" w:rsidRDefault="00BF3E6A" w:rsidP="005C0468">
            <w:pPr>
              <w:rPr>
                <w:rFonts w:eastAsia="Times New Roman"/>
                <w:color w:val="000000"/>
              </w:rPr>
            </w:pPr>
            <w:r w:rsidRPr="00B868D7">
              <w:rPr>
                <w:rFonts w:eastAsia="Times New Roman"/>
                <w:color w:val="000000"/>
              </w:rPr>
              <w:t>Ketamine</w:t>
            </w:r>
          </w:p>
        </w:tc>
        <w:tc>
          <w:tcPr>
            <w:tcW w:w="0" w:type="auto"/>
            <w:shd w:val="clear" w:color="auto" w:fill="auto"/>
            <w:noWrap/>
            <w:vAlign w:val="center"/>
          </w:tcPr>
          <w:p w14:paraId="1FF7743D" w14:textId="77777777" w:rsidR="00BF3E6A" w:rsidRPr="003C4B2D" w:rsidRDefault="00BF3E6A" w:rsidP="005C0468">
            <w:pPr>
              <w:rPr>
                <w:rFonts w:eastAsia="Times New Roman"/>
                <w:color w:val="000000"/>
              </w:rPr>
            </w:pPr>
            <w:r w:rsidRPr="003C4B2D">
              <w:rPr>
                <w:rFonts w:eastAsia="Times New Roman"/>
                <w:color w:val="000000"/>
              </w:rPr>
              <w:t>1.64 (0.63, 4.30)</w:t>
            </w:r>
          </w:p>
        </w:tc>
        <w:tc>
          <w:tcPr>
            <w:tcW w:w="0" w:type="auto"/>
            <w:vAlign w:val="center"/>
          </w:tcPr>
          <w:p w14:paraId="7333060C" w14:textId="77777777" w:rsidR="00BF3E6A" w:rsidRPr="003C4B2D" w:rsidRDefault="00BF3E6A" w:rsidP="005C0468">
            <w:pPr>
              <w:rPr>
                <w:rFonts w:eastAsia="Times New Roman"/>
                <w:color w:val="000000"/>
                <w:spacing w:val="-6"/>
              </w:rPr>
            </w:pPr>
            <w:r w:rsidRPr="003C4B2D">
              <w:rPr>
                <w:rFonts w:eastAsia="Times New Roman"/>
                <w:color w:val="000000"/>
                <w:spacing w:val="-6"/>
              </w:rPr>
              <w:t>0.002 (-0.61, 0.70)</w:t>
            </w:r>
          </w:p>
        </w:tc>
        <w:tc>
          <w:tcPr>
            <w:tcW w:w="0" w:type="auto"/>
            <w:vAlign w:val="center"/>
          </w:tcPr>
          <w:p w14:paraId="077BFBEA" w14:textId="77777777" w:rsidR="00BF3E6A" w:rsidRPr="003C4B2D" w:rsidRDefault="00BF3E6A" w:rsidP="003C4B2D">
            <w:pPr>
              <w:rPr>
                <w:rFonts w:eastAsia="Times New Roman"/>
                <w:color w:val="000000"/>
                <w:spacing w:val="-6"/>
              </w:rPr>
            </w:pPr>
            <w:r w:rsidRPr="003C4B2D">
              <w:rPr>
                <w:rFonts w:eastAsia="Times New Roman"/>
                <w:color w:val="000000"/>
                <w:spacing w:val="-6"/>
              </w:rPr>
              <w:t>1.15 (0.31, 4.27)</w:t>
            </w:r>
          </w:p>
        </w:tc>
      </w:tr>
      <w:tr w:rsidR="00BF3E6A" w:rsidRPr="003C4B2D" w14:paraId="7F2F45FE" w14:textId="77777777" w:rsidTr="00885C57">
        <w:trPr>
          <w:trHeight w:val="276"/>
          <w:tblHeader/>
          <w:jc w:val="center"/>
        </w:trPr>
        <w:tc>
          <w:tcPr>
            <w:tcW w:w="0" w:type="auto"/>
            <w:shd w:val="clear" w:color="auto" w:fill="auto"/>
            <w:noWrap/>
            <w:vAlign w:val="center"/>
            <w:hideMark/>
          </w:tcPr>
          <w:p w14:paraId="408EE9D7" w14:textId="77777777" w:rsidR="00BF3E6A" w:rsidRPr="00B868D7" w:rsidRDefault="00BF3E6A" w:rsidP="005C0468">
            <w:pPr>
              <w:rPr>
                <w:rFonts w:eastAsia="Times New Roman"/>
                <w:color w:val="000000"/>
              </w:rPr>
            </w:pPr>
            <w:r w:rsidRPr="00B868D7">
              <w:rPr>
                <w:rFonts w:eastAsia="Times New Roman"/>
                <w:color w:val="000000"/>
              </w:rPr>
              <w:t>Cannabis</w:t>
            </w:r>
          </w:p>
        </w:tc>
        <w:tc>
          <w:tcPr>
            <w:tcW w:w="0" w:type="auto"/>
            <w:shd w:val="clear" w:color="auto" w:fill="auto"/>
            <w:noWrap/>
            <w:vAlign w:val="center"/>
            <w:hideMark/>
          </w:tcPr>
          <w:p w14:paraId="45ADADF4" w14:textId="77777777" w:rsidR="00BF3E6A" w:rsidRPr="003C4B2D" w:rsidRDefault="00BF3E6A" w:rsidP="005C0468">
            <w:pPr>
              <w:rPr>
                <w:rFonts w:eastAsia="Times New Roman"/>
                <w:color w:val="000000"/>
              </w:rPr>
            </w:pPr>
            <w:r w:rsidRPr="003C4B2D">
              <w:rPr>
                <w:rFonts w:eastAsia="Times New Roman"/>
                <w:color w:val="000000"/>
              </w:rPr>
              <w:t>0.58 (0.21, 1.57)</w:t>
            </w:r>
          </w:p>
        </w:tc>
        <w:tc>
          <w:tcPr>
            <w:tcW w:w="0" w:type="auto"/>
            <w:vAlign w:val="center"/>
          </w:tcPr>
          <w:p w14:paraId="32F7431B" w14:textId="77777777" w:rsidR="00BF3E6A" w:rsidRPr="003C4B2D" w:rsidRDefault="00BF3E6A" w:rsidP="005C0468">
            <w:pPr>
              <w:rPr>
                <w:rFonts w:eastAsia="Times New Roman"/>
                <w:color w:val="000000"/>
                <w:spacing w:val="-6"/>
              </w:rPr>
            </w:pPr>
            <w:r w:rsidRPr="003C4B2D">
              <w:rPr>
                <w:rFonts w:eastAsia="Times New Roman"/>
                <w:color w:val="000000"/>
                <w:spacing w:val="-6"/>
              </w:rPr>
              <w:t>0.23 (-0.50, 0.95)</w:t>
            </w:r>
          </w:p>
        </w:tc>
        <w:tc>
          <w:tcPr>
            <w:tcW w:w="0" w:type="auto"/>
            <w:vAlign w:val="center"/>
          </w:tcPr>
          <w:p w14:paraId="52D63800" w14:textId="77777777" w:rsidR="00BF3E6A" w:rsidRPr="003C4B2D" w:rsidRDefault="00BF3E6A" w:rsidP="003C4B2D">
            <w:pPr>
              <w:rPr>
                <w:rFonts w:eastAsia="Times New Roman"/>
                <w:color w:val="000000"/>
                <w:spacing w:val="-6"/>
              </w:rPr>
            </w:pPr>
            <w:r w:rsidRPr="003C4B2D">
              <w:rPr>
                <w:rFonts w:eastAsia="Times New Roman"/>
                <w:color w:val="000000"/>
                <w:spacing w:val="-6"/>
              </w:rPr>
              <w:t>1.22 (0.32, 4.61)</w:t>
            </w:r>
          </w:p>
        </w:tc>
      </w:tr>
    </w:tbl>
    <w:p w14:paraId="539D13FD" w14:textId="77777777" w:rsidR="00885C57" w:rsidRPr="00885C57" w:rsidRDefault="00885C57" w:rsidP="00885C57">
      <w:r>
        <w:rPr>
          <w:vertAlign w:val="superscript"/>
        </w:rPr>
        <w:t>a</w:t>
      </w:r>
      <w:r>
        <w:t>*</w:t>
      </w:r>
      <w:r>
        <w:rPr>
          <w:i/>
        </w:rPr>
        <w:t>p</w:t>
      </w:r>
      <w:r>
        <w:t>&lt;0.05, **</w:t>
      </w:r>
      <w:r>
        <w:rPr>
          <w:i/>
        </w:rPr>
        <w:t>p</w:t>
      </w:r>
      <w:r>
        <w:t>&lt;0.01, ***</w:t>
      </w:r>
      <w:r>
        <w:rPr>
          <w:i/>
        </w:rPr>
        <w:t>p</w:t>
      </w:r>
      <w:r>
        <w:t>&lt;0.001</w:t>
      </w:r>
    </w:p>
    <w:p w14:paraId="4C14AE58" w14:textId="77777777" w:rsidR="005C0468" w:rsidRPr="005C0468" w:rsidRDefault="005C0468"/>
    <w:p w14:paraId="50715337" w14:textId="77777777" w:rsidR="00885C57" w:rsidRDefault="00885C57">
      <w:pPr>
        <w:rPr>
          <w:b/>
        </w:rPr>
        <w:sectPr w:rsidR="00885C57" w:rsidSect="0091216B">
          <w:pgSz w:w="16840" w:h="11900" w:orient="landscape"/>
          <w:pgMar w:top="1701" w:right="1701" w:bottom="1701" w:left="1701" w:header="709" w:footer="709" w:gutter="0"/>
          <w:cols w:space="708"/>
          <w:docGrid w:linePitch="360"/>
        </w:sectPr>
      </w:pPr>
    </w:p>
    <w:p w14:paraId="26923861" w14:textId="77777777" w:rsidR="005C0468" w:rsidRPr="00885C57" w:rsidRDefault="005C0468" w:rsidP="00885C57">
      <w:pPr>
        <w:spacing w:line="480" w:lineRule="auto"/>
        <w:jc w:val="center"/>
      </w:pPr>
      <w:r>
        <w:rPr>
          <w:b/>
        </w:rPr>
        <w:t xml:space="preserve">Table </w:t>
      </w:r>
      <w:r w:rsidR="00B868D7">
        <w:rPr>
          <w:b/>
        </w:rPr>
        <w:t>5.</w:t>
      </w:r>
      <w:r w:rsidR="00B868D7">
        <w:t xml:space="preserve">  Multivariate models.</w:t>
      </w:r>
      <w:r w:rsidR="00885C57">
        <w:rPr>
          <w:vertAlign w:val="superscript"/>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176"/>
        <w:gridCol w:w="2176"/>
        <w:gridCol w:w="2296"/>
      </w:tblGrid>
      <w:tr w:rsidR="00F244EA" w:rsidRPr="00F244EA" w14:paraId="2E37BC69" w14:textId="77777777" w:rsidTr="00885C57">
        <w:trPr>
          <w:trHeight w:val="255"/>
          <w:jc w:val="center"/>
        </w:trPr>
        <w:tc>
          <w:tcPr>
            <w:tcW w:w="0" w:type="auto"/>
            <w:vMerge w:val="restart"/>
            <w:shd w:val="clear" w:color="auto" w:fill="auto"/>
            <w:noWrap/>
            <w:vAlign w:val="center"/>
          </w:tcPr>
          <w:p w14:paraId="52899B15" w14:textId="77777777" w:rsidR="00F244EA" w:rsidRPr="00F244EA" w:rsidRDefault="00F244EA" w:rsidP="00F244EA">
            <w:pPr>
              <w:rPr>
                <w:rFonts w:eastAsia="Times New Roman"/>
                <w:b/>
                <w:bCs/>
                <w:color w:val="000000"/>
              </w:rPr>
            </w:pPr>
            <w:r w:rsidRPr="00F244EA">
              <w:rPr>
                <w:rFonts w:eastAsia="Times New Roman"/>
                <w:b/>
                <w:bCs/>
                <w:color w:val="000000"/>
              </w:rPr>
              <w:t>Variable</w:t>
            </w:r>
          </w:p>
        </w:tc>
        <w:tc>
          <w:tcPr>
            <w:tcW w:w="0" w:type="auto"/>
            <w:gridSpan w:val="2"/>
            <w:vAlign w:val="center"/>
          </w:tcPr>
          <w:p w14:paraId="040F572A" w14:textId="77777777" w:rsidR="00F244EA" w:rsidRPr="00F244EA" w:rsidRDefault="00F244EA" w:rsidP="00F244EA">
            <w:pPr>
              <w:rPr>
                <w:rFonts w:eastAsia="Times New Roman"/>
                <w:b/>
                <w:bCs/>
                <w:color w:val="000000"/>
              </w:rPr>
            </w:pPr>
            <w:r>
              <w:rPr>
                <w:rFonts w:eastAsia="Times New Roman"/>
                <w:b/>
                <w:bCs/>
                <w:color w:val="000000"/>
              </w:rPr>
              <w:t>UAI</w:t>
            </w:r>
          </w:p>
        </w:tc>
        <w:tc>
          <w:tcPr>
            <w:tcW w:w="0" w:type="auto"/>
            <w:vAlign w:val="center"/>
          </w:tcPr>
          <w:p w14:paraId="5B8F9443" w14:textId="77777777" w:rsidR="00F244EA" w:rsidRDefault="00F244EA" w:rsidP="00F244EA">
            <w:pPr>
              <w:rPr>
                <w:rFonts w:eastAsia="Times New Roman"/>
                <w:b/>
                <w:bCs/>
                <w:color w:val="000000"/>
              </w:rPr>
            </w:pPr>
            <w:r>
              <w:rPr>
                <w:rFonts w:eastAsia="Times New Roman"/>
                <w:b/>
                <w:bCs/>
                <w:color w:val="000000"/>
              </w:rPr>
              <w:t>Pleasure</w:t>
            </w:r>
          </w:p>
        </w:tc>
      </w:tr>
      <w:tr w:rsidR="00F244EA" w:rsidRPr="00F244EA" w14:paraId="5F830067" w14:textId="77777777" w:rsidTr="00885C57">
        <w:trPr>
          <w:trHeight w:val="255"/>
          <w:jc w:val="center"/>
        </w:trPr>
        <w:tc>
          <w:tcPr>
            <w:tcW w:w="0" w:type="auto"/>
            <w:vMerge/>
            <w:shd w:val="clear" w:color="auto" w:fill="auto"/>
            <w:noWrap/>
            <w:vAlign w:val="center"/>
            <w:hideMark/>
          </w:tcPr>
          <w:p w14:paraId="2B43DB77" w14:textId="77777777" w:rsidR="00F244EA" w:rsidRPr="00F244EA" w:rsidRDefault="00F244EA" w:rsidP="00F244EA">
            <w:pPr>
              <w:rPr>
                <w:rFonts w:eastAsia="Times New Roman"/>
                <w:b/>
                <w:bCs/>
                <w:color w:val="000000"/>
              </w:rPr>
            </w:pPr>
          </w:p>
        </w:tc>
        <w:tc>
          <w:tcPr>
            <w:tcW w:w="0" w:type="auto"/>
            <w:vAlign w:val="center"/>
          </w:tcPr>
          <w:p w14:paraId="65473D78" w14:textId="77777777" w:rsidR="00F244EA" w:rsidRPr="00F244EA" w:rsidRDefault="00F244EA" w:rsidP="00F244EA">
            <w:pPr>
              <w:rPr>
                <w:rFonts w:eastAsia="Times New Roman"/>
                <w:b/>
                <w:bCs/>
                <w:color w:val="000000"/>
              </w:rPr>
            </w:pPr>
            <w:r w:rsidRPr="00F244EA">
              <w:rPr>
                <w:rFonts w:eastAsia="Times New Roman"/>
                <w:b/>
                <w:bCs/>
                <w:color w:val="000000"/>
              </w:rPr>
              <w:t>Model 1</w:t>
            </w:r>
            <w:r w:rsidRPr="00F244EA">
              <w:rPr>
                <w:rFonts w:eastAsia="Times New Roman"/>
                <w:b/>
                <w:bCs/>
                <w:color w:val="000000"/>
              </w:rPr>
              <w:br/>
            </w:r>
            <w:r w:rsidRPr="00F244EA">
              <w:rPr>
                <w:rFonts w:eastAsia="Times New Roman"/>
                <w:bCs/>
                <w:color w:val="000000"/>
              </w:rPr>
              <w:t>n=431</w:t>
            </w:r>
          </w:p>
        </w:tc>
        <w:tc>
          <w:tcPr>
            <w:tcW w:w="0" w:type="auto"/>
            <w:vAlign w:val="center"/>
          </w:tcPr>
          <w:p w14:paraId="790E0B3E" w14:textId="77777777" w:rsidR="00F244EA" w:rsidRPr="00F244EA" w:rsidRDefault="00F244EA" w:rsidP="00F244EA">
            <w:pPr>
              <w:rPr>
                <w:rFonts w:eastAsia="Times New Roman"/>
                <w:b/>
                <w:bCs/>
                <w:color w:val="000000"/>
              </w:rPr>
            </w:pPr>
            <w:r w:rsidRPr="00F244EA">
              <w:rPr>
                <w:rFonts w:eastAsia="Times New Roman"/>
                <w:b/>
                <w:bCs/>
                <w:color w:val="000000"/>
              </w:rPr>
              <w:t>Model 2</w:t>
            </w:r>
            <w:r w:rsidRPr="00F244EA">
              <w:rPr>
                <w:rFonts w:eastAsia="Times New Roman"/>
                <w:b/>
                <w:bCs/>
                <w:color w:val="000000"/>
              </w:rPr>
              <w:br/>
            </w:r>
            <w:r w:rsidRPr="00F244EA">
              <w:rPr>
                <w:rFonts w:eastAsia="Times New Roman"/>
                <w:bCs/>
                <w:color w:val="000000"/>
              </w:rPr>
              <w:t>n=433</w:t>
            </w:r>
          </w:p>
        </w:tc>
        <w:tc>
          <w:tcPr>
            <w:tcW w:w="0" w:type="auto"/>
            <w:vAlign w:val="center"/>
          </w:tcPr>
          <w:p w14:paraId="2AD243E2" w14:textId="77777777" w:rsidR="00F244EA" w:rsidRPr="00F244EA" w:rsidRDefault="00F244EA" w:rsidP="00F244EA">
            <w:pPr>
              <w:rPr>
                <w:rFonts w:eastAsia="Times New Roman"/>
                <w:bCs/>
                <w:color w:val="000000"/>
              </w:rPr>
            </w:pPr>
            <w:r>
              <w:rPr>
                <w:rFonts w:eastAsia="Times New Roman"/>
                <w:bCs/>
                <w:color w:val="000000"/>
              </w:rPr>
              <w:t>n=424</w:t>
            </w:r>
          </w:p>
        </w:tc>
      </w:tr>
      <w:tr w:rsidR="00F244EA" w:rsidRPr="00F244EA" w14:paraId="03F91246" w14:textId="77777777" w:rsidTr="00885C57">
        <w:trPr>
          <w:trHeight w:val="255"/>
          <w:jc w:val="center"/>
        </w:trPr>
        <w:tc>
          <w:tcPr>
            <w:tcW w:w="0" w:type="auto"/>
            <w:vMerge/>
            <w:vAlign w:val="center"/>
            <w:hideMark/>
          </w:tcPr>
          <w:p w14:paraId="3FB35E50" w14:textId="77777777" w:rsidR="00F244EA" w:rsidRPr="00F244EA" w:rsidRDefault="00F244EA" w:rsidP="00F244EA">
            <w:pPr>
              <w:rPr>
                <w:rFonts w:eastAsia="Times New Roman"/>
                <w:b/>
                <w:bCs/>
                <w:color w:val="000000"/>
              </w:rPr>
            </w:pPr>
          </w:p>
        </w:tc>
        <w:tc>
          <w:tcPr>
            <w:tcW w:w="0" w:type="auto"/>
            <w:vAlign w:val="center"/>
          </w:tcPr>
          <w:p w14:paraId="5F35F64E" w14:textId="77777777" w:rsidR="00F244EA" w:rsidRPr="00F244EA" w:rsidRDefault="00F244EA" w:rsidP="00F244EA">
            <w:pPr>
              <w:rPr>
                <w:rFonts w:eastAsia="Times New Roman"/>
                <w:color w:val="000000"/>
              </w:rPr>
            </w:pPr>
            <w:r w:rsidRPr="00F244EA">
              <w:rPr>
                <w:rFonts w:eastAsia="Times New Roman"/>
                <w:color w:val="000000"/>
              </w:rPr>
              <w:t>OR (95% CI)</w:t>
            </w:r>
          </w:p>
        </w:tc>
        <w:tc>
          <w:tcPr>
            <w:tcW w:w="0" w:type="auto"/>
            <w:vAlign w:val="center"/>
          </w:tcPr>
          <w:p w14:paraId="343706F9" w14:textId="77777777" w:rsidR="00F244EA" w:rsidRPr="00F244EA" w:rsidRDefault="00F244EA" w:rsidP="00F244EA">
            <w:pPr>
              <w:rPr>
                <w:rFonts w:eastAsia="Times New Roman"/>
                <w:color w:val="000000"/>
              </w:rPr>
            </w:pPr>
            <w:r w:rsidRPr="00F244EA">
              <w:rPr>
                <w:rFonts w:eastAsia="Times New Roman"/>
                <w:color w:val="000000"/>
              </w:rPr>
              <w:t>OR (95% CI)</w:t>
            </w:r>
          </w:p>
        </w:tc>
        <w:tc>
          <w:tcPr>
            <w:tcW w:w="0" w:type="auto"/>
            <w:vAlign w:val="center"/>
          </w:tcPr>
          <w:p w14:paraId="3E1342DE" w14:textId="77777777" w:rsidR="00F244EA" w:rsidRPr="00F244EA" w:rsidRDefault="00F244EA" w:rsidP="00F244EA">
            <w:pPr>
              <w:rPr>
                <w:rFonts w:eastAsia="Times New Roman"/>
                <w:color w:val="000000"/>
              </w:rPr>
            </w:pPr>
            <w:r w:rsidRPr="00F244EA">
              <w:rPr>
                <w:rFonts w:eastAsia="Times New Roman"/>
                <w:color w:val="000000"/>
              </w:rPr>
              <w:t>Beta (95% CI)</w:t>
            </w:r>
          </w:p>
        </w:tc>
      </w:tr>
      <w:tr w:rsidR="00B868D7" w:rsidRPr="00F244EA" w14:paraId="61C1BB7E" w14:textId="77777777" w:rsidTr="00885C57">
        <w:trPr>
          <w:trHeight w:val="255"/>
          <w:jc w:val="center"/>
        </w:trPr>
        <w:tc>
          <w:tcPr>
            <w:tcW w:w="0" w:type="auto"/>
            <w:shd w:val="clear" w:color="auto" w:fill="auto"/>
            <w:noWrap/>
            <w:vAlign w:val="center"/>
            <w:hideMark/>
          </w:tcPr>
          <w:p w14:paraId="053EAFD2" w14:textId="77777777" w:rsidR="00B868D7" w:rsidRPr="00F244EA" w:rsidRDefault="00B868D7" w:rsidP="00F244EA">
            <w:pPr>
              <w:rPr>
                <w:rFonts w:eastAsia="Times New Roman"/>
                <w:b/>
                <w:bCs/>
                <w:color w:val="000000"/>
              </w:rPr>
            </w:pPr>
            <w:r w:rsidRPr="00F244EA">
              <w:rPr>
                <w:rFonts w:eastAsia="Times New Roman"/>
                <w:b/>
                <w:bCs/>
                <w:color w:val="000000"/>
              </w:rPr>
              <w:t>Intercept</w:t>
            </w:r>
          </w:p>
        </w:tc>
        <w:tc>
          <w:tcPr>
            <w:tcW w:w="0" w:type="auto"/>
            <w:vAlign w:val="center"/>
          </w:tcPr>
          <w:p w14:paraId="50EBBB18" w14:textId="77777777" w:rsidR="00B868D7" w:rsidRPr="00F244EA" w:rsidRDefault="00B868D7" w:rsidP="00F244EA">
            <w:pPr>
              <w:rPr>
                <w:rFonts w:eastAsia="Times New Roman"/>
                <w:color w:val="000000"/>
              </w:rPr>
            </w:pPr>
            <w:r w:rsidRPr="00F244EA">
              <w:rPr>
                <w:rFonts w:eastAsia="Times New Roman"/>
                <w:color w:val="000000"/>
              </w:rPr>
              <w:t>0.70 (0.39, 1.24)</w:t>
            </w:r>
          </w:p>
        </w:tc>
        <w:tc>
          <w:tcPr>
            <w:tcW w:w="0" w:type="auto"/>
            <w:vAlign w:val="center"/>
          </w:tcPr>
          <w:p w14:paraId="7E755D35" w14:textId="77777777" w:rsidR="00B868D7" w:rsidRPr="00F244EA" w:rsidRDefault="00B868D7" w:rsidP="00F244EA">
            <w:pPr>
              <w:rPr>
                <w:rFonts w:eastAsia="Times New Roman"/>
                <w:color w:val="000000"/>
              </w:rPr>
            </w:pPr>
            <w:r w:rsidRPr="00F244EA">
              <w:rPr>
                <w:rFonts w:eastAsia="Times New Roman"/>
                <w:color w:val="000000"/>
              </w:rPr>
              <w:t>0.75 (0.43, 1.29)</w:t>
            </w:r>
          </w:p>
        </w:tc>
        <w:tc>
          <w:tcPr>
            <w:tcW w:w="0" w:type="auto"/>
            <w:vAlign w:val="center"/>
          </w:tcPr>
          <w:p w14:paraId="7785C41E" w14:textId="77777777" w:rsidR="00B868D7" w:rsidRPr="00F244EA" w:rsidRDefault="00B868D7" w:rsidP="00F244EA">
            <w:pPr>
              <w:rPr>
                <w:rFonts w:eastAsia="Times New Roman"/>
                <w:color w:val="000000"/>
              </w:rPr>
            </w:pPr>
            <w:r w:rsidRPr="00F244EA">
              <w:rPr>
                <w:rFonts w:eastAsia="Times New Roman"/>
                <w:color w:val="000000"/>
              </w:rPr>
              <w:t>6.95*** (6.54, 7.36)</w:t>
            </w:r>
          </w:p>
        </w:tc>
      </w:tr>
      <w:tr w:rsidR="00B868D7" w:rsidRPr="00F244EA" w14:paraId="2642D8D6" w14:textId="77777777" w:rsidTr="00885C57">
        <w:trPr>
          <w:trHeight w:val="255"/>
          <w:jc w:val="center"/>
        </w:trPr>
        <w:tc>
          <w:tcPr>
            <w:tcW w:w="0" w:type="auto"/>
            <w:shd w:val="clear" w:color="auto" w:fill="auto"/>
            <w:noWrap/>
            <w:vAlign w:val="center"/>
            <w:hideMark/>
          </w:tcPr>
          <w:p w14:paraId="6042AFB5" w14:textId="77777777" w:rsidR="00B868D7" w:rsidRPr="00F244EA" w:rsidRDefault="00B868D7" w:rsidP="00F244EA">
            <w:pPr>
              <w:rPr>
                <w:rFonts w:eastAsia="Times New Roman"/>
                <w:b/>
                <w:bCs/>
                <w:color w:val="000000"/>
              </w:rPr>
            </w:pPr>
            <w:r w:rsidRPr="00F244EA">
              <w:rPr>
                <w:rFonts w:eastAsia="Times New Roman"/>
                <w:b/>
                <w:bCs/>
                <w:color w:val="000000"/>
              </w:rPr>
              <w:t xml:space="preserve">Any </w:t>
            </w:r>
            <w:r w:rsidR="001A30A7">
              <w:rPr>
                <w:rFonts w:eastAsia="Times New Roman"/>
                <w:b/>
                <w:bCs/>
                <w:color w:val="000000"/>
              </w:rPr>
              <w:t>drug</w:t>
            </w:r>
            <w:r w:rsidRPr="00F244EA">
              <w:rPr>
                <w:rFonts w:eastAsia="Times New Roman"/>
                <w:b/>
                <w:bCs/>
                <w:color w:val="000000"/>
              </w:rPr>
              <w:t xml:space="preserve"> use by respondent</w:t>
            </w:r>
          </w:p>
        </w:tc>
        <w:tc>
          <w:tcPr>
            <w:tcW w:w="0" w:type="auto"/>
            <w:vAlign w:val="center"/>
          </w:tcPr>
          <w:p w14:paraId="795B91E9" w14:textId="77777777" w:rsidR="00B868D7" w:rsidRPr="00F244EA" w:rsidRDefault="00B868D7" w:rsidP="00F244EA">
            <w:pPr>
              <w:rPr>
                <w:rFonts w:eastAsia="Times New Roman"/>
                <w:color w:val="000000"/>
              </w:rPr>
            </w:pPr>
            <w:r w:rsidRPr="00F244EA">
              <w:rPr>
                <w:rFonts w:eastAsia="Times New Roman"/>
                <w:color w:val="000000"/>
              </w:rPr>
              <w:t>1.48 (0.90, 2.44)</w:t>
            </w:r>
          </w:p>
        </w:tc>
        <w:tc>
          <w:tcPr>
            <w:tcW w:w="0" w:type="auto"/>
            <w:vAlign w:val="center"/>
          </w:tcPr>
          <w:p w14:paraId="48F98BB5" w14:textId="77777777" w:rsidR="00B868D7" w:rsidRPr="00F244EA" w:rsidRDefault="00B868D7" w:rsidP="00F244EA">
            <w:pPr>
              <w:rPr>
                <w:rFonts w:eastAsia="Times New Roman"/>
                <w:color w:val="000000"/>
              </w:rPr>
            </w:pPr>
            <w:r w:rsidRPr="00F244EA">
              <w:rPr>
                <w:rFonts w:eastAsia="Times New Roman"/>
                <w:color w:val="000000"/>
              </w:rPr>
              <w:t>1.67* (1.06, 2.62)</w:t>
            </w:r>
          </w:p>
        </w:tc>
        <w:tc>
          <w:tcPr>
            <w:tcW w:w="0" w:type="auto"/>
            <w:shd w:val="clear" w:color="auto" w:fill="D9D9D9" w:themeFill="background1" w:themeFillShade="D9"/>
            <w:vAlign w:val="center"/>
          </w:tcPr>
          <w:p w14:paraId="28718688" w14:textId="77777777" w:rsidR="00B868D7" w:rsidRPr="00F244EA" w:rsidRDefault="00B868D7" w:rsidP="00F244EA">
            <w:pPr>
              <w:rPr>
                <w:rFonts w:eastAsia="Times New Roman"/>
                <w:color w:val="000000"/>
              </w:rPr>
            </w:pPr>
          </w:p>
        </w:tc>
      </w:tr>
      <w:tr w:rsidR="00B868D7" w:rsidRPr="00F244EA" w14:paraId="617BBF99" w14:textId="77777777" w:rsidTr="00885C57">
        <w:trPr>
          <w:trHeight w:val="255"/>
          <w:jc w:val="center"/>
        </w:trPr>
        <w:tc>
          <w:tcPr>
            <w:tcW w:w="0" w:type="auto"/>
            <w:shd w:val="clear" w:color="auto" w:fill="auto"/>
            <w:noWrap/>
            <w:vAlign w:val="center"/>
            <w:hideMark/>
          </w:tcPr>
          <w:p w14:paraId="6D8563E1" w14:textId="77777777" w:rsidR="00B868D7" w:rsidRPr="00F244EA" w:rsidRDefault="00B868D7" w:rsidP="00F244EA">
            <w:pPr>
              <w:rPr>
                <w:rFonts w:eastAsia="Times New Roman"/>
                <w:b/>
                <w:bCs/>
                <w:color w:val="000000"/>
              </w:rPr>
            </w:pPr>
            <w:r w:rsidRPr="00F244EA">
              <w:rPr>
                <w:rFonts w:eastAsia="Times New Roman"/>
                <w:b/>
                <w:bCs/>
                <w:color w:val="000000"/>
              </w:rPr>
              <w:t xml:space="preserve">Any </w:t>
            </w:r>
            <w:r w:rsidR="001A30A7">
              <w:rPr>
                <w:rFonts w:eastAsia="Times New Roman"/>
                <w:b/>
                <w:bCs/>
                <w:color w:val="000000"/>
              </w:rPr>
              <w:t>drug</w:t>
            </w:r>
            <w:r w:rsidRPr="00F244EA">
              <w:rPr>
                <w:rFonts w:eastAsia="Times New Roman"/>
                <w:b/>
                <w:bCs/>
                <w:color w:val="000000"/>
              </w:rPr>
              <w:t xml:space="preserve"> use by partner</w:t>
            </w:r>
          </w:p>
        </w:tc>
        <w:tc>
          <w:tcPr>
            <w:tcW w:w="0" w:type="auto"/>
            <w:shd w:val="clear" w:color="auto" w:fill="D9D9D9" w:themeFill="background1" w:themeFillShade="D9"/>
            <w:vAlign w:val="center"/>
          </w:tcPr>
          <w:p w14:paraId="31559C49" w14:textId="77777777" w:rsidR="00B868D7" w:rsidRPr="00F244EA" w:rsidRDefault="00B868D7" w:rsidP="00F244EA">
            <w:pPr>
              <w:rPr>
                <w:rFonts w:eastAsia="Times New Roman"/>
                <w:color w:val="000000"/>
              </w:rPr>
            </w:pPr>
            <w:r w:rsidRPr="00F244EA">
              <w:rPr>
                <w:rFonts w:eastAsia="Times New Roman"/>
                <w:color w:val="000000"/>
              </w:rPr>
              <w:t> </w:t>
            </w:r>
          </w:p>
        </w:tc>
        <w:tc>
          <w:tcPr>
            <w:tcW w:w="0" w:type="auto"/>
            <w:shd w:val="clear" w:color="auto" w:fill="D9D9D9" w:themeFill="background1" w:themeFillShade="D9"/>
            <w:vAlign w:val="center"/>
          </w:tcPr>
          <w:p w14:paraId="3C596593" w14:textId="77777777" w:rsidR="00B868D7" w:rsidRPr="00F244EA" w:rsidRDefault="00B868D7" w:rsidP="00F244EA">
            <w:pPr>
              <w:rPr>
                <w:rFonts w:eastAsia="Times New Roman"/>
                <w:color w:val="000000"/>
              </w:rPr>
            </w:pPr>
            <w:r w:rsidRPr="00F244EA">
              <w:rPr>
                <w:rFonts w:eastAsia="Times New Roman"/>
                <w:color w:val="000000"/>
              </w:rPr>
              <w:t> </w:t>
            </w:r>
          </w:p>
        </w:tc>
        <w:tc>
          <w:tcPr>
            <w:tcW w:w="0" w:type="auto"/>
            <w:shd w:val="clear" w:color="auto" w:fill="D9D9D9" w:themeFill="background1" w:themeFillShade="D9"/>
            <w:vAlign w:val="center"/>
          </w:tcPr>
          <w:p w14:paraId="4C9A9610" w14:textId="77777777" w:rsidR="00B868D7" w:rsidRPr="00F244EA" w:rsidRDefault="00B868D7" w:rsidP="00F244EA">
            <w:pPr>
              <w:rPr>
                <w:rFonts w:eastAsia="Times New Roman"/>
                <w:color w:val="000000"/>
              </w:rPr>
            </w:pPr>
          </w:p>
        </w:tc>
      </w:tr>
      <w:tr w:rsidR="00B868D7" w:rsidRPr="00F244EA" w14:paraId="2515F82E" w14:textId="77777777" w:rsidTr="00885C57">
        <w:trPr>
          <w:trHeight w:val="255"/>
          <w:jc w:val="center"/>
        </w:trPr>
        <w:tc>
          <w:tcPr>
            <w:tcW w:w="0" w:type="auto"/>
            <w:shd w:val="clear" w:color="auto" w:fill="auto"/>
            <w:noWrap/>
            <w:vAlign w:val="center"/>
            <w:hideMark/>
          </w:tcPr>
          <w:p w14:paraId="63723DFA" w14:textId="77777777" w:rsidR="00B868D7" w:rsidRPr="00F244EA" w:rsidRDefault="00B868D7" w:rsidP="00F244EA">
            <w:pPr>
              <w:rPr>
                <w:rFonts w:eastAsia="Times New Roman"/>
                <w:color w:val="000000"/>
              </w:rPr>
            </w:pPr>
            <w:r w:rsidRPr="00F244EA">
              <w:rPr>
                <w:rFonts w:eastAsia="Times New Roman"/>
                <w:color w:val="000000"/>
              </w:rPr>
              <w:t xml:space="preserve">No </w:t>
            </w:r>
            <w:r w:rsidR="001A30A7">
              <w:rPr>
                <w:rFonts w:eastAsia="Times New Roman"/>
                <w:color w:val="000000"/>
              </w:rPr>
              <w:t>drug</w:t>
            </w:r>
            <w:r w:rsidRPr="00F244EA">
              <w:rPr>
                <w:rFonts w:eastAsia="Times New Roman"/>
                <w:color w:val="000000"/>
              </w:rPr>
              <w:t xml:space="preserve"> use</w:t>
            </w:r>
          </w:p>
        </w:tc>
        <w:tc>
          <w:tcPr>
            <w:tcW w:w="0" w:type="auto"/>
            <w:vAlign w:val="center"/>
          </w:tcPr>
          <w:p w14:paraId="30C08127" w14:textId="77777777" w:rsidR="00B868D7" w:rsidRPr="00F244EA" w:rsidRDefault="00B868D7" w:rsidP="00F244EA">
            <w:pPr>
              <w:rPr>
                <w:rFonts w:eastAsia="Times New Roman"/>
                <w:color w:val="000000"/>
              </w:rPr>
            </w:pPr>
            <w:r w:rsidRPr="00F244EA">
              <w:rPr>
                <w:rFonts w:eastAsia="Times New Roman"/>
                <w:color w:val="000000"/>
              </w:rPr>
              <w:t>Reference</w:t>
            </w:r>
          </w:p>
        </w:tc>
        <w:tc>
          <w:tcPr>
            <w:tcW w:w="0" w:type="auto"/>
            <w:shd w:val="clear" w:color="auto" w:fill="D9D9D9" w:themeFill="background1" w:themeFillShade="D9"/>
            <w:vAlign w:val="center"/>
          </w:tcPr>
          <w:p w14:paraId="64278D22" w14:textId="77777777" w:rsidR="00B868D7" w:rsidRPr="00F244EA" w:rsidRDefault="00B868D7" w:rsidP="00F244EA">
            <w:pPr>
              <w:rPr>
                <w:rFonts w:eastAsia="Times New Roman"/>
                <w:color w:val="000000"/>
              </w:rPr>
            </w:pPr>
            <w:r w:rsidRPr="00F244EA">
              <w:rPr>
                <w:rFonts w:eastAsia="Times New Roman"/>
                <w:color w:val="000000"/>
              </w:rPr>
              <w:t> </w:t>
            </w:r>
          </w:p>
        </w:tc>
        <w:tc>
          <w:tcPr>
            <w:tcW w:w="0" w:type="auto"/>
            <w:shd w:val="clear" w:color="auto" w:fill="auto"/>
            <w:vAlign w:val="center"/>
          </w:tcPr>
          <w:p w14:paraId="5C5E34A1" w14:textId="77777777" w:rsidR="00B868D7" w:rsidRPr="00F244EA" w:rsidRDefault="00B868D7" w:rsidP="00F244EA">
            <w:pPr>
              <w:rPr>
                <w:rFonts w:eastAsia="Times New Roman"/>
                <w:color w:val="000000"/>
              </w:rPr>
            </w:pPr>
            <w:r w:rsidRPr="00F244EA">
              <w:rPr>
                <w:rFonts w:eastAsia="Times New Roman"/>
                <w:color w:val="000000"/>
              </w:rPr>
              <w:t>Reference</w:t>
            </w:r>
          </w:p>
        </w:tc>
      </w:tr>
      <w:tr w:rsidR="00B868D7" w:rsidRPr="00F244EA" w14:paraId="44C8A37E" w14:textId="77777777" w:rsidTr="00885C57">
        <w:trPr>
          <w:trHeight w:val="255"/>
          <w:jc w:val="center"/>
        </w:trPr>
        <w:tc>
          <w:tcPr>
            <w:tcW w:w="0" w:type="auto"/>
            <w:shd w:val="clear" w:color="auto" w:fill="auto"/>
            <w:noWrap/>
            <w:vAlign w:val="center"/>
            <w:hideMark/>
          </w:tcPr>
          <w:p w14:paraId="56DEC192" w14:textId="77777777" w:rsidR="00B868D7" w:rsidRPr="00F244EA" w:rsidRDefault="00B868D7" w:rsidP="00F244EA">
            <w:pPr>
              <w:rPr>
                <w:rFonts w:eastAsia="Times New Roman"/>
                <w:color w:val="000000"/>
              </w:rPr>
            </w:pPr>
            <w:r w:rsidRPr="00F244EA">
              <w:rPr>
                <w:rFonts w:eastAsia="Times New Roman"/>
                <w:color w:val="000000"/>
              </w:rPr>
              <w:t>Don't know</w:t>
            </w:r>
          </w:p>
        </w:tc>
        <w:tc>
          <w:tcPr>
            <w:tcW w:w="0" w:type="auto"/>
            <w:vAlign w:val="center"/>
          </w:tcPr>
          <w:p w14:paraId="3AB4D51B" w14:textId="77777777" w:rsidR="00B868D7" w:rsidRPr="00F244EA" w:rsidRDefault="00B868D7" w:rsidP="00F244EA">
            <w:pPr>
              <w:rPr>
                <w:rFonts w:eastAsia="Times New Roman"/>
                <w:color w:val="000000"/>
              </w:rPr>
            </w:pPr>
            <w:r w:rsidRPr="00F244EA">
              <w:rPr>
                <w:rFonts w:eastAsia="Times New Roman"/>
                <w:color w:val="000000"/>
              </w:rPr>
              <w:t>1.50 (0.85, 2.66)</w:t>
            </w:r>
          </w:p>
        </w:tc>
        <w:tc>
          <w:tcPr>
            <w:tcW w:w="0" w:type="auto"/>
            <w:shd w:val="clear" w:color="auto" w:fill="D9D9D9" w:themeFill="background1" w:themeFillShade="D9"/>
            <w:vAlign w:val="center"/>
          </w:tcPr>
          <w:p w14:paraId="46604932" w14:textId="77777777" w:rsidR="00B868D7" w:rsidRPr="00F244EA" w:rsidRDefault="00B868D7" w:rsidP="00F244EA">
            <w:pPr>
              <w:rPr>
                <w:rFonts w:eastAsia="Times New Roman"/>
                <w:color w:val="000000"/>
              </w:rPr>
            </w:pPr>
            <w:r w:rsidRPr="00F244EA">
              <w:rPr>
                <w:rFonts w:eastAsia="Times New Roman"/>
                <w:color w:val="000000"/>
              </w:rPr>
              <w:t> </w:t>
            </w:r>
          </w:p>
        </w:tc>
        <w:tc>
          <w:tcPr>
            <w:tcW w:w="0" w:type="auto"/>
            <w:shd w:val="clear" w:color="auto" w:fill="auto"/>
            <w:vAlign w:val="center"/>
          </w:tcPr>
          <w:p w14:paraId="76E4DB94" w14:textId="77777777" w:rsidR="00B868D7" w:rsidRPr="00F244EA" w:rsidRDefault="00B868D7" w:rsidP="00F244EA">
            <w:pPr>
              <w:rPr>
                <w:rFonts w:eastAsia="Times New Roman"/>
                <w:color w:val="000000"/>
              </w:rPr>
            </w:pPr>
            <w:r w:rsidRPr="00F244EA">
              <w:rPr>
                <w:rFonts w:eastAsia="Times New Roman"/>
                <w:color w:val="000000"/>
              </w:rPr>
              <w:t>-0.49* (0.92, -0.05)</w:t>
            </w:r>
          </w:p>
        </w:tc>
      </w:tr>
      <w:tr w:rsidR="00B868D7" w:rsidRPr="00F244EA" w14:paraId="3D5901C7" w14:textId="77777777" w:rsidTr="00885C57">
        <w:trPr>
          <w:trHeight w:val="255"/>
          <w:jc w:val="center"/>
        </w:trPr>
        <w:tc>
          <w:tcPr>
            <w:tcW w:w="0" w:type="auto"/>
            <w:shd w:val="clear" w:color="auto" w:fill="auto"/>
            <w:noWrap/>
            <w:vAlign w:val="center"/>
            <w:hideMark/>
          </w:tcPr>
          <w:p w14:paraId="6034F3CF" w14:textId="77777777" w:rsidR="00B868D7" w:rsidRPr="00F244EA" w:rsidRDefault="00B868D7" w:rsidP="00F244EA">
            <w:pPr>
              <w:rPr>
                <w:rFonts w:eastAsia="Times New Roman"/>
                <w:color w:val="000000"/>
              </w:rPr>
            </w:pPr>
            <w:r w:rsidRPr="00F244EA">
              <w:rPr>
                <w:rFonts w:eastAsia="Times New Roman"/>
                <w:color w:val="000000"/>
              </w:rPr>
              <w:t>Yes, but unsure what</w:t>
            </w:r>
          </w:p>
        </w:tc>
        <w:tc>
          <w:tcPr>
            <w:tcW w:w="0" w:type="auto"/>
            <w:vAlign w:val="center"/>
          </w:tcPr>
          <w:p w14:paraId="6A7A40A3" w14:textId="77777777" w:rsidR="00B868D7" w:rsidRPr="00F244EA" w:rsidRDefault="00B868D7" w:rsidP="00F244EA">
            <w:pPr>
              <w:rPr>
                <w:rFonts w:eastAsia="Times New Roman"/>
                <w:color w:val="000000"/>
              </w:rPr>
            </w:pPr>
            <w:r w:rsidRPr="00F244EA">
              <w:rPr>
                <w:rFonts w:eastAsia="Times New Roman"/>
                <w:color w:val="000000"/>
              </w:rPr>
              <w:t>1.31 (0.67, 2.56)</w:t>
            </w:r>
          </w:p>
        </w:tc>
        <w:tc>
          <w:tcPr>
            <w:tcW w:w="0" w:type="auto"/>
            <w:shd w:val="clear" w:color="auto" w:fill="D9D9D9" w:themeFill="background1" w:themeFillShade="D9"/>
            <w:vAlign w:val="center"/>
          </w:tcPr>
          <w:p w14:paraId="6F0E9164" w14:textId="77777777" w:rsidR="00B868D7" w:rsidRPr="00F244EA" w:rsidRDefault="00B868D7" w:rsidP="00F244EA">
            <w:pPr>
              <w:rPr>
                <w:rFonts w:eastAsia="Times New Roman"/>
                <w:color w:val="000000"/>
              </w:rPr>
            </w:pPr>
            <w:r w:rsidRPr="00F244EA">
              <w:rPr>
                <w:rFonts w:eastAsia="Times New Roman"/>
                <w:color w:val="000000"/>
              </w:rPr>
              <w:t> </w:t>
            </w:r>
          </w:p>
        </w:tc>
        <w:tc>
          <w:tcPr>
            <w:tcW w:w="0" w:type="auto"/>
            <w:shd w:val="clear" w:color="auto" w:fill="auto"/>
            <w:vAlign w:val="center"/>
          </w:tcPr>
          <w:p w14:paraId="1CECA3EA" w14:textId="77777777" w:rsidR="00B868D7" w:rsidRPr="00F244EA" w:rsidRDefault="00B868D7" w:rsidP="00F244EA">
            <w:pPr>
              <w:rPr>
                <w:rFonts w:eastAsia="Times New Roman"/>
                <w:color w:val="000000"/>
              </w:rPr>
            </w:pPr>
            <w:r w:rsidRPr="00F244EA">
              <w:rPr>
                <w:rFonts w:eastAsia="Times New Roman"/>
                <w:color w:val="000000"/>
              </w:rPr>
              <w:t>0.04 (-0.47, 0.55)</w:t>
            </w:r>
          </w:p>
        </w:tc>
      </w:tr>
      <w:tr w:rsidR="00B868D7" w:rsidRPr="00F244EA" w14:paraId="2D41CAF2" w14:textId="77777777" w:rsidTr="00885C57">
        <w:trPr>
          <w:trHeight w:val="255"/>
          <w:jc w:val="center"/>
        </w:trPr>
        <w:tc>
          <w:tcPr>
            <w:tcW w:w="0" w:type="auto"/>
            <w:shd w:val="clear" w:color="auto" w:fill="auto"/>
            <w:noWrap/>
            <w:vAlign w:val="center"/>
            <w:hideMark/>
          </w:tcPr>
          <w:p w14:paraId="1AA60ADC" w14:textId="77777777" w:rsidR="00B868D7" w:rsidRPr="00F244EA" w:rsidRDefault="00B868D7" w:rsidP="00F244EA">
            <w:pPr>
              <w:rPr>
                <w:rFonts w:eastAsia="Times New Roman"/>
                <w:color w:val="000000"/>
              </w:rPr>
            </w:pPr>
            <w:r w:rsidRPr="00F244EA">
              <w:rPr>
                <w:rFonts w:eastAsia="Times New Roman"/>
                <w:color w:val="000000"/>
              </w:rPr>
              <w:t>Yes, specifically</w:t>
            </w:r>
          </w:p>
        </w:tc>
        <w:tc>
          <w:tcPr>
            <w:tcW w:w="0" w:type="auto"/>
            <w:vAlign w:val="center"/>
          </w:tcPr>
          <w:p w14:paraId="6EFB4C0C" w14:textId="77777777" w:rsidR="00B868D7" w:rsidRPr="00F244EA" w:rsidRDefault="00B868D7" w:rsidP="00F244EA">
            <w:pPr>
              <w:rPr>
                <w:rFonts w:eastAsia="Times New Roman"/>
                <w:color w:val="000000"/>
              </w:rPr>
            </w:pPr>
            <w:r w:rsidRPr="00F244EA">
              <w:rPr>
                <w:rFonts w:eastAsia="Times New Roman"/>
                <w:color w:val="000000"/>
              </w:rPr>
              <w:t>1.39 (0.77, 2.49)</w:t>
            </w:r>
          </w:p>
        </w:tc>
        <w:tc>
          <w:tcPr>
            <w:tcW w:w="0" w:type="auto"/>
            <w:shd w:val="clear" w:color="auto" w:fill="D9D9D9" w:themeFill="background1" w:themeFillShade="D9"/>
            <w:vAlign w:val="center"/>
          </w:tcPr>
          <w:p w14:paraId="39A1560E" w14:textId="77777777" w:rsidR="00B868D7" w:rsidRPr="00F244EA" w:rsidRDefault="00B868D7" w:rsidP="00F244EA">
            <w:pPr>
              <w:rPr>
                <w:rFonts w:eastAsia="Times New Roman"/>
                <w:color w:val="000000"/>
              </w:rPr>
            </w:pPr>
            <w:r w:rsidRPr="00F244EA">
              <w:rPr>
                <w:rFonts w:eastAsia="Times New Roman"/>
                <w:color w:val="000000"/>
              </w:rPr>
              <w:t> </w:t>
            </w:r>
          </w:p>
        </w:tc>
        <w:tc>
          <w:tcPr>
            <w:tcW w:w="0" w:type="auto"/>
            <w:shd w:val="clear" w:color="auto" w:fill="auto"/>
            <w:vAlign w:val="center"/>
          </w:tcPr>
          <w:p w14:paraId="7D6F2DED" w14:textId="77777777" w:rsidR="00B868D7" w:rsidRPr="00F244EA" w:rsidRDefault="00B868D7" w:rsidP="00F244EA">
            <w:pPr>
              <w:rPr>
                <w:rFonts w:eastAsia="Times New Roman"/>
                <w:color w:val="000000"/>
              </w:rPr>
            </w:pPr>
            <w:r w:rsidRPr="00F244EA">
              <w:rPr>
                <w:rFonts w:eastAsia="Times New Roman"/>
                <w:color w:val="000000"/>
              </w:rPr>
              <w:t>0.06 (0.02, 0.09)</w:t>
            </w:r>
          </w:p>
        </w:tc>
      </w:tr>
      <w:tr w:rsidR="00F244EA" w:rsidRPr="00F244EA" w14:paraId="5C9407F3" w14:textId="77777777" w:rsidTr="00885C57">
        <w:trPr>
          <w:trHeight w:val="255"/>
          <w:jc w:val="center"/>
        </w:trPr>
        <w:tc>
          <w:tcPr>
            <w:tcW w:w="0" w:type="auto"/>
            <w:shd w:val="clear" w:color="auto" w:fill="auto"/>
            <w:noWrap/>
            <w:vAlign w:val="center"/>
          </w:tcPr>
          <w:p w14:paraId="5013647B" w14:textId="77777777" w:rsidR="00F244EA" w:rsidRPr="00F244EA" w:rsidRDefault="00F244EA" w:rsidP="00F244EA">
            <w:pPr>
              <w:rPr>
                <w:rFonts w:eastAsia="Times New Roman"/>
                <w:b/>
                <w:bCs/>
                <w:color w:val="000000"/>
              </w:rPr>
            </w:pPr>
            <w:r w:rsidRPr="00F244EA">
              <w:rPr>
                <w:rFonts w:eastAsia="Times New Roman"/>
                <w:b/>
                <w:bCs/>
                <w:color w:val="000000"/>
              </w:rPr>
              <w:t>Number of partners</w:t>
            </w:r>
          </w:p>
        </w:tc>
        <w:tc>
          <w:tcPr>
            <w:tcW w:w="0" w:type="auto"/>
            <w:shd w:val="clear" w:color="auto" w:fill="D9D9D9" w:themeFill="background1" w:themeFillShade="D9"/>
            <w:vAlign w:val="center"/>
          </w:tcPr>
          <w:p w14:paraId="13028FDD" w14:textId="77777777" w:rsidR="00F244EA" w:rsidRPr="00F244EA" w:rsidRDefault="00F244EA" w:rsidP="00F244EA">
            <w:pPr>
              <w:rPr>
                <w:rFonts w:eastAsia="Times New Roman"/>
                <w:color w:val="000000"/>
              </w:rPr>
            </w:pPr>
          </w:p>
        </w:tc>
        <w:tc>
          <w:tcPr>
            <w:tcW w:w="0" w:type="auto"/>
            <w:shd w:val="clear" w:color="auto" w:fill="D9D9D9" w:themeFill="background1" w:themeFillShade="D9"/>
            <w:vAlign w:val="center"/>
          </w:tcPr>
          <w:p w14:paraId="6455C835" w14:textId="77777777" w:rsidR="00F244EA" w:rsidRPr="00F244EA" w:rsidRDefault="00F244EA" w:rsidP="00F244EA">
            <w:pPr>
              <w:rPr>
                <w:rFonts w:eastAsia="Times New Roman"/>
                <w:color w:val="000000"/>
              </w:rPr>
            </w:pPr>
          </w:p>
        </w:tc>
        <w:tc>
          <w:tcPr>
            <w:tcW w:w="0" w:type="auto"/>
            <w:shd w:val="clear" w:color="auto" w:fill="auto"/>
            <w:vAlign w:val="center"/>
          </w:tcPr>
          <w:p w14:paraId="49EE7890" w14:textId="77777777" w:rsidR="00F244EA" w:rsidRPr="00F244EA" w:rsidRDefault="00F244EA" w:rsidP="00F244EA">
            <w:pPr>
              <w:rPr>
                <w:rFonts w:eastAsia="Times New Roman"/>
                <w:color w:val="000000"/>
              </w:rPr>
            </w:pPr>
            <w:r w:rsidRPr="00F244EA">
              <w:rPr>
                <w:rFonts w:eastAsia="Times New Roman"/>
                <w:color w:val="000000"/>
              </w:rPr>
              <w:t>0.06 (0.02, 0.09)</w:t>
            </w:r>
          </w:p>
        </w:tc>
      </w:tr>
      <w:tr w:rsidR="00B868D7" w:rsidRPr="00F244EA" w14:paraId="260290F1" w14:textId="77777777" w:rsidTr="00885C57">
        <w:trPr>
          <w:trHeight w:val="255"/>
          <w:jc w:val="center"/>
        </w:trPr>
        <w:tc>
          <w:tcPr>
            <w:tcW w:w="0" w:type="auto"/>
            <w:shd w:val="clear" w:color="auto" w:fill="auto"/>
            <w:noWrap/>
            <w:vAlign w:val="center"/>
            <w:hideMark/>
          </w:tcPr>
          <w:p w14:paraId="3601D4BD" w14:textId="77777777" w:rsidR="00B868D7" w:rsidRPr="00F244EA" w:rsidRDefault="00885C57" w:rsidP="00F244EA">
            <w:pPr>
              <w:rPr>
                <w:rFonts w:eastAsia="Times New Roman"/>
                <w:b/>
                <w:bCs/>
                <w:color w:val="000000"/>
              </w:rPr>
            </w:pPr>
            <w:r>
              <w:rPr>
                <w:rFonts w:eastAsia="Times New Roman"/>
                <w:b/>
                <w:bCs/>
                <w:color w:val="000000"/>
              </w:rPr>
              <w:t>HIV s</w:t>
            </w:r>
            <w:r w:rsidR="00B868D7" w:rsidRPr="00F244EA">
              <w:rPr>
                <w:rFonts w:eastAsia="Times New Roman"/>
                <w:b/>
                <w:bCs/>
                <w:color w:val="000000"/>
              </w:rPr>
              <w:t>erodiscordance</w:t>
            </w:r>
          </w:p>
        </w:tc>
        <w:tc>
          <w:tcPr>
            <w:tcW w:w="0" w:type="auto"/>
            <w:shd w:val="clear" w:color="auto" w:fill="D9D9D9" w:themeFill="background1" w:themeFillShade="D9"/>
            <w:vAlign w:val="center"/>
          </w:tcPr>
          <w:p w14:paraId="7F4B19DE" w14:textId="77777777" w:rsidR="00B868D7" w:rsidRPr="00F244EA" w:rsidRDefault="00B868D7" w:rsidP="00F244EA">
            <w:pPr>
              <w:rPr>
                <w:rFonts w:eastAsia="Times New Roman"/>
                <w:color w:val="000000"/>
              </w:rPr>
            </w:pPr>
            <w:r w:rsidRPr="00F244EA">
              <w:rPr>
                <w:rFonts w:eastAsia="Times New Roman"/>
                <w:color w:val="000000"/>
              </w:rPr>
              <w:t> </w:t>
            </w:r>
          </w:p>
        </w:tc>
        <w:tc>
          <w:tcPr>
            <w:tcW w:w="0" w:type="auto"/>
            <w:shd w:val="clear" w:color="auto" w:fill="D9D9D9" w:themeFill="background1" w:themeFillShade="D9"/>
            <w:vAlign w:val="center"/>
          </w:tcPr>
          <w:p w14:paraId="7F2C573A" w14:textId="77777777" w:rsidR="00B868D7" w:rsidRPr="00F244EA" w:rsidRDefault="00B868D7" w:rsidP="00F244EA">
            <w:pPr>
              <w:rPr>
                <w:rFonts w:eastAsia="Times New Roman"/>
                <w:color w:val="000000"/>
              </w:rPr>
            </w:pPr>
            <w:r w:rsidRPr="00F244EA">
              <w:rPr>
                <w:rFonts w:eastAsia="Times New Roman"/>
                <w:color w:val="000000"/>
              </w:rPr>
              <w:t> </w:t>
            </w:r>
          </w:p>
        </w:tc>
        <w:tc>
          <w:tcPr>
            <w:tcW w:w="0" w:type="auto"/>
            <w:shd w:val="clear" w:color="auto" w:fill="D9D9D9" w:themeFill="background1" w:themeFillShade="D9"/>
            <w:vAlign w:val="center"/>
          </w:tcPr>
          <w:p w14:paraId="631B3664" w14:textId="77777777" w:rsidR="00B868D7" w:rsidRPr="00F244EA" w:rsidRDefault="00B868D7" w:rsidP="00F244EA">
            <w:pPr>
              <w:rPr>
                <w:rFonts w:eastAsia="Times New Roman"/>
                <w:color w:val="000000"/>
              </w:rPr>
            </w:pPr>
          </w:p>
        </w:tc>
      </w:tr>
      <w:tr w:rsidR="00B868D7" w:rsidRPr="00F244EA" w14:paraId="548F70E3" w14:textId="77777777" w:rsidTr="00885C57">
        <w:trPr>
          <w:trHeight w:val="255"/>
          <w:jc w:val="center"/>
        </w:trPr>
        <w:tc>
          <w:tcPr>
            <w:tcW w:w="0" w:type="auto"/>
            <w:shd w:val="clear" w:color="auto" w:fill="auto"/>
            <w:noWrap/>
            <w:vAlign w:val="center"/>
            <w:hideMark/>
          </w:tcPr>
          <w:p w14:paraId="4B7F35A2" w14:textId="77777777" w:rsidR="00B868D7" w:rsidRPr="00F244EA" w:rsidRDefault="00B868D7" w:rsidP="00F244EA">
            <w:pPr>
              <w:rPr>
                <w:rFonts w:eastAsia="Times New Roman"/>
                <w:color w:val="000000"/>
              </w:rPr>
            </w:pPr>
            <w:r w:rsidRPr="00F244EA">
              <w:rPr>
                <w:rFonts w:eastAsia="Times New Roman"/>
                <w:color w:val="000000"/>
              </w:rPr>
              <w:t>Seroconcordant</w:t>
            </w:r>
          </w:p>
        </w:tc>
        <w:tc>
          <w:tcPr>
            <w:tcW w:w="0" w:type="auto"/>
            <w:vAlign w:val="center"/>
          </w:tcPr>
          <w:p w14:paraId="6A3957A6" w14:textId="77777777" w:rsidR="00B868D7" w:rsidRPr="00F244EA" w:rsidRDefault="00B868D7" w:rsidP="00F244EA">
            <w:pPr>
              <w:rPr>
                <w:rFonts w:eastAsia="Times New Roman"/>
                <w:color w:val="000000"/>
              </w:rPr>
            </w:pPr>
            <w:r w:rsidRPr="00F244EA">
              <w:rPr>
                <w:rFonts w:eastAsia="Times New Roman"/>
                <w:color w:val="000000"/>
              </w:rPr>
              <w:t>Reference</w:t>
            </w:r>
          </w:p>
        </w:tc>
        <w:tc>
          <w:tcPr>
            <w:tcW w:w="0" w:type="auto"/>
            <w:vAlign w:val="center"/>
          </w:tcPr>
          <w:p w14:paraId="34E4664E" w14:textId="77777777" w:rsidR="00B868D7" w:rsidRPr="00F244EA" w:rsidRDefault="00B868D7" w:rsidP="00F244EA">
            <w:pPr>
              <w:rPr>
                <w:rFonts w:eastAsia="Times New Roman"/>
                <w:color w:val="000000"/>
              </w:rPr>
            </w:pPr>
            <w:r w:rsidRPr="00F244EA">
              <w:rPr>
                <w:rFonts w:eastAsia="Times New Roman"/>
                <w:color w:val="000000"/>
              </w:rPr>
              <w:t>Reference</w:t>
            </w:r>
          </w:p>
        </w:tc>
        <w:tc>
          <w:tcPr>
            <w:tcW w:w="0" w:type="auto"/>
            <w:vAlign w:val="center"/>
          </w:tcPr>
          <w:p w14:paraId="39358080" w14:textId="77777777" w:rsidR="00B868D7" w:rsidRPr="00F244EA" w:rsidRDefault="00F244EA" w:rsidP="00F244EA">
            <w:pPr>
              <w:rPr>
                <w:rFonts w:eastAsia="Times New Roman"/>
                <w:color w:val="000000"/>
              </w:rPr>
            </w:pPr>
            <w:r w:rsidRPr="00F244EA">
              <w:rPr>
                <w:rFonts w:eastAsia="Times New Roman"/>
                <w:color w:val="000000"/>
              </w:rPr>
              <w:t>Reference</w:t>
            </w:r>
          </w:p>
        </w:tc>
      </w:tr>
      <w:tr w:rsidR="00B868D7" w:rsidRPr="00F244EA" w14:paraId="4B7743D5" w14:textId="77777777" w:rsidTr="00885C57">
        <w:trPr>
          <w:trHeight w:val="255"/>
          <w:jc w:val="center"/>
        </w:trPr>
        <w:tc>
          <w:tcPr>
            <w:tcW w:w="0" w:type="auto"/>
            <w:shd w:val="clear" w:color="auto" w:fill="auto"/>
            <w:noWrap/>
            <w:vAlign w:val="center"/>
            <w:hideMark/>
          </w:tcPr>
          <w:p w14:paraId="1DEA8BC2" w14:textId="77777777" w:rsidR="00B868D7" w:rsidRPr="00F244EA" w:rsidRDefault="00B868D7" w:rsidP="00F244EA">
            <w:pPr>
              <w:rPr>
                <w:rFonts w:eastAsia="Times New Roman"/>
                <w:color w:val="000000"/>
              </w:rPr>
            </w:pPr>
            <w:r w:rsidRPr="00F244EA">
              <w:rPr>
                <w:rFonts w:eastAsia="Times New Roman"/>
                <w:color w:val="000000"/>
              </w:rPr>
              <w:t>Unknown serostatus match</w:t>
            </w:r>
          </w:p>
        </w:tc>
        <w:tc>
          <w:tcPr>
            <w:tcW w:w="0" w:type="auto"/>
            <w:vAlign w:val="center"/>
          </w:tcPr>
          <w:p w14:paraId="4A005C68" w14:textId="77777777" w:rsidR="00B868D7" w:rsidRPr="00F244EA" w:rsidRDefault="00B868D7" w:rsidP="00F244EA">
            <w:pPr>
              <w:rPr>
                <w:rFonts w:eastAsia="Times New Roman"/>
                <w:color w:val="000000"/>
              </w:rPr>
            </w:pPr>
            <w:r w:rsidRPr="00F244EA">
              <w:rPr>
                <w:rFonts w:eastAsia="Times New Roman"/>
                <w:color w:val="000000"/>
              </w:rPr>
              <w:t>0.35*** (0.21, 0.57)</w:t>
            </w:r>
          </w:p>
        </w:tc>
        <w:tc>
          <w:tcPr>
            <w:tcW w:w="0" w:type="auto"/>
            <w:vAlign w:val="center"/>
          </w:tcPr>
          <w:p w14:paraId="0AE5CDD6" w14:textId="77777777" w:rsidR="00B868D7" w:rsidRPr="00F244EA" w:rsidRDefault="00B868D7" w:rsidP="00F244EA">
            <w:pPr>
              <w:rPr>
                <w:rFonts w:eastAsia="Times New Roman"/>
                <w:color w:val="000000"/>
              </w:rPr>
            </w:pPr>
            <w:r w:rsidRPr="00F244EA">
              <w:rPr>
                <w:rFonts w:eastAsia="Times New Roman"/>
                <w:color w:val="000000"/>
              </w:rPr>
              <w:t>0.38*** (0.24, 0.62)</w:t>
            </w:r>
          </w:p>
        </w:tc>
        <w:tc>
          <w:tcPr>
            <w:tcW w:w="0" w:type="auto"/>
            <w:vAlign w:val="center"/>
          </w:tcPr>
          <w:p w14:paraId="2D164C3B" w14:textId="77777777" w:rsidR="00B868D7" w:rsidRPr="00F244EA" w:rsidRDefault="00F244EA" w:rsidP="00F244EA">
            <w:pPr>
              <w:rPr>
                <w:rFonts w:eastAsia="Times New Roman"/>
                <w:color w:val="000000"/>
              </w:rPr>
            </w:pPr>
            <w:r>
              <w:rPr>
                <w:rFonts w:eastAsia="Times New Roman"/>
                <w:color w:val="000000"/>
              </w:rPr>
              <w:t>-0.19 (-0.60, 0.21)</w:t>
            </w:r>
          </w:p>
        </w:tc>
      </w:tr>
      <w:tr w:rsidR="00B868D7" w:rsidRPr="00F244EA" w14:paraId="00CCF89A" w14:textId="77777777" w:rsidTr="00885C57">
        <w:trPr>
          <w:trHeight w:val="255"/>
          <w:jc w:val="center"/>
        </w:trPr>
        <w:tc>
          <w:tcPr>
            <w:tcW w:w="0" w:type="auto"/>
            <w:shd w:val="clear" w:color="auto" w:fill="auto"/>
            <w:noWrap/>
            <w:vAlign w:val="center"/>
            <w:hideMark/>
          </w:tcPr>
          <w:p w14:paraId="39721866" w14:textId="77777777" w:rsidR="00B868D7" w:rsidRPr="00F244EA" w:rsidRDefault="00B868D7" w:rsidP="00F244EA">
            <w:pPr>
              <w:rPr>
                <w:rFonts w:eastAsia="Times New Roman"/>
                <w:color w:val="000000"/>
              </w:rPr>
            </w:pPr>
            <w:r w:rsidRPr="00F244EA">
              <w:rPr>
                <w:rFonts w:eastAsia="Times New Roman"/>
                <w:color w:val="000000"/>
              </w:rPr>
              <w:t>Serodiscordant</w:t>
            </w:r>
          </w:p>
        </w:tc>
        <w:tc>
          <w:tcPr>
            <w:tcW w:w="0" w:type="auto"/>
            <w:vAlign w:val="center"/>
          </w:tcPr>
          <w:p w14:paraId="691EC89C" w14:textId="77777777" w:rsidR="00B868D7" w:rsidRPr="00F244EA" w:rsidRDefault="00B868D7" w:rsidP="00F244EA">
            <w:pPr>
              <w:rPr>
                <w:rFonts w:eastAsia="Times New Roman"/>
                <w:color w:val="000000"/>
              </w:rPr>
            </w:pPr>
            <w:r w:rsidRPr="00F244EA">
              <w:rPr>
                <w:rFonts w:eastAsia="Times New Roman"/>
                <w:color w:val="000000"/>
              </w:rPr>
              <w:t>0.55 (0.18, 1.65)</w:t>
            </w:r>
          </w:p>
        </w:tc>
        <w:tc>
          <w:tcPr>
            <w:tcW w:w="0" w:type="auto"/>
            <w:vAlign w:val="center"/>
          </w:tcPr>
          <w:p w14:paraId="5D02F46B" w14:textId="77777777" w:rsidR="00B868D7" w:rsidRPr="00F244EA" w:rsidRDefault="00B868D7" w:rsidP="00F244EA">
            <w:pPr>
              <w:rPr>
                <w:rFonts w:eastAsia="Times New Roman"/>
                <w:color w:val="000000"/>
              </w:rPr>
            </w:pPr>
            <w:r w:rsidRPr="00F244EA">
              <w:rPr>
                <w:rFonts w:eastAsia="Times New Roman"/>
                <w:color w:val="000000"/>
              </w:rPr>
              <w:t>0.57 (0.19, 1.70)</w:t>
            </w:r>
          </w:p>
        </w:tc>
        <w:tc>
          <w:tcPr>
            <w:tcW w:w="0" w:type="auto"/>
            <w:vAlign w:val="center"/>
          </w:tcPr>
          <w:p w14:paraId="55678E5A" w14:textId="77777777" w:rsidR="00B868D7" w:rsidRPr="00F244EA" w:rsidRDefault="00F244EA" w:rsidP="00F244EA">
            <w:pPr>
              <w:rPr>
                <w:rFonts w:eastAsia="Times New Roman"/>
                <w:color w:val="000000"/>
              </w:rPr>
            </w:pPr>
            <w:r>
              <w:rPr>
                <w:rFonts w:eastAsia="Times New Roman"/>
                <w:color w:val="000000"/>
              </w:rPr>
              <w:t>0.70 (-0.21, 1.61)</w:t>
            </w:r>
          </w:p>
        </w:tc>
      </w:tr>
      <w:tr w:rsidR="00F244EA" w:rsidRPr="00F244EA" w14:paraId="174AE90C" w14:textId="77777777" w:rsidTr="00885C57">
        <w:trPr>
          <w:trHeight w:val="255"/>
          <w:jc w:val="center"/>
        </w:trPr>
        <w:tc>
          <w:tcPr>
            <w:tcW w:w="0" w:type="auto"/>
            <w:shd w:val="clear" w:color="auto" w:fill="auto"/>
            <w:noWrap/>
            <w:vAlign w:val="center"/>
          </w:tcPr>
          <w:p w14:paraId="5269E09E" w14:textId="77777777" w:rsidR="00F244EA" w:rsidRPr="00F244EA" w:rsidRDefault="00F244EA" w:rsidP="00F244EA">
            <w:pPr>
              <w:rPr>
                <w:rFonts w:eastAsia="Times New Roman"/>
                <w:color w:val="000000"/>
              </w:rPr>
            </w:pPr>
            <w:r w:rsidRPr="00F244EA">
              <w:rPr>
                <w:rFonts w:eastAsia="Times New Roman"/>
                <w:b/>
                <w:bCs/>
                <w:color w:val="000000"/>
              </w:rPr>
              <w:t>Location of sex</w:t>
            </w:r>
          </w:p>
        </w:tc>
        <w:tc>
          <w:tcPr>
            <w:tcW w:w="0" w:type="auto"/>
            <w:shd w:val="clear" w:color="auto" w:fill="D9D9D9" w:themeFill="background1" w:themeFillShade="D9"/>
            <w:vAlign w:val="center"/>
          </w:tcPr>
          <w:p w14:paraId="42DB01D7" w14:textId="77777777" w:rsidR="00F244EA" w:rsidRPr="00F244EA" w:rsidRDefault="00F244EA" w:rsidP="00F244EA">
            <w:pPr>
              <w:rPr>
                <w:rFonts w:eastAsia="Times New Roman"/>
                <w:color w:val="000000"/>
              </w:rPr>
            </w:pPr>
          </w:p>
        </w:tc>
        <w:tc>
          <w:tcPr>
            <w:tcW w:w="0" w:type="auto"/>
            <w:shd w:val="clear" w:color="auto" w:fill="D9D9D9" w:themeFill="background1" w:themeFillShade="D9"/>
            <w:vAlign w:val="center"/>
          </w:tcPr>
          <w:p w14:paraId="66E25E62" w14:textId="77777777" w:rsidR="00F244EA" w:rsidRPr="00F244EA" w:rsidRDefault="00F244EA" w:rsidP="00F244EA">
            <w:pPr>
              <w:rPr>
                <w:rFonts w:eastAsia="Times New Roman"/>
                <w:color w:val="000000"/>
              </w:rPr>
            </w:pPr>
          </w:p>
        </w:tc>
        <w:tc>
          <w:tcPr>
            <w:tcW w:w="0" w:type="auto"/>
            <w:shd w:val="clear" w:color="auto" w:fill="D9D9D9" w:themeFill="background1" w:themeFillShade="D9"/>
            <w:vAlign w:val="center"/>
          </w:tcPr>
          <w:p w14:paraId="154BC82B" w14:textId="77777777" w:rsidR="00F244EA" w:rsidRPr="00F244EA" w:rsidRDefault="00F244EA" w:rsidP="00F244EA">
            <w:pPr>
              <w:rPr>
                <w:rFonts w:eastAsia="Times New Roman"/>
                <w:color w:val="000000"/>
              </w:rPr>
            </w:pPr>
          </w:p>
        </w:tc>
      </w:tr>
      <w:tr w:rsidR="00F244EA" w:rsidRPr="00F244EA" w14:paraId="1937AD41" w14:textId="77777777" w:rsidTr="00885C57">
        <w:trPr>
          <w:trHeight w:val="255"/>
          <w:jc w:val="center"/>
        </w:trPr>
        <w:tc>
          <w:tcPr>
            <w:tcW w:w="0" w:type="auto"/>
            <w:shd w:val="clear" w:color="auto" w:fill="auto"/>
            <w:noWrap/>
            <w:vAlign w:val="center"/>
          </w:tcPr>
          <w:p w14:paraId="2FDB3984" w14:textId="77777777" w:rsidR="00F244EA" w:rsidRPr="00F244EA" w:rsidRDefault="00B940E6" w:rsidP="00F244EA">
            <w:pPr>
              <w:rPr>
                <w:rFonts w:eastAsia="Times New Roman"/>
                <w:color w:val="000000"/>
              </w:rPr>
            </w:pPr>
            <w:r>
              <w:rPr>
                <w:rFonts w:eastAsia="Times New Roman"/>
                <w:color w:val="000000"/>
              </w:rPr>
              <w:t>Homes</w:t>
            </w:r>
          </w:p>
        </w:tc>
        <w:tc>
          <w:tcPr>
            <w:tcW w:w="0" w:type="auto"/>
            <w:shd w:val="clear" w:color="auto" w:fill="D9D9D9" w:themeFill="background1" w:themeFillShade="D9"/>
            <w:vAlign w:val="center"/>
          </w:tcPr>
          <w:p w14:paraId="083A53B9" w14:textId="77777777" w:rsidR="00F244EA" w:rsidRPr="00F244EA" w:rsidRDefault="00F244EA" w:rsidP="00F244EA">
            <w:pPr>
              <w:rPr>
                <w:rFonts w:eastAsia="Times New Roman"/>
                <w:color w:val="000000"/>
              </w:rPr>
            </w:pPr>
          </w:p>
        </w:tc>
        <w:tc>
          <w:tcPr>
            <w:tcW w:w="0" w:type="auto"/>
            <w:shd w:val="clear" w:color="auto" w:fill="D9D9D9" w:themeFill="background1" w:themeFillShade="D9"/>
            <w:vAlign w:val="center"/>
          </w:tcPr>
          <w:p w14:paraId="40AAA0B8" w14:textId="77777777" w:rsidR="00F244EA" w:rsidRPr="00F244EA" w:rsidRDefault="00F244EA" w:rsidP="00F244EA">
            <w:pPr>
              <w:rPr>
                <w:rFonts w:eastAsia="Times New Roman"/>
                <w:color w:val="000000"/>
              </w:rPr>
            </w:pPr>
          </w:p>
        </w:tc>
        <w:tc>
          <w:tcPr>
            <w:tcW w:w="0" w:type="auto"/>
            <w:shd w:val="clear" w:color="auto" w:fill="auto"/>
            <w:vAlign w:val="center"/>
          </w:tcPr>
          <w:p w14:paraId="6CE49BBE" w14:textId="77777777" w:rsidR="00F244EA" w:rsidRPr="00F244EA" w:rsidRDefault="00F244EA" w:rsidP="00F244EA">
            <w:pPr>
              <w:rPr>
                <w:rFonts w:eastAsia="Times New Roman"/>
                <w:color w:val="000000"/>
              </w:rPr>
            </w:pPr>
            <w:r>
              <w:rPr>
                <w:rFonts w:eastAsia="Times New Roman"/>
                <w:color w:val="000000"/>
              </w:rPr>
              <w:t>Reference</w:t>
            </w:r>
          </w:p>
        </w:tc>
      </w:tr>
      <w:tr w:rsidR="00F244EA" w:rsidRPr="00F244EA" w14:paraId="3549ABC0" w14:textId="77777777" w:rsidTr="00885C57">
        <w:trPr>
          <w:trHeight w:val="255"/>
          <w:jc w:val="center"/>
        </w:trPr>
        <w:tc>
          <w:tcPr>
            <w:tcW w:w="0" w:type="auto"/>
            <w:shd w:val="clear" w:color="auto" w:fill="auto"/>
            <w:noWrap/>
            <w:vAlign w:val="center"/>
          </w:tcPr>
          <w:p w14:paraId="07FE5961" w14:textId="77777777" w:rsidR="00F244EA" w:rsidRPr="00F244EA" w:rsidRDefault="00F244EA" w:rsidP="0006350E">
            <w:pPr>
              <w:rPr>
                <w:rFonts w:eastAsia="Times New Roman"/>
                <w:b/>
                <w:bCs/>
                <w:color w:val="000000"/>
              </w:rPr>
            </w:pPr>
            <w:r w:rsidRPr="00F244EA">
              <w:rPr>
                <w:rFonts w:eastAsia="Times New Roman"/>
                <w:color w:val="000000"/>
              </w:rPr>
              <w:t>Sex-on-premises</w:t>
            </w:r>
            <w:r w:rsidR="0006350E">
              <w:rPr>
                <w:rFonts w:eastAsia="Times New Roman"/>
                <w:color w:val="000000"/>
              </w:rPr>
              <w:t xml:space="preserve"> </w:t>
            </w:r>
            <w:r w:rsidRPr="00F244EA">
              <w:rPr>
                <w:rFonts w:eastAsia="Times New Roman"/>
                <w:color w:val="000000"/>
              </w:rPr>
              <w:t>venue</w:t>
            </w:r>
          </w:p>
        </w:tc>
        <w:tc>
          <w:tcPr>
            <w:tcW w:w="0" w:type="auto"/>
            <w:shd w:val="clear" w:color="auto" w:fill="D9D9D9" w:themeFill="background1" w:themeFillShade="D9"/>
            <w:vAlign w:val="center"/>
          </w:tcPr>
          <w:p w14:paraId="43B78BA5" w14:textId="77777777" w:rsidR="00F244EA" w:rsidRPr="00F244EA" w:rsidRDefault="00F244EA" w:rsidP="00F244EA">
            <w:pPr>
              <w:rPr>
                <w:rFonts w:eastAsia="Times New Roman"/>
                <w:color w:val="000000"/>
              </w:rPr>
            </w:pPr>
          </w:p>
        </w:tc>
        <w:tc>
          <w:tcPr>
            <w:tcW w:w="0" w:type="auto"/>
            <w:shd w:val="clear" w:color="auto" w:fill="D9D9D9" w:themeFill="background1" w:themeFillShade="D9"/>
            <w:vAlign w:val="center"/>
          </w:tcPr>
          <w:p w14:paraId="737515A0" w14:textId="77777777" w:rsidR="00F244EA" w:rsidRPr="00F244EA" w:rsidRDefault="00F244EA" w:rsidP="00F244EA">
            <w:pPr>
              <w:rPr>
                <w:rFonts w:eastAsia="Times New Roman"/>
                <w:color w:val="000000"/>
              </w:rPr>
            </w:pPr>
          </w:p>
        </w:tc>
        <w:tc>
          <w:tcPr>
            <w:tcW w:w="0" w:type="auto"/>
            <w:shd w:val="clear" w:color="auto" w:fill="auto"/>
            <w:vAlign w:val="center"/>
          </w:tcPr>
          <w:p w14:paraId="6DCB8F69" w14:textId="77777777" w:rsidR="00F244EA" w:rsidRPr="00F244EA" w:rsidRDefault="00F244EA" w:rsidP="00F244EA">
            <w:pPr>
              <w:rPr>
                <w:rFonts w:eastAsia="Times New Roman"/>
                <w:color w:val="000000"/>
              </w:rPr>
            </w:pPr>
            <w:r>
              <w:rPr>
                <w:rFonts w:eastAsia="Times New Roman"/>
                <w:color w:val="000000"/>
              </w:rPr>
              <w:t>-0.06 (-0.45, 0.34)</w:t>
            </w:r>
          </w:p>
        </w:tc>
      </w:tr>
      <w:tr w:rsidR="00F244EA" w:rsidRPr="00F244EA" w14:paraId="0A4DD235" w14:textId="77777777" w:rsidTr="00885C57">
        <w:trPr>
          <w:trHeight w:val="255"/>
          <w:jc w:val="center"/>
        </w:trPr>
        <w:tc>
          <w:tcPr>
            <w:tcW w:w="0" w:type="auto"/>
            <w:shd w:val="clear" w:color="auto" w:fill="auto"/>
            <w:noWrap/>
            <w:vAlign w:val="center"/>
          </w:tcPr>
          <w:p w14:paraId="664EC149" w14:textId="77777777" w:rsidR="00F244EA" w:rsidRPr="00F244EA" w:rsidRDefault="00F244EA" w:rsidP="00B940E6">
            <w:pPr>
              <w:rPr>
                <w:rFonts w:eastAsia="Times New Roman"/>
                <w:color w:val="000000"/>
              </w:rPr>
            </w:pPr>
            <w:r w:rsidRPr="00F244EA">
              <w:rPr>
                <w:rFonts w:eastAsia="Times New Roman"/>
                <w:color w:val="000000"/>
              </w:rPr>
              <w:t>Cruising location</w:t>
            </w:r>
          </w:p>
        </w:tc>
        <w:tc>
          <w:tcPr>
            <w:tcW w:w="0" w:type="auto"/>
            <w:shd w:val="clear" w:color="auto" w:fill="D9D9D9" w:themeFill="background1" w:themeFillShade="D9"/>
            <w:vAlign w:val="center"/>
          </w:tcPr>
          <w:p w14:paraId="7659F3DE" w14:textId="77777777" w:rsidR="00F244EA" w:rsidRPr="00F244EA" w:rsidRDefault="00F244EA" w:rsidP="00F244EA">
            <w:pPr>
              <w:rPr>
                <w:rFonts w:eastAsia="Times New Roman"/>
                <w:color w:val="000000"/>
              </w:rPr>
            </w:pPr>
          </w:p>
        </w:tc>
        <w:tc>
          <w:tcPr>
            <w:tcW w:w="0" w:type="auto"/>
            <w:shd w:val="clear" w:color="auto" w:fill="D9D9D9" w:themeFill="background1" w:themeFillShade="D9"/>
            <w:vAlign w:val="center"/>
          </w:tcPr>
          <w:p w14:paraId="73ED907E" w14:textId="77777777" w:rsidR="00F244EA" w:rsidRPr="00F244EA" w:rsidRDefault="00F244EA" w:rsidP="00F244EA">
            <w:pPr>
              <w:rPr>
                <w:rFonts w:eastAsia="Times New Roman"/>
                <w:color w:val="000000"/>
              </w:rPr>
            </w:pPr>
          </w:p>
        </w:tc>
        <w:tc>
          <w:tcPr>
            <w:tcW w:w="0" w:type="auto"/>
            <w:shd w:val="clear" w:color="auto" w:fill="auto"/>
            <w:vAlign w:val="center"/>
          </w:tcPr>
          <w:p w14:paraId="7BCD33EC" w14:textId="77777777" w:rsidR="00F244EA" w:rsidRPr="00F244EA" w:rsidRDefault="00F244EA" w:rsidP="00F244EA">
            <w:pPr>
              <w:rPr>
                <w:rFonts w:eastAsia="Times New Roman"/>
                <w:color w:val="000000"/>
              </w:rPr>
            </w:pPr>
            <w:r>
              <w:rPr>
                <w:rFonts w:eastAsia="Times New Roman"/>
                <w:color w:val="000000"/>
              </w:rPr>
              <w:t>-0.78** (-1.33, -0.22)</w:t>
            </w:r>
          </w:p>
        </w:tc>
      </w:tr>
      <w:tr w:rsidR="00F244EA" w:rsidRPr="00F244EA" w14:paraId="797CA7F3" w14:textId="77777777" w:rsidTr="00885C57">
        <w:trPr>
          <w:trHeight w:val="255"/>
          <w:jc w:val="center"/>
        </w:trPr>
        <w:tc>
          <w:tcPr>
            <w:tcW w:w="0" w:type="auto"/>
            <w:shd w:val="clear" w:color="auto" w:fill="auto"/>
            <w:noWrap/>
            <w:vAlign w:val="center"/>
            <w:hideMark/>
          </w:tcPr>
          <w:p w14:paraId="6685FD44" w14:textId="77777777" w:rsidR="00F244EA" w:rsidRPr="00F244EA" w:rsidRDefault="00F244EA" w:rsidP="00F244EA">
            <w:pPr>
              <w:rPr>
                <w:rFonts w:eastAsia="Times New Roman"/>
                <w:b/>
                <w:bCs/>
                <w:color w:val="000000"/>
              </w:rPr>
            </w:pPr>
            <w:r w:rsidRPr="00F244EA">
              <w:rPr>
                <w:rFonts w:eastAsia="Times New Roman"/>
                <w:b/>
                <w:bCs/>
                <w:color w:val="000000"/>
              </w:rPr>
              <w:t>Month of reporting</w:t>
            </w:r>
          </w:p>
        </w:tc>
        <w:tc>
          <w:tcPr>
            <w:tcW w:w="0" w:type="auto"/>
            <w:shd w:val="clear" w:color="auto" w:fill="D9D9D9" w:themeFill="background1" w:themeFillShade="D9"/>
            <w:vAlign w:val="center"/>
          </w:tcPr>
          <w:p w14:paraId="3D51F484" w14:textId="77777777" w:rsidR="00F244EA" w:rsidRPr="00F244EA" w:rsidRDefault="00F244EA" w:rsidP="00F244EA">
            <w:pPr>
              <w:rPr>
                <w:rFonts w:eastAsia="Times New Roman"/>
                <w:color w:val="000000"/>
              </w:rPr>
            </w:pPr>
            <w:r w:rsidRPr="00F244EA">
              <w:rPr>
                <w:rFonts w:eastAsia="Times New Roman"/>
                <w:color w:val="000000"/>
              </w:rPr>
              <w:t> </w:t>
            </w:r>
          </w:p>
        </w:tc>
        <w:tc>
          <w:tcPr>
            <w:tcW w:w="0" w:type="auto"/>
            <w:shd w:val="clear" w:color="auto" w:fill="D9D9D9" w:themeFill="background1" w:themeFillShade="D9"/>
            <w:vAlign w:val="center"/>
          </w:tcPr>
          <w:p w14:paraId="0C1E4B7D" w14:textId="77777777" w:rsidR="00F244EA" w:rsidRPr="00F244EA" w:rsidRDefault="00F244EA" w:rsidP="00F244EA">
            <w:pPr>
              <w:rPr>
                <w:rFonts w:eastAsia="Times New Roman"/>
                <w:color w:val="000000"/>
              </w:rPr>
            </w:pPr>
            <w:r w:rsidRPr="00F244EA">
              <w:rPr>
                <w:rFonts w:eastAsia="Times New Roman"/>
                <w:color w:val="000000"/>
              </w:rPr>
              <w:t> </w:t>
            </w:r>
          </w:p>
        </w:tc>
        <w:tc>
          <w:tcPr>
            <w:tcW w:w="0" w:type="auto"/>
            <w:shd w:val="clear" w:color="auto" w:fill="D9D9D9" w:themeFill="background1" w:themeFillShade="D9"/>
            <w:vAlign w:val="center"/>
          </w:tcPr>
          <w:p w14:paraId="0142C498" w14:textId="77777777" w:rsidR="00F244EA" w:rsidRPr="00F244EA" w:rsidRDefault="00F244EA" w:rsidP="00F244EA">
            <w:pPr>
              <w:rPr>
                <w:rFonts w:eastAsia="Times New Roman"/>
                <w:color w:val="000000"/>
              </w:rPr>
            </w:pPr>
          </w:p>
        </w:tc>
      </w:tr>
      <w:tr w:rsidR="00F244EA" w:rsidRPr="00F244EA" w14:paraId="5D052170" w14:textId="77777777" w:rsidTr="00885C57">
        <w:trPr>
          <w:trHeight w:val="255"/>
          <w:jc w:val="center"/>
        </w:trPr>
        <w:tc>
          <w:tcPr>
            <w:tcW w:w="0" w:type="auto"/>
            <w:shd w:val="clear" w:color="auto" w:fill="auto"/>
            <w:noWrap/>
            <w:vAlign w:val="center"/>
            <w:hideMark/>
          </w:tcPr>
          <w:p w14:paraId="3E43FFFA" w14:textId="77777777" w:rsidR="00F244EA" w:rsidRPr="00F244EA" w:rsidRDefault="00F244EA" w:rsidP="00F244EA">
            <w:pPr>
              <w:rPr>
                <w:rFonts w:eastAsia="Times New Roman"/>
                <w:color w:val="000000"/>
              </w:rPr>
            </w:pPr>
            <w:r w:rsidRPr="00F244EA">
              <w:rPr>
                <w:rFonts w:eastAsia="Times New Roman"/>
                <w:color w:val="000000"/>
              </w:rPr>
              <w:t>Month 7</w:t>
            </w:r>
          </w:p>
        </w:tc>
        <w:tc>
          <w:tcPr>
            <w:tcW w:w="0" w:type="auto"/>
            <w:vAlign w:val="center"/>
          </w:tcPr>
          <w:p w14:paraId="51BFF203" w14:textId="77777777" w:rsidR="00F244EA" w:rsidRPr="00F244EA" w:rsidRDefault="00F244EA" w:rsidP="00F244EA">
            <w:pPr>
              <w:rPr>
                <w:rFonts w:eastAsia="Times New Roman"/>
                <w:color w:val="000000"/>
              </w:rPr>
            </w:pPr>
            <w:r w:rsidRPr="00F244EA">
              <w:rPr>
                <w:rFonts w:eastAsia="Times New Roman"/>
                <w:color w:val="000000"/>
              </w:rPr>
              <w:t>Reference</w:t>
            </w:r>
          </w:p>
        </w:tc>
        <w:tc>
          <w:tcPr>
            <w:tcW w:w="0" w:type="auto"/>
            <w:vAlign w:val="center"/>
          </w:tcPr>
          <w:p w14:paraId="4BB42EE9" w14:textId="77777777" w:rsidR="00F244EA" w:rsidRPr="00F244EA" w:rsidRDefault="00F244EA" w:rsidP="00F244EA">
            <w:pPr>
              <w:rPr>
                <w:rFonts w:eastAsia="Times New Roman"/>
                <w:color w:val="000000"/>
              </w:rPr>
            </w:pPr>
            <w:r w:rsidRPr="00F244EA">
              <w:rPr>
                <w:rFonts w:eastAsia="Times New Roman"/>
                <w:color w:val="000000"/>
              </w:rPr>
              <w:t>Reference</w:t>
            </w:r>
          </w:p>
        </w:tc>
        <w:tc>
          <w:tcPr>
            <w:tcW w:w="0" w:type="auto"/>
            <w:shd w:val="clear" w:color="auto" w:fill="D9D9D9" w:themeFill="background1" w:themeFillShade="D9"/>
            <w:vAlign w:val="center"/>
          </w:tcPr>
          <w:p w14:paraId="5A7887F8" w14:textId="77777777" w:rsidR="00F244EA" w:rsidRPr="00F244EA" w:rsidRDefault="00F244EA" w:rsidP="00F244EA">
            <w:pPr>
              <w:rPr>
                <w:rFonts w:eastAsia="Times New Roman"/>
                <w:color w:val="000000"/>
              </w:rPr>
            </w:pPr>
          </w:p>
        </w:tc>
      </w:tr>
      <w:tr w:rsidR="00F244EA" w:rsidRPr="00F244EA" w14:paraId="621EDA28" w14:textId="77777777" w:rsidTr="00885C57">
        <w:trPr>
          <w:trHeight w:val="255"/>
          <w:jc w:val="center"/>
        </w:trPr>
        <w:tc>
          <w:tcPr>
            <w:tcW w:w="0" w:type="auto"/>
            <w:shd w:val="clear" w:color="auto" w:fill="auto"/>
            <w:noWrap/>
            <w:vAlign w:val="center"/>
            <w:hideMark/>
          </w:tcPr>
          <w:p w14:paraId="28E0B88E" w14:textId="77777777" w:rsidR="00F244EA" w:rsidRPr="00F244EA" w:rsidRDefault="00F244EA" w:rsidP="00F244EA">
            <w:pPr>
              <w:rPr>
                <w:rFonts w:eastAsia="Times New Roman"/>
                <w:color w:val="000000"/>
              </w:rPr>
            </w:pPr>
            <w:r w:rsidRPr="00F244EA">
              <w:rPr>
                <w:rFonts w:eastAsia="Times New Roman"/>
                <w:color w:val="000000"/>
              </w:rPr>
              <w:t>Month 10</w:t>
            </w:r>
          </w:p>
        </w:tc>
        <w:tc>
          <w:tcPr>
            <w:tcW w:w="0" w:type="auto"/>
            <w:vAlign w:val="center"/>
          </w:tcPr>
          <w:p w14:paraId="5014E485" w14:textId="77777777" w:rsidR="00F244EA" w:rsidRPr="00F244EA" w:rsidRDefault="00F244EA" w:rsidP="00F244EA">
            <w:pPr>
              <w:rPr>
                <w:rFonts w:eastAsia="Times New Roman"/>
                <w:color w:val="000000"/>
              </w:rPr>
            </w:pPr>
            <w:r w:rsidRPr="00F244EA">
              <w:rPr>
                <w:rFonts w:eastAsia="Times New Roman"/>
                <w:color w:val="000000"/>
              </w:rPr>
              <w:t>1.04 (0.70, 1.57)</w:t>
            </w:r>
          </w:p>
        </w:tc>
        <w:tc>
          <w:tcPr>
            <w:tcW w:w="0" w:type="auto"/>
            <w:vAlign w:val="center"/>
          </w:tcPr>
          <w:p w14:paraId="4C8FA05A" w14:textId="77777777" w:rsidR="00F244EA" w:rsidRPr="00F244EA" w:rsidRDefault="00F244EA" w:rsidP="00F244EA">
            <w:pPr>
              <w:rPr>
                <w:rFonts w:eastAsia="Times New Roman"/>
                <w:color w:val="000000"/>
              </w:rPr>
            </w:pPr>
            <w:r w:rsidRPr="00F244EA">
              <w:rPr>
                <w:rFonts w:eastAsia="Times New Roman"/>
                <w:color w:val="000000"/>
              </w:rPr>
              <w:t>1.06 (0.71, 1.59)</w:t>
            </w:r>
          </w:p>
        </w:tc>
        <w:tc>
          <w:tcPr>
            <w:tcW w:w="0" w:type="auto"/>
            <w:shd w:val="clear" w:color="auto" w:fill="D9D9D9" w:themeFill="background1" w:themeFillShade="D9"/>
            <w:vAlign w:val="center"/>
          </w:tcPr>
          <w:p w14:paraId="3D0774F6" w14:textId="77777777" w:rsidR="00F244EA" w:rsidRPr="00F244EA" w:rsidRDefault="00F244EA" w:rsidP="00F244EA">
            <w:pPr>
              <w:rPr>
                <w:rFonts w:eastAsia="Times New Roman"/>
                <w:color w:val="000000"/>
              </w:rPr>
            </w:pPr>
          </w:p>
        </w:tc>
      </w:tr>
      <w:tr w:rsidR="00F244EA" w:rsidRPr="00F244EA" w14:paraId="5A562861" w14:textId="77777777" w:rsidTr="00885C57">
        <w:trPr>
          <w:trHeight w:val="255"/>
          <w:jc w:val="center"/>
        </w:trPr>
        <w:tc>
          <w:tcPr>
            <w:tcW w:w="0" w:type="auto"/>
            <w:shd w:val="clear" w:color="auto" w:fill="auto"/>
            <w:noWrap/>
            <w:vAlign w:val="center"/>
            <w:hideMark/>
          </w:tcPr>
          <w:p w14:paraId="54A413BC" w14:textId="77777777" w:rsidR="00F244EA" w:rsidRPr="00F244EA" w:rsidRDefault="00F244EA" w:rsidP="00F244EA">
            <w:pPr>
              <w:rPr>
                <w:rFonts w:eastAsia="Times New Roman"/>
                <w:color w:val="000000"/>
              </w:rPr>
            </w:pPr>
            <w:r w:rsidRPr="00F244EA">
              <w:rPr>
                <w:rFonts w:eastAsia="Times New Roman"/>
                <w:color w:val="000000"/>
              </w:rPr>
              <w:t>Month 13</w:t>
            </w:r>
          </w:p>
        </w:tc>
        <w:tc>
          <w:tcPr>
            <w:tcW w:w="0" w:type="auto"/>
            <w:vAlign w:val="center"/>
          </w:tcPr>
          <w:p w14:paraId="35960005" w14:textId="77777777" w:rsidR="00F244EA" w:rsidRPr="00F244EA" w:rsidRDefault="00F244EA" w:rsidP="00F244EA">
            <w:pPr>
              <w:rPr>
                <w:rFonts w:eastAsia="Times New Roman"/>
                <w:color w:val="000000"/>
              </w:rPr>
            </w:pPr>
            <w:r w:rsidRPr="00F244EA">
              <w:rPr>
                <w:rFonts w:eastAsia="Times New Roman"/>
                <w:color w:val="000000"/>
              </w:rPr>
              <w:t>1.38 (0.39, 1.24)</w:t>
            </w:r>
          </w:p>
        </w:tc>
        <w:tc>
          <w:tcPr>
            <w:tcW w:w="0" w:type="auto"/>
            <w:vAlign w:val="center"/>
          </w:tcPr>
          <w:p w14:paraId="568B88CC" w14:textId="77777777" w:rsidR="00F244EA" w:rsidRPr="00F244EA" w:rsidRDefault="00F244EA" w:rsidP="00F244EA">
            <w:pPr>
              <w:rPr>
                <w:rFonts w:eastAsia="Times New Roman"/>
                <w:i/>
                <w:iCs/>
                <w:color w:val="000000"/>
              </w:rPr>
            </w:pPr>
            <w:r w:rsidRPr="00F244EA">
              <w:rPr>
                <w:rFonts w:eastAsia="Times New Roman"/>
                <w:i/>
                <w:iCs/>
                <w:color w:val="000000"/>
              </w:rPr>
              <w:t>1.41 (0.96, 2.08)</w:t>
            </w:r>
          </w:p>
        </w:tc>
        <w:tc>
          <w:tcPr>
            <w:tcW w:w="0" w:type="auto"/>
            <w:shd w:val="clear" w:color="auto" w:fill="D9D9D9" w:themeFill="background1" w:themeFillShade="D9"/>
            <w:vAlign w:val="center"/>
          </w:tcPr>
          <w:p w14:paraId="420BD0CD" w14:textId="77777777" w:rsidR="00F244EA" w:rsidRPr="00F244EA" w:rsidRDefault="00F244EA" w:rsidP="00F244EA">
            <w:pPr>
              <w:rPr>
                <w:rFonts w:eastAsia="Times New Roman"/>
                <w:i/>
                <w:iCs/>
                <w:color w:val="000000"/>
              </w:rPr>
            </w:pPr>
          </w:p>
        </w:tc>
      </w:tr>
      <w:tr w:rsidR="00F244EA" w:rsidRPr="00F244EA" w14:paraId="4B07A47D" w14:textId="77777777" w:rsidTr="00885C57">
        <w:trPr>
          <w:trHeight w:val="255"/>
          <w:jc w:val="center"/>
        </w:trPr>
        <w:tc>
          <w:tcPr>
            <w:tcW w:w="0" w:type="auto"/>
            <w:shd w:val="clear" w:color="auto" w:fill="auto"/>
            <w:noWrap/>
            <w:vAlign w:val="center"/>
            <w:hideMark/>
          </w:tcPr>
          <w:p w14:paraId="3657FE43" w14:textId="77777777" w:rsidR="00F244EA" w:rsidRPr="00F244EA" w:rsidRDefault="00F244EA" w:rsidP="00F244EA">
            <w:pPr>
              <w:rPr>
                <w:rFonts w:eastAsia="Times New Roman"/>
                <w:b/>
                <w:bCs/>
                <w:color w:val="000000"/>
              </w:rPr>
            </w:pPr>
            <w:r w:rsidRPr="00F244EA">
              <w:rPr>
                <w:rFonts w:eastAsia="Times New Roman"/>
                <w:b/>
                <w:bCs/>
                <w:color w:val="000000"/>
              </w:rPr>
              <w:t>Wald test (χ</w:t>
            </w:r>
            <w:r w:rsidRPr="00F244EA">
              <w:rPr>
                <w:rFonts w:eastAsia="Times New Roman"/>
                <w:b/>
                <w:bCs/>
                <w:color w:val="000000"/>
                <w:vertAlign w:val="superscript"/>
              </w:rPr>
              <w:t>2</w:t>
            </w:r>
            <w:r w:rsidRPr="00F244EA">
              <w:rPr>
                <w:rFonts w:eastAsia="Times New Roman"/>
                <w:b/>
                <w:bCs/>
                <w:color w:val="000000"/>
              </w:rPr>
              <w:t xml:space="preserve">, df, </w:t>
            </w:r>
            <w:r w:rsidRPr="00F244EA">
              <w:rPr>
                <w:rFonts w:eastAsia="Times New Roman"/>
                <w:b/>
                <w:bCs/>
                <w:i/>
                <w:iCs/>
                <w:color w:val="000000"/>
              </w:rPr>
              <w:t>p</w:t>
            </w:r>
            <w:r w:rsidRPr="00F244EA">
              <w:rPr>
                <w:rFonts w:eastAsia="Times New Roman"/>
                <w:b/>
                <w:bCs/>
                <w:color w:val="000000"/>
              </w:rPr>
              <w:t>-value)</w:t>
            </w:r>
          </w:p>
        </w:tc>
        <w:tc>
          <w:tcPr>
            <w:tcW w:w="0" w:type="auto"/>
            <w:vAlign w:val="center"/>
          </w:tcPr>
          <w:p w14:paraId="68C20ED4" w14:textId="77777777" w:rsidR="00F244EA" w:rsidRPr="00F244EA" w:rsidRDefault="00F244EA" w:rsidP="00F244EA">
            <w:pPr>
              <w:rPr>
                <w:rFonts w:eastAsia="Times New Roman"/>
                <w:color w:val="000000"/>
              </w:rPr>
            </w:pPr>
            <w:r w:rsidRPr="00F244EA">
              <w:rPr>
                <w:rFonts w:eastAsia="Times New Roman"/>
                <w:color w:val="000000"/>
              </w:rPr>
              <w:t>25.84, 8, 0.001</w:t>
            </w:r>
          </w:p>
        </w:tc>
        <w:tc>
          <w:tcPr>
            <w:tcW w:w="0" w:type="auto"/>
            <w:vAlign w:val="center"/>
          </w:tcPr>
          <w:p w14:paraId="77BFC795" w14:textId="77777777" w:rsidR="00F244EA" w:rsidRPr="00F244EA" w:rsidRDefault="00F244EA" w:rsidP="00F244EA">
            <w:pPr>
              <w:rPr>
                <w:rFonts w:eastAsia="Times New Roman"/>
                <w:color w:val="000000"/>
              </w:rPr>
            </w:pPr>
            <w:r w:rsidRPr="00F244EA">
              <w:rPr>
                <w:rFonts w:eastAsia="Times New Roman"/>
                <w:color w:val="000000"/>
              </w:rPr>
              <w:t>24.17, 5, 0.0002</w:t>
            </w:r>
          </w:p>
        </w:tc>
        <w:tc>
          <w:tcPr>
            <w:tcW w:w="0" w:type="auto"/>
            <w:vAlign w:val="center"/>
          </w:tcPr>
          <w:p w14:paraId="1358A6E7" w14:textId="77777777" w:rsidR="00F244EA" w:rsidRPr="00F244EA" w:rsidRDefault="00F244EA" w:rsidP="00F244EA">
            <w:pPr>
              <w:rPr>
                <w:rFonts w:eastAsia="Times New Roman"/>
                <w:color w:val="000000"/>
              </w:rPr>
            </w:pPr>
            <w:r>
              <w:rPr>
                <w:rFonts w:eastAsia="Times New Roman"/>
                <w:color w:val="000000"/>
              </w:rPr>
              <w:t>34.47, 8, &lt;0.0001</w:t>
            </w:r>
          </w:p>
        </w:tc>
      </w:tr>
      <w:tr w:rsidR="00F244EA" w:rsidRPr="00F244EA" w14:paraId="118EE10A" w14:textId="77777777" w:rsidTr="00885C57">
        <w:trPr>
          <w:trHeight w:val="255"/>
          <w:jc w:val="center"/>
        </w:trPr>
        <w:tc>
          <w:tcPr>
            <w:tcW w:w="0" w:type="auto"/>
            <w:shd w:val="clear" w:color="auto" w:fill="auto"/>
            <w:noWrap/>
            <w:vAlign w:val="center"/>
            <w:hideMark/>
          </w:tcPr>
          <w:p w14:paraId="7F3E2E91" w14:textId="77777777" w:rsidR="00F244EA" w:rsidRPr="00F244EA" w:rsidRDefault="00F244EA" w:rsidP="00F244EA">
            <w:pPr>
              <w:rPr>
                <w:rFonts w:eastAsia="Times New Roman"/>
                <w:b/>
                <w:bCs/>
                <w:color w:val="000000"/>
              </w:rPr>
            </w:pPr>
            <w:r>
              <w:rPr>
                <w:rFonts w:eastAsia="Times New Roman"/>
                <w:b/>
                <w:bCs/>
                <w:color w:val="000000"/>
              </w:rPr>
              <w:t>QIC</w:t>
            </w:r>
          </w:p>
        </w:tc>
        <w:tc>
          <w:tcPr>
            <w:tcW w:w="0" w:type="auto"/>
            <w:vAlign w:val="center"/>
          </w:tcPr>
          <w:p w14:paraId="0F8D64BE" w14:textId="77777777" w:rsidR="00F244EA" w:rsidRPr="00F244EA" w:rsidRDefault="00F244EA" w:rsidP="00F244EA">
            <w:pPr>
              <w:rPr>
                <w:rFonts w:eastAsia="Times New Roman"/>
                <w:color w:val="000000"/>
              </w:rPr>
            </w:pPr>
            <w:r w:rsidRPr="00F244EA">
              <w:rPr>
                <w:rFonts w:eastAsia="Times New Roman"/>
                <w:color w:val="000000"/>
              </w:rPr>
              <w:t>557.41</w:t>
            </w:r>
          </w:p>
        </w:tc>
        <w:tc>
          <w:tcPr>
            <w:tcW w:w="0" w:type="auto"/>
            <w:vAlign w:val="center"/>
          </w:tcPr>
          <w:p w14:paraId="3E5E8E70" w14:textId="77777777" w:rsidR="00F244EA" w:rsidRPr="00F244EA" w:rsidRDefault="00F244EA" w:rsidP="00F244EA">
            <w:pPr>
              <w:rPr>
                <w:rFonts w:eastAsia="Times New Roman"/>
                <w:color w:val="000000"/>
              </w:rPr>
            </w:pPr>
            <w:r w:rsidRPr="00F244EA">
              <w:rPr>
                <w:rFonts w:eastAsia="Times New Roman"/>
                <w:color w:val="000000"/>
              </w:rPr>
              <w:t>556.26</w:t>
            </w:r>
          </w:p>
        </w:tc>
        <w:tc>
          <w:tcPr>
            <w:tcW w:w="0" w:type="auto"/>
            <w:vAlign w:val="center"/>
          </w:tcPr>
          <w:p w14:paraId="4C8B281E" w14:textId="77777777" w:rsidR="00F244EA" w:rsidRPr="00F244EA" w:rsidRDefault="00F244EA" w:rsidP="00F244EA">
            <w:pPr>
              <w:rPr>
                <w:rFonts w:eastAsia="Times New Roman"/>
                <w:color w:val="000000"/>
              </w:rPr>
            </w:pPr>
            <w:r>
              <w:rPr>
                <w:rFonts w:eastAsia="Times New Roman"/>
                <w:color w:val="000000"/>
              </w:rPr>
              <w:t>1163.32</w:t>
            </w:r>
          </w:p>
        </w:tc>
      </w:tr>
    </w:tbl>
    <w:p w14:paraId="315C03D1" w14:textId="77777777" w:rsidR="00885C57" w:rsidRPr="00885C57" w:rsidRDefault="00885C57" w:rsidP="00885C57">
      <w:r>
        <w:rPr>
          <w:vertAlign w:val="superscript"/>
        </w:rPr>
        <w:t>a</w:t>
      </w:r>
      <w:r>
        <w:t>*</w:t>
      </w:r>
      <w:r>
        <w:rPr>
          <w:i/>
        </w:rPr>
        <w:t>p</w:t>
      </w:r>
      <w:r>
        <w:t>&lt;0.05, **</w:t>
      </w:r>
      <w:r>
        <w:rPr>
          <w:i/>
        </w:rPr>
        <w:t>p</w:t>
      </w:r>
      <w:r>
        <w:t>&lt;0.01, ***</w:t>
      </w:r>
      <w:r>
        <w:rPr>
          <w:i/>
        </w:rPr>
        <w:t>p</w:t>
      </w:r>
      <w:r>
        <w:t>&lt;0.001</w:t>
      </w:r>
    </w:p>
    <w:p w14:paraId="320B31D5" w14:textId="77777777" w:rsidR="00885C57" w:rsidRDefault="00885C57" w:rsidP="007131C4">
      <w:pPr>
        <w:spacing w:line="480" w:lineRule="auto"/>
        <w:sectPr w:rsidR="00885C57" w:rsidSect="0091216B">
          <w:pgSz w:w="16840" w:h="11900" w:orient="landscape"/>
          <w:pgMar w:top="1701" w:right="1701" w:bottom="1701" w:left="1701" w:header="709" w:footer="709" w:gutter="0"/>
          <w:cols w:space="708"/>
          <w:docGrid w:linePitch="360"/>
        </w:sectPr>
      </w:pPr>
    </w:p>
    <w:p w14:paraId="7283881A" w14:textId="77777777" w:rsidR="00583BFF" w:rsidRDefault="00583BFF" w:rsidP="00B41DA3">
      <w:pPr>
        <w:rPr>
          <w:b/>
        </w:rPr>
      </w:pPr>
      <w:r>
        <w:rPr>
          <w:b/>
        </w:rPr>
        <w:t>Works cited</w:t>
      </w:r>
    </w:p>
    <w:p w14:paraId="3479622F" w14:textId="0D034AC8" w:rsidR="00CE61FF" w:rsidRPr="00CE61FF" w:rsidRDefault="00B90C8D">
      <w:pPr>
        <w:pStyle w:val="NormalWeb"/>
        <w:ind w:left="640" w:hanging="640"/>
        <w:divId w:val="891505725"/>
        <w:rPr>
          <w:rFonts w:ascii="Times New Roman" w:hAnsi="Times New Roman"/>
          <w:noProof/>
          <w:sz w:val="24"/>
        </w:rPr>
      </w:pPr>
      <w:r>
        <w:fldChar w:fldCharType="begin" w:fldLock="1"/>
      </w:r>
      <w:r w:rsidR="00583BFF">
        <w:instrText xml:space="preserve">ADDIN Mendeley Bibliography CSL_BIBLIOGRAPHY </w:instrText>
      </w:r>
      <w:r>
        <w:fldChar w:fldCharType="separate"/>
      </w:r>
      <w:r w:rsidR="00CE61FF" w:rsidRPr="00CE61FF">
        <w:rPr>
          <w:rFonts w:ascii="Times New Roman" w:hAnsi="Times New Roman"/>
          <w:noProof/>
          <w:sz w:val="24"/>
        </w:rPr>
        <w:t xml:space="preserve">1. </w:t>
      </w:r>
      <w:r w:rsidR="00CE61FF" w:rsidRPr="00CE61FF">
        <w:rPr>
          <w:rFonts w:ascii="Times New Roman" w:hAnsi="Times New Roman"/>
          <w:noProof/>
          <w:sz w:val="24"/>
        </w:rPr>
        <w:tab/>
        <w:t xml:space="preserve">Vosburgh HW, Mansergh G, Sullivan PS, Purcell DW. A review of the literature on event-level substance use and sexual risk behavior among men who have sex with men. AIDS Behav. United States; 2012;16(6):1394–410. </w:t>
      </w:r>
    </w:p>
    <w:p w14:paraId="2FB87F70"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 </w:t>
      </w:r>
      <w:r w:rsidRPr="00CE61FF">
        <w:rPr>
          <w:rFonts w:ascii="Times New Roman" w:hAnsi="Times New Roman"/>
          <w:noProof/>
          <w:sz w:val="24"/>
        </w:rPr>
        <w:tab/>
        <w:t xml:space="preserve">Boone MR, Cook SH, Wilson P. Substance use and sexual risk behavior in HIV-positive men who have sex with men: An episode-level analysis. AIDS Behav. United States; 2013;17(5):1883–7. </w:t>
      </w:r>
    </w:p>
    <w:p w14:paraId="53FDC7C6"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3. </w:t>
      </w:r>
      <w:r w:rsidRPr="00CE61FF">
        <w:rPr>
          <w:rFonts w:ascii="Times New Roman" w:hAnsi="Times New Roman"/>
          <w:noProof/>
          <w:sz w:val="24"/>
        </w:rPr>
        <w:tab/>
        <w:t xml:space="preserve">Colfax GN, Vittinghoff E, Husnik MJ, McKirnan D, Buchbinder S, Koblin B, et al. Substance use and sexual risk: A participant- and episode-level analysis among a cohort of men who have sex with men. Am J Epidemiol. 2004;159(10):1002–12. </w:t>
      </w:r>
    </w:p>
    <w:p w14:paraId="49E5D9D6"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4. </w:t>
      </w:r>
      <w:r w:rsidRPr="00CE61FF">
        <w:rPr>
          <w:rFonts w:ascii="Times New Roman" w:hAnsi="Times New Roman"/>
          <w:noProof/>
          <w:sz w:val="24"/>
        </w:rPr>
        <w:tab/>
        <w:t xml:space="preserve">Koblin BA, Murrill C, Camacho M, Xu G, Liu K-L, Raj-Singh S, et al. Amphetamine use and sexual risk among men who have sex with men: Results from the National HIV Behavioral Surveillance study - New York City. Subst Use Misuse. 2007;42(10):1613–28. </w:t>
      </w:r>
    </w:p>
    <w:p w14:paraId="11E2B798"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5. </w:t>
      </w:r>
      <w:r w:rsidRPr="00CE61FF">
        <w:rPr>
          <w:rFonts w:ascii="Times New Roman" w:hAnsi="Times New Roman"/>
          <w:noProof/>
          <w:sz w:val="24"/>
        </w:rPr>
        <w:tab/>
        <w:t xml:space="preserve">Wilson PA, Cook S, McGaskey J, Rowe M, Dennis N. Situational predictors of sexual risk episodes among men with HIV who have sex with men. Sex Transm Infect. 2008 Nov;84(6):506–8. </w:t>
      </w:r>
    </w:p>
    <w:p w14:paraId="41A9F552"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6. </w:t>
      </w:r>
      <w:r w:rsidRPr="00CE61FF">
        <w:rPr>
          <w:rFonts w:ascii="Times New Roman" w:hAnsi="Times New Roman"/>
          <w:noProof/>
          <w:sz w:val="24"/>
        </w:rPr>
        <w:tab/>
        <w:t xml:space="preserve">Horvath KJ. The use of a daily web diary to examine the relation between online sex seeking and HIV risk among internet-using men who have sex with men. ProQuest Dissertations and Theses. [Ann Arbor]: University of Wyoming; 2005. </w:t>
      </w:r>
    </w:p>
    <w:p w14:paraId="30351FFC"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7. </w:t>
      </w:r>
      <w:r w:rsidRPr="00CE61FF">
        <w:rPr>
          <w:rFonts w:ascii="Times New Roman" w:hAnsi="Times New Roman"/>
          <w:noProof/>
          <w:sz w:val="24"/>
        </w:rPr>
        <w:tab/>
        <w:t xml:space="preserve">Prestage G, Van de Ven P, Grulich A, Kaldor J, Kippax S, Mao L. Contexts for last occasions of unprotected anal intercourse among HIV-negative gay men in Sydney: the health in men cohort. AIDS Care. 2005;17(1):23–32. </w:t>
      </w:r>
    </w:p>
    <w:p w14:paraId="0118CE2F"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8. </w:t>
      </w:r>
      <w:r w:rsidRPr="00CE61FF">
        <w:rPr>
          <w:rFonts w:ascii="Times New Roman" w:hAnsi="Times New Roman"/>
          <w:noProof/>
          <w:sz w:val="24"/>
        </w:rPr>
        <w:tab/>
        <w:t xml:space="preserve">Prestage G, Grierson J, Bradley J, Hurley M, Hudson J, G. P, et al. The role of drugs during group sex among gay men in Australia. Sexual health. 2009. p. 310–7. </w:t>
      </w:r>
    </w:p>
    <w:p w14:paraId="2FAA8710"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9. </w:t>
      </w:r>
      <w:r w:rsidRPr="00CE61FF">
        <w:rPr>
          <w:rFonts w:ascii="Times New Roman" w:hAnsi="Times New Roman"/>
          <w:noProof/>
          <w:sz w:val="24"/>
        </w:rPr>
        <w:tab/>
        <w:t xml:space="preserve">Grov C, Rendina HJ, Ventuneac A, Parsons JT. HIV risk in group sexual encounters: An event-level analysis from a national online survey of MSM in the U. S. J Sex Med. 2013;10(9):2285–94. </w:t>
      </w:r>
    </w:p>
    <w:p w14:paraId="3C0C4E2D"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10. </w:t>
      </w:r>
      <w:r w:rsidRPr="00CE61FF">
        <w:rPr>
          <w:rFonts w:ascii="Times New Roman" w:hAnsi="Times New Roman"/>
          <w:noProof/>
          <w:sz w:val="24"/>
        </w:rPr>
        <w:tab/>
        <w:t xml:space="preserve">Bourne A, Reid D, Hickson F, Torres Rueda S, Weatherburn P. The Chemsex Study: drug use in sexual settings among gay &amp; bisexual men in Lambeth, Southwark, &amp; Lewisham. London: Sigma Research, London School of Hygiene and Tropical Medicine; 2014. </w:t>
      </w:r>
    </w:p>
    <w:p w14:paraId="3F1FDFC3"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11. </w:t>
      </w:r>
      <w:r w:rsidRPr="00CE61FF">
        <w:rPr>
          <w:rFonts w:ascii="Times New Roman" w:hAnsi="Times New Roman"/>
          <w:noProof/>
          <w:sz w:val="24"/>
        </w:rPr>
        <w:tab/>
        <w:t xml:space="preserve">Hurley M, Prestage G. Intensive sex partying amongst gay men in Sydney. Cult Health Sex. 2009;11(6):597–610. </w:t>
      </w:r>
    </w:p>
    <w:p w14:paraId="44D8220B" w14:textId="5BD8B191"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12. </w:t>
      </w:r>
      <w:r w:rsidRPr="00CE61FF">
        <w:rPr>
          <w:rFonts w:ascii="Times New Roman" w:hAnsi="Times New Roman"/>
          <w:noProof/>
          <w:sz w:val="24"/>
        </w:rPr>
        <w:tab/>
        <w:t xml:space="preserve">Solomon TM, Halkitis PN, Moeller RM, Siconolfi DE, Kiang M V, Barton SC. Sex parties among young gay, bisexual, and other men who have sex with men in New York City: attendance and behavior. J Urban Health. 2011. p. 1063–75. </w:t>
      </w:r>
    </w:p>
    <w:p w14:paraId="329ED08C"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13. </w:t>
      </w:r>
      <w:r w:rsidRPr="00CE61FF">
        <w:rPr>
          <w:rFonts w:ascii="Times New Roman" w:hAnsi="Times New Roman"/>
          <w:noProof/>
          <w:sz w:val="24"/>
        </w:rPr>
        <w:tab/>
        <w:t xml:space="preserve">Wohlfeiler D, Potterat JJ. Using gay men’s sexual networks to reduce sexually transmitted disease (STD)/human immunodeficiency virus (HIV) transmission. Sex Transm Dis. 2005;32(10 Suppl):S48–52. </w:t>
      </w:r>
    </w:p>
    <w:p w14:paraId="11B34874"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14. </w:t>
      </w:r>
      <w:r w:rsidRPr="00CE61FF">
        <w:rPr>
          <w:rFonts w:ascii="Times New Roman" w:hAnsi="Times New Roman"/>
          <w:noProof/>
          <w:sz w:val="24"/>
        </w:rPr>
        <w:tab/>
        <w:t xml:space="preserve">Slavin S. Drugs, space, and sociality in a gay nightclub in Sydney. J Contemp Ethnogr. 2004;33(3):265–95. </w:t>
      </w:r>
    </w:p>
    <w:p w14:paraId="25EF4975"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15. </w:t>
      </w:r>
      <w:r w:rsidRPr="00CE61FF">
        <w:rPr>
          <w:rFonts w:ascii="Times New Roman" w:hAnsi="Times New Roman"/>
          <w:noProof/>
          <w:sz w:val="24"/>
        </w:rPr>
        <w:tab/>
        <w:t xml:space="preserve">Green AI, Halkitis PN. Crystal methamphetamine and sexual sociality in an urban gay subculture: An elective affinity. Cult Health Sex. 2006;8(4):317–33. </w:t>
      </w:r>
    </w:p>
    <w:p w14:paraId="67E1D3A2"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16. </w:t>
      </w:r>
      <w:r w:rsidRPr="00CE61FF">
        <w:rPr>
          <w:rFonts w:ascii="Times New Roman" w:hAnsi="Times New Roman"/>
          <w:noProof/>
          <w:sz w:val="24"/>
        </w:rPr>
        <w:tab/>
        <w:t xml:space="preserve">O’Byrne P, Holmes D. Desire, drug use and unsafe sex: a qualitative examination of gay men who attend gay circuit parties. Cult Health Sex. 2011;13(1):1–13. </w:t>
      </w:r>
    </w:p>
    <w:p w14:paraId="5D80EEA7"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17. </w:t>
      </w:r>
      <w:r w:rsidRPr="00CE61FF">
        <w:rPr>
          <w:rFonts w:ascii="Times New Roman" w:hAnsi="Times New Roman"/>
          <w:noProof/>
          <w:sz w:val="24"/>
        </w:rPr>
        <w:tab/>
        <w:t xml:space="preserve">Leigh BC, Stall R. Substance use and risky sexual behavior for exposure to HIV: issues in methdology, interpretation, and prevention. Am Psychol. 1993;48(10):1035–45. </w:t>
      </w:r>
    </w:p>
    <w:p w14:paraId="36505FB9"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18. </w:t>
      </w:r>
      <w:r w:rsidRPr="00CE61FF">
        <w:rPr>
          <w:rFonts w:ascii="Times New Roman" w:hAnsi="Times New Roman"/>
          <w:noProof/>
          <w:sz w:val="24"/>
        </w:rPr>
        <w:tab/>
        <w:t xml:space="preserve">Hickson F, Tomlin K, Hargreaves J, Bonell C, Reid D, Weatherburn P. Internet-based cohort study of HIV testing over 1 year among men who have sex with men living in England and exposed to a social marketing intervention promoting testing. Sex Transm Infect. 2014;1–7. </w:t>
      </w:r>
    </w:p>
    <w:p w14:paraId="44751AFE"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19. </w:t>
      </w:r>
      <w:r w:rsidRPr="00CE61FF">
        <w:rPr>
          <w:rFonts w:ascii="Times New Roman" w:hAnsi="Times New Roman"/>
          <w:noProof/>
          <w:sz w:val="24"/>
        </w:rPr>
        <w:tab/>
        <w:t xml:space="preserve">Pan W. Akaike’s information criterion in generalized estimating equations. Biometrics. 2001 Mar;57(1):120–5. </w:t>
      </w:r>
    </w:p>
    <w:p w14:paraId="5B99537F" w14:textId="73D9A3AB"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20. </w:t>
      </w:r>
      <w:r w:rsidRPr="00CE61FF">
        <w:rPr>
          <w:rFonts w:ascii="Times New Roman" w:hAnsi="Times New Roman"/>
          <w:noProof/>
          <w:sz w:val="24"/>
        </w:rPr>
        <w:tab/>
        <w:t xml:space="preserve">Prestage G, Jin F, Kippax S, Zablotska I, Imrie J, Grulich A. Use of illicit drugs and erectile dysfunction medications and subsequent HIV infection among gay men in Sydney, Australia. J Sex Med. 2009. p. 2311–20. </w:t>
      </w:r>
    </w:p>
    <w:p w14:paraId="24250515"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21. </w:t>
      </w:r>
      <w:r w:rsidRPr="00CE61FF">
        <w:rPr>
          <w:rFonts w:ascii="Times New Roman" w:hAnsi="Times New Roman"/>
          <w:noProof/>
          <w:sz w:val="24"/>
        </w:rPr>
        <w:tab/>
        <w:t xml:space="preserve">Ostrow DG, Plankey MW, Cox C, Li X, Shoptaw S, Jacobson LP, et al. Specific sex drug combinations contribute to the majority of recent HIV seroconversions among MSM in the MACS. J Acquir Immune Defic Syndr. 2009;51(3):349–55. </w:t>
      </w:r>
    </w:p>
    <w:p w14:paraId="3B40B738"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22. </w:t>
      </w:r>
      <w:r w:rsidRPr="00CE61FF">
        <w:rPr>
          <w:rFonts w:ascii="Times New Roman" w:hAnsi="Times New Roman"/>
          <w:noProof/>
          <w:sz w:val="24"/>
        </w:rPr>
        <w:tab/>
        <w:t xml:space="preserve">Bourne A, Hickson F, Keogh P, Reid D, Weatherburn P. Problems with sex among gay and bisexual men with diagnosed HIV in the United Kingdom. BMC Public Health. 2012;12(916). </w:t>
      </w:r>
    </w:p>
    <w:p w14:paraId="3CC1A8D9"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23. </w:t>
      </w:r>
      <w:r w:rsidRPr="00CE61FF">
        <w:rPr>
          <w:rFonts w:ascii="Times New Roman" w:hAnsi="Times New Roman"/>
          <w:noProof/>
          <w:sz w:val="24"/>
        </w:rPr>
        <w:tab/>
        <w:t xml:space="preserve">Mustanski BS, Newcomb ME, Clerkin E. Relationship Characteristics and Sexual Risk-Taking in Young Men Who Have Sex With Men. Heal Psychol. 2011;30(5):597–605. </w:t>
      </w:r>
    </w:p>
    <w:p w14:paraId="6C776DF0" w14:textId="50EF7B9D"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24. </w:t>
      </w:r>
      <w:r w:rsidRPr="00CE61FF">
        <w:rPr>
          <w:rFonts w:ascii="Times New Roman" w:hAnsi="Times New Roman"/>
          <w:noProof/>
          <w:sz w:val="24"/>
        </w:rPr>
        <w:tab/>
        <w:t xml:space="preserve">Dodds JP, Mercer CH, Mercey DE, Copas AJ, Johnson AM. Men who have sex with men: a comparison of a probability sample survey and a community based study. Sex Transm Infect. 2006;82(1):86–7. </w:t>
      </w:r>
    </w:p>
    <w:p w14:paraId="3CC1799D" w14:textId="7D536C58"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25. </w:t>
      </w:r>
      <w:r w:rsidRPr="00CE61FF">
        <w:rPr>
          <w:rFonts w:ascii="Times New Roman" w:hAnsi="Times New Roman"/>
          <w:noProof/>
          <w:sz w:val="24"/>
        </w:rPr>
        <w:tab/>
        <w:t xml:space="preserve">Grov C, Parsons JT, Bimbi DS. Sexual risk behavior and venues for meeting sex partners: an intercept survey of gay and bisexual men in LA and NYC. AIDS Behav. 2007;11(6):915–26. </w:t>
      </w:r>
    </w:p>
    <w:p w14:paraId="65634563" w14:textId="4F297D3F"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26. </w:t>
      </w:r>
      <w:r w:rsidRPr="00CE61FF">
        <w:rPr>
          <w:rFonts w:ascii="Times New Roman" w:hAnsi="Times New Roman"/>
          <w:noProof/>
          <w:sz w:val="24"/>
        </w:rPr>
        <w:tab/>
        <w:t xml:space="preserve">Parsons JT, Lelutiu-Weinberger C, Botsko M, Golub SA. Predictors of day-level sexual risk for young gay and bisexual men. AIDS Behav. 2012;17(4):1465–77. </w:t>
      </w:r>
    </w:p>
    <w:p w14:paraId="2C69E080" w14:textId="4765FCB5"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27. </w:t>
      </w:r>
      <w:r w:rsidRPr="00CE61FF">
        <w:rPr>
          <w:rFonts w:ascii="Times New Roman" w:hAnsi="Times New Roman"/>
          <w:noProof/>
          <w:sz w:val="24"/>
        </w:rPr>
        <w:tab/>
        <w:t xml:space="preserve">Wilson PA, Díaz RM, Yoshikawa H, Shrout PEY, Diaz RM. Drug use, interpersonal attraction, and communication: situational factors as predictors of episodes of unprotected anal intercourse among Latino gay men. AIDS Behav. 2009;13(4):691–9. </w:t>
      </w:r>
    </w:p>
    <w:p w14:paraId="74D659CD" w14:textId="77777777"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28. </w:t>
      </w:r>
      <w:r w:rsidRPr="00CE61FF">
        <w:rPr>
          <w:rFonts w:ascii="Times New Roman" w:hAnsi="Times New Roman"/>
          <w:noProof/>
          <w:sz w:val="24"/>
        </w:rPr>
        <w:tab/>
        <w:t xml:space="preserve">Wilson PA. Sexual risk-taking and drug use among Latino men: Examining episodes of high-risk and low-risk sexual behavior. ProQuest Dissertations and Theses. [United States -- New York]: ProQuest Information &amp; Learning; 2004. </w:t>
      </w:r>
    </w:p>
    <w:p w14:paraId="5E3FFC5D" w14:textId="2C1DD73F"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29. </w:t>
      </w:r>
      <w:r w:rsidRPr="00CE61FF">
        <w:rPr>
          <w:rFonts w:ascii="Times New Roman" w:hAnsi="Times New Roman"/>
          <w:noProof/>
          <w:sz w:val="24"/>
        </w:rPr>
        <w:tab/>
        <w:t xml:space="preserve">Reisen CA, Iracheta MA, Zea MC, Bianchi FT, Poppen PJ. Sex in public and private settings among Latino MSM. AIDS Care. 2010;22(6):697–704. </w:t>
      </w:r>
    </w:p>
    <w:p w14:paraId="57C17565" w14:textId="5C599EDE"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30. </w:t>
      </w:r>
      <w:r w:rsidRPr="00CE61FF">
        <w:rPr>
          <w:rFonts w:ascii="Times New Roman" w:hAnsi="Times New Roman"/>
          <w:noProof/>
          <w:sz w:val="24"/>
        </w:rPr>
        <w:tab/>
        <w:t xml:space="preserve">Smith AMA, Grierson J, Pitts M, Pattison P. Individual characteristics are less important than event characteristics in predicting protected and unprotected anal intercourse among homosexual and bisexual men in Melbourne, Australia. Sex Transm Infect. 2006;82(6):474–7. </w:t>
      </w:r>
    </w:p>
    <w:p w14:paraId="33C175F7" w14:textId="63686949"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31. </w:t>
      </w:r>
      <w:r w:rsidRPr="00CE61FF">
        <w:rPr>
          <w:rFonts w:ascii="Times New Roman" w:hAnsi="Times New Roman"/>
          <w:noProof/>
          <w:sz w:val="24"/>
        </w:rPr>
        <w:tab/>
        <w:t xml:space="preserve">Zea MC, Reisen CA, Poppen PJ, Bianchi FT. Unprotected anal intercourse among immigrant Latino MSM: the role of characteristics of the person and the sexual encounter. AIDS Behav. 2009;13(4):700–15. </w:t>
      </w:r>
    </w:p>
    <w:p w14:paraId="1FD74924" w14:textId="25A7B816"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32. </w:t>
      </w:r>
      <w:r w:rsidRPr="00CE61FF">
        <w:rPr>
          <w:rFonts w:ascii="Times New Roman" w:hAnsi="Times New Roman"/>
          <w:noProof/>
          <w:sz w:val="24"/>
        </w:rPr>
        <w:tab/>
        <w:t xml:space="preserve">O’Byrne P, Holmes D. Drug use as boundary play: a qualitative exploration of gay circuit parties. Subst Use Misuse. 2011;46(12):1510–22. </w:t>
      </w:r>
    </w:p>
    <w:p w14:paraId="211DBDB3" w14:textId="58E35510" w:rsidR="00CE61FF" w:rsidRPr="00CE61FF" w:rsidRDefault="00CE61FF">
      <w:pPr>
        <w:pStyle w:val="NormalWeb"/>
        <w:ind w:left="640" w:hanging="640"/>
        <w:divId w:val="891505725"/>
        <w:rPr>
          <w:rFonts w:ascii="Times New Roman" w:hAnsi="Times New Roman"/>
          <w:noProof/>
          <w:sz w:val="24"/>
        </w:rPr>
      </w:pPr>
      <w:r w:rsidRPr="00CE61FF">
        <w:rPr>
          <w:rFonts w:ascii="Times New Roman" w:hAnsi="Times New Roman"/>
          <w:noProof/>
          <w:sz w:val="24"/>
        </w:rPr>
        <w:t xml:space="preserve">33. </w:t>
      </w:r>
      <w:r w:rsidRPr="00CE61FF">
        <w:rPr>
          <w:rFonts w:ascii="Times New Roman" w:hAnsi="Times New Roman"/>
          <w:noProof/>
          <w:sz w:val="24"/>
        </w:rPr>
        <w:tab/>
        <w:t xml:space="preserve">Greenspan NR, Aguinaldo JP, Husbands W, Murray J, Ho P, Sutdhibhasilp N, et al. “It’s not rocket science, what I do”: Self-directed harm reduction strategies among drug using ethno-racially diverse gay and bisexual men. Int J Drug Policy. 2011;22(1):56–62. </w:t>
      </w:r>
    </w:p>
    <w:p w14:paraId="3B414159" w14:textId="62079350" w:rsidR="00583BFF" w:rsidRPr="00583BFF" w:rsidRDefault="00B90C8D" w:rsidP="00CE61FF">
      <w:pPr>
        <w:pStyle w:val="NormalWeb"/>
        <w:ind w:left="640" w:hanging="640"/>
        <w:divId w:val="935020205"/>
      </w:pPr>
      <w:r>
        <w:fldChar w:fldCharType="end"/>
      </w:r>
    </w:p>
    <w:sectPr w:rsidR="00583BFF" w:rsidRPr="00583BFF" w:rsidSect="0091216B">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4E5C0" w14:textId="77777777" w:rsidR="00CB369F" w:rsidRDefault="00CB369F" w:rsidP="0006596D">
      <w:r>
        <w:separator/>
      </w:r>
    </w:p>
  </w:endnote>
  <w:endnote w:type="continuationSeparator" w:id="0">
    <w:p w14:paraId="6F57F91A" w14:textId="77777777" w:rsidR="00CB369F" w:rsidRDefault="00CB369F" w:rsidP="0006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7658" w14:textId="77777777" w:rsidR="00CB369F" w:rsidRDefault="00CB369F" w:rsidP="0006596D">
    <w:pPr>
      <w:pStyle w:val="Footer"/>
      <w:jc w:val="right"/>
    </w:pPr>
    <w:r>
      <w:rPr>
        <w:rStyle w:val="PageNumber"/>
      </w:rPr>
      <w:fldChar w:fldCharType="begin"/>
    </w:r>
    <w:r>
      <w:rPr>
        <w:rStyle w:val="PageNumber"/>
      </w:rPr>
      <w:instrText xml:space="preserve"> PAGE </w:instrText>
    </w:r>
    <w:r>
      <w:rPr>
        <w:rStyle w:val="PageNumber"/>
      </w:rPr>
      <w:fldChar w:fldCharType="separate"/>
    </w:r>
    <w:r w:rsidR="00BD48F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36FF1" w14:textId="77777777" w:rsidR="00CB369F" w:rsidRDefault="00CB369F" w:rsidP="0006596D">
      <w:r>
        <w:separator/>
      </w:r>
    </w:p>
  </w:footnote>
  <w:footnote w:type="continuationSeparator" w:id="0">
    <w:p w14:paraId="1A03F78F" w14:textId="77777777" w:rsidR="00CB369F" w:rsidRDefault="00CB369F" w:rsidP="0006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325E" w14:textId="77777777" w:rsidR="00CB369F" w:rsidRDefault="00CB369F" w:rsidP="0006596D">
    <w:pPr>
      <w:pStyle w:val="Header"/>
      <w:jc w:val="right"/>
    </w:pPr>
    <w:r>
      <w:t>RUNNING HEAD: Drug use in multipartner encounters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C4"/>
    <w:rsid w:val="000176C9"/>
    <w:rsid w:val="00030835"/>
    <w:rsid w:val="00030DB6"/>
    <w:rsid w:val="00031803"/>
    <w:rsid w:val="00031B38"/>
    <w:rsid w:val="00033FDF"/>
    <w:rsid w:val="0006350E"/>
    <w:rsid w:val="0006596D"/>
    <w:rsid w:val="000762D0"/>
    <w:rsid w:val="00094B5C"/>
    <w:rsid w:val="000A514D"/>
    <w:rsid w:val="000B0596"/>
    <w:rsid w:val="000D0714"/>
    <w:rsid w:val="000F4A27"/>
    <w:rsid w:val="00104391"/>
    <w:rsid w:val="00110F82"/>
    <w:rsid w:val="00134C4D"/>
    <w:rsid w:val="00166C3D"/>
    <w:rsid w:val="00177A48"/>
    <w:rsid w:val="00191B0E"/>
    <w:rsid w:val="001A1EC2"/>
    <w:rsid w:val="001A30A7"/>
    <w:rsid w:val="001A6C4A"/>
    <w:rsid w:val="001B1BB3"/>
    <w:rsid w:val="001D076F"/>
    <w:rsid w:val="001E5860"/>
    <w:rsid w:val="001F3F98"/>
    <w:rsid w:val="00206AAD"/>
    <w:rsid w:val="00212958"/>
    <w:rsid w:val="00255260"/>
    <w:rsid w:val="00272BD6"/>
    <w:rsid w:val="002948F2"/>
    <w:rsid w:val="002C055B"/>
    <w:rsid w:val="002C6BB4"/>
    <w:rsid w:val="002C6FD8"/>
    <w:rsid w:val="002D0BB6"/>
    <w:rsid w:val="002D2E94"/>
    <w:rsid w:val="002F1570"/>
    <w:rsid w:val="003030ED"/>
    <w:rsid w:val="00333B20"/>
    <w:rsid w:val="003351C5"/>
    <w:rsid w:val="003532FE"/>
    <w:rsid w:val="00364A8F"/>
    <w:rsid w:val="00385690"/>
    <w:rsid w:val="003C20C3"/>
    <w:rsid w:val="003C4B2D"/>
    <w:rsid w:val="003C5469"/>
    <w:rsid w:val="003D3AE2"/>
    <w:rsid w:val="003D415E"/>
    <w:rsid w:val="00425AFE"/>
    <w:rsid w:val="00427C35"/>
    <w:rsid w:val="00432D67"/>
    <w:rsid w:val="004A0C4B"/>
    <w:rsid w:val="004B3D2C"/>
    <w:rsid w:val="004D01E0"/>
    <w:rsid w:val="004D2977"/>
    <w:rsid w:val="00505552"/>
    <w:rsid w:val="0053024B"/>
    <w:rsid w:val="00556265"/>
    <w:rsid w:val="00583BFF"/>
    <w:rsid w:val="00586A51"/>
    <w:rsid w:val="00595C62"/>
    <w:rsid w:val="005A3F22"/>
    <w:rsid w:val="005A7667"/>
    <w:rsid w:val="005B15DD"/>
    <w:rsid w:val="005B1F4D"/>
    <w:rsid w:val="005B6956"/>
    <w:rsid w:val="005C0468"/>
    <w:rsid w:val="005C3491"/>
    <w:rsid w:val="005C74F0"/>
    <w:rsid w:val="005E1ACD"/>
    <w:rsid w:val="005E2D8F"/>
    <w:rsid w:val="005E7729"/>
    <w:rsid w:val="005F6346"/>
    <w:rsid w:val="0060060A"/>
    <w:rsid w:val="00632695"/>
    <w:rsid w:val="00633821"/>
    <w:rsid w:val="0065553F"/>
    <w:rsid w:val="00656BA2"/>
    <w:rsid w:val="00660996"/>
    <w:rsid w:val="006711BB"/>
    <w:rsid w:val="006778FC"/>
    <w:rsid w:val="006B298A"/>
    <w:rsid w:val="006C0B38"/>
    <w:rsid w:val="006C6CDB"/>
    <w:rsid w:val="006D6938"/>
    <w:rsid w:val="006E0233"/>
    <w:rsid w:val="006E3D94"/>
    <w:rsid w:val="006F0ACE"/>
    <w:rsid w:val="00701F33"/>
    <w:rsid w:val="007131C4"/>
    <w:rsid w:val="007154C1"/>
    <w:rsid w:val="00733579"/>
    <w:rsid w:val="0073527E"/>
    <w:rsid w:val="007404C8"/>
    <w:rsid w:val="00756989"/>
    <w:rsid w:val="00764C88"/>
    <w:rsid w:val="0079341B"/>
    <w:rsid w:val="007A0D49"/>
    <w:rsid w:val="007A33EE"/>
    <w:rsid w:val="0080732D"/>
    <w:rsid w:val="008346FC"/>
    <w:rsid w:val="008351CF"/>
    <w:rsid w:val="00860036"/>
    <w:rsid w:val="00864E89"/>
    <w:rsid w:val="00884497"/>
    <w:rsid w:val="00884C04"/>
    <w:rsid w:val="00885C57"/>
    <w:rsid w:val="008A4EBA"/>
    <w:rsid w:val="008B1522"/>
    <w:rsid w:val="008D2276"/>
    <w:rsid w:val="008E4FD9"/>
    <w:rsid w:val="0091216B"/>
    <w:rsid w:val="00926733"/>
    <w:rsid w:val="00964753"/>
    <w:rsid w:val="00971F8A"/>
    <w:rsid w:val="00983887"/>
    <w:rsid w:val="0099450F"/>
    <w:rsid w:val="009A00CC"/>
    <w:rsid w:val="009D28CF"/>
    <w:rsid w:val="00A0184E"/>
    <w:rsid w:val="00A025DA"/>
    <w:rsid w:val="00A170DD"/>
    <w:rsid w:val="00A247EC"/>
    <w:rsid w:val="00A3220C"/>
    <w:rsid w:val="00A51E53"/>
    <w:rsid w:val="00A61180"/>
    <w:rsid w:val="00A8125C"/>
    <w:rsid w:val="00AB1EAF"/>
    <w:rsid w:val="00AB6054"/>
    <w:rsid w:val="00AC482D"/>
    <w:rsid w:val="00AD609F"/>
    <w:rsid w:val="00B05899"/>
    <w:rsid w:val="00B124C3"/>
    <w:rsid w:val="00B16AAB"/>
    <w:rsid w:val="00B41DA3"/>
    <w:rsid w:val="00B52A52"/>
    <w:rsid w:val="00B53626"/>
    <w:rsid w:val="00B53BE1"/>
    <w:rsid w:val="00B60575"/>
    <w:rsid w:val="00B62A2A"/>
    <w:rsid w:val="00B72B16"/>
    <w:rsid w:val="00B868D7"/>
    <w:rsid w:val="00B90C8D"/>
    <w:rsid w:val="00B940E6"/>
    <w:rsid w:val="00BA11B9"/>
    <w:rsid w:val="00BB3FCB"/>
    <w:rsid w:val="00BD0585"/>
    <w:rsid w:val="00BD48F6"/>
    <w:rsid w:val="00BD6317"/>
    <w:rsid w:val="00BD7032"/>
    <w:rsid w:val="00BF2751"/>
    <w:rsid w:val="00BF3E6A"/>
    <w:rsid w:val="00C31AB1"/>
    <w:rsid w:val="00C32C2A"/>
    <w:rsid w:val="00C36169"/>
    <w:rsid w:val="00C364A1"/>
    <w:rsid w:val="00C542C0"/>
    <w:rsid w:val="00C9321B"/>
    <w:rsid w:val="00CA7393"/>
    <w:rsid w:val="00CB369F"/>
    <w:rsid w:val="00CC5C52"/>
    <w:rsid w:val="00CD316F"/>
    <w:rsid w:val="00CE61FF"/>
    <w:rsid w:val="00D2223F"/>
    <w:rsid w:val="00D23ADB"/>
    <w:rsid w:val="00D417F4"/>
    <w:rsid w:val="00D45512"/>
    <w:rsid w:val="00D53608"/>
    <w:rsid w:val="00D55C4F"/>
    <w:rsid w:val="00D62E31"/>
    <w:rsid w:val="00D9178E"/>
    <w:rsid w:val="00D96FE9"/>
    <w:rsid w:val="00D97633"/>
    <w:rsid w:val="00DB7158"/>
    <w:rsid w:val="00E14DB4"/>
    <w:rsid w:val="00E21771"/>
    <w:rsid w:val="00E30F53"/>
    <w:rsid w:val="00E42253"/>
    <w:rsid w:val="00E465FE"/>
    <w:rsid w:val="00E912C3"/>
    <w:rsid w:val="00EB3C3A"/>
    <w:rsid w:val="00EE7AD5"/>
    <w:rsid w:val="00EF26EB"/>
    <w:rsid w:val="00EF4423"/>
    <w:rsid w:val="00EF5C0E"/>
    <w:rsid w:val="00F20950"/>
    <w:rsid w:val="00F244EA"/>
    <w:rsid w:val="00F40A92"/>
    <w:rsid w:val="00F705FF"/>
    <w:rsid w:val="00F840D7"/>
    <w:rsid w:val="00F90F51"/>
    <w:rsid w:val="00FB4FCA"/>
    <w:rsid w:val="00FC0022"/>
    <w:rsid w:val="00FC2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F7F8D"/>
  <w15:docId w15:val="{A350A983-9595-402E-B7BD-6237466E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512"/>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3BFF"/>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660996"/>
    <w:rPr>
      <w:sz w:val="16"/>
      <w:szCs w:val="16"/>
    </w:rPr>
  </w:style>
  <w:style w:type="paragraph" w:styleId="CommentText">
    <w:name w:val="annotation text"/>
    <w:basedOn w:val="Normal"/>
    <w:link w:val="CommentTextChar"/>
    <w:uiPriority w:val="99"/>
    <w:semiHidden/>
    <w:unhideWhenUsed/>
    <w:rsid w:val="00660996"/>
    <w:rPr>
      <w:sz w:val="20"/>
      <w:szCs w:val="20"/>
    </w:rPr>
  </w:style>
  <w:style w:type="character" w:customStyle="1" w:styleId="CommentTextChar">
    <w:name w:val="Comment Text Char"/>
    <w:basedOn w:val="DefaultParagraphFont"/>
    <w:link w:val="CommentText"/>
    <w:uiPriority w:val="99"/>
    <w:semiHidden/>
    <w:rsid w:val="00660996"/>
    <w:rPr>
      <w:sz w:val="20"/>
      <w:szCs w:val="20"/>
    </w:rPr>
  </w:style>
  <w:style w:type="paragraph" w:styleId="CommentSubject">
    <w:name w:val="annotation subject"/>
    <w:basedOn w:val="CommentText"/>
    <w:next w:val="CommentText"/>
    <w:link w:val="CommentSubjectChar"/>
    <w:uiPriority w:val="99"/>
    <w:semiHidden/>
    <w:unhideWhenUsed/>
    <w:rsid w:val="00660996"/>
    <w:rPr>
      <w:b/>
      <w:bCs/>
    </w:rPr>
  </w:style>
  <w:style w:type="character" w:customStyle="1" w:styleId="CommentSubjectChar">
    <w:name w:val="Comment Subject Char"/>
    <w:basedOn w:val="CommentTextChar"/>
    <w:link w:val="CommentSubject"/>
    <w:uiPriority w:val="99"/>
    <w:semiHidden/>
    <w:rsid w:val="00660996"/>
    <w:rPr>
      <w:b/>
      <w:bCs/>
      <w:sz w:val="20"/>
      <w:szCs w:val="20"/>
    </w:rPr>
  </w:style>
  <w:style w:type="paragraph" w:styleId="BalloonText">
    <w:name w:val="Balloon Text"/>
    <w:basedOn w:val="Normal"/>
    <w:link w:val="BalloonTextChar"/>
    <w:uiPriority w:val="99"/>
    <w:semiHidden/>
    <w:unhideWhenUsed/>
    <w:rsid w:val="00660996"/>
    <w:rPr>
      <w:rFonts w:ascii="Tahoma" w:hAnsi="Tahoma" w:cs="Tahoma"/>
      <w:sz w:val="16"/>
      <w:szCs w:val="16"/>
    </w:rPr>
  </w:style>
  <w:style w:type="character" w:customStyle="1" w:styleId="BalloonTextChar">
    <w:name w:val="Balloon Text Char"/>
    <w:basedOn w:val="DefaultParagraphFont"/>
    <w:link w:val="BalloonText"/>
    <w:uiPriority w:val="99"/>
    <w:semiHidden/>
    <w:rsid w:val="00660996"/>
    <w:rPr>
      <w:rFonts w:ascii="Tahoma" w:hAnsi="Tahoma" w:cs="Tahoma"/>
      <w:sz w:val="16"/>
      <w:szCs w:val="16"/>
    </w:rPr>
  </w:style>
  <w:style w:type="paragraph" w:styleId="Revision">
    <w:name w:val="Revision"/>
    <w:hidden/>
    <w:uiPriority w:val="99"/>
    <w:semiHidden/>
    <w:rsid w:val="00632695"/>
  </w:style>
  <w:style w:type="paragraph" w:styleId="Header">
    <w:name w:val="header"/>
    <w:basedOn w:val="Normal"/>
    <w:link w:val="HeaderChar"/>
    <w:uiPriority w:val="99"/>
    <w:unhideWhenUsed/>
    <w:rsid w:val="0006596D"/>
    <w:pPr>
      <w:tabs>
        <w:tab w:val="center" w:pos="4320"/>
        <w:tab w:val="right" w:pos="8640"/>
      </w:tabs>
    </w:pPr>
  </w:style>
  <w:style w:type="character" w:customStyle="1" w:styleId="HeaderChar">
    <w:name w:val="Header Char"/>
    <w:basedOn w:val="DefaultParagraphFont"/>
    <w:link w:val="Header"/>
    <w:uiPriority w:val="99"/>
    <w:rsid w:val="0006596D"/>
  </w:style>
  <w:style w:type="paragraph" w:styleId="Footer">
    <w:name w:val="footer"/>
    <w:basedOn w:val="Normal"/>
    <w:link w:val="FooterChar"/>
    <w:uiPriority w:val="99"/>
    <w:unhideWhenUsed/>
    <w:rsid w:val="0006596D"/>
    <w:pPr>
      <w:tabs>
        <w:tab w:val="center" w:pos="4320"/>
        <w:tab w:val="right" w:pos="8640"/>
      </w:tabs>
    </w:pPr>
  </w:style>
  <w:style w:type="character" w:customStyle="1" w:styleId="FooterChar">
    <w:name w:val="Footer Char"/>
    <w:basedOn w:val="DefaultParagraphFont"/>
    <w:link w:val="Footer"/>
    <w:uiPriority w:val="99"/>
    <w:rsid w:val="0006596D"/>
  </w:style>
  <w:style w:type="character" w:styleId="PageNumber">
    <w:name w:val="page number"/>
    <w:basedOn w:val="DefaultParagraphFont"/>
    <w:uiPriority w:val="99"/>
    <w:semiHidden/>
    <w:unhideWhenUsed/>
    <w:rsid w:val="0006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6883">
      <w:bodyDiv w:val="1"/>
      <w:marLeft w:val="0"/>
      <w:marRight w:val="0"/>
      <w:marTop w:val="0"/>
      <w:marBottom w:val="0"/>
      <w:divBdr>
        <w:top w:val="none" w:sz="0" w:space="0" w:color="auto"/>
        <w:left w:val="none" w:sz="0" w:space="0" w:color="auto"/>
        <w:bottom w:val="none" w:sz="0" w:space="0" w:color="auto"/>
        <w:right w:val="none" w:sz="0" w:space="0" w:color="auto"/>
      </w:divBdr>
    </w:div>
    <w:div w:id="508984756">
      <w:bodyDiv w:val="1"/>
      <w:marLeft w:val="0"/>
      <w:marRight w:val="0"/>
      <w:marTop w:val="0"/>
      <w:marBottom w:val="0"/>
      <w:divBdr>
        <w:top w:val="none" w:sz="0" w:space="0" w:color="auto"/>
        <w:left w:val="none" w:sz="0" w:space="0" w:color="auto"/>
        <w:bottom w:val="none" w:sz="0" w:space="0" w:color="auto"/>
        <w:right w:val="none" w:sz="0" w:space="0" w:color="auto"/>
      </w:divBdr>
      <w:divsChild>
        <w:div w:id="925459520">
          <w:marLeft w:val="0"/>
          <w:marRight w:val="0"/>
          <w:marTop w:val="0"/>
          <w:marBottom w:val="0"/>
          <w:divBdr>
            <w:top w:val="none" w:sz="0" w:space="0" w:color="auto"/>
            <w:left w:val="none" w:sz="0" w:space="0" w:color="auto"/>
            <w:bottom w:val="none" w:sz="0" w:space="0" w:color="auto"/>
            <w:right w:val="none" w:sz="0" w:space="0" w:color="auto"/>
          </w:divBdr>
          <w:divsChild>
            <w:div w:id="1785227920">
              <w:marLeft w:val="0"/>
              <w:marRight w:val="0"/>
              <w:marTop w:val="0"/>
              <w:marBottom w:val="0"/>
              <w:divBdr>
                <w:top w:val="none" w:sz="0" w:space="0" w:color="auto"/>
                <w:left w:val="none" w:sz="0" w:space="0" w:color="auto"/>
                <w:bottom w:val="none" w:sz="0" w:space="0" w:color="auto"/>
                <w:right w:val="none" w:sz="0" w:space="0" w:color="auto"/>
              </w:divBdr>
              <w:divsChild>
                <w:div w:id="587927950">
                  <w:marLeft w:val="0"/>
                  <w:marRight w:val="0"/>
                  <w:marTop w:val="0"/>
                  <w:marBottom w:val="0"/>
                  <w:divBdr>
                    <w:top w:val="none" w:sz="0" w:space="0" w:color="auto"/>
                    <w:left w:val="none" w:sz="0" w:space="0" w:color="auto"/>
                    <w:bottom w:val="none" w:sz="0" w:space="0" w:color="auto"/>
                    <w:right w:val="none" w:sz="0" w:space="0" w:color="auto"/>
                  </w:divBdr>
                  <w:divsChild>
                    <w:div w:id="26805064">
                      <w:marLeft w:val="0"/>
                      <w:marRight w:val="0"/>
                      <w:marTop w:val="0"/>
                      <w:marBottom w:val="0"/>
                      <w:divBdr>
                        <w:top w:val="none" w:sz="0" w:space="0" w:color="auto"/>
                        <w:left w:val="none" w:sz="0" w:space="0" w:color="auto"/>
                        <w:bottom w:val="none" w:sz="0" w:space="0" w:color="auto"/>
                        <w:right w:val="none" w:sz="0" w:space="0" w:color="auto"/>
                      </w:divBdr>
                      <w:divsChild>
                        <w:div w:id="1741751181">
                          <w:marLeft w:val="0"/>
                          <w:marRight w:val="0"/>
                          <w:marTop w:val="0"/>
                          <w:marBottom w:val="0"/>
                          <w:divBdr>
                            <w:top w:val="none" w:sz="0" w:space="0" w:color="auto"/>
                            <w:left w:val="none" w:sz="0" w:space="0" w:color="auto"/>
                            <w:bottom w:val="none" w:sz="0" w:space="0" w:color="auto"/>
                            <w:right w:val="none" w:sz="0" w:space="0" w:color="auto"/>
                          </w:divBdr>
                          <w:divsChild>
                            <w:div w:id="1943680034">
                              <w:marLeft w:val="0"/>
                              <w:marRight w:val="0"/>
                              <w:marTop w:val="0"/>
                              <w:marBottom w:val="0"/>
                              <w:divBdr>
                                <w:top w:val="none" w:sz="0" w:space="0" w:color="auto"/>
                                <w:left w:val="none" w:sz="0" w:space="0" w:color="auto"/>
                                <w:bottom w:val="none" w:sz="0" w:space="0" w:color="auto"/>
                                <w:right w:val="none" w:sz="0" w:space="0" w:color="auto"/>
                              </w:divBdr>
                              <w:divsChild>
                                <w:div w:id="275644835">
                                  <w:marLeft w:val="0"/>
                                  <w:marRight w:val="0"/>
                                  <w:marTop w:val="0"/>
                                  <w:marBottom w:val="0"/>
                                  <w:divBdr>
                                    <w:top w:val="none" w:sz="0" w:space="0" w:color="auto"/>
                                    <w:left w:val="none" w:sz="0" w:space="0" w:color="auto"/>
                                    <w:bottom w:val="none" w:sz="0" w:space="0" w:color="auto"/>
                                    <w:right w:val="none" w:sz="0" w:space="0" w:color="auto"/>
                                  </w:divBdr>
                                  <w:divsChild>
                                    <w:div w:id="960961103">
                                      <w:marLeft w:val="0"/>
                                      <w:marRight w:val="0"/>
                                      <w:marTop w:val="0"/>
                                      <w:marBottom w:val="0"/>
                                      <w:divBdr>
                                        <w:top w:val="none" w:sz="0" w:space="0" w:color="auto"/>
                                        <w:left w:val="none" w:sz="0" w:space="0" w:color="auto"/>
                                        <w:bottom w:val="none" w:sz="0" w:space="0" w:color="auto"/>
                                        <w:right w:val="none" w:sz="0" w:space="0" w:color="auto"/>
                                      </w:divBdr>
                                      <w:divsChild>
                                        <w:div w:id="1173912230">
                                          <w:marLeft w:val="0"/>
                                          <w:marRight w:val="0"/>
                                          <w:marTop w:val="0"/>
                                          <w:marBottom w:val="0"/>
                                          <w:divBdr>
                                            <w:top w:val="none" w:sz="0" w:space="0" w:color="auto"/>
                                            <w:left w:val="none" w:sz="0" w:space="0" w:color="auto"/>
                                            <w:bottom w:val="none" w:sz="0" w:space="0" w:color="auto"/>
                                            <w:right w:val="none" w:sz="0" w:space="0" w:color="auto"/>
                                          </w:divBdr>
                                          <w:divsChild>
                                            <w:div w:id="1364817977">
                                              <w:marLeft w:val="0"/>
                                              <w:marRight w:val="0"/>
                                              <w:marTop w:val="0"/>
                                              <w:marBottom w:val="0"/>
                                              <w:divBdr>
                                                <w:top w:val="none" w:sz="0" w:space="0" w:color="auto"/>
                                                <w:left w:val="none" w:sz="0" w:space="0" w:color="auto"/>
                                                <w:bottom w:val="none" w:sz="0" w:space="0" w:color="auto"/>
                                                <w:right w:val="none" w:sz="0" w:space="0" w:color="auto"/>
                                              </w:divBdr>
                                              <w:divsChild>
                                                <w:div w:id="1354769421">
                                                  <w:marLeft w:val="0"/>
                                                  <w:marRight w:val="0"/>
                                                  <w:marTop w:val="0"/>
                                                  <w:marBottom w:val="0"/>
                                                  <w:divBdr>
                                                    <w:top w:val="none" w:sz="0" w:space="0" w:color="auto"/>
                                                    <w:left w:val="none" w:sz="0" w:space="0" w:color="auto"/>
                                                    <w:bottom w:val="none" w:sz="0" w:space="0" w:color="auto"/>
                                                    <w:right w:val="none" w:sz="0" w:space="0" w:color="auto"/>
                                                  </w:divBdr>
                                                  <w:divsChild>
                                                    <w:div w:id="14307492">
                                                      <w:marLeft w:val="0"/>
                                                      <w:marRight w:val="0"/>
                                                      <w:marTop w:val="0"/>
                                                      <w:marBottom w:val="0"/>
                                                      <w:divBdr>
                                                        <w:top w:val="none" w:sz="0" w:space="0" w:color="auto"/>
                                                        <w:left w:val="none" w:sz="0" w:space="0" w:color="auto"/>
                                                        <w:bottom w:val="none" w:sz="0" w:space="0" w:color="auto"/>
                                                        <w:right w:val="none" w:sz="0" w:space="0" w:color="auto"/>
                                                      </w:divBdr>
                                                      <w:divsChild>
                                                        <w:div w:id="410465636">
                                                          <w:marLeft w:val="0"/>
                                                          <w:marRight w:val="0"/>
                                                          <w:marTop w:val="0"/>
                                                          <w:marBottom w:val="0"/>
                                                          <w:divBdr>
                                                            <w:top w:val="none" w:sz="0" w:space="0" w:color="auto"/>
                                                            <w:left w:val="none" w:sz="0" w:space="0" w:color="auto"/>
                                                            <w:bottom w:val="none" w:sz="0" w:space="0" w:color="auto"/>
                                                            <w:right w:val="none" w:sz="0" w:space="0" w:color="auto"/>
                                                          </w:divBdr>
                                                          <w:divsChild>
                                                            <w:div w:id="1618371884">
                                                              <w:marLeft w:val="0"/>
                                                              <w:marRight w:val="0"/>
                                                              <w:marTop w:val="0"/>
                                                              <w:marBottom w:val="0"/>
                                                              <w:divBdr>
                                                                <w:top w:val="none" w:sz="0" w:space="0" w:color="auto"/>
                                                                <w:left w:val="none" w:sz="0" w:space="0" w:color="auto"/>
                                                                <w:bottom w:val="none" w:sz="0" w:space="0" w:color="auto"/>
                                                                <w:right w:val="none" w:sz="0" w:space="0" w:color="auto"/>
                                                              </w:divBdr>
                                                              <w:divsChild>
                                                                <w:div w:id="392893477">
                                                                  <w:marLeft w:val="0"/>
                                                                  <w:marRight w:val="0"/>
                                                                  <w:marTop w:val="0"/>
                                                                  <w:marBottom w:val="0"/>
                                                                  <w:divBdr>
                                                                    <w:top w:val="none" w:sz="0" w:space="0" w:color="auto"/>
                                                                    <w:left w:val="none" w:sz="0" w:space="0" w:color="auto"/>
                                                                    <w:bottom w:val="none" w:sz="0" w:space="0" w:color="auto"/>
                                                                    <w:right w:val="none" w:sz="0" w:space="0" w:color="auto"/>
                                                                  </w:divBdr>
                                                                  <w:divsChild>
                                                                    <w:div w:id="373820692">
                                                                      <w:marLeft w:val="0"/>
                                                                      <w:marRight w:val="0"/>
                                                                      <w:marTop w:val="0"/>
                                                                      <w:marBottom w:val="0"/>
                                                                      <w:divBdr>
                                                                        <w:top w:val="none" w:sz="0" w:space="0" w:color="auto"/>
                                                                        <w:left w:val="none" w:sz="0" w:space="0" w:color="auto"/>
                                                                        <w:bottom w:val="none" w:sz="0" w:space="0" w:color="auto"/>
                                                                        <w:right w:val="none" w:sz="0" w:space="0" w:color="auto"/>
                                                                      </w:divBdr>
                                                                      <w:divsChild>
                                                                        <w:div w:id="1388340029">
                                                                          <w:marLeft w:val="0"/>
                                                                          <w:marRight w:val="0"/>
                                                                          <w:marTop w:val="0"/>
                                                                          <w:marBottom w:val="0"/>
                                                                          <w:divBdr>
                                                                            <w:top w:val="none" w:sz="0" w:space="0" w:color="auto"/>
                                                                            <w:left w:val="none" w:sz="0" w:space="0" w:color="auto"/>
                                                                            <w:bottom w:val="none" w:sz="0" w:space="0" w:color="auto"/>
                                                                            <w:right w:val="none" w:sz="0" w:space="0" w:color="auto"/>
                                                                          </w:divBdr>
                                                                          <w:divsChild>
                                                                            <w:div w:id="107434736">
                                                                              <w:marLeft w:val="0"/>
                                                                              <w:marRight w:val="0"/>
                                                                              <w:marTop w:val="0"/>
                                                                              <w:marBottom w:val="0"/>
                                                                              <w:divBdr>
                                                                                <w:top w:val="none" w:sz="0" w:space="0" w:color="auto"/>
                                                                                <w:left w:val="none" w:sz="0" w:space="0" w:color="auto"/>
                                                                                <w:bottom w:val="none" w:sz="0" w:space="0" w:color="auto"/>
                                                                                <w:right w:val="none" w:sz="0" w:space="0" w:color="auto"/>
                                                                              </w:divBdr>
                                                                              <w:divsChild>
                                                                                <w:div w:id="197859963">
                                                                                  <w:marLeft w:val="0"/>
                                                                                  <w:marRight w:val="0"/>
                                                                                  <w:marTop w:val="0"/>
                                                                                  <w:marBottom w:val="0"/>
                                                                                  <w:divBdr>
                                                                                    <w:top w:val="none" w:sz="0" w:space="0" w:color="auto"/>
                                                                                    <w:left w:val="none" w:sz="0" w:space="0" w:color="auto"/>
                                                                                    <w:bottom w:val="none" w:sz="0" w:space="0" w:color="auto"/>
                                                                                    <w:right w:val="none" w:sz="0" w:space="0" w:color="auto"/>
                                                                                  </w:divBdr>
                                                                                  <w:divsChild>
                                                                                    <w:div w:id="402215844">
                                                                                      <w:marLeft w:val="0"/>
                                                                                      <w:marRight w:val="0"/>
                                                                                      <w:marTop w:val="0"/>
                                                                                      <w:marBottom w:val="0"/>
                                                                                      <w:divBdr>
                                                                                        <w:top w:val="none" w:sz="0" w:space="0" w:color="auto"/>
                                                                                        <w:left w:val="none" w:sz="0" w:space="0" w:color="auto"/>
                                                                                        <w:bottom w:val="none" w:sz="0" w:space="0" w:color="auto"/>
                                                                                        <w:right w:val="none" w:sz="0" w:space="0" w:color="auto"/>
                                                                                      </w:divBdr>
                                                                                      <w:divsChild>
                                                                                        <w:div w:id="2044205272">
                                                                                          <w:marLeft w:val="0"/>
                                                                                          <w:marRight w:val="0"/>
                                                                                          <w:marTop w:val="0"/>
                                                                                          <w:marBottom w:val="0"/>
                                                                                          <w:divBdr>
                                                                                            <w:top w:val="none" w:sz="0" w:space="0" w:color="auto"/>
                                                                                            <w:left w:val="none" w:sz="0" w:space="0" w:color="auto"/>
                                                                                            <w:bottom w:val="none" w:sz="0" w:space="0" w:color="auto"/>
                                                                                            <w:right w:val="none" w:sz="0" w:space="0" w:color="auto"/>
                                                                                          </w:divBdr>
                                                                                          <w:divsChild>
                                                                                            <w:div w:id="905603332">
                                                                                              <w:marLeft w:val="0"/>
                                                                                              <w:marRight w:val="0"/>
                                                                                              <w:marTop w:val="0"/>
                                                                                              <w:marBottom w:val="0"/>
                                                                                              <w:divBdr>
                                                                                                <w:top w:val="none" w:sz="0" w:space="0" w:color="auto"/>
                                                                                                <w:left w:val="none" w:sz="0" w:space="0" w:color="auto"/>
                                                                                                <w:bottom w:val="none" w:sz="0" w:space="0" w:color="auto"/>
                                                                                                <w:right w:val="none" w:sz="0" w:space="0" w:color="auto"/>
                                                                                              </w:divBdr>
                                                                                              <w:divsChild>
                                                                                                <w:div w:id="964703579">
                                                                                                  <w:marLeft w:val="0"/>
                                                                                                  <w:marRight w:val="0"/>
                                                                                                  <w:marTop w:val="0"/>
                                                                                                  <w:marBottom w:val="0"/>
                                                                                                  <w:divBdr>
                                                                                                    <w:top w:val="none" w:sz="0" w:space="0" w:color="auto"/>
                                                                                                    <w:left w:val="none" w:sz="0" w:space="0" w:color="auto"/>
                                                                                                    <w:bottom w:val="none" w:sz="0" w:space="0" w:color="auto"/>
                                                                                                    <w:right w:val="none" w:sz="0" w:space="0" w:color="auto"/>
                                                                                                  </w:divBdr>
                                                                                                  <w:divsChild>
                                                                                                    <w:div w:id="1139345009">
                                                                                                      <w:marLeft w:val="0"/>
                                                                                                      <w:marRight w:val="0"/>
                                                                                                      <w:marTop w:val="0"/>
                                                                                                      <w:marBottom w:val="0"/>
                                                                                                      <w:divBdr>
                                                                                                        <w:top w:val="none" w:sz="0" w:space="0" w:color="auto"/>
                                                                                                        <w:left w:val="none" w:sz="0" w:space="0" w:color="auto"/>
                                                                                                        <w:bottom w:val="none" w:sz="0" w:space="0" w:color="auto"/>
                                                                                                        <w:right w:val="none" w:sz="0" w:space="0" w:color="auto"/>
                                                                                                      </w:divBdr>
                                                                                                      <w:divsChild>
                                                                                                        <w:div w:id="1952782798">
                                                                                                          <w:marLeft w:val="0"/>
                                                                                                          <w:marRight w:val="0"/>
                                                                                                          <w:marTop w:val="0"/>
                                                                                                          <w:marBottom w:val="0"/>
                                                                                                          <w:divBdr>
                                                                                                            <w:top w:val="none" w:sz="0" w:space="0" w:color="auto"/>
                                                                                                            <w:left w:val="none" w:sz="0" w:space="0" w:color="auto"/>
                                                                                                            <w:bottom w:val="none" w:sz="0" w:space="0" w:color="auto"/>
                                                                                                            <w:right w:val="none" w:sz="0" w:space="0" w:color="auto"/>
                                                                                                          </w:divBdr>
                                                                                                          <w:divsChild>
                                                                                                            <w:div w:id="79760550">
                                                                                                              <w:marLeft w:val="0"/>
                                                                                                              <w:marRight w:val="0"/>
                                                                                                              <w:marTop w:val="0"/>
                                                                                                              <w:marBottom w:val="0"/>
                                                                                                              <w:divBdr>
                                                                                                                <w:top w:val="none" w:sz="0" w:space="0" w:color="auto"/>
                                                                                                                <w:left w:val="none" w:sz="0" w:space="0" w:color="auto"/>
                                                                                                                <w:bottom w:val="none" w:sz="0" w:space="0" w:color="auto"/>
                                                                                                                <w:right w:val="none" w:sz="0" w:space="0" w:color="auto"/>
                                                                                                              </w:divBdr>
                                                                                                              <w:divsChild>
                                                                                                                <w:div w:id="24982802">
                                                                                                                  <w:marLeft w:val="0"/>
                                                                                                                  <w:marRight w:val="0"/>
                                                                                                                  <w:marTop w:val="0"/>
                                                                                                                  <w:marBottom w:val="0"/>
                                                                                                                  <w:divBdr>
                                                                                                                    <w:top w:val="none" w:sz="0" w:space="0" w:color="auto"/>
                                                                                                                    <w:left w:val="none" w:sz="0" w:space="0" w:color="auto"/>
                                                                                                                    <w:bottom w:val="none" w:sz="0" w:space="0" w:color="auto"/>
                                                                                                                    <w:right w:val="none" w:sz="0" w:space="0" w:color="auto"/>
                                                                                                                  </w:divBdr>
                                                                                                                  <w:divsChild>
                                                                                                                    <w:div w:id="64189741">
                                                                                                                      <w:marLeft w:val="0"/>
                                                                                                                      <w:marRight w:val="0"/>
                                                                                                                      <w:marTop w:val="0"/>
                                                                                                                      <w:marBottom w:val="0"/>
                                                                                                                      <w:divBdr>
                                                                                                                        <w:top w:val="none" w:sz="0" w:space="0" w:color="auto"/>
                                                                                                                        <w:left w:val="none" w:sz="0" w:space="0" w:color="auto"/>
                                                                                                                        <w:bottom w:val="none" w:sz="0" w:space="0" w:color="auto"/>
                                                                                                                        <w:right w:val="none" w:sz="0" w:space="0" w:color="auto"/>
                                                                                                                      </w:divBdr>
                                                                                                                      <w:divsChild>
                                                                                                                        <w:div w:id="1534807613">
                                                                                                                          <w:marLeft w:val="0"/>
                                                                                                                          <w:marRight w:val="0"/>
                                                                                                                          <w:marTop w:val="0"/>
                                                                                                                          <w:marBottom w:val="0"/>
                                                                                                                          <w:divBdr>
                                                                                                                            <w:top w:val="none" w:sz="0" w:space="0" w:color="auto"/>
                                                                                                                            <w:left w:val="none" w:sz="0" w:space="0" w:color="auto"/>
                                                                                                                            <w:bottom w:val="none" w:sz="0" w:space="0" w:color="auto"/>
                                                                                                                            <w:right w:val="none" w:sz="0" w:space="0" w:color="auto"/>
                                                                                                                          </w:divBdr>
                                                                                                                          <w:divsChild>
                                                                                                                            <w:div w:id="934482962">
                                                                                                                              <w:marLeft w:val="0"/>
                                                                                                                              <w:marRight w:val="0"/>
                                                                                                                              <w:marTop w:val="0"/>
                                                                                                                              <w:marBottom w:val="0"/>
                                                                                                                              <w:divBdr>
                                                                                                                                <w:top w:val="none" w:sz="0" w:space="0" w:color="auto"/>
                                                                                                                                <w:left w:val="none" w:sz="0" w:space="0" w:color="auto"/>
                                                                                                                                <w:bottom w:val="none" w:sz="0" w:space="0" w:color="auto"/>
                                                                                                                                <w:right w:val="none" w:sz="0" w:space="0" w:color="auto"/>
                                                                                                                              </w:divBdr>
                                                                                                                              <w:divsChild>
                                                                                                                                <w:div w:id="1007557283">
                                                                                                                                  <w:marLeft w:val="0"/>
                                                                                                                                  <w:marRight w:val="0"/>
                                                                                                                                  <w:marTop w:val="0"/>
                                                                                                                                  <w:marBottom w:val="0"/>
                                                                                                                                  <w:divBdr>
                                                                                                                                    <w:top w:val="none" w:sz="0" w:space="0" w:color="auto"/>
                                                                                                                                    <w:left w:val="none" w:sz="0" w:space="0" w:color="auto"/>
                                                                                                                                    <w:bottom w:val="none" w:sz="0" w:space="0" w:color="auto"/>
                                                                                                                                    <w:right w:val="none" w:sz="0" w:space="0" w:color="auto"/>
                                                                                                                                  </w:divBdr>
                                                                                                                                  <w:divsChild>
                                                                                                                                    <w:div w:id="1272278657">
                                                                                                                                      <w:marLeft w:val="0"/>
                                                                                                                                      <w:marRight w:val="0"/>
                                                                                                                                      <w:marTop w:val="0"/>
                                                                                                                                      <w:marBottom w:val="0"/>
                                                                                                                                      <w:divBdr>
                                                                                                                                        <w:top w:val="none" w:sz="0" w:space="0" w:color="auto"/>
                                                                                                                                        <w:left w:val="none" w:sz="0" w:space="0" w:color="auto"/>
                                                                                                                                        <w:bottom w:val="none" w:sz="0" w:space="0" w:color="auto"/>
                                                                                                                                        <w:right w:val="none" w:sz="0" w:space="0" w:color="auto"/>
                                                                                                                                      </w:divBdr>
                                                                                                                                      <w:divsChild>
                                                                                                                                        <w:div w:id="417823827">
                                                                                                                                          <w:marLeft w:val="0"/>
                                                                                                                                          <w:marRight w:val="0"/>
                                                                                                                                          <w:marTop w:val="0"/>
                                                                                                                                          <w:marBottom w:val="0"/>
                                                                                                                                          <w:divBdr>
                                                                                                                                            <w:top w:val="none" w:sz="0" w:space="0" w:color="auto"/>
                                                                                                                                            <w:left w:val="none" w:sz="0" w:space="0" w:color="auto"/>
                                                                                                                                            <w:bottom w:val="none" w:sz="0" w:space="0" w:color="auto"/>
                                                                                                                                            <w:right w:val="none" w:sz="0" w:space="0" w:color="auto"/>
                                                                                                                                          </w:divBdr>
                                                                                                                                          <w:divsChild>
                                                                                                                                            <w:div w:id="935020205">
                                                                                                                                              <w:marLeft w:val="0"/>
                                                                                                                                              <w:marRight w:val="0"/>
                                                                                                                                              <w:marTop w:val="0"/>
                                                                                                                                              <w:marBottom w:val="0"/>
                                                                                                                                              <w:divBdr>
                                                                                                                                                <w:top w:val="none" w:sz="0" w:space="0" w:color="auto"/>
                                                                                                                                                <w:left w:val="none" w:sz="0" w:space="0" w:color="auto"/>
                                                                                                                                                <w:bottom w:val="none" w:sz="0" w:space="0" w:color="auto"/>
                                                                                                                                                <w:right w:val="none" w:sz="0" w:space="0" w:color="auto"/>
                                                                                                                                              </w:divBdr>
                                                                                                                                              <w:divsChild>
                                                                                                                                                <w:div w:id="891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09809">
      <w:bodyDiv w:val="1"/>
      <w:marLeft w:val="0"/>
      <w:marRight w:val="0"/>
      <w:marTop w:val="0"/>
      <w:marBottom w:val="0"/>
      <w:divBdr>
        <w:top w:val="none" w:sz="0" w:space="0" w:color="auto"/>
        <w:left w:val="none" w:sz="0" w:space="0" w:color="auto"/>
        <w:bottom w:val="none" w:sz="0" w:space="0" w:color="auto"/>
        <w:right w:val="none" w:sz="0" w:space="0" w:color="auto"/>
      </w:divBdr>
      <w:divsChild>
        <w:div w:id="1817643344">
          <w:marLeft w:val="0"/>
          <w:marRight w:val="0"/>
          <w:marTop w:val="0"/>
          <w:marBottom w:val="0"/>
          <w:divBdr>
            <w:top w:val="none" w:sz="0" w:space="0" w:color="auto"/>
            <w:left w:val="none" w:sz="0" w:space="0" w:color="auto"/>
            <w:bottom w:val="none" w:sz="0" w:space="0" w:color="auto"/>
            <w:right w:val="none" w:sz="0" w:space="0" w:color="auto"/>
          </w:divBdr>
        </w:div>
      </w:divsChild>
    </w:div>
    <w:div w:id="1966302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2945-189B-45D2-AAAC-51E0EC88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26424</Words>
  <Characters>150622</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CEBI</Company>
  <LinksUpToDate>false</LinksUpToDate>
  <CharactersWithSpaces>176693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Melendez-Torres</dc:creator>
  <cp:lastModifiedBy>Ford Hickson</cp:lastModifiedBy>
  <cp:revision>3</cp:revision>
  <dcterms:created xsi:type="dcterms:W3CDTF">2015-10-21T16:52:00Z</dcterms:created>
  <dcterms:modified xsi:type="dcterms:W3CDTF">2016-02-23T17:47:00Z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gerardo.melendez-torres@spi.ox.ac.uk@www.mendeley.com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http://www.zotero.org/styles/aids</vt:lpwstr>
  </property>
  <property fmtid="{D5CDD505-2E9C-101B-9397-08002B2CF9AE}" pid="6" name="Mendeley Recent Style Name 0_1">
    <vt:lpwstr>AIDS</vt:lpwstr>
  </property>
  <property fmtid="{D5CDD505-2E9C-101B-9397-08002B2CF9AE}" pid="7" name="Mendeley Recent Style Id 1_1">
    <vt:lpwstr>http://www.zotero.org/styles/aids-and-behavior</vt:lpwstr>
  </property>
  <property fmtid="{D5CDD505-2E9C-101B-9397-08002B2CF9AE}" pid="8" name="Mendeley Recent Style Name 1_1">
    <vt:lpwstr>AIDS and Behavior</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http://www.zotero.org/styles/international-journal-of-drug-policy</vt:lpwstr>
  </property>
  <property fmtid="{D5CDD505-2E9C-101B-9397-08002B2CF9AE}" pid="16" name="Mendeley Recent Style Name 5_1">
    <vt:lpwstr>International Journal of Drug Policy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