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ABF" w:rsidRPr="00216999" w:rsidRDefault="00876ABF" w:rsidP="00410456">
      <w:pPr>
        <w:rPr>
          <w:b/>
          <w:sz w:val="24"/>
          <w:szCs w:val="24"/>
          <w:u w:val="single"/>
        </w:rPr>
      </w:pPr>
      <w:r w:rsidRPr="00216999">
        <w:rPr>
          <w:b/>
          <w:sz w:val="24"/>
          <w:szCs w:val="24"/>
          <w:u w:val="single"/>
        </w:rPr>
        <w:t>A</w:t>
      </w:r>
      <w:r w:rsidR="00EC3141" w:rsidRPr="00216999">
        <w:rPr>
          <w:b/>
          <w:sz w:val="24"/>
          <w:szCs w:val="24"/>
          <w:u w:val="single"/>
        </w:rPr>
        <w:t xml:space="preserve"> longitudinal </w:t>
      </w:r>
      <w:r w:rsidRPr="00216999">
        <w:rPr>
          <w:b/>
          <w:sz w:val="24"/>
          <w:szCs w:val="24"/>
          <w:u w:val="single"/>
        </w:rPr>
        <w:t xml:space="preserve">investigation of the relationship between crowding and reading: a neurodegenerative approach </w:t>
      </w:r>
    </w:p>
    <w:p w:rsidR="00410456" w:rsidRPr="00216999" w:rsidRDefault="00410456" w:rsidP="00410456">
      <w:pPr>
        <w:rPr>
          <w:sz w:val="24"/>
          <w:szCs w:val="24"/>
        </w:rPr>
      </w:pPr>
      <w:r w:rsidRPr="00216999">
        <w:rPr>
          <w:sz w:val="24"/>
          <w:szCs w:val="24"/>
        </w:rPr>
        <w:t xml:space="preserve">Keir Yong, </w:t>
      </w:r>
      <w:r w:rsidR="002E5649" w:rsidRPr="00216999">
        <w:rPr>
          <w:sz w:val="24"/>
          <w:szCs w:val="24"/>
        </w:rPr>
        <w:t xml:space="preserve">Kishan Rajdev, </w:t>
      </w:r>
      <w:r w:rsidRPr="00216999">
        <w:rPr>
          <w:sz w:val="24"/>
          <w:szCs w:val="24"/>
        </w:rPr>
        <w:t xml:space="preserve">Elizabeth Warrington, </w:t>
      </w:r>
      <w:r w:rsidR="000F7A78" w:rsidRPr="00216999">
        <w:rPr>
          <w:sz w:val="24"/>
          <w:szCs w:val="24"/>
        </w:rPr>
        <w:t xml:space="preserve">Jennifer Nicholas, </w:t>
      </w:r>
      <w:r w:rsidR="002E5649" w:rsidRPr="00216999">
        <w:rPr>
          <w:sz w:val="24"/>
          <w:szCs w:val="24"/>
        </w:rPr>
        <w:t xml:space="preserve">Jason Warren, </w:t>
      </w:r>
      <w:r w:rsidRPr="00216999">
        <w:rPr>
          <w:sz w:val="24"/>
          <w:szCs w:val="24"/>
        </w:rPr>
        <w:t xml:space="preserve">Sebastian Crutch </w:t>
      </w:r>
    </w:p>
    <w:p w:rsidR="00410456" w:rsidRPr="00216999" w:rsidRDefault="00773F48" w:rsidP="00410456">
      <w:pPr>
        <w:rPr>
          <w:sz w:val="24"/>
          <w:szCs w:val="24"/>
        </w:rPr>
      </w:pPr>
      <w:r w:rsidRPr="00773F48">
        <w:rPr>
          <w:sz w:val="24"/>
          <w:szCs w:val="24"/>
        </w:rPr>
        <w:t>Dementia Research Centre, Department of Neurodegenerative Disease, UCL Institute of Neurology</w:t>
      </w:r>
      <w:r>
        <w:rPr>
          <w:sz w:val="24"/>
          <w:szCs w:val="24"/>
        </w:rPr>
        <w:t xml:space="preserve">, </w:t>
      </w:r>
      <w:r w:rsidR="00410456" w:rsidRPr="00216999">
        <w:rPr>
          <w:sz w:val="24"/>
          <w:szCs w:val="24"/>
        </w:rPr>
        <w:t xml:space="preserve">University College London, UK </w:t>
      </w:r>
    </w:p>
    <w:p w:rsidR="00410456" w:rsidRPr="00216999" w:rsidRDefault="00410456" w:rsidP="00410456">
      <w:pPr>
        <w:rPr>
          <w:sz w:val="24"/>
          <w:szCs w:val="24"/>
        </w:rPr>
      </w:pPr>
    </w:p>
    <w:p w:rsidR="00410456" w:rsidRPr="00216999" w:rsidRDefault="00410456" w:rsidP="00410456">
      <w:pPr>
        <w:rPr>
          <w:sz w:val="24"/>
          <w:szCs w:val="24"/>
        </w:rPr>
      </w:pPr>
      <w:r w:rsidRPr="00216999">
        <w:rPr>
          <w:sz w:val="24"/>
          <w:szCs w:val="24"/>
        </w:rPr>
        <w:t>Address for correspondence:</w:t>
      </w:r>
    </w:p>
    <w:p w:rsidR="00410456" w:rsidRPr="00216999" w:rsidRDefault="00410456" w:rsidP="00410456">
      <w:pPr>
        <w:rPr>
          <w:sz w:val="24"/>
          <w:szCs w:val="24"/>
        </w:rPr>
      </w:pPr>
    </w:p>
    <w:p w:rsidR="00410456" w:rsidRPr="00216999" w:rsidRDefault="00410456" w:rsidP="00410456">
      <w:pPr>
        <w:rPr>
          <w:sz w:val="24"/>
          <w:szCs w:val="24"/>
        </w:rPr>
      </w:pPr>
      <w:r w:rsidRPr="00216999">
        <w:rPr>
          <w:sz w:val="24"/>
          <w:szCs w:val="24"/>
        </w:rPr>
        <w:t>Keir Yong</w:t>
      </w:r>
    </w:p>
    <w:p w:rsidR="00410456" w:rsidRPr="00216999" w:rsidRDefault="00410456" w:rsidP="00410456">
      <w:pPr>
        <w:rPr>
          <w:sz w:val="24"/>
          <w:szCs w:val="24"/>
        </w:rPr>
      </w:pPr>
      <w:r w:rsidRPr="00216999">
        <w:rPr>
          <w:sz w:val="24"/>
          <w:szCs w:val="24"/>
        </w:rPr>
        <w:t>Dementia Research Centre</w:t>
      </w:r>
    </w:p>
    <w:p w:rsidR="00410456" w:rsidRPr="00216999" w:rsidRDefault="00410456" w:rsidP="00410456">
      <w:pPr>
        <w:rPr>
          <w:sz w:val="24"/>
          <w:szCs w:val="24"/>
        </w:rPr>
      </w:pPr>
      <w:r w:rsidRPr="00216999">
        <w:rPr>
          <w:sz w:val="24"/>
          <w:szCs w:val="24"/>
        </w:rPr>
        <w:t>Box 16</w:t>
      </w:r>
    </w:p>
    <w:p w:rsidR="00410456" w:rsidRPr="00216999" w:rsidRDefault="00410456" w:rsidP="00410456">
      <w:pPr>
        <w:rPr>
          <w:sz w:val="24"/>
          <w:szCs w:val="24"/>
        </w:rPr>
      </w:pPr>
      <w:r w:rsidRPr="00216999">
        <w:rPr>
          <w:sz w:val="24"/>
          <w:szCs w:val="24"/>
        </w:rPr>
        <w:t>National Hospital for Neurology and Neurosurgery</w:t>
      </w:r>
    </w:p>
    <w:p w:rsidR="00410456" w:rsidRPr="00216999" w:rsidRDefault="00410456" w:rsidP="00410456">
      <w:pPr>
        <w:rPr>
          <w:sz w:val="24"/>
          <w:szCs w:val="24"/>
        </w:rPr>
      </w:pPr>
      <w:r w:rsidRPr="00216999">
        <w:rPr>
          <w:sz w:val="24"/>
          <w:szCs w:val="24"/>
        </w:rPr>
        <w:t>Queen Square</w:t>
      </w:r>
    </w:p>
    <w:p w:rsidR="00410456" w:rsidRPr="00216999" w:rsidRDefault="00410456" w:rsidP="00410456">
      <w:pPr>
        <w:rPr>
          <w:sz w:val="24"/>
          <w:szCs w:val="24"/>
        </w:rPr>
      </w:pPr>
      <w:r w:rsidRPr="00216999">
        <w:rPr>
          <w:sz w:val="24"/>
          <w:szCs w:val="24"/>
        </w:rPr>
        <w:t>London</w:t>
      </w:r>
    </w:p>
    <w:p w:rsidR="00410456" w:rsidRPr="00216999" w:rsidRDefault="00410456" w:rsidP="00410456">
      <w:pPr>
        <w:rPr>
          <w:sz w:val="24"/>
          <w:szCs w:val="24"/>
        </w:rPr>
      </w:pPr>
      <w:r w:rsidRPr="00216999">
        <w:rPr>
          <w:sz w:val="24"/>
          <w:szCs w:val="24"/>
        </w:rPr>
        <w:t>WC1N 3BG</w:t>
      </w:r>
    </w:p>
    <w:p w:rsidR="00410456" w:rsidRPr="00216999" w:rsidRDefault="00410456" w:rsidP="00410456">
      <w:pPr>
        <w:rPr>
          <w:sz w:val="24"/>
          <w:szCs w:val="24"/>
        </w:rPr>
      </w:pPr>
      <w:r w:rsidRPr="00216999">
        <w:rPr>
          <w:sz w:val="24"/>
          <w:szCs w:val="24"/>
        </w:rPr>
        <w:t>UK</w:t>
      </w:r>
    </w:p>
    <w:p w:rsidR="00410456" w:rsidRPr="00216999" w:rsidRDefault="00410456" w:rsidP="00410456">
      <w:pPr>
        <w:rPr>
          <w:sz w:val="24"/>
          <w:szCs w:val="24"/>
        </w:rPr>
      </w:pPr>
    </w:p>
    <w:p w:rsidR="00410456" w:rsidRPr="00216999" w:rsidRDefault="00410456" w:rsidP="00410456">
      <w:pPr>
        <w:rPr>
          <w:sz w:val="24"/>
          <w:szCs w:val="24"/>
        </w:rPr>
      </w:pPr>
      <w:r w:rsidRPr="00216999">
        <w:rPr>
          <w:sz w:val="24"/>
          <w:szCs w:val="24"/>
        </w:rPr>
        <w:t>Tel: +44 (0)20 3448 3652</w:t>
      </w:r>
    </w:p>
    <w:p w:rsidR="00410456" w:rsidRPr="00216999" w:rsidRDefault="00410456" w:rsidP="00410456">
      <w:pPr>
        <w:rPr>
          <w:sz w:val="24"/>
          <w:szCs w:val="24"/>
        </w:rPr>
      </w:pPr>
      <w:r w:rsidRPr="00216999">
        <w:rPr>
          <w:sz w:val="24"/>
          <w:szCs w:val="24"/>
        </w:rPr>
        <w:t>Fax: +44 (0)20 7676 2066</w:t>
      </w:r>
    </w:p>
    <w:p w:rsidR="00410456" w:rsidRPr="00216999" w:rsidRDefault="00410456" w:rsidP="00410456">
      <w:pPr>
        <w:rPr>
          <w:b/>
          <w:sz w:val="24"/>
          <w:szCs w:val="24"/>
          <w:u w:val="single"/>
        </w:rPr>
      </w:pPr>
    </w:p>
    <w:p w:rsidR="005F6E83" w:rsidRPr="00216999" w:rsidRDefault="00410456" w:rsidP="00410456">
      <w:pPr>
        <w:rPr>
          <w:b/>
          <w:sz w:val="24"/>
          <w:szCs w:val="24"/>
          <w:u w:val="single"/>
        </w:rPr>
      </w:pPr>
      <w:r w:rsidRPr="00216999">
        <w:rPr>
          <w:b/>
          <w:sz w:val="24"/>
          <w:szCs w:val="24"/>
          <w:u w:val="single"/>
        </w:rPr>
        <w:t xml:space="preserve">Email: </w:t>
      </w:r>
      <w:r w:rsidR="00930CD7" w:rsidRPr="00216999">
        <w:rPr>
          <w:b/>
          <w:sz w:val="24"/>
          <w:szCs w:val="24"/>
          <w:u w:val="single"/>
        </w:rPr>
        <w:t>keir.yong@ucl.ac.uk</w:t>
      </w:r>
      <w:r w:rsidR="006E1D01" w:rsidRPr="00216999">
        <w:rPr>
          <w:b/>
          <w:sz w:val="24"/>
          <w:szCs w:val="24"/>
          <w:u w:val="single"/>
        </w:rPr>
        <w:br w:type="page"/>
      </w:r>
    </w:p>
    <w:p w:rsidR="00410456" w:rsidRPr="00216999" w:rsidRDefault="00410456">
      <w:pPr>
        <w:rPr>
          <w:b/>
          <w:sz w:val="24"/>
          <w:szCs w:val="24"/>
          <w:u w:val="single"/>
        </w:rPr>
      </w:pPr>
      <w:r w:rsidRPr="00216999">
        <w:rPr>
          <w:b/>
          <w:sz w:val="24"/>
          <w:szCs w:val="24"/>
          <w:u w:val="single"/>
        </w:rPr>
        <w:lastRenderedPageBreak/>
        <w:t>Abstract</w:t>
      </w:r>
    </w:p>
    <w:p w:rsidR="00774000" w:rsidRPr="00216999" w:rsidRDefault="00410456">
      <w:pPr>
        <w:rPr>
          <w:sz w:val="24"/>
          <w:szCs w:val="24"/>
        </w:rPr>
      </w:pPr>
      <w:r w:rsidRPr="00216999">
        <w:rPr>
          <w:sz w:val="24"/>
          <w:szCs w:val="24"/>
        </w:rPr>
        <w:tab/>
      </w:r>
      <w:r w:rsidR="002E5649" w:rsidRPr="00216999">
        <w:rPr>
          <w:sz w:val="24"/>
          <w:szCs w:val="24"/>
        </w:rPr>
        <w:t xml:space="preserve">We have previously </w:t>
      </w:r>
      <w:r w:rsidR="00ED0E45" w:rsidRPr="00216999">
        <w:rPr>
          <w:sz w:val="24"/>
          <w:szCs w:val="24"/>
        </w:rPr>
        <w:t xml:space="preserve">documented </w:t>
      </w:r>
      <w:r w:rsidR="002E5649" w:rsidRPr="00216999">
        <w:rPr>
          <w:sz w:val="24"/>
          <w:szCs w:val="24"/>
        </w:rPr>
        <w:t>two patients (FOL and CLA)</w:t>
      </w:r>
      <w:r w:rsidR="00501625" w:rsidRPr="00216999">
        <w:rPr>
          <w:sz w:val="24"/>
          <w:szCs w:val="24"/>
        </w:rPr>
        <w:t xml:space="preserve"> </w:t>
      </w:r>
      <w:r w:rsidR="002E5649" w:rsidRPr="00216999">
        <w:rPr>
          <w:sz w:val="24"/>
          <w:szCs w:val="24"/>
        </w:rPr>
        <w:t>with posterior cortical atrophy</w:t>
      </w:r>
      <w:r w:rsidR="00501625" w:rsidRPr="00216999">
        <w:rPr>
          <w:sz w:val="24"/>
          <w:szCs w:val="24"/>
        </w:rPr>
        <w:t xml:space="preserve"> </w:t>
      </w:r>
      <w:r w:rsidR="002E5649" w:rsidRPr="00216999">
        <w:rPr>
          <w:sz w:val="24"/>
          <w:szCs w:val="24"/>
        </w:rPr>
        <w:t xml:space="preserve">who </w:t>
      </w:r>
      <w:r w:rsidR="00DC4B6F" w:rsidRPr="00216999">
        <w:rPr>
          <w:sz w:val="24"/>
          <w:szCs w:val="24"/>
        </w:rPr>
        <w:t xml:space="preserve">achieved accurate and rapid reading despite deficits </w:t>
      </w:r>
      <w:r w:rsidR="00501625" w:rsidRPr="00216999">
        <w:rPr>
          <w:sz w:val="24"/>
          <w:szCs w:val="24"/>
        </w:rPr>
        <w:t>in ten measures of visual processing</w:t>
      </w:r>
      <w:r w:rsidR="007C6D7A" w:rsidRPr="00216999">
        <w:rPr>
          <w:sz w:val="24"/>
          <w:szCs w:val="24"/>
        </w:rPr>
        <w:t xml:space="preserve">, with two notable exceptions: 1) a measure of visual acuity, 2) a measure of visual crowding. </w:t>
      </w:r>
      <w:r w:rsidR="00D324EB" w:rsidRPr="00216999">
        <w:rPr>
          <w:sz w:val="24"/>
          <w:szCs w:val="24"/>
        </w:rPr>
        <w:t xml:space="preserve">Subsequent longitudinal investigation of these patients </w:t>
      </w:r>
      <w:r w:rsidR="00774000" w:rsidRPr="00216999">
        <w:rPr>
          <w:sz w:val="24"/>
          <w:szCs w:val="24"/>
        </w:rPr>
        <w:t xml:space="preserve">was carried out, involving </w:t>
      </w:r>
      <w:r w:rsidR="00810C4E" w:rsidRPr="00216999">
        <w:rPr>
          <w:sz w:val="24"/>
          <w:szCs w:val="24"/>
        </w:rPr>
        <w:t xml:space="preserve">annual </w:t>
      </w:r>
      <w:r w:rsidR="00774000" w:rsidRPr="00216999">
        <w:rPr>
          <w:sz w:val="24"/>
          <w:szCs w:val="24"/>
        </w:rPr>
        <w:t xml:space="preserve">tests of early visual, visuoperceptual and visuospatial processing and assessment of reading ability. Follow-up assessments identified the </w:t>
      </w:r>
      <w:r w:rsidR="007E70A3" w:rsidRPr="00216999">
        <w:rPr>
          <w:sz w:val="24"/>
          <w:szCs w:val="24"/>
        </w:rPr>
        <w:t xml:space="preserve">evolution </w:t>
      </w:r>
      <w:r w:rsidR="00774000" w:rsidRPr="00216999">
        <w:rPr>
          <w:sz w:val="24"/>
          <w:szCs w:val="24"/>
        </w:rPr>
        <w:t xml:space="preserve">of a </w:t>
      </w:r>
      <w:r w:rsidR="00693CCC" w:rsidRPr="00216999">
        <w:rPr>
          <w:sz w:val="24"/>
          <w:szCs w:val="24"/>
        </w:rPr>
        <w:t>particular</w:t>
      </w:r>
      <w:r w:rsidR="00774000" w:rsidRPr="00216999">
        <w:rPr>
          <w:sz w:val="24"/>
          <w:szCs w:val="24"/>
        </w:rPr>
        <w:t xml:space="preserve"> early visual processing deficit, </w:t>
      </w:r>
      <w:r w:rsidR="004C258F" w:rsidRPr="00216999">
        <w:rPr>
          <w:sz w:val="24"/>
          <w:szCs w:val="24"/>
        </w:rPr>
        <w:t xml:space="preserve">excessive </w:t>
      </w:r>
      <w:r w:rsidR="00774000" w:rsidRPr="00216999">
        <w:rPr>
          <w:sz w:val="24"/>
          <w:szCs w:val="24"/>
        </w:rPr>
        <w:t xml:space="preserve">visual crowding; this deficit has been previously implicated in forms of dyslexia. </w:t>
      </w:r>
      <w:r w:rsidR="00693CCC" w:rsidRPr="00216999">
        <w:rPr>
          <w:sz w:val="24"/>
          <w:szCs w:val="24"/>
        </w:rPr>
        <w:t>Consistent with the link between crowding and reading dysfunction, f</w:t>
      </w:r>
      <w:r w:rsidR="00774000" w:rsidRPr="00216999">
        <w:rPr>
          <w:sz w:val="24"/>
          <w:szCs w:val="24"/>
        </w:rPr>
        <w:t xml:space="preserve">ollow-up assessments </w:t>
      </w:r>
      <w:r w:rsidR="002E5649" w:rsidRPr="00216999">
        <w:rPr>
          <w:sz w:val="24"/>
          <w:szCs w:val="24"/>
        </w:rPr>
        <w:t xml:space="preserve">also </w:t>
      </w:r>
      <w:r w:rsidR="00774000" w:rsidRPr="00216999">
        <w:rPr>
          <w:sz w:val="24"/>
          <w:szCs w:val="24"/>
        </w:rPr>
        <w:t xml:space="preserve">revealed deterioration in both patients’ reading ability. </w:t>
      </w:r>
      <w:r w:rsidR="00571F49" w:rsidRPr="00216999">
        <w:rPr>
          <w:sz w:val="24"/>
          <w:szCs w:val="24"/>
        </w:rPr>
        <w:t>The current findings demonstrate a neurodegenerative approach towards understanding the relationship between visual crowding and the reading system, and suggest possible mechanisms for how</w:t>
      </w:r>
      <w:r w:rsidR="004C258F" w:rsidRPr="00216999">
        <w:rPr>
          <w:sz w:val="24"/>
          <w:szCs w:val="24"/>
        </w:rPr>
        <w:t xml:space="preserve"> excessive</w:t>
      </w:r>
      <w:r w:rsidR="00571F49" w:rsidRPr="00216999">
        <w:rPr>
          <w:sz w:val="24"/>
          <w:szCs w:val="24"/>
        </w:rPr>
        <w:t xml:space="preserve"> crowding may disrupt word recognition.</w:t>
      </w:r>
    </w:p>
    <w:p w:rsidR="00EA79EC" w:rsidRPr="00216999" w:rsidRDefault="00EA79EC">
      <w:pPr>
        <w:rPr>
          <w:b/>
          <w:sz w:val="24"/>
          <w:szCs w:val="24"/>
        </w:rPr>
      </w:pPr>
      <w:r w:rsidRPr="00216999">
        <w:rPr>
          <w:b/>
          <w:sz w:val="24"/>
          <w:szCs w:val="24"/>
        </w:rPr>
        <w:t>Keywords</w:t>
      </w:r>
    </w:p>
    <w:p w:rsidR="00EA79EC" w:rsidRPr="00216999" w:rsidRDefault="00EA79EC">
      <w:pPr>
        <w:rPr>
          <w:sz w:val="24"/>
          <w:szCs w:val="24"/>
        </w:rPr>
      </w:pPr>
      <w:r w:rsidRPr="00216999">
        <w:rPr>
          <w:sz w:val="24"/>
          <w:szCs w:val="24"/>
        </w:rPr>
        <w:t>Posterior Cortical Atrophy (PCA); Alzheimer’s Disease (AD); dyslexia; letter-by-letter reading; visual crowding</w:t>
      </w:r>
    </w:p>
    <w:p w:rsidR="00410456" w:rsidRPr="00216999" w:rsidRDefault="00410456">
      <w:pPr>
        <w:rPr>
          <w:sz w:val="24"/>
          <w:szCs w:val="24"/>
        </w:rPr>
      </w:pPr>
      <w:r w:rsidRPr="00216999">
        <w:rPr>
          <w:b/>
          <w:sz w:val="24"/>
          <w:szCs w:val="24"/>
          <w:u w:val="single"/>
        </w:rPr>
        <w:br w:type="page"/>
      </w:r>
    </w:p>
    <w:p w:rsidR="006E1D01" w:rsidRPr="00216999" w:rsidRDefault="006E1D01" w:rsidP="006E1D01">
      <w:pPr>
        <w:rPr>
          <w:b/>
          <w:sz w:val="24"/>
          <w:szCs w:val="24"/>
          <w:u w:val="single"/>
        </w:rPr>
      </w:pPr>
    </w:p>
    <w:p w:rsidR="004A246E" w:rsidRPr="008A59F6" w:rsidRDefault="004F0BC2" w:rsidP="0057766A">
      <w:pPr>
        <w:pStyle w:val="ListParagraph"/>
        <w:numPr>
          <w:ilvl w:val="0"/>
          <w:numId w:val="4"/>
        </w:numPr>
        <w:rPr>
          <w:b/>
          <w:sz w:val="24"/>
          <w:szCs w:val="24"/>
          <w:u w:val="single"/>
        </w:rPr>
      </w:pPr>
      <w:r w:rsidRPr="00216999">
        <w:rPr>
          <w:b/>
          <w:sz w:val="24"/>
          <w:szCs w:val="24"/>
          <w:u w:val="single"/>
        </w:rPr>
        <w:t>Introduction</w:t>
      </w:r>
      <w:bookmarkStart w:id="0" w:name="_GoBack"/>
      <w:bookmarkEnd w:id="0"/>
    </w:p>
    <w:p w:rsidR="004E46FA" w:rsidRDefault="004A246E" w:rsidP="0057766A">
      <w:pPr>
        <w:rPr>
          <w:sz w:val="24"/>
          <w:szCs w:val="24"/>
        </w:rPr>
      </w:pPr>
      <w:r w:rsidRPr="00216999">
        <w:rPr>
          <w:sz w:val="24"/>
          <w:szCs w:val="24"/>
        </w:rPr>
        <w:tab/>
        <w:t xml:space="preserve">Visual crowding describes the inhibition of the identification of a target stimulus by the presence of flanking stimuli. This effect is primarily determined by the spacing between target and flanker stimuli, with reduced spacing leading to greater suppression of target identification; greater visual similarity between target and flankers also increases this suppression. </w:t>
      </w:r>
      <w:r w:rsidR="00042870">
        <w:rPr>
          <w:sz w:val="24"/>
          <w:szCs w:val="24"/>
        </w:rPr>
        <w:t>In healthy individuals,</w:t>
      </w:r>
      <w:r w:rsidR="00042870" w:rsidRPr="00216999">
        <w:rPr>
          <w:sz w:val="24"/>
          <w:szCs w:val="24"/>
        </w:rPr>
        <w:t xml:space="preserve"> </w:t>
      </w:r>
      <w:r w:rsidRPr="00216999">
        <w:rPr>
          <w:sz w:val="24"/>
          <w:szCs w:val="24"/>
        </w:rPr>
        <w:t>crowding effects tend to be largely restricted to peripheral vision (with the critical spacing being proportional to the eccentricity; Bouma, 1970</w:t>
      </w:r>
      <w:r w:rsidR="00042870" w:rsidRPr="00216999">
        <w:rPr>
          <w:sz w:val="24"/>
          <w:szCs w:val="24"/>
        </w:rPr>
        <w:t>)</w:t>
      </w:r>
      <w:r w:rsidR="00042870">
        <w:rPr>
          <w:sz w:val="24"/>
          <w:szCs w:val="24"/>
        </w:rPr>
        <w:t>. However,</w:t>
      </w:r>
      <w:r w:rsidR="00042870" w:rsidRPr="00216999">
        <w:rPr>
          <w:sz w:val="24"/>
          <w:szCs w:val="24"/>
        </w:rPr>
        <w:t xml:space="preserve"> </w:t>
      </w:r>
      <w:r w:rsidR="00CB15A9" w:rsidRPr="00216999">
        <w:rPr>
          <w:sz w:val="24"/>
          <w:szCs w:val="24"/>
        </w:rPr>
        <w:t xml:space="preserve">in individuals with posterior cortical atrophy (PCA), </w:t>
      </w:r>
      <w:r w:rsidR="00042870">
        <w:rPr>
          <w:sz w:val="24"/>
          <w:szCs w:val="24"/>
        </w:rPr>
        <w:t xml:space="preserve">a neurodegenerative condition characterised by progressive visual impairment, </w:t>
      </w:r>
      <w:r w:rsidRPr="00216999">
        <w:rPr>
          <w:sz w:val="24"/>
          <w:szCs w:val="24"/>
        </w:rPr>
        <w:t>prominent effects have been observed in central vision</w:t>
      </w:r>
      <w:r w:rsidR="00CB15A9" w:rsidRPr="00216999">
        <w:rPr>
          <w:sz w:val="24"/>
          <w:szCs w:val="24"/>
        </w:rPr>
        <w:t xml:space="preserve"> (</w:t>
      </w:r>
      <w:r w:rsidRPr="00216999">
        <w:rPr>
          <w:sz w:val="24"/>
          <w:szCs w:val="24"/>
        </w:rPr>
        <w:t xml:space="preserve">Crutch &amp; Warrington, 2007a; Crutch &amp; Warrington, 2009, Yong et al., </w:t>
      </w:r>
      <w:r w:rsidR="00042870" w:rsidRPr="00216999">
        <w:rPr>
          <w:sz w:val="24"/>
          <w:szCs w:val="24"/>
        </w:rPr>
        <w:t>201</w:t>
      </w:r>
      <w:r w:rsidR="00042870">
        <w:rPr>
          <w:sz w:val="24"/>
          <w:szCs w:val="24"/>
        </w:rPr>
        <w:t>4</w:t>
      </w:r>
      <w:r w:rsidR="00E67868">
        <w:rPr>
          <w:sz w:val="24"/>
          <w:szCs w:val="24"/>
        </w:rPr>
        <w:t>a</w:t>
      </w:r>
      <w:r w:rsidRPr="00216999">
        <w:rPr>
          <w:sz w:val="24"/>
          <w:szCs w:val="24"/>
        </w:rPr>
        <w:t xml:space="preserve">). </w:t>
      </w:r>
    </w:p>
    <w:p w:rsidR="00FE18E8" w:rsidRDefault="00144034" w:rsidP="005C6B1F">
      <w:pPr>
        <w:ind w:firstLine="720"/>
        <w:rPr>
          <w:sz w:val="24"/>
          <w:szCs w:val="24"/>
        </w:rPr>
      </w:pPr>
      <w:r w:rsidRPr="00216999">
        <w:rPr>
          <w:sz w:val="24"/>
          <w:szCs w:val="24"/>
        </w:rPr>
        <w:t>The occurrence of crowding when target stimuli and flankers are separately presented to different eyes indicates a cortical locus (Flom et al., 1963; Tripathy &amp; Levi, 1994</w:t>
      </w:r>
      <w:r w:rsidR="005C6B1F" w:rsidRPr="00216999">
        <w:rPr>
          <w:sz w:val="24"/>
          <w:szCs w:val="24"/>
        </w:rPr>
        <w:t>)</w:t>
      </w:r>
      <w:r w:rsidR="005C6B1F">
        <w:rPr>
          <w:sz w:val="24"/>
          <w:szCs w:val="24"/>
        </w:rPr>
        <w:t>.</w:t>
      </w:r>
      <w:r w:rsidR="005C6B1F" w:rsidRPr="00216999">
        <w:rPr>
          <w:sz w:val="24"/>
          <w:szCs w:val="24"/>
        </w:rPr>
        <w:t xml:space="preserve"> </w:t>
      </w:r>
      <w:r w:rsidR="005C6B1F">
        <w:rPr>
          <w:sz w:val="24"/>
          <w:szCs w:val="24"/>
        </w:rPr>
        <w:t>P</w:t>
      </w:r>
      <w:r w:rsidR="005C6B1F" w:rsidRPr="00216999">
        <w:rPr>
          <w:sz w:val="24"/>
          <w:szCs w:val="24"/>
        </w:rPr>
        <w:t xml:space="preserve">revious </w:t>
      </w:r>
      <w:r w:rsidR="004A246E" w:rsidRPr="00216999">
        <w:rPr>
          <w:sz w:val="24"/>
          <w:szCs w:val="24"/>
        </w:rPr>
        <w:t xml:space="preserve">studies </w:t>
      </w:r>
      <w:r>
        <w:rPr>
          <w:sz w:val="24"/>
          <w:szCs w:val="24"/>
        </w:rPr>
        <w:t>have placed</w:t>
      </w:r>
      <w:r w:rsidRPr="00216999">
        <w:rPr>
          <w:sz w:val="24"/>
          <w:szCs w:val="24"/>
        </w:rPr>
        <w:t xml:space="preserve"> </w:t>
      </w:r>
      <w:r w:rsidR="004A246E" w:rsidRPr="00216999">
        <w:rPr>
          <w:sz w:val="24"/>
          <w:szCs w:val="24"/>
        </w:rPr>
        <w:t xml:space="preserve">this locus within the occipital cortex (Levi, 2008; Bi et al., 2009; Fang &amp; He, 2008; Anderson et al., 2012), with functional localisation varying </w:t>
      </w:r>
      <w:r w:rsidR="000716C0">
        <w:rPr>
          <w:sz w:val="24"/>
          <w:szCs w:val="24"/>
        </w:rPr>
        <w:t>among</w:t>
      </w:r>
      <w:r w:rsidR="000716C0" w:rsidRPr="00216999">
        <w:rPr>
          <w:sz w:val="24"/>
          <w:szCs w:val="24"/>
        </w:rPr>
        <w:t xml:space="preserve"> </w:t>
      </w:r>
      <w:r w:rsidR="004A246E" w:rsidRPr="00216999">
        <w:rPr>
          <w:sz w:val="24"/>
          <w:szCs w:val="24"/>
        </w:rPr>
        <w:t>V1 (Blake et al., 2006), V2 (</w:t>
      </w:r>
      <w:r w:rsidR="000716C0">
        <w:rPr>
          <w:sz w:val="24"/>
          <w:szCs w:val="24"/>
        </w:rPr>
        <w:t xml:space="preserve">Freeman &amp; Simoncelli, 2011; </w:t>
      </w:r>
      <w:r w:rsidR="000F710B" w:rsidRPr="00216999">
        <w:rPr>
          <w:sz w:val="24"/>
          <w:szCs w:val="24"/>
        </w:rPr>
        <w:t>Schofield, 2000</w:t>
      </w:r>
      <w:r w:rsidR="004A246E" w:rsidRPr="00216999">
        <w:rPr>
          <w:sz w:val="24"/>
          <w:szCs w:val="24"/>
        </w:rPr>
        <w:t>) and V4 (Liu et al., 2009)</w:t>
      </w:r>
      <w:r w:rsidR="005C6B1F">
        <w:rPr>
          <w:sz w:val="24"/>
          <w:szCs w:val="24"/>
        </w:rPr>
        <w:t xml:space="preserve">. </w:t>
      </w:r>
      <w:r w:rsidR="00F4635D">
        <w:rPr>
          <w:sz w:val="24"/>
          <w:szCs w:val="24"/>
        </w:rPr>
        <w:t>Functional imaging</w:t>
      </w:r>
      <w:r w:rsidR="0096763C" w:rsidRPr="0096763C">
        <w:rPr>
          <w:sz w:val="24"/>
          <w:szCs w:val="24"/>
        </w:rPr>
        <w:t xml:space="preserve"> studies have identified an increase in crowding-modulated activation</w:t>
      </w:r>
      <w:r w:rsidR="00F4635D">
        <w:rPr>
          <w:sz w:val="24"/>
          <w:szCs w:val="24"/>
        </w:rPr>
        <w:t xml:space="preserve"> in </w:t>
      </w:r>
      <w:r w:rsidR="00A9390C">
        <w:rPr>
          <w:sz w:val="24"/>
          <w:szCs w:val="24"/>
        </w:rPr>
        <w:t>the lateral occipital cortex</w:t>
      </w:r>
      <w:r w:rsidR="00F4635D">
        <w:rPr>
          <w:sz w:val="24"/>
          <w:szCs w:val="24"/>
        </w:rPr>
        <w:t xml:space="preserve"> </w:t>
      </w:r>
      <w:r w:rsidR="00F4635D" w:rsidRPr="0096763C">
        <w:rPr>
          <w:sz w:val="24"/>
          <w:szCs w:val="24"/>
        </w:rPr>
        <w:t>(Chic</w:t>
      </w:r>
      <w:r w:rsidR="00F4635D">
        <w:rPr>
          <w:sz w:val="24"/>
          <w:szCs w:val="24"/>
        </w:rPr>
        <w:t>h</w:t>
      </w:r>
      <w:r w:rsidR="00F4635D" w:rsidRPr="0096763C">
        <w:rPr>
          <w:sz w:val="24"/>
          <w:szCs w:val="24"/>
        </w:rPr>
        <w:t>erov et al.,</w:t>
      </w:r>
      <w:r w:rsidR="0009262D">
        <w:rPr>
          <w:sz w:val="24"/>
          <w:szCs w:val="24"/>
        </w:rPr>
        <w:t xml:space="preserve"> </w:t>
      </w:r>
      <w:r w:rsidR="00F4635D" w:rsidRPr="0096763C">
        <w:rPr>
          <w:sz w:val="24"/>
          <w:szCs w:val="24"/>
        </w:rPr>
        <w:t>2014</w:t>
      </w:r>
      <w:r w:rsidR="00F4635D">
        <w:rPr>
          <w:sz w:val="24"/>
          <w:szCs w:val="24"/>
        </w:rPr>
        <w:t>) or</w:t>
      </w:r>
      <w:r w:rsidR="0096763C" w:rsidRPr="0096763C">
        <w:rPr>
          <w:sz w:val="24"/>
          <w:szCs w:val="24"/>
        </w:rPr>
        <w:t xml:space="preserve"> from early to late visual areas </w:t>
      </w:r>
      <w:r w:rsidR="00F4635D">
        <w:rPr>
          <w:sz w:val="24"/>
          <w:szCs w:val="24"/>
        </w:rPr>
        <w:t>(</w:t>
      </w:r>
      <w:r w:rsidR="0096763C" w:rsidRPr="0096763C">
        <w:rPr>
          <w:sz w:val="24"/>
          <w:szCs w:val="24"/>
        </w:rPr>
        <w:t>Anderson et al., 2012)</w:t>
      </w:r>
      <w:r w:rsidR="00F4635D">
        <w:rPr>
          <w:sz w:val="24"/>
          <w:szCs w:val="24"/>
        </w:rPr>
        <w:t>. S</w:t>
      </w:r>
      <w:r w:rsidR="00A85543">
        <w:rPr>
          <w:sz w:val="24"/>
          <w:szCs w:val="24"/>
        </w:rPr>
        <w:t>uch findings</w:t>
      </w:r>
      <w:r w:rsidR="0096763C" w:rsidRPr="0096763C">
        <w:rPr>
          <w:sz w:val="24"/>
          <w:szCs w:val="24"/>
        </w:rPr>
        <w:t xml:space="preserve"> </w:t>
      </w:r>
      <w:r w:rsidR="00A9390C">
        <w:rPr>
          <w:sz w:val="24"/>
          <w:szCs w:val="24"/>
        </w:rPr>
        <w:t>have interpreted</w:t>
      </w:r>
      <w:r w:rsidR="00A9390C" w:rsidRPr="00A9390C">
        <w:rPr>
          <w:sz w:val="24"/>
          <w:szCs w:val="24"/>
        </w:rPr>
        <w:t xml:space="preserve"> </w:t>
      </w:r>
      <w:r w:rsidR="00A9390C" w:rsidRPr="0096763C">
        <w:rPr>
          <w:sz w:val="24"/>
          <w:szCs w:val="24"/>
        </w:rPr>
        <w:t xml:space="preserve">later visual areas being particularly involved in integrating or grouping </w:t>
      </w:r>
      <w:r w:rsidR="00A9390C">
        <w:rPr>
          <w:sz w:val="24"/>
          <w:szCs w:val="24"/>
        </w:rPr>
        <w:t>features</w:t>
      </w:r>
      <w:r w:rsidR="00A9390C" w:rsidRPr="0096763C">
        <w:rPr>
          <w:sz w:val="24"/>
          <w:szCs w:val="24"/>
        </w:rPr>
        <w:t xml:space="preserve"> (Gori &amp; Spillma</w:t>
      </w:r>
      <w:r w:rsidR="00FF5AB0">
        <w:rPr>
          <w:sz w:val="24"/>
          <w:szCs w:val="24"/>
        </w:rPr>
        <w:t>n</w:t>
      </w:r>
      <w:r w:rsidR="00A9390C" w:rsidRPr="0096763C">
        <w:rPr>
          <w:sz w:val="24"/>
          <w:szCs w:val="24"/>
        </w:rPr>
        <w:t>n, 2010)</w:t>
      </w:r>
      <w:r w:rsidR="00A9390C">
        <w:rPr>
          <w:sz w:val="24"/>
          <w:szCs w:val="24"/>
        </w:rPr>
        <w:t xml:space="preserve">, and </w:t>
      </w:r>
      <w:r w:rsidR="0096763C" w:rsidRPr="0096763C">
        <w:rPr>
          <w:sz w:val="24"/>
          <w:szCs w:val="24"/>
        </w:rPr>
        <w:t>support crowding as a process</w:t>
      </w:r>
      <w:r w:rsidR="00723ACB">
        <w:rPr>
          <w:sz w:val="24"/>
          <w:szCs w:val="24"/>
        </w:rPr>
        <w:t xml:space="preserve"> that cannot be fully attributed to early visual areas such as </w:t>
      </w:r>
      <w:r w:rsidR="00955049">
        <w:rPr>
          <w:sz w:val="24"/>
          <w:szCs w:val="24"/>
        </w:rPr>
        <w:t>V</w:t>
      </w:r>
      <w:r w:rsidR="00723ACB">
        <w:rPr>
          <w:sz w:val="24"/>
          <w:szCs w:val="24"/>
        </w:rPr>
        <w:t>1</w:t>
      </w:r>
      <w:r w:rsidR="00A9390C">
        <w:rPr>
          <w:sz w:val="24"/>
          <w:szCs w:val="24"/>
        </w:rPr>
        <w:t>.</w:t>
      </w:r>
      <w:r w:rsidR="0096763C" w:rsidRPr="0096763C">
        <w:rPr>
          <w:sz w:val="24"/>
          <w:szCs w:val="24"/>
        </w:rPr>
        <w:t xml:space="preserve"> </w:t>
      </w:r>
      <w:r w:rsidR="00F4635D">
        <w:rPr>
          <w:sz w:val="24"/>
          <w:szCs w:val="24"/>
        </w:rPr>
        <w:t xml:space="preserve">Correspondingly, there have been proposals of crowding as a multistage process, involving </w:t>
      </w:r>
      <w:r w:rsidR="00F4635D" w:rsidRPr="00216999">
        <w:rPr>
          <w:sz w:val="24"/>
          <w:szCs w:val="24"/>
        </w:rPr>
        <w:t>a lower-level feature detection stage, possibly in V1, and a higher-level integration of features downstream from V1 (Levi, 2008).</w:t>
      </w:r>
      <w:r w:rsidR="00F4635D">
        <w:rPr>
          <w:sz w:val="24"/>
          <w:szCs w:val="24"/>
        </w:rPr>
        <w:t xml:space="preserve"> </w:t>
      </w:r>
      <w:r w:rsidR="00532912">
        <w:rPr>
          <w:sz w:val="24"/>
          <w:szCs w:val="24"/>
        </w:rPr>
        <w:t>In PCA</w:t>
      </w:r>
      <w:r w:rsidR="00287B3F">
        <w:rPr>
          <w:sz w:val="24"/>
          <w:szCs w:val="24"/>
        </w:rPr>
        <w:t>, pattern</w:t>
      </w:r>
      <w:r w:rsidR="009E6D0F">
        <w:rPr>
          <w:sz w:val="24"/>
          <w:szCs w:val="24"/>
        </w:rPr>
        <w:t>s</w:t>
      </w:r>
      <w:r w:rsidR="00287B3F">
        <w:rPr>
          <w:sz w:val="24"/>
          <w:szCs w:val="24"/>
        </w:rPr>
        <w:t xml:space="preserve"> of</w:t>
      </w:r>
      <w:r w:rsidR="00532912">
        <w:rPr>
          <w:sz w:val="24"/>
          <w:szCs w:val="24"/>
        </w:rPr>
        <w:t xml:space="preserve"> </w:t>
      </w:r>
      <w:r w:rsidR="00287B3F">
        <w:rPr>
          <w:sz w:val="24"/>
          <w:szCs w:val="24"/>
        </w:rPr>
        <w:t>performance</w:t>
      </w:r>
      <w:r w:rsidR="00532912">
        <w:rPr>
          <w:sz w:val="24"/>
          <w:szCs w:val="24"/>
        </w:rPr>
        <w:t xml:space="preserve"> </w:t>
      </w:r>
      <w:r w:rsidR="009E6D0F">
        <w:rPr>
          <w:sz w:val="24"/>
          <w:szCs w:val="24"/>
        </w:rPr>
        <w:t xml:space="preserve">indicative of crowding when </w:t>
      </w:r>
      <w:r w:rsidR="00287B3F">
        <w:rPr>
          <w:sz w:val="24"/>
          <w:szCs w:val="24"/>
        </w:rPr>
        <w:t>naming</w:t>
      </w:r>
      <w:r w:rsidR="00532912">
        <w:rPr>
          <w:sz w:val="24"/>
          <w:szCs w:val="24"/>
        </w:rPr>
        <w:t xml:space="preserve"> centrally-presented flanked stimuli </w:t>
      </w:r>
      <w:r w:rsidR="009E6D0F">
        <w:rPr>
          <w:sz w:val="24"/>
          <w:szCs w:val="24"/>
        </w:rPr>
        <w:t>have</w:t>
      </w:r>
      <w:r w:rsidR="00532912">
        <w:rPr>
          <w:sz w:val="24"/>
          <w:szCs w:val="24"/>
        </w:rPr>
        <w:t xml:space="preserve"> been associated with lower grey matter volume </w:t>
      </w:r>
      <w:r w:rsidR="00F31FFC">
        <w:rPr>
          <w:sz w:val="24"/>
          <w:szCs w:val="24"/>
        </w:rPr>
        <w:t>in the collateral sulcus</w:t>
      </w:r>
      <w:r w:rsidR="00E03C28">
        <w:rPr>
          <w:sz w:val="24"/>
          <w:szCs w:val="24"/>
        </w:rPr>
        <w:t xml:space="preserve"> (Yong et al., 2014</w:t>
      </w:r>
      <w:r w:rsidR="00B465C3">
        <w:rPr>
          <w:sz w:val="24"/>
          <w:szCs w:val="24"/>
        </w:rPr>
        <w:t>a</w:t>
      </w:r>
      <w:r w:rsidR="00E03C28">
        <w:rPr>
          <w:sz w:val="24"/>
          <w:szCs w:val="24"/>
        </w:rPr>
        <w:t>).</w:t>
      </w:r>
      <w:r w:rsidR="00532912">
        <w:rPr>
          <w:sz w:val="24"/>
          <w:szCs w:val="24"/>
        </w:rPr>
        <w:t xml:space="preserve"> </w:t>
      </w:r>
      <w:r w:rsidR="00AE5795">
        <w:rPr>
          <w:sz w:val="24"/>
          <w:szCs w:val="24"/>
        </w:rPr>
        <w:t xml:space="preserve">While crowding tends to be considered a preattentive process, </w:t>
      </w:r>
      <w:r w:rsidR="006D0836">
        <w:rPr>
          <w:sz w:val="24"/>
          <w:szCs w:val="24"/>
        </w:rPr>
        <w:t xml:space="preserve">spatial attention may modulate crowding-related </w:t>
      </w:r>
      <w:r w:rsidR="005B3A01">
        <w:rPr>
          <w:sz w:val="24"/>
          <w:szCs w:val="24"/>
        </w:rPr>
        <w:t xml:space="preserve">activation in early visual areas </w:t>
      </w:r>
      <w:r w:rsidR="00474517">
        <w:rPr>
          <w:sz w:val="24"/>
          <w:szCs w:val="24"/>
        </w:rPr>
        <w:t>(Chen et al., 2014) and t</w:t>
      </w:r>
      <w:r w:rsidR="006D2FD0">
        <w:rPr>
          <w:sz w:val="24"/>
          <w:szCs w:val="24"/>
        </w:rPr>
        <w:t xml:space="preserve">here have been suggestions that </w:t>
      </w:r>
      <w:r w:rsidR="00415905">
        <w:rPr>
          <w:sz w:val="24"/>
          <w:szCs w:val="24"/>
        </w:rPr>
        <w:t xml:space="preserve">crowding itself </w:t>
      </w:r>
      <w:r w:rsidR="00AE5795">
        <w:rPr>
          <w:sz w:val="24"/>
          <w:szCs w:val="24"/>
        </w:rPr>
        <w:t>arise</w:t>
      </w:r>
      <w:r w:rsidR="00415905">
        <w:rPr>
          <w:sz w:val="24"/>
          <w:szCs w:val="24"/>
        </w:rPr>
        <w:t>s</w:t>
      </w:r>
      <w:r w:rsidR="00AE5795">
        <w:rPr>
          <w:sz w:val="24"/>
          <w:szCs w:val="24"/>
        </w:rPr>
        <w:t xml:space="preserve"> from</w:t>
      </w:r>
      <w:r>
        <w:rPr>
          <w:sz w:val="24"/>
          <w:szCs w:val="24"/>
        </w:rPr>
        <w:t xml:space="preserve"> poor resolution of attention</w:t>
      </w:r>
      <w:r w:rsidR="00ED6505">
        <w:rPr>
          <w:sz w:val="24"/>
          <w:szCs w:val="24"/>
        </w:rPr>
        <w:t xml:space="preserve"> (Intriligator &amp; Cavanagh, 2001)</w:t>
      </w:r>
      <w:r w:rsidR="00474517">
        <w:rPr>
          <w:sz w:val="24"/>
          <w:szCs w:val="24"/>
        </w:rPr>
        <w:t>.</w:t>
      </w:r>
      <w:r w:rsidR="00415905">
        <w:rPr>
          <w:sz w:val="24"/>
          <w:szCs w:val="24"/>
        </w:rPr>
        <w:t xml:space="preserve">, </w:t>
      </w:r>
    </w:p>
    <w:p w:rsidR="0000526E" w:rsidRDefault="000144AB" w:rsidP="005C6B1F">
      <w:pPr>
        <w:ind w:firstLine="720"/>
        <w:rPr>
          <w:sz w:val="24"/>
          <w:szCs w:val="24"/>
        </w:rPr>
      </w:pPr>
      <w:r>
        <w:rPr>
          <w:sz w:val="24"/>
          <w:szCs w:val="24"/>
        </w:rPr>
        <w:t xml:space="preserve">Crowding </w:t>
      </w:r>
      <w:r w:rsidR="004A246E" w:rsidRPr="00216999">
        <w:rPr>
          <w:sz w:val="24"/>
          <w:szCs w:val="24"/>
        </w:rPr>
        <w:t>is a promising candidate for a visual deficit that may fundamentally limit reading ability. Our uncrowded vision corresponds to the visual span (Pelli et al., 2007): the visual span is the extent to which we can read without moving our eyes, and has been proposed as a particularly significant factor in limiting our reading rate (Chung et al., 2004; Legge et al., 2001). Crowding might inhibit word recognition, parallel or serial letter processing through the interaction between the low-level features of words (Yu et al., 2012) such as letters (Martelli et al., 2005) or features of letters themselves (Fiset et al., 2008; Zhang et al., 2009)</w:t>
      </w:r>
      <w:r w:rsidR="00A61CAC">
        <w:rPr>
          <w:sz w:val="24"/>
          <w:szCs w:val="24"/>
        </w:rPr>
        <w:t>.</w:t>
      </w:r>
      <w:r w:rsidR="00485DF8">
        <w:rPr>
          <w:sz w:val="24"/>
          <w:szCs w:val="24"/>
        </w:rPr>
        <w:t xml:space="preserve"> </w:t>
      </w:r>
      <w:r w:rsidR="00484453">
        <w:rPr>
          <w:sz w:val="24"/>
          <w:szCs w:val="24"/>
        </w:rPr>
        <w:t>Excessive visual crowding has been proposed as a possible cause of</w:t>
      </w:r>
      <w:r w:rsidR="00E7267C">
        <w:rPr>
          <w:sz w:val="24"/>
          <w:szCs w:val="24"/>
        </w:rPr>
        <w:t xml:space="preserve"> developmental dyslexia</w:t>
      </w:r>
      <w:r w:rsidR="00484453">
        <w:rPr>
          <w:sz w:val="24"/>
          <w:szCs w:val="24"/>
        </w:rPr>
        <w:t>, along with deficits in temporal and visuospatial attention (Frances</w:t>
      </w:r>
      <w:r w:rsidR="00877E1B">
        <w:rPr>
          <w:sz w:val="24"/>
          <w:szCs w:val="24"/>
        </w:rPr>
        <w:t>c</w:t>
      </w:r>
      <w:r w:rsidR="00484453">
        <w:rPr>
          <w:sz w:val="24"/>
          <w:szCs w:val="24"/>
        </w:rPr>
        <w:t>hini et al., 2012) and diminished integrity</w:t>
      </w:r>
      <w:r w:rsidR="00484453" w:rsidRPr="00484453">
        <w:rPr>
          <w:sz w:val="24"/>
          <w:szCs w:val="24"/>
        </w:rPr>
        <w:t xml:space="preserve"> </w:t>
      </w:r>
      <w:r w:rsidR="00484453">
        <w:rPr>
          <w:sz w:val="24"/>
          <w:szCs w:val="24"/>
        </w:rPr>
        <w:t>of the magnocellular pathway (Gori et al., 2014)</w:t>
      </w:r>
      <w:r w:rsidR="002C5810">
        <w:rPr>
          <w:sz w:val="24"/>
          <w:szCs w:val="24"/>
        </w:rPr>
        <w:t xml:space="preserve">; for a review of how these deficits relate to dyslexia including their neural and genetic  bases, see Gori and Spillmann (2015). Developmental dyslexics have been found to exhibit </w:t>
      </w:r>
      <w:r w:rsidR="002C5810">
        <w:rPr>
          <w:sz w:val="24"/>
          <w:szCs w:val="24"/>
        </w:rPr>
        <w:t>p</w:t>
      </w:r>
      <w:r w:rsidR="00E7267C">
        <w:rPr>
          <w:sz w:val="24"/>
          <w:szCs w:val="24"/>
        </w:rPr>
        <w:t>articularly prominent crowding effects (Martelli et al., 2009; Pelli &amp; Tillman, 2008)</w:t>
      </w:r>
      <w:r w:rsidR="002C5810">
        <w:rPr>
          <w:sz w:val="24"/>
          <w:szCs w:val="24"/>
        </w:rPr>
        <w:t xml:space="preserve"> and </w:t>
      </w:r>
      <w:r w:rsidR="00634B7C">
        <w:rPr>
          <w:sz w:val="24"/>
          <w:szCs w:val="24"/>
        </w:rPr>
        <w:t>increased interletter spacing has resulted in improved</w:t>
      </w:r>
      <w:r w:rsidR="002C5810">
        <w:rPr>
          <w:sz w:val="24"/>
          <w:szCs w:val="24"/>
        </w:rPr>
        <w:t xml:space="preserve"> in text reading performance of children with dyslexia </w:t>
      </w:r>
      <w:r w:rsidR="00E7267C">
        <w:rPr>
          <w:sz w:val="24"/>
          <w:szCs w:val="24"/>
        </w:rPr>
        <w:t>(Zorzi et al., 2012).</w:t>
      </w:r>
      <w:r w:rsidR="00E7267C">
        <w:rPr>
          <w:sz w:val="24"/>
          <w:szCs w:val="24"/>
        </w:rPr>
        <w:t xml:space="preserve"> </w:t>
      </w:r>
    </w:p>
    <w:p w:rsidR="00FE18E8" w:rsidRDefault="000144AB" w:rsidP="005C6B1F">
      <w:pPr>
        <w:ind w:firstLine="720"/>
        <w:rPr>
          <w:sz w:val="24"/>
          <w:szCs w:val="24"/>
        </w:rPr>
      </w:pPr>
      <w:r w:rsidRPr="00216999">
        <w:rPr>
          <w:sz w:val="24"/>
          <w:szCs w:val="24"/>
        </w:rPr>
        <w:t xml:space="preserve">Excessive crowding has previously been suggested to underlie </w:t>
      </w:r>
      <w:r>
        <w:rPr>
          <w:sz w:val="24"/>
          <w:szCs w:val="24"/>
        </w:rPr>
        <w:t xml:space="preserve">a </w:t>
      </w:r>
      <w:r w:rsidRPr="00216999">
        <w:rPr>
          <w:sz w:val="24"/>
          <w:szCs w:val="24"/>
        </w:rPr>
        <w:t xml:space="preserve">form of acquired dyslexia (Crutch &amp; Warrington, 2009) </w:t>
      </w:r>
      <w:r>
        <w:rPr>
          <w:sz w:val="24"/>
          <w:szCs w:val="24"/>
        </w:rPr>
        <w:t xml:space="preserve">and likely contributes to </w:t>
      </w:r>
      <w:r w:rsidR="00E67868">
        <w:rPr>
          <w:sz w:val="24"/>
          <w:szCs w:val="24"/>
        </w:rPr>
        <w:t xml:space="preserve">characteristic </w:t>
      </w:r>
      <w:r>
        <w:rPr>
          <w:sz w:val="24"/>
          <w:szCs w:val="24"/>
        </w:rPr>
        <w:t xml:space="preserve">deficits in word recognition and </w:t>
      </w:r>
      <w:r w:rsidR="00402757">
        <w:rPr>
          <w:sz w:val="24"/>
          <w:szCs w:val="24"/>
        </w:rPr>
        <w:t>text reading in PCA (Yong et al., 2014</w:t>
      </w:r>
      <w:r w:rsidR="00E67868">
        <w:rPr>
          <w:sz w:val="24"/>
          <w:szCs w:val="24"/>
        </w:rPr>
        <w:t>b</w:t>
      </w:r>
      <w:r w:rsidR="00402757">
        <w:rPr>
          <w:sz w:val="24"/>
          <w:szCs w:val="24"/>
        </w:rPr>
        <w:t>; 2015).</w:t>
      </w:r>
      <w:r>
        <w:rPr>
          <w:sz w:val="24"/>
          <w:szCs w:val="24"/>
        </w:rPr>
        <w:t xml:space="preserve"> </w:t>
      </w:r>
      <w:r w:rsidR="004A246E" w:rsidRPr="00216999">
        <w:rPr>
          <w:sz w:val="24"/>
          <w:szCs w:val="24"/>
        </w:rPr>
        <w:t xml:space="preserve">Two factors in the expression of crowding, spacing between target and flanker stimuli and visual similarity, may </w:t>
      </w:r>
      <w:r w:rsidR="00E67868">
        <w:rPr>
          <w:sz w:val="24"/>
          <w:szCs w:val="24"/>
        </w:rPr>
        <w:t>relate to specific reading deficits</w:t>
      </w:r>
      <w:r w:rsidR="004A246E" w:rsidRPr="00216999">
        <w:rPr>
          <w:sz w:val="24"/>
          <w:szCs w:val="24"/>
        </w:rPr>
        <w:t xml:space="preserve"> </w:t>
      </w:r>
      <w:r w:rsidR="001B5063">
        <w:rPr>
          <w:sz w:val="24"/>
          <w:szCs w:val="24"/>
        </w:rPr>
        <w:t>in peripheral dyslexia</w:t>
      </w:r>
      <w:r w:rsidR="00C00E2A">
        <w:rPr>
          <w:sz w:val="24"/>
          <w:szCs w:val="24"/>
        </w:rPr>
        <w:t>.</w:t>
      </w:r>
      <w:r w:rsidR="00C00E2A" w:rsidRPr="00216999">
        <w:rPr>
          <w:sz w:val="24"/>
          <w:szCs w:val="24"/>
        </w:rPr>
        <w:t xml:space="preserve"> </w:t>
      </w:r>
      <w:r w:rsidR="00C00E2A">
        <w:rPr>
          <w:sz w:val="24"/>
          <w:szCs w:val="24"/>
        </w:rPr>
        <w:t>O</w:t>
      </w:r>
      <w:r w:rsidR="00C00E2A" w:rsidRPr="00216999">
        <w:rPr>
          <w:sz w:val="24"/>
          <w:szCs w:val="24"/>
        </w:rPr>
        <w:t xml:space="preserve">ne </w:t>
      </w:r>
      <w:r w:rsidR="004A246E" w:rsidRPr="00216999">
        <w:rPr>
          <w:sz w:val="24"/>
          <w:szCs w:val="24"/>
        </w:rPr>
        <w:t xml:space="preserve">previously reported alexic PCA patient has been found to achieve optimal reading with words of moderate interletter spacing and lower letter confusability, a measure of the visual similarity of letters (Crutch &amp; Warrington, 2009), while there have been suggestions of length effects in </w:t>
      </w:r>
      <w:r w:rsidR="00CB15A9" w:rsidRPr="00216999">
        <w:rPr>
          <w:sz w:val="24"/>
          <w:szCs w:val="24"/>
        </w:rPr>
        <w:t>letter-by-letter (</w:t>
      </w:r>
      <w:r w:rsidR="004A246E" w:rsidRPr="00216999">
        <w:rPr>
          <w:sz w:val="24"/>
          <w:szCs w:val="24"/>
        </w:rPr>
        <w:t>LBL</w:t>
      </w:r>
      <w:r w:rsidR="00CB15A9" w:rsidRPr="00216999">
        <w:rPr>
          <w:sz w:val="24"/>
          <w:szCs w:val="24"/>
        </w:rPr>
        <w:t>)</w:t>
      </w:r>
      <w:r w:rsidR="004A246E" w:rsidRPr="00216999">
        <w:rPr>
          <w:sz w:val="24"/>
          <w:szCs w:val="24"/>
        </w:rPr>
        <w:t xml:space="preserve"> readers being artefacts of high letter confusability (Arguin et al., 2002; Fiset et al., 2005).</w:t>
      </w:r>
      <w:r w:rsidR="00447D46">
        <w:rPr>
          <w:sz w:val="24"/>
          <w:szCs w:val="24"/>
        </w:rPr>
        <w:t xml:space="preserve"> </w:t>
      </w:r>
    </w:p>
    <w:p w:rsidR="00FB6565" w:rsidRPr="00216999" w:rsidRDefault="004A246E" w:rsidP="0057766A">
      <w:pPr>
        <w:rPr>
          <w:sz w:val="24"/>
          <w:szCs w:val="24"/>
        </w:rPr>
      </w:pPr>
      <w:r w:rsidRPr="00216999">
        <w:rPr>
          <w:sz w:val="24"/>
          <w:szCs w:val="24"/>
        </w:rPr>
        <w:tab/>
      </w:r>
      <w:r w:rsidR="008F4A73" w:rsidRPr="00216999">
        <w:rPr>
          <w:sz w:val="24"/>
          <w:szCs w:val="24"/>
        </w:rPr>
        <w:t>We previously</w:t>
      </w:r>
      <w:r w:rsidR="00822F62" w:rsidRPr="00216999">
        <w:rPr>
          <w:sz w:val="24"/>
          <w:szCs w:val="24"/>
        </w:rPr>
        <w:t xml:space="preserve"> </w:t>
      </w:r>
      <w:r w:rsidR="00930CD7" w:rsidRPr="00216999">
        <w:rPr>
          <w:sz w:val="24"/>
          <w:szCs w:val="24"/>
        </w:rPr>
        <w:t>identified two patients (FOL and CLA) who maintained rapid and accurate reading despite impairments on ten measures of early visual, visuoperceptual and visuospatial processing (figure-ground discrimination, shape discrimination, hue discrimination, number location, dot counting, object decision, fragmented letters, canonical and non-canonical view perception, chequerboard experiment)</w:t>
      </w:r>
      <w:r w:rsidR="001F20B5" w:rsidRPr="00216999">
        <w:rPr>
          <w:sz w:val="24"/>
          <w:szCs w:val="24"/>
        </w:rPr>
        <w:t xml:space="preserve">, establishing that such </w:t>
      </w:r>
      <w:r w:rsidR="000716C0">
        <w:rPr>
          <w:sz w:val="24"/>
          <w:szCs w:val="24"/>
        </w:rPr>
        <w:t>deficits</w:t>
      </w:r>
      <w:r w:rsidR="000716C0" w:rsidRPr="00216999">
        <w:rPr>
          <w:sz w:val="24"/>
          <w:szCs w:val="24"/>
        </w:rPr>
        <w:t xml:space="preserve"> </w:t>
      </w:r>
      <w:r w:rsidR="001F20B5" w:rsidRPr="00216999">
        <w:rPr>
          <w:sz w:val="24"/>
          <w:szCs w:val="24"/>
        </w:rPr>
        <w:t xml:space="preserve">were not </w:t>
      </w:r>
      <w:r w:rsidR="000716C0">
        <w:rPr>
          <w:sz w:val="24"/>
          <w:szCs w:val="24"/>
        </w:rPr>
        <w:t xml:space="preserve">sufficient to impair </w:t>
      </w:r>
      <w:r w:rsidR="001F20B5" w:rsidRPr="00216999">
        <w:rPr>
          <w:sz w:val="24"/>
          <w:szCs w:val="24"/>
        </w:rPr>
        <w:t>to reading dysfunction</w:t>
      </w:r>
      <w:r w:rsidR="00E67868">
        <w:rPr>
          <w:sz w:val="24"/>
          <w:szCs w:val="24"/>
        </w:rPr>
        <w:t xml:space="preserve"> (Yong et al., 2013)</w:t>
      </w:r>
      <w:r w:rsidR="00930CD7" w:rsidRPr="00216999">
        <w:rPr>
          <w:sz w:val="24"/>
          <w:szCs w:val="24"/>
        </w:rPr>
        <w:t>.</w:t>
      </w:r>
      <w:r w:rsidR="001F20B5" w:rsidRPr="00216999">
        <w:rPr>
          <w:sz w:val="24"/>
          <w:szCs w:val="24"/>
        </w:rPr>
        <w:t xml:space="preserve"> These findings present a compelling challenge to general visual accounts of</w:t>
      </w:r>
      <w:r w:rsidR="0003740F" w:rsidRPr="00216999">
        <w:rPr>
          <w:sz w:val="24"/>
          <w:szCs w:val="24"/>
        </w:rPr>
        <w:t xml:space="preserve"> letter-by-letter (LBL)</w:t>
      </w:r>
      <w:r w:rsidR="001F20B5" w:rsidRPr="00216999">
        <w:rPr>
          <w:sz w:val="24"/>
          <w:szCs w:val="24"/>
        </w:rPr>
        <w:t xml:space="preserve"> reading, which propose that </w:t>
      </w:r>
      <w:r w:rsidR="0003740F" w:rsidRPr="00216999">
        <w:rPr>
          <w:sz w:val="24"/>
          <w:szCs w:val="24"/>
        </w:rPr>
        <w:t>r</w:t>
      </w:r>
      <w:r w:rsidR="001F20B5" w:rsidRPr="00216999">
        <w:rPr>
          <w:sz w:val="24"/>
          <w:szCs w:val="24"/>
        </w:rPr>
        <w:t>eading is crucially undermined by even the most subtle visual deficits</w:t>
      </w:r>
      <w:r w:rsidR="0003740F" w:rsidRPr="00216999">
        <w:rPr>
          <w:sz w:val="24"/>
          <w:szCs w:val="24"/>
        </w:rPr>
        <w:t xml:space="preserve"> (Friedman &amp; Alexander, 1984; Farah &amp; Wallace, 1991; Price &amp; Devlin, 2003; Behrmann et al., 1998). </w:t>
      </w:r>
      <w:r w:rsidR="001F20B5" w:rsidRPr="00216999">
        <w:rPr>
          <w:sz w:val="24"/>
          <w:szCs w:val="24"/>
        </w:rPr>
        <w:t xml:space="preserve"> Exactly where such deficits might arise remains underspecified, with general visual accounts citing impaired peripheral, prelexical, early or general visual processing </w:t>
      </w:r>
      <w:r w:rsidR="0003740F" w:rsidRPr="00216999">
        <w:rPr>
          <w:sz w:val="24"/>
          <w:szCs w:val="24"/>
        </w:rPr>
        <w:t>underlying LBL reading</w:t>
      </w:r>
      <w:r w:rsidR="001F20B5" w:rsidRPr="00216999">
        <w:rPr>
          <w:sz w:val="24"/>
          <w:szCs w:val="24"/>
        </w:rPr>
        <w:t>.</w:t>
      </w:r>
      <w:r w:rsidR="00930CD7" w:rsidRPr="00216999">
        <w:rPr>
          <w:sz w:val="24"/>
          <w:szCs w:val="24"/>
        </w:rPr>
        <w:t xml:space="preserve"> </w:t>
      </w:r>
    </w:p>
    <w:p w:rsidR="00E30F0E" w:rsidRPr="00216999" w:rsidRDefault="00FB6565" w:rsidP="0057766A">
      <w:pPr>
        <w:rPr>
          <w:sz w:val="24"/>
          <w:szCs w:val="24"/>
        </w:rPr>
      </w:pPr>
      <w:r w:rsidRPr="00216999">
        <w:rPr>
          <w:sz w:val="24"/>
          <w:szCs w:val="24"/>
        </w:rPr>
        <w:tab/>
      </w:r>
      <w:r w:rsidR="00DE15E5" w:rsidRPr="00216999">
        <w:rPr>
          <w:sz w:val="24"/>
          <w:szCs w:val="24"/>
        </w:rPr>
        <w:t xml:space="preserve">We proposed </w:t>
      </w:r>
      <w:r w:rsidRPr="00216999">
        <w:rPr>
          <w:sz w:val="24"/>
          <w:szCs w:val="24"/>
        </w:rPr>
        <w:t>that FOL and CLA’s</w:t>
      </w:r>
      <w:r w:rsidR="00DE15E5" w:rsidRPr="00216999">
        <w:rPr>
          <w:sz w:val="24"/>
          <w:szCs w:val="24"/>
        </w:rPr>
        <w:t xml:space="preserve"> efficient reading was maintained due to</w:t>
      </w:r>
      <w:r w:rsidR="00306AC4" w:rsidRPr="00216999">
        <w:rPr>
          <w:sz w:val="24"/>
          <w:szCs w:val="24"/>
        </w:rPr>
        <w:t xml:space="preserve"> three </w:t>
      </w:r>
      <w:r w:rsidR="00E67868">
        <w:rPr>
          <w:sz w:val="24"/>
          <w:szCs w:val="24"/>
        </w:rPr>
        <w:t>factors</w:t>
      </w:r>
      <w:r w:rsidR="00306AC4" w:rsidRPr="00216999">
        <w:rPr>
          <w:sz w:val="24"/>
          <w:szCs w:val="24"/>
        </w:rPr>
        <w:t>:</w:t>
      </w:r>
      <w:r w:rsidR="00DE15E5" w:rsidRPr="00216999">
        <w:rPr>
          <w:sz w:val="24"/>
          <w:szCs w:val="24"/>
        </w:rPr>
        <w:t xml:space="preserve"> </w:t>
      </w:r>
      <w:r w:rsidR="00306AC4" w:rsidRPr="00216999">
        <w:rPr>
          <w:sz w:val="24"/>
          <w:szCs w:val="24"/>
        </w:rPr>
        <w:t xml:space="preserve">i) </w:t>
      </w:r>
      <w:r w:rsidR="00DE15E5" w:rsidRPr="00216999">
        <w:rPr>
          <w:sz w:val="24"/>
          <w:szCs w:val="24"/>
        </w:rPr>
        <w:t>their intact visual acuity</w:t>
      </w:r>
      <w:r w:rsidR="00306AC4" w:rsidRPr="00216999">
        <w:rPr>
          <w:sz w:val="24"/>
          <w:szCs w:val="24"/>
        </w:rPr>
        <w:t>; ii)</w:t>
      </w:r>
      <w:r w:rsidR="00DE15E5" w:rsidRPr="00216999">
        <w:rPr>
          <w:sz w:val="24"/>
          <w:szCs w:val="24"/>
        </w:rPr>
        <w:t xml:space="preserve"> the relative preservation of the left fusiform gyrus, a region instrumental for orthographic processing (Roberts et al., 2012)</w:t>
      </w:r>
      <w:r w:rsidR="00306AC4" w:rsidRPr="00216999">
        <w:rPr>
          <w:sz w:val="24"/>
          <w:szCs w:val="24"/>
        </w:rPr>
        <w:t xml:space="preserve"> and critically, iii) an absence of crowding deficits when identifying </w:t>
      </w:r>
      <w:r w:rsidR="00532912" w:rsidRPr="00216999">
        <w:rPr>
          <w:sz w:val="24"/>
          <w:szCs w:val="24"/>
        </w:rPr>
        <w:t>centrally</w:t>
      </w:r>
      <w:r w:rsidR="00532912">
        <w:rPr>
          <w:sz w:val="24"/>
          <w:szCs w:val="24"/>
        </w:rPr>
        <w:t>-</w:t>
      </w:r>
      <w:r w:rsidR="00306AC4" w:rsidRPr="00216999">
        <w:rPr>
          <w:sz w:val="24"/>
          <w:szCs w:val="24"/>
        </w:rPr>
        <w:t>presented flanked letter stimuli</w:t>
      </w:r>
      <w:r w:rsidR="0052097E" w:rsidRPr="00216999">
        <w:rPr>
          <w:sz w:val="24"/>
          <w:szCs w:val="24"/>
        </w:rPr>
        <w:t xml:space="preserve">. </w:t>
      </w:r>
      <w:r w:rsidR="00306AC4" w:rsidRPr="00216999">
        <w:rPr>
          <w:sz w:val="24"/>
          <w:szCs w:val="24"/>
        </w:rPr>
        <w:t>Regarding condition iii)</w:t>
      </w:r>
      <w:r w:rsidR="0052097E" w:rsidRPr="00216999">
        <w:rPr>
          <w:sz w:val="24"/>
          <w:szCs w:val="24"/>
        </w:rPr>
        <w:t>, neither patient made any errors on tests of centrally-presented flanked letter identification</w:t>
      </w:r>
      <w:r w:rsidR="00306AC4" w:rsidRPr="00216999">
        <w:rPr>
          <w:sz w:val="24"/>
          <w:szCs w:val="24"/>
        </w:rPr>
        <w:t>; furthermore,</w:t>
      </w:r>
      <w:r w:rsidR="0052097E" w:rsidRPr="00216999">
        <w:rPr>
          <w:sz w:val="24"/>
          <w:szCs w:val="24"/>
        </w:rPr>
        <w:t xml:space="preserve"> while both patients were slower than their respective control groups, neither showed the hallmark spacing effects, consistent across different flankers, that are characteristic of crowding.</w:t>
      </w:r>
      <w:r w:rsidR="00DE15E5" w:rsidRPr="00216999">
        <w:rPr>
          <w:sz w:val="24"/>
          <w:szCs w:val="24"/>
        </w:rPr>
        <w:t xml:space="preserve"> </w:t>
      </w:r>
    </w:p>
    <w:p w:rsidR="004F0BC2" w:rsidRPr="00216999" w:rsidRDefault="004F0BC2">
      <w:pPr>
        <w:rPr>
          <w:sz w:val="24"/>
          <w:szCs w:val="24"/>
        </w:rPr>
      </w:pPr>
      <w:r w:rsidRPr="00216999">
        <w:rPr>
          <w:sz w:val="24"/>
          <w:szCs w:val="24"/>
        </w:rPr>
        <w:tab/>
        <w:t>The current study presents</w:t>
      </w:r>
      <w:r w:rsidR="0057001D" w:rsidRPr="00216999">
        <w:rPr>
          <w:sz w:val="24"/>
          <w:szCs w:val="24"/>
        </w:rPr>
        <w:t xml:space="preserve"> longitudinal data</w:t>
      </w:r>
      <w:r w:rsidR="00DC1A9C" w:rsidRPr="00216999">
        <w:rPr>
          <w:sz w:val="24"/>
          <w:szCs w:val="24"/>
        </w:rPr>
        <w:t xml:space="preserve"> showing deteriorating reading speed and accuracy in both</w:t>
      </w:r>
      <w:r w:rsidRPr="00216999">
        <w:rPr>
          <w:sz w:val="24"/>
          <w:szCs w:val="24"/>
        </w:rPr>
        <w:t xml:space="preserve"> FOL and CLA. The main aim of this study </w:t>
      </w:r>
      <w:r w:rsidR="008114D7" w:rsidRPr="00216999">
        <w:rPr>
          <w:sz w:val="24"/>
          <w:szCs w:val="24"/>
        </w:rPr>
        <w:t>wa</w:t>
      </w:r>
      <w:r w:rsidRPr="00216999">
        <w:rPr>
          <w:sz w:val="24"/>
          <w:szCs w:val="24"/>
        </w:rPr>
        <w:t xml:space="preserve">s to investigate the </w:t>
      </w:r>
      <w:r w:rsidR="008114D7" w:rsidRPr="00216999">
        <w:rPr>
          <w:sz w:val="24"/>
          <w:szCs w:val="24"/>
        </w:rPr>
        <w:t xml:space="preserve">evolving </w:t>
      </w:r>
      <w:r w:rsidRPr="00216999">
        <w:rPr>
          <w:sz w:val="24"/>
          <w:szCs w:val="24"/>
        </w:rPr>
        <w:t>relationship between word recognition</w:t>
      </w:r>
      <w:r w:rsidR="000E4BA1" w:rsidRPr="00216999">
        <w:rPr>
          <w:sz w:val="24"/>
          <w:szCs w:val="24"/>
        </w:rPr>
        <w:t xml:space="preserve"> and crowding</w:t>
      </w:r>
      <w:r w:rsidRPr="00216999">
        <w:rPr>
          <w:sz w:val="24"/>
          <w:szCs w:val="24"/>
        </w:rPr>
        <w:t>.</w:t>
      </w:r>
      <w:r w:rsidR="008176FF" w:rsidRPr="00216999">
        <w:rPr>
          <w:sz w:val="24"/>
          <w:szCs w:val="24"/>
        </w:rPr>
        <w:t xml:space="preserve"> </w:t>
      </w:r>
      <w:r w:rsidR="008114D7" w:rsidRPr="00216999">
        <w:rPr>
          <w:sz w:val="24"/>
          <w:szCs w:val="24"/>
        </w:rPr>
        <w:t xml:space="preserve">It was </w:t>
      </w:r>
      <w:r w:rsidR="00894239" w:rsidRPr="00216999">
        <w:rPr>
          <w:sz w:val="24"/>
          <w:szCs w:val="24"/>
        </w:rPr>
        <w:t>hypothesised</w:t>
      </w:r>
      <w:r w:rsidR="009D392B" w:rsidRPr="00216999">
        <w:rPr>
          <w:sz w:val="24"/>
          <w:szCs w:val="24"/>
        </w:rPr>
        <w:t xml:space="preserve"> that </w:t>
      </w:r>
      <w:r w:rsidR="008114D7" w:rsidRPr="00216999">
        <w:rPr>
          <w:sz w:val="24"/>
          <w:szCs w:val="24"/>
        </w:rPr>
        <w:t xml:space="preserve">any </w:t>
      </w:r>
      <w:r w:rsidR="009D392B" w:rsidRPr="00216999">
        <w:rPr>
          <w:sz w:val="24"/>
          <w:szCs w:val="24"/>
        </w:rPr>
        <w:t xml:space="preserve">emergence of crowding </w:t>
      </w:r>
      <w:r w:rsidR="005D1167" w:rsidRPr="00216999">
        <w:rPr>
          <w:sz w:val="24"/>
          <w:szCs w:val="24"/>
        </w:rPr>
        <w:t xml:space="preserve">effects with </w:t>
      </w:r>
      <w:r w:rsidR="00532912" w:rsidRPr="00216999">
        <w:rPr>
          <w:sz w:val="24"/>
          <w:szCs w:val="24"/>
        </w:rPr>
        <w:t>centrally</w:t>
      </w:r>
      <w:r w:rsidR="00532912">
        <w:rPr>
          <w:sz w:val="24"/>
          <w:szCs w:val="24"/>
        </w:rPr>
        <w:t>-</w:t>
      </w:r>
      <w:r w:rsidR="005D1167" w:rsidRPr="00216999">
        <w:rPr>
          <w:sz w:val="24"/>
          <w:szCs w:val="24"/>
        </w:rPr>
        <w:t>presented flanke</w:t>
      </w:r>
      <w:r w:rsidR="00670E07" w:rsidRPr="00216999">
        <w:rPr>
          <w:sz w:val="24"/>
          <w:szCs w:val="24"/>
        </w:rPr>
        <w:t>d</w:t>
      </w:r>
      <w:r w:rsidR="005D1167" w:rsidRPr="00216999">
        <w:rPr>
          <w:sz w:val="24"/>
          <w:szCs w:val="24"/>
        </w:rPr>
        <w:t xml:space="preserve"> stimuli </w:t>
      </w:r>
      <w:r w:rsidR="008114D7" w:rsidRPr="00216999">
        <w:rPr>
          <w:sz w:val="24"/>
          <w:szCs w:val="24"/>
        </w:rPr>
        <w:t xml:space="preserve">would be </w:t>
      </w:r>
      <w:r w:rsidR="00894239" w:rsidRPr="00216999">
        <w:rPr>
          <w:sz w:val="24"/>
          <w:szCs w:val="24"/>
        </w:rPr>
        <w:t xml:space="preserve">associated with </w:t>
      </w:r>
      <w:r w:rsidR="008176FF" w:rsidRPr="00216999">
        <w:rPr>
          <w:sz w:val="24"/>
          <w:szCs w:val="24"/>
        </w:rPr>
        <w:t xml:space="preserve">a deterioration </w:t>
      </w:r>
      <w:r w:rsidR="009D392B" w:rsidRPr="00216999">
        <w:rPr>
          <w:sz w:val="24"/>
          <w:szCs w:val="24"/>
        </w:rPr>
        <w:t>in reading ability</w:t>
      </w:r>
      <w:r w:rsidR="00894239" w:rsidRPr="00216999">
        <w:rPr>
          <w:sz w:val="24"/>
          <w:szCs w:val="24"/>
        </w:rPr>
        <w:t>.</w:t>
      </w:r>
      <w:r w:rsidR="009D392B" w:rsidRPr="00216999">
        <w:rPr>
          <w:sz w:val="24"/>
          <w:szCs w:val="24"/>
        </w:rPr>
        <w:t xml:space="preserve"> </w:t>
      </w:r>
      <w:r w:rsidR="00321505" w:rsidRPr="00216999">
        <w:rPr>
          <w:sz w:val="24"/>
          <w:szCs w:val="24"/>
        </w:rPr>
        <w:t xml:space="preserve">Both patients began to exhibit flanked letter identification deficits </w:t>
      </w:r>
      <w:r w:rsidR="00AC7778" w:rsidRPr="00216999">
        <w:rPr>
          <w:sz w:val="24"/>
          <w:szCs w:val="24"/>
        </w:rPr>
        <w:t xml:space="preserve">consistent with </w:t>
      </w:r>
      <w:r w:rsidR="00DC1A9C" w:rsidRPr="00216999">
        <w:rPr>
          <w:sz w:val="24"/>
          <w:szCs w:val="24"/>
        </w:rPr>
        <w:t xml:space="preserve">excessive </w:t>
      </w:r>
      <w:r w:rsidR="00AC7778" w:rsidRPr="00216999">
        <w:rPr>
          <w:sz w:val="24"/>
          <w:szCs w:val="24"/>
        </w:rPr>
        <w:t xml:space="preserve">crowding </w:t>
      </w:r>
      <w:r w:rsidR="00321505" w:rsidRPr="00216999">
        <w:rPr>
          <w:sz w:val="24"/>
          <w:szCs w:val="24"/>
        </w:rPr>
        <w:t>at follow-up</w:t>
      </w:r>
      <w:r w:rsidR="00AC7778" w:rsidRPr="00216999">
        <w:rPr>
          <w:sz w:val="24"/>
          <w:szCs w:val="24"/>
        </w:rPr>
        <w:t xml:space="preserve">; </w:t>
      </w:r>
      <w:r w:rsidR="00321505" w:rsidRPr="00216999">
        <w:rPr>
          <w:sz w:val="24"/>
          <w:szCs w:val="24"/>
        </w:rPr>
        <w:t xml:space="preserve">the relationship between these </w:t>
      </w:r>
      <w:r w:rsidR="00AC7778" w:rsidRPr="00216999">
        <w:rPr>
          <w:sz w:val="24"/>
          <w:szCs w:val="24"/>
        </w:rPr>
        <w:t>deficits</w:t>
      </w:r>
      <w:r w:rsidR="00321505" w:rsidRPr="00216999">
        <w:rPr>
          <w:sz w:val="24"/>
          <w:szCs w:val="24"/>
        </w:rPr>
        <w:t xml:space="preserve"> and reading is described below.</w:t>
      </w:r>
    </w:p>
    <w:p w:rsidR="00DB5008" w:rsidRPr="00216999" w:rsidRDefault="00DA5103" w:rsidP="006E1D01">
      <w:pPr>
        <w:pStyle w:val="ListParagraph"/>
        <w:numPr>
          <w:ilvl w:val="0"/>
          <w:numId w:val="4"/>
        </w:numPr>
        <w:rPr>
          <w:b/>
          <w:sz w:val="24"/>
          <w:szCs w:val="24"/>
          <w:u w:val="single"/>
        </w:rPr>
      </w:pPr>
      <w:r w:rsidRPr="00216999">
        <w:rPr>
          <w:b/>
          <w:sz w:val="24"/>
          <w:szCs w:val="24"/>
          <w:u w:val="single"/>
        </w:rPr>
        <w:t>Methods</w:t>
      </w:r>
    </w:p>
    <w:p w:rsidR="00DA5103" w:rsidRPr="00216999" w:rsidRDefault="00DA5103" w:rsidP="006E1D01">
      <w:pPr>
        <w:pStyle w:val="ListParagraph"/>
        <w:numPr>
          <w:ilvl w:val="1"/>
          <w:numId w:val="4"/>
        </w:numPr>
        <w:rPr>
          <w:i/>
          <w:sz w:val="24"/>
          <w:szCs w:val="24"/>
        </w:rPr>
      </w:pPr>
      <w:r w:rsidRPr="00216999">
        <w:rPr>
          <w:i/>
          <w:sz w:val="24"/>
          <w:szCs w:val="24"/>
        </w:rPr>
        <w:t>Participants</w:t>
      </w:r>
    </w:p>
    <w:p w:rsidR="00142632" w:rsidRPr="00216999" w:rsidRDefault="00DA5103">
      <w:pPr>
        <w:rPr>
          <w:sz w:val="24"/>
          <w:szCs w:val="24"/>
        </w:rPr>
      </w:pPr>
      <w:r w:rsidRPr="00216999">
        <w:rPr>
          <w:sz w:val="24"/>
          <w:szCs w:val="24"/>
        </w:rPr>
        <w:t xml:space="preserve">The study participants were the same two individuals with PCA as in </w:t>
      </w:r>
      <w:r w:rsidR="00477BAF" w:rsidRPr="00216999">
        <w:rPr>
          <w:sz w:val="24"/>
          <w:szCs w:val="24"/>
        </w:rPr>
        <w:t>Yong</w:t>
      </w:r>
      <w:r w:rsidRPr="00216999">
        <w:rPr>
          <w:sz w:val="24"/>
          <w:szCs w:val="24"/>
        </w:rPr>
        <w:t xml:space="preserve"> et al. </w:t>
      </w:r>
      <w:r w:rsidR="00477BAF" w:rsidRPr="00216999">
        <w:rPr>
          <w:sz w:val="24"/>
          <w:szCs w:val="24"/>
        </w:rPr>
        <w:t>(</w:t>
      </w:r>
      <w:r w:rsidRPr="00216999">
        <w:rPr>
          <w:sz w:val="24"/>
          <w:szCs w:val="24"/>
        </w:rPr>
        <w:t>2013</w:t>
      </w:r>
      <w:r w:rsidR="00477BAF" w:rsidRPr="00216999">
        <w:rPr>
          <w:sz w:val="24"/>
          <w:szCs w:val="24"/>
        </w:rPr>
        <w:t>)</w:t>
      </w:r>
      <w:r w:rsidR="00A81CB7" w:rsidRPr="00216999">
        <w:rPr>
          <w:sz w:val="24"/>
          <w:szCs w:val="24"/>
        </w:rPr>
        <w:t xml:space="preserve">; FOL, a right-handed retired NHS administrator, and CLA, a right-handed retired classics teacher. At first assessment, FOL and CLA were 58 and 86 years old respectively. </w:t>
      </w:r>
      <w:r w:rsidR="00F12984" w:rsidRPr="00216999">
        <w:rPr>
          <w:sz w:val="24"/>
          <w:szCs w:val="24"/>
        </w:rPr>
        <w:t xml:space="preserve"> Nine control participants were administered the same tasks as FOL and CLA. The controls were split into two groups for each patient, matched for age, gender and years of education (FOL controls [N=4]: mean age 58.4yrs [range 56-60], all female, mean education: 16 yrs; CLA controls [N=5]: mean 83.5yrs [range 81-84], all female, mean education: 14.8 yrs).</w:t>
      </w:r>
    </w:p>
    <w:p w:rsidR="00142632" w:rsidRPr="00216999" w:rsidRDefault="00142632" w:rsidP="00FB2838">
      <w:pPr>
        <w:pStyle w:val="ListParagraph"/>
        <w:numPr>
          <w:ilvl w:val="2"/>
          <w:numId w:val="4"/>
        </w:numPr>
        <w:rPr>
          <w:i/>
          <w:sz w:val="24"/>
          <w:szCs w:val="24"/>
        </w:rPr>
      </w:pPr>
      <w:r w:rsidRPr="00216999">
        <w:rPr>
          <w:i/>
          <w:sz w:val="24"/>
          <w:szCs w:val="24"/>
        </w:rPr>
        <w:t>Imaging</w:t>
      </w:r>
    </w:p>
    <w:p w:rsidR="00C173CA" w:rsidRPr="00216999" w:rsidRDefault="00EE7F0F" w:rsidP="00C173CA">
      <w:pPr>
        <w:rPr>
          <w:sz w:val="24"/>
          <w:szCs w:val="24"/>
        </w:rPr>
      </w:pPr>
      <w:r w:rsidRPr="00216999">
        <w:rPr>
          <w:sz w:val="24"/>
          <w:szCs w:val="24"/>
        </w:rPr>
        <w:t>Fluid-based non-rigid image registration (Freeborough &amp; Fox, 1998) was used to identify local volumetric changes in grey matter, white matter and cerebrospinal fluid between paired images from different time points</w:t>
      </w:r>
      <w:r w:rsidR="000C7ADA" w:rsidRPr="00216999">
        <w:rPr>
          <w:sz w:val="24"/>
          <w:szCs w:val="24"/>
        </w:rPr>
        <w:t xml:space="preserve"> (Baseline scans from FOL/CLA and follow-up scans at 25 and 24 months respectively)</w:t>
      </w:r>
      <w:r w:rsidRPr="00216999">
        <w:rPr>
          <w:sz w:val="24"/>
          <w:szCs w:val="24"/>
        </w:rPr>
        <w:t xml:space="preserve">. A viscous fluid model was used to calculate the warping or deformation needed to achieve correspondence of both images at the voxel level (Scahill et al., 2002). The Jacobian determinants of the deformation fields represent the location and extent of warping, and can be displayed as voxel-compression maps which show longitudinal expansion and contraction of local brain regions. The Medical information Display and Analysis System (MIDAS) was used to overlay voxel-compression maps on rigidly aligned MRI scans for visualisation. </w:t>
      </w:r>
      <w:r w:rsidR="00E017B3" w:rsidRPr="00216999">
        <w:rPr>
          <w:sz w:val="24"/>
          <w:szCs w:val="24"/>
        </w:rPr>
        <w:t>Non-linear registrations of follow-up scans to baseline scans were performed for both patients</w:t>
      </w:r>
      <w:r w:rsidRPr="00216999">
        <w:rPr>
          <w:sz w:val="24"/>
          <w:szCs w:val="24"/>
        </w:rPr>
        <w:t>;</w:t>
      </w:r>
      <w:r w:rsidR="0062787C" w:rsidRPr="00216999">
        <w:rPr>
          <w:sz w:val="24"/>
          <w:szCs w:val="24"/>
        </w:rPr>
        <w:t xml:space="preserve"> </w:t>
      </w:r>
      <w:r w:rsidR="00E017B3" w:rsidRPr="00216999">
        <w:rPr>
          <w:sz w:val="24"/>
          <w:szCs w:val="24"/>
        </w:rPr>
        <w:t xml:space="preserve">the </w:t>
      </w:r>
      <w:r w:rsidR="003E5D84" w:rsidRPr="00216999">
        <w:rPr>
          <w:sz w:val="24"/>
          <w:szCs w:val="24"/>
        </w:rPr>
        <w:t>resultant</w:t>
      </w:r>
      <w:r w:rsidR="00A77C92" w:rsidRPr="00216999">
        <w:rPr>
          <w:sz w:val="24"/>
          <w:szCs w:val="24"/>
        </w:rPr>
        <w:t xml:space="preserve"> voxel-compression maps (Freeborough &amp; Fox, 1998)</w:t>
      </w:r>
      <w:r w:rsidR="003E5D84" w:rsidRPr="00216999">
        <w:rPr>
          <w:sz w:val="24"/>
          <w:szCs w:val="24"/>
        </w:rPr>
        <w:t xml:space="preserve"> are shown in Figure 1</w:t>
      </w:r>
      <w:r w:rsidR="00A77C92" w:rsidRPr="00216999">
        <w:rPr>
          <w:sz w:val="24"/>
          <w:szCs w:val="24"/>
        </w:rPr>
        <w:t xml:space="preserve">.  </w:t>
      </w:r>
      <w:r w:rsidR="0072613D" w:rsidRPr="00216999">
        <w:rPr>
          <w:sz w:val="24"/>
          <w:szCs w:val="24"/>
        </w:rPr>
        <w:t>The white arrow indicates the mean activation peak of the visual word form area (x=-44, y=-58, z=-15) constituted from 17 functional imaging studies (Jobard et al., 2003).</w:t>
      </w:r>
    </w:p>
    <w:p w:rsidR="00C173CA" w:rsidRPr="00216999" w:rsidRDefault="00C173CA" w:rsidP="00C173CA">
      <w:pPr>
        <w:rPr>
          <w:sz w:val="24"/>
          <w:szCs w:val="24"/>
        </w:rPr>
      </w:pPr>
      <w:r w:rsidRPr="00216999">
        <w:rPr>
          <w:sz w:val="24"/>
          <w:szCs w:val="24"/>
        </w:rPr>
        <w:t xml:space="preserve">FOL: Maps </w:t>
      </w:r>
      <w:r w:rsidR="00AC7778" w:rsidRPr="00216999">
        <w:rPr>
          <w:sz w:val="24"/>
          <w:szCs w:val="24"/>
        </w:rPr>
        <w:t xml:space="preserve">indicate </w:t>
      </w:r>
      <w:r w:rsidRPr="00216999">
        <w:rPr>
          <w:sz w:val="24"/>
          <w:szCs w:val="24"/>
        </w:rPr>
        <w:t xml:space="preserve">relative sparing of left posterior fusiform (iii) and more extensive involvement of the right than the left occipital lobe. </w:t>
      </w:r>
    </w:p>
    <w:p w:rsidR="00C173CA" w:rsidRPr="00216999" w:rsidRDefault="00C173CA" w:rsidP="00C173CA">
      <w:pPr>
        <w:rPr>
          <w:sz w:val="24"/>
          <w:szCs w:val="24"/>
        </w:rPr>
      </w:pPr>
      <w:r w:rsidRPr="00216999">
        <w:rPr>
          <w:sz w:val="24"/>
          <w:szCs w:val="24"/>
        </w:rPr>
        <w:t>CLA: While maps indicate diffuse atrophy, with extensive involvement of the occipital lobe, they also indicate the relative preservation of the left relative to the right inferior temporal lobe (iii).</w:t>
      </w:r>
    </w:p>
    <w:p w:rsidR="00FB2838" w:rsidRPr="00216999" w:rsidRDefault="00FB2838" w:rsidP="00FB2838">
      <w:pPr>
        <w:pStyle w:val="ListParagraph"/>
        <w:numPr>
          <w:ilvl w:val="2"/>
          <w:numId w:val="4"/>
        </w:numPr>
        <w:rPr>
          <w:sz w:val="24"/>
          <w:szCs w:val="24"/>
        </w:rPr>
      </w:pPr>
      <w:r w:rsidRPr="00216999">
        <w:rPr>
          <w:sz w:val="24"/>
          <w:szCs w:val="24"/>
        </w:rPr>
        <w:t>Background Neuropsychology</w:t>
      </w:r>
    </w:p>
    <w:p w:rsidR="00FB2838" w:rsidRPr="00216999" w:rsidRDefault="00FB2838" w:rsidP="00FB2838">
      <w:pPr>
        <w:rPr>
          <w:sz w:val="24"/>
          <w:szCs w:val="24"/>
        </w:rPr>
      </w:pPr>
      <w:r w:rsidRPr="00216999">
        <w:rPr>
          <w:sz w:val="24"/>
          <w:szCs w:val="24"/>
        </w:rPr>
        <w:t>FOL and CLA completed a battery of tests including a background neuropsychological assessment of memory, language, spelling and arithmetic and an assessment of early visual, visuoperceptual and visuospatial processing (see section 2.4.2: Visual assessment). Scores on each test are shown in Table 1. FOL was assessed 13 and 25 months after her initial visit, while CLA was assessed 17 months after her initial visit. CLA was due for a follow-up assessment at 31 months after her initial visit but was no longer suitable for testing due to a sharp deterioration in her condition, she did, however, complete the reading and crowding assessments at 27 months after her initial visit (see section 2.4: Experimental Procedures).</w:t>
      </w:r>
    </w:p>
    <w:p w:rsidR="00FB2838" w:rsidRPr="00216999" w:rsidRDefault="00FB2838" w:rsidP="00C173CA">
      <w:pPr>
        <w:rPr>
          <w:sz w:val="24"/>
          <w:szCs w:val="24"/>
        </w:rPr>
      </w:pPr>
      <w:r w:rsidRPr="00216999">
        <w:rPr>
          <w:sz w:val="24"/>
          <w:szCs w:val="24"/>
        </w:rPr>
        <w:t xml:space="preserve">Across visits, FOL consistently demonstrated good performance on the concrete synonyms and spelling tasks. CLA also performed well on concrete synonym and spelling tasks for visits where background neuropsychological tests were administered (see Table 1). </w:t>
      </w:r>
    </w:p>
    <w:p w:rsidR="003C144D" w:rsidRPr="00216999" w:rsidRDefault="003C144D" w:rsidP="00FB2838">
      <w:pPr>
        <w:pStyle w:val="ListParagraph"/>
        <w:numPr>
          <w:ilvl w:val="1"/>
          <w:numId w:val="4"/>
        </w:numPr>
        <w:rPr>
          <w:i/>
          <w:sz w:val="24"/>
          <w:szCs w:val="24"/>
        </w:rPr>
      </w:pPr>
      <w:r w:rsidRPr="00216999">
        <w:rPr>
          <w:i/>
          <w:sz w:val="24"/>
          <w:szCs w:val="24"/>
        </w:rPr>
        <w:t>Experimental Procedures</w:t>
      </w:r>
    </w:p>
    <w:p w:rsidR="003E7E0C" w:rsidRPr="00216999" w:rsidRDefault="00A86750" w:rsidP="0017363D">
      <w:pPr>
        <w:rPr>
          <w:sz w:val="24"/>
          <w:szCs w:val="24"/>
        </w:rPr>
      </w:pPr>
      <w:r w:rsidRPr="00216999">
        <w:rPr>
          <w:sz w:val="24"/>
          <w:szCs w:val="24"/>
        </w:rPr>
        <w:t xml:space="preserve">Subsequent to the initial baseline </w:t>
      </w:r>
      <w:r w:rsidR="00347A0F" w:rsidRPr="00216999">
        <w:rPr>
          <w:sz w:val="24"/>
          <w:szCs w:val="24"/>
        </w:rPr>
        <w:t>assessment</w:t>
      </w:r>
      <w:r w:rsidRPr="00216999">
        <w:rPr>
          <w:sz w:val="24"/>
          <w:szCs w:val="24"/>
        </w:rPr>
        <w:t xml:space="preserve"> </w:t>
      </w:r>
      <w:r w:rsidR="00EF2D8F" w:rsidRPr="00216999">
        <w:rPr>
          <w:sz w:val="24"/>
          <w:szCs w:val="24"/>
        </w:rPr>
        <w:t xml:space="preserve">reported </w:t>
      </w:r>
      <w:r w:rsidRPr="00216999">
        <w:rPr>
          <w:sz w:val="24"/>
          <w:szCs w:val="24"/>
        </w:rPr>
        <w:t xml:space="preserve">in </w:t>
      </w:r>
      <w:r w:rsidR="00477BAF" w:rsidRPr="00216999">
        <w:rPr>
          <w:sz w:val="24"/>
          <w:szCs w:val="24"/>
        </w:rPr>
        <w:t>Yong et al. (2013)</w:t>
      </w:r>
      <w:r w:rsidRPr="00216999">
        <w:rPr>
          <w:sz w:val="24"/>
          <w:szCs w:val="24"/>
        </w:rPr>
        <w:t xml:space="preserve">, </w:t>
      </w:r>
      <w:r w:rsidR="00F27AA4" w:rsidRPr="00216999">
        <w:rPr>
          <w:sz w:val="24"/>
          <w:szCs w:val="24"/>
        </w:rPr>
        <w:t xml:space="preserve">the patients each completed </w:t>
      </w:r>
      <w:r w:rsidR="004076D1" w:rsidRPr="00216999">
        <w:rPr>
          <w:sz w:val="24"/>
          <w:szCs w:val="24"/>
        </w:rPr>
        <w:t xml:space="preserve">two </w:t>
      </w:r>
      <w:r w:rsidR="004B4396" w:rsidRPr="00216999">
        <w:rPr>
          <w:sz w:val="24"/>
          <w:szCs w:val="24"/>
        </w:rPr>
        <w:t>follow</w:t>
      </w:r>
      <w:r w:rsidR="00E91F2B" w:rsidRPr="00216999">
        <w:rPr>
          <w:sz w:val="24"/>
          <w:szCs w:val="24"/>
        </w:rPr>
        <w:t>-</w:t>
      </w:r>
      <w:r w:rsidR="004B4396" w:rsidRPr="00216999">
        <w:rPr>
          <w:sz w:val="24"/>
          <w:szCs w:val="24"/>
        </w:rPr>
        <w:t xml:space="preserve">up </w:t>
      </w:r>
      <w:r w:rsidR="00347A0F" w:rsidRPr="00216999">
        <w:rPr>
          <w:sz w:val="24"/>
          <w:szCs w:val="24"/>
        </w:rPr>
        <w:t>assessments</w:t>
      </w:r>
      <w:r w:rsidR="00700E35" w:rsidRPr="00216999">
        <w:rPr>
          <w:sz w:val="24"/>
          <w:szCs w:val="24"/>
        </w:rPr>
        <w:t xml:space="preserve"> (first follow-up [FU1] and second follow-up [FU2])</w:t>
      </w:r>
      <w:r w:rsidR="001C6017" w:rsidRPr="00216999">
        <w:rPr>
          <w:sz w:val="24"/>
          <w:szCs w:val="24"/>
        </w:rPr>
        <w:t xml:space="preserve">, </w:t>
      </w:r>
      <w:r w:rsidR="00F27AA4" w:rsidRPr="00216999">
        <w:rPr>
          <w:sz w:val="24"/>
          <w:szCs w:val="24"/>
        </w:rPr>
        <w:t xml:space="preserve">yielding </w:t>
      </w:r>
      <w:r w:rsidR="001C6017" w:rsidRPr="00216999">
        <w:rPr>
          <w:sz w:val="24"/>
          <w:szCs w:val="24"/>
        </w:rPr>
        <w:t xml:space="preserve">a total of three </w:t>
      </w:r>
      <w:r w:rsidR="008A59F6" w:rsidRPr="00216999">
        <w:rPr>
          <w:sz w:val="24"/>
          <w:szCs w:val="24"/>
        </w:rPr>
        <w:t>assessments each. FOL was assessed 16 and 25 months after her initial visit, while CLA was assessed 18 and 27 months after her initial visit. Control participants only completed the baseline assessment.</w:t>
      </w:r>
    </w:p>
    <w:p w:rsidR="0017363D" w:rsidRPr="00216999" w:rsidRDefault="008A59F6" w:rsidP="0017363D">
      <w:pPr>
        <w:rPr>
          <w:sz w:val="24"/>
          <w:szCs w:val="24"/>
        </w:rPr>
      </w:pPr>
      <w:r w:rsidRPr="00216999">
        <w:rPr>
          <w:noProof/>
          <w:sz w:val="24"/>
          <w:szCs w:val="24"/>
          <w:lang w:eastAsia="en-GB"/>
        </w:rPr>
        <w:drawing>
          <wp:anchor distT="0" distB="0" distL="114300" distR="114300" simplePos="0" relativeHeight="251658752" behindDoc="1" locked="0" layoutInCell="1" allowOverlap="1" wp14:anchorId="2212C70A" wp14:editId="456A914A">
            <wp:simplePos x="0" y="0"/>
            <wp:positionH relativeFrom="column">
              <wp:posOffset>-457200</wp:posOffset>
            </wp:positionH>
            <wp:positionV relativeFrom="paragraph">
              <wp:posOffset>-4133</wp:posOffset>
            </wp:positionV>
            <wp:extent cx="7570470" cy="8787130"/>
            <wp:effectExtent l="0" t="0" r="0" b="0"/>
            <wp:wrapTight wrapText="bothSides">
              <wp:wrapPolygon edited="0">
                <wp:start x="0" y="0"/>
                <wp:lineTo x="0" y="21541"/>
                <wp:lineTo x="21524" y="21541"/>
                <wp:lineTo x="215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20"/>
                    <a:stretch/>
                  </pic:blipFill>
                  <pic:spPr bwMode="auto">
                    <a:xfrm>
                      <a:off x="0" y="0"/>
                      <a:ext cx="7570470" cy="8787130"/>
                    </a:xfrm>
                    <a:prstGeom prst="rect">
                      <a:avLst/>
                    </a:prstGeom>
                    <a:noFill/>
                    <a:ln>
                      <a:noFill/>
                    </a:ln>
                    <a:extLst>
                      <a:ext uri="{53640926-AAD7-44D8-BBD7-CCE9431645EC}">
                        <a14:shadowObscured xmlns:a14="http://schemas.microsoft.com/office/drawing/2010/main"/>
                      </a:ext>
                    </a:extLst>
                  </pic:spPr>
                </pic:pic>
              </a:graphicData>
            </a:graphic>
          </wp:anchor>
        </w:drawing>
      </w:r>
      <w:r w:rsidR="0017363D" w:rsidRPr="00216999">
        <w:rPr>
          <w:sz w:val="24"/>
          <w:szCs w:val="24"/>
        </w:rPr>
        <w:t>Figure 1. MRI sections and voxel-compression maps for FOL and CLA. (i) Coronal (ii) axial and (iii) left and (iv) right sagittal MRI sections for FOL and CLA at baseline and colour coded voxel-compression maps produced from subsequent scans (FOL: 25 months; CLA: 24 months), fluid-registered to baseline scans.  A region within the boundaries of the VWFA as constituted by a functional imaging meta-analysis (Jobard et al., 2003) is indicated by the white arrows.</w:t>
      </w:r>
    </w:p>
    <w:p w:rsidR="00D56521" w:rsidRPr="00216999" w:rsidRDefault="00D56521" w:rsidP="007E7323">
      <w:pPr>
        <w:rPr>
          <w:sz w:val="24"/>
          <w:szCs w:val="24"/>
        </w:rPr>
      </w:pPr>
    </w:p>
    <w:p w:rsidR="00D56521" w:rsidRPr="00216999" w:rsidRDefault="00D56521" w:rsidP="00FB2838">
      <w:pPr>
        <w:pStyle w:val="ListParagraph"/>
        <w:numPr>
          <w:ilvl w:val="2"/>
          <w:numId w:val="4"/>
        </w:numPr>
        <w:rPr>
          <w:b/>
          <w:sz w:val="24"/>
          <w:szCs w:val="24"/>
        </w:rPr>
      </w:pPr>
      <w:r w:rsidRPr="00216999">
        <w:rPr>
          <w:b/>
          <w:sz w:val="24"/>
          <w:szCs w:val="24"/>
        </w:rPr>
        <w:t>Visual assessment</w:t>
      </w:r>
    </w:p>
    <w:p w:rsidR="00D56521" w:rsidRPr="00216999" w:rsidRDefault="00D56521" w:rsidP="00D56521">
      <w:pPr>
        <w:rPr>
          <w:sz w:val="24"/>
          <w:szCs w:val="24"/>
        </w:rPr>
      </w:pPr>
      <w:r w:rsidRPr="00216999">
        <w:rPr>
          <w:sz w:val="24"/>
          <w:szCs w:val="24"/>
        </w:rPr>
        <w:t xml:space="preserve">Tests of early visual, visuoperceptual and visuospatial processing </w:t>
      </w:r>
      <w:r w:rsidR="00B13D49" w:rsidRPr="00216999">
        <w:rPr>
          <w:sz w:val="24"/>
          <w:szCs w:val="24"/>
        </w:rPr>
        <w:t xml:space="preserve">that </w:t>
      </w:r>
      <w:r w:rsidRPr="00216999">
        <w:rPr>
          <w:sz w:val="24"/>
          <w:szCs w:val="24"/>
        </w:rPr>
        <w:t xml:space="preserve">were administered at </w:t>
      </w:r>
      <w:r w:rsidR="00774C95" w:rsidRPr="00216999">
        <w:rPr>
          <w:sz w:val="24"/>
          <w:szCs w:val="24"/>
        </w:rPr>
        <w:t xml:space="preserve">the </w:t>
      </w:r>
      <w:r w:rsidR="003611D9" w:rsidRPr="00216999">
        <w:rPr>
          <w:sz w:val="24"/>
          <w:szCs w:val="24"/>
        </w:rPr>
        <w:t>baseline</w:t>
      </w:r>
      <w:r w:rsidR="00774C95" w:rsidRPr="00216999">
        <w:rPr>
          <w:sz w:val="24"/>
          <w:szCs w:val="24"/>
        </w:rPr>
        <w:t xml:space="preserve"> assessment</w:t>
      </w:r>
      <w:r w:rsidRPr="00216999">
        <w:rPr>
          <w:sz w:val="24"/>
          <w:szCs w:val="24"/>
        </w:rPr>
        <w:t xml:space="preserve"> </w:t>
      </w:r>
      <w:r w:rsidR="00B13D49" w:rsidRPr="00216999">
        <w:rPr>
          <w:sz w:val="24"/>
          <w:szCs w:val="24"/>
        </w:rPr>
        <w:t xml:space="preserve">were repeated at </w:t>
      </w:r>
      <w:r w:rsidR="00774C95" w:rsidRPr="00216999">
        <w:rPr>
          <w:sz w:val="24"/>
          <w:szCs w:val="24"/>
        </w:rPr>
        <w:t>follow-</w:t>
      </w:r>
      <w:r w:rsidR="00B13D49" w:rsidRPr="00216999">
        <w:rPr>
          <w:sz w:val="24"/>
          <w:szCs w:val="24"/>
        </w:rPr>
        <w:t>up assessments</w:t>
      </w:r>
      <w:r w:rsidR="003611D9" w:rsidRPr="00216999">
        <w:rPr>
          <w:sz w:val="24"/>
          <w:szCs w:val="24"/>
        </w:rPr>
        <w:t xml:space="preserve"> (see Table 1)</w:t>
      </w:r>
      <w:r w:rsidRPr="00216999">
        <w:rPr>
          <w:sz w:val="24"/>
          <w:szCs w:val="24"/>
        </w:rPr>
        <w:t xml:space="preserve">. </w:t>
      </w:r>
      <w:r w:rsidR="00453C3F">
        <w:rPr>
          <w:sz w:val="24"/>
          <w:szCs w:val="24"/>
        </w:rPr>
        <w:t>Tests were administered at a distance of 30cm.</w:t>
      </w:r>
    </w:p>
    <w:p w:rsidR="00D56521" w:rsidRPr="00216999" w:rsidRDefault="00D56521" w:rsidP="00D56521">
      <w:pPr>
        <w:rPr>
          <w:i/>
          <w:sz w:val="24"/>
          <w:szCs w:val="24"/>
        </w:rPr>
      </w:pPr>
      <w:r w:rsidRPr="00216999">
        <w:rPr>
          <w:i/>
          <w:sz w:val="24"/>
          <w:szCs w:val="24"/>
        </w:rPr>
        <w:t>Early visual processing</w:t>
      </w:r>
    </w:p>
    <w:p w:rsidR="00D56521" w:rsidRPr="00216999" w:rsidRDefault="00D56521" w:rsidP="00D56521">
      <w:pPr>
        <w:rPr>
          <w:sz w:val="24"/>
          <w:szCs w:val="24"/>
        </w:rPr>
      </w:pPr>
      <w:r w:rsidRPr="00216999">
        <w:rPr>
          <w:sz w:val="24"/>
          <w:szCs w:val="24"/>
        </w:rPr>
        <w:t>(i)</w:t>
      </w:r>
      <w:r w:rsidRPr="00216999">
        <w:rPr>
          <w:sz w:val="24"/>
          <w:szCs w:val="24"/>
        </w:rPr>
        <w:tab/>
        <w:t>Visual acuity test from the Cortical Visual Screening Test (CORVIST; James et al., 2001): task required discrimination of squares, circles and triangles at decreasing stimulus sizes corresponding to Snellen form acuity levels.</w:t>
      </w:r>
    </w:p>
    <w:p w:rsidR="00D56521" w:rsidRPr="00216999" w:rsidRDefault="00D56521" w:rsidP="00D56521">
      <w:pPr>
        <w:rPr>
          <w:sz w:val="24"/>
          <w:szCs w:val="24"/>
        </w:rPr>
      </w:pPr>
      <w:r w:rsidRPr="00216999">
        <w:rPr>
          <w:sz w:val="24"/>
          <w:szCs w:val="24"/>
        </w:rPr>
        <w:t>(ii)</w:t>
      </w:r>
      <w:r w:rsidRPr="00216999">
        <w:rPr>
          <w:sz w:val="24"/>
          <w:szCs w:val="24"/>
        </w:rPr>
        <w:tab/>
        <w:t>Shape detection test from the Visual Object and Shape Perception battery (VOSP; Warrington and James, 1991): Figure-ground discrimination task involving random black pattern stimuli (N=20), half with a degraded ‘X’ superimposed. Patients were requested to state whether an “X” was present.</w:t>
      </w:r>
    </w:p>
    <w:p w:rsidR="00D56521" w:rsidRPr="00216999" w:rsidRDefault="00D56521" w:rsidP="007E7323">
      <w:pPr>
        <w:rPr>
          <w:sz w:val="24"/>
          <w:szCs w:val="24"/>
        </w:rPr>
      </w:pPr>
      <w:r w:rsidRPr="00216999">
        <w:rPr>
          <w:sz w:val="24"/>
          <w:szCs w:val="24"/>
        </w:rPr>
        <w:t>(iii)</w:t>
      </w:r>
      <w:r w:rsidRPr="00216999">
        <w:rPr>
          <w:sz w:val="24"/>
          <w:szCs w:val="24"/>
        </w:rPr>
        <w:tab/>
        <w:t>Shape discrimination: The stimuli (N = 60) for this boundary detection task, adapted from Efron (1968), were a square (50 x 50 mm) or an oblong matched for total flux. There were 3 levels of difficulty: oblong edge ratio 1:1.63 (Level I), 1:1.37 (Level II), and 1:1.20 (Level III). The task was to discriminate whether each shape presented was a square or an oblong.</w:t>
      </w:r>
    </w:p>
    <w:p w:rsidR="007E7323" w:rsidRPr="00216999" w:rsidRDefault="007E7323" w:rsidP="007E7323">
      <w:pPr>
        <w:rPr>
          <w:sz w:val="24"/>
          <w:szCs w:val="24"/>
        </w:rPr>
      </w:pPr>
      <w:r w:rsidRPr="00216999">
        <w:rPr>
          <w:sz w:val="24"/>
          <w:szCs w:val="24"/>
        </w:rPr>
        <w:t>(iv)</w:t>
      </w:r>
      <w:r w:rsidRPr="00216999">
        <w:rPr>
          <w:sz w:val="24"/>
          <w:szCs w:val="24"/>
        </w:rPr>
        <w:tab/>
        <w:t>Hue discrimination (from the CORVIST): The stimuli (N=4) comprised 9 colour patches, 8 of the same hue but varying luminance and one target colour patch of a different hue.</w:t>
      </w:r>
      <w:r w:rsidR="00E67868">
        <w:rPr>
          <w:sz w:val="24"/>
          <w:szCs w:val="24"/>
        </w:rPr>
        <w:t xml:space="preserve"> The task was to identify which patch was of a different hue.</w:t>
      </w:r>
    </w:p>
    <w:p w:rsidR="007E7323" w:rsidRPr="00216999" w:rsidRDefault="007E7323" w:rsidP="007E7323">
      <w:pPr>
        <w:rPr>
          <w:i/>
          <w:sz w:val="24"/>
          <w:szCs w:val="24"/>
        </w:rPr>
      </w:pPr>
      <w:r w:rsidRPr="00216999">
        <w:rPr>
          <w:i/>
          <w:sz w:val="24"/>
          <w:szCs w:val="24"/>
        </w:rPr>
        <w:t>Visuoperceptual processing</w:t>
      </w:r>
    </w:p>
    <w:p w:rsidR="007E7323" w:rsidRPr="00216999" w:rsidRDefault="007E7323" w:rsidP="007E7323">
      <w:pPr>
        <w:rPr>
          <w:sz w:val="24"/>
          <w:szCs w:val="24"/>
        </w:rPr>
      </w:pPr>
      <w:r w:rsidRPr="00216999">
        <w:rPr>
          <w:sz w:val="24"/>
          <w:szCs w:val="24"/>
        </w:rPr>
        <w:t>(i)</w:t>
      </w:r>
      <w:r w:rsidRPr="00216999">
        <w:rPr>
          <w:sz w:val="24"/>
          <w:szCs w:val="24"/>
        </w:rPr>
        <w:tab/>
        <w:t xml:space="preserve">Object Decision (from the VOSP): Stimuli (N=20) comprise 4 silhouette images, one of a real object (target) plus 3 non-object distractors. </w:t>
      </w:r>
    </w:p>
    <w:p w:rsidR="007E7323" w:rsidRPr="00216999" w:rsidRDefault="007E7323" w:rsidP="007E7323">
      <w:pPr>
        <w:rPr>
          <w:sz w:val="24"/>
          <w:szCs w:val="24"/>
        </w:rPr>
      </w:pPr>
      <w:r w:rsidRPr="00216999">
        <w:rPr>
          <w:sz w:val="24"/>
          <w:szCs w:val="24"/>
        </w:rPr>
        <w:t>(ii)</w:t>
      </w:r>
      <w:r w:rsidRPr="00216999">
        <w:rPr>
          <w:sz w:val="24"/>
          <w:szCs w:val="24"/>
        </w:rPr>
        <w:tab/>
        <w:t xml:space="preserve">Fragmented Letters (from the VOSP): Participants were asked to identify visually degraded letters (N=20). </w:t>
      </w:r>
    </w:p>
    <w:p w:rsidR="007E7323" w:rsidRPr="00216999" w:rsidRDefault="007E7323" w:rsidP="007E7323">
      <w:pPr>
        <w:rPr>
          <w:sz w:val="24"/>
          <w:szCs w:val="24"/>
        </w:rPr>
      </w:pPr>
      <w:r w:rsidRPr="00216999">
        <w:rPr>
          <w:sz w:val="24"/>
          <w:szCs w:val="24"/>
        </w:rPr>
        <w:t>(iii)</w:t>
      </w:r>
      <w:r w:rsidRPr="00216999">
        <w:rPr>
          <w:sz w:val="24"/>
          <w:szCs w:val="24"/>
        </w:rPr>
        <w:tab/>
        <w:t xml:space="preserve">Unusual and usual views (Warrington and James, 1988): Participants </w:t>
      </w:r>
      <w:r w:rsidR="00C200CB">
        <w:rPr>
          <w:sz w:val="24"/>
          <w:szCs w:val="24"/>
        </w:rPr>
        <w:t>were</w:t>
      </w:r>
      <w:r w:rsidR="00C200CB" w:rsidRPr="00216999">
        <w:rPr>
          <w:sz w:val="24"/>
          <w:szCs w:val="24"/>
        </w:rPr>
        <w:t xml:space="preserve"> </w:t>
      </w:r>
      <w:r w:rsidRPr="00216999">
        <w:rPr>
          <w:sz w:val="24"/>
          <w:szCs w:val="24"/>
        </w:rPr>
        <w:t xml:space="preserve">asked to identify with photographs of real objects (N=20) pictured from an ‘unusual’, non-canonical perspective. Items not identified from the non-canonical perspective are subsequently re-presented photographed from a more ‘usual’, canonical perspective. </w:t>
      </w:r>
    </w:p>
    <w:p w:rsidR="007E7323" w:rsidRPr="00216999" w:rsidRDefault="007E7323" w:rsidP="007E7323">
      <w:pPr>
        <w:rPr>
          <w:i/>
          <w:sz w:val="24"/>
          <w:szCs w:val="24"/>
        </w:rPr>
      </w:pPr>
      <w:r w:rsidRPr="00216999">
        <w:rPr>
          <w:i/>
          <w:sz w:val="24"/>
          <w:szCs w:val="24"/>
        </w:rPr>
        <w:t>Visuospatial processing</w:t>
      </w:r>
    </w:p>
    <w:p w:rsidR="007E7323" w:rsidRPr="00216999" w:rsidRDefault="007E7323" w:rsidP="007E7323">
      <w:pPr>
        <w:rPr>
          <w:sz w:val="24"/>
          <w:szCs w:val="24"/>
        </w:rPr>
      </w:pPr>
      <w:r w:rsidRPr="00216999">
        <w:rPr>
          <w:sz w:val="24"/>
          <w:szCs w:val="24"/>
        </w:rPr>
        <w:t>(i)</w:t>
      </w:r>
      <w:r w:rsidRPr="00216999">
        <w:rPr>
          <w:sz w:val="24"/>
          <w:szCs w:val="24"/>
        </w:rPr>
        <w:tab/>
        <w:t xml:space="preserve">Number location (from the VOSP): Stimuli (N=10) consist of two squares, the upper square filled with Arabic numerals in different positions, and the lower square with a single black dot. Participants </w:t>
      </w:r>
      <w:r w:rsidR="00C200CB">
        <w:rPr>
          <w:sz w:val="24"/>
          <w:szCs w:val="24"/>
        </w:rPr>
        <w:t>were</w:t>
      </w:r>
      <w:r w:rsidR="00C200CB" w:rsidRPr="00216999">
        <w:rPr>
          <w:sz w:val="24"/>
          <w:szCs w:val="24"/>
        </w:rPr>
        <w:t xml:space="preserve"> </w:t>
      </w:r>
      <w:r w:rsidRPr="00216999">
        <w:rPr>
          <w:sz w:val="24"/>
          <w:szCs w:val="24"/>
        </w:rPr>
        <w:t xml:space="preserve">requested to identify the Arabic numeral whose spatial position corresponds to that of the target dot. </w:t>
      </w:r>
    </w:p>
    <w:p w:rsidR="007E7323" w:rsidRPr="00216999" w:rsidRDefault="007E7323" w:rsidP="007E7323">
      <w:pPr>
        <w:rPr>
          <w:sz w:val="24"/>
          <w:szCs w:val="24"/>
        </w:rPr>
      </w:pPr>
      <w:r w:rsidRPr="00216999">
        <w:rPr>
          <w:sz w:val="24"/>
          <w:szCs w:val="24"/>
        </w:rPr>
        <w:t>(ii)</w:t>
      </w:r>
      <w:r w:rsidRPr="00216999">
        <w:rPr>
          <w:sz w:val="24"/>
          <w:szCs w:val="24"/>
        </w:rPr>
        <w:tab/>
        <w:t>Dot counting (from the VOSP): Stimuli (N=10) are arrays of 5-9 black dots on white background.</w:t>
      </w:r>
      <w:r w:rsidR="00E67868">
        <w:rPr>
          <w:sz w:val="24"/>
          <w:szCs w:val="24"/>
        </w:rPr>
        <w:t xml:space="preserve"> Participants </w:t>
      </w:r>
      <w:r w:rsidR="00C200CB">
        <w:rPr>
          <w:sz w:val="24"/>
          <w:szCs w:val="24"/>
        </w:rPr>
        <w:t>were</w:t>
      </w:r>
      <w:r w:rsidR="00E67868">
        <w:rPr>
          <w:sz w:val="24"/>
          <w:szCs w:val="24"/>
        </w:rPr>
        <w:t xml:space="preserve"> asked to identify the number of dots without pointing.</w:t>
      </w:r>
    </w:p>
    <w:p w:rsidR="007E7323" w:rsidRPr="00216999" w:rsidRDefault="007E7323" w:rsidP="007E7323">
      <w:pPr>
        <w:rPr>
          <w:sz w:val="24"/>
          <w:szCs w:val="24"/>
        </w:rPr>
      </w:pPr>
      <w:r w:rsidRPr="00216999">
        <w:rPr>
          <w:sz w:val="24"/>
          <w:szCs w:val="24"/>
        </w:rPr>
        <w:t>(iii)</w:t>
      </w:r>
      <w:r w:rsidRPr="00216999">
        <w:rPr>
          <w:sz w:val="24"/>
          <w:szCs w:val="24"/>
        </w:rPr>
        <w:tab/>
        <w:t xml:space="preserve">A Cancellation (Willison and Warrington, 1992): Participants </w:t>
      </w:r>
      <w:r w:rsidR="00C200CB">
        <w:rPr>
          <w:sz w:val="24"/>
          <w:szCs w:val="24"/>
        </w:rPr>
        <w:t>were</w:t>
      </w:r>
      <w:r w:rsidR="00C200CB" w:rsidRPr="00216999">
        <w:rPr>
          <w:sz w:val="24"/>
          <w:szCs w:val="24"/>
        </w:rPr>
        <w:t xml:space="preserve"> </w:t>
      </w:r>
      <w:r w:rsidRPr="00216999">
        <w:rPr>
          <w:sz w:val="24"/>
          <w:szCs w:val="24"/>
        </w:rPr>
        <w:t>requested to mark as quickly as possible with a pencil the location of 19 targets (letter As) presented among distractors (letters B-E) in a grid on an A4 sheet.</w:t>
      </w:r>
    </w:p>
    <w:p w:rsidR="00C03311" w:rsidRPr="00216999" w:rsidRDefault="00C03311" w:rsidP="00FB2838">
      <w:pPr>
        <w:pStyle w:val="ListParagraph"/>
        <w:numPr>
          <w:ilvl w:val="2"/>
          <w:numId w:val="4"/>
        </w:numPr>
        <w:rPr>
          <w:b/>
          <w:sz w:val="24"/>
          <w:szCs w:val="24"/>
        </w:rPr>
      </w:pPr>
      <w:r w:rsidRPr="00216999">
        <w:rPr>
          <w:b/>
          <w:sz w:val="24"/>
          <w:szCs w:val="24"/>
        </w:rPr>
        <w:t>Crowding assessment</w:t>
      </w:r>
    </w:p>
    <w:p w:rsidR="00C03311" w:rsidRPr="00216999" w:rsidRDefault="00AB6F45" w:rsidP="00C03311">
      <w:pPr>
        <w:rPr>
          <w:sz w:val="24"/>
          <w:szCs w:val="24"/>
        </w:rPr>
      </w:pPr>
      <w:r w:rsidRPr="00216999">
        <w:rPr>
          <w:sz w:val="24"/>
          <w:szCs w:val="24"/>
        </w:rPr>
        <w:t xml:space="preserve">FOL and CLA were requested to name </w:t>
      </w:r>
      <w:r w:rsidR="007E7323" w:rsidRPr="00216999">
        <w:rPr>
          <w:sz w:val="24"/>
          <w:szCs w:val="24"/>
        </w:rPr>
        <w:t xml:space="preserve">aloud </w:t>
      </w:r>
      <w:r w:rsidRPr="00216999">
        <w:rPr>
          <w:sz w:val="24"/>
          <w:szCs w:val="24"/>
        </w:rPr>
        <w:t xml:space="preserve">the same </w:t>
      </w:r>
      <w:r w:rsidR="007E7323" w:rsidRPr="00216999">
        <w:rPr>
          <w:sz w:val="24"/>
          <w:szCs w:val="24"/>
        </w:rPr>
        <w:t xml:space="preserve">upper-case </w:t>
      </w:r>
      <w:r w:rsidRPr="00216999">
        <w:rPr>
          <w:sz w:val="24"/>
          <w:szCs w:val="24"/>
        </w:rPr>
        <w:t xml:space="preserve">letters </w:t>
      </w:r>
      <w:r w:rsidR="007E7323" w:rsidRPr="00216999">
        <w:rPr>
          <w:sz w:val="24"/>
          <w:szCs w:val="24"/>
        </w:rPr>
        <w:t xml:space="preserve">(excluding I, J, O, Q, W and X) </w:t>
      </w:r>
      <w:r w:rsidRPr="00216999">
        <w:rPr>
          <w:sz w:val="24"/>
          <w:szCs w:val="24"/>
        </w:rPr>
        <w:t xml:space="preserve">as administered </w:t>
      </w:r>
      <w:r w:rsidR="003611D9" w:rsidRPr="00216999">
        <w:rPr>
          <w:sz w:val="24"/>
          <w:szCs w:val="24"/>
        </w:rPr>
        <w:t xml:space="preserve">at </w:t>
      </w:r>
      <w:r w:rsidR="00774C95" w:rsidRPr="00216999">
        <w:rPr>
          <w:sz w:val="24"/>
          <w:szCs w:val="24"/>
        </w:rPr>
        <w:t xml:space="preserve">the </w:t>
      </w:r>
      <w:r w:rsidR="003611D9" w:rsidRPr="00216999">
        <w:rPr>
          <w:sz w:val="24"/>
          <w:szCs w:val="24"/>
        </w:rPr>
        <w:t>baseline</w:t>
      </w:r>
      <w:r w:rsidR="00774C95" w:rsidRPr="00216999">
        <w:rPr>
          <w:sz w:val="24"/>
          <w:szCs w:val="24"/>
        </w:rPr>
        <w:t xml:space="preserve"> assessment</w:t>
      </w:r>
      <w:r w:rsidR="003611D9" w:rsidRPr="00216999">
        <w:rPr>
          <w:sz w:val="24"/>
          <w:szCs w:val="24"/>
        </w:rPr>
        <w:t xml:space="preserve"> </w:t>
      </w:r>
      <w:r w:rsidR="00774C95" w:rsidRPr="00216999">
        <w:rPr>
          <w:sz w:val="24"/>
          <w:szCs w:val="24"/>
        </w:rPr>
        <w:t xml:space="preserve">at follow-up assessments </w:t>
      </w:r>
      <w:r w:rsidR="007E7323" w:rsidRPr="00216999">
        <w:rPr>
          <w:sz w:val="24"/>
          <w:szCs w:val="24"/>
        </w:rPr>
        <w:t xml:space="preserve">under the following conditions: </w:t>
      </w:r>
    </w:p>
    <w:p w:rsidR="007E7323" w:rsidRPr="00216999" w:rsidRDefault="007E7323" w:rsidP="00C03311">
      <w:pPr>
        <w:rPr>
          <w:sz w:val="24"/>
          <w:szCs w:val="24"/>
        </w:rPr>
      </w:pPr>
      <w:r w:rsidRPr="00216999">
        <w:rPr>
          <w:sz w:val="24"/>
          <w:szCs w:val="24"/>
        </w:rPr>
        <w:t>a.</w:t>
      </w:r>
      <w:r w:rsidRPr="00216999">
        <w:rPr>
          <w:sz w:val="24"/>
          <w:szCs w:val="24"/>
        </w:rPr>
        <w:tab/>
        <w:t>Unflanked letter identification (N=20): target stimuli were alphabetic items presented in isolation. Letter</w:t>
      </w:r>
      <w:r w:rsidR="00607299" w:rsidRPr="00216999">
        <w:rPr>
          <w:sz w:val="24"/>
          <w:szCs w:val="24"/>
        </w:rPr>
        <w:t xml:space="preserve">s were </w:t>
      </w:r>
      <w:r w:rsidR="00DE7162">
        <w:rPr>
          <w:sz w:val="24"/>
          <w:szCs w:val="24"/>
        </w:rPr>
        <w:t>p</w:t>
      </w:r>
      <w:r w:rsidR="00607299" w:rsidRPr="00216999">
        <w:rPr>
          <w:sz w:val="24"/>
          <w:szCs w:val="24"/>
        </w:rPr>
        <w:t>resented in random order</w:t>
      </w:r>
      <w:r w:rsidR="00DE7162">
        <w:rPr>
          <w:sz w:val="24"/>
          <w:szCs w:val="24"/>
        </w:rPr>
        <w:t>.</w:t>
      </w:r>
    </w:p>
    <w:p w:rsidR="007E7323" w:rsidRPr="00216999" w:rsidRDefault="007E7323" w:rsidP="007E7323">
      <w:pPr>
        <w:rPr>
          <w:sz w:val="24"/>
          <w:szCs w:val="24"/>
        </w:rPr>
      </w:pPr>
      <w:r w:rsidRPr="00216999">
        <w:rPr>
          <w:sz w:val="24"/>
          <w:szCs w:val="24"/>
        </w:rPr>
        <w:t>b.</w:t>
      </w:r>
      <w:r w:rsidRPr="00216999">
        <w:rPr>
          <w:sz w:val="24"/>
          <w:szCs w:val="24"/>
        </w:rPr>
        <w:tab/>
        <w:t>Letter flankers (N=24; e.g. ZNH): Target letters were flanked on each side by a letter, forming a 3-letter non-word combination.</w:t>
      </w:r>
    </w:p>
    <w:p w:rsidR="007E7323" w:rsidRPr="00216999" w:rsidRDefault="007E7323" w:rsidP="007E7323">
      <w:pPr>
        <w:rPr>
          <w:sz w:val="24"/>
          <w:szCs w:val="24"/>
        </w:rPr>
      </w:pPr>
      <w:r w:rsidRPr="00216999">
        <w:rPr>
          <w:sz w:val="24"/>
          <w:szCs w:val="24"/>
        </w:rPr>
        <w:t>c.</w:t>
      </w:r>
      <w:r w:rsidRPr="00216999">
        <w:rPr>
          <w:sz w:val="24"/>
          <w:szCs w:val="24"/>
        </w:rPr>
        <w:tab/>
        <w:t xml:space="preserve">Shape flankers (N=24; e.g. </w:t>
      </w:r>
      <w:r w:rsidRPr="00216999">
        <w:rPr>
          <w:sz w:val="24"/>
          <w:szCs w:val="24"/>
        </w:rPr>
        <w:sym w:font="Wingdings 3" w:char="F076"/>
      </w:r>
      <w:r w:rsidRPr="00216999">
        <w:rPr>
          <w:sz w:val="24"/>
          <w:szCs w:val="24"/>
        </w:rPr>
        <w:t>N</w:t>
      </w:r>
      <w:r w:rsidRPr="00216999">
        <w:rPr>
          <w:sz w:val="24"/>
          <w:szCs w:val="24"/>
        </w:rPr>
        <w:sym w:font="Wingdings 3" w:char="F072"/>
      </w:r>
      <w:r w:rsidRPr="00216999">
        <w:rPr>
          <w:sz w:val="24"/>
          <w:szCs w:val="24"/>
        </w:rPr>
        <w:t>): Target letters were flanked on each side by a triangle presented at different orientations. Triangles were of equal height and line thickness to target letters.</w:t>
      </w:r>
    </w:p>
    <w:p w:rsidR="007E7323" w:rsidRPr="00216999" w:rsidRDefault="007E7323" w:rsidP="007E7323">
      <w:pPr>
        <w:rPr>
          <w:sz w:val="24"/>
          <w:szCs w:val="24"/>
        </w:rPr>
      </w:pPr>
      <w:r w:rsidRPr="00216999">
        <w:rPr>
          <w:sz w:val="24"/>
          <w:szCs w:val="24"/>
        </w:rPr>
        <w:t>d.</w:t>
      </w:r>
      <w:r w:rsidRPr="00216999">
        <w:rPr>
          <w:sz w:val="24"/>
          <w:szCs w:val="24"/>
        </w:rPr>
        <w:tab/>
        <w:t xml:space="preserve">Number flankers (N=24; e.g. 6N5): Target letters were flanked on each side by an Arabic numeral, chosen from a range between 2 and 9.   </w:t>
      </w:r>
    </w:p>
    <w:p w:rsidR="007E7323" w:rsidRPr="00216999" w:rsidRDefault="007E7323" w:rsidP="007E7323">
      <w:pPr>
        <w:rPr>
          <w:sz w:val="24"/>
          <w:szCs w:val="24"/>
        </w:rPr>
      </w:pPr>
      <w:r w:rsidRPr="00216999">
        <w:rPr>
          <w:sz w:val="24"/>
          <w:szCs w:val="24"/>
        </w:rPr>
        <w:t xml:space="preserve">In each flanking condition, target letter identification was probed under two spatial conditions, condensed and spaced. The </w:t>
      </w:r>
      <w:r w:rsidR="00516E15">
        <w:rPr>
          <w:sz w:val="24"/>
          <w:szCs w:val="24"/>
        </w:rPr>
        <w:t xml:space="preserve">edge-to-edge </w:t>
      </w:r>
      <w:r w:rsidRPr="00216999">
        <w:rPr>
          <w:sz w:val="24"/>
          <w:szCs w:val="24"/>
        </w:rPr>
        <w:t xml:space="preserve">distance between the target letter and flankers was </w:t>
      </w:r>
      <w:r w:rsidR="00EE0E26">
        <w:rPr>
          <w:sz w:val="24"/>
          <w:szCs w:val="24"/>
        </w:rPr>
        <w:t>0.1</w:t>
      </w:r>
      <w:r w:rsidR="00EE0E26" w:rsidRPr="00216999">
        <w:rPr>
          <w:sz w:val="24"/>
          <w:szCs w:val="24"/>
        </w:rPr>
        <w:t>°</w:t>
      </w:r>
      <w:r w:rsidRPr="00216999">
        <w:rPr>
          <w:sz w:val="24"/>
          <w:szCs w:val="24"/>
        </w:rPr>
        <w:t xml:space="preserve"> in the condensed condition and </w:t>
      </w:r>
      <w:r w:rsidR="00EE0E26">
        <w:rPr>
          <w:sz w:val="24"/>
          <w:szCs w:val="24"/>
        </w:rPr>
        <w:t>1.0</w:t>
      </w:r>
      <w:r w:rsidR="00EE0E26" w:rsidRPr="00216999">
        <w:rPr>
          <w:sz w:val="24"/>
          <w:szCs w:val="24"/>
        </w:rPr>
        <w:t>°</w:t>
      </w:r>
      <w:r w:rsidRPr="00216999">
        <w:rPr>
          <w:sz w:val="24"/>
          <w:szCs w:val="24"/>
        </w:rPr>
        <w:t xml:space="preserve"> in the spaced condition, with the height of </w:t>
      </w:r>
      <w:r w:rsidR="00516E15">
        <w:rPr>
          <w:sz w:val="24"/>
          <w:szCs w:val="24"/>
        </w:rPr>
        <w:t xml:space="preserve">all </w:t>
      </w:r>
      <w:r w:rsidRPr="00216999">
        <w:rPr>
          <w:sz w:val="24"/>
          <w:szCs w:val="24"/>
        </w:rPr>
        <w:t>stimuli corresponding to a visual angle of 1.0°</w:t>
      </w:r>
      <w:r w:rsidR="002C1998">
        <w:rPr>
          <w:sz w:val="24"/>
          <w:szCs w:val="24"/>
        </w:rPr>
        <w:t xml:space="preserve"> at a viewing distance of 50cm</w:t>
      </w:r>
      <w:r w:rsidRPr="00216999">
        <w:rPr>
          <w:sz w:val="24"/>
          <w:szCs w:val="24"/>
        </w:rPr>
        <w:t xml:space="preserve">. The same combination of flankers was used for each target letter under both spatial conditions. The stimuli were presented in blocks of 6 items with the same spacing between the target letter and flankers, with blocks being administered in an ABBA design. </w:t>
      </w:r>
      <w:r w:rsidR="00607299" w:rsidRPr="00216999">
        <w:rPr>
          <w:sz w:val="24"/>
          <w:szCs w:val="24"/>
        </w:rPr>
        <w:t xml:space="preserve"> </w:t>
      </w:r>
      <w:r w:rsidR="00DE7162">
        <w:rPr>
          <w:sz w:val="24"/>
          <w:szCs w:val="24"/>
        </w:rPr>
        <w:t>All f</w:t>
      </w:r>
      <w:r w:rsidR="00607299" w:rsidRPr="00216999">
        <w:rPr>
          <w:sz w:val="24"/>
          <w:szCs w:val="24"/>
        </w:rPr>
        <w:t xml:space="preserve">lanked </w:t>
      </w:r>
      <w:r w:rsidR="00DE7162">
        <w:rPr>
          <w:sz w:val="24"/>
          <w:szCs w:val="24"/>
        </w:rPr>
        <w:t xml:space="preserve">and unflanked </w:t>
      </w:r>
      <w:r w:rsidR="00607299" w:rsidRPr="00216999">
        <w:rPr>
          <w:sz w:val="24"/>
          <w:szCs w:val="24"/>
        </w:rPr>
        <w:t>stimuli were presented in the centre of the screen within a fixation box (</w:t>
      </w:r>
      <w:r w:rsidR="00DE7162">
        <w:rPr>
          <w:sz w:val="24"/>
          <w:szCs w:val="24"/>
        </w:rPr>
        <w:t xml:space="preserve">unflanked: </w:t>
      </w:r>
      <w:r w:rsidR="00DE7162" w:rsidRPr="00216999">
        <w:rPr>
          <w:sz w:val="24"/>
          <w:szCs w:val="24"/>
        </w:rPr>
        <w:t>3.2° in width, 2.9° in height</w:t>
      </w:r>
      <w:r w:rsidR="00DE7162">
        <w:rPr>
          <w:sz w:val="24"/>
          <w:szCs w:val="24"/>
        </w:rPr>
        <w:t xml:space="preserve">; flanked: </w:t>
      </w:r>
      <w:r w:rsidR="00607299" w:rsidRPr="00216999">
        <w:rPr>
          <w:sz w:val="24"/>
          <w:szCs w:val="24"/>
        </w:rPr>
        <w:t>6.4° in width, 2.9° in height</w:t>
      </w:r>
      <w:r w:rsidR="002E579D">
        <w:rPr>
          <w:sz w:val="24"/>
          <w:szCs w:val="24"/>
        </w:rPr>
        <w:t xml:space="preserve">), </w:t>
      </w:r>
      <w:r w:rsidR="00F87115" w:rsidRPr="00216999">
        <w:rPr>
          <w:sz w:val="24"/>
          <w:szCs w:val="24"/>
        </w:rPr>
        <w:t>)</w:t>
      </w:r>
      <w:r w:rsidR="002216CC">
        <w:rPr>
          <w:sz w:val="24"/>
          <w:szCs w:val="24"/>
        </w:rPr>
        <w:t xml:space="preserve">. </w:t>
      </w:r>
    </w:p>
    <w:p w:rsidR="00C03311" w:rsidRPr="00216999" w:rsidRDefault="00C03311" w:rsidP="00FB2838">
      <w:pPr>
        <w:pStyle w:val="ListParagraph"/>
        <w:numPr>
          <w:ilvl w:val="2"/>
          <w:numId w:val="4"/>
        </w:numPr>
        <w:rPr>
          <w:b/>
          <w:sz w:val="24"/>
          <w:szCs w:val="24"/>
        </w:rPr>
      </w:pPr>
      <w:r w:rsidRPr="00216999">
        <w:rPr>
          <w:b/>
          <w:sz w:val="24"/>
          <w:szCs w:val="24"/>
        </w:rPr>
        <w:t>Reading assessment</w:t>
      </w:r>
    </w:p>
    <w:p w:rsidR="007A06C2" w:rsidRPr="00216999" w:rsidRDefault="00EF2D8F" w:rsidP="00DE31A5">
      <w:pPr>
        <w:rPr>
          <w:sz w:val="24"/>
          <w:szCs w:val="24"/>
        </w:rPr>
      </w:pPr>
      <w:r w:rsidRPr="00216999">
        <w:rPr>
          <w:sz w:val="24"/>
          <w:szCs w:val="24"/>
        </w:rPr>
        <w:t xml:space="preserve">As previously, </w:t>
      </w:r>
      <w:r w:rsidR="00B94BB2" w:rsidRPr="00216999">
        <w:rPr>
          <w:sz w:val="24"/>
          <w:szCs w:val="24"/>
        </w:rPr>
        <w:t>FOL and CLA were administered the Brown and Ure (</w:t>
      </w:r>
      <w:r w:rsidR="005C4E61" w:rsidRPr="00216999">
        <w:rPr>
          <w:sz w:val="24"/>
          <w:szCs w:val="24"/>
        </w:rPr>
        <w:t xml:space="preserve">N=72; </w:t>
      </w:r>
      <w:r w:rsidR="00B94BB2" w:rsidRPr="00216999">
        <w:rPr>
          <w:sz w:val="24"/>
          <w:szCs w:val="24"/>
        </w:rPr>
        <w:t>Brown &amp; Ure, 1969) words, the Schonell reading list (</w:t>
      </w:r>
      <w:r w:rsidR="005C4E61" w:rsidRPr="00216999">
        <w:rPr>
          <w:sz w:val="24"/>
          <w:szCs w:val="24"/>
        </w:rPr>
        <w:t xml:space="preserve">N=100; </w:t>
      </w:r>
      <w:r w:rsidR="00B94BB2" w:rsidRPr="00216999">
        <w:rPr>
          <w:sz w:val="24"/>
          <w:szCs w:val="24"/>
        </w:rPr>
        <w:t>Schonell &amp; Goodacre, 1971) and the Coltheart regular/irregular words (</w:t>
      </w:r>
      <w:r w:rsidR="005C4E61" w:rsidRPr="00216999">
        <w:rPr>
          <w:sz w:val="24"/>
          <w:szCs w:val="24"/>
        </w:rPr>
        <w:t xml:space="preserve">N=78; </w:t>
      </w:r>
      <w:r w:rsidR="00B94BB2" w:rsidRPr="00216999">
        <w:rPr>
          <w:sz w:val="24"/>
          <w:szCs w:val="24"/>
        </w:rPr>
        <w:t>Coltheart et al., 1979)</w:t>
      </w:r>
      <w:r w:rsidR="005C4E61" w:rsidRPr="00216999">
        <w:rPr>
          <w:sz w:val="24"/>
          <w:szCs w:val="24"/>
        </w:rPr>
        <w:t xml:space="preserve"> yielding a total of 250 words</w:t>
      </w:r>
      <w:r w:rsidR="00E67868">
        <w:rPr>
          <w:sz w:val="24"/>
          <w:szCs w:val="24"/>
        </w:rPr>
        <w:t xml:space="preserve"> ranging from 3 to 14 letters in length</w:t>
      </w:r>
      <w:r w:rsidR="00B94BB2" w:rsidRPr="00216999">
        <w:rPr>
          <w:sz w:val="24"/>
          <w:szCs w:val="24"/>
        </w:rPr>
        <w:t>.</w:t>
      </w:r>
      <w:r w:rsidR="005C4E61" w:rsidRPr="00216999">
        <w:rPr>
          <w:sz w:val="24"/>
          <w:szCs w:val="24"/>
        </w:rPr>
        <w:t xml:space="preserve"> </w:t>
      </w:r>
      <w:r w:rsidR="00961E75" w:rsidRPr="00216999">
        <w:rPr>
          <w:sz w:val="24"/>
          <w:szCs w:val="24"/>
        </w:rPr>
        <w:t xml:space="preserve">Letter confusability </w:t>
      </w:r>
      <w:r w:rsidR="00B94BB2" w:rsidRPr="00216999">
        <w:rPr>
          <w:sz w:val="24"/>
          <w:szCs w:val="24"/>
        </w:rPr>
        <w:t xml:space="preserve">ratings </w:t>
      </w:r>
      <w:r w:rsidR="00961E75" w:rsidRPr="00216999">
        <w:rPr>
          <w:sz w:val="24"/>
          <w:szCs w:val="24"/>
        </w:rPr>
        <w:t xml:space="preserve">were averaged from the confusability matrices of Van der Heijden et al., (1984), Gilmore et al., (1979), Townsend, (1971), and Fisher et al., (1969), with lower case ratings averaged from the confusability matrices of Geyer, (1977), and Boles and Clifford, (1989). </w:t>
      </w:r>
      <w:r w:rsidR="002E579D">
        <w:rPr>
          <w:sz w:val="24"/>
          <w:szCs w:val="24"/>
        </w:rPr>
        <w:t>L</w:t>
      </w:r>
      <w:r w:rsidR="00DE31A5" w:rsidRPr="00DE31A5">
        <w:rPr>
          <w:sz w:val="24"/>
          <w:szCs w:val="24"/>
        </w:rPr>
        <w:t xml:space="preserve">etter </w:t>
      </w:r>
      <w:r w:rsidR="00DE31A5">
        <w:rPr>
          <w:sz w:val="24"/>
          <w:szCs w:val="24"/>
        </w:rPr>
        <w:t xml:space="preserve">height corresponded to a visual </w:t>
      </w:r>
      <w:r w:rsidR="00DE31A5" w:rsidRPr="00DE31A5">
        <w:rPr>
          <w:sz w:val="24"/>
          <w:szCs w:val="24"/>
        </w:rPr>
        <w:t>angle of 1.2</w:t>
      </w:r>
      <w:r w:rsidR="00DE31A5" w:rsidRPr="00216999">
        <w:rPr>
          <w:sz w:val="24"/>
          <w:szCs w:val="24"/>
        </w:rPr>
        <w:t>°</w:t>
      </w:r>
      <w:r w:rsidR="00DE31A5" w:rsidRPr="00DE31A5">
        <w:rPr>
          <w:sz w:val="24"/>
          <w:szCs w:val="24"/>
        </w:rPr>
        <w:t xml:space="preserve"> from a viewing distance of 50 cm.</w:t>
      </w:r>
    </w:p>
    <w:p w:rsidR="00183AD1" w:rsidRPr="00216999" w:rsidRDefault="00183AD1" w:rsidP="00FB2838">
      <w:pPr>
        <w:pStyle w:val="ListParagraph"/>
        <w:numPr>
          <w:ilvl w:val="1"/>
          <w:numId w:val="4"/>
        </w:numPr>
        <w:rPr>
          <w:i/>
          <w:sz w:val="24"/>
          <w:szCs w:val="24"/>
        </w:rPr>
      </w:pPr>
      <w:r w:rsidRPr="00216999">
        <w:rPr>
          <w:i/>
          <w:sz w:val="24"/>
          <w:szCs w:val="24"/>
        </w:rPr>
        <w:t>Data Analysis</w:t>
      </w:r>
    </w:p>
    <w:p w:rsidR="00DB7E56" w:rsidRPr="00216999" w:rsidRDefault="00DB7E56" w:rsidP="002A56F7">
      <w:pPr>
        <w:rPr>
          <w:i/>
          <w:sz w:val="24"/>
          <w:szCs w:val="24"/>
        </w:rPr>
      </w:pPr>
      <w:r w:rsidRPr="00216999">
        <w:rPr>
          <w:sz w:val="24"/>
          <w:szCs w:val="24"/>
        </w:rPr>
        <w:t>FOL and CLA’s performance at follow-up assessments was compared with control group data collected at baseline.</w:t>
      </w:r>
      <w:r w:rsidR="00311378" w:rsidRPr="00216999">
        <w:rPr>
          <w:sz w:val="24"/>
          <w:szCs w:val="24"/>
        </w:rPr>
        <w:t xml:space="preserve"> </w:t>
      </w:r>
      <w:r w:rsidR="00CD1B4D" w:rsidRPr="00216999">
        <w:rPr>
          <w:sz w:val="24"/>
          <w:szCs w:val="24"/>
        </w:rPr>
        <w:t xml:space="preserve">Comparisons between both patients and their matched control groups were conducted using a modified t-test developed by Crawford and Garthwaite (2002) to identify abnormality of test scores in single case studies. </w:t>
      </w:r>
      <w:r w:rsidR="00A86B76" w:rsidRPr="00216999">
        <w:rPr>
          <w:sz w:val="24"/>
          <w:szCs w:val="24"/>
        </w:rPr>
        <w:t>For crowding and reading assessments, l</w:t>
      </w:r>
      <w:r w:rsidR="00311378" w:rsidRPr="00216999">
        <w:rPr>
          <w:sz w:val="24"/>
          <w:szCs w:val="24"/>
        </w:rPr>
        <w:t>atency data for erroneous responses and responses where participants had become overtly distracted from the task were removed from the analysis. Latency data greater than 2 standard deviations from the mean of each participant were removed.</w:t>
      </w:r>
    </w:p>
    <w:p w:rsidR="00DB7E56" w:rsidRPr="00216999" w:rsidRDefault="00C041CE" w:rsidP="002A56F7">
      <w:pPr>
        <w:pStyle w:val="ListParagraph"/>
        <w:numPr>
          <w:ilvl w:val="2"/>
          <w:numId w:val="4"/>
        </w:numPr>
        <w:rPr>
          <w:b/>
          <w:sz w:val="24"/>
          <w:szCs w:val="24"/>
        </w:rPr>
      </w:pPr>
      <w:r w:rsidRPr="00216999">
        <w:rPr>
          <w:b/>
          <w:sz w:val="24"/>
          <w:szCs w:val="24"/>
        </w:rPr>
        <w:t>Analysis of crowding assessment</w:t>
      </w:r>
    </w:p>
    <w:p w:rsidR="00DB7E56" w:rsidRPr="00216999" w:rsidRDefault="00600359" w:rsidP="002A56F7">
      <w:pPr>
        <w:rPr>
          <w:i/>
          <w:sz w:val="24"/>
          <w:szCs w:val="24"/>
        </w:rPr>
      </w:pPr>
      <w:r w:rsidRPr="00216999">
        <w:rPr>
          <w:sz w:val="24"/>
          <w:szCs w:val="24"/>
        </w:rPr>
        <w:t>Differences in accuracy of l</w:t>
      </w:r>
      <w:r w:rsidR="00311378" w:rsidRPr="00216999">
        <w:rPr>
          <w:sz w:val="24"/>
          <w:szCs w:val="24"/>
        </w:rPr>
        <w:t>etter</w:t>
      </w:r>
      <w:r w:rsidR="00DB7E56" w:rsidRPr="00216999">
        <w:rPr>
          <w:sz w:val="24"/>
          <w:szCs w:val="24"/>
        </w:rPr>
        <w:t xml:space="preserve"> naming </w:t>
      </w:r>
      <w:r w:rsidRPr="00216999">
        <w:rPr>
          <w:sz w:val="24"/>
          <w:szCs w:val="24"/>
        </w:rPr>
        <w:t xml:space="preserve">were compared </w:t>
      </w:r>
      <w:r w:rsidR="00DB7E56" w:rsidRPr="00216999">
        <w:rPr>
          <w:sz w:val="24"/>
          <w:szCs w:val="24"/>
        </w:rPr>
        <w:t>between spacing conditions</w:t>
      </w:r>
      <w:r w:rsidR="00311378" w:rsidRPr="00216999">
        <w:rPr>
          <w:sz w:val="24"/>
          <w:szCs w:val="24"/>
        </w:rPr>
        <w:t xml:space="preserve"> using </w:t>
      </w:r>
      <w:r w:rsidR="00C27934" w:rsidRPr="00216999">
        <w:rPr>
          <w:sz w:val="24"/>
          <w:szCs w:val="24"/>
        </w:rPr>
        <w:t>a McNemar test</w:t>
      </w:r>
      <w:r w:rsidR="00DB7E56" w:rsidRPr="00216999">
        <w:rPr>
          <w:sz w:val="24"/>
          <w:szCs w:val="24"/>
        </w:rPr>
        <w:t xml:space="preserve">. </w:t>
      </w:r>
      <w:r w:rsidRPr="00216999">
        <w:rPr>
          <w:sz w:val="24"/>
          <w:szCs w:val="24"/>
        </w:rPr>
        <w:t xml:space="preserve">A separate logistic regression model for FOL and CLA was used to examine overall flanked letter identification accuracy, </w:t>
      </w:r>
      <w:r w:rsidR="00DB7E56" w:rsidRPr="00216999">
        <w:rPr>
          <w:sz w:val="24"/>
          <w:szCs w:val="24"/>
        </w:rPr>
        <w:t xml:space="preserve">including spacing, flanker category and assessment as covariates, </w:t>
      </w:r>
      <w:r w:rsidRPr="00216999">
        <w:rPr>
          <w:sz w:val="24"/>
          <w:szCs w:val="24"/>
        </w:rPr>
        <w:t>with robust standard errors to account for repeated presentation of stimuli across visits</w:t>
      </w:r>
      <w:r w:rsidR="00DB7E56" w:rsidRPr="00216999">
        <w:rPr>
          <w:sz w:val="24"/>
          <w:szCs w:val="24"/>
        </w:rPr>
        <w:t>. As latency analysis was restricted to correct responses, high error rates at follow-up assessments meant crowding latency data were not analysed.</w:t>
      </w:r>
    </w:p>
    <w:p w:rsidR="00DB7E56" w:rsidRPr="00216999" w:rsidRDefault="00C041CE" w:rsidP="002A56F7">
      <w:pPr>
        <w:pStyle w:val="ListParagraph"/>
        <w:numPr>
          <w:ilvl w:val="2"/>
          <w:numId w:val="4"/>
        </w:numPr>
        <w:rPr>
          <w:b/>
          <w:sz w:val="24"/>
          <w:szCs w:val="24"/>
        </w:rPr>
      </w:pPr>
      <w:r w:rsidRPr="00216999">
        <w:rPr>
          <w:b/>
          <w:sz w:val="24"/>
          <w:szCs w:val="24"/>
        </w:rPr>
        <w:t>Analysis of reading assessment</w:t>
      </w:r>
    </w:p>
    <w:p w:rsidR="00074B55" w:rsidRPr="00216999" w:rsidRDefault="001C6017">
      <w:pPr>
        <w:rPr>
          <w:sz w:val="24"/>
          <w:szCs w:val="24"/>
        </w:rPr>
      </w:pPr>
      <w:r w:rsidRPr="00216999">
        <w:rPr>
          <w:sz w:val="24"/>
          <w:szCs w:val="24"/>
        </w:rPr>
        <w:t>While neither</w:t>
      </w:r>
      <w:r w:rsidR="0024006A" w:rsidRPr="00216999">
        <w:rPr>
          <w:sz w:val="24"/>
          <w:szCs w:val="24"/>
        </w:rPr>
        <w:t xml:space="preserve"> FOL nor CLA made enough errors</w:t>
      </w:r>
      <w:r w:rsidRPr="00216999">
        <w:rPr>
          <w:sz w:val="24"/>
          <w:szCs w:val="24"/>
        </w:rPr>
        <w:t xml:space="preserve"> at baseline</w:t>
      </w:r>
      <w:r w:rsidR="0024006A" w:rsidRPr="00216999">
        <w:rPr>
          <w:sz w:val="24"/>
          <w:szCs w:val="24"/>
        </w:rPr>
        <w:t xml:space="preserve"> to allow for </w:t>
      </w:r>
      <w:r w:rsidR="00A16581" w:rsidRPr="00216999">
        <w:rPr>
          <w:sz w:val="24"/>
          <w:szCs w:val="24"/>
        </w:rPr>
        <w:t xml:space="preserve">meaningful </w:t>
      </w:r>
      <w:r w:rsidR="0024006A" w:rsidRPr="00216999">
        <w:rPr>
          <w:sz w:val="24"/>
          <w:szCs w:val="24"/>
        </w:rPr>
        <w:t>analysis of accuracy data</w:t>
      </w:r>
      <w:r w:rsidRPr="00216999">
        <w:rPr>
          <w:sz w:val="24"/>
          <w:szCs w:val="24"/>
        </w:rPr>
        <w:t>,</w:t>
      </w:r>
      <w:r w:rsidR="004A03CA" w:rsidRPr="00216999">
        <w:rPr>
          <w:sz w:val="24"/>
          <w:szCs w:val="24"/>
        </w:rPr>
        <w:t xml:space="preserve"> overall</w:t>
      </w:r>
      <w:r w:rsidR="00095BD4" w:rsidRPr="00216999">
        <w:rPr>
          <w:sz w:val="24"/>
          <w:szCs w:val="24"/>
        </w:rPr>
        <w:t xml:space="preserve"> </w:t>
      </w:r>
      <w:r w:rsidR="00F71207" w:rsidRPr="00216999">
        <w:rPr>
          <w:sz w:val="24"/>
          <w:szCs w:val="24"/>
        </w:rPr>
        <w:t>reading</w:t>
      </w:r>
      <w:r w:rsidR="00A16581" w:rsidRPr="00216999">
        <w:rPr>
          <w:sz w:val="24"/>
          <w:szCs w:val="24"/>
        </w:rPr>
        <w:t xml:space="preserve"> accuracy</w:t>
      </w:r>
      <w:r w:rsidR="00F71207" w:rsidRPr="00216999">
        <w:rPr>
          <w:sz w:val="24"/>
          <w:szCs w:val="24"/>
        </w:rPr>
        <w:t xml:space="preserve"> </w:t>
      </w:r>
      <w:r w:rsidR="004A03CA" w:rsidRPr="00216999">
        <w:rPr>
          <w:sz w:val="24"/>
          <w:szCs w:val="24"/>
        </w:rPr>
        <w:t>and latency analyses</w:t>
      </w:r>
      <w:r w:rsidR="00F71207" w:rsidRPr="00216999">
        <w:rPr>
          <w:sz w:val="24"/>
          <w:szCs w:val="24"/>
        </w:rPr>
        <w:t xml:space="preserve"> </w:t>
      </w:r>
      <w:r w:rsidR="004A03CA" w:rsidRPr="00216999">
        <w:rPr>
          <w:sz w:val="24"/>
          <w:szCs w:val="24"/>
        </w:rPr>
        <w:t xml:space="preserve">were conducted </w:t>
      </w:r>
      <w:r w:rsidR="00A16581" w:rsidRPr="00216999">
        <w:rPr>
          <w:sz w:val="24"/>
          <w:szCs w:val="24"/>
        </w:rPr>
        <w:t xml:space="preserve">using logistic </w:t>
      </w:r>
      <w:r w:rsidR="003F2302" w:rsidRPr="00216999">
        <w:rPr>
          <w:sz w:val="24"/>
          <w:szCs w:val="24"/>
        </w:rPr>
        <w:t xml:space="preserve">regression </w:t>
      </w:r>
      <w:r w:rsidR="004A03CA" w:rsidRPr="00216999">
        <w:rPr>
          <w:sz w:val="24"/>
          <w:szCs w:val="24"/>
        </w:rPr>
        <w:t>and linear mixed models respectively</w:t>
      </w:r>
      <w:r w:rsidR="003F2302" w:rsidRPr="00216999">
        <w:rPr>
          <w:sz w:val="24"/>
          <w:szCs w:val="24"/>
        </w:rPr>
        <w:t>.</w:t>
      </w:r>
      <w:r w:rsidR="004A03CA" w:rsidRPr="00216999">
        <w:rPr>
          <w:sz w:val="24"/>
          <w:szCs w:val="24"/>
        </w:rPr>
        <w:t xml:space="preserve"> </w:t>
      </w:r>
      <w:r w:rsidR="003F2302" w:rsidRPr="00216999">
        <w:rPr>
          <w:sz w:val="24"/>
          <w:szCs w:val="24"/>
        </w:rPr>
        <w:t>The linear mixed model</w:t>
      </w:r>
      <w:r w:rsidR="00F16D6A" w:rsidRPr="00216999">
        <w:rPr>
          <w:sz w:val="24"/>
          <w:szCs w:val="24"/>
        </w:rPr>
        <w:t xml:space="preserve"> </w:t>
      </w:r>
      <w:r w:rsidR="00600359" w:rsidRPr="00216999">
        <w:rPr>
          <w:sz w:val="24"/>
          <w:szCs w:val="24"/>
        </w:rPr>
        <w:t xml:space="preserve">included as covariates </w:t>
      </w:r>
      <w:r w:rsidR="00724C78" w:rsidRPr="00216999">
        <w:rPr>
          <w:sz w:val="24"/>
          <w:szCs w:val="24"/>
        </w:rPr>
        <w:t>assessment (baseline, FU1, FU2)</w:t>
      </w:r>
      <w:r w:rsidR="00724C78">
        <w:rPr>
          <w:sz w:val="24"/>
          <w:szCs w:val="24"/>
        </w:rPr>
        <w:t>,</w:t>
      </w:r>
      <w:r w:rsidR="00724C78" w:rsidRPr="00216999">
        <w:rPr>
          <w:sz w:val="24"/>
          <w:szCs w:val="24"/>
        </w:rPr>
        <w:t xml:space="preserve"> </w:t>
      </w:r>
      <w:r w:rsidR="00F16D6A" w:rsidRPr="00216999">
        <w:rPr>
          <w:sz w:val="24"/>
          <w:szCs w:val="24"/>
        </w:rPr>
        <w:t xml:space="preserve">word length, mean letter confusability, word frequency, </w:t>
      </w:r>
      <w:r w:rsidR="00245FA7" w:rsidRPr="00216999">
        <w:rPr>
          <w:sz w:val="24"/>
          <w:szCs w:val="24"/>
        </w:rPr>
        <w:t xml:space="preserve">and </w:t>
      </w:r>
      <w:r w:rsidR="00F16D6A" w:rsidRPr="00216999">
        <w:rPr>
          <w:sz w:val="24"/>
          <w:szCs w:val="24"/>
        </w:rPr>
        <w:t xml:space="preserve">case </w:t>
      </w:r>
      <w:r w:rsidR="00245FA7" w:rsidRPr="00216999">
        <w:rPr>
          <w:sz w:val="24"/>
          <w:szCs w:val="24"/>
        </w:rPr>
        <w:t>(</w:t>
      </w:r>
      <w:r w:rsidR="00525776" w:rsidRPr="00216999">
        <w:rPr>
          <w:sz w:val="24"/>
          <w:szCs w:val="24"/>
        </w:rPr>
        <w:t>upper or lower</w:t>
      </w:r>
      <w:r w:rsidR="00245FA7" w:rsidRPr="00216999">
        <w:rPr>
          <w:sz w:val="24"/>
          <w:szCs w:val="24"/>
        </w:rPr>
        <w:t>)</w:t>
      </w:r>
      <w:r w:rsidR="00600359" w:rsidRPr="00216999">
        <w:rPr>
          <w:sz w:val="24"/>
          <w:szCs w:val="24"/>
        </w:rPr>
        <w:t xml:space="preserve">, with </w:t>
      </w:r>
      <w:r w:rsidR="00EE4ADA" w:rsidRPr="00216999">
        <w:rPr>
          <w:sz w:val="24"/>
          <w:szCs w:val="24"/>
        </w:rPr>
        <w:t>random</w:t>
      </w:r>
      <w:r w:rsidR="00600359" w:rsidRPr="00216999">
        <w:rPr>
          <w:sz w:val="24"/>
          <w:szCs w:val="24"/>
        </w:rPr>
        <w:t xml:space="preserve"> </w:t>
      </w:r>
      <w:r w:rsidR="00EE4ADA" w:rsidRPr="00216999">
        <w:rPr>
          <w:sz w:val="24"/>
          <w:szCs w:val="24"/>
        </w:rPr>
        <w:t xml:space="preserve">effects to allow for repeated presentation of stimuli across visits. The </w:t>
      </w:r>
      <w:r w:rsidR="003F2302" w:rsidRPr="00216999">
        <w:rPr>
          <w:sz w:val="24"/>
          <w:szCs w:val="24"/>
        </w:rPr>
        <w:t xml:space="preserve">logistic model included as covariates </w:t>
      </w:r>
      <w:r w:rsidR="00EE4ADA" w:rsidRPr="00216999">
        <w:rPr>
          <w:sz w:val="24"/>
          <w:szCs w:val="24"/>
        </w:rPr>
        <w:t>the</w:t>
      </w:r>
      <w:r w:rsidR="003F2302" w:rsidRPr="00216999">
        <w:rPr>
          <w:sz w:val="24"/>
          <w:szCs w:val="24"/>
        </w:rPr>
        <w:t xml:space="preserve"> fixed effect variables from the linear mixed model</w:t>
      </w:r>
      <w:r w:rsidR="005A3539" w:rsidRPr="00216999">
        <w:rPr>
          <w:sz w:val="24"/>
          <w:szCs w:val="24"/>
        </w:rPr>
        <w:t>, with robust standard errors to account for repeated presentation of stimuli across visits</w:t>
      </w:r>
      <w:r w:rsidR="003F2302" w:rsidRPr="00216999">
        <w:rPr>
          <w:sz w:val="24"/>
          <w:szCs w:val="24"/>
        </w:rPr>
        <w:t xml:space="preserve">. </w:t>
      </w:r>
      <w:r w:rsidR="00F82E0E" w:rsidRPr="00216999">
        <w:rPr>
          <w:sz w:val="24"/>
          <w:szCs w:val="24"/>
        </w:rPr>
        <w:t>Since CLA’s performance was at ceiling at baseline, a small constant was deducted from her score at the initial visit, enabl</w:t>
      </w:r>
      <w:r w:rsidR="00D34BD5" w:rsidRPr="00216999">
        <w:rPr>
          <w:sz w:val="24"/>
          <w:szCs w:val="24"/>
        </w:rPr>
        <w:t>ing</w:t>
      </w:r>
      <w:r w:rsidR="00F82E0E" w:rsidRPr="00216999">
        <w:rPr>
          <w:sz w:val="24"/>
          <w:szCs w:val="24"/>
        </w:rPr>
        <w:t xml:space="preserve"> us to provide a conservative estimate of the odds ratio between visits. </w:t>
      </w:r>
      <w:r w:rsidR="00865432" w:rsidRPr="00216999">
        <w:rPr>
          <w:rFonts w:ascii="Calibri" w:hAnsi="Calibri" w:cs="Calibri"/>
          <w:color w:val="212121"/>
          <w:sz w:val="24"/>
          <w:szCs w:val="24"/>
          <w:shd w:val="clear" w:color="auto" w:fill="FFFFFF"/>
        </w:rPr>
        <w:t>As latency data for the reading assessment showed substantial right skew, statistical inferences were made using bootstrapped confidence intervals (95%, bias-corrected, accelerated with 2000 replications).</w:t>
      </w:r>
      <w:r w:rsidR="00865432" w:rsidRPr="00216999">
        <w:rPr>
          <w:rStyle w:val="apple-converted-space"/>
          <w:rFonts w:ascii="Calibri" w:hAnsi="Calibri" w:cs="Calibri"/>
          <w:color w:val="212121"/>
          <w:sz w:val="24"/>
          <w:szCs w:val="24"/>
          <w:shd w:val="clear" w:color="auto" w:fill="FFFFFF"/>
        </w:rPr>
        <w:t> </w:t>
      </w:r>
    </w:p>
    <w:p w:rsidR="00651597" w:rsidRPr="00216999" w:rsidRDefault="00E91F2B" w:rsidP="00FB2838">
      <w:pPr>
        <w:pStyle w:val="ListParagraph"/>
        <w:numPr>
          <w:ilvl w:val="0"/>
          <w:numId w:val="4"/>
        </w:numPr>
        <w:rPr>
          <w:b/>
          <w:sz w:val="24"/>
          <w:szCs w:val="24"/>
          <w:u w:val="single"/>
        </w:rPr>
      </w:pPr>
      <w:r w:rsidRPr="00216999">
        <w:rPr>
          <w:b/>
          <w:sz w:val="24"/>
          <w:szCs w:val="24"/>
          <w:u w:val="single"/>
        </w:rPr>
        <w:t>Results</w:t>
      </w:r>
    </w:p>
    <w:p w:rsidR="00805E96" w:rsidRPr="00216999" w:rsidRDefault="00805E96" w:rsidP="00805E96">
      <w:pPr>
        <w:pStyle w:val="ListParagraph"/>
        <w:ind w:left="360"/>
        <w:rPr>
          <w:b/>
          <w:sz w:val="24"/>
          <w:szCs w:val="24"/>
          <w:u w:val="single"/>
        </w:rPr>
      </w:pPr>
    </w:p>
    <w:p w:rsidR="00651597" w:rsidRPr="00216999" w:rsidRDefault="00651597" w:rsidP="00FB2838">
      <w:pPr>
        <w:pStyle w:val="ListParagraph"/>
        <w:numPr>
          <w:ilvl w:val="1"/>
          <w:numId w:val="4"/>
        </w:numPr>
        <w:rPr>
          <w:b/>
          <w:sz w:val="24"/>
          <w:szCs w:val="24"/>
        </w:rPr>
      </w:pPr>
      <w:r w:rsidRPr="00216999">
        <w:rPr>
          <w:b/>
          <w:sz w:val="24"/>
          <w:szCs w:val="24"/>
        </w:rPr>
        <w:t>Visual Assessment</w:t>
      </w:r>
    </w:p>
    <w:p w:rsidR="00805E96" w:rsidRPr="00216999" w:rsidRDefault="00651597" w:rsidP="00651597">
      <w:pPr>
        <w:contextualSpacing/>
        <w:rPr>
          <w:sz w:val="24"/>
          <w:szCs w:val="24"/>
        </w:rPr>
      </w:pPr>
      <w:r w:rsidRPr="00216999">
        <w:rPr>
          <w:sz w:val="24"/>
          <w:szCs w:val="24"/>
        </w:rPr>
        <w:t xml:space="preserve">Consistent with baseline performance, both FOL and CLA </w:t>
      </w:r>
      <w:r w:rsidR="00AC7778" w:rsidRPr="00216999">
        <w:rPr>
          <w:sz w:val="24"/>
          <w:szCs w:val="24"/>
        </w:rPr>
        <w:t xml:space="preserve">continued to demonstrate </w:t>
      </w:r>
      <w:r w:rsidRPr="00216999">
        <w:rPr>
          <w:sz w:val="24"/>
          <w:szCs w:val="24"/>
        </w:rPr>
        <w:t xml:space="preserve">impairments on all visual tasks except visual acuity which remained selectively spared (Table </w:t>
      </w:r>
      <w:r w:rsidR="00245FA7" w:rsidRPr="00216999">
        <w:rPr>
          <w:sz w:val="24"/>
          <w:szCs w:val="24"/>
        </w:rPr>
        <w:t>1</w:t>
      </w:r>
      <w:r w:rsidRPr="00216999">
        <w:rPr>
          <w:sz w:val="24"/>
          <w:szCs w:val="24"/>
        </w:rPr>
        <w:t xml:space="preserve">). The only other visual tasks on which </w:t>
      </w:r>
      <w:r w:rsidR="006C43BB" w:rsidRPr="00216999">
        <w:rPr>
          <w:sz w:val="24"/>
          <w:szCs w:val="24"/>
        </w:rPr>
        <w:t>FOL and CLA</w:t>
      </w:r>
      <w:r w:rsidRPr="00216999">
        <w:rPr>
          <w:sz w:val="24"/>
          <w:szCs w:val="24"/>
        </w:rPr>
        <w:t xml:space="preserve"> performed in the normal range at baseline (FOL: Object decision; CLA: Dot counting) both elicited impaired performance </w:t>
      </w:r>
      <w:r w:rsidR="006C43BB" w:rsidRPr="00216999">
        <w:rPr>
          <w:sz w:val="24"/>
          <w:szCs w:val="24"/>
        </w:rPr>
        <w:t xml:space="preserve">in both patients </w:t>
      </w:r>
      <w:r w:rsidRPr="00216999">
        <w:rPr>
          <w:sz w:val="24"/>
          <w:szCs w:val="24"/>
        </w:rPr>
        <w:t>by FU1.</w:t>
      </w:r>
    </w:p>
    <w:p w:rsidR="00050C24" w:rsidRPr="00216999" w:rsidRDefault="00050C24" w:rsidP="00651597">
      <w:pPr>
        <w:contextualSpacing/>
        <w:rPr>
          <w:sz w:val="24"/>
          <w:szCs w:val="24"/>
        </w:rPr>
      </w:pPr>
    </w:p>
    <w:p w:rsidR="00EA78ED" w:rsidRDefault="00EA78ED">
      <w:pPr>
        <w:rPr>
          <w:rFonts w:ascii="Calibri" w:eastAsia="Calibri" w:hAnsi="Calibri" w:cs="Times New Roman"/>
          <w:sz w:val="24"/>
          <w:szCs w:val="24"/>
        </w:rPr>
      </w:pPr>
      <w:r>
        <w:rPr>
          <w:rFonts w:ascii="Calibri" w:eastAsia="Calibri" w:hAnsi="Calibri" w:cs="Times New Roman"/>
          <w:sz w:val="24"/>
          <w:szCs w:val="24"/>
        </w:rPr>
        <w:br w:type="page"/>
      </w:r>
    </w:p>
    <w:p w:rsidR="00050C24" w:rsidRPr="00216999" w:rsidRDefault="00050C24" w:rsidP="00050C24">
      <w:pPr>
        <w:rPr>
          <w:rFonts w:ascii="Calibri" w:eastAsia="Calibri" w:hAnsi="Calibri" w:cs="Times New Roman"/>
          <w:sz w:val="24"/>
          <w:szCs w:val="24"/>
        </w:rPr>
      </w:pPr>
      <w:r w:rsidRPr="00216999">
        <w:rPr>
          <w:rFonts w:ascii="Calibri" w:eastAsia="Calibri" w:hAnsi="Calibri" w:cs="Times New Roman"/>
          <w:sz w:val="24"/>
          <w:szCs w:val="24"/>
        </w:rPr>
        <w:t>Table 1. FOL and CLA’s performance on background neuropsychological measures and tests of visual processing (not tested: NT). Shaded numbers indicate task performance is within normal limits</w:t>
      </w:r>
      <w:r w:rsidR="00367872" w:rsidRPr="00216999">
        <w:rPr>
          <w:rFonts w:ascii="Calibri" w:eastAsia="Calibri" w:hAnsi="Calibri" w:cs="Times New Roman"/>
          <w:sz w:val="24"/>
          <w:szCs w:val="24"/>
        </w:rPr>
        <w:t xml:space="preserve"> (</w:t>
      </w:r>
      <w:r w:rsidR="00367872" w:rsidRPr="00216999">
        <w:rPr>
          <w:rFonts w:ascii="Calibri" w:eastAsia="Calibri" w:hAnsi="Calibri" w:cs="Calibri"/>
          <w:sz w:val="24"/>
          <w:szCs w:val="24"/>
        </w:rPr>
        <w:t>≥</w:t>
      </w:r>
      <w:r w:rsidR="00367872" w:rsidRPr="00216999">
        <w:rPr>
          <w:rFonts w:ascii="Calibri" w:eastAsia="Calibri" w:hAnsi="Calibri" w:cs="Times New Roman"/>
          <w:sz w:val="24"/>
          <w:szCs w:val="24"/>
        </w:rPr>
        <w:t>5</w:t>
      </w:r>
      <w:r w:rsidR="00367872" w:rsidRPr="00216999">
        <w:rPr>
          <w:rFonts w:ascii="Calibri" w:eastAsia="Calibri" w:hAnsi="Calibri" w:cs="Times New Roman"/>
          <w:sz w:val="24"/>
          <w:szCs w:val="24"/>
          <w:vertAlign w:val="superscript"/>
        </w:rPr>
        <w:t>th</w:t>
      </w:r>
      <w:r w:rsidR="00367872" w:rsidRPr="00216999">
        <w:rPr>
          <w:rFonts w:ascii="Calibri" w:eastAsia="Calibri" w:hAnsi="Calibri" w:cs="Times New Roman"/>
          <w:sz w:val="24"/>
          <w:szCs w:val="24"/>
        </w:rPr>
        <w:t>%ile)</w:t>
      </w:r>
      <w:r w:rsidRPr="00216999">
        <w:rPr>
          <w:rFonts w:ascii="Calibri" w:eastAsia="Calibri" w:hAnsi="Calibri" w:cs="Times New Roman"/>
          <w:sz w:val="24"/>
          <w:szCs w:val="24"/>
        </w:rPr>
        <w:t xml:space="preserve">.  </w:t>
      </w:r>
    </w:p>
    <w:tbl>
      <w:tblPr>
        <w:tblW w:w="8860" w:type="dxa"/>
        <w:tblCellMar>
          <w:left w:w="0" w:type="dxa"/>
          <w:right w:w="0" w:type="dxa"/>
        </w:tblCellMar>
        <w:tblLook w:val="04A0" w:firstRow="1" w:lastRow="0" w:firstColumn="1" w:lastColumn="0" w:noHBand="0" w:noVBand="1"/>
      </w:tblPr>
      <w:tblGrid>
        <w:gridCol w:w="2560"/>
        <w:gridCol w:w="540"/>
        <w:gridCol w:w="960"/>
        <w:gridCol w:w="960"/>
        <w:gridCol w:w="960"/>
        <w:gridCol w:w="960"/>
        <w:gridCol w:w="960"/>
        <w:gridCol w:w="960"/>
      </w:tblGrid>
      <w:tr w:rsidR="00050C24" w:rsidRPr="00690A93" w:rsidTr="00050C24">
        <w:trPr>
          <w:trHeight w:val="300"/>
        </w:trPr>
        <w:tc>
          <w:tcPr>
            <w:tcW w:w="2560" w:type="dxa"/>
            <w:vMerge w:val="restart"/>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color w:val="000000"/>
                <w:sz w:val="20"/>
                <w:szCs w:val="20"/>
              </w:rPr>
            </w:pPr>
            <w:r w:rsidRPr="008A59F6">
              <w:rPr>
                <w:rFonts w:ascii="Calibri" w:eastAsia="Calibri" w:hAnsi="Calibri" w:cs="Calibri"/>
                <w:i/>
                <w:color w:val="000000"/>
                <w:sz w:val="20"/>
                <w:szCs w:val="20"/>
              </w:rPr>
              <w:t>Test</w:t>
            </w:r>
          </w:p>
        </w:tc>
        <w:tc>
          <w:tcPr>
            <w:tcW w:w="54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color w:val="000000"/>
                <w:sz w:val="20"/>
                <w:szCs w:val="20"/>
              </w:rPr>
            </w:pPr>
            <w:r w:rsidRPr="008A59F6">
              <w:rPr>
                <w:rFonts w:ascii="Calibri" w:eastAsia="Calibri" w:hAnsi="Calibri" w:cs="Calibri"/>
                <w:i/>
                <w:color w:val="000000"/>
                <w:sz w:val="20"/>
                <w:szCs w:val="20"/>
              </w:rPr>
              <w:t>Max Score</w:t>
            </w:r>
          </w:p>
        </w:tc>
        <w:tc>
          <w:tcPr>
            <w:tcW w:w="2880"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sz w:val="20"/>
                <w:szCs w:val="20"/>
              </w:rPr>
            </w:pPr>
            <w:r w:rsidRPr="008A59F6">
              <w:rPr>
                <w:rFonts w:ascii="Calibri" w:eastAsia="Calibri" w:hAnsi="Calibri" w:cs="Calibri"/>
                <w:i/>
                <w:sz w:val="20"/>
                <w:szCs w:val="20"/>
              </w:rPr>
              <w:t>FOL</w:t>
            </w:r>
          </w:p>
        </w:tc>
        <w:tc>
          <w:tcPr>
            <w:tcW w:w="2880" w:type="dxa"/>
            <w:gridSpan w:val="3"/>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sz w:val="20"/>
                <w:szCs w:val="20"/>
              </w:rPr>
            </w:pPr>
            <w:r w:rsidRPr="008A59F6">
              <w:rPr>
                <w:rFonts w:ascii="Calibri" w:eastAsia="Calibri" w:hAnsi="Calibri" w:cs="Calibri"/>
                <w:i/>
                <w:sz w:val="20"/>
                <w:szCs w:val="20"/>
              </w:rPr>
              <w:t>CLA</w:t>
            </w:r>
          </w:p>
        </w:tc>
      </w:tr>
      <w:tr w:rsidR="00050C24" w:rsidRPr="00690A93" w:rsidTr="00050C24">
        <w:trPr>
          <w:trHeight w:val="300"/>
        </w:trPr>
        <w:tc>
          <w:tcPr>
            <w:tcW w:w="0" w:type="auto"/>
            <w:vMerge/>
            <w:tcBorders>
              <w:top w:val="single" w:sz="4" w:space="0" w:color="auto"/>
              <w:left w:val="nil"/>
              <w:bottom w:val="single" w:sz="4" w:space="0" w:color="auto"/>
              <w:right w:val="nil"/>
            </w:tcBorders>
            <w:vAlign w:val="center"/>
            <w:hideMark/>
          </w:tcPr>
          <w:p w:rsidR="00050C24" w:rsidRPr="008A59F6" w:rsidRDefault="00050C24" w:rsidP="00050C24">
            <w:pPr>
              <w:spacing w:after="0" w:line="240" w:lineRule="auto"/>
              <w:rPr>
                <w:rFonts w:ascii="Calibri" w:eastAsia="Calibri" w:hAnsi="Calibri" w:cs="Calibri"/>
                <w: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0C24" w:rsidRPr="008A59F6" w:rsidRDefault="00050C24" w:rsidP="00050C24">
            <w:pPr>
              <w:spacing w:after="0" w:line="240" w:lineRule="auto"/>
              <w:rPr>
                <w:rFonts w:ascii="Calibri" w:eastAsia="Calibri" w:hAnsi="Calibri" w:cs="Calibri"/>
                <w:i/>
                <w:color w:val="000000"/>
                <w:sz w:val="20"/>
                <w:szCs w:val="20"/>
              </w:rPr>
            </w:pPr>
          </w:p>
        </w:tc>
        <w:tc>
          <w:tcPr>
            <w:tcW w:w="960"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sz w:val="20"/>
                <w:szCs w:val="20"/>
              </w:rPr>
            </w:pPr>
            <w:r w:rsidRPr="008A59F6">
              <w:rPr>
                <w:rFonts w:ascii="Calibri" w:eastAsia="Calibri" w:hAnsi="Calibri" w:cs="Calibri"/>
                <w:i/>
                <w:sz w:val="20"/>
                <w:szCs w:val="20"/>
              </w:rPr>
              <w:t>Baseline</w:t>
            </w:r>
          </w:p>
        </w:tc>
        <w:tc>
          <w:tcPr>
            <w:tcW w:w="960"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sz w:val="20"/>
                <w:szCs w:val="20"/>
              </w:rPr>
            </w:pPr>
            <w:r w:rsidRPr="008A59F6">
              <w:rPr>
                <w:rFonts w:ascii="Calibri" w:eastAsia="Calibri" w:hAnsi="Calibri" w:cs="Calibri"/>
                <w:i/>
                <w:sz w:val="20"/>
                <w:szCs w:val="20"/>
              </w:rPr>
              <w:t>FU1</w:t>
            </w:r>
          </w:p>
        </w:tc>
        <w:tc>
          <w:tcPr>
            <w:tcW w:w="9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sz w:val="20"/>
                <w:szCs w:val="20"/>
              </w:rPr>
            </w:pPr>
            <w:r w:rsidRPr="008A59F6">
              <w:rPr>
                <w:rFonts w:ascii="Calibri" w:eastAsia="Calibri" w:hAnsi="Calibri" w:cs="Calibri"/>
                <w:i/>
                <w:sz w:val="20"/>
                <w:szCs w:val="20"/>
              </w:rPr>
              <w:t>FU2</w:t>
            </w:r>
          </w:p>
        </w:tc>
        <w:tc>
          <w:tcPr>
            <w:tcW w:w="960"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sz w:val="20"/>
                <w:szCs w:val="20"/>
              </w:rPr>
            </w:pPr>
            <w:r w:rsidRPr="008A59F6">
              <w:rPr>
                <w:rFonts w:ascii="Calibri" w:eastAsia="Calibri" w:hAnsi="Calibri" w:cs="Calibri"/>
                <w:i/>
                <w:sz w:val="20"/>
                <w:szCs w:val="20"/>
              </w:rPr>
              <w:t>Baseline</w:t>
            </w:r>
          </w:p>
        </w:tc>
        <w:tc>
          <w:tcPr>
            <w:tcW w:w="960"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sz w:val="20"/>
                <w:szCs w:val="20"/>
              </w:rPr>
            </w:pPr>
            <w:r w:rsidRPr="008A59F6">
              <w:rPr>
                <w:rFonts w:ascii="Calibri" w:eastAsia="Calibri" w:hAnsi="Calibri" w:cs="Calibri"/>
                <w:i/>
                <w:sz w:val="20"/>
                <w:szCs w:val="20"/>
              </w:rPr>
              <w:t>FU1</w:t>
            </w:r>
          </w:p>
        </w:tc>
        <w:tc>
          <w:tcPr>
            <w:tcW w:w="960"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sz w:val="20"/>
                <w:szCs w:val="20"/>
              </w:rPr>
            </w:pPr>
            <w:r w:rsidRPr="008A59F6">
              <w:rPr>
                <w:rFonts w:ascii="Calibri" w:eastAsia="Calibri" w:hAnsi="Calibri" w:cs="Calibri"/>
                <w:i/>
                <w:sz w:val="20"/>
                <w:szCs w:val="20"/>
              </w:rPr>
              <w:t>FU2</w:t>
            </w:r>
          </w:p>
        </w:tc>
      </w:tr>
      <w:tr w:rsidR="00050C24" w:rsidRPr="00690A93" w:rsidTr="008A59F6">
        <w:trPr>
          <w:trHeight w:val="393"/>
        </w:trPr>
        <w:tc>
          <w:tcPr>
            <w:tcW w:w="0" w:type="auto"/>
            <w:gridSpan w:val="8"/>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50C24" w:rsidRPr="008A59F6" w:rsidRDefault="00050C24" w:rsidP="00050C24">
            <w:pPr>
              <w:spacing w:line="240" w:lineRule="auto"/>
              <w:jc w:val="center"/>
              <w:rPr>
                <w:rFonts w:ascii="Calibri" w:eastAsia="Calibri" w:hAnsi="Calibri" w:cs="Calibri"/>
                <w:b/>
                <w:iCs/>
                <w:color w:val="000000"/>
                <w:sz w:val="20"/>
                <w:szCs w:val="20"/>
              </w:rPr>
            </w:pPr>
            <w:r w:rsidRPr="008A59F6">
              <w:rPr>
                <w:rFonts w:ascii="Calibri" w:eastAsia="Calibri" w:hAnsi="Calibri" w:cs="Calibri"/>
                <w:b/>
                <w:iCs/>
                <w:color w:val="000000"/>
                <w:sz w:val="20"/>
                <w:szCs w:val="20"/>
              </w:rPr>
              <w:t>Background Neuropsychology</w:t>
            </w:r>
          </w:p>
        </w:tc>
      </w:tr>
      <w:tr w:rsidR="00050C24" w:rsidRPr="00690A93" w:rsidTr="005C6B1F">
        <w:trPr>
          <w:trHeight w:val="300"/>
        </w:trPr>
        <w:tc>
          <w:tcPr>
            <w:tcW w:w="0" w:type="auto"/>
            <w:tcBorders>
              <w:top w:val="single" w:sz="4" w:space="0" w:color="auto"/>
              <w:left w:val="nil"/>
              <w:bottom w:val="nil"/>
              <w:right w:val="nil"/>
            </w:tcBorders>
            <w:noWrap/>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MMSE</w:t>
            </w:r>
            <w:r w:rsidRPr="008A59F6">
              <w:rPr>
                <w:rFonts w:ascii="Calibri" w:eastAsia="Times New Roman" w:hAnsi="Calibri" w:cs="Calibri"/>
                <w:color w:val="000000"/>
                <w:sz w:val="20"/>
                <w:szCs w:val="20"/>
                <w:vertAlign w:val="superscript"/>
                <w:lang w:eastAsia="en-GB"/>
              </w:rPr>
              <w:t>1</w:t>
            </w:r>
          </w:p>
        </w:tc>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30</w:t>
            </w:r>
          </w:p>
        </w:tc>
        <w:tc>
          <w:tcPr>
            <w:tcW w:w="0" w:type="auto"/>
            <w:tcBorders>
              <w:top w:val="single" w:sz="4" w:space="0" w:color="auto"/>
              <w:left w:val="nil"/>
              <w:bottom w:val="nil"/>
              <w:right w:val="nil"/>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24</w:t>
            </w:r>
          </w:p>
        </w:tc>
        <w:tc>
          <w:tcPr>
            <w:tcW w:w="0" w:type="auto"/>
            <w:tcBorders>
              <w:top w:val="single" w:sz="4" w:space="0" w:color="auto"/>
              <w:left w:val="nil"/>
              <w:bottom w:val="nil"/>
              <w:right w:val="nil"/>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23</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15</w:t>
            </w:r>
          </w:p>
        </w:tc>
        <w:tc>
          <w:tcPr>
            <w:tcW w:w="0" w:type="auto"/>
            <w:tcBorders>
              <w:top w:val="single" w:sz="4" w:space="0" w:color="auto"/>
              <w:left w:val="nil"/>
              <w:bottom w:val="nil"/>
              <w:right w:val="nil"/>
            </w:tcBorders>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27</w:t>
            </w:r>
          </w:p>
        </w:tc>
        <w:tc>
          <w:tcPr>
            <w:tcW w:w="0" w:type="auto"/>
            <w:tcBorders>
              <w:top w:val="single" w:sz="4" w:space="0" w:color="auto"/>
              <w:left w:val="nil"/>
              <w:bottom w:val="nil"/>
              <w:right w:val="nil"/>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13</w:t>
            </w:r>
          </w:p>
        </w:tc>
        <w:tc>
          <w:tcPr>
            <w:tcW w:w="0" w:type="auto"/>
            <w:tcBorders>
              <w:top w:val="single" w:sz="4" w:space="0" w:color="auto"/>
              <w:left w:val="nil"/>
              <w:bottom w:val="nil"/>
              <w:right w:val="nil"/>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050C24" w:rsidRPr="00690A93" w:rsidTr="005C6B1F">
        <w:trPr>
          <w:trHeight w:val="300"/>
        </w:trPr>
        <w:tc>
          <w:tcPr>
            <w:tcW w:w="0" w:type="auto"/>
            <w:noWrap/>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Short RMT words</w:t>
            </w:r>
            <w:r w:rsidRPr="008A59F6">
              <w:rPr>
                <w:rFonts w:ascii="Calibri" w:eastAsia="Times New Roman" w:hAnsi="Calibri" w:cs="Calibri"/>
                <w:color w:val="000000"/>
                <w:sz w:val="20"/>
                <w:szCs w:val="20"/>
                <w:vertAlign w:val="superscript"/>
                <w:lang w:eastAsia="en-GB"/>
              </w:rPr>
              <w:t>2</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25</w:t>
            </w:r>
          </w:p>
        </w:tc>
        <w:tc>
          <w:tcPr>
            <w:tcW w:w="0" w:type="auto"/>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21</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14</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16</w:t>
            </w:r>
          </w:p>
        </w:tc>
        <w:tc>
          <w:tcPr>
            <w:tcW w:w="0" w:type="auto"/>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24</w:t>
            </w:r>
          </w:p>
        </w:tc>
        <w:tc>
          <w:tcPr>
            <w:tcW w:w="0" w:type="auto"/>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21</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050C24" w:rsidRPr="00690A93" w:rsidTr="005C6B1F">
        <w:trPr>
          <w:trHeight w:val="300"/>
        </w:trPr>
        <w:tc>
          <w:tcPr>
            <w:tcW w:w="0" w:type="auto"/>
            <w:noWrap/>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Concrete synonyms</w:t>
            </w:r>
            <w:r w:rsidRPr="008A59F6">
              <w:rPr>
                <w:rFonts w:ascii="Calibri" w:eastAsia="Times New Roman" w:hAnsi="Calibri" w:cs="Calibri"/>
                <w:color w:val="000000"/>
                <w:sz w:val="20"/>
                <w:szCs w:val="20"/>
                <w:vertAlign w:val="superscript"/>
                <w:lang w:eastAsia="en-GB"/>
              </w:rPr>
              <w:t>3</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25</w:t>
            </w:r>
          </w:p>
        </w:tc>
        <w:tc>
          <w:tcPr>
            <w:tcW w:w="0" w:type="auto"/>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20</w:t>
            </w:r>
          </w:p>
        </w:tc>
        <w:tc>
          <w:tcPr>
            <w:tcW w:w="0" w:type="auto"/>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21</w:t>
            </w:r>
          </w:p>
        </w:tc>
        <w:tc>
          <w:tcPr>
            <w:tcW w:w="0" w:type="auto"/>
            <w:tcBorders>
              <w:top w:val="nil"/>
              <w:left w:val="nil"/>
              <w:bottom w:val="nil"/>
              <w:right w:val="single" w:sz="4" w:space="0" w:color="auto"/>
            </w:tcBorders>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20</w:t>
            </w:r>
          </w:p>
        </w:tc>
        <w:tc>
          <w:tcPr>
            <w:tcW w:w="0" w:type="auto"/>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20</w:t>
            </w:r>
          </w:p>
        </w:tc>
        <w:tc>
          <w:tcPr>
            <w:tcW w:w="0" w:type="auto"/>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050C24" w:rsidRPr="00690A93" w:rsidTr="005C6B1F">
        <w:trPr>
          <w:trHeight w:val="300"/>
        </w:trPr>
        <w:tc>
          <w:tcPr>
            <w:tcW w:w="0" w:type="auto"/>
            <w:noWrap/>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Spelling (oral)</w:t>
            </w:r>
            <w:r w:rsidRPr="008A59F6">
              <w:rPr>
                <w:rFonts w:ascii="Calibri" w:eastAsia="Times New Roman" w:hAnsi="Calibri" w:cs="Calibri"/>
                <w:color w:val="000000"/>
                <w:sz w:val="20"/>
                <w:szCs w:val="20"/>
                <w:vertAlign w:val="superscript"/>
                <w:lang w:eastAsia="en-GB"/>
              </w:rPr>
              <w:t xml:space="preserve"> 4</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20</w:t>
            </w:r>
          </w:p>
        </w:tc>
        <w:tc>
          <w:tcPr>
            <w:tcW w:w="0" w:type="auto"/>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18</w:t>
            </w:r>
          </w:p>
        </w:tc>
        <w:tc>
          <w:tcPr>
            <w:tcW w:w="0" w:type="auto"/>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6</w:t>
            </w:r>
          </w:p>
        </w:tc>
        <w:tc>
          <w:tcPr>
            <w:tcW w:w="0" w:type="auto"/>
            <w:tcBorders>
              <w:top w:val="nil"/>
              <w:left w:val="nil"/>
              <w:bottom w:val="nil"/>
              <w:right w:val="single" w:sz="4" w:space="0" w:color="auto"/>
            </w:tcBorders>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6</w:t>
            </w:r>
          </w:p>
        </w:tc>
        <w:tc>
          <w:tcPr>
            <w:tcW w:w="0" w:type="auto"/>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19</w:t>
            </w:r>
          </w:p>
        </w:tc>
        <w:tc>
          <w:tcPr>
            <w:tcW w:w="0" w:type="auto"/>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11</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050C24" w:rsidRPr="00690A93" w:rsidTr="005C6B1F">
        <w:trPr>
          <w:trHeight w:val="300"/>
        </w:trPr>
        <w:tc>
          <w:tcPr>
            <w:tcW w:w="0" w:type="auto"/>
            <w:noWrap/>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Digit span (forwards)</w:t>
            </w:r>
            <w:r w:rsidR="00D11AD2" w:rsidRPr="008A59F6">
              <w:rPr>
                <w:rFonts w:ascii="Calibri" w:eastAsia="Calibri" w:hAnsi="Calibri" w:cs="Calibri"/>
                <w:color w:val="000000"/>
                <w:sz w:val="20"/>
                <w:szCs w:val="20"/>
              </w:rPr>
              <w:t>: max</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8</w:t>
            </w:r>
          </w:p>
        </w:tc>
        <w:tc>
          <w:tcPr>
            <w:tcW w:w="0" w:type="auto"/>
            <w:shd w:val="clear" w:color="auto" w:fill="D8E4BC"/>
            <w:noWrap/>
            <w:tcMar>
              <w:top w:w="15" w:type="dxa"/>
              <w:left w:w="15" w:type="dxa"/>
              <w:bottom w:w="0" w:type="dxa"/>
              <w:right w:w="15" w:type="dxa"/>
            </w:tcMar>
            <w:vAlign w:val="center"/>
            <w:hideMark/>
          </w:tcPr>
          <w:p w:rsidR="00050C24" w:rsidRPr="008A59F6" w:rsidRDefault="00D11AD2"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7</w:t>
            </w:r>
          </w:p>
        </w:tc>
        <w:tc>
          <w:tcPr>
            <w:tcW w:w="0" w:type="auto"/>
            <w:shd w:val="clear" w:color="auto" w:fill="D8E4BC"/>
            <w:noWrap/>
            <w:tcMar>
              <w:top w:w="15" w:type="dxa"/>
              <w:left w:w="15" w:type="dxa"/>
              <w:bottom w:w="0" w:type="dxa"/>
              <w:right w:w="15" w:type="dxa"/>
            </w:tcMar>
            <w:vAlign w:val="center"/>
            <w:hideMark/>
          </w:tcPr>
          <w:p w:rsidR="00050C24" w:rsidRPr="008A59F6" w:rsidRDefault="00D11AD2"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7</w:t>
            </w:r>
          </w:p>
        </w:tc>
        <w:tc>
          <w:tcPr>
            <w:tcW w:w="0" w:type="auto"/>
            <w:tcBorders>
              <w:top w:val="nil"/>
              <w:left w:val="nil"/>
              <w:bottom w:val="nil"/>
              <w:right w:val="single" w:sz="4" w:space="0" w:color="auto"/>
            </w:tcBorders>
            <w:shd w:val="clear" w:color="auto" w:fill="D8E4BC"/>
            <w:noWrap/>
            <w:tcMar>
              <w:top w:w="15" w:type="dxa"/>
              <w:left w:w="15" w:type="dxa"/>
              <w:bottom w:w="0" w:type="dxa"/>
              <w:right w:w="15" w:type="dxa"/>
            </w:tcMar>
            <w:vAlign w:val="center"/>
            <w:hideMark/>
          </w:tcPr>
          <w:p w:rsidR="00050C24" w:rsidRPr="008A59F6" w:rsidRDefault="00D11AD2"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6</w:t>
            </w:r>
          </w:p>
        </w:tc>
        <w:tc>
          <w:tcPr>
            <w:tcW w:w="0" w:type="auto"/>
            <w:shd w:val="clear" w:color="auto" w:fill="D8E4BC"/>
            <w:noWrap/>
            <w:tcMar>
              <w:top w:w="15" w:type="dxa"/>
              <w:left w:w="15" w:type="dxa"/>
              <w:bottom w:w="0" w:type="dxa"/>
              <w:right w:w="15" w:type="dxa"/>
            </w:tcMar>
            <w:vAlign w:val="center"/>
            <w:hideMark/>
          </w:tcPr>
          <w:p w:rsidR="00050C24" w:rsidRPr="008A59F6" w:rsidRDefault="00D11AD2"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8</w:t>
            </w:r>
          </w:p>
        </w:tc>
        <w:tc>
          <w:tcPr>
            <w:tcW w:w="0" w:type="auto"/>
            <w:noWrap/>
            <w:tcMar>
              <w:top w:w="15" w:type="dxa"/>
              <w:left w:w="15" w:type="dxa"/>
              <w:bottom w:w="0" w:type="dxa"/>
              <w:right w:w="15" w:type="dxa"/>
            </w:tcMar>
            <w:vAlign w:val="center"/>
            <w:hideMark/>
          </w:tcPr>
          <w:p w:rsidR="00050C24" w:rsidRPr="008A59F6" w:rsidRDefault="00D11AD2"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3</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050C24" w:rsidRPr="00690A93" w:rsidTr="005C6B1F">
        <w:trPr>
          <w:trHeight w:val="300"/>
        </w:trPr>
        <w:tc>
          <w:tcPr>
            <w:tcW w:w="0" w:type="auto"/>
            <w:tcBorders>
              <w:top w:val="nil"/>
              <w:left w:val="nil"/>
              <w:bottom w:val="single" w:sz="4" w:space="0" w:color="auto"/>
              <w:right w:val="nil"/>
            </w:tcBorders>
            <w:noWrap/>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Digit span (backwards)</w:t>
            </w:r>
            <w:r w:rsidR="00D11AD2" w:rsidRPr="008A59F6">
              <w:rPr>
                <w:rFonts w:ascii="Calibri" w:eastAsia="Calibri" w:hAnsi="Calibri" w:cs="Calibri"/>
                <w:color w:val="000000"/>
                <w:sz w:val="20"/>
                <w:szCs w:val="20"/>
              </w:rPr>
              <w:t>: max</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7</w:t>
            </w:r>
          </w:p>
        </w:tc>
        <w:tc>
          <w:tcPr>
            <w:tcW w:w="0" w:type="auto"/>
            <w:tcBorders>
              <w:top w:val="nil"/>
              <w:left w:val="nil"/>
              <w:bottom w:val="single" w:sz="4" w:space="0" w:color="auto"/>
              <w:right w:val="nil"/>
            </w:tcBorders>
            <w:shd w:val="clear" w:color="auto" w:fill="D8E4BC"/>
            <w:noWrap/>
            <w:tcMar>
              <w:top w:w="15" w:type="dxa"/>
              <w:left w:w="15" w:type="dxa"/>
              <w:bottom w:w="0" w:type="dxa"/>
              <w:right w:w="15" w:type="dxa"/>
            </w:tcMar>
            <w:vAlign w:val="center"/>
            <w:hideMark/>
          </w:tcPr>
          <w:p w:rsidR="00050C24" w:rsidRPr="008A59F6" w:rsidRDefault="00D11AD2"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3</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rsidR="00050C24" w:rsidRPr="008A59F6" w:rsidRDefault="00D11AD2"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0</w:t>
            </w:r>
          </w:p>
        </w:tc>
        <w:tc>
          <w:tcPr>
            <w:tcW w:w="0" w:type="auto"/>
            <w:tcBorders>
              <w:top w:val="nil"/>
              <w:left w:val="nil"/>
              <w:bottom w:val="single" w:sz="4" w:space="0" w:color="auto"/>
              <w:right w:val="nil"/>
            </w:tcBorders>
            <w:shd w:val="clear" w:color="auto" w:fill="D8E4BC"/>
            <w:noWrap/>
            <w:tcMar>
              <w:top w:w="15" w:type="dxa"/>
              <w:left w:w="15" w:type="dxa"/>
              <w:bottom w:w="0" w:type="dxa"/>
              <w:right w:w="15" w:type="dxa"/>
            </w:tcMar>
            <w:vAlign w:val="center"/>
            <w:hideMark/>
          </w:tcPr>
          <w:p w:rsidR="00050C24" w:rsidRPr="008A59F6" w:rsidRDefault="00D11AD2"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4</w:t>
            </w:r>
          </w:p>
        </w:tc>
        <w:tc>
          <w:tcPr>
            <w:tcW w:w="0" w:type="auto"/>
            <w:tcBorders>
              <w:top w:val="nil"/>
              <w:left w:val="nil"/>
              <w:bottom w:val="single" w:sz="4" w:space="0" w:color="auto"/>
              <w:right w:val="nil"/>
            </w:tcBorders>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4</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050C24" w:rsidRPr="00690A93" w:rsidTr="008A59F6">
        <w:trPr>
          <w:trHeight w:val="378"/>
        </w:trPr>
        <w:tc>
          <w:tcPr>
            <w:tcW w:w="0" w:type="auto"/>
            <w:gridSpan w:val="8"/>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50C24" w:rsidRPr="008A59F6" w:rsidRDefault="00050C24" w:rsidP="00050C24">
            <w:pPr>
              <w:spacing w:line="240" w:lineRule="auto"/>
              <w:jc w:val="center"/>
              <w:rPr>
                <w:rFonts w:ascii="Calibri" w:eastAsia="Calibri" w:hAnsi="Calibri" w:cs="Calibri"/>
                <w:b/>
                <w:iCs/>
                <w:color w:val="000000"/>
                <w:sz w:val="20"/>
                <w:szCs w:val="20"/>
              </w:rPr>
            </w:pPr>
            <w:r w:rsidRPr="008A59F6">
              <w:rPr>
                <w:rFonts w:ascii="Calibri" w:eastAsia="Calibri" w:hAnsi="Calibri" w:cs="Calibri"/>
                <w:b/>
                <w:iCs/>
                <w:color w:val="000000"/>
                <w:sz w:val="20"/>
                <w:szCs w:val="20"/>
              </w:rPr>
              <w:t>Visual Assessment</w:t>
            </w:r>
          </w:p>
        </w:tc>
      </w:tr>
      <w:tr w:rsidR="00050C24" w:rsidRPr="00690A93" w:rsidTr="00050C24">
        <w:trPr>
          <w:trHeight w:val="300"/>
        </w:trPr>
        <w:tc>
          <w:tcPr>
            <w:tcW w:w="0" w:type="auto"/>
            <w:tcBorders>
              <w:top w:val="single" w:sz="4" w:space="0" w:color="auto"/>
              <w:left w:val="nil"/>
              <w:bottom w:val="nil"/>
              <w:right w:val="nil"/>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Early visual processing</w:t>
            </w:r>
          </w:p>
        </w:tc>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 </w:t>
            </w:r>
          </w:p>
        </w:tc>
        <w:tc>
          <w:tcPr>
            <w:tcW w:w="0" w:type="auto"/>
            <w:tcBorders>
              <w:top w:val="single" w:sz="4" w:space="0" w:color="auto"/>
              <w:left w:val="nil"/>
              <w:bottom w:val="nil"/>
              <w:right w:val="nil"/>
            </w:tcBorders>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tcBorders>
              <w:top w:val="single" w:sz="4" w:space="0" w:color="auto"/>
              <w:left w:val="nil"/>
              <w:bottom w:val="nil"/>
              <w:right w:val="nil"/>
            </w:tcBorders>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tcBorders>
              <w:top w:val="single" w:sz="4" w:space="0" w:color="auto"/>
              <w:left w:val="nil"/>
              <w:bottom w:val="nil"/>
              <w:right w:val="nil"/>
            </w:tcBorders>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tcBorders>
              <w:top w:val="single" w:sz="4" w:space="0" w:color="auto"/>
              <w:left w:val="nil"/>
              <w:bottom w:val="nil"/>
              <w:right w:val="nil"/>
            </w:tcBorders>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tcBorders>
              <w:top w:val="single" w:sz="4" w:space="0" w:color="auto"/>
              <w:left w:val="nil"/>
              <w:bottom w:val="nil"/>
              <w:right w:val="nil"/>
            </w:tcBorders>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r>
      <w:tr w:rsidR="00050C24" w:rsidRPr="00690A93" w:rsidTr="005C6B1F">
        <w:trPr>
          <w:trHeight w:val="300"/>
        </w:trPr>
        <w:tc>
          <w:tcPr>
            <w:tcW w:w="2560" w:type="dxa"/>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Visual acuity (CORVIST</w:t>
            </w:r>
            <w:r w:rsidRPr="008A59F6">
              <w:rPr>
                <w:rFonts w:ascii="Calibri" w:eastAsia="Times New Roman" w:hAnsi="Calibri" w:cs="Calibri"/>
                <w:color w:val="000000"/>
                <w:sz w:val="20"/>
                <w:szCs w:val="20"/>
                <w:vertAlign w:val="superscript"/>
                <w:lang w:eastAsia="en-GB"/>
              </w:rPr>
              <w:t>5</w:t>
            </w:r>
            <w:r w:rsidRPr="008A59F6">
              <w:rPr>
                <w:rFonts w:ascii="Calibri" w:eastAsia="Calibri" w:hAnsi="Calibri" w:cs="Calibri"/>
                <w:color w:val="000000"/>
                <w:sz w:val="20"/>
                <w:szCs w:val="20"/>
              </w:rPr>
              <w:t>): Snellen</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6/9</w:t>
            </w:r>
          </w:p>
        </w:tc>
        <w:tc>
          <w:tcPr>
            <w:tcW w:w="0" w:type="auto"/>
            <w:shd w:val="clear" w:color="auto" w:fill="D6E3BC" w:themeFill="accent3" w:themeFillTint="66"/>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6/9</w:t>
            </w:r>
          </w:p>
        </w:tc>
        <w:tc>
          <w:tcPr>
            <w:tcW w:w="0" w:type="auto"/>
            <w:shd w:val="clear" w:color="auto" w:fill="D6E3BC" w:themeFill="accent3" w:themeFillTint="66"/>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6/9</w:t>
            </w:r>
          </w:p>
        </w:tc>
        <w:tc>
          <w:tcPr>
            <w:tcW w:w="0" w:type="auto"/>
            <w:tcBorders>
              <w:top w:val="nil"/>
              <w:left w:val="nil"/>
              <w:bottom w:val="nil"/>
              <w:right w:val="single" w:sz="4" w:space="0" w:color="auto"/>
            </w:tcBorders>
            <w:shd w:val="clear" w:color="auto" w:fill="D6E3BC" w:themeFill="accent3" w:themeFillTint="66"/>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6/12</w:t>
            </w:r>
          </w:p>
        </w:tc>
        <w:tc>
          <w:tcPr>
            <w:tcW w:w="0" w:type="auto"/>
            <w:shd w:val="clear" w:color="auto" w:fill="D6E3BC" w:themeFill="accent3" w:themeFillTint="66"/>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6/18</w:t>
            </w:r>
          </w:p>
        </w:tc>
        <w:tc>
          <w:tcPr>
            <w:tcW w:w="0" w:type="auto"/>
            <w:shd w:val="clear" w:color="auto" w:fill="D6E3BC" w:themeFill="accent3" w:themeFillTint="66"/>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6/18</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DE0D46" w:rsidRPr="00690A93" w:rsidTr="008A59F6">
        <w:trPr>
          <w:trHeight w:val="685"/>
        </w:trPr>
        <w:tc>
          <w:tcPr>
            <w:tcW w:w="2560" w:type="dxa"/>
            <w:tcMar>
              <w:top w:w="15" w:type="dxa"/>
              <w:left w:w="15" w:type="dxa"/>
              <w:bottom w:w="0" w:type="dxa"/>
              <w:right w:w="15" w:type="dxa"/>
            </w:tcMar>
            <w:vAlign w:val="center"/>
          </w:tcPr>
          <w:p w:rsidR="00DE0D46" w:rsidRPr="008A59F6" w:rsidRDefault="00EA78ED" w:rsidP="007957D3">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w:t>
            </w:r>
            <w:r w:rsidR="00DE0D46" w:rsidRPr="008A59F6">
              <w:rPr>
                <w:rFonts w:ascii="Calibri" w:eastAsia="Calibri" w:hAnsi="Calibri" w:cs="Calibri"/>
                <w:color w:val="000000"/>
                <w:sz w:val="20"/>
                <w:szCs w:val="20"/>
              </w:rPr>
              <w:t>Visual angle equivalent</w:t>
            </w:r>
            <w:r w:rsidR="00965175" w:rsidRPr="008A59F6">
              <w:rPr>
                <w:rFonts w:ascii="Calibri" w:eastAsia="Calibri" w:hAnsi="Calibri" w:cs="Calibri"/>
                <w:color w:val="000000"/>
                <w:sz w:val="20"/>
                <w:szCs w:val="20"/>
              </w:rPr>
              <w:t xml:space="preserve"> at 30cm viewing distanc</w:t>
            </w:r>
            <w:r w:rsidRPr="008A59F6">
              <w:rPr>
                <w:rFonts w:ascii="Calibri" w:eastAsia="Calibri" w:hAnsi="Calibri" w:cs="Calibri"/>
                <w:color w:val="000000"/>
                <w:sz w:val="20"/>
                <w:szCs w:val="20"/>
              </w:rPr>
              <w:t>e]</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tcPr>
          <w:p w:rsidR="00DE0D46" w:rsidRPr="008A59F6" w:rsidRDefault="00DE0D46" w:rsidP="00050C24">
            <w:pPr>
              <w:jc w:val="center"/>
              <w:rPr>
                <w:rFonts w:ascii="Calibri" w:eastAsia="Calibri" w:hAnsi="Calibri" w:cs="Calibri"/>
                <w:color w:val="000000"/>
                <w:sz w:val="20"/>
                <w:szCs w:val="20"/>
              </w:rPr>
            </w:pPr>
          </w:p>
        </w:tc>
        <w:tc>
          <w:tcPr>
            <w:tcW w:w="0" w:type="auto"/>
            <w:shd w:val="clear" w:color="auto" w:fill="D6E3BC" w:themeFill="accent3" w:themeFillTint="66"/>
            <w:noWrap/>
            <w:tcMar>
              <w:top w:w="15" w:type="dxa"/>
              <w:left w:w="15" w:type="dxa"/>
              <w:bottom w:w="0" w:type="dxa"/>
              <w:right w:w="15" w:type="dxa"/>
            </w:tcMar>
            <w:vAlign w:val="center"/>
          </w:tcPr>
          <w:p w:rsidR="00DE0D46" w:rsidRPr="008A59F6" w:rsidRDefault="00DE0D46"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0.095</w:t>
            </w:r>
            <w:r w:rsidRPr="008A59F6">
              <w:rPr>
                <w:sz w:val="20"/>
                <w:szCs w:val="20"/>
              </w:rPr>
              <w:t>°</w:t>
            </w:r>
          </w:p>
        </w:tc>
        <w:tc>
          <w:tcPr>
            <w:tcW w:w="0" w:type="auto"/>
            <w:shd w:val="clear" w:color="auto" w:fill="D6E3BC" w:themeFill="accent3" w:themeFillTint="66"/>
            <w:noWrap/>
            <w:tcMar>
              <w:top w:w="15" w:type="dxa"/>
              <w:left w:w="15" w:type="dxa"/>
              <w:bottom w:w="0" w:type="dxa"/>
              <w:right w:w="15" w:type="dxa"/>
            </w:tcMar>
            <w:vAlign w:val="center"/>
          </w:tcPr>
          <w:p w:rsidR="00DE0D46" w:rsidRPr="008A59F6" w:rsidRDefault="00DE0D46"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0.095</w:t>
            </w:r>
            <w:r w:rsidRPr="008A59F6">
              <w:rPr>
                <w:sz w:val="20"/>
                <w:szCs w:val="20"/>
              </w:rPr>
              <w:t>°</w:t>
            </w:r>
          </w:p>
        </w:tc>
        <w:tc>
          <w:tcPr>
            <w:tcW w:w="0" w:type="auto"/>
            <w:tcBorders>
              <w:top w:val="nil"/>
              <w:left w:val="nil"/>
              <w:bottom w:val="nil"/>
              <w:right w:val="single" w:sz="4" w:space="0" w:color="auto"/>
            </w:tcBorders>
            <w:shd w:val="clear" w:color="auto" w:fill="D6E3BC" w:themeFill="accent3" w:themeFillTint="66"/>
            <w:noWrap/>
            <w:tcMar>
              <w:top w:w="15" w:type="dxa"/>
              <w:left w:w="15" w:type="dxa"/>
              <w:bottom w:w="0" w:type="dxa"/>
              <w:right w:w="15" w:type="dxa"/>
            </w:tcMar>
            <w:vAlign w:val="center"/>
          </w:tcPr>
          <w:p w:rsidR="00DE0D46" w:rsidRPr="008A59F6" w:rsidRDefault="00DE0D46"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0.134</w:t>
            </w:r>
            <w:r w:rsidRPr="008A59F6">
              <w:rPr>
                <w:sz w:val="20"/>
                <w:szCs w:val="20"/>
              </w:rPr>
              <w:t>°</w:t>
            </w:r>
          </w:p>
        </w:tc>
        <w:tc>
          <w:tcPr>
            <w:tcW w:w="0" w:type="auto"/>
            <w:shd w:val="clear" w:color="auto" w:fill="D6E3BC" w:themeFill="accent3" w:themeFillTint="66"/>
            <w:noWrap/>
            <w:tcMar>
              <w:top w:w="15" w:type="dxa"/>
              <w:left w:w="15" w:type="dxa"/>
              <w:bottom w:w="0" w:type="dxa"/>
              <w:right w:w="15" w:type="dxa"/>
            </w:tcMar>
            <w:vAlign w:val="center"/>
          </w:tcPr>
          <w:p w:rsidR="00DE0D46" w:rsidRPr="008A59F6" w:rsidRDefault="00DE0D46"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0.191</w:t>
            </w:r>
            <w:r w:rsidRPr="008A59F6">
              <w:rPr>
                <w:sz w:val="20"/>
                <w:szCs w:val="20"/>
              </w:rPr>
              <w:t>°</w:t>
            </w:r>
          </w:p>
        </w:tc>
        <w:tc>
          <w:tcPr>
            <w:tcW w:w="0" w:type="auto"/>
            <w:shd w:val="clear" w:color="auto" w:fill="D6E3BC" w:themeFill="accent3" w:themeFillTint="66"/>
            <w:noWrap/>
            <w:tcMar>
              <w:top w:w="15" w:type="dxa"/>
              <w:left w:w="15" w:type="dxa"/>
              <w:bottom w:w="0" w:type="dxa"/>
              <w:right w:w="15" w:type="dxa"/>
            </w:tcMar>
            <w:vAlign w:val="center"/>
          </w:tcPr>
          <w:p w:rsidR="00DE0D46" w:rsidRPr="008A59F6" w:rsidRDefault="00DE0D46"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0.191</w:t>
            </w:r>
            <w:r w:rsidRPr="008A59F6">
              <w:rPr>
                <w:sz w:val="20"/>
                <w:szCs w:val="20"/>
              </w:rPr>
              <w:t>°</w:t>
            </w:r>
          </w:p>
        </w:tc>
        <w:tc>
          <w:tcPr>
            <w:tcW w:w="0" w:type="auto"/>
            <w:noWrap/>
            <w:tcMar>
              <w:top w:w="15" w:type="dxa"/>
              <w:left w:w="15" w:type="dxa"/>
              <w:bottom w:w="0" w:type="dxa"/>
              <w:right w:w="15" w:type="dxa"/>
            </w:tcMar>
            <w:vAlign w:val="center"/>
          </w:tcPr>
          <w:p w:rsidR="00DE0D46" w:rsidRPr="008A59F6" w:rsidRDefault="00DE0D46"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w:t>
            </w:r>
          </w:p>
        </w:tc>
      </w:tr>
      <w:tr w:rsidR="00050C24" w:rsidRPr="00690A93" w:rsidTr="005C6B1F">
        <w:trPr>
          <w:trHeight w:val="300"/>
        </w:trPr>
        <w:tc>
          <w:tcPr>
            <w:tcW w:w="2560" w:type="dxa"/>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Figure-ground (VOSP</w:t>
            </w:r>
            <w:r w:rsidRPr="008A59F6">
              <w:rPr>
                <w:rFonts w:ascii="Calibri" w:eastAsia="Times New Roman" w:hAnsi="Calibri" w:cs="Calibri"/>
                <w:color w:val="000000"/>
                <w:sz w:val="20"/>
                <w:szCs w:val="20"/>
                <w:vertAlign w:val="superscript"/>
                <w:lang w:eastAsia="en-GB"/>
              </w:rPr>
              <w:t>6</w:t>
            </w:r>
            <w:r w:rsidRPr="008A59F6">
              <w:rPr>
                <w:rFonts w:ascii="Calibri" w:eastAsia="Calibri" w:hAnsi="Calibri" w:cs="Calibri"/>
                <w:color w:val="000000"/>
                <w:sz w:val="20"/>
                <w:szCs w:val="20"/>
              </w:rPr>
              <w:t>)</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17</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16</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17</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14</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11</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050C24" w:rsidRPr="00690A93" w:rsidTr="005C6B1F">
        <w:trPr>
          <w:trHeight w:val="300"/>
        </w:trPr>
        <w:tc>
          <w:tcPr>
            <w:tcW w:w="2560" w:type="dxa"/>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Shape discrimination</w:t>
            </w:r>
            <w:r w:rsidRPr="008A59F6">
              <w:rPr>
                <w:rFonts w:ascii="Calibri" w:eastAsia="Times New Roman" w:hAnsi="Calibri" w:cs="Calibri"/>
                <w:color w:val="000000"/>
                <w:sz w:val="20"/>
                <w:szCs w:val="20"/>
                <w:vertAlign w:val="superscript"/>
                <w:lang w:eastAsia="en-GB"/>
              </w:rPr>
              <w:t>7</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17</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7</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13</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050C24" w:rsidRPr="00690A93" w:rsidTr="00050C24">
        <w:trPr>
          <w:trHeight w:val="300"/>
        </w:trPr>
        <w:tc>
          <w:tcPr>
            <w:tcW w:w="2560" w:type="dxa"/>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Visuospatial processing</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 </w:t>
            </w:r>
          </w:p>
        </w:tc>
        <w:tc>
          <w:tcPr>
            <w:tcW w:w="0" w:type="auto"/>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r>
      <w:tr w:rsidR="00050C24" w:rsidRPr="00690A93" w:rsidTr="005C6B1F">
        <w:trPr>
          <w:trHeight w:val="300"/>
        </w:trPr>
        <w:tc>
          <w:tcPr>
            <w:tcW w:w="2560" w:type="dxa"/>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Number location (VOSP)</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5</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0</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5</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050C24" w:rsidRPr="00690A93" w:rsidTr="005C6B1F">
        <w:trPr>
          <w:trHeight w:val="300"/>
        </w:trPr>
        <w:tc>
          <w:tcPr>
            <w:tcW w:w="2560" w:type="dxa"/>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Dot counting (VOSP)</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7</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3</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0</w:t>
            </w:r>
          </w:p>
        </w:tc>
        <w:tc>
          <w:tcPr>
            <w:tcW w:w="0" w:type="auto"/>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E65F37" w:rsidRPr="00690A93" w:rsidTr="008A59F6">
        <w:trPr>
          <w:trHeight w:val="300"/>
        </w:trPr>
        <w:tc>
          <w:tcPr>
            <w:tcW w:w="2560" w:type="dxa"/>
            <w:tcMar>
              <w:top w:w="15" w:type="dxa"/>
              <w:left w:w="15" w:type="dxa"/>
              <w:bottom w:w="0" w:type="dxa"/>
              <w:right w:w="15" w:type="dxa"/>
            </w:tcMar>
            <w:vAlign w:val="center"/>
          </w:tcPr>
          <w:p w:rsidR="00E65F37" w:rsidRPr="008A59F6" w:rsidRDefault="00E65F37">
            <w:pPr>
              <w:rPr>
                <w:rFonts w:ascii="Calibri" w:eastAsia="Calibri" w:hAnsi="Calibri" w:cs="Calibri"/>
                <w:color w:val="000000"/>
                <w:sz w:val="20"/>
                <w:szCs w:val="20"/>
              </w:rPr>
            </w:pPr>
            <w:r w:rsidRPr="008A59F6">
              <w:rPr>
                <w:rFonts w:ascii="Calibri" w:eastAsia="Calibri" w:hAnsi="Calibri" w:cs="Calibri"/>
                <w:color w:val="000000"/>
                <w:sz w:val="20"/>
                <w:szCs w:val="20"/>
              </w:rPr>
              <w:t>A Cancellation</w:t>
            </w:r>
            <w:r w:rsidRPr="008A59F6">
              <w:rPr>
                <w:rFonts w:ascii="Calibri" w:eastAsia="Times New Roman" w:hAnsi="Calibri" w:cs="Calibri"/>
                <w:color w:val="000000"/>
                <w:sz w:val="20"/>
                <w:szCs w:val="20"/>
                <w:vertAlign w:val="superscript"/>
                <w:lang w:eastAsia="en-GB"/>
              </w:rPr>
              <w:t>8</w:t>
            </w:r>
            <w:r w:rsidRPr="008A59F6">
              <w:rPr>
                <w:rFonts w:ascii="Calibri" w:eastAsia="Calibri" w:hAnsi="Calibri" w:cs="Calibri"/>
                <w:color w:val="000000"/>
                <w:sz w:val="20"/>
                <w:szCs w:val="20"/>
              </w:rPr>
              <w:t>: completion time</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90s</w:t>
            </w:r>
          </w:p>
        </w:tc>
        <w:tc>
          <w:tcPr>
            <w:tcW w:w="0" w:type="auto"/>
            <w:noWrap/>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60s</w:t>
            </w:r>
          </w:p>
        </w:tc>
        <w:tc>
          <w:tcPr>
            <w:tcW w:w="0" w:type="auto"/>
            <w:noWrap/>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90s</w:t>
            </w:r>
          </w:p>
        </w:tc>
        <w:tc>
          <w:tcPr>
            <w:tcW w:w="0" w:type="auto"/>
            <w:tcBorders>
              <w:top w:val="nil"/>
              <w:left w:val="nil"/>
              <w:bottom w:val="nil"/>
              <w:right w:val="single" w:sz="4" w:space="0" w:color="auto"/>
            </w:tcBorders>
            <w:noWrap/>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90s</w:t>
            </w:r>
          </w:p>
        </w:tc>
        <w:tc>
          <w:tcPr>
            <w:tcW w:w="0" w:type="auto"/>
            <w:shd w:val="clear" w:color="auto" w:fill="auto"/>
            <w:noWrap/>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50s</w:t>
            </w:r>
          </w:p>
        </w:tc>
        <w:tc>
          <w:tcPr>
            <w:tcW w:w="0" w:type="auto"/>
            <w:noWrap/>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90s</w:t>
            </w:r>
          </w:p>
        </w:tc>
        <w:tc>
          <w:tcPr>
            <w:tcW w:w="0" w:type="auto"/>
            <w:noWrap/>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E65F37" w:rsidRPr="00690A93" w:rsidTr="008A59F6">
        <w:trPr>
          <w:trHeight w:val="300"/>
        </w:trPr>
        <w:tc>
          <w:tcPr>
            <w:tcW w:w="2560" w:type="dxa"/>
            <w:tcMar>
              <w:top w:w="15" w:type="dxa"/>
              <w:left w:w="15" w:type="dxa"/>
              <w:bottom w:w="0" w:type="dxa"/>
              <w:right w:w="15" w:type="dxa"/>
            </w:tcMar>
            <w:vAlign w:val="center"/>
          </w:tcPr>
          <w:p w:rsidR="00E65F37" w:rsidRPr="008A59F6" w:rsidRDefault="00E65F37" w:rsidP="00E65F37">
            <w:pPr>
              <w:rPr>
                <w:rFonts w:ascii="Calibri" w:eastAsia="Calibri" w:hAnsi="Calibri" w:cs="Calibri"/>
                <w:color w:val="000000"/>
                <w:sz w:val="20"/>
                <w:szCs w:val="20"/>
              </w:rPr>
            </w:pPr>
            <w:r w:rsidRPr="008A59F6">
              <w:rPr>
                <w:rFonts w:ascii="Calibri" w:eastAsia="Calibri" w:hAnsi="Calibri" w:cs="Calibri"/>
                <w:color w:val="000000"/>
                <w:sz w:val="20"/>
                <w:szCs w:val="20"/>
              </w:rPr>
              <w:t>A Cancellation: letters missed</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19</w:t>
            </w:r>
          </w:p>
        </w:tc>
        <w:tc>
          <w:tcPr>
            <w:tcW w:w="0" w:type="auto"/>
            <w:noWrap/>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w:t>
            </w:r>
          </w:p>
        </w:tc>
        <w:tc>
          <w:tcPr>
            <w:tcW w:w="0" w:type="auto"/>
            <w:noWrap/>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6</w:t>
            </w:r>
          </w:p>
        </w:tc>
        <w:tc>
          <w:tcPr>
            <w:tcW w:w="0" w:type="auto"/>
            <w:tcBorders>
              <w:top w:val="nil"/>
              <w:left w:val="nil"/>
              <w:bottom w:val="nil"/>
              <w:right w:val="single" w:sz="4" w:space="0" w:color="auto"/>
            </w:tcBorders>
            <w:noWrap/>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16</w:t>
            </w:r>
          </w:p>
        </w:tc>
        <w:tc>
          <w:tcPr>
            <w:tcW w:w="0" w:type="auto"/>
            <w:shd w:val="clear" w:color="auto" w:fill="auto"/>
            <w:noWrap/>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0</w:t>
            </w:r>
          </w:p>
        </w:tc>
        <w:tc>
          <w:tcPr>
            <w:tcW w:w="0" w:type="auto"/>
            <w:noWrap/>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6</w:t>
            </w:r>
          </w:p>
        </w:tc>
        <w:tc>
          <w:tcPr>
            <w:tcW w:w="0" w:type="auto"/>
            <w:noWrap/>
            <w:tcMar>
              <w:top w:w="15" w:type="dxa"/>
              <w:left w:w="15" w:type="dxa"/>
              <w:bottom w:w="0" w:type="dxa"/>
              <w:right w:w="15" w:type="dxa"/>
            </w:tcMar>
            <w:vAlign w:val="center"/>
          </w:tcPr>
          <w:p w:rsidR="00E65F37" w:rsidRPr="008A59F6" w:rsidRDefault="00E65F37"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050C24" w:rsidRPr="00690A93" w:rsidTr="00050C24">
        <w:trPr>
          <w:trHeight w:val="300"/>
        </w:trPr>
        <w:tc>
          <w:tcPr>
            <w:tcW w:w="2560" w:type="dxa"/>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Visuoperceptual processing</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 </w:t>
            </w:r>
          </w:p>
        </w:tc>
        <w:tc>
          <w:tcPr>
            <w:tcW w:w="0" w:type="auto"/>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c>
          <w:tcPr>
            <w:tcW w:w="0" w:type="auto"/>
            <w:noWrap/>
            <w:tcMar>
              <w:top w:w="15" w:type="dxa"/>
              <w:left w:w="15" w:type="dxa"/>
              <w:bottom w:w="0" w:type="dxa"/>
              <w:right w:w="15" w:type="dxa"/>
            </w:tcMar>
            <w:vAlign w:val="center"/>
            <w:hideMark/>
          </w:tcPr>
          <w:p w:rsidR="00050C24" w:rsidRPr="008A59F6" w:rsidRDefault="00050C24" w:rsidP="00050C24">
            <w:pPr>
              <w:spacing w:after="0"/>
              <w:rPr>
                <w:rFonts w:ascii="Calibri" w:eastAsia="Calibri" w:hAnsi="Calibri" w:cs="Times New Roman"/>
                <w:sz w:val="20"/>
                <w:szCs w:val="20"/>
              </w:rPr>
            </w:pPr>
          </w:p>
        </w:tc>
      </w:tr>
      <w:tr w:rsidR="00050C24" w:rsidRPr="00690A93" w:rsidTr="005C6B1F">
        <w:trPr>
          <w:trHeight w:val="300"/>
        </w:trPr>
        <w:tc>
          <w:tcPr>
            <w:tcW w:w="2560" w:type="dxa"/>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Object decision (VOSP)</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20</w:t>
            </w:r>
          </w:p>
        </w:tc>
        <w:tc>
          <w:tcPr>
            <w:tcW w:w="0" w:type="auto"/>
            <w:shd w:val="clear" w:color="auto" w:fill="D8E4BC"/>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15</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14</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13</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7</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050C24" w:rsidRPr="00690A93" w:rsidTr="005C6B1F">
        <w:trPr>
          <w:trHeight w:val="300"/>
        </w:trPr>
        <w:tc>
          <w:tcPr>
            <w:tcW w:w="2560" w:type="dxa"/>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Fragmented letters (VOSP)</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8</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5</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050C24" w:rsidRPr="00690A93" w:rsidTr="005C6B1F">
        <w:trPr>
          <w:trHeight w:val="300"/>
        </w:trPr>
        <w:tc>
          <w:tcPr>
            <w:tcW w:w="2560" w:type="dxa"/>
            <w:tcMar>
              <w:top w:w="15" w:type="dxa"/>
              <w:left w:w="15" w:type="dxa"/>
              <w:bottom w:w="0" w:type="dxa"/>
              <w:right w:w="15" w:type="dxa"/>
            </w:tcMar>
            <w:vAlign w:val="center"/>
            <w:hideMark/>
          </w:tcPr>
          <w:p w:rsidR="00FE18E8" w:rsidRPr="008A59F6" w:rsidRDefault="00050C24" w:rsidP="00E65F37">
            <w:pPr>
              <w:rPr>
                <w:rFonts w:ascii="Calibri" w:eastAsia="Calibri" w:hAnsi="Calibri" w:cs="Calibri"/>
                <w:color w:val="000000"/>
                <w:sz w:val="20"/>
                <w:szCs w:val="20"/>
              </w:rPr>
            </w:pPr>
            <w:r w:rsidRPr="008A59F6">
              <w:rPr>
                <w:rFonts w:ascii="Calibri" w:eastAsia="Calibri" w:hAnsi="Calibri" w:cs="Calibri"/>
                <w:color w:val="000000"/>
                <w:sz w:val="20"/>
                <w:szCs w:val="20"/>
              </w:rPr>
              <w:t xml:space="preserve">Usual </w:t>
            </w:r>
            <w:r w:rsidR="00E65F37" w:rsidRPr="008A59F6">
              <w:rPr>
                <w:rFonts w:ascii="Calibri" w:eastAsia="Calibri" w:hAnsi="Calibri" w:cs="Calibri"/>
                <w:color w:val="000000"/>
                <w:sz w:val="20"/>
                <w:szCs w:val="20"/>
              </w:rPr>
              <w:t>views</w:t>
            </w:r>
            <w:r w:rsidR="00E65F37" w:rsidRPr="008A59F6">
              <w:rPr>
                <w:rFonts w:ascii="Calibri" w:eastAsia="Times New Roman" w:hAnsi="Calibri" w:cs="Calibri"/>
                <w:color w:val="000000"/>
                <w:sz w:val="20"/>
                <w:szCs w:val="20"/>
                <w:vertAlign w:val="superscript"/>
                <w:lang w:eastAsia="en-GB"/>
              </w:rPr>
              <w:t>9</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18</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20</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5</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r w:rsidR="00050C24" w:rsidRPr="00690A93" w:rsidTr="005C6B1F">
        <w:trPr>
          <w:trHeight w:val="300"/>
        </w:trPr>
        <w:tc>
          <w:tcPr>
            <w:tcW w:w="2560" w:type="dxa"/>
            <w:tcMar>
              <w:top w:w="15" w:type="dxa"/>
              <w:left w:w="15" w:type="dxa"/>
              <w:bottom w:w="0" w:type="dxa"/>
              <w:right w:w="15" w:type="dxa"/>
            </w:tcMar>
            <w:vAlign w:val="center"/>
            <w:hideMark/>
          </w:tcPr>
          <w:p w:rsidR="00FE18E8" w:rsidRPr="008A59F6" w:rsidRDefault="00050C24" w:rsidP="005C6B1F">
            <w:pPr>
              <w:rPr>
                <w:rFonts w:ascii="Calibri" w:eastAsia="Calibri" w:hAnsi="Calibri" w:cs="Calibri"/>
                <w:color w:val="000000"/>
                <w:sz w:val="20"/>
                <w:szCs w:val="20"/>
              </w:rPr>
            </w:pPr>
            <w:r w:rsidRPr="008A59F6">
              <w:rPr>
                <w:rFonts w:ascii="Calibri" w:eastAsia="Calibri" w:hAnsi="Calibri" w:cs="Calibri"/>
                <w:color w:val="000000"/>
                <w:sz w:val="20"/>
                <w:szCs w:val="20"/>
              </w:rPr>
              <w:t>Unusual views</w:t>
            </w:r>
          </w:p>
        </w:tc>
        <w:tc>
          <w:tcPr>
            <w:tcW w:w="540" w:type="dxa"/>
            <w:tcBorders>
              <w:top w:val="nil"/>
              <w:left w:val="single" w:sz="4" w:space="0" w:color="auto"/>
              <w:bottom w:val="nil"/>
              <w:right w:val="single" w:sz="4" w:space="0" w:color="auto"/>
            </w:tcBorders>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20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10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6</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color w:val="000000"/>
                <w:sz w:val="20"/>
                <w:szCs w:val="20"/>
              </w:rPr>
            </w:pPr>
            <w:r w:rsidRPr="008A59F6">
              <w:rPr>
                <w:rFonts w:ascii="Calibri" w:eastAsia="Calibri" w:hAnsi="Calibri" w:cs="Calibri"/>
                <w:color w:val="000000"/>
                <w:sz w:val="20"/>
                <w:szCs w:val="20"/>
              </w:rPr>
              <w:t>0</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c>
          <w:tcPr>
            <w:tcW w:w="0" w:type="auto"/>
            <w:noWrap/>
            <w:tcMar>
              <w:top w:w="15" w:type="dxa"/>
              <w:left w:w="15" w:type="dxa"/>
              <w:bottom w:w="0" w:type="dxa"/>
              <w:right w:w="15" w:type="dxa"/>
            </w:tcMar>
            <w:vAlign w:val="center"/>
            <w:hideMark/>
          </w:tcPr>
          <w:p w:rsidR="00050C24" w:rsidRPr="008A59F6" w:rsidRDefault="00050C24" w:rsidP="00050C24">
            <w:pPr>
              <w:jc w:val="center"/>
              <w:rPr>
                <w:rFonts w:ascii="Calibri" w:eastAsia="Calibri" w:hAnsi="Calibri" w:cs="Calibri"/>
                <w:i/>
                <w:iCs/>
                <w:color w:val="000000"/>
                <w:sz w:val="20"/>
                <w:szCs w:val="20"/>
              </w:rPr>
            </w:pPr>
            <w:r w:rsidRPr="008A59F6">
              <w:rPr>
                <w:rFonts w:ascii="Calibri" w:eastAsia="Calibri" w:hAnsi="Calibri" w:cs="Calibri"/>
                <w:i/>
                <w:iCs/>
                <w:color w:val="000000"/>
                <w:sz w:val="20"/>
                <w:szCs w:val="20"/>
              </w:rPr>
              <w:t>NT</w:t>
            </w:r>
          </w:p>
        </w:tc>
      </w:tr>
    </w:tbl>
    <w:p w:rsidR="00050C24" w:rsidRPr="00216999" w:rsidRDefault="00050C24" w:rsidP="00651597">
      <w:pPr>
        <w:contextualSpacing/>
        <w:rPr>
          <w:rFonts w:ascii="Calibri" w:eastAsia="Times New Roman" w:hAnsi="Calibri" w:cs="Calibri"/>
          <w:sz w:val="24"/>
          <w:szCs w:val="24"/>
          <w:lang w:eastAsia="en-GB"/>
        </w:rPr>
      </w:pPr>
      <w:r w:rsidRPr="00216999">
        <w:rPr>
          <w:rFonts w:ascii="Calibri" w:eastAsia="Times New Roman" w:hAnsi="Calibri" w:cs="Calibri"/>
          <w:sz w:val="24"/>
          <w:szCs w:val="24"/>
          <w:vertAlign w:val="superscript"/>
          <w:lang w:eastAsia="en-GB"/>
        </w:rPr>
        <w:t>1</w:t>
      </w:r>
      <w:r w:rsidRPr="00216999">
        <w:rPr>
          <w:rFonts w:ascii="Calibri" w:eastAsia="Times New Roman" w:hAnsi="Calibri" w:cs="Calibri"/>
          <w:sz w:val="24"/>
          <w:szCs w:val="24"/>
          <w:lang w:eastAsia="en-GB"/>
        </w:rPr>
        <w:t xml:space="preserve"> Mini-Mental State Examination (MMSE: Folstein, Folstein &amp; McHugh, 1975).</w:t>
      </w:r>
      <w:r w:rsidRPr="00216999">
        <w:rPr>
          <w:rFonts w:ascii="Calibri" w:eastAsia="Times New Roman" w:hAnsi="Calibri" w:cs="Calibri"/>
          <w:sz w:val="24"/>
          <w:szCs w:val="24"/>
          <w:vertAlign w:val="superscript"/>
          <w:lang w:eastAsia="en-GB"/>
        </w:rPr>
        <w:t xml:space="preserve"> 2</w:t>
      </w:r>
      <w:r w:rsidRPr="00216999">
        <w:rPr>
          <w:rFonts w:ascii="Calibri" w:eastAsia="Times New Roman" w:hAnsi="Calibri" w:cs="Calibri"/>
          <w:sz w:val="24"/>
          <w:szCs w:val="24"/>
          <w:lang w:eastAsia="en-GB"/>
        </w:rPr>
        <w:t xml:space="preserve"> Warrington (1996). </w:t>
      </w:r>
      <w:r w:rsidRPr="00216999">
        <w:rPr>
          <w:rFonts w:ascii="Calibri" w:eastAsia="Times New Roman" w:hAnsi="Calibri" w:cs="Calibri"/>
          <w:sz w:val="24"/>
          <w:szCs w:val="24"/>
          <w:vertAlign w:val="superscript"/>
          <w:lang w:eastAsia="en-GB"/>
        </w:rPr>
        <w:t>3</w:t>
      </w:r>
      <w:r w:rsidRPr="00216999">
        <w:rPr>
          <w:rFonts w:ascii="Calibri" w:eastAsia="Times New Roman" w:hAnsi="Calibri" w:cs="Calibri"/>
          <w:sz w:val="24"/>
          <w:szCs w:val="24"/>
          <w:lang w:eastAsia="en-GB"/>
        </w:rPr>
        <w:t xml:space="preserve"> Warrington, McKenna and Orpwood (1998). </w:t>
      </w:r>
      <w:r w:rsidRPr="00216999">
        <w:rPr>
          <w:rFonts w:ascii="Calibri" w:eastAsia="Times New Roman" w:hAnsi="Calibri" w:cs="Calibri"/>
          <w:sz w:val="24"/>
          <w:szCs w:val="24"/>
          <w:vertAlign w:val="superscript"/>
          <w:lang w:eastAsia="en-GB"/>
        </w:rPr>
        <w:t>4</w:t>
      </w:r>
      <w:r w:rsidRPr="00216999">
        <w:rPr>
          <w:rFonts w:ascii="Calibri" w:eastAsia="Times New Roman" w:hAnsi="Calibri" w:cs="Calibri"/>
          <w:sz w:val="24"/>
          <w:szCs w:val="24"/>
          <w:lang w:eastAsia="en-GB"/>
        </w:rPr>
        <w:t xml:space="preserve"> Graded Difficulty Spelling Test (GDST; Baxter &amp; Warrington, 1994). </w:t>
      </w:r>
      <w:r w:rsidRPr="00216999">
        <w:rPr>
          <w:rFonts w:ascii="Calibri" w:eastAsia="Times New Roman" w:hAnsi="Calibri" w:cs="Calibri"/>
          <w:color w:val="000000"/>
          <w:sz w:val="24"/>
          <w:szCs w:val="24"/>
          <w:vertAlign w:val="superscript"/>
          <w:lang w:eastAsia="en-GB"/>
        </w:rPr>
        <w:t>5</w:t>
      </w:r>
      <w:r w:rsidRPr="00216999">
        <w:rPr>
          <w:rFonts w:ascii="Calibri" w:eastAsia="Times New Roman" w:hAnsi="Calibri" w:cs="Calibri"/>
          <w:sz w:val="24"/>
          <w:szCs w:val="24"/>
          <w:lang w:eastAsia="en-GB"/>
        </w:rPr>
        <w:t xml:space="preserve"> Cortical Visual Screening Test (CORVIST; James, Plant &amp; Warrington, 2001).</w:t>
      </w:r>
      <w:r w:rsidRPr="00216999">
        <w:rPr>
          <w:rFonts w:ascii="Calibri" w:eastAsia="Times New Roman" w:hAnsi="Calibri" w:cs="Calibri"/>
          <w:sz w:val="24"/>
          <w:szCs w:val="24"/>
          <w:vertAlign w:val="superscript"/>
          <w:lang w:eastAsia="en-GB"/>
        </w:rPr>
        <w:t xml:space="preserve"> </w:t>
      </w:r>
      <w:r w:rsidRPr="00216999">
        <w:rPr>
          <w:rFonts w:ascii="Calibri" w:eastAsia="Times New Roman" w:hAnsi="Calibri" w:cs="Calibri"/>
          <w:sz w:val="24"/>
          <w:szCs w:val="24"/>
          <w:lang w:eastAsia="en-GB"/>
        </w:rPr>
        <w:t xml:space="preserve"> </w:t>
      </w:r>
      <w:r w:rsidRPr="00216999">
        <w:rPr>
          <w:rFonts w:ascii="Calibri" w:eastAsia="Times New Roman" w:hAnsi="Calibri" w:cs="Calibri"/>
          <w:sz w:val="24"/>
          <w:szCs w:val="24"/>
          <w:vertAlign w:val="superscript"/>
          <w:lang w:eastAsia="en-GB"/>
        </w:rPr>
        <w:t>6</w:t>
      </w:r>
      <w:r w:rsidRPr="00216999">
        <w:rPr>
          <w:rFonts w:ascii="Calibri" w:eastAsia="Times New Roman" w:hAnsi="Calibri" w:cs="Calibri"/>
          <w:sz w:val="24"/>
          <w:szCs w:val="24"/>
          <w:lang w:eastAsia="en-GB"/>
        </w:rPr>
        <w:t xml:space="preserve"> Visual Object and Space Perception Battery (VOSP; Warrington &amp; James, 1991).</w:t>
      </w:r>
      <w:r w:rsidRPr="00216999">
        <w:rPr>
          <w:rFonts w:ascii="Calibri" w:eastAsia="Times New Roman" w:hAnsi="Calibri" w:cs="Calibri"/>
          <w:sz w:val="24"/>
          <w:szCs w:val="24"/>
          <w:vertAlign w:val="superscript"/>
          <w:lang w:eastAsia="en-GB"/>
        </w:rPr>
        <w:t xml:space="preserve"> 7</w:t>
      </w:r>
      <w:r w:rsidRPr="00216999">
        <w:rPr>
          <w:rFonts w:ascii="Calibri" w:eastAsia="Times New Roman" w:hAnsi="Calibri" w:cs="Calibri"/>
          <w:sz w:val="24"/>
          <w:szCs w:val="24"/>
          <w:lang w:eastAsia="en-GB"/>
        </w:rPr>
        <w:t xml:space="preserve"> Efron (1968): oblong edge ratio 1:1.20.</w:t>
      </w:r>
      <w:r w:rsidRPr="00216999">
        <w:rPr>
          <w:rFonts w:ascii="Calibri" w:eastAsia="Times New Roman" w:hAnsi="Calibri" w:cs="Calibri"/>
          <w:sz w:val="24"/>
          <w:szCs w:val="24"/>
          <w:vertAlign w:val="superscript"/>
          <w:lang w:eastAsia="en-GB"/>
        </w:rPr>
        <w:t xml:space="preserve"> 8</w:t>
      </w:r>
      <w:r w:rsidR="00E65F37" w:rsidRPr="00E65F37">
        <w:rPr>
          <w:rFonts w:ascii="Calibri" w:eastAsia="Times New Roman" w:hAnsi="Calibri" w:cs="Calibri"/>
          <w:sz w:val="24"/>
          <w:szCs w:val="24"/>
          <w:lang w:eastAsia="en-GB"/>
        </w:rPr>
        <w:t>Willison &amp; Warrington, 1992</w:t>
      </w:r>
      <w:r w:rsidR="00E65F37">
        <w:rPr>
          <w:rFonts w:ascii="Calibri" w:eastAsia="Times New Roman" w:hAnsi="Calibri" w:cs="Calibri"/>
          <w:sz w:val="24"/>
          <w:szCs w:val="24"/>
          <w:lang w:eastAsia="en-GB"/>
        </w:rPr>
        <w:t xml:space="preserve">, </w:t>
      </w:r>
      <w:r w:rsidR="00E65F37">
        <w:rPr>
          <w:rFonts w:ascii="Calibri" w:eastAsia="Times New Roman" w:hAnsi="Calibri" w:cs="Calibri"/>
          <w:sz w:val="24"/>
          <w:szCs w:val="24"/>
          <w:vertAlign w:val="superscript"/>
          <w:lang w:eastAsia="en-GB"/>
        </w:rPr>
        <w:t>9</w:t>
      </w:r>
      <w:r w:rsidRPr="00216999">
        <w:rPr>
          <w:rFonts w:ascii="Calibri" w:eastAsia="Times New Roman" w:hAnsi="Calibri" w:cs="Calibri"/>
          <w:sz w:val="24"/>
          <w:szCs w:val="24"/>
          <w:lang w:eastAsia="en-GB"/>
        </w:rPr>
        <w:t>Warrington and James (1988).</w:t>
      </w:r>
    </w:p>
    <w:p w:rsidR="0011281D" w:rsidRPr="00216999" w:rsidRDefault="0011281D" w:rsidP="00651597">
      <w:pPr>
        <w:contextualSpacing/>
        <w:rPr>
          <w:rFonts w:ascii="Calibri" w:eastAsia="Times New Roman" w:hAnsi="Calibri" w:cs="Calibri"/>
          <w:sz w:val="24"/>
          <w:szCs w:val="24"/>
          <w:lang w:eastAsia="en-GB"/>
        </w:rPr>
      </w:pPr>
    </w:p>
    <w:p w:rsidR="0011281D" w:rsidRPr="00216999" w:rsidRDefault="0011281D" w:rsidP="00651597">
      <w:pPr>
        <w:contextualSpacing/>
        <w:rPr>
          <w:rFonts w:ascii="Calibri" w:eastAsia="Times New Roman" w:hAnsi="Calibri" w:cs="Calibri"/>
          <w:sz w:val="24"/>
          <w:szCs w:val="24"/>
          <w:lang w:eastAsia="en-GB"/>
        </w:rPr>
      </w:pPr>
    </w:p>
    <w:p w:rsidR="0011281D" w:rsidRPr="00216999" w:rsidRDefault="0011281D" w:rsidP="00651597">
      <w:pPr>
        <w:contextualSpacing/>
        <w:rPr>
          <w:sz w:val="24"/>
          <w:szCs w:val="24"/>
        </w:rPr>
      </w:pPr>
    </w:p>
    <w:p w:rsidR="00805E96" w:rsidRPr="00216999" w:rsidRDefault="00805E96" w:rsidP="00FB2838">
      <w:pPr>
        <w:pStyle w:val="ListParagraph"/>
        <w:numPr>
          <w:ilvl w:val="1"/>
          <w:numId w:val="4"/>
        </w:numPr>
        <w:rPr>
          <w:b/>
          <w:sz w:val="24"/>
          <w:szCs w:val="24"/>
        </w:rPr>
      </w:pPr>
      <w:r w:rsidRPr="00216999">
        <w:rPr>
          <w:b/>
          <w:sz w:val="24"/>
          <w:szCs w:val="24"/>
        </w:rPr>
        <w:t>Crowding Assessment</w:t>
      </w:r>
    </w:p>
    <w:p w:rsidR="00805E96" w:rsidRPr="00216999" w:rsidRDefault="00805E96" w:rsidP="00805E96">
      <w:pPr>
        <w:rPr>
          <w:sz w:val="24"/>
          <w:szCs w:val="24"/>
        </w:rPr>
      </w:pPr>
      <w:r w:rsidRPr="00216999">
        <w:rPr>
          <w:sz w:val="24"/>
          <w:szCs w:val="24"/>
        </w:rPr>
        <w:t>The number and percentage correct responses and mean and SD latency data for letter naming performance in unflanked and flanked conditions by FOL, CLA and their relevant control samples</w:t>
      </w:r>
      <w:r w:rsidR="00EF2D8F" w:rsidRPr="00216999">
        <w:rPr>
          <w:sz w:val="24"/>
          <w:szCs w:val="24"/>
        </w:rPr>
        <w:t xml:space="preserve"> at each assessment</w:t>
      </w:r>
      <w:r w:rsidRPr="00216999">
        <w:rPr>
          <w:sz w:val="24"/>
          <w:szCs w:val="24"/>
        </w:rPr>
        <w:t xml:space="preserve"> are shown in Table </w:t>
      </w:r>
      <w:r w:rsidR="00245FA7" w:rsidRPr="00216999">
        <w:rPr>
          <w:sz w:val="24"/>
          <w:szCs w:val="24"/>
        </w:rPr>
        <w:t>2</w:t>
      </w:r>
      <w:r w:rsidRPr="00216999">
        <w:rPr>
          <w:sz w:val="24"/>
          <w:szCs w:val="24"/>
        </w:rPr>
        <w:t xml:space="preserve">. </w:t>
      </w:r>
    </w:p>
    <w:p w:rsidR="00805E96" w:rsidRPr="00216999" w:rsidRDefault="00805E96" w:rsidP="00FB2838">
      <w:pPr>
        <w:pStyle w:val="ListParagraph"/>
        <w:numPr>
          <w:ilvl w:val="2"/>
          <w:numId w:val="4"/>
        </w:numPr>
        <w:rPr>
          <w:i/>
          <w:sz w:val="24"/>
          <w:szCs w:val="24"/>
        </w:rPr>
      </w:pPr>
      <w:r w:rsidRPr="00216999">
        <w:rPr>
          <w:i/>
          <w:sz w:val="24"/>
          <w:szCs w:val="24"/>
        </w:rPr>
        <w:t>Single letter naming</w:t>
      </w:r>
    </w:p>
    <w:p w:rsidR="0011281D" w:rsidRPr="00216999" w:rsidRDefault="00805E96" w:rsidP="00A87E55">
      <w:pPr>
        <w:rPr>
          <w:sz w:val="24"/>
          <w:szCs w:val="24"/>
        </w:rPr>
      </w:pPr>
      <w:r w:rsidRPr="00216999">
        <w:rPr>
          <w:sz w:val="24"/>
          <w:szCs w:val="24"/>
        </w:rPr>
        <w:t>FOL/CLA: Neither FOL nor CLA made any error responses a</w:t>
      </w:r>
      <w:r w:rsidR="0011281D" w:rsidRPr="00216999">
        <w:rPr>
          <w:sz w:val="24"/>
          <w:szCs w:val="24"/>
        </w:rPr>
        <w:t xml:space="preserve">t baseline, FU1 or FU2. </w:t>
      </w:r>
    </w:p>
    <w:p w:rsidR="0011281D" w:rsidRPr="00216999" w:rsidRDefault="0011281D" w:rsidP="0011281D">
      <w:pPr>
        <w:pStyle w:val="ListParagraph"/>
        <w:numPr>
          <w:ilvl w:val="2"/>
          <w:numId w:val="4"/>
        </w:numPr>
        <w:rPr>
          <w:i/>
          <w:sz w:val="24"/>
          <w:szCs w:val="24"/>
        </w:rPr>
      </w:pPr>
      <w:r w:rsidRPr="00216999">
        <w:rPr>
          <w:i/>
          <w:sz w:val="24"/>
          <w:szCs w:val="24"/>
        </w:rPr>
        <w:t>Flanked letter identification</w:t>
      </w:r>
    </w:p>
    <w:p w:rsidR="0011281D" w:rsidRPr="00216999" w:rsidRDefault="0011281D" w:rsidP="0011281D">
      <w:pPr>
        <w:contextualSpacing/>
        <w:rPr>
          <w:sz w:val="24"/>
          <w:szCs w:val="24"/>
        </w:rPr>
      </w:pPr>
      <w:r w:rsidRPr="00216999">
        <w:rPr>
          <w:sz w:val="24"/>
          <w:szCs w:val="24"/>
        </w:rPr>
        <w:t>For mean percentage error rates across baseline and follow-up assessments, see Figure 2.</w:t>
      </w:r>
    </w:p>
    <w:p w:rsidR="0011281D" w:rsidRPr="00216999" w:rsidRDefault="0011281D" w:rsidP="0011281D">
      <w:pPr>
        <w:contextualSpacing/>
        <w:rPr>
          <w:sz w:val="24"/>
          <w:szCs w:val="24"/>
        </w:rPr>
      </w:pPr>
    </w:p>
    <w:p w:rsidR="0011281D" w:rsidRPr="00216999" w:rsidRDefault="0011281D" w:rsidP="0011281D">
      <w:pPr>
        <w:contextualSpacing/>
        <w:rPr>
          <w:sz w:val="24"/>
          <w:szCs w:val="24"/>
        </w:rPr>
      </w:pPr>
      <w:r w:rsidRPr="00216999">
        <w:rPr>
          <w:sz w:val="24"/>
          <w:szCs w:val="24"/>
        </w:rPr>
        <w:t>Figure 2. Flanked letter identification accuracy in condensed and spaced conditions across three longitudinal assessments (overall letter/shape/number flankers: *=p&lt;.05).</w:t>
      </w:r>
    </w:p>
    <w:p w:rsidR="0011281D" w:rsidRPr="00216999" w:rsidRDefault="0011281D" w:rsidP="0011281D">
      <w:pPr>
        <w:contextualSpacing/>
        <w:rPr>
          <w:sz w:val="24"/>
          <w:szCs w:val="24"/>
        </w:rPr>
      </w:pPr>
    </w:p>
    <w:p w:rsidR="0011281D" w:rsidRPr="00216999" w:rsidRDefault="007B779F" w:rsidP="0011281D">
      <w:pPr>
        <w:contextualSpacing/>
        <w:jc w:val="center"/>
        <w:rPr>
          <w:sz w:val="24"/>
          <w:szCs w:val="24"/>
        </w:rPr>
      </w:pPr>
      <w:r w:rsidRPr="005C6B1F">
        <w:rPr>
          <w:noProof/>
          <w:sz w:val="24"/>
          <w:szCs w:val="24"/>
          <w:lang w:eastAsia="en-GB"/>
        </w:rPr>
        <w:drawing>
          <wp:inline distT="0" distB="0" distL="0" distR="0" wp14:anchorId="1FD874B5" wp14:editId="4E01F77E">
            <wp:extent cx="6456045" cy="5297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6045" cy="5297805"/>
                    </a:xfrm>
                    <a:prstGeom prst="rect">
                      <a:avLst/>
                    </a:prstGeom>
                    <a:noFill/>
                  </pic:spPr>
                </pic:pic>
              </a:graphicData>
            </a:graphic>
          </wp:inline>
        </w:drawing>
      </w:r>
    </w:p>
    <w:p w:rsidR="0011281D" w:rsidRPr="00216999" w:rsidRDefault="0011281D" w:rsidP="0011281D">
      <w:pPr>
        <w:contextualSpacing/>
        <w:rPr>
          <w:sz w:val="24"/>
          <w:szCs w:val="24"/>
        </w:rPr>
      </w:pPr>
      <w:r w:rsidRPr="00216999">
        <w:rPr>
          <w:sz w:val="24"/>
          <w:szCs w:val="24"/>
        </w:rPr>
        <w:t xml:space="preserve">FOL: FOL did not complete letter identification tasks in the number flanker condition at FU1. Overall analysis of FOL’s accuracy data found that flanked letter identification was less accurate at subsequent assessments (z=-3.28, p=.001). There was an overall effect of spacing, with letters being identified less accurately in the condensed condition (z=2.98, p=.003). There was no significant interaction between spacing and assessment (p=.31). There was no significant effect of flanker category on letter naming accuracy (letter vs shape flankers: p=.11; letter vs number flankers: p=.10; shape vs number flankers: p=.79). </w:t>
      </w:r>
    </w:p>
    <w:p w:rsidR="0011281D" w:rsidRPr="00216999" w:rsidRDefault="0011281D" w:rsidP="00A87E55">
      <w:pPr>
        <w:rPr>
          <w:sz w:val="24"/>
          <w:szCs w:val="24"/>
        </w:rPr>
        <w:sectPr w:rsidR="0011281D" w:rsidRPr="00216999" w:rsidSect="005C6B1F">
          <w:pgSz w:w="11906" w:h="16838"/>
          <w:pgMar w:top="720" w:right="720" w:bottom="720" w:left="720" w:header="708" w:footer="708" w:gutter="0"/>
          <w:lnNumType w:countBy="1"/>
          <w:cols w:space="708"/>
          <w:docGrid w:linePitch="360"/>
        </w:sectPr>
      </w:pPr>
    </w:p>
    <w:tbl>
      <w:tblPr>
        <w:tblpPr w:leftFromText="180" w:rightFromText="180" w:vertAnchor="page" w:horzAnchor="margin" w:tblpXSpec="center" w:tblpY="319"/>
        <w:tblW w:w="15867" w:type="dxa"/>
        <w:tblLook w:val="04A0" w:firstRow="1" w:lastRow="0" w:firstColumn="1" w:lastColumn="0" w:noHBand="0" w:noVBand="1"/>
      </w:tblPr>
      <w:tblGrid>
        <w:gridCol w:w="2545"/>
        <w:gridCol w:w="985"/>
        <w:gridCol w:w="817"/>
        <w:gridCol w:w="1053"/>
        <w:gridCol w:w="1053"/>
        <w:gridCol w:w="1108"/>
        <w:gridCol w:w="1051"/>
        <w:gridCol w:w="278"/>
        <w:gridCol w:w="2545"/>
        <w:gridCol w:w="1172"/>
        <w:gridCol w:w="1053"/>
        <w:gridCol w:w="928"/>
        <w:gridCol w:w="1051"/>
        <w:gridCol w:w="228"/>
      </w:tblGrid>
      <w:tr w:rsidR="00A87E55" w:rsidRPr="00216999" w:rsidTr="00CD1DE6">
        <w:trPr>
          <w:trHeight w:val="270"/>
        </w:trPr>
        <w:tc>
          <w:tcPr>
            <w:tcW w:w="2545" w:type="dxa"/>
            <w:tcBorders>
              <w:top w:val="single" w:sz="4" w:space="0" w:color="auto"/>
              <w:left w:val="single" w:sz="4" w:space="0" w:color="auto"/>
              <w:bottom w:val="single" w:sz="4" w:space="0" w:color="auto"/>
              <w:right w:val="nil"/>
            </w:tcBorders>
            <w:shd w:val="clear" w:color="auto" w:fill="auto"/>
            <w:noWrap/>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p>
        </w:tc>
        <w:tc>
          <w:tcPr>
            <w:tcW w:w="13322" w:type="dxa"/>
            <w:gridSpan w:val="13"/>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u w:val="single"/>
                <w:lang w:eastAsia="en-GB"/>
              </w:rPr>
            </w:pPr>
            <w:r w:rsidRPr="00216999">
              <w:rPr>
                <w:rFonts w:ascii="Calibri" w:eastAsia="Times New Roman" w:hAnsi="Calibri" w:cs="Calibri"/>
                <w:color w:val="000000"/>
                <w:sz w:val="24"/>
                <w:szCs w:val="24"/>
                <w:u w:val="single"/>
                <w:lang w:eastAsia="en-GB"/>
              </w:rPr>
              <w:t>A: Crowding assessment</w:t>
            </w:r>
          </w:p>
        </w:tc>
      </w:tr>
      <w:tr w:rsidR="00A87E55" w:rsidRPr="00216999" w:rsidTr="00CD1DE6">
        <w:trPr>
          <w:trHeight w:val="258"/>
        </w:trPr>
        <w:tc>
          <w:tcPr>
            <w:tcW w:w="2545" w:type="dxa"/>
            <w:tcBorders>
              <w:top w:val="nil"/>
              <w:left w:val="single" w:sz="4" w:space="0" w:color="auto"/>
              <w:bottom w:val="nil"/>
              <w:right w:val="single" w:sz="4" w:space="0" w:color="auto"/>
            </w:tcBorders>
            <w:shd w:val="clear" w:color="auto" w:fill="auto"/>
            <w:noWrap/>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985" w:type="dxa"/>
            <w:tcBorders>
              <w:top w:val="nil"/>
              <w:left w:val="nil"/>
              <w:bottom w:val="nil"/>
              <w:right w:val="nil"/>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817" w:type="dxa"/>
            <w:tcBorders>
              <w:top w:val="nil"/>
              <w:left w:val="single" w:sz="4" w:space="0" w:color="auto"/>
              <w:bottom w:val="nil"/>
              <w:right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4265" w:type="dxa"/>
            <w:gridSpan w:val="4"/>
            <w:tcBorders>
              <w:top w:val="nil"/>
              <w:left w:val="single" w:sz="4" w:space="0" w:color="auto"/>
              <w:bottom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i/>
                <w:iCs/>
                <w:color w:val="000000"/>
                <w:sz w:val="24"/>
                <w:szCs w:val="24"/>
                <w:lang w:eastAsia="en-GB"/>
              </w:rPr>
              <w:t>FOL/control raw scores</w:t>
            </w:r>
          </w:p>
        </w:tc>
        <w:tc>
          <w:tcPr>
            <w:tcW w:w="278" w:type="dxa"/>
            <w:tcBorders>
              <w:top w:val="nil"/>
              <w:left w:val="nil"/>
              <w:bottom w:val="nil"/>
              <w:right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2545" w:type="dxa"/>
            <w:tcBorders>
              <w:top w:val="nil"/>
              <w:left w:val="single" w:sz="4" w:space="0" w:color="auto"/>
              <w:right w:val="single" w:sz="4" w:space="0" w:color="auto"/>
            </w:tcBorders>
            <w:shd w:val="clear" w:color="auto" w:fill="auto"/>
            <w:noWrap/>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4204" w:type="dxa"/>
            <w:gridSpan w:val="4"/>
            <w:tcBorders>
              <w:top w:val="nil"/>
              <w:left w:val="single" w:sz="4" w:space="0" w:color="auto"/>
              <w:bottom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i/>
                <w:iCs/>
                <w:color w:val="000000"/>
                <w:sz w:val="24"/>
                <w:szCs w:val="24"/>
                <w:lang w:eastAsia="en-GB"/>
              </w:rPr>
              <w:t>CLA/control raw scores</w:t>
            </w:r>
          </w:p>
        </w:tc>
        <w:tc>
          <w:tcPr>
            <w:tcW w:w="228" w:type="dxa"/>
            <w:tcBorders>
              <w:top w:val="nil"/>
              <w:left w:val="nil"/>
              <w:bottom w:val="nil"/>
              <w:right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r>
      <w:tr w:rsidR="00A87E55" w:rsidRPr="00216999" w:rsidTr="00CD1DE6">
        <w:trPr>
          <w:trHeight w:val="285"/>
        </w:trPr>
        <w:tc>
          <w:tcPr>
            <w:tcW w:w="2545" w:type="dxa"/>
            <w:tcBorders>
              <w:top w:val="nil"/>
              <w:left w:val="single" w:sz="4" w:space="0" w:color="auto"/>
              <w:right w:val="single" w:sz="4" w:space="0" w:color="auto"/>
            </w:tcBorders>
            <w:shd w:val="clear" w:color="auto" w:fill="auto"/>
            <w:noWrap/>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985" w:type="dxa"/>
            <w:tcBorders>
              <w:top w:val="nil"/>
              <w:left w:val="nil"/>
              <w:right w:val="nil"/>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817" w:type="dxa"/>
            <w:tcBorders>
              <w:top w:val="nil"/>
              <w:left w:val="single" w:sz="4" w:space="0" w:color="auto"/>
              <w:right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1053" w:type="dxa"/>
            <w:tcBorders>
              <w:top w:val="nil"/>
              <w:left w:val="single" w:sz="4" w:space="0" w:color="auto"/>
              <w:bottom w:val="single" w:sz="4" w:space="0" w:color="auto"/>
              <w:right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i/>
                <w:iCs/>
                <w:color w:val="000000"/>
                <w:sz w:val="24"/>
                <w:szCs w:val="24"/>
                <w:lang w:eastAsia="en-GB"/>
              </w:rPr>
              <w:t>Control Group</w:t>
            </w:r>
          </w:p>
        </w:tc>
        <w:tc>
          <w:tcPr>
            <w:tcW w:w="3212" w:type="dxa"/>
            <w:gridSpan w:val="3"/>
            <w:tcBorders>
              <w:top w:val="nil"/>
              <w:left w:val="nil"/>
              <w:bottom w:val="single" w:sz="4" w:space="0" w:color="auto"/>
              <w:right w:val="nil"/>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i/>
                <w:iCs/>
                <w:color w:val="000000"/>
                <w:sz w:val="24"/>
                <w:szCs w:val="24"/>
                <w:lang w:eastAsia="en-GB"/>
              </w:rPr>
              <w:t>FOL</w:t>
            </w:r>
          </w:p>
        </w:tc>
        <w:tc>
          <w:tcPr>
            <w:tcW w:w="278" w:type="dxa"/>
            <w:tcBorders>
              <w:top w:val="nil"/>
              <w:left w:val="nil"/>
              <w:right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2545" w:type="dxa"/>
            <w:tcBorders>
              <w:top w:val="nil"/>
              <w:left w:val="single" w:sz="4" w:space="0" w:color="auto"/>
              <w:right w:val="single" w:sz="4" w:space="0" w:color="auto"/>
            </w:tcBorders>
            <w:shd w:val="clear" w:color="auto" w:fill="auto"/>
            <w:noWrap/>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1172" w:type="dxa"/>
            <w:tcBorders>
              <w:top w:val="nil"/>
              <w:left w:val="single" w:sz="4" w:space="0" w:color="auto"/>
              <w:bottom w:val="single" w:sz="4" w:space="0" w:color="auto"/>
              <w:right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i/>
                <w:iCs/>
                <w:color w:val="000000"/>
                <w:sz w:val="24"/>
                <w:szCs w:val="24"/>
                <w:lang w:eastAsia="en-GB"/>
              </w:rPr>
              <w:t>Control Group</w:t>
            </w:r>
          </w:p>
        </w:tc>
        <w:tc>
          <w:tcPr>
            <w:tcW w:w="3032" w:type="dxa"/>
            <w:gridSpan w:val="3"/>
            <w:tcBorders>
              <w:top w:val="nil"/>
              <w:left w:val="nil"/>
              <w:bottom w:val="single" w:sz="4" w:space="0" w:color="auto"/>
              <w:right w:val="nil"/>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i/>
                <w:iCs/>
                <w:color w:val="000000"/>
                <w:sz w:val="24"/>
                <w:szCs w:val="24"/>
                <w:lang w:eastAsia="en-GB"/>
              </w:rPr>
              <w:t>CLA</w:t>
            </w:r>
          </w:p>
        </w:tc>
        <w:tc>
          <w:tcPr>
            <w:tcW w:w="228" w:type="dxa"/>
            <w:tcBorders>
              <w:top w:val="nil"/>
              <w:left w:val="nil"/>
              <w:right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r>
      <w:tr w:rsidR="00CD1DE6" w:rsidRPr="00216999" w:rsidTr="00CD1DE6">
        <w:trPr>
          <w:trHeight w:val="258"/>
        </w:trPr>
        <w:tc>
          <w:tcPr>
            <w:tcW w:w="2545" w:type="dxa"/>
            <w:tcBorders>
              <w:top w:val="nil"/>
              <w:left w:val="single" w:sz="4" w:space="0" w:color="auto"/>
              <w:bottom w:val="single" w:sz="4" w:space="0" w:color="auto"/>
              <w:right w:val="single" w:sz="4" w:space="0" w:color="auto"/>
            </w:tcBorders>
            <w:shd w:val="clear" w:color="auto" w:fill="auto"/>
            <w:noWrap/>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985" w:type="dxa"/>
            <w:tcBorders>
              <w:top w:val="nil"/>
              <w:left w:val="nil"/>
              <w:bottom w:val="single" w:sz="4" w:space="0" w:color="auto"/>
              <w:right w:val="nil"/>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817" w:type="dxa"/>
            <w:tcBorders>
              <w:top w:val="nil"/>
              <w:left w:val="single" w:sz="4" w:space="0" w:color="auto"/>
              <w:bottom w:val="single" w:sz="4" w:space="0" w:color="auto"/>
              <w:right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i/>
                <w:iCs/>
                <w:color w:val="000000"/>
                <w:sz w:val="24"/>
                <w:szCs w:val="24"/>
                <w:lang w:eastAsia="en-GB"/>
              </w:rPr>
              <w:t>max</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baseline</w:t>
            </w:r>
          </w:p>
        </w:tc>
        <w:tc>
          <w:tcPr>
            <w:tcW w:w="1053" w:type="dxa"/>
            <w:tcBorders>
              <w:top w:val="single" w:sz="4" w:space="0" w:color="auto"/>
              <w:left w:val="nil"/>
              <w:bottom w:val="single" w:sz="4" w:space="0" w:color="auto"/>
              <w:right w:val="nil"/>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baseline</w:t>
            </w:r>
          </w:p>
        </w:tc>
        <w:tc>
          <w:tcPr>
            <w:tcW w:w="1108" w:type="dxa"/>
            <w:tcBorders>
              <w:top w:val="single" w:sz="4" w:space="0" w:color="auto"/>
              <w:left w:val="nil"/>
              <w:bottom w:val="single" w:sz="4" w:space="0" w:color="auto"/>
              <w:right w:val="nil"/>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follow</w:t>
            </w:r>
            <w:r w:rsidR="00774C95" w:rsidRPr="00216999">
              <w:rPr>
                <w:rFonts w:ascii="Calibri" w:eastAsia="Times New Roman" w:hAnsi="Calibri" w:cs="Calibri"/>
                <w:color w:val="000000"/>
                <w:sz w:val="24"/>
                <w:szCs w:val="24"/>
                <w:lang w:eastAsia="en-GB"/>
              </w:rPr>
              <w:t>-</w:t>
            </w:r>
            <w:r w:rsidRPr="00216999">
              <w:rPr>
                <w:rFonts w:ascii="Calibri" w:eastAsia="Times New Roman" w:hAnsi="Calibri" w:cs="Calibri"/>
                <w:color w:val="000000"/>
                <w:sz w:val="24"/>
                <w:szCs w:val="24"/>
                <w:lang w:eastAsia="en-GB"/>
              </w:rPr>
              <w:t>up 1</w:t>
            </w:r>
          </w:p>
        </w:tc>
        <w:tc>
          <w:tcPr>
            <w:tcW w:w="1051" w:type="dxa"/>
            <w:tcBorders>
              <w:top w:val="single" w:sz="4" w:space="0" w:color="auto"/>
              <w:left w:val="nil"/>
              <w:bottom w:val="single" w:sz="4" w:space="0" w:color="auto"/>
              <w:right w:val="nil"/>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follow</w:t>
            </w:r>
            <w:r w:rsidR="00774C95" w:rsidRPr="00216999">
              <w:rPr>
                <w:rFonts w:ascii="Calibri" w:eastAsia="Times New Roman" w:hAnsi="Calibri" w:cs="Calibri"/>
                <w:color w:val="000000"/>
                <w:sz w:val="24"/>
                <w:szCs w:val="24"/>
                <w:lang w:eastAsia="en-GB"/>
              </w:rPr>
              <w:t>-</w:t>
            </w:r>
            <w:r w:rsidRPr="00216999">
              <w:rPr>
                <w:rFonts w:ascii="Calibri" w:eastAsia="Times New Roman" w:hAnsi="Calibri" w:cs="Calibri"/>
                <w:color w:val="000000"/>
                <w:sz w:val="24"/>
                <w:szCs w:val="24"/>
                <w:lang w:eastAsia="en-GB"/>
              </w:rPr>
              <w:t>up 2</w:t>
            </w:r>
          </w:p>
        </w:tc>
        <w:tc>
          <w:tcPr>
            <w:tcW w:w="278" w:type="dxa"/>
            <w:tcBorders>
              <w:top w:val="nil"/>
              <w:left w:val="nil"/>
              <w:bottom w:val="single" w:sz="4" w:space="0" w:color="auto"/>
              <w:right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2545" w:type="dxa"/>
            <w:tcBorders>
              <w:left w:val="single" w:sz="4" w:space="0" w:color="auto"/>
              <w:bottom w:val="single" w:sz="4" w:space="0" w:color="auto"/>
              <w:right w:val="single" w:sz="4" w:space="0" w:color="auto"/>
            </w:tcBorders>
            <w:shd w:val="clear" w:color="auto" w:fill="auto"/>
            <w:noWrap/>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baseline</w:t>
            </w:r>
          </w:p>
        </w:tc>
        <w:tc>
          <w:tcPr>
            <w:tcW w:w="1053" w:type="dxa"/>
            <w:tcBorders>
              <w:top w:val="single" w:sz="4" w:space="0" w:color="auto"/>
              <w:left w:val="nil"/>
              <w:bottom w:val="single" w:sz="4" w:space="0" w:color="auto"/>
              <w:right w:val="nil"/>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baseline</w:t>
            </w:r>
          </w:p>
        </w:tc>
        <w:tc>
          <w:tcPr>
            <w:tcW w:w="928" w:type="dxa"/>
            <w:tcBorders>
              <w:top w:val="single" w:sz="4" w:space="0" w:color="auto"/>
              <w:left w:val="nil"/>
              <w:bottom w:val="single" w:sz="4" w:space="0" w:color="auto"/>
              <w:right w:val="nil"/>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follow</w:t>
            </w:r>
            <w:r w:rsidR="00774C95" w:rsidRPr="00216999">
              <w:rPr>
                <w:rFonts w:ascii="Calibri" w:eastAsia="Times New Roman" w:hAnsi="Calibri" w:cs="Calibri"/>
                <w:color w:val="000000"/>
                <w:sz w:val="24"/>
                <w:szCs w:val="24"/>
                <w:lang w:eastAsia="en-GB"/>
              </w:rPr>
              <w:t>-</w:t>
            </w:r>
            <w:r w:rsidRPr="00216999">
              <w:rPr>
                <w:rFonts w:ascii="Calibri" w:eastAsia="Times New Roman" w:hAnsi="Calibri" w:cs="Calibri"/>
                <w:color w:val="000000"/>
                <w:sz w:val="24"/>
                <w:szCs w:val="24"/>
                <w:lang w:eastAsia="en-GB"/>
              </w:rPr>
              <w:t>up 1</w:t>
            </w:r>
          </w:p>
        </w:tc>
        <w:tc>
          <w:tcPr>
            <w:tcW w:w="1051" w:type="dxa"/>
            <w:tcBorders>
              <w:top w:val="single" w:sz="4" w:space="0" w:color="auto"/>
              <w:left w:val="nil"/>
              <w:bottom w:val="single" w:sz="4" w:space="0" w:color="auto"/>
              <w:right w:val="nil"/>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follow</w:t>
            </w:r>
            <w:r w:rsidR="00774C95" w:rsidRPr="00216999">
              <w:rPr>
                <w:rFonts w:ascii="Calibri" w:eastAsia="Times New Roman" w:hAnsi="Calibri" w:cs="Calibri"/>
                <w:color w:val="000000"/>
                <w:sz w:val="24"/>
                <w:szCs w:val="24"/>
                <w:lang w:eastAsia="en-GB"/>
              </w:rPr>
              <w:t>-</w:t>
            </w:r>
            <w:r w:rsidRPr="00216999">
              <w:rPr>
                <w:rFonts w:ascii="Calibri" w:eastAsia="Times New Roman" w:hAnsi="Calibri" w:cs="Calibri"/>
                <w:color w:val="000000"/>
                <w:sz w:val="24"/>
                <w:szCs w:val="24"/>
                <w:lang w:eastAsia="en-GB"/>
              </w:rPr>
              <w:t>up 2</w:t>
            </w:r>
          </w:p>
        </w:tc>
        <w:tc>
          <w:tcPr>
            <w:tcW w:w="228" w:type="dxa"/>
            <w:tcBorders>
              <w:top w:val="nil"/>
              <w:left w:val="nil"/>
              <w:bottom w:val="single" w:sz="4" w:space="0" w:color="auto"/>
              <w:right w:val="single" w:sz="4" w:space="0" w:color="auto"/>
            </w:tcBorders>
            <w:shd w:val="clear" w:color="auto" w:fill="auto"/>
            <w:vAlign w:val="center"/>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r>
      <w:tr w:rsidR="00CD1DE6" w:rsidRPr="00216999" w:rsidTr="00CD1DE6">
        <w:trPr>
          <w:trHeight w:val="258"/>
        </w:trPr>
        <w:tc>
          <w:tcPr>
            <w:tcW w:w="2545" w:type="dxa"/>
            <w:vMerge w:val="restart"/>
            <w:tcBorders>
              <w:top w:val="single" w:sz="4" w:space="0" w:color="auto"/>
              <w:left w:val="single" w:sz="4" w:space="0" w:color="auto"/>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Single letter naming</w:t>
            </w:r>
          </w:p>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985" w:type="dxa"/>
            <w:tcBorders>
              <w:top w:val="single" w:sz="4"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Total</w:t>
            </w:r>
          </w:p>
        </w:tc>
        <w:tc>
          <w:tcPr>
            <w:tcW w:w="817" w:type="dxa"/>
            <w:tcBorders>
              <w:top w:val="single" w:sz="4" w:space="0" w:color="auto"/>
              <w:left w:val="single" w:sz="4" w:space="0" w:color="auto"/>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20</w:t>
            </w:r>
          </w:p>
        </w:tc>
        <w:tc>
          <w:tcPr>
            <w:tcW w:w="1053" w:type="dxa"/>
            <w:tcBorders>
              <w:top w:val="single" w:sz="4" w:space="0" w:color="auto"/>
              <w:left w:val="single" w:sz="4" w:space="0" w:color="auto"/>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20 (100%)</w:t>
            </w:r>
          </w:p>
        </w:tc>
        <w:tc>
          <w:tcPr>
            <w:tcW w:w="1053" w:type="dxa"/>
            <w:tcBorders>
              <w:top w:val="single" w:sz="4"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20 (100%)</w:t>
            </w:r>
          </w:p>
        </w:tc>
        <w:tc>
          <w:tcPr>
            <w:tcW w:w="1108" w:type="dxa"/>
            <w:tcBorders>
              <w:top w:val="single" w:sz="4"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20 (100%)</w:t>
            </w:r>
          </w:p>
        </w:tc>
        <w:tc>
          <w:tcPr>
            <w:tcW w:w="1051" w:type="dxa"/>
            <w:tcBorders>
              <w:top w:val="single" w:sz="4"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20 (100%)</w:t>
            </w:r>
          </w:p>
        </w:tc>
        <w:tc>
          <w:tcPr>
            <w:tcW w:w="278" w:type="dxa"/>
            <w:tcBorders>
              <w:top w:val="single" w:sz="4" w:space="0" w:color="auto"/>
              <w:left w:val="nil"/>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2545" w:type="dxa"/>
            <w:vMerge w:val="restart"/>
            <w:tcBorders>
              <w:top w:val="single" w:sz="4" w:space="0" w:color="auto"/>
              <w:left w:val="single" w:sz="4" w:space="0" w:color="auto"/>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Single letter reading</w:t>
            </w:r>
          </w:p>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1172" w:type="dxa"/>
            <w:tcBorders>
              <w:top w:val="single" w:sz="4" w:space="0" w:color="auto"/>
              <w:left w:val="single" w:sz="4" w:space="0" w:color="auto"/>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20 (100%)</w:t>
            </w:r>
          </w:p>
        </w:tc>
        <w:tc>
          <w:tcPr>
            <w:tcW w:w="1053" w:type="dxa"/>
            <w:tcBorders>
              <w:top w:val="single" w:sz="4"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20 (100%)</w:t>
            </w:r>
          </w:p>
        </w:tc>
        <w:tc>
          <w:tcPr>
            <w:tcW w:w="928" w:type="dxa"/>
            <w:tcBorders>
              <w:top w:val="single" w:sz="4"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20 (100%)</w:t>
            </w:r>
          </w:p>
        </w:tc>
        <w:tc>
          <w:tcPr>
            <w:tcW w:w="1051" w:type="dxa"/>
            <w:tcBorders>
              <w:top w:val="single" w:sz="4"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20 (100%)</w:t>
            </w:r>
          </w:p>
        </w:tc>
        <w:tc>
          <w:tcPr>
            <w:tcW w:w="228" w:type="dxa"/>
            <w:tcBorders>
              <w:top w:val="single" w:sz="4" w:space="0" w:color="auto"/>
              <w:left w:val="nil"/>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r>
      <w:tr w:rsidR="00CD1DE6" w:rsidRPr="00216999" w:rsidTr="00CD1DE6">
        <w:trPr>
          <w:trHeight w:val="386"/>
        </w:trPr>
        <w:tc>
          <w:tcPr>
            <w:tcW w:w="2545" w:type="dxa"/>
            <w:vMerge/>
            <w:tcBorders>
              <w:left w:val="single" w:sz="4" w:space="0" w:color="auto"/>
              <w:bottom w:val="single" w:sz="4" w:space="0" w:color="auto"/>
              <w:right w:val="single" w:sz="4" w:space="0" w:color="auto"/>
            </w:tcBorders>
            <w:shd w:val="clear" w:color="auto" w:fill="auto"/>
            <w:noWrap/>
            <w:vAlign w:val="bottom"/>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p>
        </w:tc>
        <w:tc>
          <w:tcPr>
            <w:tcW w:w="985"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RT</w:t>
            </w:r>
            <w:r w:rsidR="000716C0">
              <w:rPr>
                <w:rFonts w:ascii="Calibri" w:eastAsia="Times New Roman" w:hAnsi="Calibri" w:cs="Calibri"/>
                <w:color w:val="000000"/>
                <w:sz w:val="24"/>
                <w:szCs w:val="24"/>
                <w:lang w:eastAsia="en-GB"/>
              </w:rPr>
              <w:t xml:space="preserve"> (s)</w:t>
            </w:r>
          </w:p>
        </w:tc>
        <w:tc>
          <w:tcPr>
            <w:tcW w:w="817" w:type="dxa"/>
            <w:tcBorders>
              <w:top w:val="nil"/>
              <w:left w:val="single" w:sz="4" w:space="0" w:color="auto"/>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c>
          <w:tcPr>
            <w:tcW w:w="1053" w:type="dxa"/>
            <w:tcBorders>
              <w:top w:val="nil"/>
              <w:left w:val="nil"/>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0.48 ± 0.06</w:t>
            </w:r>
          </w:p>
        </w:tc>
        <w:tc>
          <w:tcPr>
            <w:tcW w:w="1053"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0.59</w:t>
            </w:r>
          </w:p>
        </w:tc>
        <w:tc>
          <w:tcPr>
            <w:tcW w:w="1108"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i/>
                <w:iCs/>
                <w:color w:val="000000"/>
                <w:sz w:val="24"/>
                <w:szCs w:val="24"/>
                <w:lang w:eastAsia="en-GB"/>
              </w:rPr>
            </w:pPr>
            <w:r w:rsidRPr="00216999">
              <w:rPr>
                <w:rFonts w:ascii="Calibri" w:eastAsia="Times New Roman" w:hAnsi="Calibri" w:cs="Calibri"/>
                <w:i/>
                <w:iCs/>
                <w:color w:val="000000"/>
                <w:sz w:val="24"/>
                <w:szCs w:val="24"/>
                <w:lang w:eastAsia="en-GB"/>
              </w:rPr>
              <w:t>not recorded</w:t>
            </w:r>
          </w:p>
        </w:tc>
        <w:tc>
          <w:tcPr>
            <w:tcW w:w="1051"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1.08**</w:t>
            </w:r>
          </w:p>
        </w:tc>
        <w:tc>
          <w:tcPr>
            <w:tcW w:w="278" w:type="dxa"/>
            <w:tcBorders>
              <w:top w:val="nil"/>
              <w:left w:val="nil"/>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 </w:t>
            </w:r>
          </w:p>
        </w:tc>
        <w:tc>
          <w:tcPr>
            <w:tcW w:w="2545" w:type="dxa"/>
            <w:vMerge/>
            <w:tcBorders>
              <w:left w:val="single" w:sz="4" w:space="0" w:color="auto"/>
              <w:bottom w:val="single" w:sz="4" w:space="0" w:color="auto"/>
              <w:right w:val="single" w:sz="4" w:space="0" w:color="auto"/>
            </w:tcBorders>
            <w:shd w:val="clear" w:color="auto" w:fill="auto"/>
            <w:noWrap/>
            <w:vAlign w:val="bottom"/>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p>
        </w:tc>
        <w:tc>
          <w:tcPr>
            <w:tcW w:w="1172" w:type="dxa"/>
            <w:tcBorders>
              <w:top w:val="nil"/>
              <w:left w:val="nil"/>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0.56 ± 0.04</w:t>
            </w:r>
          </w:p>
        </w:tc>
        <w:tc>
          <w:tcPr>
            <w:tcW w:w="1053"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0.82**</w:t>
            </w:r>
          </w:p>
        </w:tc>
        <w:tc>
          <w:tcPr>
            <w:tcW w:w="928"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0.87**</w:t>
            </w:r>
          </w:p>
        </w:tc>
        <w:tc>
          <w:tcPr>
            <w:tcW w:w="1051"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sz w:val="24"/>
                <w:szCs w:val="24"/>
                <w:lang w:eastAsia="en-GB"/>
              </w:rPr>
            </w:pPr>
            <w:r w:rsidRPr="00216999">
              <w:rPr>
                <w:rFonts w:ascii="Calibri" w:eastAsia="Times New Roman" w:hAnsi="Calibri" w:cs="Calibri"/>
                <w:b/>
                <w:bCs/>
                <w:sz w:val="24"/>
                <w:szCs w:val="24"/>
                <w:lang w:eastAsia="en-GB"/>
              </w:rPr>
              <w:t>3.81**</w:t>
            </w:r>
          </w:p>
        </w:tc>
        <w:tc>
          <w:tcPr>
            <w:tcW w:w="228" w:type="dxa"/>
            <w:tcBorders>
              <w:top w:val="nil"/>
              <w:left w:val="nil"/>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p>
        </w:tc>
      </w:tr>
      <w:tr w:rsidR="00CD1DE6" w:rsidRPr="00216999" w:rsidTr="00CD1DE6">
        <w:trPr>
          <w:trHeight w:val="258"/>
        </w:trPr>
        <w:tc>
          <w:tcPr>
            <w:tcW w:w="2545" w:type="dxa"/>
            <w:tcBorders>
              <w:top w:val="nil"/>
              <w:left w:val="single" w:sz="4" w:space="0" w:color="auto"/>
              <w:bottom w:val="nil"/>
              <w:right w:val="single" w:sz="4" w:space="0" w:color="auto"/>
            </w:tcBorders>
            <w:shd w:val="clear" w:color="auto" w:fill="auto"/>
            <w:noWrap/>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Flanked letter identification</w:t>
            </w:r>
          </w:p>
        </w:tc>
        <w:tc>
          <w:tcPr>
            <w:tcW w:w="985" w:type="dxa"/>
            <w:tcBorders>
              <w:top w:val="nil"/>
              <w:left w:val="single" w:sz="4" w:space="0" w:color="auto"/>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Total</w:t>
            </w:r>
          </w:p>
        </w:tc>
        <w:tc>
          <w:tcPr>
            <w:tcW w:w="817" w:type="dxa"/>
            <w:tcBorders>
              <w:top w:val="nil"/>
              <w:left w:val="single" w:sz="4" w:space="0" w:color="auto"/>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72/48</w:t>
            </w:r>
          </w:p>
        </w:tc>
        <w:tc>
          <w:tcPr>
            <w:tcW w:w="1053"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72 (100%)</w:t>
            </w:r>
          </w:p>
        </w:tc>
        <w:tc>
          <w:tcPr>
            <w:tcW w:w="1053" w:type="dxa"/>
            <w:tcBorders>
              <w:top w:val="nil"/>
              <w:left w:val="single" w:sz="4" w:space="0" w:color="auto"/>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72 (100%)</w:t>
            </w:r>
          </w:p>
        </w:tc>
        <w:tc>
          <w:tcPr>
            <w:tcW w:w="1108"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37/48 (77%)</w:t>
            </w:r>
            <w:r w:rsidR="00825EDA" w:rsidRPr="00216999">
              <w:rPr>
                <w:rFonts w:ascii="Calibri" w:eastAsia="Times New Roman" w:hAnsi="Calibri" w:cs="Calibri"/>
                <w:b/>
                <w:bCs/>
                <w:color w:val="000000"/>
                <w:sz w:val="24"/>
                <w:szCs w:val="24"/>
                <w:lang w:eastAsia="en-GB"/>
              </w:rPr>
              <w:t>^</w:t>
            </w:r>
          </w:p>
        </w:tc>
        <w:tc>
          <w:tcPr>
            <w:tcW w:w="1051"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58 (81%)</w:t>
            </w:r>
            <w:r w:rsidR="00825EDA" w:rsidRPr="00216999">
              <w:rPr>
                <w:rFonts w:ascii="Calibri" w:eastAsia="Times New Roman" w:hAnsi="Calibri" w:cs="Calibri"/>
                <w:b/>
                <w:bCs/>
                <w:color w:val="000000"/>
                <w:sz w:val="24"/>
                <w:szCs w:val="24"/>
                <w:lang w:eastAsia="en-GB"/>
              </w:rPr>
              <w:t>^</w:t>
            </w:r>
          </w:p>
        </w:tc>
        <w:tc>
          <w:tcPr>
            <w:tcW w:w="278"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 </w:t>
            </w:r>
          </w:p>
        </w:tc>
        <w:tc>
          <w:tcPr>
            <w:tcW w:w="2545" w:type="dxa"/>
            <w:tcBorders>
              <w:top w:val="nil"/>
              <w:left w:val="single" w:sz="4" w:space="0" w:color="auto"/>
              <w:bottom w:val="nil"/>
              <w:right w:val="single" w:sz="4" w:space="0" w:color="auto"/>
            </w:tcBorders>
            <w:shd w:val="clear" w:color="auto" w:fill="auto"/>
            <w:noWrap/>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Flanked letter identification</w:t>
            </w:r>
          </w:p>
        </w:tc>
        <w:tc>
          <w:tcPr>
            <w:tcW w:w="1172"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72 (100%)</w:t>
            </w:r>
          </w:p>
        </w:tc>
        <w:tc>
          <w:tcPr>
            <w:tcW w:w="1053" w:type="dxa"/>
            <w:tcBorders>
              <w:top w:val="nil"/>
              <w:left w:val="single" w:sz="4" w:space="0" w:color="auto"/>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72 (100%)</w:t>
            </w:r>
          </w:p>
        </w:tc>
        <w:tc>
          <w:tcPr>
            <w:tcW w:w="928"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64 (89%)</w:t>
            </w:r>
            <w:r w:rsidR="00825EDA" w:rsidRPr="00216999">
              <w:rPr>
                <w:rFonts w:ascii="Calibri" w:eastAsia="Times New Roman" w:hAnsi="Calibri" w:cs="Calibri"/>
                <w:b/>
                <w:bCs/>
                <w:color w:val="000000"/>
                <w:sz w:val="24"/>
                <w:szCs w:val="24"/>
                <w:lang w:eastAsia="en-GB"/>
              </w:rPr>
              <w:t>^</w:t>
            </w:r>
          </w:p>
        </w:tc>
        <w:tc>
          <w:tcPr>
            <w:tcW w:w="1051"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57 (79%)</w:t>
            </w:r>
            <w:r w:rsidR="00825EDA" w:rsidRPr="00216999">
              <w:rPr>
                <w:rFonts w:ascii="Calibri" w:eastAsia="Times New Roman" w:hAnsi="Calibri" w:cs="Calibri"/>
                <w:b/>
                <w:bCs/>
                <w:color w:val="000000"/>
                <w:sz w:val="24"/>
                <w:szCs w:val="24"/>
                <w:lang w:eastAsia="en-GB"/>
              </w:rPr>
              <w:t>^</w:t>
            </w:r>
          </w:p>
        </w:tc>
        <w:tc>
          <w:tcPr>
            <w:tcW w:w="228"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p>
        </w:tc>
      </w:tr>
      <w:tr w:rsidR="00CD1DE6" w:rsidRPr="00216999" w:rsidTr="00CD1DE6">
        <w:trPr>
          <w:trHeight w:val="258"/>
        </w:trPr>
        <w:tc>
          <w:tcPr>
            <w:tcW w:w="2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Condensed</w:t>
            </w:r>
          </w:p>
        </w:tc>
        <w:tc>
          <w:tcPr>
            <w:tcW w:w="985" w:type="dxa"/>
            <w:tcBorders>
              <w:top w:val="nil"/>
              <w:left w:val="single" w:sz="4" w:space="0" w:color="auto"/>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Total</w:t>
            </w:r>
          </w:p>
        </w:tc>
        <w:tc>
          <w:tcPr>
            <w:tcW w:w="817" w:type="dxa"/>
            <w:tcBorders>
              <w:top w:val="nil"/>
              <w:left w:val="single" w:sz="4" w:space="0" w:color="auto"/>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36/24</w:t>
            </w:r>
          </w:p>
        </w:tc>
        <w:tc>
          <w:tcPr>
            <w:tcW w:w="1053"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36 (100%)</w:t>
            </w:r>
          </w:p>
        </w:tc>
        <w:tc>
          <w:tcPr>
            <w:tcW w:w="1053" w:type="dxa"/>
            <w:tcBorders>
              <w:top w:val="nil"/>
              <w:left w:val="single" w:sz="4" w:space="0" w:color="auto"/>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36 (100%)</w:t>
            </w:r>
          </w:p>
        </w:tc>
        <w:tc>
          <w:tcPr>
            <w:tcW w:w="1108"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16/24 (67%)</w:t>
            </w:r>
            <w:r w:rsidR="00825EDA" w:rsidRPr="00216999">
              <w:rPr>
                <w:rFonts w:ascii="Calibri" w:eastAsia="Times New Roman" w:hAnsi="Calibri" w:cs="Calibri"/>
                <w:b/>
                <w:bCs/>
                <w:color w:val="000000"/>
                <w:sz w:val="24"/>
                <w:szCs w:val="24"/>
                <w:lang w:eastAsia="en-GB"/>
              </w:rPr>
              <w:t>^</w:t>
            </w:r>
          </w:p>
        </w:tc>
        <w:tc>
          <w:tcPr>
            <w:tcW w:w="1051"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25 (69%)</w:t>
            </w:r>
            <w:r w:rsidR="00825EDA" w:rsidRPr="00216999">
              <w:rPr>
                <w:rFonts w:ascii="Calibri" w:eastAsia="Times New Roman" w:hAnsi="Calibri" w:cs="Calibri"/>
                <w:b/>
                <w:bCs/>
                <w:color w:val="000000"/>
                <w:sz w:val="24"/>
                <w:szCs w:val="24"/>
                <w:lang w:eastAsia="en-GB"/>
              </w:rPr>
              <w:t>^</w:t>
            </w:r>
          </w:p>
        </w:tc>
        <w:tc>
          <w:tcPr>
            <w:tcW w:w="278"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 </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Condensed</w:t>
            </w:r>
          </w:p>
        </w:tc>
        <w:tc>
          <w:tcPr>
            <w:tcW w:w="1172"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36 (100%)</w:t>
            </w:r>
          </w:p>
        </w:tc>
        <w:tc>
          <w:tcPr>
            <w:tcW w:w="1053" w:type="dxa"/>
            <w:tcBorders>
              <w:top w:val="nil"/>
              <w:left w:val="single" w:sz="4" w:space="0" w:color="auto"/>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36 (100%)</w:t>
            </w:r>
          </w:p>
        </w:tc>
        <w:tc>
          <w:tcPr>
            <w:tcW w:w="928"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29 (81%)</w:t>
            </w:r>
            <w:r w:rsidR="00825EDA" w:rsidRPr="00216999">
              <w:rPr>
                <w:rFonts w:ascii="Calibri" w:eastAsia="Times New Roman" w:hAnsi="Calibri" w:cs="Calibri"/>
                <w:b/>
                <w:bCs/>
                <w:color w:val="000000"/>
                <w:sz w:val="24"/>
                <w:szCs w:val="24"/>
                <w:lang w:eastAsia="en-GB"/>
              </w:rPr>
              <w:t>^</w:t>
            </w:r>
          </w:p>
        </w:tc>
        <w:tc>
          <w:tcPr>
            <w:tcW w:w="1051"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25 (69%)</w:t>
            </w:r>
            <w:r w:rsidR="00825EDA" w:rsidRPr="00216999">
              <w:rPr>
                <w:rFonts w:ascii="Calibri" w:eastAsia="Times New Roman" w:hAnsi="Calibri" w:cs="Calibri"/>
                <w:b/>
                <w:bCs/>
                <w:color w:val="000000"/>
                <w:sz w:val="24"/>
                <w:szCs w:val="24"/>
                <w:lang w:eastAsia="en-GB"/>
              </w:rPr>
              <w:t>^</w:t>
            </w:r>
          </w:p>
        </w:tc>
        <w:tc>
          <w:tcPr>
            <w:tcW w:w="228"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p>
        </w:tc>
      </w:tr>
      <w:tr w:rsidR="00CD1DE6" w:rsidRPr="00216999" w:rsidTr="00CD1DE6">
        <w:trPr>
          <w:trHeight w:val="258"/>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Spaced</w:t>
            </w:r>
          </w:p>
        </w:tc>
        <w:tc>
          <w:tcPr>
            <w:tcW w:w="985" w:type="dxa"/>
            <w:tcBorders>
              <w:top w:val="nil"/>
              <w:left w:val="single" w:sz="4" w:space="0" w:color="auto"/>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Total</w:t>
            </w:r>
          </w:p>
        </w:tc>
        <w:tc>
          <w:tcPr>
            <w:tcW w:w="817" w:type="dxa"/>
            <w:tcBorders>
              <w:top w:val="nil"/>
              <w:left w:val="single" w:sz="4" w:space="0" w:color="auto"/>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36/24</w:t>
            </w:r>
          </w:p>
        </w:tc>
        <w:tc>
          <w:tcPr>
            <w:tcW w:w="1053"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36 (100%)</w:t>
            </w:r>
          </w:p>
        </w:tc>
        <w:tc>
          <w:tcPr>
            <w:tcW w:w="1053" w:type="dxa"/>
            <w:tcBorders>
              <w:top w:val="nil"/>
              <w:left w:val="single" w:sz="4" w:space="0" w:color="auto"/>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36 (100%)</w:t>
            </w:r>
          </w:p>
        </w:tc>
        <w:tc>
          <w:tcPr>
            <w:tcW w:w="1108"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21/24 (88%)</w:t>
            </w:r>
            <w:r w:rsidR="00825EDA" w:rsidRPr="00216999">
              <w:rPr>
                <w:rFonts w:ascii="Calibri" w:eastAsia="Times New Roman" w:hAnsi="Calibri" w:cs="Calibri"/>
                <w:b/>
                <w:bCs/>
                <w:color w:val="000000"/>
                <w:sz w:val="24"/>
                <w:szCs w:val="24"/>
                <w:lang w:eastAsia="en-GB"/>
              </w:rPr>
              <w:t>^</w:t>
            </w:r>
          </w:p>
        </w:tc>
        <w:tc>
          <w:tcPr>
            <w:tcW w:w="1051"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33 (92%)</w:t>
            </w:r>
            <w:r w:rsidR="00825EDA" w:rsidRPr="00216999">
              <w:rPr>
                <w:rFonts w:ascii="Calibri" w:eastAsia="Times New Roman" w:hAnsi="Calibri" w:cs="Calibri"/>
                <w:b/>
                <w:bCs/>
                <w:color w:val="000000"/>
                <w:sz w:val="24"/>
                <w:szCs w:val="24"/>
                <w:lang w:eastAsia="en-GB"/>
              </w:rPr>
              <w:t>^</w:t>
            </w:r>
          </w:p>
        </w:tc>
        <w:tc>
          <w:tcPr>
            <w:tcW w:w="278"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 </w:t>
            </w:r>
          </w:p>
        </w:tc>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Spaced</w:t>
            </w:r>
          </w:p>
        </w:tc>
        <w:tc>
          <w:tcPr>
            <w:tcW w:w="1172"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36 (100%)</w:t>
            </w:r>
          </w:p>
        </w:tc>
        <w:tc>
          <w:tcPr>
            <w:tcW w:w="1053" w:type="dxa"/>
            <w:tcBorders>
              <w:top w:val="nil"/>
              <w:left w:val="single" w:sz="4" w:space="0" w:color="auto"/>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36 (100%)</w:t>
            </w:r>
          </w:p>
        </w:tc>
        <w:tc>
          <w:tcPr>
            <w:tcW w:w="928"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35 (97%)</w:t>
            </w:r>
            <w:r w:rsidR="00825EDA" w:rsidRPr="00216999">
              <w:rPr>
                <w:rFonts w:ascii="Calibri" w:eastAsia="Times New Roman" w:hAnsi="Calibri" w:cs="Calibri"/>
                <w:b/>
                <w:bCs/>
                <w:color w:val="000000"/>
                <w:sz w:val="24"/>
                <w:szCs w:val="24"/>
                <w:lang w:eastAsia="en-GB"/>
              </w:rPr>
              <w:t>^</w:t>
            </w:r>
          </w:p>
        </w:tc>
        <w:tc>
          <w:tcPr>
            <w:tcW w:w="1051"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32 (89%)</w:t>
            </w:r>
            <w:r w:rsidR="00825EDA" w:rsidRPr="00216999">
              <w:rPr>
                <w:rFonts w:ascii="Calibri" w:eastAsia="Times New Roman" w:hAnsi="Calibri" w:cs="Calibri"/>
                <w:b/>
                <w:bCs/>
                <w:color w:val="000000"/>
                <w:sz w:val="24"/>
                <w:szCs w:val="24"/>
                <w:lang w:eastAsia="en-GB"/>
              </w:rPr>
              <w:t>^</w:t>
            </w:r>
          </w:p>
        </w:tc>
        <w:tc>
          <w:tcPr>
            <w:tcW w:w="228"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p>
        </w:tc>
      </w:tr>
      <w:tr w:rsidR="00A87E55" w:rsidRPr="00216999" w:rsidTr="00CD1DE6">
        <w:trPr>
          <w:trHeight w:val="270"/>
        </w:trPr>
        <w:tc>
          <w:tcPr>
            <w:tcW w:w="2545" w:type="dxa"/>
            <w:tcBorders>
              <w:top w:val="single" w:sz="4" w:space="0" w:color="auto"/>
              <w:bottom w:val="single" w:sz="4" w:space="0" w:color="auto"/>
            </w:tcBorders>
            <w:shd w:val="clear" w:color="auto" w:fill="auto"/>
            <w:noWrap/>
            <w:vAlign w:val="center"/>
          </w:tcPr>
          <w:p w:rsidR="00A87E55" w:rsidRPr="00216999" w:rsidRDefault="00A87E55" w:rsidP="00CD1DE6">
            <w:pPr>
              <w:spacing w:after="0" w:line="240" w:lineRule="auto"/>
              <w:rPr>
                <w:rFonts w:ascii="Calibri" w:eastAsia="Times New Roman" w:hAnsi="Calibri" w:cs="Calibri"/>
                <w:color w:val="000000"/>
                <w:sz w:val="24"/>
                <w:szCs w:val="24"/>
                <w:lang w:eastAsia="en-GB"/>
              </w:rPr>
            </w:pPr>
          </w:p>
        </w:tc>
        <w:tc>
          <w:tcPr>
            <w:tcW w:w="13322" w:type="dxa"/>
            <w:gridSpan w:val="13"/>
            <w:tcBorders>
              <w:top w:val="single" w:sz="4" w:space="0" w:color="auto"/>
              <w:bottom w:val="single" w:sz="4" w:space="0" w:color="auto"/>
            </w:tcBorders>
            <w:shd w:val="clear" w:color="auto" w:fill="auto"/>
            <w:noWrap/>
            <w:vAlign w:val="center"/>
          </w:tcPr>
          <w:p w:rsidR="00A87E55" w:rsidRPr="00216999" w:rsidRDefault="00A87E55" w:rsidP="00CD1DE6">
            <w:pPr>
              <w:spacing w:after="0" w:line="240" w:lineRule="auto"/>
              <w:jc w:val="center"/>
              <w:rPr>
                <w:rFonts w:ascii="Calibri" w:eastAsia="Times New Roman" w:hAnsi="Calibri" w:cs="Calibri"/>
                <w:color w:val="000000"/>
                <w:sz w:val="24"/>
                <w:szCs w:val="24"/>
                <w:u w:val="single"/>
                <w:lang w:eastAsia="en-GB"/>
              </w:rPr>
            </w:pPr>
          </w:p>
        </w:tc>
      </w:tr>
      <w:tr w:rsidR="00A87E55" w:rsidRPr="00216999" w:rsidTr="00CD1DE6">
        <w:trPr>
          <w:trHeight w:val="270"/>
        </w:trPr>
        <w:tc>
          <w:tcPr>
            <w:tcW w:w="2545" w:type="dxa"/>
            <w:tcBorders>
              <w:top w:val="single" w:sz="4" w:space="0" w:color="auto"/>
              <w:left w:val="single" w:sz="4" w:space="0" w:color="auto"/>
              <w:bottom w:val="single" w:sz="4" w:space="0" w:color="auto"/>
              <w:right w:val="nil"/>
            </w:tcBorders>
            <w:shd w:val="clear" w:color="auto" w:fill="auto"/>
            <w:noWrap/>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13322" w:type="dxa"/>
            <w:gridSpan w:val="13"/>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u w:val="single"/>
                <w:lang w:eastAsia="en-GB"/>
              </w:rPr>
            </w:pPr>
            <w:r w:rsidRPr="00216999">
              <w:rPr>
                <w:rFonts w:ascii="Calibri" w:eastAsia="Times New Roman" w:hAnsi="Calibri" w:cs="Calibri"/>
                <w:color w:val="000000"/>
                <w:sz w:val="24"/>
                <w:szCs w:val="24"/>
                <w:u w:val="single"/>
                <w:lang w:eastAsia="en-GB"/>
              </w:rPr>
              <w:t>B: Reading assessment</w:t>
            </w:r>
          </w:p>
        </w:tc>
      </w:tr>
      <w:tr w:rsidR="00CD1DE6" w:rsidRPr="00216999" w:rsidTr="00CD1DE6">
        <w:trPr>
          <w:trHeight w:val="651"/>
        </w:trPr>
        <w:tc>
          <w:tcPr>
            <w:tcW w:w="2545" w:type="dxa"/>
            <w:tcBorders>
              <w:top w:val="single" w:sz="4" w:space="0" w:color="auto"/>
              <w:left w:val="single" w:sz="4" w:space="0" w:color="auto"/>
              <w:bottom w:val="nil"/>
              <w:right w:val="nil"/>
            </w:tcBorders>
            <w:shd w:val="clear" w:color="auto" w:fill="auto"/>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1. Brown and Ure words</w:t>
            </w:r>
          </w:p>
        </w:tc>
        <w:tc>
          <w:tcPr>
            <w:tcW w:w="985" w:type="dxa"/>
            <w:tcBorders>
              <w:top w:val="single" w:sz="4" w:space="0" w:color="auto"/>
              <w:left w:val="single" w:sz="4" w:space="0" w:color="auto"/>
              <w:bottom w:val="nil"/>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Total</w:t>
            </w:r>
          </w:p>
        </w:tc>
        <w:tc>
          <w:tcPr>
            <w:tcW w:w="817" w:type="dxa"/>
            <w:tcBorders>
              <w:top w:val="single" w:sz="4" w:space="0" w:color="auto"/>
              <w:left w:val="single" w:sz="4" w:space="0" w:color="auto"/>
              <w:bottom w:val="nil"/>
              <w:right w:val="nil"/>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72</w:t>
            </w:r>
          </w:p>
        </w:tc>
        <w:tc>
          <w:tcPr>
            <w:tcW w:w="1053" w:type="dxa"/>
            <w:tcBorders>
              <w:top w:val="single" w:sz="4" w:space="0" w:color="auto"/>
              <w:left w:val="single" w:sz="4" w:space="0" w:color="auto"/>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71.8 ± 0.4 (99.7%)</w:t>
            </w:r>
          </w:p>
        </w:tc>
        <w:tc>
          <w:tcPr>
            <w:tcW w:w="1053" w:type="dxa"/>
            <w:tcBorders>
              <w:top w:val="single" w:sz="4" w:space="0" w:color="auto"/>
              <w:left w:val="single" w:sz="4" w:space="0" w:color="auto"/>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72 (100%)</w:t>
            </w:r>
          </w:p>
        </w:tc>
        <w:tc>
          <w:tcPr>
            <w:tcW w:w="1108" w:type="dxa"/>
            <w:tcBorders>
              <w:top w:val="single" w:sz="4"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71 (99%)</w:t>
            </w:r>
          </w:p>
        </w:tc>
        <w:tc>
          <w:tcPr>
            <w:tcW w:w="1051" w:type="dxa"/>
            <w:tcBorders>
              <w:top w:val="single" w:sz="4"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71 (99%)</w:t>
            </w:r>
          </w:p>
        </w:tc>
        <w:tc>
          <w:tcPr>
            <w:tcW w:w="278" w:type="dxa"/>
            <w:tcBorders>
              <w:top w:val="single" w:sz="4" w:space="0" w:color="auto"/>
              <w:left w:val="nil"/>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2545" w:type="dxa"/>
            <w:tcBorders>
              <w:top w:val="single" w:sz="4" w:space="0" w:color="auto"/>
              <w:left w:val="single" w:sz="4" w:space="0" w:color="auto"/>
              <w:bottom w:val="nil"/>
              <w:right w:val="single" w:sz="4" w:space="0" w:color="auto"/>
            </w:tcBorders>
            <w:shd w:val="clear" w:color="auto" w:fill="auto"/>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1. Brown and Ure words</w:t>
            </w:r>
          </w:p>
        </w:tc>
        <w:tc>
          <w:tcPr>
            <w:tcW w:w="1172" w:type="dxa"/>
            <w:tcBorders>
              <w:top w:val="single" w:sz="8" w:space="0" w:color="auto"/>
              <w:left w:val="single" w:sz="4" w:space="0" w:color="auto"/>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72 (100%)</w:t>
            </w:r>
          </w:p>
        </w:tc>
        <w:tc>
          <w:tcPr>
            <w:tcW w:w="1053" w:type="dxa"/>
            <w:tcBorders>
              <w:top w:val="single" w:sz="8"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72 (100%)</w:t>
            </w:r>
          </w:p>
        </w:tc>
        <w:tc>
          <w:tcPr>
            <w:tcW w:w="928" w:type="dxa"/>
            <w:tcBorders>
              <w:top w:val="single" w:sz="8"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70 (97%)</w:t>
            </w:r>
            <w:r w:rsidR="00825EDA" w:rsidRPr="00216999">
              <w:rPr>
                <w:rFonts w:ascii="Calibri" w:eastAsia="Times New Roman" w:hAnsi="Calibri" w:cs="Calibri"/>
                <w:b/>
                <w:bCs/>
                <w:color w:val="000000"/>
                <w:sz w:val="24"/>
                <w:szCs w:val="24"/>
                <w:lang w:eastAsia="en-GB"/>
              </w:rPr>
              <w:t>^</w:t>
            </w:r>
          </w:p>
        </w:tc>
        <w:tc>
          <w:tcPr>
            <w:tcW w:w="1051" w:type="dxa"/>
            <w:tcBorders>
              <w:top w:val="single" w:sz="8"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69 (96%)</w:t>
            </w:r>
            <w:r w:rsidR="00825EDA" w:rsidRPr="00216999">
              <w:rPr>
                <w:rFonts w:ascii="Calibri" w:eastAsia="Times New Roman" w:hAnsi="Calibri" w:cs="Calibri"/>
                <w:b/>
                <w:bCs/>
                <w:color w:val="000000"/>
                <w:sz w:val="24"/>
                <w:szCs w:val="24"/>
                <w:lang w:eastAsia="en-GB"/>
              </w:rPr>
              <w:t>^</w:t>
            </w:r>
          </w:p>
        </w:tc>
        <w:tc>
          <w:tcPr>
            <w:tcW w:w="228" w:type="dxa"/>
            <w:tcBorders>
              <w:top w:val="single" w:sz="8" w:space="0" w:color="auto"/>
              <w:left w:val="nil"/>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p>
        </w:tc>
      </w:tr>
      <w:tr w:rsidR="00CD1DE6" w:rsidRPr="00216999" w:rsidTr="00CD1DE6">
        <w:trPr>
          <w:trHeight w:val="386"/>
        </w:trPr>
        <w:tc>
          <w:tcPr>
            <w:tcW w:w="2545" w:type="dxa"/>
            <w:tcBorders>
              <w:top w:val="nil"/>
              <w:left w:val="single" w:sz="4" w:space="0" w:color="auto"/>
              <w:bottom w:val="single" w:sz="4" w:space="0" w:color="auto"/>
              <w:right w:val="nil"/>
            </w:tcBorders>
            <w:shd w:val="clear" w:color="auto" w:fill="auto"/>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985" w:type="dxa"/>
            <w:tcBorders>
              <w:top w:val="nil"/>
              <w:left w:val="single" w:sz="4" w:space="0" w:color="auto"/>
              <w:bottom w:val="single" w:sz="4" w:space="0" w:color="auto"/>
              <w:right w:val="single" w:sz="4" w:space="0" w:color="auto"/>
            </w:tcBorders>
            <w:shd w:val="clear" w:color="000000" w:fill="F2F2F2"/>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RT</w:t>
            </w:r>
            <w:r w:rsidR="000716C0">
              <w:rPr>
                <w:rFonts w:ascii="Calibri" w:eastAsia="Times New Roman" w:hAnsi="Calibri" w:cs="Calibri"/>
                <w:color w:val="000000"/>
                <w:sz w:val="24"/>
                <w:szCs w:val="24"/>
                <w:lang w:eastAsia="en-GB"/>
              </w:rPr>
              <w:t xml:space="preserve"> (s)</w:t>
            </w:r>
          </w:p>
        </w:tc>
        <w:tc>
          <w:tcPr>
            <w:tcW w:w="817" w:type="dxa"/>
            <w:tcBorders>
              <w:top w:val="nil"/>
              <w:left w:val="nil"/>
              <w:bottom w:val="single" w:sz="4" w:space="0" w:color="auto"/>
              <w:right w:val="nil"/>
            </w:tcBorders>
            <w:shd w:val="clear" w:color="000000" w:fill="F2F2F2"/>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1053" w:type="dxa"/>
            <w:tcBorders>
              <w:top w:val="nil"/>
              <w:left w:val="single" w:sz="4" w:space="0" w:color="auto"/>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0.51, SD ± 0.04</w:t>
            </w:r>
          </w:p>
        </w:tc>
        <w:tc>
          <w:tcPr>
            <w:tcW w:w="1053"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0.60</w:t>
            </w:r>
          </w:p>
        </w:tc>
        <w:tc>
          <w:tcPr>
            <w:tcW w:w="1108"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1.05**</w:t>
            </w:r>
          </w:p>
        </w:tc>
        <w:tc>
          <w:tcPr>
            <w:tcW w:w="1051"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1.66**</w:t>
            </w:r>
          </w:p>
        </w:tc>
        <w:tc>
          <w:tcPr>
            <w:tcW w:w="278" w:type="dxa"/>
            <w:tcBorders>
              <w:top w:val="nil"/>
              <w:left w:val="nil"/>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 </w:t>
            </w:r>
          </w:p>
        </w:tc>
        <w:tc>
          <w:tcPr>
            <w:tcW w:w="2545"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1172" w:type="dxa"/>
            <w:tcBorders>
              <w:top w:val="nil"/>
              <w:left w:val="nil"/>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0.57, ± 0.06</w:t>
            </w:r>
          </w:p>
        </w:tc>
        <w:tc>
          <w:tcPr>
            <w:tcW w:w="1053"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0.64</w:t>
            </w:r>
          </w:p>
        </w:tc>
        <w:tc>
          <w:tcPr>
            <w:tcW w:w="928"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0.91**</w:t>
            </w:r>
          </w:p>
        </w:tc>
        <w:tc>
          <w:tcPr>
            <w:tcW w:w="1051"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i/>
                <w:iCs/>
                <w:color w:val="000000"/>
                <w:sz w:val="24"/>
                <w:szCs w:val="24"/>
                <w:lang w:eastAsia="en-GB"/>
              </w:rPr>
            </w:pPr>
            <w:r w:rsidRPr="00216999">
              <w:rPr>
                <w:rFonts w:ascii="Calibri" w:eastAsia="Times New Roman" w:hAnsi="Calibri" w:cs="Calibri"/>
                <w:i/>
                <w:iCs/>
                <w:color w:val="000000"/>
                <w:sz w:val="24"/>
                <w:szCs w:val="24"/>
                <w:lang w:eastAsia="en-GB"/>
              </w:rPr>
              <w:t>data missing</w:t>
            </w:r>
          </w:p>
        </w:tc>
        <w:tc>
          <w:tcPr>
            <w:tcW w:w="228" w:type="dxa"/>
            <w:tcBorders>
              <w:top w:val="nil"/>
              <w:left w:val="nil"/>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p>
        </w:tc>
      </w:tr>
      <w:tr w:rsidR="00CD1DE6" w:rsidRPr="00216999" w:rsidTr="00CD1DE6">
        <w:trPr>
          <w:trHeight w:val="386"/>
        </w:trPr>
        <w:tc>
          <w:tcPr>
            <w:tcW w:w="2545" w:type="dxa"/>
            <w:tcBorders>
              <w:top w:val="nil"/>
              <w:left w:val="single" w:sz="4" w:space="0" w:color="auto"/>
              <w:bottom w:val="nil"/>
              <w:right w:val="nil"/>
            </w:tcBorders>
            <w:shd w:val="clear" w:color="auto" w:fill="auto"/>
            <w:noWrap/>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2. Schonell</w:t>
            </w:r>
          </w:p>
        </w:tc>
        <w:tc>
          <w:tcPr>
            <w:tcW w:w="985" w:type="dxa"/>
            <w:tcBorders>
              <w:top w:val="nil"/>
              <w:left w:val="single" w:sz="4" w:space="0" w:color="auto"/>
              <w:bottom w:val="nil"/>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Total</w:t>
            </w:r>
          </w:p>
        </w:tc>
        <w:tc>
          <w:tcPr>
            <w:tcW w:w="817" w:type="dxa"/>
            <w:tcBorders>
              <w:top w:val="nil"/>
              <w:left w:val="single" w:sz="4" w:space="0" w:color="auto"/>
              <w:bottom w:val="nil"/>
              <w:right w:val="nil"/>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100</w:t>
            </w:r>
          </w:p>
        </w:tc>
        <w:tc>
          <w:tcPr>
            <w:tcW w:w="1053" w:type="dxa"/>
            <w:tcBorders>
              <w:top w:val="nil"/>
              <w:left w:val="single" w:sz="4" w:space="0" w:color="auto"/>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99 ± 1.0 (99%)</w:t>
            </w:r>
          </w:p>
        </w:tc>
        <w:tc>
          <w:tcPr>
            <w:tcW w:w="1053" w:type="dxa"/>
            <w:tcBorders>
              <w:top w:val="nil"/>
              <w:left w:val="single" w:sz="4" w:space="0" w:color="auto"/>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97 (97%)</w:t>
            </w:r>
          </w:p>
        </w:tc>
        <w:tc>
          <w:tcPr>
            <w:tcW w:w="1108" w:type="dxa"/>
            <w:tcBorders>
              <w:top w:val="nil"/>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97 (97%)</w:t>
            </w:r>
          </w:p>
        </w:tc>
        <w:tc>
          <w:tcPr>
            <w:tcW w:w="1051" w:type="dxa"/>
            <w:tcBorders>
              <w:top w:val="nil"/>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92 (92%)**</w:t>
            </w:r>
          </w:p>
        </w:tc>
        <w:tc>
          <w:tcPr>
            <w:tcW w:w="278" w:type="dxa"/>
            <w:tcBorders>
              <w:top w:val="nil"/>
              <w:left w:val="nil"/>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 </w:t>
            </w:r>
          </w:p>
        </w:tc>
        <w:tc>
          <w:tcPr>
            <w:tcW w:w="2545" w:type="dxa"/>
            <w:tcBorders>
              <w:top w:val="single" w:sz="4" w:space="0" w:color="auto"/>
              <w:left w:val="nil"/>
              <w:bottom w:val="nil"/>
              <w:right w:val="nil"/>
            </w:tcBorders>
            <w:shd w:val="clear" w:color="auto" w:fill="auto"/>
            <w:noWrap/>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2. Schonell</w:t>
            </w:r>
          </w:p>
        </w:tc>
        <w:tc>
          <w:tcPr>
            <w:tcW w:w="1172" w:type="dxa"/>
            <w:tcBorders>
              <w:top w:val="nil"/>
              <w:left w:val="single" w:sz="4" w:space="0" w:color="auto"/>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99 ± 1.2 (99%)</w:t>
            </w:r>
          </w:p>
        </w:tc>
        <w:tc>
          <w:tcPr>
            <w:tcW w:w="1053" w:type="dxa"/>
            <w:tcBorders>
              <w:top w:val="nil"/>
              <w:left w:val="single" w:sz="4" w:space="0" w:color="auto"/>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100 (100%)</w:t>
            </w:r>
          </w:p>
        </w:tc>
        <w:tc>
          <w:tcPr>
            <w:tcW w:w="928" w:type="dxa"/>
            <w:tcBorders>
              <w:top w:val="nil"/>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94 (94%)*</w:t>
            </w:r>
          </w:p>
        </w:tc>
        <w:tc>
          <w:tcPr>
            <w:tcW w:w="1051" w:type="dxa"/>
            <w:tcBorders>
              <w:top w:val="nil"/>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88 (88%)**</w:t>
            </w:r>
          </w:p>
        </w:tc>
        <w:tc>
          <w:tcPr>
            <w:tcW w:w="228" w:type="dxa"/>
            <w:tcBorders>
              <w:top w:val="nil"/>
              <w:left w:val="nil"/>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p>
        </w:tc>
      </w:tr>
      <w:tr w:rsidR="00CD1DE6" w:rsidRPr="00216999" w:rsidTr="00CD1DE6">
        <w:trPr>
          <w:trHeight w:val="386"/>
        </w:trPr>
        <w:tc>
          <w:tcPr>
            <w:tcW w:w="2545" w:type="dxa"/>
            <w:tcBorders>
              <w:top w:val="nil"/>
              <w:left w:val="single" w:sz="4" w:space="0" w:color="auto"/>
              <w:bottom w:val="nil"/>
              <w:right w:val="nil"/>
            </w:tcBorders>
            <w:shd w:val="clear" w:color="auto" w:fill="auto"/>
            <w:noWrap/>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985" w:type="dxa"/>
            <w:tcBorders>
              <w:top w:val="nil"/>
              <w:left w:val="single" w:sz="4" w:space="0" w:color="auto"/>
              <w:bottom w:val="single" w:sz="4" w:space="0" w:color="auto"/>
              <w:right w:val="single" w:sz="4" w:space="0" w:color="auto"/>
            </w:tcBorders>
            <w:shd w:val="clear" w:color="000000" w:fill="F2F2F2"/>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RT</w:t>
            </w:r>
            <w:r w:rsidR="000716C0">
              <w:rPr>
                <w:rFonts w:ascii="Calibri" w:eastAsia="Times New Roman" w:hAnsi="Calibri" w:cs="Calibri"/>
                <w:color w:val="000000"/>
                <w:sz w:val="24"/>
                <w:szCs w:val="24"/>
                <w:lang w:eastAsia="en-GB"/>
              </w:rPr>
              <w:t xml:space="preserve"> (s)</w:t>
            </w:r>
          </w:p>
        </w:tc>
        <w:tc>
          <w:tcPr>
            <w:tcW w:w="817" w:type="dxa"/>
            <w:tcBorders>
              <w:top w:val="nil"/>
              <w:left w:val="nil"/>
              <w:bottom w:val="single" w:sz="4" w:space="0" w:color="auto"/>
              <w:right w:val="nil"/>
            </w:tcBorders>
            <w:shd w:val="clear" w:color="000000" w:fill="F2F2F2"/>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1053" w:type="dxa"/>
            <w:tcBorders>
              <w:top w:val="nil"/>
              <w:left w:val="single" w:sz="4" w:space="0" w:color="auto"/>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0.54 ± 0.07</w:t>
            </w:r>
          </w:p>
        </w:tc>
        <w:tc>
          <w:tcPr>
            <w:tcW w:w="1053"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0.72</w:t>
            </w:r>
          </w:p>
        </w:tc>
        <w:tc>
          <w:tcPr>
            <w:tcW w:w="1108"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1.04**</w:t>
            </w:r>
          </w:p>
        </w:tc>
        <w:tc>
          <w:tcPr>
            <w:tcW w:w="1051"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1.58**</w:t>
            </w:r>
          </w:p>
        </w:tc>
        <w:tc>
          <w:tcPr>
            <w:tcW w:w="278" w:type="dxa"/>
            <w:tcBorders>
              <w:top w:val="nil"/>
              <w:left w:val="nil"/>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 </w:t>
            </w:r>
          </w:p>
        </w:tc>
        <w:tc>
          <w:tcPr>
            <w:tcW w:w="2545" w:type="dxa"/>
            <w:tcBorders>
              <w:top w:val="nil"/>
              <w:left w:val="nil"/>
              <w:bottom w:val="nil"/>
              <w:right w:val="nil"/>
            </w:tcBorders>
            <w:shd w:val="clear" w:color="auto" w:fill="auto"/>
            <w:noWrap/>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1172" w:type="dxa"/>
            <w:tcBorders>
              <w:top w:val="nil"/>
              <w:left w:val="single" w:sz="4" w:space="0" w:color="auto"/>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0.60, ± 0.06</w:t>
            </w:r>
          </w:p>
        </w:tc>
        <w:tc>
          <w:tcPr>
            <w:tcW w:w="1053"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0.78*</w:t>
            </w:r>
          </w:p>
        </w:tc>
        <w:tc>
          <w:tcPr>
            <w:tcW w:w="928"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0.92**</w:t>
            </w:r>
          </w:p>
        </w:tc>
        <w:tc>
          <w:tcPr>
            <w:tcW w:w="1051"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6.52**</w:t>
            </w:r>
          </w:p>
        </w:tc>
        <w:tc>
          <w:tcPr>
            <w:tcW w:w="228" w:type="dxa"/>
            <w:tcBorders>
              <w:top w:val="nil"/>
              <w:left w:val="nil"/>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p>
        </w:tc>
      </w:tr>
      <w:tr w:rsidR="00CD1DE6" w:rsidRPr="00216999" w:rsidTr="00CD1DE6">
        <w:trPr>
          <w:trHeight w:val="258"/>
        </w:trPr>
        <w:tc>
          <w:tcPr>
            <w:tcW w:w="2545" w:type="dxa"/>
            <w:tcBorders>
              <w:top w:val="single" w:sz="4" w:space="0" w:color="auto"/>
              <w:left w:val="single" w:sz="4" w:space="0" w:color="auto"/>
              <w:bottom w:val="nil"/>
              <w:right w:val="single" w:sz="4" w:space="0" w:color="auto"/>
            </w:tcBorders>
            <w:shd w:val="clear" w:color="auto" w:fill="auto"/>
            <w:noWrap/>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 Coltheart words</w:t>
            </w:r>
          </w:p>
        </w:tc>
        <w:tc>
          <w:tcPr>
            <w:tcW w:w="985" w:type="dxa"/>
            <w:tcBorders>
              <w:top w:val="nil"/>
              <w:left w:val="nil"/>
              <w:bottom w:val="single" w:sz="4" w:space="0" w:color="auto"/>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Total</w:t>
            </w:r>
          </w:p>
        </w:tc>
        <w:tc>
          <w:tcPr>
            <w:tcW w:w="817" w:type="dxa"/>
            <w:tcBorders>
              <w:top w:val="nil"/>
              <w:left w:val="single" w:sz="4" w:space="0" w:color="auto"/>
              <w:bottom w:val="single" w:sz="4" w:space="0" w:color="auto"/>
              <w:right w:val="nil"/>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78</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78 (100%)</w:t>
            </w:r>
          </w:p>
        </w:tc>
        <w:tc>
          <w:tcPr>
            <w:tcW w:w="1053" w:type="dxa"/>
            <w:tcBorders>
              <w:top w:val="nil"/>
              <w:left w:val="single" w:sz="4" w:space="0" w:color="auto"/>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77 (99%)</w:t>
            </w:r>
            <w:r w:rsidR="00825EDA" w:rsidRPr="00216999">
              <w:rPr>
                <w:rFonts w:ascii="Calibri" w:eastAsia="Times New Roman" w:hAnsi="Calibri" w:cs="Calibri"/>
                <w:b/>
                <w:bCs/>
                <w:color w:val="000000"/>
                <w:sz w:val="24"/>
                <w:szCs w:val="24"/>
                <w:lang w:eastAsia="en-GB"/>
              </w:rPr>
              <w:t>^</w:t>
            </w:r>
          </w:p>
        </w:tc>
        <w:tc>
          <w:tcPr>
            <w:tcW w:w="1108"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75 (96%)</w:t>
            </w:r>
            <w:r w:rsidR="00825EDA" w:rsidRPr="00216999">
              <w:rPr>
                <w:rFonts w:ascii="Calibri" w:eastAsia="Times New Roman" w:hAnsi="Calibri" w:cs="Calibri"/>
                <w:b/>
                <w:bCs/>
                <w:color w:val="000000"/>
                <w:sz w:val="24"/>
                <w:szCs w:val="24"/>
                <w:lang w:eastAsia="en-GB"/>
              </w:rPr>
              <w:t>^</w:t>
            </w:r>
          </w:p>
        </w:tc>
        <w:tc>
          <w:tcPr>
            <w:tcW w:w="1051"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69 (89%)</w:t>
            </w:r>
            <w:r w:rsidR="00825EDA" w:rsidRPr="00216999">
              <w:rPr>
                <w:rFonts w:ascii="Calibri" w:eastAsia="Times New Roman" w:hAnsi="Calibri" w:cs="Calibri"/>
                <w:b/>
                <w:bCs/>
                <w:color w:val="000000"/>
                <w:sz w:val="24"/>
                <w:szCs w:val="24"/>
                <w:lang w:eastAsia="en-GB"/>
              </w:rPr>
              <w:t>^</w:t>
            </w:r>
          </w:p>
        </w:tc>
        <w:tc>
          <w:tcPr>
            <w:tcW w:w="278"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 </w:t>
            </w:r>
          </w:p>
        </w:tc>
        <w:tc>
          <w:tcPr>
            <w:tcW w:w="2545" w:type="dxa"/>
            <w:tcBorders>
              <w:top w:val="single" w:sz="4" w:space="0" w:color="auto"/>
              <w:left w:val="single" w:sz="4" w:space="0" w:color="auto"/>
              <w:bottom w:val="nil"/>
              <w:right w:val="single" w:sz="4" w:space="0" w:color="auto"/>
            </w:tcBorders>
            <w:shd w:val="clear" w:color="auto" w:fill="auto"/>
            <w:noWrap/>
            <w:vAlign w:val="center"/>
            <w:hideMark/>
          </w:tcPr>
          <w:p w:rsidR="00A87E55" w:rsidRPr="00216999" w:rsidRDefault="00A87E55" w:rsidP="00CD1DE6">
            <w:pPr>
              <w:spacing w:after="0" w:line="240" w:lineRule="auto"/>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 Coltheart words</w:t>
            </w:r>
          </w:p>
        </w:tc>
        <w:tc>
          <w:tcPr>
            <w:tcW w:w="1172"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78 (100%)</w:t>
            </w:r>
          </w:p>
        </w:tc>
        <w:tc>
          <w:tcPr>
            <w:tcW w:w="1053" w:type="dxa"/>
            <w:tcBorders>
              <w:top w:val="nil"/>
              <w:left w:val="single" w:sz="4" w:space="0" w:color="auto"/>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78 (100%)</w:t>
            </w:r>
          </w:p>
        </w:tc>
        <w:tc>
          <w:tcPr>
            <w:tcW w:w="928"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72 (92%)</w:t>
            </w:r>
            <w:r w:rsidR="00825EDA" w:rsidRPr="00216999">
              <w:rPr>
                <w:rFonts w:ascii="Calibri" w:eastAsia="Times New Roman" w:hAnsi="Calibri" w:cs="Calibri"/>
                <w:b/>
                <w:bCs/>
                <w:color w:val="000000"/>
                <w:sz w:val="24"/>
                <w:szCs w:val="24"/>
                <w:lang w:eastAsia="en-GB"/>
              </w:rPr>
              <w:t>^</w:t>
            </w:r>
          </w:p>
        </w:tc>
        <w:tc>
          <w:tcPr>
            <w:tcW w:w="1051" w:type="dxa"/>
            <w:tcBorders>
              <w:top w:val="nil"/>
              <w:left w:val="nil"/>
              <w:bottom w:val="single" w:sz="4" w:space="0" w:color="auto"/>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69 (89%)</w:t>
            </w:r>
            <w:r w:rsidR="00825EDA" w:rsidRPr="00216999">
              <w:rPr>
                <w:rFonts w:ascii="Calibri" w:eastAsia="Times New Roman" w:hAnsi="Calibri" w:cs="Calibri"/>
                <w:b/>
                <w:bCs/>
                <w:color w:val="000000"/>
                <w:sz w:val="24"/>
                <w:szCs w:val="24"/>
                <w:lang w:eastAsia="en-GB"/>
              </w:rPr>
              <w:t>^</w:t>
            </w:r>
          </w:p>
        </w:tc>
        <w:tc>
          <w:tcPr>
            <w:tcW w:w="228" w:type="dxa"/>
            <w:tcBorders>
              <w:top w:val="nil"/>
              <w:left w:val="nil"/>
              <w:bottom w:val="single" w:sz="4" w:space="0" w:color="auto"/>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p>
        </w:tc>
      </w:tr>
      <w:tr w:rsidR="00CD1DE6" w:rsidRPr="00216999" w:rsidTr="00CD1DE6">
        <w:trPr>
          <w:trHeight w:val="258"/>
        </w:trPr>
        <w:tc>
          <w:tcPr>
            <w:tcW w:w="2545" w:type="dxa"/>
            <w:tcBorders>
              <w:top w:val="single" w:sz="4" w:space="0" w:color="auto"/>
              <w:left w:val="single" w:sz="4" w:space="0" w:color="auto"/>
              <w:bottom w:val="nil"/>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Regular</w:t>
            </w:r>
          </w:p>
        </w:tc>
        <w:tc>
          <w:tcPr>
            <w:tcW w:w="985" w:type="dxa"/>
            <w:tcBorders>
              <w:top w:val="nil"/>
              <w:left w:val="nil"/>
              <w:bottom w:val="nil"/>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Total</w:t>
            </w:r>
          </w:p>
        </w:tc>
        <w:tc>
          <w:tcPr>
            <w:tcW w:w="817" w:type="dxa"/>
            <w:tcBorders>
              <w:top w:val="nil"/>
              <w:left w:val="single" w:sz="4" w:space="0" w:color="auto"/>
              <w:bottom w:val="nil"/>
              <w:right w:val="nil"/>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39</w:t>
            </w:r>
          </w:p>
        </w:tc>
        <w:tc>
          <w:tcPr>
            <w:tcW w:w="1053" w:type="dxa"/>
            <w:tcBorders>
              <w:top w:val="nil"/>
              <w:left w:val="single" w:sz="4" w:space="0" w:color="auto"/>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39 (100%)</w:t>
            </w:r>
          </w:p>
        </w:tc>
        <w:tc>
          <w:tcPr>
            <w:tcW w:w="1053" w:type="dxa"/>
            <w:tcBorders>
              <w:top w:val="nil"/>
              <w:left w:val="single" w:sz="4" w:space="0" w:color="auto"/>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39 (100%)</w:t>
            </w:r>
          </w:p>
        </w:tc>
        <w:tc>
          <w:tcPr>
            <w:tcW w:w="1108" w:type="dxa"/>
            <w:tcBorders>
              <w:top w:val="nil"/>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37 (95%)</w:t>
            </w:r>
            <w:r w:rsidR="00825EDA" w:rsidRPr="00216999">
              <w:rPr>
                <w:rFonts w:ascii="Calibri" w:eastAsia="Times New Roman" w:hAnsi="Calibri" w:cs="Calibri"/>
                <w:b/>
                <w:bCs/>
                <w:color w:val="000000"/>
                <w:sz w:val="24"/>
                <w:szCs w:val="24"/>
                <w:lang w:eastAsia="en-GB"/>
              </w:rPr>
              <w:t>^</w:t>
            </w:r>
          </w:p>
        </w:tc>
        <w:tc>
          <w:tcPr>
            <w:tcW w:w="1051" w:type="dxa"/>
            <w:tcBorders>
              <w:top w:val="nil"/>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35 (90%)</w:t>
            </w:r>
            <w:r w:rsidR="00825EDA" w:rsidRPr="00216999">
              <w:rPr>
                <w:rFonts w:ascii="Calibri" w:eastAsia="Times New Roman" w:hAnsi="Calibri" w:cs="Calibri"/>
                <w:b/>
                <w:bCs/>
                <w:color w:val="000000"/>
                <w:sz w:val="24"/>
                <w:szCs w:val="24"/>
                <w:lang w:eastAsia="en-GB"/>
              </w:rPr>
              <w:t>^</w:t>
            </w:r>
          </w:p>
        </w:tc>
        <w:tc>
          <w:tcPr>
            <w:tcW w:w="278" w:type="dxa"/>
            <w:tcBorders>
              <w:top w:val="nil"/>
              <w:left w:val="nil"/>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 </w:t>
            </w:r>
          </w:p>
        </w:tc>
        <w:tc>
          <w:tcPr>
            <w:tcW w:w="2545" w:type="dxa"/>
            <w:tcBorders>
              <w:top w:val="single" w:sz="4" w:space="0" w:color="auto"/>
              <w:left w:val="single" w:sz="4" w:space="0" w:color="auto"/>
              <w:bottom w:val="nil"/>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Regular</w:t>
            </w:r>
          </w:p>
        </w:tc>
        <w:tc>
          <w:tcPr>
            <w:tcW w:w="1172" w:type="dxa"/>
            <w:tcBorders>
              <w:top w:val="nil"/>
              <w:left w:val="nil"/>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39(100%)</w:t>
            </w:r>
          </w:p>
        </w:tc>
        <w:tc>
          <w:tcPr>
            <w:tcW w:w="1053" w:type="dxa"/>
            <w:tcBorders>
              <w:top w:val="nil"/>
              <w:left w:val="single" w:sz="4" w:space="0" w:color="auto"/>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39 (100%)</w:t>
            </w:r>
          </w:p>
        </w:tc>
        <w:tc>
          <w:tcPr>
            <w:tcW w:w="928" w:type="dxa"/>
            <w:tcBorders>
              <w:top w:val="nil"/>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36 (92%)</w:t>
            </w:r>
            <w:r w:rsidR="00825EDA" w:rsidRPr="00216999">
              <w:rPr>
                <w:rFonts w:ascii="Calibri" w:eastAsia="Times New Roman" w:hAnsi="Calibri" w:cs="Calibri"/>
                <w:b/>
                <w:bCs/>
                <w:color w:val="000000"/>
                <w:sz w:val="24"/>
                <w:szCs w:val="24"/>
                <w:lang w:eastAsia="en-GB"/>
              </w:rPr>
              <w:t>^</w:t>
            </w:r>
          </w:p>
        </w:tc>
        <w:tc>
          <w:tcPr>
            <w:tcW w:w="1051" w:type="dxa"/>
            <w:tcBorders>
              <w:top w:val="nil"/>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35 (90%)</w:t>
            </w:r>
            <w:r w:rsidR="00825EDA" w:rsidRPr="00216999">
              <w:rPr>
                <w:rFonts w:ascii="Calibri" w:eastAsia="Times New Roman" w:hAnsi="Calibri" w:cs="Calibri"/>
                <w:b/>
                <w:bCs/>
                <w:color w:val="000000"/>
                <w:sz w:val="24"/>
                <w:szCs w:val="24"/>
                <w:lang w:eastAsia="en-GB"/>
              </w:rPr>
              <w:t>^</w:t>
            </w:r>
          </w:p>
        </w:tc>
        <w:tc>
          <w:tcPr>
            <w:tcW w:w="228" w:type="dxa"/>
            <w:tcBorders>
              <w:top w:val="nil"/>
              <w:left w:val="nil"/>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p>
        </w:tc>
      </w:tr>
      <w:tr w:rsidR="00CD1DE6" w:rsidRPr="00216999" w:rsidTr="00CD1DE6">
        <w:trPr>
          <w:trHeight w:val="386"/>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985" w:type="dxa"/>
            <w:tcBorders>
              <w:top w:val="nil"/>
              <w:left w:val="nil"/>
              <w:bottom w:val="single" w:sz="4" w:space="0" w:color="auto"/>
              <w:right w:val="single" w:sz="4" w:space="0" w:color="auto"/>
            </w:tcBorders>
            <w:shd w:val="clear" w:color="000000" w:fill="F2F2F2"/>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RT</w:t>
            </w:r>
            <w:r w:rsidR="000716C0">
              <w:rPr>
                <w:rFonts w:ascii="Calibri" w:eastAsia="Times New Roman" w:hAnsi="Calibri" w:cs="Calibri"/>
                <w:color w:val="000000"/>
                <w:sz w:val="24"/>
                <w:szCs w:val="24"/>
                <w:lang w:eastAsia="en-GB"/>
              </w:rPr>
              <w:t xml:space="preserve"> (s)</w:t>
            </w:r>
          </w:p>
        </w:tc>
        <w:tc>
          <w:tcPr>
            <w:tcW w:w="817" w:type="dxa"/>
            <w:tcBorders>
              <w:top w:val="nil"/>
              <w:left w:val="nil"/>
              <w:bottom w:val="single" w:sz="4" w:space="0" w:color="auto"/>
              <w:right w:val="nil"/>
            </w:tcBorders>
            <w:shd w:val="clear" w:color="000000" w:fill="F2F2F2"/>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1053" w:type="dxa"/>
            <w:tcBorders>
              <w:top w:val="nil"/>
              <w:left w:val="single" w:sz="4" w:space="0" w:color="auto"/>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0.48 ±0.04</w:t>
            </w:r>
          </w:p>
        </w:tc>
        <w:tc>
          <w:tcPr>
            <w:tcW w:w="1053"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0.56</w:t>
            </w:r>
          </w:p>
        </w:tc>
        <w:tc>
          <w:tcPr>
            <w:tcW w:w="1108" w:type="dxa"/>
            <w:tcBorders>
              <w:top w:val="nil"/>
              <w:left w:val="nil"/>
              <w:bottom w:val="nil"/>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0.97**</w:t>
            </w:r>
          </w:p>
        </w:tc>
        <w:tc>
          <w:tcPr>
            <w:tcW w:w="1051" w:type="dxa"/>
            <w:tcBorders>
              <w:top w:val="nil"/>
              <w:left w:val="nil"/>
              <w:bottom w:val="nil"/>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1.37**</w:t>
            </w:r>
          </w:p>
        </w:tc>
        <w:tc>
          <w:tcPr>
            <w:tcW w:w="278" w:type="dxa"/>
            <w:tcBorders>
              <w:top w:val="nil"/>
              <w:left w:val="nil"/>
              <w:bottom w:val="nil"/>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 </w:t>
            </w:r>
          </w:p>
        </w:tc>
        <w:tc>
          <w:tcPr>
            <w:tcW w:w="2545" w:type="dxa"/>
            <w:tcBorders>
              <w:top w:val="nil"/>
              <w:left w:val="nil"/>
              <w:bottom w:val="single" w:sz="4" w:space="0" w:color="auto"/>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1172" w:type="dxa"/>
            <w:tcBorders>
              <w:top w:val="nil"/>
              <w:left w:val="nil"/>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0.53 ± 0.05</w:t>
            </w:r>
          </w:p>
        </w:tc>
        <w:tc>
          <w:tcPr>
            <w:tcW w:w="1053"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0.91**</w:t>
            </w:r>
          </w:p>
        </w:tc>
        <w:tc>
          <w:tcPr>
            <w:tcW w:w="928"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0.88**</w:t>
            </w:r>
          </w:p>
        </w:tc>
        <w:tc>
          <w:tcPr>
            <w:tcW w:w="1051"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6.62**</w:t>
            </w:r>
          </w:p>
        </w:tc>
        <w:tc>
          <w:tcPr>
            <w:tcW w:w="228" w:type="dxa"/>
            <w:tcBorders>
              <w:top w:val="nil"/>
              <w:left w:val="nil"/>
              <w:bottom w:val="nil"/>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p>
        </w:tc>
      </w:tr>
      <w:tr w:rsidR="00CD1DE6" w:rsidRPr="00216999" w:rsidTr="00CD1DE6">
        <w:trPr>
          <w:trHeight w:val="258"/>
        </w:trPr>
        <w:tc>
          <w:tcPr>
            <w:tcW w:w="2545" w:type="dxa"/>
            <w:tcBorders>
              <w:top w:val="nil"/>
              <w:left w:val="single" w:sz="4" w:space="0" w:color="auto"/>
              <w:bottom w:val="nil"/>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Irregular</w:t>
            </w:r>
          </w:p>
        </w:tc>
        <w:tc>
          <w:tcPr>
            <w:tcW w:w="985" w:type="dxa"/>
            <w:tcBorders>
              <w:top w:val="nil"/>
              <w:left w:val="single" w:sz="4" w:space="0" w:color="auto"/>
              <w:bottom w:val="nil"/>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Total</w:t>
            </w:r>
          </w:p>
        </w:tc>
        <w:tc>
          <w:tcPr>
            <w:tcW w:w="817" w:type="dxa"/>
            <w:tcBorders>
              <w:top w:val="nil"/>
              <w:left w:val="single" w:sz="4" w:space="0" w:color="auto"/>
              <w:bottom w:val="nil"/>
              <w:right w:val="nil"/>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39</w:t>
            </w:r>
          </w:p>
        </w:tc>
        <w:tc>
          <w:tcPr>
            <w:tcW w:w="1053" w:type="dxa"/>
            <w:tcBorders>
              <w:top w:val="nil"/>
              <w:left w:val="single" w:sz="4" w:space="0" w:color="auto"/>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39 (100%)</w:t>
            </w:r>
          </w:p>
        </w:tc>
        <w:tc>
          <w:tcPr>
            <w:tcW w:w="1053" w:type="dxa"/>
            <w:tcBorders>
              <w:top w:val="nil"/>
              <w:left w:val="single" w:sz="4" w:space="0" w:color="auto"/>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38 (97%)</w:t>
            </w:r>
            <w:r w:rsidR="00825EDA" w:rsidRPr="00216999">
              <w:rPr>
                <w:rFonts w:ascii="Calibri" w:eastAsia="Times New Roman" w:hAnsi="Calibri" w:cs="Calibri"/>
                <w:b/>
                <w:bCs/>
                <w:color w:val="000000"/>
                <w:sz w:val="24"/>
                <w:szCs w:val="24"/>
                <w:lang w:eastAsia="en-GB"/>
              </w:rPr>
              <w:t>^</w:t>
            </w:r>
          </w:p>
        </w:tc>
        <w:tc>
          <w:tcPr>
            <w:tcW w:w="1108" w:type="dxa"/>
            <w:tcBorders>
              <w:top w:val="single" w:sz="4"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38 (97%)</w:t>
            </w:r>
            <w:r w:rsidR="00825EDA" w:rsidRPr="00216999">
              <w:rPr>
                <w:rFonts w:ascii="Calibri" w:eastAsia="Times New Roman" w:hAnsi="Calibri" w:cs="Calibri"/>
                <w:b/>
                <w:bCs/>
                <w:color w:val="000000"/>
                <w:sz w:val="24"/>
                <w:szCs w:val="24"/>
                <w:lang w:eastAsia="en-GB"/>
              </w:rPr>
              <w:t>^</w:t>
            </w:r>
          </w:p>
        </w:tc>
        <w:tc>
          <w:tcPr>
            <w:tcW w:w="1051" w:type="dxa"/>
            <w:tcBorders>
              <w:top w:val="single" w:sz="4" w:space="0" w:color="auto"/>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34 (87%)</w:t>
            </w:r>
            <w:r w:rsidR="00825EDA" w:rsidRPr="00216999">
              <w:rPr>
                <w:rFonts w:ascii="Calibri" w:eastAsia="Times New Roman" w:hAnsi="Calibri" w:cs="Calibri"/>
                <w:b/>
                <w:bCs/>
                <w:color w:val="000000"/>
                <w:sz w:val="24"/>
                <w:szCs w:val="24"/>
                <w:lang w:eastAsia="en-GB"/>
              </w:rPr>
              <w:t>^</w:t>
            </w:r>
          </w:p>
        </w:tc>
        <w:tc>
          <w:tcPr>
            <w:tcW w:w="278" w:type="dxa"/>
            <w:tcBorders>
              <w:top w:val="single" w:sz="4" w:space="0" w:color="auto"/>
              <w:left w:val="nil"/>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 </w:t>
            </w:r>
          </w:p>
        </w:tc>
        <w:tc>
          <w:tcPr>
            <w:tcW w:w="2545" w:type="dxa"/>
            <w:tcBorders>
              <w:top w:val="nil"/>
              <w:left w:val="single" w:sz="4" w:space="0" w:color="auto"/>
              <w:bottom w:val="nil"/>
              <w:right w:val="single" w:sz="4" w:space="0" w:color="auto"/>
            </w:tcBorders>
            <w:shd w:val="clear" w:color="auto" w:fill="auto"/>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Irregular</w:t>
            </w:r>
          </w:p>
        </w:tc>
        <w:tc>
          <w:tcPr>
            <w:tcW w:w="1172" w:type="dxa"/>
            <w:tcBorders>
              <w:top w:val="nil"/>
              <w:left w:val="single" w:sz="4" w:space="0" w:color="auto"/>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39 (100%)</w:t>
            </w:r>
          </w:p>
        </w:tc>
        <w:tc>
          <w:tcPr>
            <w:tcW w:w="1053" w:type="dxa"/>
            <w:tcBorders>
              <w:top w:val="nil"/>
              <w:left w:val="single" w:sz="4" w:space="0" w:color="auto"/>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39 (100%)</w:t>
            </w:r>
          </w:p>
        </w:tc>
        <w:tc>
          <w:tcPr>
            <w:tcW w:w="928" w:type="dxa"/>
            <w:tcBorders>
              <w:top w:val="nil"/>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36 (92%)</w:t>
            </w:r>
            <w:r w:rsidR="00825EDA" w:rsidRPr="00216999">
              <w:rPr>
                <w:rFonts w:ascii="Calibri" w:eastAsia="Times New Roman" w:hAnsi="Calibri" w:cs="Calibri"/>
                <w:b/>
                <w:bCs/>
                <w:color w:val="000000"/>
                <w:sz w:val="24"/>
                <w:szCs w:val="24"/>
                <w:lang w:eastAsia="en-GB"/>
              </w:rPr>
              <w:t>^</w:t>
            </w:r>
          </w:p>
        </w:tc>
        <w:tc>
          <w:tcPr>
            <w:tcW w:w="1051" w:type="dxa"/>
            <w:tcBorders>
              <w:top w:val="nil"/>
              <w:left w:val="nil"/>
              <w:bottom w:val="nil"/>
              <w:right w:val="nil"/>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34 (87%)</w:t>
            </w:r>
            <w:r w:rsidR="00825EDA" w:rsidRPr="00216999">
              <w:rPr>
                <w:rFonts w:ascii="Calibri" w:eastAsia="Times New Roman" w:hAnsi="Calibri" w:cs="Calibri"/>
                <w:b/>
                <w:bCs/>
                <w:color w:val="000000"/>
                <w:sz w:val="24"/>
                <w:szCs w:val="24"/>
                <w:lang w:eastAsia="en-GB"/>
              </w:rPr>
              <w:t>^</w:t>
            </w:r>
          </w:p>
        </w:tc>
        <w:tc>
          <w:tcPr>
            <w:tcW w:w="228" w:type="dxa"/>
            <w:tcBorders>
              <w:top w:val="single" w:sz="4" w:space="0" w:color="auto"/>
              <w:left w:val="nil"/>
              <w:bottom w:val="nil"/>
              <w:right w:val="single" w:sz="4" w:space="0" w:color="auto"/>
            </w:tcBorders>
            <w:shd w:val="clear" w:color="auto" w:fill="auto"/>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p>
        </w:tc>
      </w:tr>
      <w:tr w:rsidR="00CD1DE6" w:rsidRPr="00216999" w:rsidTr="00CD1DE6">
        <w:trPr>
          <w:trHeight w:val="386"/>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A87E55" w:rsidRPr="00216999" w:rsidRDefault="00A87E55" w:rsidP="00CD1DE6">
            <w:pPr>
              <w:spacing w:after="0" w:line="240" w:lineRule="auto"/>
              <w:jc w:val="right"/>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985" w:type="dxa"/>
            <w:tcBorders>
              <w:top w:val="nil"/>
              <w:left w:val="nil"/>
              <w:bottom w:val="single" w:sz="4" w:space="0" w:color="auto"/>
              <w:right w:val="single" w:sz="4" w:space="0" w:color="auto"/>
            </w:tcBorders>
            <w:shd w:val="clear" w:color="000000" w:fill="F2F2F2"/>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RT</w:t>
            </w:r>
            <w:r w:rsidR="000716C0">
              <w:rPr>
                <w:rFonts w:ascii="Calibri" w:eastAsia="Times New Roman" w:hAnsi="Calibri" w:cs="Calibri"/>
                <w:color w:val="000000"/>
                <w:sz w:val="24"/>
                <w:szCs w:val="24"/>
                <w:lang w:eastAsia="en-GB"/>
              </w:rPr>
              <w:t xml:space="preserve"> (s)</w:t>
            </w:r>
          </w:p>
        </w:tc>
        <w:tc>
          <w:tcPr>
            <w:tcW w:w="817" w:type="dxa"/>
            <w:tcBorders>
              <w:top w:val="nil"/>
              <w:left w:val="nil"/>
              <w:bottom w:val="single" w:sz="4" w:space="0" w:color="auto"/>
              <w:right w:val="nil"/>
            </w:tcBorders>
            <w:shd w:val="clear" w:color="000000" w:fill="F2F2F2"/>
            <w:noWrap/>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1053" w:type="dxa"/>
            <w:tcBorders>
              <w:top w:val="nil"/>
              <w:left w:val="single" w:sz="4" w:space="0" w:color="auto"/>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0.51 ± 0.05</w:t>
            </w:r>
          </w:p>
        </w:tc>
        <w:tc>
          <w:tcPr>
            <w:tcW w:w="1053"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0.59</w:t>
            </w:r>
          </w:p>
        </w:tc>
        <w:tc>
          <w:tcPr>
            <w:tcW w:w="1108"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1.15**</w:t>
            </w:r>
          </w:p>
        </w:tc>
        <w:tc>
          <w:tcPr>
            <w:tcW w:w="1051"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1.51**</w:t>
            </w:r>
          </w:p>
        </w:tc>
        <w:tc>
          <w:tcPr>
            <w:tcW w:w="278" w:type="dxa"/>
            <w:tcBorders>
              <w:top w:val="nil"/>
              <w:left w:val="nil"/>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 </w:t>
            </w:r>
          </w:p>
        </w:tc>
        <w:tc>
          <w:tcPr>
            <w:tcW w:w="2545" w:type="dxa"/>
            <w:tcBorders>
              <w:top w:val="nil"/>
              <w:left w:val="nil"/>
              <w:bottom w:val="single" w:sz="4" w:space="0" w:color="auto"/>
              <w:right w:val="single" w:sz="4" w:space="0" w:color="auto"/>
            </w:tcBorders>
            <w:shd w:val="clear" w:color="auto" w:fill="auto"/>
            <w:noWrap/>
            <w:vAlign w:val="center"/>
            <w:hideMark/>
          </w:tcPr>
          <w:p w:rsidR="00A87E55" w:rsidRPr="00216999" w:rsidRDefault="00A87E55" w:rsidP="00CD1DE6">
            <w:pPr>
              <w:spacing w:after="0" w:line="240" w:lineRule="auto"/>
              <w:jc w:val="right"/>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 </w:t>
            </w:r>
          </w:p>
        </w:tc>
        <w:tc>
          <w:tcPr>
            <w:tcW w:w="1172" w:type="dxa"/>
            <w:tcBorders>
              <w:top w:val="nil"/>
              <w:left w:val="nil"/>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color w:val="000000"/>
                <w:sz w:val="24"/>
                <w:szCs w:val="24"/>
                <w:lang w:eastAsia="en-GB"/>
              </w:rPr>
            </w:pPr>
            <w:r w:rsidRPr="00216999">
              <w:rPr>
                <w:rFonts w:ascii="Calibri" w:eastAsia="Times New Roman" w:hAnsi="Calibri" w:cs="Calibri"/>
                <w:color w:val="000000"/>
                <w:sz w:val="24"/>
                <w:szCs w:val="24"/>
                <w:lang w:eastAsia="en-GB"/>
              </w:rPr>
              <w:t>0.55 ± 0.05</w:t>
            </w:r>
          </w:p>
        </w:tc>
        <w:tc>
          <w:tcPr>
            <w:tcW w:w="1053"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1.1**</w:t>
            </w:r>
          </w:p>
        </w:tc>
        <w:tc>
          <w:tcPr>
            <w:tcW w:w="928"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1.1**</w:t>
            </w:r>
          </w:p>
        </w:tc>
        <w:tc>
          <w:tcPr>
            <w:tcW w:w="1051" w:type="dxa"/>
            <w:tcBorders>
              <w:top w:val="nil"/>
              <w:left w:val="nil"/>
              <w:bottom w:val="single" w:sz="4" w:space="0" w:color="auto"/>
              <w:right w:val="nil"/>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r w:rsidRPr="00216999">
              <w:rPr>
                <w:rFonts w:ascii="Calibri" w:eastAsia="Times New Roman" w:hAnsi="Calibri" w:cs="Calibri"/>
                <w:b/>
                <w:bCs/>
                <w:color w:val="000000"/>
                <w:sz w:val="24"/>
                <w:szCs w:val="24"/>
                <w:lang w:eastAsia="en-GB"/>
              </w:rPr>
              <w:t>7.87**</w:t>
            </w:r>
          </w:p>
        </w:tc>
        <w:tc>
          <w:tcPr>
            <w:tcW w:w="228" w:type="dxa"/>
            <w:tcBorders>
              <w:top w:val="nil"/>
              <w:left w:val="nil"/>
              <w:bottom w:val="single" w:sz="4" w:space="0" w:color="auto"/>
              <w:right w:val="single" w:sz="4" w:space="0" w:color="auto"/>
            </w:tcBorders>
            <w:shd w:val="clear" w:color="000000" w:fill="F2F2F2"/>
            <w:vAlign w:val="center"/>
            <w:hideMark/>
          </w:tcPr>
          <w:p w:rsidR="00A87E55" w:rsidRPr="00216999" w:rsidRDefault="00A87E55" w:rsidP="00CD1DE6">
            <w:pPr>
              <w:spacing w:after="0" w:line="240" w:lineRule="auto"/>
              <w:jc w:val="center"/>
              <w:rPr>
                <w:rFonts w:ascii="Calibri" w:eastAsia="Times New Roman" w:hAnsi="Calibri" w:cs="Calibri"/>
                <w:b/>
                <w:bCs/>
                <w:color w:val="000000"/>
                <w:sz w:val="24"/>
                <w:szCs w:val="24"/>
                <w:lang w:eastAsia="en-GB"/>
              </w:rPr>
            </w:pPr>
          </w:p>
        </w:tc>
      </w:tr>
      <w:tr w:rsidR="00A87E55" w:rsidRPr="00216999" w:rsidTr="00CD1DE6">
        <w:trPr>
          <w:trHeight w:val="270"/>
        </w:trPr>
        <w:tc>
          <w:tcPr>
            <w:tcW w:w="2545" w:type="dxa"/>
            <w:tcBorders>
              <w:top w:val="single" w:sz="4" w:space="0" w:color="auto"/>
            </w:tcBorders>
            <w:shd w:val="clear" w:color="auto" w:fill="auto"/>
            <w:noWrap/>
            <w:vAlign w:val="center"/>
          </w:tcPr>
          <w:p w:rsidR="00A87E55" w:rsidRPr="00216999" w:rsidRDefault="00A87E55" w:rsidP="00CD1DE6">
            <w:pPr>
              <w:spacing w:after="0" w:line="240" w:lineRule="auto"/>
              <w:rPr>
                <w:rFonts w:ascii="Calibri" w:eastAsia="Times New Roman" w:hAnsi="Calibri" w:cs="Calibri"/>
                <w:color w:val="000000"/>
                <w:sz w:val="24"/>
                <w:szCs w:val="24"/>
                <w:lang w:eastAsia="en-GB"/>
              </w:rPr>
            </w:pPr>
          </w:p>
        </w:tc>
        <w:tc>
          <w:tcPr>
            <w:tcW w:w="13322" w:type="dxa"/>
            <w:gridSpan w:val="13"/>
            <w:tcBorders>
              <w:top w:val="single" w:sz="4" w:space="0" w:color="auto"/>
            </w:tcBorders>
            <w:shd w:val="clear" w:color="auto" w:fill="auto"/>
            <w:noWrap/>
            <w:vAlign w:val="center"/>
          </w:tcPr>
          <w:p w:rsidR="00A87E55" w:rsidRPr="00216999" w:rsidRDefault="00A87E55" w:rsidP="00CD1DE6">
            <w:pPr>
              <w:spacing w:after="0" w:line="240" w:lineRule="auto"/>
              <w:jc w:val="center"/>
              <w:rPr>
                <w:rFonts w:ascii="Calibri" w:eastAsia="Times New Roman" w:hAnsi="Calibri" w:cs="Calibri"/>
                <w:color w:val="000000"/>
                <w:sz w:val="24"/>
                <w:szCs w:val="24"/>
                <w:u w:val="single"/>
                <w:lang w:eastAsia="en-GB"/>
              </w:rPr>
            </w:pPr>
          </w:p>
        </w:tc>
      </w:tr>
    </w:tbl>
    <w:p w:rsidR="00A87E55" w:rsidRPr="00216999" w:rsidRDefault="00A87E55" w:rsidP="00A87E55">
      <w:pPr>
        <w:rPr>
          <w:sz w:val="24"/>
          <w:szCs w:val="24"/>
        </w:rPr>
        <w:sectPr w:rsidR="00A87E55" w:rsidRPr="00216999" w:rsidSect="00A87E55">
          <w:pgSz w:w="16838" w:h="11906" w:orient="landscape"/>
          <w:pgMar w:top="720" w:right="720" w:bottom="720" w:left="720" w:header="709" w:footer="709" w:gutter="0"/>
          <w:cols w:space="708"/>
          <w:docGrid w:linePitch="360"/>
        </w:sectPr>
      </w:pPr>
      <w:r w:rsidRPr="00216999">
        <w:rPr>
          <w:sz w:val="24"/>
          <w:szCs w:val="24"/>
        </w:rPr>
        <w:t>Table 2.</w:t>
      </w:r>
      <w:r w:rsidR="00EE4ADA" w:rsidRPr="00216999">
        <w:rPr>
          <w:sz w:val="24"/>
          <w:szCs w:val="24"/>
        </w:rPr>
        <w:t xml:space="preserve"> A)</w:t>
      </w:r>
      <w:r w:rsidRPr="00216999">
        <w:rPr>
          <w:sz w:val="24"/>
          <w:szCs w:val="24"/>
        </w:rPr>
        <w:t xml:space="preserve"> Crowding assessment and B) Reading assessment accuracy and latency for FOL/CLA and their matched control groups; highlighted figures indicate where FOL/CLA’s performance was poorer than their respective control groups (*=p&lt;.05; **=p&lt;.005</w:t>
      </w:r>
      <w:r w:rsidR="00825EDA" w:rsidRPr="00216999">
        <w:rPr>
          <w:sz w:val="24"/>
          <w:szCs w:val="24"/>
        </w:rPr>
        <w:t xml:space="preserve">, ^=p value unavailable </w:t>
      </w:r>
      <w:r w:rsidR="00D477AF" w:rsidRPr="00216999">
        <w:rPr>
          <w:sz w:val="24"/>
          <w:szCs w:val="24"/>
        </w:rPr>
        <w:t xml:space="preserve">using </w:t>
      </w:r>
      <w:r w:rsidR="005B6910" w:rsidRPr="00216999">
        <w:rPr>
          <w:sz w:val="24"/>
          <w:szCs w:val="24"/>
        </w:rPr>
        <w:t>Crawford and Garthwaite’s [2002]</w:t>
      </w:r>
      <w:r w:rsidR="00D477AF" w:rsidRPr="00216999">
        <w:rPr>
          <w:sz w:val="24"/>
          <w:szCs w:val="24"/>
        </w:rPr>
        <w:t xml:space="preserve"> </w:t>
      </w:r>
      <w:r w:rsidR="005B6910" w:rsidRPr="00216999">
        <w:rPr>
          <w:sz w:val="24"/>
          <w:szCs w:val="24"/>
        </w:rPr>
        <w:t xml:space="preserve">modified </w:t>
      </w:r>
      <w:r w:rsidR="00D477AF" w:rsidRPr="00216999">
        <w:rPr>
          <w:sz w:val="24"/>
          <w:szCs w:val="24"/>
        </w:rPr>
        <w:t xml:space="preserve">t-test </w:t>
      </w:r>
      <w:r w:rsidR="003A5851" w:rsidRPr="00216999">
        <w:rPr>
          <w:sz w:val="24"/>
          <w:szCs w:val="24"/>
        </w:rPr>
        <w:t>ceiling performance in control groups</w:t>
      </w:r>
      <w:r w:rsidRPr="00216999">
        <w:rPr>
          <w:sz w:val="24"/>
          <w:szCs w:val="24"/>
        </w:rPr>
        <w:t>).</w:t>
      </w:r>
    </w:p>
    <w:p w:rsidR="00805E96" w:rsidRPr="00216999" w:rsidRDefault="00805E96" w:rsidP="00805E96">
      <w:pPr>
        <w:contextualSpacing/>
        <w:rPr>
          <w:sz w:val="24"/>
          <w:szCs w:val="24"/>
        </w:rPr>
      </w:pPr>
    </w:p>
    <w:p w:rsidR="0011281D" w:rsidRPr="00216999" w:rsidRDefault="0011281D" w:rsidP="0011281D">
      <w:pPr>
        <w:contextualSpacing/>
        <w:rPr>
          <w:sz w:val="24"/>
          <w:szCs w:val="24"/>
        </w:rPr>
      </w:pPr>
      <w:r w:rsidRPr="00216999">
        <w:rPr>
          <w:sz w:val="24"/>
          <w:szCs w:val="24"/>
        </w:rPr>
        <w:tab/>
        <w:t xml:space="preserve">At FU1, while overall letter naming accuracy was poorer in the condensed relative to the spaced condition across letter and shape flanker conditions, this difference did not reach formal levels of significance </w:t>
      </w:r>
      <w:r w:rsidR="000A4918">
        <w:rPr>
          <w:sz w:val="24"/>
          <w:szCs w:val="24"/>
        </w:rPr>
        <w:t xml:space="preserve">using McNemar’s test </w:t>
      </w:r>
      <w:r w:rsidRPr="00216999">
        <w:rPr>
          <w:sz w:val="24"/>
          <w:szCs w:val="24"/>
        </w:rPr>
        <w:t>(66.7% vs 87.5%; p=.18); in the shape flanker condition, there was a trend towards poorer letter naming accuracy in the condensed relative to spaced condition (58.3% vs 100.0%; p=.063). At FU2, overall letter naming accuracy was poorer in the condensed relative to the spaced condition across all flanker conditions (69.4% vs 91.7%; p=.033).</w:t>
      </w:r>
    </w:p>
    <w:p w:rsidR="0011281D" w:rsidRPr="00216999" w:rsidRDefault="0011281D" w:rsidP="0011281D">
      <w:pPr>
        <w:contextualSpacing/>
        <w:rPr>
          <w:sz w:val="24"/>
          <w:szCs w:val="24"/>
        </w:rPr>
      </w:pPr>
    </w:p>
    <w:p w:rsidR="00805E96" w:rsidRPr="00216999" w:rsidRDefault="00805E96" w:rsidP="00805E96">
      <w:pPr>
        <w:contextualSpacing/>
        <w:rPr>
          <w:sz w:val="24"/>
          <w:szCs w:val="24"/>
        </w:rPr>
      </w:pPr>
      <w:r w:rsidRPr="00216999">
        <w:rPr>
          <w:sz w:val="24"/>
          <w:szCs w:val="24"/>
        </w:rPr>
        <w:t>CLA: Similar to FOL, overall analysis of CLA’s accuracy data found that flanked letter identification was less accurate at subsequent assessments (z=-3.53, p&lt;.001). There was also an overall effect of spacing, with letters being identified less accurately in the condensed condition (z=2.29, p</w:t>
      </w:r>
      <w:r w:rsidR="00A161D0" w:rsidRPr="00216999">
        <w:rPr>
          <w:sz w:val="24"/>
          <w:szCs w:val="24"/>
        </w:rPr>
        <w:t>=.022</w:t>
      </w:r>
      <w:r w:rsidRPr="00216999">
        <w:rPr>
          <w:sz w:val="24"/>
          <w:szCs w:val="24"/>
        </w:rPr>
        <w:t>). There was no significant interaction between spacing and assessment (p</w:t>
      </w:r>
      <w:r w:rsidR="008D5088" w:rsidRPr="00216999">
        <w:rPr>
          <w:sz w:val="24"/>
          <w:szCs w:val="24"/>
        </w:rPr>
        <w:t>=.</w:t>
      </w:r>
      <w:r w:rsidRPr="00216999">
        <w:rPr>
          <w:sz w:val="24"/>
          <w:szCs w:val="24"/>
        </w:rPr>
        <w:t>9</w:t>
      </w:r>
      <w:r w:rsidR="008D5088" w:rsidRPr="00216999">
        <w:rPr>
          <w:sz w:val="24"/>
          <w:szCs w:val="24"/>
        </w:rPr>
        <w:t>4</w:t>
      </w:r>
      <w:r w:rsidRPr="00216999">
        <w:rPr>
          <w:sz w:val="24"/>
          <w:szCs w:val="24"/>
        </w:rPr>
        <w:t xml:space="preserve">). There was no significant effect of flanker category on </w:t>
      </w:r>
      <w:r w:rsidR="00D34EA3" w:rsidRPr="00216999">
        <w:rPr>
          <w:sz w:val="24"/>
          <w:szCs w:val="24"/>
        </w:rPr>
        <w:t xml:space="preserve">letter </w:t>
      </w:r>
      <w:r w:rsidRPr="00216999">
        <w:rPr>
          <w:sz w:val="24"/>
          <w:szCs w:val="24"/>
        </w:rPr>
        <w:t>naming accuracy (letter vs shape flankers: p</w:t>
      </w:r>
      <w:r w:rsidR="005B6910" w:rsidRPr="00216999">
        <w:rPr>
          <w:sz w:val="24"/>
          <w:szCs w:val="24"/>
        </w:rPr>
        <w:t>=.</w:t>
      </w:r>
      <w:r w:rsidRPr="00216999">
        <w:rPr>
          <w:sz w:val="24"/>
          <w:szCs w:val="24"/>
        </w:rPr>
        <w:t>4</w:t>
      </w:r>
      <w:r w:rsidR="005B6910" w:rsidRPr="00216999">
        <w:rPr>
          <w:sz w:val="24"/>
          <w:szCs w:val="24"/>
        </w:rPr>
        <w:t>3</w:t>
      </w:r>
      <w:r w:rsidRPr="00216999">
        <w:rPr>
          <w:sz w:val="24"/>
          <w:szCs w:val="24"/>
        </w:rPr>
        <w:t>; letter vs number flankers: p</w:t>
      </w:r>
      <w:r w:rsidR="005B6910" w:rsidRPr="00216999">
        <w:rPr>
          <w:sz w:val="24"/>
          <w:szCs w:val="24"/>
        </w:rPr>
        <w:t>=.</w:t>
      </w:r>
      <w:r w:rsidRPr="00216999">
        <w:rPr>
          <w:sz w:val="24"/>
          <w:szCs w:val="24"/>
        </w:rPr>
        <w:t>1</w:t>
      </w:r>
      <w:r w:rsidR="005B6910" w:rsidRPr="00216999">
        <w:rPr>
          <w:sz w:val="24"/>
          <w:szCs w:val="24"/>
        </w:rPr>
        <w:t>4</w:t>
      </w:r>
      <w:r w:rsidRPr="00216999">
        <w:rPr>
          <w:sz w:val="24"/>
          <w:szCs w:val="24"/>
        </w:rPr>
        <w:t>; shape vs number flankers: p</w:t>
      </w:r>
      <w:r w:rsidR="005B6910" w:rsidRPr="00216999">
        <w:rPr>
          <w:sz w:val="24"/>
          <w:szCs w:val="24"/>
        </w:rPr>
        <w:t>=.</w:t>
      </w:r>
      <w:r w:rsidRPr="00216999">
        <w:rPr>
          <w:sz w:val="24"/>
          <w:szCs w:val="24"/>
        </w:rPr>
        <w:t>5</w:t>
      </w:r>
      <w:r w:rsidR="005B6910" w:rsidRPr="00216999">
        <w:rPr>
          <w:sz w:val="24"/>
          <w:szCs w:val="24"/>
        </w:rPr>
        <w:t>3</w:t>
      </w:r>
      <w:r w:rsidRPr="00216999">
        <w:rPr>
          <w:sz w:val="24"/>
          <w:szCs w:val="24"/>
        </w:rPr>
        <w:t xml:space="preserve">). </w:t>
      </w:r>
    </w:p>
    <w:p w:rsidR="00805E96" w:rsidRPr="00216999" w:rsidRDefault="00805E96" w:rsidP="00805E96">
      <w:pPr>
        <w:contextualSpacing/>
        <w:rPr>
          <w:sz w:val="24"/>
          <w:szCs w:val="24"/>
        </w:rPr>
      </w:pPr>
      <w:r w:rsidRPr="00216999">
        <w:rPr>
          <w:sz w:val="24"/>
          <w:szCs w:val="24"/>
        </w:rPr>
        <w:tab/>
        <w:t xml:space="preserve">At FU1, overall </w:t>
      </w:r>
      <w:r w:rsidR="00D34EA3" w:rsidRPr="00216999">
        <w:rPr>
          <w:sz w:val="24"/>
          <w:szCs w:val="24"/>
        </w:rPr>
        <w:t xml:space="preserve">letter </w:t>
      </w:r>
      <w:r w:rsidRPr="00216999">
        <w:rPr>
          <w:sz w:val="24"/>
          <w:szCs w:val="24"/>
        </w:rPr>
        <w:t xml:space="preserve">naming accuracy was poorer in the condensed relative to the spaced condition across all flanker conditions </w:t>
      </w:r>
      <w:r w:rsidR="000A4918">
        <w:rPr>
          <w:sz w:val="24"/>
          <w:szCs w:val="24"/>
        </w:rPr>
        <w:t xml:space="preserve">using McNemar’s test </w:t>
      </w:r>
      <w:r w:rsidRPr="00216999">
        <w:rPr>
          <w:sz w:val="24"/>
          <w:szCs w:val="24"/>
        </w:rPr>
        <w:t>(80.6% vs 97.2%; p</w:t>
      </w:r>
      <w:r w:rsidR="00A161D0" w:rsidRPr="00216999">
        <w:rPr>
          <w:sz w:val="24"/>
          <w:szCs w:val="24"/>
        </w:rPr>
        <w:t>=.0</w:t>
      </w:r>
      <w:r w:rsidR="00666486" w:rsidRPr="00216999">
        <w:rPr>
          <w:sz w:val="24"/>
          <w:szCs w:val="24"/>
        </w:rPr>
        <w:t>31</w:t>
      </w:r>
      <w:r w:rsidRPr="00216999">
        <w:rPr>
          <w:sz w:val="24"/>
          <w:szCs w:val="24"/>
        </w:rPr>
        <w:t xml:space="preserve">). At FU2, while overall </w:t>
      </w:r>
      <w:r w:rsidR="00D34EA3" w:rsidRPr="00216999">
        <w:rPr>
          <w:sz w:val="24"/>
          <w:szCs w:val="24"/>
        </w:rPr>
        <w:t xml:space="preserve">letter </w:t>
      </w:r>
      <w:r w:rsidRPr="00216999">
        <w:rPr>
          <w:sz w:val="24"/>
          <w:szCs w:val="24"/>
        </w:rPr>
        <w:t>naming accuracy was poorer in the condensed relative to the spaced condition, this difference did not reach formal levels of significance (72.2% vs 86.1%; p</w:t>
      </w:r>
      <w:r w:rsidR="00666486" w:rsidRPr="00216999">
        <w:rPr>
          <w:sz w:val="24"/>
          <w:szCs w:val="24"/>
        </w:rPr>
        <w:t>=.27</w:t>
      </w:r>
      <w:r w:rsidRPr="00216999">
        <w:rPr>
          <w:sz w:val="24"/>
          <w:szCs w:val="24"/>
        </w:rPr>
        <w:t>).</w:t>
      </w:r>
    </w:p>
    <w:p w:rsidR="00805E96" w:rsidRPr="00216999" w:rsidRDefault="00C64ED8" w:rsidP="0011281D">
      <w:pPr>
        <w:pStyle w:val="ListParagraph"/>
        <w:numPr>
          <w:ilvl w:val="2"/>
          <w:numId w:val="4"/>
        </w:numPr>
        <w:rPr>
          <w:i/>
          <w:sz w:val="24"/>
          <w:szCs w:val="24"/>
        </w:rPr>
      </w:pPr>
      <w:r w:rsidRPr="00216999">
        <w:rPr>
          <w:i/>
          <w:sz w:val="24"/>
          <w:szCs w:val="24"/>
        </w:rPr>
        <w:t>Flanked letter identification e</w:t>
      </w:r>
      <w:r w:rsidR="00805E96" w:rsidRPr="00216999">
        <w:rPr>
          <w:i/>
          <w:sz w:val="24"/>
          <w:szCs w:val="24"/>
        </w:rPr>
        <w:t>rror analysis</w:t>
      </w:r>
    </w:p>
    <w:p w:rsidR="000F7C3D" w:rsidRPr="00216999" w:rsidRDefault="00D11014" w:rsidP="006C74DC">
      <w:pPr>
        <w:rPr>
          <w:sz w:val="24"/>
          <w:szCs w:val="24"/>
        </w:rPr>
      </w:pPr>
      <w:r w:rsidRPr="00216999">
        <w:rPr>
          <w:sz w:val="24"/>
          <w:szCs w:val="24"/>
        </w:rPr>
        <w:t>T</w:t>
      </w:r>
      <w:r w:rsidR="006C74DC" w:rsidRPr="00216999">
        <w:rPr>
          <w:sz w:val="24"/>
          <w:szCs w:val="24"/>
        </w:rPr>
        <w:t>he number of types of error responses made across both follow-up assessments</w:t>
      </w:r>
      <w:r w:rsidRPr="00216999">
        <w:rPr>
          <w:sz w:val="24"/>
          <w:szCs w:val="24"/>
        </w:rPr>
        <w:t xml:space="preserve"> </w:t>
      </w:r>
      <w:r w:rsidR="00AC7778" w:rsidRPr="00216999">
        <w:rPr>
          <w:sz w:val="24"/>
          <w:szCs w:val="24"/>
        </w:rPr>
        <w:t xml:space="preserve">is </w:t>
      </w:r>
      <w:r w:rsidRPr="00216999">
        <w:rPr>
          <w:sz w:val="24"/>
          <w:szCs w:val="24"/>
        </w:rPr>
        <w:t>shown in Figure 3</w:t>
      </w:r>
      <w:r w:rsidR="006C74DC" w:rsidRPr="00216999">
        <w:rPr>
          <w:sz w:val="24"/>
          <w:szCs w:val="24"/>
        </w:rPr>
        <w:t xml:space="preserve">. </w:t>
      </w:r>
      <w:r w:rsidR="000F7C3D" w:rsidRPr="00216999">
        <w:rPr>
          <w:sz w:val="24"/>
          <w:szCs w:val="24"/>
        </w:rPr>
        <w:t xml:space="preserve">Error responses fell into three categories: </w:t>
      </w:r>
    </w:p>
    <w:p w:rsidR="000F7C3D" w:rsidRPr="00216999" w:rsidRDefault="000F7C3D" w:rsidP="00CF7BB0">
      <w:pPr>
        <w:pStyle w:val="ListParagraph"/>
        <w:numPr>
          <w:ilvl w:val="0"/>
          <w:numId w:val="12"/>
        </w:numPr>
        <w:rPr>
          <w:sz w:val="24"/>
          <w:szCs w:val="24"/>
        </w:rPr>
      </w:pPr>
      <w:r w:rsidRPr="00216999">
        <w:rPr>
          <w:sz w:val="24"/>
          <w:szCs w:val="24"/>
        </w:rPr>
        <w:t>Target remained unidentified, suggesting an inability to either detect or identify the target</w:t>
      </w:r>
    </w:p>
    <w:p w:rsidR="000F7C3D" w:rsidRPr="00216999" w:rsidRDefault="000F7C3D" w:rsidP="00CF7BB0">
      <w:pPr>
        <w:pStyle w:val="ListParagraph"/>
        <w:numPr>
          <w:ilvl w:val="0"/>
          <w:numId w:val="12"/>
        </w:numPr>
        <w:rPr>
          <w:sz w:val="24"/>
          <w:szCs w:val="24"/>
        </w:rPr>
      </w:pPr>
      <w:r w:rsidRPr="00216999">
        <w:rPr>
          <w:sz w:val="24"/>
          <w:szCs w:val="24"/>
        </w:rPr>
        <w:t>Response was a letter which was neither the target nor a flanker (e.g. YMT</w:t>
      </w:r>
      <w:r w:rsidRPr="00216999">
        <w:rPr>
          <w:sz w:val="24"/>
          <w:szCs w:val="24"/>
        </w:rPr>
        <w:sym w:font="Wingdings" w:char="F0E0"/>
      </w:r>
      <w:r w:rsidRPr="00216999">
        <w:rPr>
          <w:sz w:val="24"/>
          <w:szCs w:val="24"/>
        </w:rPr>
        <w:t>V; 6F2</w:t>
      </w:r>
      <w:r w:rsidRPr="00216999">
        <w:rPr>
          <w:sz w:val="24"/>
          <w:szCs w:val="24"/>
        </w:rPr>
        <w:sym w:font="Wingdings" w:char="F0E0"/>
      </w:r>
      <w:r w:rsidRPr="00216999">
        <w:rPr>
          <w:sz w:val="24"/>
          <w:szCs w:val="24"/>
        </w:rPr>
        <w:t xml:space="preserve">T) </w:t>
      </w:r>
    </w:p>
    <w:p w:rsidR="000F7C3D" w:rsidRPr="00216999" w:rsidRDefault="000F7C3D" w:rsidP="00CF7BB0">
      <w:pPr>
        <w:pStyle w:val="ListParagraph"/>
        <w:numPr>
          <w:ilvl w:val="0"/>
          <w:numId w:val="12"/>
        </w:numPr>
        <w:rPr>
          <w:sz w:val="24"/>
          <w:szCs w:val="24"/>
        </w:rPr>
      </w:pPr>
      <w:r w:rsidRPr="00216999">
        <w:rPr>
          <w:sz w:val="24"/>
          <w:szCs w:val="24"/>
        </w:rPr>
        <w:t>Flanker was identified rather than the target (e.g. ZNH</w:t>
      </w:r>
      <w:r w:rsidRPr="00216999">
        <w:rPr>
          <w:sz w:val="24"/>
          <w:szCs w:val="24"/>
        </w:rPr>
        <w:sym w:font="Wingdings" w:char="F0E0"/>
      </w:r>
      <w:r w:rsidRPr="00216999">
        <w:rPr>
          <w:sz w:val="24"/>
          <w:szCs w:val="24"/>
        </w:rPr>
        <w:t>Z)</w:t>
      </w:r>
    </w:p>
    <w:p w:rsidR="006C74DC" w:rsidRPr="00216999" w:rsidRDefault="006C74DC" w:rsidP="006C74DC">
      <w:pPr>
        <w:rPr>
          <w:sz w:val="24"/>
          <w:szCs w:val="24"/>
        </w:rPr>
      </w:pPr>
      <w:r w:rsidRPr="00216999">
        <w:rPr>
          <w:sz w:val="24"/>
          <w:szCs w:val="24"/>
        </w:rPr>
        <w:t xml:space="preserve">A greater proportion of FOL’s errors were due to </w:t>
      </w:r>
      <w:r w:rsidR="00244759" w:rsidRPr="00216999">
        <w:rPr>
          <w:sz w:val="24"/>
          <w:szCs w:val="24"/>
        </w:rPr>
        <w:t>the target being unidentified</w:t>
      </w:r>
      <w:r w:rsidRPr="00216999">
        <w:rPr>
          <w:sz w:val="24"/>
          <w:szCs w:val="24"/>
        </w:rPr>
        <w:t xml:space="preserve">, whereas a greater proportion of CLA’s errors were due to </w:t>
      </w:r>
      <w:r w:rsidR="00244759" w:rsidRPr="00216999">
        <w:rPr>
          <w:sz w:val="24"/>
          <w:szCs w:val="24"/>
        </w:rPr>
        <w:t>responses which identified neither target nor flanker stimuli.</w:t>
      </w:r>
    </w:p>
    <w:p w:rsidR="00D97A9E" w:rsidRPr="00216999" w:rsidRDefault="00D97A9E" w:rsidP="006C74DC">
      <w:pPr>
        <w:rPr>
          <w:sz w:val="24"/>
          <w:szCs w:val="24"/>
        </w:rPr>
      </w:pPr>
      <w:r w:rsidRPr="00216999">
        <w:rPr>
          <w:sz w:val="24"/>
          <w:szCs w:val="24"/>
        </w:rPr>
        <w:t xml:space="preserve">Figure 3. </w:t>
      </w:r>
      <w:r w:rsidR="005D7690" w:rsidRPr="00216999">
        <w:rPr>
          <w:sz w:val="24"/>
          <w:szCs w:val="24"/>
        </w:rPr>
        <w:t xml:space="preserve">Flanked letter identification errors. </w:t>
      </w:r>
      <w:r w:rsidRPr="00216999">
        <w:rPr>
          <w:sz w:val="24"/>
          <w:szCs w:val="24"/>
        </w:rPr>
        <w:t>Overall number of types of error made on flanked letter identification tasks</w:t>
      </w:r>
      <w:r w:rsidR="005D7690" w:rsidRPr="00216999">
        <w:rPr>
          <w:sz w:val="24"/>
          <w:szCs w:val="24"/>
        </w:rPr>
        <w:t>.</w:t>
      </w:r>
    </w:p>
    <w:p w:rsidR="00D97A9E" w:rsidRPr="00216999" w:rsidRDefault="00D97A9E" w:rsidP="001D1F69">
      <w:pPr>
        <w:jc w:val="center"/>
        <w:rPr>
          <w:sz w:val="24"/>
          <w:szCs w:val="24"/>
        </w:rPr>
      </w:pPr>
      <w:r w:rsidRPr="00216999">
        <w:rPr>
          <w:noProof/>
          <w:sz w:val="24"/>
          <w:szCs w:val="24"/>
          <w:lang w:eastAsia="en-GB"/>
        </w:rPr>
        <w:drawing>
          <wp:inline distT="0" distB="0" distL="0" distR="0" wp14:anchorId="492B33BB" wp14:editId="196C58D7">
            <wp:extent cx="4167266" cy="2788170"/>
            <wp:effectExtent l="0" t="0" r="508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7604" cy="2795087"/>
                    </a:xfrm>
                    <a:prstGeom prst="rect">
                      <a:avLst/>
                    </a:prstGeom>
                    <a:noFill/>
                  </pic:spPr>
                </pic:pic>
              </a:graphicData>
            </a:graphic>
          </wp:inline>
        </w:drawing>
      </w:r>
    </w:p>
    <w:p w:rsidR="00333491" w:rsidRPr="00216999" w:rsidRDefault="00333491" w:rsidP="0011281D">
      <w:pPr>
        <w:pStyle w:val="ListParagraph"/>
        <w:numPr>
          <w:ilvl w:val="1"/>
          <w:numId w:val="4"/>
        </w:numPr>
        <w:rPr>
          <w:b/>
          <w:sz w:val="24"/>
          <w:szCs w:val="24"/>
        </w:rPr>
      </w:pPr>
      <w:r w:rsidRPr="00216999">
        <w:rPr>
          <w:b/>
          <w:sz w:val="24"/>
          <w:szCs w:val="24"/>
        </w:rPr>
        <w:t>Reading assessment</w:t>
      </w:r>
    </w:p>
    <w:p w:rsidR="000D6731" w:rsidRPr="00216999" w:rsidRDefault="005D0D2B">
      <w:pPr>
        <w:rPr>
          <w:sz w:val="24"/>
          <w:szCs w:val="24"/>
        </w:rPr>
      </w:pPr>
      <w:r w:rsidRPr="00216999">
        <w:rPr>
          <w:sz w:val="24"/>
          <w:szCs w:val="24"/>
        </w:rPr>
        <w:t>M</w:t>
      </w:r>
      <w:r w:rsidR="00333491" w:rsidRPr="00216999">
        <w:rPr>
          <w:sz w:val="24"/>
          <w:szCs w:val="24"/>
        </w:rPr>
        <w:t xml:space="preserve">ean percentage error rates and reading latencies </w:t>
      </w:r>
      <w:r w:rsidRPr="00216999">
        <w:rPr>
          <w:sz w:val="24"/>
          <w:szCs w:val="24"/>
        </w:rPr>
        <w:t xml:space="preserve">for overall performance (summing across reading corpora) at </w:t>
      </w:r>
      <w:r w:rsidR="00333491" w:rsidRPr="00216999">
        <w:rPr>
          <w:sz w:val="24"/>
          <w:szCs w:val="24"/>
        </w:rPr>
        <w:t>baseline and follow-up assessments</w:t>
      </w:r>
      <w:r w:rsidRPr="00216999">
        <w:rPr>
          <w:sz w:val="24"/>
          <w:szCs w:val="24"/>
        </w:rPr>
        <w:t xml:space="preserve"> are shown in</w:t>
      </w:r>
      <w:r w:rsidR="00333491" w:rsidRPr="00216999">
        <w:rPr>
          <w:sz w:val="24"/>
          <w:szCs w:val="24"/>
        </w:rPr>
        <w:t xml:space="preserve"> Figure </w:t>
      </w:r>
      <w:r w:rsidR="006C74DC" w:rsidRPr="00216999">
        <w:rPr>
          <w:sz w:val="24"/>
          <w:szCs w:val="24"/>
        </w:rPr>
        <w:t>4</w:t>
      </w:r>
      <w:r w:rsidR="00333491" w:rsidRPr="00216999">
        <w:rPr>
          <w:sz w:val="24"/>
          <w:szCs w:val="24"/>
        </w:rPr>
        <w:t xml:space="preserve">. </w:t>
      </w:r>
      <w:r w:rsidR="001257CF" w:rsidRPr="00216999">
        <w:rPr>
          <w:sz w:val="24"/>
          <w:szCs w:val="24"/>
        </w:rPr>
        <w:t>Reading</w:t>
      </w:r>
      <w:r w:rsidR="00333491" w:rsidRPr="00216999">
        <w:rPr>
          <w:sz w:val="24"/>
          <w:szCs w:val="24"/>
        </w:rPr>
        <w:t xml:space="preserve"> performance by FOL, CLA and their relevant control samples </w:t>
      </w:r>
      <w:r w:rsidRPr="00216999">
        <w:rPr>
          <w:sz w:val="24"/>
          <w:szCs w:val="24"/>
        </w:rPr>
        <w:t xml:space="preserve">on the individual reading corpora </w:t>
      </w:r>
      <w:r w:rsidR="001257CF" w:rsidRPr="00216999">
        <w:rPr>
          <w:sz w:val="24"/>
          <w:szCs w:val="24"/>
        </w:rPr>
        <w:t xml:space="preserve">is </w:t>
      </w:r>
      <w:r w:rsidR="00333491" w:rsidRPr="00216999">
        <w:rPr>
          <w:sz w:val="24"/>
          <w:szCs w:val="24"/>
        </w:rPr>
        <w:t xml:space="preserve">shown in Table </w:t>
      </w:r>
      <w:r w:rsidR="00245FA7" w:rsidRPr="00216999">
        <w:rPr>
          <w:sz w:val="24"/>
          <w:szCs w:val="24"/>
        </w:rPr>
        <w:t>2</w:t>
      </w:r>
      <w:r w:rsidR="00333491" w:rsidRPr="00216999">
        <w:rPr>
          <w:sz w:val="24"/>
          <w:szCs w:val="24"/>
        </w:rPr>
        <w:t xml:space="preserve">. </w:t>
      </w:r>
      <w:r w:rsidR="000D6731" w:rsidRPr="00216999">
        <w:rPr>
          <w:sz w:val="24"/>
          <w:szCs w:val="24"/>
        </w:rPr>
        <w:br w:type="page"/>
      </w:r>
    </w:p>
    <w:p w:rsidR="005D7690" w:rsidRPr="00216999" w:rsidRDefault="005D7690" w:rsidP="003F2302">
      <w:pPr>
        <w:rPr>
          <w:sz w:val="24"/>
          <w:szCs w:val="24"/>
        </w:rPr>
      </w:pPr>
      <w:r w:rsidRPr="00216999">
        <w:rPr>
          <w:sz w:val="24"/>
          <w:szCs w:val="24"/>
        </w:rPr>
        <w:t>Figure 4. Overall reading accuracy and latency data across three longitudinal assessments. Error bars show standard deviation for control groups.</w:t>
      </w:r>
    </w:p>
    <w:p w:rsidR="005D7690" w:rsidRPr="00216999" w:rsidRDefault="007B779F" w:rsidP="003F2302">
      <w:pPr>
        <w:rPr>
          <w:sz w:val="24"/>
          <w:szCs w:val="24"/>
        </w:rPr>
      </w:pPr>
      <w:r w:rsidRPr="005C6B1F">
        <w:rPr>
          <w:noProof/>
          <w:sz w:val="24"/>
          <w:szCs w:val="24"/>
          <w:lang w:eastAsia="en-GB"/>
        </w:rPr>
        <w:drawing>
          <wp:inline distT="0" distB="0" distL="0" distR="0" wp14:anchorId="6C98E3A7" wp14:editId="40627CAC">
            <wp:extent cx="3663950" cy="7139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3950" cy="7139305"/>
                    </a:xfrm>
                    <a:prstGeom prst="rect">
                      <a:avLst/>
                    </a:prstGeom>
                    <a:noFill/>
                  </pic:spPr>
                </pic:pic>
              </a:graphicData>
            </a:graphic>
          </wp:inline>
        </w:drawing>
      </w:r>
    </w:p>
    <w:p w:rsidR="00EA3B34" w:rsidRPr="00216999" w:rsidRDefault="007A2669" w:rsidP="0011281D">
      <w:pPr>
        <w:pStyle w:val="ListParagraph"/>
        <w:numPr>
          <w:ilvl w:val="2"/>
          <w:numId w:val="4"/>
        </w:numPr>
        <w:rPr>
          <w:i/>
          <w:sz w:val="24"/>
          <w:szCs w:val="24"/>
        </w:rPr>
      </w:pPr>
      <w:r w:rsidRPr="00216999">
        <w:rPr>
          <w:i/>
          <w:sz w:val="24"/>
          <w:szCs w:val="24"/>
        </w:rPr>
        <w:t>Overall reading accuracy</w:t>
      </w:r>
    </w:p>
    <w:p w:rsidR="003F2302" w:rsidRPr="00216999" w:rsidRDefault="002B5E38" w:rsidP="003F2302">
      <w:pPr>
        <w:contextualSpacing/>
        <w:rPr>
          <w:sz w:val="24"/>
          <w:szCs w:val="24"/>
        </w:rPr>
      </w:pPr>
      <w:r w:rsidRPr="00216999">
        <w:rPr>
          <w:sz w:val="24"/>
          <w:szCs w:val="24"/>
        </w:rPr>
        <w:t xml:space="preserve">FOL: </w:t>
      </w:r>
      <w:r w:rsidR="00276F7C" w:rsidRPr="00216999">
        <w:rPr>
          <w:sz w:val="24"/>
          <w:szCs w:val="24"/>
        </w:rPr>
        <w:t>Overall analysis of FOL’s accuracy data across the three assessments found accuracy decreased in subsequent assessments (z=-3.22, p</w:t>
      </w:r>
      <w:r w:rsidR="007A1F10" w:rsidRPr="00216999">
        <w:rPr>
          <w:sz w:val="24"/>
          <w:szCs w:val="24"/>
        </w:rPr>
        <w:t>=.001</w:t>
      </w:r>
      <w:r w:rsidR="00276F7C" w:rsidRPr="00216999">
        <w:rPr>
          <w:sz w:val="24"/>
          <w:szCs w:val="24"/>
        </w:rPr>
        <w:t>).</w:t>
      </w:r>
      <w:r w:rsidR="00F86F0B" w:rsidRPr="00216999">
        <w:rPr>
          <w:sz w:val="24"/>
          <w:szCs w:val="24"/>
        </w:rPr>
        <w:t xml:space="preserve"> </w:t>
      </w:r>
      <w:r w:rsidR="003F2302" w:rsidRPr="00216999">
        <w:rPr>
          <w:sz w:val="24"/>
          <w:szCs w:val="24"/>
        </w:rPr>
        <w:t>While there was a slight decline in FOL’s overall accuracy between baseline</w:t>
      </w:r>
      <w:r w:rsidR="00BF6E9F" w:rsidRPr="00216999">
        <w:rPr>
          <w:sz w:val="24"/>
          <w:szCs w:val="24"/>
        </w:rPr>
        <w:t xml:space="preserve"> (98.4%)</w:t>
      </w:r>
      <w:r w:rsidR="003F2302" w:rsidRPr="00216999">
        <w:rPr>
          <w:sz w:val="24"/>
          <w:szCs w:val="24"/>
        </w:rPr>
        <w:t xml:space="preserve"> and </w:t>
      </w:r>
      <w:r w:rsidR="00CE3915" w:rsidRPr="00216999">
        <w:rPr>
          <w:sz w:val="24"/>
          <w:szCs w:val="24"/>
        </w:rPr>
        <w:t>FU1</w:t>
      </w:r>
      <w:r w:rsidR="00BF6E9F" w:rsidRPr="00216999">
        <w:rPr>
          <w:sz w:val="24"/>
          <w:szCs w:val="24"/>
        </w:rPr>
        <w:t xml:space="preserve"> (97.2%)</w:t>
      </w:r>
      <w:r w:rsidR="003F2302" w:rsidRPr="00216999">
        <w:rPr>
          <w:sz w:val="24"/>
          <w:szCs w:val="24"/>
        </w:rPr>
        <w:t>, this did not reach formal levels of significance (p</w:t>
      </w:r>
      <w:r w:rsidR="00970A93" w:rsidRPr="00216999">
        <w:rPr>
          <w:sz w:val="24"/>
          <w:szCs w:val="24"/>
        </w:rPr>
        <w:t>=.</w:t>
      </w:r>
      <w:r w:rsidR="003F2302" w:rsidRPr="00216999">
        <w:rPr>
          <w:sz w:val="24"/>
          <w:szCs w:val="24"/>
        </w:rPr>
        <w:t>1</w:t>
      </w:r>
      <w:r w:rsidR="00970A93" w:rsidRPr="00216999">
        <w:rPr>
          <w:sz w:val="24"/>
          <w:szCs w:val="24"/>
        </w:rPr>
        <w:t>8</w:t>
      </w:r>
      <w:r w:rsidR="003F2302" w:rsidRPr="00216999">
        <w:rPr>
          <w:sz w:val="24"/>
          <w:szCs w:val="24"/>
        </w:rPr>
        <w:t>). However, there was a significant decline between</w:t>
      </w:r>
      <w:r w:rsidR="00930402" w:rsidRPr="00216999">
        <w:rPr>
          <w:sz w:val="24"/>
          <w:szCs w:val="24"/>
        </w:rPr>
        <w:t xml:space="preserve"> baseline and </w:t>
      </w:r>
      <w:r w:rsidR="00CE3915" w:rsidRPr="00216999">
        <w:rPr>
          <w:sz w:val="24"/>
          <w:szCs w:val="24"/>
        </w:rPr>
        <w:t>FU2</w:t>
      </w:r>
      <w:r w:rsidR="00930402" w:rsidRPr="00216999">
        <w:rPr>
          <w:sz w:val="24"/>
          <w:szCs w:val="24"/>
        </w:rPr>
        <w:t xml:space="preserve"> (</w:t>
      </w:r>
      <w:r w:rsidR="00AA08E6" w:rsidRPr="00216999">
        <w:rPr>
          <w:sz w:val="24"/>
          <w:szCs w:val="24"/>
        </w:rPr>
        <w:t xml:space="preserve">92.8%; </w:t>
      </w:r>
      <w:r w:rsidR="00930402" w:rsidRPr="00216999">
        <w:rPr>
          <w:sz w:val="24"/>
          <w:szCs w:val="24"/>
        </w:rPr>
        <w:t>z=-3.38, p</w:t>
      </w:r>
      <w:r w:rsidR="007A1F10" w:rsidRPr="00216999">
        <w:rPr>
          <w:sz w:val="24"/>
          <w:szCs w:val="24"/>
        </w:rPr>
        <w:t>=.001</w:t>
      </w:r>
      <w:r w:rsidR="00930402" w:rsidRPr="00216999">
        <w:rPr>
          <w:sz w:val="24"/>
          <w:szCs w:val="24"/>
        </w:rPr>
        <w:t>) and</w:t>
      </w:r>
      <w:r w:rsidR="003F2302" w:rsidRPr="00216999">
        <w:rPr>
          <w:sz w:val="24"/>
          <w:szCs w:val="24"/>
        </w:rPr>
        <w:t xml:space="preserve"> </w:t>
      </w:r>
      <w:r w:rsidR="00930402" w:rsidRPr="00216999">
        <w:rPr>
          <w:sz w:val="24"/>
          <w:szCs w:val="24"/>
        </w:rPr>
        <w:t xml:space="preserve">between </w:t>
      </w:r>
      <w:r w:rsidR="00CE3915" w:rsidRPr="00216999">
        <w:rPr>
          <w:sz w:val="24"/>
          <w:szCs w:val="24"/>
        </w:rPr>
        <w:t>FU1 and FU2</w:t>
      </w:r>
      <w:r w:rsidR="00930402" w:rsidRPr="00216999">
        <w:rPr>
          <w:sz w:val="24"/>
          <w:szCs w:val="24"/>
        </w:rPr>
        <w:t xml:space="preserve"> (z=-2.26, p</w:t>
      </w:r>
      <w:r w:rsidR="007A1F10" w:rsidRPr="00216999">
        <w:rPr>
          <w:sz w:val="24"/>
          <w:szCs w:val="24"/>
        </w:rPr>
        <w:t>=.02</w:t>
      </w:r>
      <w:r w:rsidR="00EB06C6" w:rsidRPr="00216999">
        <w:rPr>
          <w:sz w:val="24"/>
          <w:szCs w:val="24"/>
        </w:rPr>
        <w:t>4</w:t>
      </w:r>
      <w:r w:rsidR="00930402" w:rsidRPr="00216999">
        <w:rPr>
          <w:sz w:val="24"/>
          <w:szCs w:val="24"/>
        </w:rPr>
        <w:t xml:space="preserve">). </w:t>
      </w:r>
      <w:r w:rsidR="00752EFA" w:rsidRPr="00216999">
        <w:rPr>
          <w:sz w:val="24"/>
          <w:szCs w:val="24"/>
        </w:rPr>
        <w:t xml:space="preserve">Across the three assessments, </w:t>
      </w:r>
      <w:r w:rsidR="00EF2D8F" w:rsidRPr="00216999">
        <w:rPr>
          <w:sz w:val="24"/>
          <w:szCs w:val="24"/>
        </w:rPr>
        <w:t>longer words</w:t>
      </w:r>
      <w:r w:rsidR="003F2302" w:rsidRPr="00216999">
        <w:rPr>
          <w:sz w:val="24"/>
          <w:szCs w:val="24"/>
        </w:rPr>
        <w:t xml:space="preserve"> were read less accurately (z=-2.60, p</w:t>
      </w:r>
      <w:r w:rsidR="007A1F10" w:rsidRPr="00216999">
        <w:rPr>
          <w:sz w:val="24"/>
          <w:szCs w:val="24"/>
        </w:rPr>
        <w:t>=.009</w:t>
      </w:r>
      <w:r w:rsidR="003F2302" w:rsidRPr="00216999">
        <w:rPr>
          <w:sz w:val="24"/>
          <w:szCs w:val="24"/>
        </w:rPr>
        <w:t>)</w:t>
      </w:r>
      <w:r w:rsidR="002C5F01" w:rsidRPr="00216999">
        <w:rPr>
          <w:sz w:val="24"/>
          <w:szCs w:val="24"/>
        </w:rPr>
        <w:t>.</w:t>
      </w:r>
      <w:r w:rsidR="003F2302" w:rsidRPr="00216999">
        <w:rPr>
          <w:sz w:val="24"/>
          <w:szCs w:val="24"/>
        </w:rPr>
        <w:t xml:space="preserve"> There </w:t>
      </w:r>
      <w:r w:rsidRPr="00216999">
        <w:rPr>
          <w:sz w:val="24"/>
          <w:szCs w:val="24"/>
        </w:rPr>
        <w:t>were</w:t>
      </w:r>
      <w:r w:rsidR="003F2302" w:rsidRPr="00216999">
        <w:rPr>
          <w:sz w:val="24"/>
          <w:szCs w:val="24"/>
        </w:rPr>
        <w:t xml:space="preserve"> no significant effect</w:t>
      </w:r>
      <w:r w:rsidRPr="00216999">
        <w:rPr>
          <w:sz w:val="24"/>
          <w:szCs w:val="24"/>
        </w:rPr>
        <w:t>s</w:t>
      </w:r>
      <w:r w:rsidR="003F2302" w:rsidRPr="00216999">
        <w:rPr>
          <w:sz w:val="24"/>
          <w:szCs w:val="24"/>
        </w:rPr>
        <w:t xml:space="preserve"> of mean letter confusability (p</w:t>
      </w:r>
      <w:r w:rsidR="00970A93" w:rsidRPr="00216999">
        <w:rPr>
          <w:sz w:val="24"/>
          <w:szCs w:val="24"/>
        </w:rPr>
        <w:t>=.</w:t>
      </w:r>
      <w:r w:rsidR="003F2302" w:rsidRPr="00216999">
        <w:rPr>
          <w:sz w:val="24"/>
          <w:szCs w:val="24"/>
        </w:rPr>
        <w:t>4</w:t>
      </w:r>
      <w:r w:rsidR="00970A93" w:rsidRPr="00216999">
        <w:rPr>
          <w:sz w:val="24"/>
          <w:szCs w:val="24"/>
        </w:rPr>
        <w:t>6</w:t>
      </w:r>
      <w:r w:rsidR="00245FA7" w:rsidRPr="00216999">
        <w:rPr>
          <w:sz w:val="24"/>
          <w:szCs w:val="24"/>
        </w:rPr>
        <w:t>),</w:t>
      </w:r>
      <w:r w:rsidR="003F2302" w:rsidRPr="00216999">
        <w:rPr>
          <w:sz w:val="24"/>
          <w:szCs w:val="24"/>
        </w:rPr>
        <w:t xml:space="preserve"> frequency (p</w:t>
      </w:r>
      <w:r w:rsidR="00970A93" w:rsidRPr="00216999">
        <w:rPr>
          <w:sz w:val="24"/>
          <w:szCs w:val="24"/>
        </w:rPr>
        <w:t>=.</w:t>
      </w:r>
      <w:r w:rsidR="003F2302" w:rsidRPr="00216999">
        <w:rPr>
          <w:sz w:val="24"/>
          <w:szCs w:val="24"/>
        </w:rPr>
        <w:t>3</w:t>
      </w:r>
      <w:r w:rsidR="00970A93" w:rsidRPr="00216999">
        <w:rPr>
          <w:sz w:val="24"/>
          <w:szCs w:val="24"/>
        </w:rPr>
        <w:t>1</w:t>
      </w:r>
      <w:r w:rsidR="003F2302" w:rsidRPr="00216999">
        <w:rPr>
          <w:sz w:val="24"/>
          <w:szCs w:val="24"/>
        </w:rPr>
        <w:t>) or case (p</w:t>
      </w:r>
      <w:r w:rsidR="00970A93" w:rsidRPr="00216999">
        <w:rPr>
          <w:sz w:val="24"/>
          <w:szCs w:val="24"/>
        </w:rPr>
        <w:t>=.</w:t>
      </w:r>
      <w:r w:rsidR="003F2302" w:rsidRPr="00216999">
        <w:rPr>
          <w:sz w:val="24"/>
          <w:szCs w:val="24"/>
        </w:rPr>
        <w:t>1</w:t>
      </w:r>
      <w:r w:rsidR="00970A93" w:rsidRPr="00216999">
        <w:rPr>
          <w:sz w:val="24"/>
          <w:szCs w:val="24"/>
        </w:rPr>
        <w:t>8</w:t>
      </w:r>
      <w:r w:rsidR="003F2302" w:rsidRPr="00216999">
        <w:rPr>
          <w:sz w:val="24"/>
          <w:szCs w:val="24"/>
        </w:rPr>
        <w:t>) on reading accuracy</w:t>
      </w:r>
      <w:r w:rsidR="00245FA7" w:rsidRPr="00216999">
        <w:rPr>
          <w:sz w:val="24"/>
          <w:szCs w:val="24"/>
        </w:rPr>
        <w:t>.</w:t>
      </w:r>
    </w:p>
    <w:p w:rsidR="003F2302" w:rsidRPr="00216999" w:rsidRDefault="003F2302" w:rsidP="003F2302">
      <w:pPr>
        <w:contextualSpacing/>
        <w:rPr>
          <w:sz w:val="24"/>
          <w:szCs w:val="24"/>
        </w:rPr>
      </w:pPr>
    </w:p>
    <w:p w:rsidR="002C5F01" w:rsidRPr="00216999" w:rsidRDefault="002C5F01" w:rsidP="003F2302">
      <w:pPr>
        <w:contextualSpacing/>
        <w:rPr>
          <w:sz w:val="24"/>
          <w:szCs w:val="24"/>
        </w:rPr>
      </w:pPr>
      <w:r w:rsidRPr="00216999">
        <w:rPr>
          <w:sz w:val="24"/>
          <w:szCs w:val="24"/>
        </w:rPr>
        <w:t>There was no significant difference in length effects on accuracy at follow-up assessments relative to baseline (FU1: p=.42; FU2: p=.55), however there was a trend towards longer words being read less accurately at FU2 relative to FU1 (z=1.72, p=.085).</w:t>
      </w:r>
    </w:p>
    <w:p w:rsidR="002C5F01" w:rsidRPr="00216999" w:rsidRDefault="002C5F01" w:rsidP="003F2302">
      <w:pPr>
        <w:contextualSpacing/>
        <w:rPr>
          <w:sz w:val="24"/>
          <w:szCs w:val="24"/>
        </w:rPr>
      </w:pPr>
    </w:p>
    <w:p w:rsidR="002C5F01" w:rsidRPr="00216999" w:rsidRDefault="002B5E38" w:rsidP="003F2302">
      <w:pPr>
        <w:contextualSpacing/>
        <w:rPr>
          <w:sz w:val="24"/>
          <w:szCs w:val="24"/>
        </w:rPr>
      </w:pPr>
      <w:r w:rsidRPr="00216999">
        <w:rPr>
          <w:sz w:val="24"/>
          <w:szCs w:val="24"/>
        </w:rPr>
        <w:t xml:space="preserve">CLA: </w:t>
      </w:r>
      <w:r w:rsidR="00F82E0E" w:rsidRPr="00216999">
        <w:rPr>
          <w:sz w:val="24"/>
          <w:szCs w:val="24"/>
        </w:rPr>
        <w:t>O</w:t>
      </w:r>
      <w:r w:rsidR="00276F7C" w:rsidRPr="00216999">
        <w:rPr>
          <w:sz w:val="24"/>
          <w:szCs w:val="24"/>
        </w:rPr>
        <w:t>verall analysis of CLA’s accuracy data across the three assessments</w:t>
      </w:r>
      <w:r w:rsidR="00F82E0E" w:rsidRPr="00216999">
        <w:rPr>
          <w:sz w:val="24"/>
          <w:szCs w:val="24"/>
        </w:rPr>
        <w:t xml:space="preserve"> also</w:t>
      </w:r>
      <w:r w:rsidR="00276F7C" w:rsidRPr="00216999">
        <w:rPr>
          <w:sz w:val="24"/>
          <w:szCs w:val="24"/>
        </w:rPr>
        <w:t xml:space="preserve"> found </w:t>
      </w:r>
      <w:r w:rsidR="00B737FF" w:rsidRPr="00216999">
        <w:rPr>
          <w:sz w:val="24"/>
          <w:szCs w:val="24"/>
        </w:rPr>
        <w:t>a decrease in accuracy</w:t>
      </w:r>
      <w:r w:rsidR="00276F7C" w:rsidRPr="00216999">
        <w:rPr>
          <w:sz w:val="24"/>
          <w:szCs w:val="24"/>
        </w:rPr>
        <w:t xml:space="preserve"> in subsequent assessments (z=-</w:t>
      </w:r>
      <w:r w:rsidR="0022608A" w:rsidRPr="00216999">
        <w:rPr>
          <w:sz w:val="24"/>
          <w:szCs w:val="24"/>
        </w:rPr>
        <w:t>5</w:t>
      </w:r>
      <w:r w:rsidR="00276F7C" w:rsidRPr="00216999">
        <w:rPr>
          <w:sz w:val="24"/>
          <w:szCs w:val="24"/>
        </w:rPr>
        <w:t>.</w:t>
      </w:r>
      <w:r w:rsidR="00DE766C" w:rsidRPr="00216999">
        <w:rPr>
          <w:sz w:val="24"/>
          <w:szCs w:val="24"/>
        </w:rPr>
        <w:t>3</w:t>
      </w:r>
      <w:r w:rsidR="00EE4BE5" w:rsidRPr="00216999">
        <w:rPr>
          <w:sz w:val="24"/>
          <w:szCs w:val="24"/>
        </w:rPr>
        <w:t>8</w:t>
      </w:r>
      <w:r w:rsidR="00276F7C" w:rsidRPr="00216999">
        <w:rPr>
          <w:sz w:val="24"/>
          <w:szCs w:val="24"/>
        </w:rPr>
        <w:t xml:space="preserve">, p&lt;.001). </w:t>
      </w:r>
      <w:r w:rsidR="003F2302" w:rsidRPr="00216999">
        <w:rPr>
          <w:sz w:val="24"/>
          <w:szCs w:val="24"/>
        </w:rPr>
        <w:t>There was a decline in CLA’s overall accuracy between baseline</w:t>
      </w:r>
      <w:r w:rsidR="00AA08E6" w:rsidRPr="00216999">
        <w:rPr>
          <w:sz w:val="24"/>
          <w:szCs w:val="24"/>
        </w:rPr>
        <w:t xml:space="preserve"> (100%)</w:t>
      </w:r>
      <w:r w:rsidR="003F2302" w:rsidRPr="00216999">
        <w:rPr>
          <w:sz w:val="24"/>
          <w:szCs w:val="24"/>
        </w:rPr>
        <w:t xml:space="preserve"> and</w:t>
      </w:r>
      <w:r w:rsidR="00930402" w:rsidRPr="00216999">
        <w:rPr>
          <w:sz w:val="24"/>
          <w:szCs w:val="24"/>
        </w:rPr>
        <w:t xml:space="preserve"> </w:t>
      </w:r>
      <w:r w:rsidR="00CE3915" w:rsidRPr="00216999">
        <w:rPr>
          <w:sz w:val="24"/>
          <w:szCs w:val="24"/>
        </w:rPr>
        <w:t xml:space="preserve">FU1 </w:t>
      </w:r>
      <w:r w:rsidR="00BF6E9F" w:rsidRPr="00216999">
        <w:rPr>
          <w:sz w:val="24"/>
          <w:szCs w:val="24"/>
        </w:rPr>
        <w:t>(94.4%; z=-2.</w:t>
      </w:r>
      <w:r w:rsidR="00EE4BE5" w:rsidRPr="00216999">
        <w:rPr>
          <w:sz w:val="24"/>
          <w:szCs w:val="24"/>
        </w:rPr>
        <w:t>79</w:t>
      </w:r>
      <w:r w:rsidR="00BF6E9F" w:rsidRPr="00216999">
        <w:rPr>
          <w:sz w:val="24"/>
          <w:szCs w:val="24"/>
        </w:rPr>
        <w:t>, p</w:t>
      </w:r>
      <w:r w:rsidR="0022608A" w:rsidRPr="00216999">
        <w:rPr>
          <w:sz w:val="24"/>
          <w:szCs w:val="24"/>
        </w:rPr>
        <w:t>=.0</w:t>
      </w:r>
      <w:r w:rsidR="004B0010" w:rsidRPr="00216999">
        <w:rPr>
          <w:sz w:val="24"/>
          <w:szCs w:val="24"/>
        </w:rPr>
        <w:t>05</w:t>
      </w:r>
      <w:r w:rsidR="00BF6E9F" w:rsidRPr="00216999">
        <w:rPr>
          <w:sz w:val="24"/>
          <w:szCs w:val="24"/>
        </w:rPr>
        <w:t xml:space="preserve">) and </w:t>
      </w:r>
      <w:r w:rsidR="00CE3915" w:rsidRPr="00216999">
        <w:rPr>
          <w:sz w:val="24"/>
          <w:szCs w:val="24"/>
        </w:rPr>
        <w:t xml:space="preserve">FU2 </w:t>
      </w:r>
      <w:r w:rsidR="003F2302" w:rsidRPr="00216999">
        <w:rPr>
          <w:sz w:val="24"/>
          <w:szCs w:val="24"/>
        </w:rPr>
        <w:t>(</w:t>
      </w:r>
      <w:r w:rsidR="00BF6E9F" w:rsidRPr="00216999">
        <w:rPr>
          <w:sz w:val="24"/>
          <w:szCs w:val="24"/>
        </w:rPr>
        <w:t>90.4%;</w:t>
      </w:r>
      <w:r w:rsidR="00930402" w:rsidRPr="00216999">
        <w:rPr>
          <w:sz w:val="24"/>
          <w:szCs w:val="24"/>
        </w:rPr>
        <w:t xml:space="preserve"> z=-3.</w:t>
      </w:r>
      <w:r w:rsidR="00EE4BE5" w:rsidRPr="00216999">
        <w:rPr>
          <w:sz w:val="24"/>
          <w:szCs w:val="24"/>
        </w:rPr>
        <w:t>39</w:t>
      </w:r>
      <w:r w:rsidR="00930402" w:rsidRPr="00216999">
        <w:rPr>
          <w:sz w:val="24"/>
          <w:szCs w:val="24"/>
        </w:rPr>
        <w:t>, p</w:t>
      </w:r>
      <w:r w:rsidR="0022608A" w:rsidRPr="00216999">
        <w:rPr>
          <w:sz w:val="24"/>
          <w:szCs w:val="24"/>
        </w:rPr>
        <w:t>=.001</w:t>
      </w:r>
      <w:r w:rsidR="00EE4BE5" w:rsidRPr="00216999">
        <w:rPr>
          <w:sz w:val="24"/>
          <w:szCs w:val="24"/>
        </w:rPr>
        <w:t xml:space="preserve">), </w:t>
      </w:r>
      <w:r w:rsidR="00CE3915" w:rsidRPr="00216999">
        <w:rPr>
          <w:sz w:val="24"/>
          <w:szCs w:val="24"/>
        </w:rPr>
        <w:t>with</w:t>
      </w:r>
      <w:r w:rsidR="003F2302" w:rsidRPr="00216999">
        <w:rPr>
          <w:sz w:val="24"/>
          <w:szCs w:val="24"/>
        </w:rPr>
        <w:t xml:space="preserve"> decline </w:t>
      </w:r>
      <w:r w:rsidR="00CE3915" w:rsidRPr="00216999">
        <w:rPr>
          <w:sz w:val="24"/>
          <w:szCs w:val="24"/>
        </w:rPr>
        <w:t xml:space="preserve">also evident </w:t>
      </w:r>
      <w:r w:rsidR="003F2302" w:rsidRPr="00216999">
        <w:rPr>
          <w:sz w:val="24"/>
          <w:szCs w:val="24"/>
        </w:rPr>
        <w:t>between</w:t>
      </w:r>
      <w:r w:rsidR="00930402" w:rsidRPr="00216999">
        <w:rPr>
          <w:sz w:val="24"/>
          <w:szCs w:val="24"/>
        </w:rPr>
        <w:t xml:space="preserve"> </w:t>
      </w:r>
      <w:r w:rsidR="00CE3915" w:rsidRPr="00216999">
        <w:rPr>
          <w:sz w:val="24"/>
          <w:szCs w:val="24"/>
        </w:rPr>
        <w:t>FU1 and FU2</w:t>
      </w:r>
      <w:r w:rsidR="00930402" w:rsidRPr="00216999">
        <w:rPr>
          <w:sz w:val="24"/>
          <w:szCs w:val="24"/>
        </w:rPr>
        <w:t xml:space="preserve"> </w:t>
      </w:r>
      <w:r w:rsidRPr="00216999">
        <w:rPr>
          <w:sz w:val="24"/>
          <w:szCs w:val="24"/>
        </w:rPr>
        <w:t>(</w:t>
      </w:r>
      <w:r w:rsidR="00930402" w:rsidRPr="00216999">
        <w:rPr>
          <w:sz w:val="24"/>
          <w:szCs w:val="24"/>
        </w:rPr>
        <w:t>z=-1.</w:t>
      </w:r>
      <w:r w:rsidR="0022608A" w:rsidRPr="00216999">
        <w:rPr>
          <w:sz w:val="24"/>
          <w:szCs w:val="24"/>
        </w:rPr>
        <w:t>9</w:t>
      </w:r>
      <w:r w:rsidR="00EE4BE5" w:rsidRPr="00216999">
        <w:rPr>
          <w:sz w:val="24"/>
          <w:szCs w:val="24"/>
        </w:rPr>
        <w:t>7</w:t>
      </w:r>
      <w:r w:rsidR="00930402" w:rsidRPr="00216999">
        <w:rPr>
          <w:sz w:val="24"/>
          <w:szCs w:val="24"/>
        </w:rPr>
        <w:t>, p</w:t>
      </w:r>
      <w:r w:rsidR="0022608A" w:rsidRPr="00216999">
        <w:rPr>
          <w:sz w:val="24"/>
          <w:szCs w:val="24"/>
        </w:rPr>
        <w:t>=.</w:t>
      </w:r>
      <w:r w:rsidR="004B0010" w:rsidRPr="00216999">
        <w:rPr>
          <w:sz w:val="24"/>
          <w:szCs w:val="24"/>
        </w:rPr>
        <w:t>0</w:t>
      </w:r>
      <w:r w:rsidR="00EE4BE5" w:rsidRPr="00216999">
        <w:rPr>
          <w:sz w:val="24"/>
          <w:szCs w:val="24"/>
        </w:rPr>
        <w:t>49</w:t>
      </w:r>
      <w:r w:rsidRPr="00216999">
        <w:rPr>
          <w:sz w:val="24"/>
          <w:szCs w:val="24"/>
        </w:rPr>
        <w:t xml:space="preserve">). </w:t>
      </w:r>
      <w:r w:rsidR="00752EFA" w:rsidRPr="00216999">
        <w:rPr>
          <w:sz w:val="24"/>
          <w:szCs w:val="24"/>
        </w:rPr>
        <w:t xml:space="preserve">Across the three assessments, </w:t>
      </w:r>
      <w:r w:rsidR="00A54E8E" w:rsidRPr="00216999">
        <w:rPr>
          <w:sz w:val="24"/>
          <w:szCs w:val="24"/>
        </w:rPr>
        <w:t xml:space="preserve">longer words were read less accurately (z=-2.15, p=.031) and there was a trend towards </w:t>
      </w:r>
      <w:r w:rsidR="00752EFA" w:rsidRPr="00216999">
        <w:rPr>
          <w:sz w:val="24"/>
          <w:szCs w:val="24"/>
        </w:rPr>
        <w:t>w</w:t>
      </w:r>
      <w:r w:rsidR="003F2302" w:rsidRPr="00216999">
        <w:rPr>
          <w:sz w:val="24"/>
          <w:szCs w:val="24"/>
        </w:rPr>
        <w:t xml:space="preserve">ords in upper case </w:t>
      </w:r>
      <w:r w:rsidR="00A54E8E" w:rsidRPr="00216999">
        <w:rPr>
          <w:sz w:val="24"/>
          <w:szCs w:val="24"/>
        </w:rPr>
        <w:t xml:space="preserve">being </w:t>
      </w:r>
      <w:r w:rsidR="003F2302" w:rsidRPr="00216999">
        <w:rPr>
          <w:sz w:val="24"/>
          <w:szCs w:val="24"/>
        </w:rPr>
        <w:t>read less accurately (z=-</w:t>
      </w:r>
      <w:r w:rsidR="00A54E8E" w:rsidRPr="00216999">
        <w:rPr>
          <w:sz w:val="24"/>
          <w:szCs w:val="24"/>
        </w:rPr>
        <w:t>1</w:t>
      </w:r>
      <w:r w:rsidR="003F2302" w:rsidRPr="00216999">
        <w:rPr>
          <w:sz w:val="24"/>
          <w:szCs w:val="24"/>
        </w:rPr>
        <w:t>.</w:t>
      </w:r>
      <w:r w:rsidR="00A54E8E" w:rsidRPr="00216999">
        <w:rPr>
          <w:sz w:val="24"/>
          <w:szCs w:val="24"/>
        </w:rPr>
        <w:t>84</w:t>
      </w:r>
      <w:r w:rsidR="003F2302" w:rsidRPr="00216999">
        <w:rPr>
          <w:sz w:val="24"/>
          <w:szCs w:val="24"/>
        </w:rPr>
        <w:t>, p</w:t>
      </w:r>
      <w:r w:rsidR="0022608A" w:rsidRPr="00216999">
        <w:rPr>
          <w:sz w:val="24"/>
          <w:szCs w:val="24"/>
        </w:rPr>
        <w:t>=.0</w:t>
      </w:r>
      <w:r w:rsidR="00A54E8E" w:rsidRPr="00216999">
        <w:rPr>
          <w:sz w:val="24"/>
          <w:szCs w:val="24"/>
        </w:rPr>
        <w:t>66</w:t>
      </w:r>
      <w:r w:rsidR="003F2302" w:rsidRPr="00216999">
        <w:rPr>
          <w:sz w:val="24"/>
          <w:szCs w:val="24"/>
        </w:rPr>
        <w:t>)</w:t>
      </w:r>
      <w:r w:rsidR="0070292B" w:rsidRPr="00216999">
        <w:rPr>
          <w:sz w:val="24"/>
          <w:szCs w:val="24"/>
        </w:rPr>
        <w:t xml:space="preserve">. </w:t>
      </w:r>
      <w:r w:rsidR="002C5F01" w:rsidRPr="00216999">
        <w:rPr>
          <w:sz w:val="24"/>
          <w:szCs w:val="24"/>
        </w:rPr>
        <w:t xml:space="preserve">There were no significant effects of </w:t>
      </w:r>
      <w:r w:rsidR="0070292B" w:rsidRPr="00216999">
        <w:rPr>
          <w:sz w:val="24"/>
          <w:szCs w:val="24"/>
        </w:rPr>
        <w:t>mean letter confusability (p</w:t>
      </w:r>
      <w:r w:rsidR="008B49A8" w:rsidRPr="00216999">
        <w:rPr>
          <w:sz w:val="24"/>
          <w:szCs w:val="24"/>
        </w:rPr>
        <w:t>=</w:t>
      </w:r>
      <w:r w:rsidR="0070292B" w:rsidRPr="00216999">
        <w:rPr>
          <w:sz w:val="24"/>
          <w:szCs w:val="24"/>
        </w:rPr>
        <w:t>.</w:t>
      </w:r>
      <w:r w:rsidR="00A54E8E" w:rsidRPr="00216999">
        <w:rPr>
          <w:sz w:val="24"/>
          <w:szCs w:val="24"/>
        </w:rPr>
        <w:t>49</w:t>
      </w:r>
      <w:r w:rsidR="0070292B" w:rsidRPr="00216999">
        <w:rPr>
          <w:sz w:val="24"/>
          <w:szCs w:val="24"/>
        </w:rPr>
        <w:t>) or frequency (p</w:t>
      </w:r>
      <w:r w:rsidR="008B49A8" w:rsidRPr="00216999">
        <w:rPr>
          <w:sz w:val="24"/>
          <w:szCs w:val="24"/>
        </w:rPr>
        <w:t>=</w:t>
      </w:r>
      <w:r w:rsidR="0070292B" w:rsidRPr="00216999">
        <w:rPr>
          <w:sz w:val="24"/>
          <w:szCs w:val="24"/>
        </w:rPr>
        <w:t>.2</w:t>
      </w:r>
      <w:r w:rsidR="00A54E8E" w:rsidRPr="00216999">
        <w:rPr>
          <w:sz w:val="24"/>
          <w:szCs w:val="24"/>
        </w:rPr>
        <w:t>9</w:t>
      </w:r>
      <w:r w:rsidR="0070292B" w:rsidRPr="00216999">
        <w:rPr>
          <w:sz w:val="24"/>
          <w:szCs w:val="24"/>
        </w:rPr>
        <w:t xml:space="preserve">) on reading accuracy. </w:t>
      </w:r>
      <w:r w:rsidR="003F2302" w:rsidRPr="00216999">
        <w:rPr>
          <w:sz w:val="24"/>
          <w:szCs w:val="24"/>
        </w:rPr>
        <w:t xml:space="preserve">There </w:t>
      </w:r>
      <w:r w:rsidR="000238BC" w:rsidRPr="00216999">
        <w:rPr>
          <w:sz w:val="24"/>
          <w:szCs w:val="24"/>
        </w:rPr>
        <w:t xml:space="preserve">were </w:t>
      </w:r>
      <w:r w:rsidR="003F2302" w:rsidRPr="00216999">
        <w:rPr>
          <w:sz w:val="24"/>
          <w:szCs w:val="24"/>
        </w:rPr>
        <w:t xml:space="preserve">no significant difference in length effects on accuracy </w:t>
      </w:r>
      <w:r w:rsidR="009C0BC4" w:rsidRPr="00216999">
        <w:rPr>
          <w:sz w:val="24"/>
          <w:szCs w:val="24"/>
        </w:rPr>
        <w:t>between follow-up</w:t>
      </w:r>
      <w:r w:rsidR="003F2302" w:rsidRPr="00216999">
        <w:rPr>
          <w:sz w:val="24"/>
          <w:szCs w:val="24"/>
        </w:rPr>
        <w:t xml:space="preserve"> assessments (</w:t>
      </w:r>
      <w:r w:rsidR="000238BC" w:rsidRPr="00216999">
        <w:rPr>
          <w:sz w:val="24"/>
          <w:szCs w:val="24"/>
        </w:rPr>
        <w:t xml:space="preserve">all </w:t>
      </w:r>
      <w:r w:rsidR="003F2302" w:rsidRPr="00216999">
        <w:rPr>
          <w:sz w:val="24"/>
          <w:szCs w:val="24"/>
        </w:rPr>
        <w:t>p&gt;.</w:t>
      </w:r>
      <w:r w:rsidR="000238BC" w:rsidRPr="00216999">
        <w:rPr>
          <w:sz w:val="24"/>
          <w:szCs w:val="24"/>
        </w:rPr>
        <w:t>1</w:t>
      </w:r>
      <w:r w:rsidR="003F2302" w:rsidRPr="00216999">
        <w:rPr>
          <w:sz w:val="24"/>
          <w:szCs w:val="24"/>
        </w:rPr>
        <w:t xml:space="preserve">). </w:t>
      </w:r>
    </w:p>
    <w:p w:rsidR="003F2302" w:rsidRPr="00216999" w:rsidRDefault="003F2302" w:rsidP="003F2302">
      <w:pPr>
        <w:contextualSpacing/>
        <w:rPr>
          <w:sz w:val="24"/>
          <w:szCs w:val="24"/>
        </w:rPr>
      </w:pPr>
    </w:p>
    <w:p w:rsidR="00607299" w:rsidRPr="00216999" w:rsidRDefault="00C64ED8" w:rsidP="0011281D">
      <w:pPr>
        <w:pStyle w:val="ListParagraph"/>
        <w:numPr>
          <w:ilvl w:val="2"/>
          <w:numId w:val="4"/>
        </w:numPr>
        <w:rPr>
          <w:i/>
          <w:sz w:val="24"/>
          <w:szCs w:val="24"/>
        </w:rPr>
      </w:pPr>
      <w:r w:rsidRPr="00216999">
        <w:rPr>
          <w:i/>
          <w:sz w:val="24"/>
          <w:szCs w:val="24"/>
        </w:rPr>
        <w:t>Reading e</w:t>
      </w:r>
      <w:r w:rsidR="00607299" w:rsidRPr="00216999">
        <w:rPr>
          <w:i/>
          <w:sz w:val="24"/>
          <w:szCs w:val="24"/>
        </w:rPr>
        <w:t>rror analysis</w:t>
      </w:r>
    </w:p>
    <w:p w:rsidR="00607299" w:rsidRPr="00216999" w:rsidRDefault="005D7690" w:rsidP="001D1F69">
      <w:pPr>
        <w:rPr>
          <w:sz w:val="24"/>
          <w:szCs w:val="24"/>
        </w:rPr>
      </w:pPr>
      <w:r w:rsidRPr="00216999">
        <w:rPr>
          <w:sz w:val="24"/>
          <w:szCs w:val="24"/>
        </w:rPr>
        <w:tab/>
      </w:r>
      <w:r w:rsidR="002B6E95" w:rsidRPr="00216999">
        <w:rPr>
          <w:sz w:val="24"/>
          <w:szCs w:val="24"/>
        </w:rPr>
        <w:t xml:space="preserve">Errors were classified using criteria </w:t>
      </w:r>
      <w:r w:rsidR="00917333" w:rsidRPr="00216999">
        <w:rPr>
          <w:sz w:val="24"/>
          <w:szCs w:val="24"/>
        </w:rPr>
        <w:t>outlined in</w:t>
      </w:r>
      <w:r w:rsidR="002B6E95" w:rsidRPr="00216999">
        <w:rPr>
          <w:sz w:val="24"/>
          <w:szCs w:val="24"/>
        </w:rPr>
        <w:t xml:space="preserve"> Crutch and Warrington (2009).</w:t>
      </w:r>
      <w:r w:rsidR="00753E6E">
        <w:rPr>
          <w:sz w:val="24"/>
          <w:szCs w:val="24"/>
        </w:rPr>
        <w:t xml:space="preserve"> Visual errors, defined as real-word errors in which ≥50% of letters are maintained, </w:t>
      </w:r>
      <w:r w:rsidRPr="00216999">
        <w:rPr>
          <w:sz w:val="24"/>
          <w:szCs w:val="24"/>
        </w:rPr>
        <w:t>made up 50% of FOL’s error responses at baseline, 57% of error responses at FU1 and 80% at FU2. CLA did not make any errors at baseline, whilst visual errors made up 60% of her error responses at FU1 and 65% of her error responses at FU2.</w:t>
      </w:r>
    </w:p>
    <w:p w:rsidR="004151A4" w:rsidRDefault="00EB445E" w:rsidP="001D1F69">
      <w:pPr>
        <w:rPr>
          <w:sz w:val="24"/>
          <w:szCs w:val="24"/>
        </w:rPr>
      </w:pPr>
      <w:r w:rsidRPr="00216999">
        <w:rPr>
          <w:sz w:val="24"/>
          <w:szCs w:val="24"/>
        </w:rPr>
        <w:tab/>
        <w:t xml:space="preserve">Of </w:t>
      </w:r>
      <w:r w:rsidR="009A1041" w:rsidRPr="00216999">
        <w:rPr>
          <w:sz w:val="24"/>
          <w:szCs w:val="24"/>
        </w:rPr>
        <w:t>FOL’s</w:t>
      </w:r>
      <w:r w:rsidRPr="00216999">
        <w:rPr>
          <w:sz w:val="24"/>
          <w:szCs w:val="24"/>
        </w:rPr>
        <w:t xml:space="preserve"> visual errors, </w:t>
      </w:r>
      <w:r w:rsidR="000D7731" w:rsidRPr="00216999">
        <w:rPr>
          <w:sz w:val="24"/>
          <w:szCs w:val="24"/>
        </w:rPr>
        <w:t>42.1</w:t>
      </w:r>
      <w:r w:rsidR="009A1041" w:rsidRPr="00216999">
        <w:rPr>
          <w:sz w:val="24"/>
          <w:szCs w:val="24"/>
        </w:rPr>
        <w:t>% were deletion errors, 5</w:t>
      </w:r>
      <w:r w:rsidR="000D7731" w:rsidRPr="00216999">
        <w:rPr>
          <w:sz w:val="24"/>
          <w:szCs w:val="24"/>
        </w:rPr>
        <w:t>3</w:t>
      </w:r>
      <w:r w:rsidR="009A1041" w:rsidRPr="00216999">
        <w:rPr>
          <w:sz w:val="24"/>
          <w:szCs w:val="24"/>
        </w:rPr>
        <w:t>.</w:t>
      </w:r>
      <w:r w:rsidR="000D7731" w:rsidRPr="00216999">
        <w:rPr>
          <w:sz w:val="24"/>
          <w:szCs w:val="24"/>
        </w:rPr>
        <w:t>8</w:t>
      </w:r>
      <w:r w:rsidR="009A1041" w:rsidRPr="00216999">
        <w:rPr>
          <w:sz w:val="24"/>
          <w:szCs w:val="24"/>
        </w:rPr>
        <w:t xml:space="preserve">% were substitution errors and </w:t>
      </w:r>
      <w:r w:rsidR="000D7731" w:rsidRPr="00216999">
        <w:rPr>
          <w:sz w:val="24"/>
          <w:szCs w:val="24"/>
        </w:rPr>
        <w:t>4</w:t>
      </w:r>
      <w:r w:rsidR="009A1041" w:rsidRPr="00216999">
        <w:rPr>
          <w:sz w:val="24"/>
          <w:szCs w:val="24"/>
        </w:rPr>
        <w:t>.</w:t>
      </w:r>
      <w:r w:rsidR="000D7731" w:rsidRPr="00216999">
        <w:rPr>
          <w:sz w:val="24"/>
          <w:szCs w:val="24"/>
        </w:rPr>
        <w:t>2</w:t>
      </w:r>
      <w:r w:rsidR="009A1041" w:rsidRPr="00216999">
        <w:rPr>
          <w:sz w:val="24"/>
          <w:szCs w:val="24"/>
        </w:rPr>
        <w:t xml:space="preserve">% were addition errors. Of CLA’s visual errors, </w:t>
      </w:r>
      <w:r w:rsidR="000D7731" w:rsidRPr="00216999">
        <w:rPr>
          <w:sz w:val="24"/>
          <w:szCs w:val="24"/>
        </w:rPr>
        <w:t>23</w:t>
      </w:r>
      <w:r w:rsidR="009A1041" w:rsidRPr="00216999">
        <w:rPr>
          <w:sz w:val="24"/>
          <w:szCs w:val="24"/>
        </w:rPr>
        <w:t>.</w:t>
      </w:r>
      <w:r w:rsidR="000D7731" w:rsidRPr="00216999">
        <w:rPr>
          <w:sz w:val="24"/>
          <w:szCs w:val="24"/>
        </w:rPr>
        <w:t>1</w:t>
      </w:r>
      <w:r w:rsidR="009A1041" w:rsidRPr="00216999">
        <w:rPr>
          <w:sz w:val="24"/>
          <w:szCs w:val="24"/>
        </w:rPr>
        <w:t xml:space="preserve">% were deletion errors, </w:t>
      </w:r>
      <w:r w:rsidR="000D7731" w:rsidRPr="00216999">
        <w:rPr>
          <w:sz w:val="24"/>
          <w:szCs w:val="24"/>
        </w:rPr>
        <w:t>44</w:t>
      </w:r>
      <w:r w:rsidR="009A1041" w:rsidRPr="00216999">
        <w:rPr>
          <w:sz w:val="24"/>
          <w:szCs w:val="24"/>
        </w:rPr>
        <w:t xml:space="preserve">.3% were substitution errors and </w:t>
      </w:r>
      <w:r w:rsidR="000D7731" w:rsidRPr="00216999">
        <w:rPr>
          <w:sz w:val="24"/>
          <w:szCs w:val="24"/>
        </w:rPr>
        <w:t>32</w:t>
      </w:r>
      <w:r w:rsidR="009A1041" w:rsidRPr="00216999">
        <w:rPr>
          <w:sz w:val="24"/>
          <w:szCs w:val="24"/>
        </w:rPr>
        <w:t>.</w:t>
      </w:r>
      <w:r w:rsidR="000D7731" w:rsidRPr="00216999">
        <w:rPr>
          <w:sz w:val="24"/>
          <w:szCs w:val="24"/>
        </w:rPr>
        <w:t>6</w:t>
      </w:r>
      <w:r w:rsidR="009A1041" w:rsidRPr="00216999">
        <w:rPr>
          <w:sz w:val="24"/>
          <w:szCs w:val="24"/>
        </w:rPr>
        <w:t>% were addition errors</w:t>
      </w:r>
      <w:r w:rsidR="00E77B8A" w:rsidRPr="00216999">
        <w:rPr>
          <w:sz w:val="24"/>
          <w:szCs w:val="24"/>
        </w:rPr>
        <w:t>. Neither patient</w:t>
      </w:r>
      <w:r w:rsidR="00625438" w:rsidRPr="00216999">
        <w:rPr>
          <w:sz w:val="24"/>
          <w:szCs w:val="24"/>
        </w:rPr>
        <w:t>’s visual errors</w:t>
      </w:r>
      <w:r w:rsidR="00E77B8A" w:rsidRPr="00216999">
        <w:rPr>
          <w:sz w:val="24"/>
          <w:szCs w:val="24"/>
        </w:rPr>
        <w:t xml:space="preserve"> showed an overall tendency toward </w:t>
      </w:r>
      <w:r w:rsidR="00625438" w:rsidRPr="00216999">
        <w:rPr>
          <w:sz w:val="24"/>
          <w:szCs w:val="24"/>
        </w:rPr>
        <w:t>being</w:t>
      </w:r>
      <w:r w:rsidR="00E77B8A" w:rsidRPr="00216999">
        <w:rPr>
          <w:sz w:val="24"/>
          <w:szCs w:val="24"/>
        </w:rPr>
        <w:t xml:space="preserve"> neglect errors</w:t>
      </w:r>
      <w:r w:rsidR="004151A4">
        <w:rPr>
          <w:sz w:val="24"/>
          <w:szCs w:val="24"/>
        </w:rPr>
        <w:t>;</w:t>
      </w:r>
      <w:r w:rsidR="004151A4" w:rsidRPr="00216999">
        <w:rPr>
          <w:sz w:val="24"/>
          <w:szCs w:val="24"/>
        </w:rPr>
        <w:t xml:space="preserve"> </w:t>
      </w:r>
      <w:r w:rsidR="004151A4">
        <w:rPr>
          <w:sz w:val="24"/>
          <w:szCs w:val="24"/>
        </w:rPr>
        <w:t xml:space="preserve"> errors either showed no evidence of a spatial bias (FOL: N=10; CLA: N=11), were confined to the left (</w:t>
      </w:r>
      <w:r w:rsidR="004151A4" w:rsidRPr="00216999">
        <w:rPr>
          <w:sz w:val="24"/>
          <w:szCs w:val="24"/>
        </w:rPr>
        <w:t>FOL: N=4; CLA: N=12</w:t>
      </w:r>
      <w:r w:rsidR="004151A4">
        <w:rPr>
          <w:sz w:val="24"/>
          <w:szCs w:val="24"/>
        </w:rPr>
        <w:t>) or right side of words (</w:t>
      </w:r>
      <w:r w:rsidR="004151A4" w:rsidRPr="00216999">
        <w:rPr>
          <w:sz w:val="24"/>
          <w:szCs w:val="24"/>
        </w:rPr>
        <w:t>FOL: N=1; CLA: N=4; Ellis et all., 1987</w:t>
      </w:r>
      <w:r w:rsidR="004151A4">
        <w:rPr>
          <w:sz w:val="24"/>
          <w:szCs w:val="24"/>
        </w:rPr>
        <w:t>).</w:t>
      </w:r>
    </w:p>
    <w:p w:rsidR="005D7690" w:rsidRPr="00216999" w:rsidRDefault="005D7690" w:rsidP="001D1F69">
      <w:pPr>
        <w:rPr>
          <w:sz w:val="24"/>
          <w:szCs w:val="24"/>
        </w:rPr>
      </w:pPr>
    </w:p>
    <w:p w:rsidR="00333491" w:rsidRPr="00216999" w:rsidRDefault="00333491" w:rsidP="0011281D">
      <w:pPr>
        <w:pStyle w:val="ListParagraph"/>
        <w:numPr>
          <w:ilvl w:val="2"/>
          <w:numId w:val="4"/>
        </w:numPr>
        <w:rPr>
          <w:sz w:val="24"/>
          <w:szCs w:val="24"/>
        </w:rPr>
      </w:pPr>
      <w:r w:rsidRPr="00216999">
        <w:rPr>
          <w:i/>
          <w:sz w:val="24"/>
          <w:szCs w:val="24"/>
        </w:rPr>
        <w:t xml:space="preserve">Overall </w:t>
      </w:r>
      <w:r w:rsidR="007A2669" w:rsidRPr="00216999">
        <w:rPr>
          <w:i/>
          <w:sz w:val="24"/>
          <w:szCs w:val="24"/>
        </w:rPr>
        <w:t xml:space="preserve">reading </w:t>
      </w:r>
      <w:r w:rsidRPr="00216999">
        <w:rPr>
          <w:i/>
          <w:sz w:val="24"/>
          <w:szCs w:val="24"/>
        </w:rPr>
        <w:t>latency</w:t>
      </w:r>
    </w:p>
    <w:p w:rsidR="00F86F0B" w:rsidRPr="00216999" w:rsidRDefault="00333491" w:rsidP="007B54E6">
      <w:pPr>
        <w:contextualSpacing/>
        <w:rPr>
          <w:sz w:val="24"/>
          <w:szCs w:val="24"/>
        </w:rPr>
      </w:pPr>
      <w:r w:rsidRPr="00216999">
        <w:rPr>
          <w:sz w:val="24"/>
          <w:szCs w:val="24"/>
        </w:rPr>
        <w:t xml:space="preserve">Overall reading latencies for words of up to 12 letters read at baseline, </w:t>
      </w:r>
      <w:r w:rsidR="00CE3915" w:rsidRPr="00216999">
        <w:rPr>
          <w:sz w:val="24"/>
          <w:szCs w:val="24"/>
        </w:rPr>
        <w:t>FU1 and FU2</w:t>
      </w:r>
      <w:r w:rsidRPr="00216999">
        <w:rPr>
          <w:sz w:val="24"/>
          <w:szCs w:val="24"/>
        </w:rPr>
        <w:t xml:space="preserve"> are shown in Figure </w:t>
      </w:r>
      <w:r w:rsidR="00AB3B64" w:rsidRPr="00216999">
        <w:rPr>
          <w:sz w:val="24"/>
          <w:szCs w:val="24"/>
        </w:rPr>
        <w:t>5</w:t>
      </w:r>
      <w:r w:rsidRPr="00216999">
        <w:rPr>
          <w:sz w:val="24"/>
          <w:szCs w:val="24"/>
        </w:rPr>
        <w:t xml:space="preserve">. </w:t>
      </w:r>
    </w:p>
    <w:p w:rsidR="007A2669" w:rsidRPr="00216999" w:rsidRDefault="007A2669" w:rsidP="007B54E6">
      <w:pPr>
        <w:contextualSpacing/>
        <w:rPr>
          <w:sz w:val="24"/>
          <w:szCs w:val="24"/>
        </w:rPr>
      </w:pPr>
      <w:r w:rsidRPr="00216999">
        <w:rPr>
          <w:sz w:val="24"/>
          <w:szCs w:val="24"/>
        </w:rPr>
        <w:tab/>
      </w:r>
    </w:p>
    <w:p w:rsidR="001C3700" w:rsidRPr="00216999" w:rsidRDefault="007A2669" w:rsidP="007B54E6">
      <w:pPr>
        <w:contextualSpacing/>
        <w:rPr>
          <w:sz w:val="24"/>
          <w:szCs w:val="24"/>
        </w:rPr>
      </w:pPr>
      <w:r w:rsidRPr="00216999">
        <w:rPr>
          <w:sz w:val="24"/>
          <w:szCs w:val="24"/>
        </w:rPr>
        <w:t xml:space="preserve">FOL: </w:t>
      </w:r>
      <w:r w:rsidR="00BA2E2F" w:rsidRPr="00216999">
        <w:rPr>
          <w:sz w:val="24"/>
          <w:szCs w:val="24"/>
        </w:rPr>
        <w:t>A</w:t>
      </w:r>
      <w:r w:rsidR="00752EFA" w:rsidRPr="00216999">
        <w:rPr>
          <w:sz w:val="24"/>
          <w:szCs w:val="24"/>
        </w:rPr>
        <w:t xml:space="preserve">nalysis of FOL’s latency data across the three assessments found that reading speed </w:t>
      </w:r>
      <w:r w:rsidR="00BA2E2F" w:rsidRPr="00216999">
        <w:rPr>
          <w:sz w:val="24"/>
          <w:szCs w:val="24"/>
        </w:rPr>
        <w:t>was slower in subsequent assessments.</w:t>
      </w:r>
      <w:r w:rsidR="001C3700" w:rsidRPr="00216999">
        <w:rPr>
          <w:sz w:val="24"/>
          <w:szCs w:val="24"/>
        </w:rPr>
        <w:t xml:space="preserve"> Reading speed was 0.63s/</w:t>
      </w:r>
      <w:r w:rsidR="00BA2E2F" w:rsidRPr="00216999">
        <w:rPr>
          <w:sz w:val="24"/>
          <w:szCs w:val="24"/>
        </w:rPr>
        <w:t>word at baseline, 1.04s/word at</w:t>
      </w:r>
      <w:r w:rsidR="00333491" w:rsidRPr="00216999">
        <w:rPr>
          <w:sz w:val="24"/>
          <w:szCs w:val="24"/>
        </w:rPr>
        <w:t xml:space="preserve"> </w:t>
      </w:r>
      <w:r w:rsidR="00CE3915" w:rsidRPr="00216999">
        <w:rPr>
          <w:sz w:val="24"/>
          <w:szCs w:val="24"/>
        </w:rPr>
        <w:t xml:space="preserve">FU1 </w:t>
      </w:r>
      <w:r w:rsidR="00333491" w:rsidRPr="00216999">
        <w:rPr>
          <w:sz w:val="24"/>
          <w:szCs w:val="24"/>
        </w:rPr>
        <w:t>(</w:t>
      </w:r>
      <w:r w:rsidR="003071A0" w:rsidRPr="00216999">
        <w:rPr>
          <w:sz w:val="24"/>
          <w:szCs w:val="24"/>
        </w:rPr>
        <w:t>95% CI [.33, .57]</w:t>
      </w:r>
      <w:r w:rsidR="00333491" w:rsidRPr="00216999">
        <w:rPr>
          <w:sz w:val="24"/>
          <w:szCs w:val="24"/>
        </w:rPr>
        <w:t>)</w:t>
      </w:r>
      <w:r w:rsidR="00AA08E6" w:rsidRPr="00216999">
        <w:rPr>
          <w:sz w:val="24"/>
          <w:szCs w:val="24"/>
        </w:rPr>
        <w:t xml:space="preserve"> and</w:t>
      </w:r>
      <w:r w:rsidR="001C3700" w:rsidRPr="00216999">
        <w:rPr>
          <w:sz w:val="24"/>
          <w:szCs w:val="24"/>
        </w:rPr>
        <w:t xml:space="preserve"> 1.49s/word at</w:t>
      </w:r>
      <w:r w:rsidR="00AA08E6" w:rsidRPr="00216999">
        <w:rPr>
          <w:sz w:val="24"/>
          <w:szCs w:val="24"/>
        </w:rPr>
        <w:t xml:space="preserve"> </w:t>
      </w:r>
      <w:r w:rsidR="00CE3915" w:rsidRPr="00216999">
        <w:rPr>
          <w:sz w:val="24"/>
          <w:szCs w:val="24"/>
        </w:rPr>
        <w:t xml:space="preserve">FU2 </w:t>
      </w:r>
      <w:r w:rsidR="00AA08E6" w:rsidRPr="00216999">
        <w:rPr>
          <w:sz w:val="24"/>
          <w:szCs w:val="24"/>
        </w:rPr>
        <w:t>(</w:t>
      </w:r>
      <w:r w:rsidR="003071A0" w:rsidRPr="00216999">
        <w:rPr>
          <w:sz w:val="24"/>
          <w:szCs w:val="24"/>
        </w:rPr>
        <w:t>95% CI [.67, 1.15]</w:t>
      </w:r>
      <w:r w:rsidR="00AA08E6" w:rsidRPr="00216999">
        <w:rPr>
          <w:sz w:val="24"/>
          <w:szCs w:val="24"/>
        </w:rPr>
        <w:t>)</w:t>
      </w:r>
      <w:r w:rsidR="00CE3915" w:rsidRPr="00216999">
        <w:rPr>
          <w:sz w:val="24"/>
          <w:szCs w:val="24"/>
        </w:rPr>
        <w:t>, with</w:t>
      </w:r>
      <w:r w:rsidR="00333491" w:rsidRPr="00216999">
        <w:rPr>
          <w:sz w:val="24"/>
          <w:szCs w:val="24"/>
        </w:rPr>
        <w:t xml:space="preserve"> further decline in reading speed between </w:t>
      </w:r>
      <w:r w:rsidR="00CE3915" w:rsidRPr="00216999">
        <w:rPr>
          <w:sz w:val="24"/>
          <w:szCs w:val="24"/>
        </w:rPr>
        <w:t>FU1 and FU2</w:t>
      </w:r>
      <w:r w:rsidR="00333491" w:rsidRPr="00216999">
        <w:rPr>
          <w:sz w:val="24"/>
          <w:szCs w:val="24"/>
        </w:rPr>
        <w:t xml:space="preserve"> (</w:t>
      </w:r>
      <w:r w:rsidR="003071A0" w:rsidRPr="00216999">
        <w:rPr>
          <w:sz w:val="24"/>
          <w:szCs w:val="24"/>
        </w:rPr>
        <w:t>95% CI [.23, .75</w:t>
      </w:r>
      <w:r w:rsidR="00B465C3">
        <w:rPr>
          <w:sz w:val="24"/>
          <w:szCs w:val="24"/>
        </w:rPr>
        <w:t>]</w:t>
      </w:r>
      <w:r w:rsidR="00B465C3" w:rsidRPr="00216999">
        <w:rPr>
          <w:sz w:val="24"/>
          <w:szCs w:val="24"/>
        </w:rPr>
        <w:t xml:space="preserve">). </w:t>
      </w:r>
      <w:r w:rsidR="00752EFA" w:rsidRPr="00216999">
        <w:rPr>
          <w:sz w:val="24"/>
          <w:szCs w:val="24"/>
        </w:rPr>
        <w:t>Across the three assessments, i</w:t>
      </w:r>
      <w:r w:rsidR="007B54E6" w:rsidRPr="00216999">
        <w:rPr>
          <w:sz w:val="24"/>
          <w:szCs w:val="24"/>
        </w:rPr>
        <w:t>ncreased word length led t</w:t>
      </w:r>
      <w:r w:rsidR="0046449B" w:rsidRPr="00216999">
        <w:rPr>
          <w:sz w:val="24"/>
          <w:szCs w:val="24"/>
        </w:rPr>
        <w:t>o slower reading speed (</w:t>
      </w:r>
      <w:r w:rsidR="001C3700" w:rsidRPr="00216999">
        <w:rPr>
          <w:sz w:val="24"/>
          <w:szCs w:val="24"/>
        </w:rPr>
        <w:t>.0</w:t>
      </w:r>
      <w:r w:rsidR="0071255F" w:rsidRPr="00216999">
        <w:rPr>
          <w:sz w:val="24"/>
          <w:szCs w:val="24"/>
        </w:rPr>
        <w:t>44</w:t>
      </w:r>
      <w:r w:rsidR="001C3700" w:rsidRPr="00216999">
        <w:rPr>
          <w:sz w:val="24"/>
          <w:szCs w:val="24"/>
        </w:rPr>
        <w:t>s</w:t>
      </w:r>
      <w:r w:rsidR="000716C0">
        <w:rPr>
          <w:sz w:val="24"/>
          <w:szCs w:val="24"/>
        </w:rPr>
        <w:t xml:space="preserve"> </w:t>
      </w:r>
      <w:r w:rsidR="001C3700" w:rsidRPr="00216999">
        <w:rPr>
          <w:sz w:val="24"/>
          <w:szCs w:val="24"/>
        </w:rPr>
        <w:t xml:space="preserve">word per additional letter; </w:t>
      </w:r>
      <w:r w:rsidR="00BD543D" w:rsidRPr="00216999">
        <w:rPr>
          <w:sz w:val="24"/>
          <w:szCs w:val="24"/>
        </w:rPr>
        <w:t>95% CI [.0</w:t>
      </w:r>
      <w:r w:rsidR="0071255F" w:rsidRPr="00216999">
        <w:rPr>
          <w:sz w:val="24"/>
          <w:szCs w:val="24"/>
        </w:rPr>
        <w:t>22</w:t>
      </w:r>
      <w:r w:rsidR="00BD543D" w:rsidRPr="00216999">
        <w:rPr>
          <w:sz w:val="24"/>
          <w:szCs w:val="24"/>
        </w:rPr>
        <w:t>, .</w:t>
      </w:r>
      <w:r w:rsidR="0071255F" w:rsidRPr="00216999">
        <w:rPr>
          <w:sz w:val="24"/>
          <w:szCs w:val="24"/>
        </w:rPr>
        <w:t>70</w:t>
      </w:r>
      <w:r w:rsidR="00BD543D" w:rsidRPr="00216999">
        <w:rPr>
          <w:sz w:val="24"/>
          <w:szCs w:val="24"/>
        </w:rPr>
        <w:t>]</w:t>
      </w:r>
      <w:r w:rsidR="00162422" w:rsidRPr="00216999">
        <w:rPr>
          <w:sz w:val="24"/>
          <w:szCs w:val="24"/>
        </w:rPr>
        <w:t>)</w:t>
      </w:r>
      <w:r w:rsidR="00B86C9A" w:rsidRPr="00216999">
        <w:rPr>
          <w:sz w:val="24"/>
          <w:szCs w:val="24"/>
        </w:rPr>
        <w:t>.</w:t>
      </w:r>
      <w:r w:rsidR="00E33DD8" w:rsidRPr="00216999">
        <w:rPr>
          <w:sz w:val="24"/>
          <w:szCs w:val="24"/>
        </w:rPr>
        <w:t xml:space="preserve"> </w:t>
      </w:r>
    </w:p>
    <w:p w:rsidR="001C3700" w:rsidRPr="00216999" w:rsidRDefault="001C3700" w:rsidP="007B54E6">
      <w:pPr>
        <w:contextualSpacing/>
        <w:rPr>
          <w:sz w:val="24"/>
          <w:szCs w:val="24"/>
        </w:rPr>
      </w:pPr>
    </w:p>
    <w:p w:rsidR="005F50C3" w:rsidRPr="00216999" w:rsidRDefault="00E33DD8" w:rsidP="007B54E6">
      <w:pPr>
        <w:contextualSpacing/>
        <w:rPr>
          <w:sz w:val="24"/>
          <w:szCs w:val="24"/>
        </w:rPr>
      </w:pPr>
      <w:r w:rsidRPr="00216999">
        <w:rPr>
          <w:sz w:val="24"/>
          <w:szCs w:val="24"/>
        </w:rPr>
        <w:t>There was an interaction between word length and assessment</w:t>
      </w:r>
      <w:r w:rsidR="001C3700" w:rsidRPr="00216999">
        <w:rPr>
          <w:sz w:val="24"/>
          <w:szCs w:val="24"/>
        </w:rPr>
        <w:t xml:space="preserve">. The effect per additional letter was 0.04s/word at baseline and at FU1. At FU2, reading speed was 0.16s slower per additional letter, a significantly greater effect than was observed at baseline (interaction 0.11s/word 95% </w:t>
      </w:r>
      <w:r w:rsidR="005F50C3" w:rsidRPr="00216999">
        <w:rPr>
          <w:sz w:val="24"/>
          <w:szCs w:val="24"/>
        </w:rPr>
        <w:t>CI [.004, .2</w:t>
      </w:r>
      <w:r w:rsidR="00DA20AA" w:rsidRPr="00216999">
        <w:rPr>
          <w:sz w:val="24"/>
          <w:szCs w:val="24"/>
        </w:rPr>
        <w:t>9</w:t>
      </w:r>
      <w:r w:rsidR="005F50C3" w:rsidRPr="00216999">
        <w:rPr>
          <w:sz w:val="24"/>
          <w:szCs w:val="24"/>
        </w:rPr>
        <w:t>])</w:t>
      </w:r>
      <w:r w:rsidR="001C3700" w:rsidRPr="00216999">
        <w:rPr>
          <w:sz w:val="24"/>
          <w:szCs w:val="24"/>
        </w:rPr>
        <w:t>.</w:t>
      </w:r>
      <w:r w:rsidR="005F50C3" w:rsidRPr="00216999">
        <w:rPr>
          <w:sz w:val="24"/>
          <w:szCs w:val="24"/>
        </w:rPr>
        <w:t xml:space="preserve"> </w:t>
      </w:r>
      <w:r w:rsidR="00B80960" w:rsidRPr="00216999">
        <w:rPr>
          <w:sz w:val="24"/>
          <w:szCs w:val="24"/>
        </w:rPr>
        <w:t>There were no significant effects of letter confusability (95% CI [-.</w:t>
      </w:r>
      <w:r w:rsidR="0071255F" w:rsidRPr="00216999">
        <w:rPr>
          <w:sz w:val="24"/>
          <w:szCs w:val="24"/>
        </w:rPr>
        <w:t>26</w:t>
      </w:r>
      <w:r w:rsidR="00B80960" w:rsidRPr="00216999">
        <w:rPr>
          <w:sz w:val="24"/>
          <w:szCs w:val="24"/>
        </w:rPr>
        <w:t>, 3.</w:t>
      </w:r>
      <w:r w:rsidR="0071255F" w:rsidRPr="00216999">
        <w:rPr>
          <w:sz w:val="24"/>
          <w:szCs w:val="24"/>
        </w:rPr>
        <w:t>45</w:t>
      </w:r>
      <w:r w:rsidR="00B80960" w:rsidRPr="00216999">
        <w:rPr>
          <w:sz w:val="24"/>
          <w:szCs w:val="24"/>
        </w:rPr>
        <w:t>]), case (95% CI [-.0</w:t>
      </w:r>
      <w:r w:rsidR="0071255F" w:rsidRPr="00216999">
        <w:rPr>
          <w:sz w:val="24"/>
          <w:szCs w:val="24"/>
        </w:rPr>
        <w:t>44</w:t>
      </w:r>
      <w:r w:rsidR="00B80960" w:rsidRPr="00216999">
        <w:rPr>
          <w:sz w:val="24"/>
          <w:szCs w:val="24"/>
        </w:rPr>
        <w:t>, .3</w:t>
      </w:r>
      <w:r w:rsidR="0071255F" w:rsidRPr="00216999">
        <w:rPr>
          <w:sz w:val="24"/>
          <w:szCs w:val="24"/>
        </w:rPr>
        <w:t>2</w:t>
      </w:r>
      <w:r w:rsidR="00B80960" w:rsidRPr="00216999">
        <w:rPr>
          <w:sz w:val="24"/>
          <w:szCs w:val="24"/>
        </w:rPr>
        <w:t xml:space="preserve">]) or frequency (95% CI [-.00023, .00048]). </w:t>
      </w:r>
    </w:p>
    <w:p w:rsidR="007A2669" w:rsidRPr="00216999" w:rsidRDefault="007A2669" w:rsidP="007B54E6">
      <w:pPr>
        <w:contextualSpacing/>
        <w:rPr>
          <w:sz w:val="24"/>
          <w:szCs w:val="24"/>
        </w:rPr>
      </w:pPr>
      <w:r w:rsidRPr="00216999">
        <w:rPr>
          <w:sz w:val="24"/>
          <w:szCs w:val="24"/>
        </w:rPr>
        <w:tab/>
        <w:t xml:space="preserve"> </w:t>
      </w:r>
    </w:p>
    <w:p w:rsidR="007B54E6" w:rsidRPr="00216999" w:rsidRDefault="00F86F0B" w:rsidP="00333491">
      <w:pPr>
        <w:contextualSpacing/>
        <w:rPr>
          <w:sz w:val="24"/>
          <w:szCs w:val="24"/>
        </w:rPr>
      </w:pPr>
      <w:r w:rsidRPr="00216999">
        <w:rPr>
          <w:sz w:val="24"/>
          <w:szCs w:val="24"/>
        </w:rPr>
        <w:t xml:space="preserve">CLA: </w:t>
      </w:r>
      <w:r w:rsidR="00BA2E2F" w:rsidRPr="00216999">
        <w:rPr>
          <w:sz w:val="24"/>
          <w:szCs w:val="24"/>
        </w:rPr>
        <w:t>A</w:t>
      </w:r>
      <w:r w:rsidR="0071255F" w:rsidRPr="00216999">
        <w:rPr>
          <w:sz w:val="24"/>
          <w:szCs w:val="24"/>
        </w:rPr>
        <w:t>nalysis of CLA’s latency data also found that reading speed was slower in subsequent assessments. Reading speed was 0.75s/word at baseline, 0.94s/word at FU1 (0.19s/word slower than baseline 95% CI [.12, .24]) and 6.85s/word at FU2 (5.96s/word slower than FU1</w:t>
      </w:r>
      <w:r w:rsidR="000D2884" w:rsidRPr="00216999">
        <w:rPr>
          <w:sz w:val="24"/>
          <w:szCs w:val="24"/>
        </w:rPr>
        <w:t>;</w:t>
      </w:r>
      <w:r w:rsidR="0071255F" w:rsidRPr="00216999">
        <w:rPr>
          <w:sz w:val="24"/>
          <w:szCs w:val="24"/>
        </w:rPr>
        <w:t xml:space="preserve"> 95% CI [5.09, 7.10)). </w:t>
      </w:r>
      <w:r w:rsidR="00FC59D0" w:rsidRPr="00216999">
        <w:rPr>
          <w:sz w:val="24"/>
          <w:szCs w:val="24"/>
        </w:rPr>
        <w:t>There were no significant effects of word length (95% CI [-.0</w:t>
      </w:r>
      <w:r w:rsidR="00B02D82" w:rsidRPr="00216999">
        <w:rPr>
          <w:sz w:val="24"/>
          <w:szCs w:val="24"/>
        </w:rPr>
        <w:t>063, .11</w:t>
      </w:r>
      <w:r w:rsidR="00FC59D0" w:rsidRPr="00216999">
        <w:rPr>
          <w:sz w:val="24"/>
          <w:szCs w:val="24"/>
        </w:rPr>
        <w:t>])</w:t>
      </w:r>
      <w:r w:rsidR="00DA20AA" w:rsidRPr="00216999">
        <w:rPr>
          <w:sz w:val="24"/>
          <w:szCs w:val="24"/>
        </w:rPr>
        <w:t>, lett</w:t>
      </w:r>
      <w:r w:rsidR="00B02D82" w:rsidRPr="00216999">
        <w:rPr>
          <w:sz w:val="24"/>
          <w:szCs w:val="24"/>
        </w:rPr>
        <w:t>er confusability (95% CI [-10.26, 4.37]), case (95% CI [-.62, .76</w:t>
      </w:r>
      <w:r w:rsidR="00DA20AA" w:rsidRPr="00216999">
        <w:rPr>
          <w:sz w:val="24"/>
          <w:szCs w:val="24"/>
        </w:rPr>
        <w:t>])</w:t>
      </w:r>
      <w:r w:rsidR="00B02D82" w:rsidRPr="00216999">
        <w:rPr>
          <w:sz w:val="24"/>
          <w:szCs w:val="24"/>
        </w:rPr>
        <w:t xml:space="preserve"> or frequency (95% CI [-.00095, .0032</w:t>
      </w:r>
      <w:r w:rsidR="00DA20AA" w:rsidRPr="00216999">
        <w:rPr>
          <w:sz w:val="24"/>
          <w:szCs w:val="24"/>
        </w:rPr>
        <w:t xml:space="preserve">]). </w:t>
      </w:r>
      <w:r w:rsidR="0071255F" w:rsidRPr="00216999">
        <w:rPr>
          <w:sz w:val="24"/>
          <w:szCs w:val="24"/>
        </w:rPr>
        <w:t xml:space="preserve">There was no evidence of a significant </w:t>
      </w:r>
      <w:r w:rsidR="00763F5A" w:rsidRPr="00216999">
        <w:rPr>
          <w:sz w:val="24"/>
          <w:szCs w:val="24"/>
        </w:rPr>
        <w:t xml:space="preserve">interaction between length and visit. </w:t>
      </w:r>
    </w:p>
    <w:p w:rsidR="005D7690" w:rsidRPr="00216999" w:rsidRDefault="00E954AD" w:rsidP="00DD37B0">
      <w:pPr>
        <w:contextualSpacing/>
        <w:rPr>
          <w:noProof/>
          <w:sz w:val="24"/>
          <w:szCs w:val="24"/>
          <w:lang w:eastAsia="en-GB"/>
        </w:rPr>
      </w:pPr>
      <w:r w:rsidRPr="00216999">
        <w:rPr>
          <w:sz w:val="24"/>
          <w:szCs w:val="24"/>
        </w:rPr>
        <w:tab/>
      </w:r>
      <w:r w:rsidR="009939AE" w:rsidRPr="00216999">
        <w:rPr>
          <w:sz w:val="24"/>
          <w:szCs w:val="24"/>
        </w:rPr>
        <w:t xml:space="preserve"> </w:t>
      </w:r>
    </w:p>
    <w:p w:rsidR="005D7690" w:rsidRPr="00216999" w:rsidRDefault="005D7690" w:rsidP="00DD37B0">
      <w:pPr>
        <w:contextualSpacing/>
        <w:rPr>
          <w:noProof/>
          <w:sz w:val="24"/>
          <w:szCs w:val="24"/>
          <w:lang w:eastAsia="en-GB"/>
        </w:rPr>
      </w:pPr>
      <w:r w:rsidRPr="00216999">
        <w:rPr>
          <w:noProof/>
          <w:sz w:val="24"/>
          <w:szCs w:val="24"/>
          <w:lang w:eastAsia="en-GB"/>
        </w:rPr>
        <w:t xml:space="preserve">Figure </w:t>
      </w:r>
      <w:r w:rsidR="00AB3B64" w:rsidRPr="00216999">
        <w:rPr>
          <w:noProof/>
          <w:sz w:val="24"/>
          <w:szCs w:val="24"/>
          <w:lang w:eastAsia="en-GB"/>
        </w:rPr>
        <w:t>5</w:t>
      </w:r>
      <w:r w:rsidRPr="00216999">
        <w:rPr>
          <w:noProof/>
          <w:sz w:val="24"/>
          <w:szCs w:val="24"/>
          <w:lang w:eastAsia="en-GB"/>
        </w:rPr>
        <w:t xml:space="preserve">. </w:t>
      </w:r>
      <w:r w:rsidR="009B7AC6" w:rsidRPr="00216999">
        <w:rPr>
          <w:noProof/>
          <w:sz w:val="24"/>
          <w:szCs w:val="24"/>
          <w:lang w:eastAsia="en-GB"/>
        </w:rPr>
        <w:t>Laten</w:t>
      </w:r>
      <w:r w:rsidRPr="00216999">
        <w:rPr>
          <w:noProof/>
          <w:sz w:val="24"/>
          <w:szCs w:val="24"/>
          <w:lang w:eastAsia="en-GB"/>
        </w:rPr>
        <w:t>c</w:t>
      </w:r>
      <w:r w:rsidR="009B7AC6" w:rsidRPr="00216999">
        <w:rPr>
          <w:noProof/>
          <w:sz w:val="24"/>
          <w:szCs w:val="24"/>
          <w:lang w:eastAsia="en-GB"/>
        </w:rPr>
        <w:t>i</w:t>
      </w:r>
      <w:r w:rsidRPr="00216999">
        <w:rPr>
          <w:noProof/>
          <w:sz w:val="24"/>
          <w:szCs w:val="24"/>
          <w:lang w:eastAsia="en-GB"/>
        </w:rPr>
        <w:t>es for words of different length. Overall reading latencies for words of different length are shown for FOL and CLA at different longitudinal assessments and baseline latencies are shown for their respective matched controls, with estimated upper and lower control confidence intervals.</w:t>
      </w:r>
    </w:p>
    <w:p w:rsidR="00681977" w:rsidRPr="00216999" w:rsidRDefault="005D7690" w:rsidP="00DD37B0">
      <w:pPr>
        <w:contextualSpacing/>
        <w:rPr>
          <w:sz w:val="24"/>
          <w:szCs w:val="24"/>
        </w:rPr>
      </w:pPr>
      <w:r w:rsidRPr="00216999">
        <w:rPr>
          <w:noProof/>
          <w:sz w:val="24"/>
          <w:szCs w:val="24"/>
          <w:lang w:eastAsia="en-GB"/>
        </w:rPr>
        <w:drawing>
          <wp:inline distT="0" distB="0" distL="0" distR="0" wp14:anchorId="1D55A7D5" wp14:editId="7A144595">
            <wp:extent cx="4523740" cy="749236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3740" cy="7492365"/>
                    </a:xfrm>
                    <a:prstGeom prst="rect">
                      <a:avLst/>
                    </a:prstGeom>
                    <a:noFill/>
                  </pic:spPr>
                </pic:pic>
              </a:graphicData>
            </a:graphic>
          </wp:inline>
        </w:drawing>
      </w:r>
    </w:p>
    <w:p w:rsidR="009829FC" w:rsidRPr="00216999" w:rsidRDefault="009829FC" w:rsidP="00DD37B0">
      <w:pPr>
        <w:contextualSpacing/>
        <w:rPr>
          <w:sz w:val="24"/>
          <w:szCs w:val="24"/>
        </w:rPr>
      </w:pPr>
    </w:p>
    <w:p w:rsidR="008A2447" w:rsidRPr="00216999" w:rsidRDefault="00805E96" w:rsidP="00515CEA">
      <w:pPr>
        <w:rPr>
          <w:sz w:val="24"/>
          <w:szCs w:val="24"/>
        </w:rPr>
      </w:pPr>
      <w:r w:rsidRPr="00216999">
        <w:rPr>
          <w:sz w:val="24"/>
          <w:szCs w:val="24"/>
        </w:rPr>
        <w:t xml:space="preserve"> </w:t>
      </w:r>
      <w:r w:rsidR="008A2447" w:rsidRPr="00216999">
        <w:rPr>
          <w:sz w:val="24"/>
          <w:szCs w:val="24"/>
        </w:rPr>
        <w:br w:type="page"/>
      </w:r>
    </w:p>
    <w:p w:rsidR="007B698D" w:rsidRPr="00216999" w:rsidRDefault="007B698D" w:rsidP="0011281D">
      <w:pPr>
        <w:pStyle w:val="ListParagraph"/>
        <w:numPr>
          <w:ilvl w:val="0"/>
          <w:numId w:val="4"/>
        </w:numPr>
        <w:rPr>
          <w:b/>
          <w:sz w:val="24"/>
          <w:szCs w:val="24"/>
          <w:u w:val="single"/>
        </w:rPr>
      </w:pPr>
      <w:r w:rsidRPr="00216999">
        <w:rPr>
          <w:b/>
          <w:sz w:val="24"/>
          <w:szCs w:val="24"/>
          <w:u w:val="single"/>
        </w:rPr>
        <w:t>Discussion</w:t>
      </w:r>
    </w:p>
    <w:p w:rsidR="004A246E" w:rsidRPr="00216999" w:rsidRDefault="007B698D" w:rsidP="007B698D">
      <w:pPr>
        <w:rPr>
          <w:sz w:val="24"/>
          <w:szCs w:val="24"/>
        </w:rPr>
      </w:pPr>
      <w:r w:rsidRPr="00216999">
        <w:rPr>
          <w:sz w:val="24"/>
          <w:szCs w:val="24"/>
        </w:rPr>
        <w:tab/>
        <w:t xml:space="preserve">The current paper </w:t>
      </w:r>
      <w:r w:rsidR="001C4BE0" w:rsidRPr="00216999">
        <w:rPr>
          <w:sz w:val="24"/>
          <w:szCs w:val="24"/>
        </w:rPr>
        <w:t xml:space="preserve">reports a two year follow-up evaluation of the relationship between visual processing and reading ability in </w:t>
      </w:r>
      <w:r w:rsidRPr="00216999">
        <w:rPr>
          <w:sz w:val="24"/>
          <w:szCs w:val="24"/>
        </w:rPr>
        <w:t xml:space="preserve">two PCA patients, FOL and CLA. At </w:t>
      </w:r>
      <w:r w:rsidR="00D21A7B" w:rsidRPr="00216999">
        <w:rPr>
          <w:sz w:val="24"/>
          <w:szCs w:val="24"/>
        </w:rPr>
        <w:t xml:space="preserve">the baseline </w:t>
      </w:r>
      <w:r w:rsidRPr="00216999">
        <w:rPr>
          <w:sz w:val="24"/>
          <w:szCs w:val="24"/>
        </w:rPr>
        <w:t>assessment,</w:t>
      </w:r>
      <w:r w:rsidR="00F039F2" w:rsidRPr="00216999">
        <w:rPr>
          <w:sz w:val="24"/>
          <w:szCs w:val="24"/>
        </w:rPr>
        <w:t xml:space="preserve"> despite showing comprehensive visual impairment,</w:t>
      </w:r>
      <w:r w:rsidRPr="00216999">
        <w:rPr>
          <w:sz w:val="24"/>
          <w:szCs w:val="24"/>
        </w:rPr>
        <w:t xml:space="preserve"> both patients demonstrated remarkably preserved reading ability</w:t>
      </w:r>
      <w:r w:rsidR="00F039F2" w:rsidRPr="00216999">
        <w:rPr>
          <w:sz w:val="24"/>
          <w:szCs w:val="24"/>
        </w:rPr>
        <w:t>, with CLA achieving 100% reading accuracy</w:t>
      </w:r>
      <w:r w:rsidR="00BE0663" w:rsidRPr="00216999">
        <w:rPr>
          <w:sz w:val="24"/>
          <w:szCs w:val="24"/>
        </w:rPr>
        <w:t>.</w:t>
      </w:r>
      <w:r w:rsidR="004A246E" w:rsidRPr="00216999">
        <w:rPr>
          <w:sz w:val="24"/>
          <w:szCs w:val="24"/>
        </w:rPr>
        <w:t xml:space="preserve"> </w:t>
      </w:r>
      <w:r w:rsidR="005D12F6">
        <w:rPr>
          <w:sz w:val="24"/>
          <w:szCs w:val="24"/>
        </w:rPr>
        <w:t>T</w:t>
      </w:r>
      <w:r w:rsidR="00C61688">
        <w:rPr>
          <w:sz w:val="24"/>
          <w:szCs w:val="24"/>
        </w:rPr>
        <w:t>he acuity of both patients was normal to near-normal, and neither patient showed evidence of excessive crowding when naming centrally-presented flanked stimuli</w:t>
      </w:r>
      <w:r w:rsidR="002E39C5" w:rsidRPr="00216999">
        <w:rPr>
          <w:sz w:val="24"/>
          <w:szCs w:val="24"/>
        </w:rPr>
        <w:t>.</w:t>
      </w:r>
      <w:r w:rsidR="00BE0663" w:rsidRPr="00216999">
        <w:rPr>
          <w:sz w:val="24"/>
          <w:szCs w:val="24"/>
        </w:rPr>
        <w:t xml:space="preserve"> On follow-up assessments, while visual acuity remained relatively well-preserved, both patients showed a deterioration in their performance on centrally-presented flanked letter identification tasks, </w:t>
      </w:r>
      <w:r w:rsidR="00F039F2" w:rsidRPr="00216999">
        <w:rPr>
          <w:sz w:val="24"/>
          <w:szCs w:val="24"/>
        </w:rPr>
        <w:t>consistent with the evolution of prominent crowding</w:t>
      </w:r>
      <w:r w:rsidR="004C258F" w:rsidRPr="00216999">
        <w:rPr>
          <w:sz w:val="24"/>
          <w:szCs w:val="24"/>
        </w:rPr>
        <w:t xml:space="preserve"> effects</w:t>
      </w:r>
      <w:r w:rsidR="00BE0663" w:rsidRPr="00216999">
        <w:rPr>
          <w:sz w:val="24"/>
          <w:szCs w:val="24"/>
        </w:rPr>
        <w:t xml:space="preserve">. </w:t>
      </w:r>
      <w:r w:rsidR="00F039F2" w:rsidRPr="00216999">
        <w:rPr>
          <w:sz w:val="24"/>
          <w:szCs w:val="24"/>
        </w:rPr>
        <w:t>Concurrently</w:t>
      </w:r>
      <w:r w:rsidR="00BE0663" w:rsidRPr="00216999">
        <w:rPr>
          <w:sz w:val="24"/>
          <w:szCs w:val="24"/>
        </w:rPr>
        <w:t xml:space="preserve">, both patients’ reading speed declined relative to both their respective baseline performance and their age- and gender-matched control groups. </w:t>
      </w:r>
      <w:r w:rsidR="00F039F2" w:rsidRPr="00216999">
        <w:rPr>
          <w:sz w:val="24"/>
          <w:szCs w:val="24"/>
        </w:rPr>
        <w:t xml:space="preserve">At first follow-up, </w:t>
      </w:r>
      <w:r w:rsidR="00BE0663" w:rsidRPr="00216999">
        <w:rPr>
          <w:sz w:val="24"/>
          <w:szCs w:val="24"/>
        </w:rPr>
        <w:t>CLA was not only slower but also less accurate, making errors on high-frequency words (e.g., FREE</w:t>
      </w:r>
      <w:r w:rsidR="00BE0663" w:rsidRPr="00216999">
        <w:rPr>
          <w:sz w:val="24"/>
          <w:szCs w:val="24"/>
        </w:rPr>
        <w:sym w:font="Wingdings" w:char="F0E0"/>
      </w:r>
      <w:r w:rsidR="00BE0663" w:rsidRPr="00216999">
        <w:rPr>
          <w:sz w:val="24"/>
          <w:szCs w:val="24"/>
        </w:rPr>
        <w:t>TREE, GLOVE</w:t>
      </w:r>
      <w:r w:rsidR="00BE0663" w:rsidRPr="00216999">
        <w:rPr>
          <w:sz w:val="24"/>
          <w:szCs w:val="24"/>
        </w:rPr>
        <w:sym w:font="Wingdings" w:char="F0E0"/>
      </w:r>
      <w:r w:rsidR="00BE0663" w:rsidRPr="00216999">
        <w:rPr>
          <w:sz w:val="24"/>
          <w:szCs w:val="24"/>
        </w:rPr>
        <w:t xml:space="preserve">CLOVE). By second follow-up, reading accuracy for both patients was well below that of controls.  </w:t>
      </w:r>
    </w:p>
    <w:p w:rsidR="00FE18E8" w:rsidRDefault="007957D3" w:rsidP="005C6B1F">
      <w:pPr>
        <w:ind w:firstLine="720"/>
        <w:rPr>
          <w:sz w:val="24"/>
          <w:szCs w:val="24"/>
        </w:rPr>
      </w:pPr>
      <w:r>
        <w:rPr>
          <w:sz w:val="24"/>
          <w:szCs w:val="24"/>
        </w:rPr>
        <w:t>We hypothesised</w:t>
      </w:r>
      <w:r w:rsidR="00D95674">
        <w:rPr>
          <w:sz w:val="24"/>
          <w:szCs w:val="24"/>
        </w:rPr>
        <w:t xml:space="preserve"> that</w:t>
      </w:r>
      <w:r w:rsidR="005008BD">
        <w:rPr>
          <w:sz w:val="24"/>
          <w:szCs w:val="24"/>
        </w:rPr>
        <w:t xml:space="preserve"> a deterioration in reading ability would be accompanied by the emergence of excessive crowding</w:t>
      </w:r>
      <w:r w:rsidR="00F66064">
        <w:rPr>
          <w:sz w:val="24"/>
          <w:szCs w:val="24"/>
        </w:rPr>
        <w:t>,</w:t>
      </w:r>
      <w:r>
        <w:rPr>
          <w:sz w:val="24"/>
          <w:szCs w:val="24"/>
        </w:rPr>
        <w:t xml:space="preserve"> </w:t>
      </w:r>
      <w:r w:rsidR="00F66064">
        <w:rPr>
          <w:sz w:val="24"/>
          <w:szCs w:val="24"/>
        </w:rPr>
        <w:t>manifested through</w:t>
      </w:r>
      <w:r>
        <w:rPr>
          <w:sz w:val="24"/>
          <w:szCs w:val="24"/>
        </w:rPr>
        <w:t xml:space="preserve"> </w:t>
      </w:r>
      <w:r w:rsidR="004022C6">
        <w:rPr>
          <w:sz w:val="24"/>
          <w:szCs w:val="24"/>
        </w:rPr>
        <w:t xml:space="preserve">errors </w:t>
      </w:r>
      <w:r w:rsidR="00F216EA" w:rsidRPr="00216999">
        <w:rPr>
          <w:sz w:val="24"/>
          <w:szCs w:val="24"/>
        </w:rPr>
        <w:t>identif</w:t>
      </w:r>
      <w:r w:rsidR="00F216EA">
        <w:rPr>
          <w:sz w:val="24"/>
          <w:szCs w:val="24"/>
        </w:rPr>
        <w:t xml:space="preserve">ying </w:t>
      </w:r>
      <w:r w:rsidR="004C258F" w:rsidRPr="00216999">
        <w:rPr>
          <w:sz w:val="24"/>
          <w:szCs w:val="24"/>
        </w:rPr>
        <w:t xml:space="preserve">centrally-presented </w:t>
      </w:r>
      <w:r w:rsidR="007B698D" w:rsidRPr="00216999">
        <w:rPr>
          <w:sz w:val="24"/>
          <w:szCs w:val="24"/>
        </w:rPr>
        <w:t xml:space="preserve">letters flanked by letter, shape and number </w:t>
      </w:r>
      <w:r w:rsidR="00653ED9">
        <w:rPr>
          <w:sz w:val="24"/>
          <w:szCs w:val="24"/>
        </w:rPr>
        <w:t>stimuli</w:t>
      </w:r>
      <w:r w:rsidR="00061BD5" w:rsidRPr="00216999">
        <w:rPr>
          <w:sz w:val="24"/>
          <w:szCs w:val="24"/>
        </w:rPr>
        <w:t xml:space="preserve">. </w:t>
      </w:r>
      <w:r w:rsidR="004022C6">
        <w:rPr>
          <w:sz w:val="24"/>
          <w:szCs w:val="24"/>
        </w:rPr>
        <w:t xml:space="preserve">The acuity of both patients was the same at baseline and first follow-up; assuming pupil size did not change, errors naming flanked letters at first follow-up </w:t>
      </w:r>
      <w:r w:rsidR="00727E57">
        <w:rPr>
          <w:sz w:val="24"/>
          <w:szCs w:val="24"/>
        </w:rPr>
        <w:t>would</w:t>
      </w:r>
      <w:r w:rsidR="004022C6">
        <w:rPr>
          <w:sz w:val="24"/>
          <w:szCs w:val="24"/>
        </w:rPr>
        <w:t xml:space="preserve"> not a</w:t>
      </w:r>
      <w:r w:rsidR="00727E57">
        <w:rPr>
          <w:sz w:val="24"/>
          <w:szCs w:val="24"/>
        </w:rPr>
        <w:t>rise as a</w:t>
      </w:r>
      <w:r w:rsidR="004022C6">
        <w:rPr>
          <w:sz w:val="24"/>
          <w:szCs w:val="24"/>
        </w:rPr>
        <w:t xml:space="preserve"> consequence of overlap masking due to poor acuity. </w:t>
      </w:r>
      <w:r w:rsidR="00BE196B">
        <w:rPr>
          <w:sz w:val="24"/>
          <w:szCs w:val="24"/>
        </w:rPr>
        <w:t>C</w:t>
      </w:r>
      <w:r w:rsidR="00BE196B" w:rsidRPr="00216999">
        <w:rPr>
          <w:sz w:val="24"/>
          <w:szCs w:val="24"/>
        </w:rPr>
        <w:t xml:space="preserve">onsistent </w:t>
      </w:r>
      <w:r w:rsidR="007B698D" w:rsidRPr="00216999">
        <w:rPr>
          <w:sz w:val="24"/>
          <w:szCs w:val="24"/>
        </w:rPr>
        <w:t xml:space="preserve">effects of </w:t>
      </w:r>
      <w:r w:rsidR="00C45972" w:rsidRPr="00216999">
        <w:rPr>
          <w:sz w:val="24"/>
          <w:szCs w:val="24"/>
        </w:rPr>
        <w:t>spacing were observed in different flanker conditions</w:t>
      </w:r>
      <w:r w:rsidR="007B698D" w:rsidRPr="00216999">
        <w:rPr>
          <w:sz w:val="24"/>
          <w:szCs w:val="24"/>
        </w:rPr>
        <w:t xml:space="preserve">, with elevated error rates resulting from targets with condensed flankers. This pattern of deficit is </w:t>
      </w:r>
      <w:r w:rsidR="00E56EAF" w:rsidRPr="00216999">
        <w:rPr>
          <w:sz w:val="24"/>
          <w:szCs w:val="24"/>
        </w:rPr>
        <w:t>characteristic</w:t>
      </w:r>
      <w:r w:rsidR="007B698D" w:rsidRPr="00216999">
        <w:rPr>
          <w:sz w:val="24"/>
          <w:szCs w:val="24"/>
        </w:rPr>
        <w:t xml:space="preserve"> of visual crowding, and mirrors flanked letter identification deficits observed in other PCA patients (Crutch &amp; Warrington, 2007a; Crutch &amp; Warrington, 2009</w:t>
      </w:r>
      <w:r w:rsidR="00F82E0E" w:rsidRPr="00216999">
        <w:rPr>
          <w:sz w:val="24"/>
          <w:szCs w:val="24"/>
        </w:rPr>
        <w:t>;</w:t>
      </w:r>
      <w:r w:rsidR="007B698D" w:rsidRPr="00216999">
        <w:rPr>
          <w:sz w:val="24"/>
          <w:szCs w:val="24"/>
        </w:rPr>
        <w:t xml:space="preserve"> Mendez et al</w:t>
      </w:r>
      <w:r w:rsidR="00AB7D73" w:rsidRPr="00216999">
        <w:rPr>
          <w:sz w:val="24"/>
          <w:szCs w:val="24"/>
        </w:rPr>
        <w:t>.,</w:t>
      </w:r>
      <w:r w:rsidR="007B698D" w:rsidRPr="00216999">
        <w:rPr>
          <w:sz w:val="24"/>
          <w:szCs w:val="24"/>
        </w:rPr>
        <w:t xml:space="preserve"> 200</w:t>
      </w:r>
      <w:r w:rsidR="00EA6A9D" w:rsidRPr="00216999">
        <w:rPr>
          <w:sz w:val="24"/>
          <w:szCs w:val="24"/>
        </w:rPr>
        <w:t>7</w:t>
      </w:r>
      <w:r w:rsidR="00E54384">
        <w:rPr>
          <w:sz w:val="24"/>
          <w:szCs w:val="24"/>
        </w:rPr>
        <w:t>; Yong et al., 2014</w:t>
      </w:r>
      <w:r w:rsidR="007B698D" w:rsidRPr="00216999">
        <w:rPr>
          <w:sz w:val="24"/>
          <w:szCs w:val="24"/>
        </w:rPr>
        <w:t xml:space="preserve">). </w:t>
      </w:r>
      <w:r w:rsidR="00BF6085">
        <w:rPr>
          <w:sz w:val="24"/>
          <w:szCs w:val="24"/>
        </w:rPr>
        <w:t xml:space="preserve"> </w:t>
      </w:r>
      <w:r w:rsidR="007B779F">
        <w:rPr>
          <w:sz w:val="24"/>
          <w:szCs w:val="24"/>
        </w:rPr>
        <w:t>A p</w:t>
      </w:r>
      <w:r w:rsidR="00BF6085">
        <w:rPr>
          <w:sz w:val="24"/>
          <w:szCs w:val="24"/>
        </w:rPr>
        <w:t xml:space="preserve">revious eyetracking investigation of other PCA patients identifying the same centrally-presented flanked stimuli </w:t>
      </w:r>
      <w:r w:rsidR="0052584E">
        <w:rPr>
          <w:sz w:val="24"/>
          <w:szCs w:val="24"/>
        </w:rPr>
        <w:t>has suggested</w:t>
      </w:r>
      <w:r w:rsidR="00BF6085">
        <w:rPr>
          <w:sz w:val="24"/>
          <w:szCs w:val="24"/>
        </w:rPr>
        <w:t xml:space="preserve"> that this pattern of deficit arises even when patients are using central vision (Yong et al., 2014</w:t>
      </w:r>
      <w:r w:rsidR="00B465C3">
        <w:rPr>
          <w:sz w:val="24"/>
          <w:szCs w:val="24"/>
        </w:rPr>
        <w:t>a</w:t>
      </w:r>
      <w:r w:rsidR="007B779F">
        <w:rPr>
          <w:sz w:val="24"/>
          <w:szCs w:val="24"/>
        </w:rPr>
        <w:t>, Fig</w:t>
      </w:r>
      <w:r w:rsidR="00B465C3">
        <w:rPr>
          <w:sz w:val="24"/>
          <w:szCs w:val="24"/>
        </w:rPr>
        <w:t>ure 4</w:t>
      </w:r>
      <w:r w:rsidR="00BF6085">
        <w:rPr>
          <w:sz w:val="24"/>
          <w:szCs w:val="24"/>
        </w:rPr>
        <w:t>).</w:t>
      </w:r>
    </w:p>
    <w:p w:rsidR="00F14417" w:rsidRPr="00216999" w:rsidRDefault="006905FB" w:rsidP="007B698D">
      <w:pPr>
        <w:rPr>
          <w:sz w:val="24"/>
          <w:szCs w:val="24"/>
        </w:rPr>
      </w:pPr>
      <w:r w:rsidRPr="00216999">
        <w:rPr>
          <w:sz w:val="24"/>
          <w:szCs w:val="24"/>
        </w:rPr>
        <w:tab/>
      </w:r>
      <w:r w:rsidR="00F14417" w:rsidRPr="00216999">
        <w:rPr>
          <w:sz w:val="24"/>
          <w:szCs w:val="24"/>
        </w:rPr>
        <w:t>Having observed this co-occurrence of progressively diminished reading and heightened crowding</w:t>
      </w:r>
      <w:r w:rsidR="00DE30F2" w:rsidRPr="00216999">
        <w:rPr>
          <w:sz w:val="24"/>
          <w:szCs w:val="24"/>
        </w:rPr>
        <w:t>, what is t</w:t>
      </w:r>
      <w:r w:rsidR="00D50CCA" w:rsidRPr="00216999">
        <w:rPr>
          <w:sz w:val="24"/>
          <w:szCs w:val="24"/>
        </w:rPr>
        <w:t>he nature of the reading impairment in FOL and CLA</w:t>
      </w:r>
      <w:r w:rsidR="000F3BF5" w:rsidRPr="00216999">
        <w:rPr>
          <w:sz w:val="24"/>
          <w:szCs w:val="24"/>
        </w:rPr>
        <w:t>?</w:t>
      </w:r>
      <w:r w:rsidR="00D50CCA" w:rsidRPr="00216999">
        <w:rPr>
          <w:sz w:val="24"/>
          <w:szCs w:val="24"/>
        </w:rPr>
        <w:t xml:space="preserve"> </w:t>
      </w:r>
      <w:r w:rsidR="00AD5F26" w:rsidRPr="00216999">
        <w:rPr>
          <w:sz w:val="24"/>
          <w:szCs w:val="24"/>
        </w:rPr>
        <w:t xml:space="preserve">Poor performance </w:t>
      </w:r>
      <w:r w:rsidR="00AD5F26">
        <w:rPr>
          <w:sz w:val="24"/>
          <w:szCs w:val="24"/>
        </w:rPr>
        <w:t>identifying flanked letter stimuli was</w:t>
      </w:r>
      <w:r w:rsidR="00AD5F26" w:rsidRPr="00216999">
        <w:rPr>
          <w:sz w:val="24"/>
          <w:szCs w:val="24"/>
        </w:rPr>
        <w:t xml:space="preserve"> not more pronounced with letter (i.e. same category) flankers as </w:t>
      </w:r>
      <w:r w:rsidR="001F1730">
        <w:rPr>
          <w:sz w:val="24"/>
          <w:szCs w:val="24"/>
        </w:rPr>
        <w:t>outlined</w:t>
      </w:r>
      <w:r w:rsidR="00AD5F26" w:rsidRPr="00216999">
        <w:rPr>
          <w:sz w:val="24"/>
          <w:szCs w:val="24"/>
        </w:rPr>
        <w:t xml:space="preserve"> </w:t>
      </w:r>
      <w:r w:rsidR="00AD5F26">
        <w:rPr>
          <w:sz w:val="24"/>
          <w:szCs w:val="24"/>
        </w:rPr>
        <w:t>under</w:t>
      </w:r>
      <w:r w:rsidR="00AD5F26" w:rsidRPr="00216999">
        <w:rPr>
          <w:sz w:val="24"/>
          <w:szCs w:val="24"/>
        </w:rPr>
        <w:t xml:space="preserve"> </w:t>
      </w:r>
      <w:r w:rsidR="00AD5F26">
        <w:rPr>
          <w:sz w:val="24"/>
          <w:szCs w:val="24"/>
        </w:rPr>
        <w:t xml:space="preserve">Shallice and Warrington’s definition of </w:t>
      </w:r>
      <w:r w:rsidR="00AD5F26" w:rsidRPr="00216999">
        <w:rPr>
          <w:sz w:val="24"/>
          <w:szCs w:val="24"/>
        </w:rPr>
        <w:t>attentional dyslexia (</w:t>
      </w:r>
      <w:r w:rsidR="00AD5F26">
        <w:rPr>
          <w:sz w:val="24"/>
          <w:szCs w:val="24"/>
        </w:rPr>
        <w:t xml:space="preserve">Shallice &amp; Warrington, 1977; </w:t>
      </w:r>
      <w:r w:rsidR="00AD5F26" w:rsidRPr="00216999">
        <w:rPr>
          <w:sz w:val="24"/>
          <w:szCs w:val="24"/>
        </w:rPr>
        <w:t>Humphreys &amp; Mayall, 2001; Warrington et al., 1993)</w:t>
      </w:r>
      <w:r w:rsidR="00D70F9C">
        <w:rPr>
          <w:sz w:val="24"/>
          <w:szCs w:val="24"/>
        </w:rPr>
        <w:t>.</w:t>
      </w:r>
      <w:r w:rsidR="00AD5F26" w:rsidRPr="00216999">
        <w:rPr>
          <w:sz w:val="24"/>
          <w:szCs w:val="24"/>
        </w:rPr>
        <w:t xml:space="preserve"> </w:t>
      </w:r>
      <w:r w:rsidR="00D70F9C">
        <w:rPr>
          <w:sz w:val="24"/>
          <w:szCs w:val="24"/>
        </w:rPr>
        <w:t>H</w:t>
      </w:r>
      <w:r w:rsidR="00AD5F26">
        <w:rPr>
          <w:sz w:val="24"/>
          <w:szCs w:val="24"/>
        </w:rPr>
        <w:t xml:space="preserve">owever, it is </w:t>
      </w:r>
      <w:r w:rsidR="00D70F9C">
        <w:rPr>
          <w:sz w:val="24"/>
          <w:szCs w:val="24"/>
        </w:rPr>
        <w:t>likely</w:t>
      </w:r>
      <w:r w:rsidR="00AD5F26">
        <w:rPr>
          <w:sz w:val="24"/>
          <w:szCs w:val="24"/>
        </w:rPr>
        <w:t xml:space="preserve"> that deficits in spatial </w:t>
      </w:r>
      <w:r w:rsidR="00D70F9C">
        <w:rPr>
          <w:sz w:val="24"/>
          <w:szCs w:val="24"/>
        </w:rPr>
        <w:t xml:space="preserve">attention impact reading at and above the single word level, given the </w:t>
      </w:r>
      <w:r w:rsidR="00535A92">
        <w:rPr>
          <w:sz w:val="24"/>
          <w:szCs w:val="24"/>
        </w:rPr>
        <w:t xml:space="preserve">relationship between impaired </w:t>
      </w:r>
      <w:r w:rsidR="007D22FC">
        <w:rPr>
          <w:sz w:val="24"/>
          <w:szCs w:val="24"/>
        </w:rPr>
        <w:t xml:space="preserve">visuospatial attention </w:t>
      </w:r>
      <w:r w:rsidR="00535A92">
        <w:rPr>
          <w:sz w:val="24"/>
          <w:szCs w:val="24"/>
        </w:rPr>
        <w:t xml:space="preserve">and reading acquisition </w:t>
      </w:r>
      <w:r w:rsidR="00D70F9C">
        <w:rPr>
          <w:sz w:val="24"/>
          <w:szCs w:val="24"/>
        </w:rPr>
        <w:t>(</w:t>
      </w:r>
      <w:r w:rsidR="00D70F9C" w:rsidRPr="00D70F9C">
        <w:rPr>
          <w:sz w:val="24"/>
          <w:szCs w:val="24"/>
        </w:rPr>
        <w:t>Franceschini et al., 2012</w:t>
      </w:r>
      <w:r w:rsidR="00535A92">
        <w:rPr>
          <w:sz w:val="24"/>
          <w:szCs w:val="24"/>
        </w:rPr>
        <w:t xml:space="preserve">) and how </w:t>
      </w:r>
      <w:r w:rsidR="00A37E7D">
        <w:rPr>
          <w:sz w:val="24"/>
          <w:szCs w:val="24"/>
        </w:rPr>
        <w:t>interventions</w:t>
      </w:r>
      <w:r w:rsidR="00535A92">
        <w:rPr>
          <w:sz w:val="24"/>
          <w:szCs w:val="24"/>
        </w:rPr>
        <w:t xml:space="preserve"> </w:t>
      </w:r>
      <w:r w:rsidR="007D22FC">
        <w:rPr>
          <w:sz w:val="24"/>
          <w:szCs w:val="24"/>
        </w:rPr>
        <w:t xml:space="preserve">which improve spatial cueing performance also result in </w:t>
      </w:r>
      <w:r w:rsidR="00E45AF9">
        <w:rPr>
          <w:sz w:val="24"/>
          <w:szCs w:val="24"/>
        </w:rPr>
        <w:t xml:space="preserve">improved </w:t>
      </w:r>
      <w:r w:rsidR="007D22FC">
        <w:rPr>
          <w:sz w:val="24"/>
          <w:szCs w:val="24"/>
        </w:rPr>
        <w:t xml:space="preserve">text and </w:t>
      </w:r>
      <w:r w:rsidR="0009262D">
        <w:rPr>
          <w:sz w:val="24"/>
          <w:szCs w:val="24"/>
        </w:rPr>
        <w:t>pseudoword</w:t>
      </w:r>
      <w:r w:rsidR="007D22FC">
        <w:rPr>
          <w:sz w:val="24"/>
          <w:szCs w:val="24"/>
        </w:rPr>
        <w:t xml:space="preserve"> reading </w:t>
      </w:r>
      <w:r w:rsidR="00E45AF9">
        <w:rPr>
          <w:sz w:val="24"/>
          <w:szCs w:val="24"/>
        </w:rPr>
        <w:t>in dyslexic children (</w:t>
      </w:r>
      <w:r w:rsidR="00E45AF9" w:rsidRPr="00D70F9C">
        <w:rPr>
          <w:sz w:val="24"/>
          <w:szCs w:val="24"/>
        </w:rPr>
        <w:t xml:space="preserve">Franceschini et al., </w:t>
      </w:r>
      <w:r w:rsidR="00D70F9C" w:rsidRPr="00D70F9C">
        <w:rPr>
          <w:sz w:val="24"/>
          <w:szCs w:val="24"/>
        </w:rPr>
        <w:t>2013</w:t>
      </w:r>
      <w:r w:rsidR="00D70F9C">
        <w:rPr>
          <w:sz w:val="24"/>
          <w:szCs w:val="24"/>
        </w:rPr>
        <w:t>;</w:t>
      </w:r>
      <w:r w:rsidR="00D70F9C" w:rsidRPr="00D70F9C">
        <w:rPr>
          <w:sz w:val="24"/>
          <w:szCs w:val="24"/>
        </w:rPr>
        <w:t xml:space="preserve"> Gori et al., in press</w:t>
      </w:r>
      <w:r w:rsidR="00D70F9C">
        <w:rPr>
          <w:sz w:val="24"/>
          <w:szCs w:val="24"/>
        </w:rPr>
        <w:t>).</w:t>
      </w:r>
      <w:r w:rsidR="00D70F9C" w:rsidRPr="00D70F9C">
        <w:rPr>
          <w:sz w:val="24"/>
          <w:szCs w:val="24"/>
        </w:rPr>
        <w:t xml:space="preserve"> </w:t>
      </w:r>
      <w:r w:rsidR="00B5610D" w:rsidRPr="00216999">
        <w:rPr>
          <w:sz w:val="24"/>
          <w:szCs w:val="24"/>
        </w:rPr>
        <w:t>Visual errors</w:t>
      </w:r>
      <w:r w:rsidR="000F3BF5" w:rsidRPr="00216999">
        <w:rPr>
          <w:sz w:val="24"/>
          <w:szCs w:val="24"/>
        </w:rPr>
        <w:t xml:space="preserve"> </w:t>
      </w:r>
      <w:r w:rsidR="00DA730C" w:rsidRPr="00216999">
        <w:rPr>
          <w:sz w:val="24"/>
          <w:szCs w:val="24"/>
        </w:rPr>
        <w:t>comprised</w:t>
      </w:r>
      <w:r w:rsidR="00B5610D" w:rsidRPr="00216999">
        <w:rPr>
          <w:sz w:val="24"/>
          <w:szCs w:val="24"/>
        </w:rPr>
        <w:t xml:space="preserve"> the majority of both patients’ reading error responses, consistent with</w:t>
      </w:r>
      <w:r w:rsidR="000F3BF5" w:rsidRPr="00216999">
        <w:rPr>
          <w:sz w:val="24"/>
          <w:szCs w:val="24"/>
        </w:rPr>
        <w:t xml:space="preserve"> previous </w:t>
      </w:r>
      <w:r w:rsidR="00CC3194" w:rsidRPr="00216999">
        <w:rPr>
          <w:sz w:val="24"/>
          <w:szCs w:val="24"/>
        </w:rPr>
        <w:t xml:space="preserve">studies attributing </w:t>
      </w:r>
      <w:r w:rsidR="00DA730C" w:rsidRPr="00216999">
        <w:rPr>
          <w:sz w:val="24"/>
          <w:szCs w:val="24"/>
        </w:rPr>
        <w:t>acquired dyslexia</w:t>
      </w:r>
      <w:r w:rsidR="00CC3194" w:rsidRPr="00216999">
        <w:rPr>
          <w:sz w:val="24"/>
          <w:szCs w:val="24"/>
        </w:rPr>
        <w:t xml:space="preserve"> to excessive crowding (Crutch &amp; Warrington, 2009)</w:t>
      </w:r>
      <w:r w:rsidR="0027136E" w:rsidRPr="00216999">
        <w:rPr>
          <w:sz w:val="24"/>
          <w:szCs w:val="24"/>
        </w:rPr>
        <w:t xml:space="preserve">. </w:t>
      </w:r>
      <w:r w:rsidR="00280368" w:rsidRPr="00216999">
        <w:rPr>
          <w:sz w:val="24"/>
          <w:szCs w:val="24"/>
        </w:rPr>
        <w:t>Neither</w:t>
      </w:r>
      <w:r w:rsidR="0027136E" w:rsidRPr="00216999">
        <w:rPr>
          <w:sz w:val="24"/>
          <w:szCs w:val="24"/>
        </w:rPr>
        <w:t xml:space="preserve"> patient showed an effect of letter confusability </w:t>
      </w:r>
      <w:r w:rsidR="00280368" w:rsidRPr="00216999">
        <w:rPr>
          <w:sz w:val="24"/>
          <w:szCs w:val="24"/>
        </w:rPr>
        <w:t>on their reading ability</w:t>
      </w:r>
      <w:r w:rsidR="00B274FB" w:rsidRPr="00216999">
        <w:rPr>
          <w:sz w:val="24"/>
          <w:szCs w:val="24"/>
        </w:rPr>
        <w:t xml:space="preserve">; such an effect </w:t>
      </w:r>
      <w:r w:rsidR="00280368" w:rsidRPr="00216999">
        <w:rPr>
          <w:sz w:val="24"/>
          <w:szCs w:val="24"/>
        </w:rPr>
        <w:t xml:space="preserve">might be expected given how visual similarity modulates the expression of crowding. </w:t>
      </w:r>
      <w:r w:rsidR="009F091B" w:rsidRPr="00216999">
        <w:rPr>
          <w:sz w:val="24"/>
          <w:szCs w:val="24"/>
        </w:rPr>
        <w:t xml:space="preserve">Both FOL and CLA </w:t>
      </w:r>
      <w:r w:rsidRPr="00216999">
        <w:rPr>
          <w:sz w:val="24"/>
          <w:szCs w:val="24"/>
        </w:rPr>
        <w:t xml:space="preserve">showed poorer </w:t>
      </w:r>
      <w:r w:rsidR="00D50CCA" w:rsidRPr="00216999">
        <w:rPr>
          <w:sz w:val="24"/>
          <w:szCs w:val="24"/>
        </w:rPr>
        <w:t xml:space="preserve">reading </w:t>
      </w:r>
      <w:r w:rsidRPr="00216999">
        <w:rPr>
          <w:sz w:val="24"/>
          <w:szCs w:val="24"/>
        </w:rPr>
        <w:t>accuracy for longer words</w:t>
      </w:r>
      <w:r w:rsidR="009F091B" w:rsidRPr="00216999">
        <w:rPr>
          <w:sz w:val="24"/>
          <w:szCs w:val="24"/>
        </w:rPr>
        <w:t xml:space="preserve">; this effect </w:t>
      </w:r>
      <w:r w:rsidR="00F73C1D" w:rsidRPr="00216999">
        <w:rPr>
          <w:sz w:val="24"/>
          <w:szCs w:val="24"/>
        </w:rPr>
        <w:t>may be a result of increased numbers of letters exhibiting greater inhibitory flanker effects on parallel letter identification (</w:t>
      </w:r>
      <w:r w:rsidR="00B66254" w:rsidRPr="00216999">
        <w:rPr>
          <w:sz w:val="24"/>
          <w:szCs w:val="24"/>
        </w:rPr>
        <w:t>Chanceaux &amp; Grainger, 2013</w:t>
      </w:r>
      <w:r w:rsidR="00F73C1D" w:rsidRPr="00216999">
        <w:rPr>
          <w:sz w:val="24"/>
          <w:szCs w:val="24"/>
        </w:rPr>
        <w:t xml:space="preserve">). </w:t>
      </w:r>
      <w:r w:rsidR="00616F15" w:rsidRPr="00216999">
        <w:rPr>
          <w:sz w:val="24"/>
          <w:szCs w:val="24"/>
        </w:rPr>
        <w:t xml:space="preserve">In terms of reading speed, </w:t>
      </w:r>
      <w:r w:rsidR="00162D46" w:rsidRPr="00216999">
        <w:rPr>
          <w:sz w:val="24"/>
          <w:szCs w:val="24"/>
        </w:rPr>
        <w:t>FOL</w:t>
      </w:r>
      <w:r w:rsidR="00FD01FF" w:rsidRPr="00216999">
        <w:rPr>
          <w:sz w:val="24"/>
          <w:szCs w:val="24"/>
        </w:rPr>
        <w:t xml:space="preserve"> showed not only poorer accuracy, but also slower reading speed for longer words; this length effect was more prominent at second follow-up. The “shrinking visual span hypothesis” (Legge et al., 1997) proposes </w:t>
      </w:r>
      <w:r w:rsidR="00017371" w:rsidRPr="00216999">
        <w:rPr>
          <w:sz w:val="24"/>
          <w:szCs w:val="24"/>
        </w:rPr>
        <w:t xml:space="preserve">length effects on reading latency might arise with </w:t>
      </w:r>
      <w:r w:rsidR="00FD01FF" w:rsidRPr="00216999">
        <w:rPr>
          <w:sz w:val="24"/>
          <w:szCs w:val="24"/>
        </w:rPr>
        <w:t>words whose lengths exceed the size of the visual span</w:t>
      </w:r>
      <w:r w:rsidR="00017371" w:rsidRPr="00216999">
        <w:rPr>
          <w:sz w:val="24"/>
          <w:szCs w:val="24"/>
        </w:rPr>
        <w:t>, due to increased</w:t>
      </w:r>
      <w:r w:rsidR="00FD01FF" w:rsidRPr="00216999">
        <w:rPr>
          <w:sz w:val="24"/>
          <w:szCs w:val="24"/>
        </w:rPr>
        <w:t xml:space="preserve"> demand</w:t>
      </w:r>
      <w:r w:rsidR="00017371" w:rsidRPr="00216999">
        <w:rPr>
          <w:sz w:val="24"/>
          <w:szCs w:val="24"/>
        </w:rPr>
        <w:t>s in the number of fixations</w:t>
      </w:r>
      <w:r w:rsidR="00FD01FF" w:rsidRPr="00216999">
        <w:rPr>
          <w:sz w:val="24"/>
          <w:szCs w:val="24"/>
        </w:rPr>
        <w:t>.</w:t>
      </w:r>
      <w:r w:rsidR="00017371" w:rsidRPr="00216999">
        <w:rPr>
          <w:sz w:val="24"/>
          <w:szCs w:val="24"/>
        </w:rPr>
        <w:t xml:space="preserve"> </w:t>
      </w:r>
      <w:r w:rsidR="00D74222" w:rsidRPr="00216999">
        <w:rPr>
          <w:sz w:val="24"/>
          <w:szCs w:val="24"/>
        </w:rPr>
        <w:t xml:space="preserve">Excessive crowding would likely exacerbate such demands by reducing the visual span (see Pelli et al., 2007); however, such a reduction could also arise from a restriction in the effective field of vision which has been found to contribute to PCA patients’ diminished ability to recognise large rather than small pictures, words and letters (Saffran et al., 1990; </w:t>
      </w:r>
      <w:r w:rsidR="00666EBE">
        <w:rPr>
          <w:sz w:val="24"/>
          <w:szCs w:val="24"/>
        </w:rPr>
        <w:t xml:space="preserve">Kartsounis et al., 1991; </w:t>
      </w:r>
      <w:r w:rsidR="00D74222" w:rsidRPr="00216999">
        <w:rPr>
          <w:sz w:val="24"/>
          <w:szCs w:val="24"/>
        </w:rPr>
        <w:t>Coslett et al., 1995; Stark et al., 1997; Crutch et al., 2011; Yong et al., 2014</w:t>
      </w:r>
      <w:r w:rsidR="00B465C3">
        <w:rPr>
          <w:sz w:val="24"/>
          <w:szCs w:val="24"/>
        </w:rPr>
        <w:t>b</w:t>
      </w:r>
      <w:r w:rsidR="00D74222" w:rsidRPr="00216999">
        <w:rPr>
          <w:sz w:val="24"/>
          <w:szCs w:val="24"/>
        </w:rPr>
        <w:t>).</w:t>
      </w:r>
    </w:p>
    <w:p w:rsidR="006D49C9" w:rsidRPr="00216999" w:rsidRDefault="006D49C9" w:rsidP="002679F8">
      <w:pPr>
        <w:rPr>
          <w:sz w:val="24"/>
          <w:szCs w:val="24"/>
        </w:rPr>
      </w:pPr>
      <w:r w:rsidRPr="00216999">
        <w:rPr>
          <w:sz w:val="24"/>
          <w:szCs w:val="24"/>
        </w:rPr>
        <w:tab/>
        <w:t xml:space="preserve">Variations in patterns of reading performance between </w:t>
      </w:r>
      <w:r w:rsidR="00300488" w:rsidRPr="00216999">
        <w:rPr>
          <w:sz w:val="24"/>
          <w:szCs w:val="24"/>
        </w:rPr>
        <w:t xml:space="preserve">the two </w:t>
      </w:r>
      <w:r w:rsidRPr="00216999">
        <w:rPr>
          <w:sz w:val="24"/>
          <w:szCs w:val="24"/>
        </w:rPr>
        <w:t xml:space="preserve">patients may relate to differences in the quality of crowding effects between FOL and CLA. </w:t>
      </w:r>
      <w:r w:rsidR="00E7530D" w:rsidRPr="00216999">
        <w:rPr>
          <w:sz w:val="24"/>
          <w:szCs w:val="24"/>
        </w:rPr>
        <w:t xml:space="preserve">Assessment of reading ability identified how a greater proportion of FOL’s error responses featured letter deletions; in contrast, a greater proportion of CLA’s error responses featured letter additions. Assessment of crowding identified how a </w:t>
      </w:r>
      <w:r w:rsidRPr="00216999">
        <w:rPr>
          <w:sz w:val="24"/>
          <w:szCs w:val="24"/>
        </w:rPr>
        <w:t>greater proportion of FOL’s errors ar</w:t>
      </w:r>
      <w:r w:rsidR="00300488" w:rsidRPr="00216999">
        <w:rPr>
          <w:sz w:val="24"/>
          <w:szCs w:val="24"/>
        </w:rPr>
        <w:t>o</w:t>
      </w:r>
      <w:r w:rsidRPr="00216999">
        <w:rPr>
          <w:sz w:val="24"/>
          <w:szCs w:val="24"/>
        </w:rPr>
        <w:t>se from her being unable to provide a response to target stimuli, while CLA show</w:t>
      </w:r>
      <w:r w:rsidR="00300488" w:rsidRPr="00216999">
        <w:rPr>
          <w:sz w:val="24"/>
          <w:szCs w:val="24"/>
        </w:rPr>
        <w:t>ed</w:t>
      </w:r>
      <w:r w:rsidRPr="00216999">
        <w:rPr>
          <w:sz w:val="24"/>
          <w:szCs w:val="24"/>
        </w:rPr>
        <w:t xml:space="preserve"> a greater tendency towards making error responses that name</w:t>
      </w:r>
      <w:r w:rsidR="00300488" w:rsidRPr="00216999">
        <w:rPr>
          <w:sz w:val="24"/>
          <w:szCs w:val="24"/>
        </w:rPr>
        <w:t>d</w:t>
      </w:r>
      <w:r w:rsidRPr="00216999">
        <w:rPr>
          <w:sz w:val="24"/>
          <w:szCs w:val="24"/>
        </w:rPr>
        <w:t xml:space="preserve"> neither the target nor flanker. If flanked letter identification errors arise from competition between feature detectors, as proposed in lateral masking accounts (Townsend et al., 1971; Wolford &amp; Chambers, 1984), crowding may limit letter detection as well as identification (Parkes et al., 2001; Pelli et al., 2004). </w:t>
      </w:r>
      <w:r w:rsidR="00300488" w:rsidRPr="00216999">
        <w:rPr>
          <w:sz w:val="24"/>
          <w:szCs w:val="24"/>
        </w:rPr>
        <w:t>By contrast, f</w:t>
      </w:r>
      <w:r w:rsidRPr="00216999">
        <w:rPr>
          <w:sz w:val="24"/>
          <w:szCs w:val="24"/>
        </w:rPr>
        <w:t xml:space="preserve">eature integration accounts suggest pooling of information over multiple features of flanker and target stimuli, inhibiting identification but not detection (Pelli et al., 2004; Greenwood et al., 2010). </w:t>
      </w:r>
      <w:r w:rsidR="001257CF" w:rsidRPr="00216999">
        <w:rPr>
          <w:sz w:val="24"/>
          <w:szCs w:val="24"/>
        </w:rPr>
        <w:t xml:space="preserve">In the context of a two-stage model of crowding (Levi, 2008), </w:t>
      </w:r>
      <w:r w:rsidRPr="00216999">
        <w:rPr>
          <w:sz w:val="24"/>
          <w:szCs w:val="24"/>
        </w:rPr>
        <w:t xml:space="preserve">FOL’s lack of responses may reflect a low-level deficit in feature </w:t>
      </w:r>
      <w:r w:rsidR="007B1FF0" w:rsidRPr="00216999">
        <w:rPr>
          <w:sz w:val="24"/>
          <w:szCs w:val="24"/>
        </w:rPr>
        <w:t>detection</w:t>
      </w:r>
      <w:r w:rsidRPr="00216999">
        <w:rPr>
          <w:sz w:val="24"/>
          <w:szCs w:val="24"/>
        </w:rPr>
        <w:t xml:space="preserve">, whereas CLA’s error responses may stem from a higher-level deficit of excessive integration between features of target and flanker stimuli. </w:t>
      </w:r>
      <w:r w:rsidR="00D33B4E" w:rsidRPr="00216999">
        <w:rPr>
          <w:sz w:val="24"/>
          <w:szCs w:val="24"/>
        </w:rPr>
        <w:t>Whilst we cannot know the current distribution of pathology in our patients in sufficient detail, crowding as a failure of feature detection in FOL would predict greater pathological involvement of the striate cortex, while crowding as a consequence of excessive feature integration in CLA would predict disproportionate involvement of the extrastriate cortex.</w:t>
      </w:r>
    </w:p>
    <w:p w:rsidR="00D56521" w:rsidRDefault="003B20B8" w:rsidP="001D0EEB">
      <w:pPr>
        <w:rPr>
          <w:sz w:val="24"/>
          <w:szCs w:val="24"/>
        </w:rPr>
      </w:pPr>
      <w:r w:rsidRPr="00216999">
        <w:rPr>
          <w:sz w:val="24"/>
          <w:szCs w:val="24"/>
        </w:rPr>
        <w:tab/>
      </w:r>
      <w:r w:rsidR="00D33B4E" w:rsidRPr="00216999">
        <w:rPr>
          <w:sz w:val="24"/>
          <w:szCs w:val="24"/>
        </w:rPr>
        <w:t xml:space="preserve">In our previous investigation, </w:t>
      </w:r>
      <w:r w:rsidR="006829BF" w:rsidRPr="00216999">
        <w:rPr>
          <w:sz w:val="24"/>
          <w:szCs w:val="24"/>
        </w:rPr>
        <w:t xml:space="preserve">we proposed that efficient reading in both patients was </w:t>
      </w:r>
      <w:r w:rsidRPr="00216999">
        <w:rPr>
          <w:sz w:val="24"/>
          <w:szCs w:val="24"/>
        </w:rPr>
        <w:t xml:space="preserve">a consequence of preserved word form/parallel letter processing, </w:t>
      </w:r>
      <w:r w:rsidR="006829BF" w:rsidRPr="00216999">
        <w:rPr>
          <w:sz w:val="24"/>
          <w:szCs w:val="24"/>
        </w:rPr>
        <w:t xml:space="preserve">maintained by the integrity of early aspects of the visual system (as suggested by strong performance on tests of visual acuity), the VWFA and interconnecting projections. In the current investigation, while both patients showed diffuse brain atrophy, we </w:t>
      </w:r>
      <w:r w:rsidR="008C7ACD" w:rsidRPr="00216999">
        <w:rPr>
          <w:sz w:val="24"/>
          <w:szCs w:val="24"/>
        </w:rPr>
        <w:t>continue</w:t>
      </w:r>
      <w:r w:rsidR="00841FEA" w:rsidRPr="00216999">
        <w:rPr>
          <w:sz w:val="24"/>
          <w:szCs w:val="24"/>
        </w:rPr>
        <w:t xml:space="preserve"> to argue</w:t>
      </w:r>
      <w:r w:rsidR="006829BF" w:rsidRPr="00216999">
        <w:rPr>
          <w:sz w:val="24"/>
          <w:szCs w:val="24"/>
        </w:rPr>
        <w:t xml:space="preserve"> for the relative preservation of the region corresponding to the VWFA at subsequent assessment. Given the dissociation between crowding and acuity (Song et al., 2014), even the </w:t>
      </w:r>
      <w:r w:rsidR="0047663F" w:rsidRPr="00216999">
        <w:rPr>
          <w:sz w:val="24"/>
          <w:szCs w:val="24"/>
        </w:rPr>
        <w:t>sustained</w:t>
      </w:r>
      <w:r w:rsidR="006829BF" w:rsidRPr="00216999">
        <w:rPr>
          <w:sz w:val="24"/>
          <w:szCs w:val="24"/>
        </w:rPr>
        <w:t xml:space="preserve"> efficacy of both the early visual system and the VWFA might be undermined by enhanced crowding and any accompanying occipital atrophy. However, </w:t>
      </w:r>
      <w:r w:rsidR="00841FEA" w:rsidRPr="00216999">
        <w:rPr>
          <w:sz w:val="24"/>
          <w:szCs w:val="24"/>
        </w:rPr>
        <w:t>we</w:t>
      </w:r>
      <w:r w:rsidR="00C00E87" w:rsidRPr="00216999">
        <w:rPr>
          <w:sz w:val="24"/>
          <w:szCs w:val="24"/>
        </w:rPr>
        <w:t xml:space="preserve"> cannot conclusively rule out</w:t>
      </w:r>
      <w:r w:rsidRPr="00216999">
        <w:rPr>
          <w:sz w:val="24"/>
          <w:szCs w:val="24"/>
        </w:rPr>
        <w:t xml:space="preserve"> the possibility that disease progression may have </w:t>
      </w:r>
      <w:r w:rsidR="00E03C74" w:rsidRPr="00216999">
        <w:rPr>
          <w:sz w:val="24"/>
          <w:szCs w:val="24"/>
        </w:rPr>
        <w:t xml:space="preserve">also </w:t>
      </w:r>
      <w:r w:rsidRPr="00216999">
        <w:rPr>
          <w:sz w:val="24"/>
          <w:szCs w:val="24"/>
        </w:rPr>
        <w:t xml:space="preserve">compromised the structural integrity of the early visual system, </w:t>
      </w:r>
      <w:r w:rsidR="00DB248D" w:rsidRPr="00216999">
        <w:rPr>
          <w:sz w:val="24"/>
          <w:szCs w:val="24"/>
        </w:rPr>
        <w:t>projections</w:t>
      </w:r>
      <w:r w:rsidRPr="00216999">
        <w:rPr>
          <w:sz w:val="24"/>
          <w:szCs w:val="24"/>
        </w:rPr>
        <w:t xml:space="preserve"> to the VWFA or the VWFA itself</w:t>
      </w:r>
      <w:r w:rsidR="00841FEA" w:rsidRPr="00216999">
        <w:rPr>
          <w:sz w:val="24"/>
          <w:szCs w:val="24"/>
        </w:rPr>
        <w:t xml:space="preserve"> based on imaging data from these two patients</w:t>
      </w:r>
      <w:r w:rsidR="00731394" w:rsidRPr="00216999">
        <w:rPr>
          <w:sz w:val="24"/>
          <w:szCs w:val="24"/>
        </w:rPr>
        <w:t>.</w:t>
      </w:r>
      <w:r w:rsidR="00841FEA" w:rsidRPr="00216999">
        <w:rPr>
          <w:sz w:val="24"/>
          <w:szCs w:val="24"/>
        </w:rPr>
        <w:t xml:space="preserve"> </w:t>
      </w:r>
      <w:r w:rsidR="00731394" w:rsidRPr="00216999">
        <w:rPr>
          <w:sz w:val="24"/>
          <w:szCs w:val="24"/>
        </w:rPr>
        <w:t>S</w:t>
      </w:r>
      <w:r w:rsidR="00412DBB" w:rsidRPr="00216999">
        <w:rPr>
          <w:sz w:val="24"/>
          <w:szCs w:val="24"/>
        </w:rPr>
        <w:t>uch</w:t>
      </w:r>
      <w:r w:rsidR="00841FEA" w:rsidRPr="00216999">
        <w:rPr>
          <w:sz w:val="24"/>
          <w:szCs w:val="24"/>
        </w:rPr>
        <w:t xml:space="preserve"> </w:t>
      </w:r>
      <w:r w:rsidRPr="00216999">
        <w:rPr>
          <w:sz w:val="24"/>
          <w:szCs w:val="24"/>
        </w:rPr>
        <w:t xml:space="preserve">interpretations would </w:t>
      </w:r>
      <w:r w:rsidR="00731394" w:rsidRPr="00216999">
        <w:rPr>
          <w:sz w:val="24"/>
          <w:szCs w:val="24"/>
        </w:rPr>
        <w:t>predict</w:t>
      </w:r>
      <w:r w:rsidR="00DB248D" w:rsidRPr="00216999">
        <w:rPr>
          <w:sz w:val="24"/>
          <w:szCs w:val="24"/>
        </w:rPr>
        <w:t xml:space="preserve"> </w:t>
      </w:r>
      <w:r w:rsidR="00731394" w:rsidRPr="00216999">
        <w:rPr>
          <w:sz w:val="24"/>
          <w:szCs w:val="24"/>
        </w:rPr>
        <w:t xml:space="preserve">that </w:t>
      </w:r>
      <w:r w:rsidR="00DB248D" w:rsidRPr="00216999">
        <w:rPr>
          <w:sz w:val="24"/>
          <w:szCs w:val="24"/>
        </w:rPr>
        <w:t>constraint</w:t>
      </w:r>
      <w:r w:rsidR="00731394" w:rsidRPr="00216999">
        <w:rPr>
          <w:sz w:val="24"/>
          <w:szCs w:val="24"/>
        </w:rPr>
        <w:t>s</w:t>
      </w:r>
      <w:r w:rsidR="00DB248D" w:rsidRPr="00216999">
        <w:rPr>
          <w:sz w:val="24"/>
          <w:szCs w:val="24"/>
        </w:rPr>
        <w:t xml:space="preserve"> on</w:t>
      </w:r>
      <w:r w:rsidR="004067C3" w:rsidRPr="00216999">
        <w:rPr>
          <w:sz w:val="24"/>
          <w:szCs w:val="24"/>
        </w:rPr>
        <w:t xml:space="preserve"> basic</w:t>
      </w:r>
      <w:r w:rsidR="00DB248D" w:rsidRPr="00216999">
        <w:rPr>
          <w:sz w:val="24"/>
          <w:szCs w:val="24"/>
        </w:rPr>
        <w:t xml:space="preserve"> </w:t>
      </w:r>
      <w:r w:rsidR="004067C3" w:rsidRPr="00216999">
        <w:rPr>
          <w:sz w:val="24"/>
          <w:szCs w:val="24"/>
        </w:rPr>
        <w:t xml:space="preserve">visual input or </w:t>
      </w:r>
      <w:r w:rsidR="00DB248D" w:rsidRPr="00216999">
        <w:rPr>
          <w:sz w:val="24"/>
          <w:szCs w:val="24"/>
        </w:rPr>
        <w:t>disruption to orthographic processing</w:t>
      </w:r>
      <w:r w:rsidR="00731394" w:rsidRPr="00216999">
        <w:rPr>
          <w:sz w:val="24"/>
          <w:szCs w:val="24"/>
        </w:rPr>
        <w:t xml:space="preserve"> would </w:t>
      </w:r>
      <w:r w:rsidR="00DC08A5" w:rsidRPr="00216999">
        <w:rPr>
          <w:sz w:val="24"/>
          <w:szCs w:val="24"/>
        </w:rPr>
        <w:t xml:space="preserve">contribute to </w:t>
      </w:r>
      <w:r w:rsidR="00731394" w:rsidRPr="00216999">
        <w:rPr>
          <w:sz w:val="24"/>
          <w:szCs w:val="24"/>
        </w:rPr>
        <w:t xml:space="preserve">FOL and CLA’s </w:t>
      </w:r>
      <w:r w:rsidR="004067C3" w:rsidRPr="00216999">
        <w:rPr>
          <w:sz w:val="24"/>
          <w:szCs w:val="24"/>
        </w:rPr>
        <w:t>reading impairment</w:t>
      </w:r>
      <w:r w:rsidR="00731394" w:rsidRPr="00216999">
        <w:rPr>
          <w:sz w:val="24"/>
          <w:szCs w:val="24"/>
        </w:rPr>
        <w:t>.</w:t>
      </w:r>
      <w:r w:rsidR="00DB248D" w:rsidRPr="00216999">
        <w:rPr>
          <w:sz w:val="24"/>
          <w:szCs w:val="24"/>
        </w:rPr>
        <w:t xml:space="preserve"> </w:t>
      </w:r>
      <w:r w:rsidR="007D51EE" w:rsidRPr="00216999">
        <w:rPr>
          <w:sz w:val="24"/>
          <w:szCs w:val="24"/>
        </w:rPr>
        <w:t>However, such interpretations might also predict effects of word</w:t>
      </w:r>
      <w:r w:rsidR="002A48E2">
        <w:rPr>
          <w:sz w:val="24"/>
          <w:szCs w:val="24"/>
        </w:rPr>
        <w:t xml:space="preserve"> length</w:t>
      </w:r>
      <w:r w:rsidR="007D51EE" w:rsidRPr="00216999">
        <w:rPr>
          <w:sz w:val="24"/>
          <w:szCs w:val="24"/>
        </w:rPr>
        <w:t xml:space="preserve"> on reading latency consistent with previous reports of LBL readers (Mycroft et al., 2009); this notion receives little to no support from FOL and CLA’s reading ability.</w:t>
      </w:r>
      <w:r w:rsidR="00BE196B">
        <w:rPr>
          <w:sz w:val="24"/>
          <w:szCs w:val="24"/>
        </w:rPr>
        <w:t xml:space="preserve"> </w:t>
      </w:r>
    </w:p>
    <w:p w:rsidR="00AD5F26" w:rsidRDefault="002926C1" w:rsidP="001D0EEB">
      <w:pPr>
        <w:rPr>
          <w:sz w:val="24"/>
          <w:szCs w:val="24"/>
        </w:rPr>
      </w:pPr>
      <w:r>
        <w:rPr>
          <w:sz w:val="24"/>
          <w:szCs w:val="24"/>
        </w:rPr>
        <w:tab/>
        <w:t>There were several methodological limitations to the current investigation</w:t>
      </w:r>
      <w:r w:rsidR="001C5B6D">
        <w:rPr>
          <w:sz w:val="24"/>
          <w:szCs w:val="24"/>
        </w:rPr>
        <w:t xml:space="preserve">. </w:t>
      </w:r>
      <w:r w:rsidR="00295ED2">
        <w:rPr>
          <w:sz w:val="24"/>
          <w:szCs w:val="24"/>
        </w:rPr>
        <w:t>Each assessment used f</w:t>
      </w:r>
      <w:r w:rsidR="00E75075">
        <w:rPr>
          <w:sz w:val="24"/>
          <w:szCs w:val="24"/>
        </w:rPr>
        <w:t>ixation bo</w:t>
      </w:r>
      <w:r w:rsidR="00295ED2">
        <w:rPr>
          <w:sz w:val="24"/>
          <w:szCs w:val="24"/>
        </w:rPr>
        <w:t>xes</w:t>
      </w:r>
      <w:r w:rsidR="00E75075">
        <w:rPr>
          <w:sz w:val="24"/>
          <w:szCs w:val="24"/>
        </w:rPr>
        <w:t xml:space="preserve"> to support effective localisation of crowding stimuli, given both patients’ deficits in visuospatial function. </w:t>
      </w:r>
      <w:r w:rsidR="006D3DCE">
        <w:rPr>
          <w:sz w:val="24"/>
          <w:szCs w:val="24"/>
        </w:rPr>
        <w:t xml:space="preserve">However, the fixation box </w:t>
      </w:r>
      <w:r w:rsidR="001C5B6D">
        <w:rPr>
          <w:sz w:val="24"/>
          <w:szCs w:val="24"/>
        </w:rPr>
        <w:t xml:space="preserve">may have exhibited crowding effects on flanked and unflanked stimuli, </w:t>
      </w:r>
      <w:r w:rsidR="00AB316A">
        <w:rPr>
          <w:sz w:val="24"/>
          <w:szCs w:val="24"/>
        </w:rPr>
        <w:t>and the varying width of the fixation box between flanked and unflanked conditions</w:t>
      </w:r>
      <w:r w:rsidR="0095342B">
        <w:rPr>
          <w:sz w:val="24"/>
          <w:szCs w:val="24"/>
        </w:rPr>
        <w:t xml:space="preserve"> may have created a potential confound. </w:t>
      </w:r>
      <w:r w:rsidR="002A48E2">
        <w:rPr>
          <w:sz w:val="24"/>
          <w:szCs w:val="24"/>
        </w:rPr>
        <w:t>However</w:t>
      </w:r>
      <w:r w:rsidR="0095342B">
        <w:rPr>
          <w:sz w:val="24"/>
          <w:szCs w:val="24"/>
        </w:rPr>
        <w:t xml:space="preserve">, neither FOL nor CLA made </w:t>
      </w:r>
      <w:r w:rsidR="00D0259C">
        <w:rPr>
          <w:sz w:val="24"/>
          <w:szCs w:val="24"/>
        </w:rPr>
        <w:t xml:space="preserve">errors naming unflanked letters. </w:t>
      </w:r>
      <w:r w:rsidR="00D12B7C">
        <w:rPr>
          <w:sz w:val="24"/>
          <w:szCs w:val="24"/>
        </w:rPr>
        <w:t xml:space="preserve">We advise that future investigations consider potential crowding effects exhibited by </w:t>
      </w:r>
      <w:r w:rsidR="006D3DCE">
        <w:rPr>
          <w:sz w:val="24"/>
          <w:szCs w:val="24"/>
        </w:rPr>
        <w:t>this presentation method</w:t>
      </w:r>
      <w:r w:rsidR="00D12B7C">
        <w:rPr>
          <w:sz w:val="24"/>
          <w:szCs w:val="24"/>
        </w:rPr>
        <w:t>; such effects may be mitigated using fixation cues positioned at greater eccentricities and/or of opposite polarity contrast to stimuli (Yong et al., 2015; Kooi et al., 1994).</w:t>
      </w:r>
      <w:r>
        <w:rPr>
          <w:sz w:val="24"/>
          <w:szCs w:val="24"/>
        </w:rPr>
        <w:t xml:space="preserve"> Reading corpora featured words in </w:t>
      </w:r>
      <w:r w:rsidR="00D161E2">
        <w:rPr>
          <w:sz w:val="24"/>
          <w:szCs w:val="24"/>
        </w:rPr>
        <w:t xml:space="preserve">a </w:t>
      </w:r>
      <w:r>
        <w:rPr>
          <w:sz w:val="24"/>
          <w:szCs w:val="24"/>
        </w:rPr>
        <w:t>font which varied in letter width and interletter spacing; we suggest future investigations of the relationship between crowding and dyslexia consider approaches to better control interletter spacing, for example, using fixed-width font.</w:t>
      </w:r>
      <w:r w:rsidR="002A48E2">
        <w:rPr>
          <w:sz w:val="24"/>
          <w:szCs w:val="24"/>
        </w:rPr>
        <w:t xml:space="preserve"> </w:t>
      </w:r>
      <w:r w:rsidR="004306B4">
        <w:rPr>
          <w:sz w:val="24"/>
          <w:szCs w:val="24"/>
        </w:rPr>
        <w:t>Future</w:t>
      </w:r>
      <w:r w:rsidR="002A48E2">
        <w:rPr>
          <w:sz w:val="24"/>
          <w:szCs w:val="24"/>
        </w:rPr>
        <w:t xml:space="preserve"> studies will </w:t>
      </w:r>
      <w:r w:rsidR="004306B4">
        <w:rPr>
          <w:sz w:val="24"/>
          <w:szCs w:val="24"/>
        </w:rPr>
        <w:t xml:space="preserve">also </w:t>
      </w:r>
      <w:r w:rsidR="002A48E2">
        <w:rPr>
          <w:sz w:val="24"/>
          <w:szCs w:val="24"/>
        </w:rPr>
        <w:t xml:space="preserve">benefit from the development of nonletter stimuli </w:t>
      </w:r>
      <w:r w:rsidR="004306B4">
        <w:rPr>
          <w:sz w:val="24"/>
          <w:szCs w:val="24"/>
        </w:rPr>
        <w:t>to assess crowding in PCA. Crucially, such stimuli</w:t>
      </w:r>
      <w:r w:rsidR="002A48E2">
        <w:rPr>
          <w:sz w:val="24"/>
          <w:szCs w:val="24"/>
        </w:rPr>
        <w:t xml:space="preserve"> </w:t>
      </w:r>
      <w:r w:rsidR="004306B4">
        <w:rPr>
          <w:sz w:val="24"/>
          <w:szCs w:val="24"/>
        </w:rPr>
        <w:t xml:space="preserve">must exclude </w:t>
      </w:r>
      <w:r w:rsidR="002A48E2">
        <w:rPr>
          <w:sz w:val="24"/>
          <w:szCs w:val="24"/>
        </w:rPr>
        <w:t>the need to make judgemen</w:t>
      </w:r>
      <w:r w:rsidR="004306B4">
        <w:rPr>
          <w:sz w:val="24"/>
          <w:szCs w:val="24"/>
        </w:rPr>
        <w:t xml:space="preserve">ts based on </w:t>
      </w:r>
      <w:r w:rsidR="002A48E2">
        <w:rPr>
          <w:sz w:val="24"/>
          <w:szCs w:val="24"/>
        </w:rPr>
        <w:t>identifying orie</w:t>
      </w:r>
      <w:r w:rsidR="004306B4">
        <w:rPr>
          <w:sz w:val="24"/>
          <w:szCs w:val="24"/>
        </w:rPr>
        <w:t>ntation or position, given PCA patients’ frequent deficits in spatial cognition.</w:t>
      </w:r>
      <w:r w:rsidR="00122D2A" w:rsidRPr="00216999">
        <w:rPr>
          <w:sz w:val="24"/>
          <w:szCs w:val="24"/>
        </w:rPr>
        <w:tab/>
      </w:r>
    </w:p>
    <w:p w:rsidR="00AF0598" w:rsidRPr="00216999" w:rsidRDefault="00122D2A" w:rsidP="008A59F6">
      <w:pPr>
        <w:ind w:firstLine="720"/>
        <w:rPr>
          <w:sz w:val="24"/>
          <w:szCs w:val="24"/>
        </w:rPr>
      </w:pPr>
      <w:r w:rsidRPr="00216999">
        <w:rPr>
          <w:sz w:val="24"/>
          <w:szCs w:val="24"/>
        </w:rPr>
        <w:t>Th</w:t>
      </w:r>
      <w:r w:rsidR="00152B6C" w:rsidRPr="00216999">
        <w:rPr>
          <w:sz w:val="24"/>
          <w:szCs w:val="24"/>
        </w:rPr>
        <w:t>is longitudinal</w:t>
      </w:r>
      <w:r w:rsidRPr="00216999">
        <w:rPr>
          <w:sz w:val="24"/>
          <w:szCs w:val="24"/>
        </w:rPr>
        <w:t xml:space="preserve"> investigation</w:t>
      </w:r>
      <w:r w:rsidR="00165ED3" w:rsidRPr="00216999">
        <w:rPr>
          <w:sz w:val="24"/>
          <w:szCs w:val="24"/>
        </w:rPr>
        <w:t xml:space="preserve"> </w:t>
      </w:r>
      <w:r w:rsidR="001B0C7E" w:rsidRPr="00216999">
        <w:rPr>
          <w:sz w:val="24"/>
          <w:szCs w:val="24"/>
        </w:rPr>
        <w:t xml:space="preserve">follows the </w:t>
      </w:r>
      <w:r w:rsidR="00152B6C" w:rsidRPr="00216999">
        <w:rPr>
          <w:sz w:val="24"/>
          <w:szCs w:val="24"/>
        </w:rPr>
        <w:t xml:space="preserve">concurrent </w:t>
      </w:r>
      <w:r w:rsidR="001B0C7E" w:rsidRPr="00216999">
        <w:rPr>
          <w:sz w:val="24"/>
          <w:szCs w:val="24"/>
        </w:rPr>
        <w:t xml:space="preserve">development of crowding deficits </w:t>
      </w:r>
      <w:r w:rsidR="00152B6C" w:rsidRPr="00216999">
        <w:rPr>
          <w:sz w:val="24"/>
          <w:szCs w:val="24"/>
        </w:rPr>
        <w:t>and declining reading ability</w:t>
      </w:r>
      <w:r w:rsidR="001B0C7E" w:rsidRPr="00216999">
        <w:rPr>
          <w:sz w:val="24"/>
          <w:szCs w:val="24"/>
        </w:rPr>
        <w:t xml:space="preserve"> in two patients with a </w:t>
      </w:r>
      <w:r w:rsidR="00152B6C" w:rsidRPr="00216999">
        <w:rPr>
          <w:sz w:val="24"/>
          <w:szCs w:val="24"/>
        </w:rPr>
        <w:t xml:space="preserve">neurodegenerative </w:t>
      </w:r>
      <w:r w:rsidR="001B0C7E" w:rsidRPr="00216999">
        <w:rPr>
          <w:sz w:val="24"/>
          <w:szCs w:val="24"/>
        </w:rPr>
        <w:t>condition</w:t>
      </w:r>
      <w:r w:rsidR="00152B6C" w:rsidRPr="00216999">
        <w:rPr>
          <w:sz w:val="24"/>
          <w:szCs w:val="24"/>
        </w:rPr>
        <w:t>. The</w:t>
      </w:r>
      <w:r w:rsidR="00EF7805" w:rsidRPr="00216999">
        <w:rPr>
          <w:sz w:val="24"/>
          <w:szCs w:val="24"/>
        </w:rPr>
        <w:t>se</w:t>
      </w:r>
      <w:r w:rsidR="00152B6C" w:rsidRPr="00216999">
        <w:rPr>
          <w:sz w:val="24"/>
          <w:szCs w:val="24"/>
        </w:rPr>
        <w:t xml:space="preserve"> </w:t>
      </w:r>
      <w:r w:rsidR="00EF7805" w:rsidRPr="00216999">
        <w:rPr>
          <w:sz w:val="24"/>
          <w:szCs w:val="24"/>
        </w:rPr>
        <w:t>results</w:t>
      </w:r>
      <w:r w:rsidR="00152B6C" w:rsidRPr="00216999">
        <w:rPr>
          <w:sz w:val="24"/>
          <w:szCs w:val="24"/>
        </w:rPr>
        <w:t xml:space="preserve"> further underline the </w:t>
      </w:r>
      <w:r w:rsidR="00CB2B25" w:rsidRPr="00216999">
        <w:rPr>
          <w:sz w:val="24"/>
          <w:szCs w:val="24"/>
        </w:rPr>
        <w:t>relationship between crowding</w:t>
      </w:r>
      <w:r w:rsidR="00AF0598" w:rsidRPr="00216999">
        <w:rPr>
          <w:sz w:val="24"/>
          <w:szCs w:val="24"/>
        </w:rPr>
        <w:t>, a specific early visual processing deficit,</w:t>
      </w:r>
      <w:r w:rsidR="00CB2B25" w:rsidRPr="00216999">
        <w:rPr>
          <w:sz w:val="24"/>
          <w:szCs w:val="24"/>
        </w:rPr>
        <w:t xml:space="preserve"> and reading</w:t>
      </w:r>
      <w:r w:rsidR="00AF0598" w:rsidRPr="00216999">
        <w:rPr>
          <w:sz w:val="24"/>
          <w:szCs w:val="24"/>
        </w:rPr>
        <w:t xml:space="preserve">. The specificity of this deficit contrasts with </w:t>
      </w:r>
      <w:r w:rsidR="001B2B33" w:rsidRPr="00216999">
        <w:rPr>
          <w:sz w:val="24"/>
          <w:szCs w:val="24"/>
        </w:rPr>
        <w:t xml:space="preserve">the under-specified ‘general visual impairment’ which proponents of general visual accounts of reading regard as the causal component underlying acquired dyslexia. </w:t>
      </w:r>
      <w:r w:rsidR="00EF7805" w:rsidRPr="00216999">
        <w:rPr>
          <w:sz w:val="24"/>
          <w:szCs w:val="24"/>
        </w:rPr>
        <w:t>The current findings provide additional insight into different ways in which crowding may limit reading ability, and demonstrate a neurodegenerative approach towards understanding the relationship between one specific form of basic visual deficit and the reading system.</w:t>
      </w:r>
    </w:p>
    <w:p w:rsidR="008D4FBB" w:rsidRPr="00216999" w:rsidRDefault="008D4FBB">
      <w:pPr>
        <w:rPr>
          <w:rFonts w:eastAsia="Times New Roman" w:cstheme="minorHAnsi"/>
          <w:sz w:val="24"/>
          <w:szCs w:val="24"/>
          <w:lang w:eastAsia="en-GB"/>
        </w:rPr>
      </w:pPr>
    </w:p>
    <w:p w:rsidR="00245FA7" w:rsidRPr="00216999" w:rsidRDefault="00EA79EC">
      <w:pPr>
        <w:rPr>
          <w:b/>
          <w:sz w:val="24"/>
          <w:szCs w:val="24"/>
        </w:rPr>
      </w:pPr>
      <w:r w:rsidRPr="00216999">
        <w:rPr>
          <w:b/>
          <w:sz w:val="24"/>
          <w:szCs w:val="24"/>
        </w:rPr>
        <w:t>Acknowledgements</w:t>
      </w:r>
    </w:p>
    <w:p w:rsidR="00245FA7" w:rsidRPr="00216999" w:rsidRDefault="000D5175">
      <w:pPr>
        <w:rPr>
          <w:sz w:val="24"/>
          <w:szCs w:val="24"/>
        </w:rPr>
      </w:pPr>
      <w:r w:rsidRPr="00216999">
        <w:rPr>
          <w:sz w:val="24"/>
          <w:szCs w:val="24"/>
        </w:rPr>
        <w:t xml:space="preserve">We would like to thank FOL and CLA for their continued goodwill and assistance over the last three years. We would also like to thank </w:t>
      </w:r>
      <w:r w:rsidR="00532C02" w:rsidRPr="00216999">
        <w:rPr>
          <w:sz w:val="24"/>
          <w:szCs w:val="24"/>
        </w:rPr>
        <w:t>Kelvin Leung for his expertise in generating voxel compression maps</w:t>
      </w:r>
      <w:r w:rsidRPr="00216999">
        <w:rPr>
          <w:sz w:val="24"/>
          <w:szCs w:val="24"/>
        </w:rPr>
        <w:t xml:space="preserve">. </w:t>
      </w:r>
      <w:r w:rsidR="002D75B7" w:rsidRPr="00216999">
        <w:rPr>
          <w:sz w:val="24"/>
          <w:szCs w:val="24"/>
        </w:rPr>
        <w:t xml:space="preserve">This work was supported by </w:t>
      </w:r>
      <w:r w:rsidR="000A4918">
        <w:rPr>
          <w:sz w:val="24"/>
          <w:szCs w:val="24"/>
        </w:rPr>
        <w:t>T</w:t>
      </w:r>
      <w:r w:rsidR="002D75B7" w:rsidRPr="00216999">
        <w:rPr>
          <w:sz w:val="24"/>
          <w:szCs w:val="24"/>
        </w:rPr>
        <w:t>he Dunhill Medical Trust</w:t>
      </w:r>
      <w:r w:rsidR="000A4918">
        <w:rPr>
          <w:sz w:val="24"/>
          <w:szCs w:val="24"/>
        </w:rPr>
        <w:t xml:space="preserve"> [</w:t>
      </w:r>
      <w:r w:rsidR="000A4918" w:rsidRPr="000A4918">
        <w:rPr>
          <w:sz w:val="24"/>
          <w:szCs w:val="24"/>
        </w:rPr>
        <w:t>grant number R337/0214</w:t>
      </w:r>
      <w:r w:rsidR="000A4918">
        <w:rPr>
          <w:sz w:val="24"/>
          <w:szCs w:val="24"/>
        </w:rPr>
        <w:t>]</w:t>
      </w:r>
      <w:r w:rsidR="002D75B7" w:rsidRPr="00216999">
        <w:rPr>
          <w:sz w:val="24"/>
          <w:szCs w:val="24"/>
        </w:rPr>
        <w:t xml:space="preserve">. </w:t>
      </w:r>
      <w:r w:rsidRPr="00216999">
        <w:rPr>
          <w:sz w:val="24"/>
          <w:szCs w:val="24"/>
        </w:rPr>
        <w:t xml:space="preserve">This work was undertaken at UCLH/UCL which received a proportion of funding from the Department of Health’s NIHR Biomedical Research Centres funding scheme. </w:t>
      </w:r>
      <w:r w:rsidR="00773F48" w:rsidRPr="00773F48">
        <w:rPr>
          <w:sz w:val="24"/>
          <w:szCs w:val="24"/>
        </w:rPr>
        <w:t>The Dementia Research Centre is supported by Alzheimer's Research UK, Brain Research Trust, and The Wolfson Foundation</w:t>
      </w:r>
      <w:r w:rsidR="00773F48">
        <w:rPr>
          <w:sz w:val="24"/>
          <w:szCs w:val="24"/>
        </w:rPr>
        <w:t xml:space="preserve">. </w:t>
      </w:r>
      <w:r w:rsidRPr="00216999">
        <w:rPr>
          <w:sz w:val="24"/>
          <w:szCs w:val="24"/>
        </w:rPr>
        <w:t xml:space="preserve">The Dementia Research Centre is an Alzheimer’s Research UK Co-ordinating Centre. This work was supported by an Alzheimer’s Research UK Senior Research Fellowship </w:t>
      </w:r>
      <w:r w:rsidR="0001512D" w:rsidRPr="00216999">
        <w:rPr>
          <w:sz w:val="24"/>
          <w:szCs w:val="24"/>
        </w:rPr>
        <w:t>and ESRC/NIHR grant (</w:t>
      </w:r>
      <w:r w:rsidR="00773F48" w:rsidRPr="00773F48">
        <w:rPr>
          <w:sz w:val="24"/>
          <w:szCs w:val="24"/>
        </w:rPr>
        <w:t>ES/L001810/1</w:t>
      </w:r>
      <w:r w:rsidR="0001512D" w:rsidRPr="00216999">
        <w:rPr>
          <w:sz w:val="24"/>
          <w:szCs w:val="24"/>
        </w:rPr>
        <w:t xml:space="preserve">) </w:t>
      </w:r>
      <w:r w:rsidRPr="00216999">
        <w:rPr>
          <w:sz w:val="24"/>
          <w:szCs w:val="24"/>
        </w:rPr>
        <w:t>to SC. JDW is supported by a Wellcome Trust Senior Clinical Fellowship (Grant No 091673/Z/10/Z). This work was supported by the NIHR Queen Square Dementia Biomedical Research Unit.</w:t>
      </w:r>
    </w:p>
    <w:p w:rsidR="00DF7D5B" w:rsidRPr="00216999" w:rsidRDefault="00DF7D5B">
      <w:pPr>
        <w:rPr>
          <w:sz w:val="24"/>
          <w:szCs w:val="24"/>
        </w:rPr>
      </w:pPr>
      <w:r w:rsidRPr="00216999">
        <w:rPr>
          <w:sz w:val="24"/>
          <w:szCs w:val="24"/>
        </w:rPr>
        <w:br w:type="page"/>
      </w:r>
    </w:p>
    <w:p w:rsidR="006A1BC6" w:rsidRPr="00216999" w:rsidRDefault="006A1BC6">
      <w:pPr>
        <w:rPr>
          <w:b/>
          <w:sz w:val="24"/>
          <w:szCs w:val="24"/>
        </w:rPr>
      </w:pPr>
      <w:r w:rsidRPr="00216999">
        <w:rPr>
          <w:b/>
          <w:sz w:val="24"/>
          <w:szCs w:val="24"/>
        </w:rPr>
        <w:t>References</w:t>
      </w:r>
    </w:p>
    <w:p w:rsidR="00AC2347" w:rsidRPr="00216999" w:rsidRDefault="00AC2347" w:rsidP="00DF7D5B">
      <w:pPr>
        <w:ind w:left="720" w:hanging="720"/>
        <w:rPr>
          <w:sz w:val="24"/>
          <w:szCs w:val="24"/>
        </w:rPr>
      </w:pPr>
      <w:r w:rsidRPr="00216999">
        <w:rPr>
          <w:sz w:val="24"/>
          <w:szCs w:val="24"/>
        </w:rPr>
        <w:t>Anderson, E. J., Dakin, S. C., Schwarzkopf, D. S., Rees, G., &amp; Greenwood, J. A. (2012). The Neural Correlates of Crowding-Induced Changes in Appearance. Current Biology, 22(13), 1199-1206. doi: DOI 10.1016/j.cub.2012.04.063</w:t>
      </w:r>
    </w:p>
    <w:p w:rsidR="00DF7D5B" w:rsidRPr="00216999" w:rsidRDefault="00DF7D5B" w:rsidP="00DF7D5B">
      <w:pPr>
        <w:ind w:left="720" w:hanging="720"/>
        <w:rPr>
          <w:sz w:val="24"/>
          <w:szCs w:val="24"/>
        </w:rPr>
      </w:pPr>
      <w:r w:rsidRPr="00216999">
        <w:rPr>
          <w:sz w:val="24"/>
          <w:szCs w:val="24"/>
        </w:rPr>
        <w:t>Arguin, M., Fiset, S., &amp; Bub, D. (2002). Sequential and parallel letter processing in letter-by-letter dyslexia. Cognitive Neuropsychology, 19(6), 535-555. doi: Doi 10.1080/02643290244000040</w:t>
      </w:r>
    </w:p>
    <w:p w:rsidR="00BE255B" w:rsidRPr="00216999" w:rsidRDefault="00BE255B" w:rsidP="00DF7D5B">
      <w:pPr>
        <w:ind w:left="720" w:hanging="720"/>
        <w:rPr>
          <w:sz w:val="24"/>
          <w:szCs w:val="24"/>
        </w:rPr>
      </w:pPr>
      <w:r w:rsidRPr="00216999">
        <w:rPr>
          <w:sz w:val="24"/>
          <w:szCs w:val="24"/>
        </w:rPr>
        <w:t>Berthier, M. L., Leiguarda, R., Starkstein, S. E., Sevlever, G., &amp; Taratuto, A. L. (1991). Alzheimers-Disease in a Patient with Posterior Cortical Atrophy. Journal of Neurology Neurosurgery and Psychiatry, 54(12), 1110-1111. doi: DOI 10.1136/jnnp.54.12.1110</w:t>
      </w:r>
    </w:p>
    <w:p w:rsidR="00AC2347" w:rsidRPr="00216999" w:rsidRDefault="00AC2347" w:rsidP="00DF7D5B">
      <w:pPr>
        <w:ind w:left="720" w:hanging="720"/>
        <w:rPr>
          <w:sz w:val="24"/>
          <w:szCs w:val="24"/>
        </w:rPr>
      </w:pPr>
      <w:r w:rsidRPr="00216999">
        <w:rPr>
          <w:sz w:val="24"/>
          <w:szCs w:val="24"/>
        </w:rPr>
        <w:t>Bi, T., Cai, P., Zhou, T., &amp; Fang, F. (2009). The effect of crowding on orientation-selective adaptation in human early visual cortex. Journal of Vision, 9(11), 13.</w:t>
      </w:r>
    </w:p>
    <w:p w:rsidR="00CF2042" w:rsidRPr="00216999" w:rsidRDefault="00CF2042" w:rsidP="00DF7D5B">
      <w:pPr>
        <w:ind w:left="720" w:hanging="720"/>
        <w:rPr>
          <w:sz w:val="24"/>
          <w:szCs w:val="24"/>
        </w:rPr>
      </w:pPr>
      <w:r w:rsidRPr="00216999">
        <w:rPr>
          <w:sz w:val="24"/>
          <w:szCs w:val="24"/>
        </w:rPr>
        <w:t>Blake, R., Tadin, D., Sobel, K. V., Raissian, T. A., &amp; Chong, S. C. (2006). Strength of early visual adaptation depends on visual awareness. Proceedings of the National Academy of Sciences of the United States of America, 103(12), 4783-4788. doi: DOI 10.1073/pnas.0509634103</w:t>
      </w:r>
    </w:p>
    <w:p w:rsidR="00DF7D5B" w:rsidRPr="00216999" w:rsidRDefault="00DF7D5B" w:rsidP="00DF7D5B">
      <w:pPr>
        <w:ind w:left="720" w:hanging="720"/>
        <w:rPr>
          <w:sz w:val="24"/>
          <w:szCs w:val="24"/>
        </w:rPr>
      </w:pPr>
      <w:r w:rsidRPr="00216999">
        <w:rPr>
          <w:sz w:val="24"/>
          <w:szCs w:val="24"/>
        </w:rPr>
        <w:t>Boles, D. B., &amp; Clifford, J. E. (1989). An Uppercase and Lowercase Alphabetic Similarity Matrix, with Derived Generation Similarity Values. Behavior Research Methods Instruments &amp; Computers, 21(6), 579-586. doi: Doi 10.3758/Bf03210580</w:t>
      </w:r>
    </w:p>
    <w:p w:rsidR="00DF7D5B" w:rsidRPr="00216999" w:rsidRDefault="00DF7D5B" w:rsidP="00DF7D5B">
      <w:pPr>
        <w:ind w:left="720" w:hanging="720"/>
        <w:rPr>
          <w:sz w:val="24"/>
          <w:szCs w:val="24"/>
        </w:rPr>
      </w:pPr>
      <w:r w:rsidRPr="00216999">
        <w:rPr>
          <w:sz w:val="24"/>
          <w:szCs w:val="24"/>
        </w:rPr>
        <w:t xml:space="preserve">Bouma, H. (1970). Interaction Effects in Parafoveal Letter Recognition. Nature, 226(5241), 177-&amp;. </w:t>
      </w:r>
    </w:p>
    <w:p w:rsidR="00DF7D5B" w:rsidRPr="00216999" w:rsidRDefault="00DF7D5B" w:rsidP="00DF7D5B">
      <w:pPr>
        <w:ind w:left="720" w:hanging="720"/>
        <w:rPr>
          <w:sz w:val="24"/>
          <w:szCs w:val="24"/>
        </w:rPr>
      </w:pPr>
      <w:r w:rsidRPr="00216999">
        <w:rPr>
          <w:sz w:val="24"/>
          <w:szCs w:val="24"/>
        </w:rPr>
        <w:t xml:space="preserve">Brown, W. P., &amp; Ure, D. M. J. (1969). 5 Rated Characteristics of 650-Word Association Stimuli. British Journal of Psychology, 60, 233-&amp;. </w:t>
      </w:r>
    </w:p>
    <w:p w:rsidR="00AC2347" w:rsidRDefault="00AC2347" w:rsidP="00DF7D5B">
      <w:pPr>
        <w:ind w:left="720" w:hanging="720"/>
        <w:rPr>
          <w:sz w:val="24"/>
          <w:szCs w:val="24"/>
        </w:rPr>
      </w:pPr>
      <w:r w:rsidRPr="00216999">
        <w:rPr>
          <w:sz w:val="24"/>
          <w:szCs w:val="24"/>
          <w:lang w:val="it-IT"/>
        </w:rPr>
        <w:t xml:space="preserve">Catricala, E., Della Rosa, P. A., Ortelli, P., Ginex, V., Marcone, A., Perani, D., &amp; Cappa, S. F. (2011). </w:t>
      </w:r>
      <w:r w:rsidRPr="00216999">
        <w:rPr>
          <w:sz w:val="24"/>
          <w:szCs w:val="24"/>
        </w:rPr>
        <w:t>The evolution of alexia in two cases of posterior cortical atrophy. Behavioural Neurology, 24(3), 229-236. doi: Doi 10.3233/Ben-2011-0334</w:t>
      </w:r>
    </w:p>
    <w:p w:rsidR="009A6455" w:rsidRDefault="009A6455" w:rsidP="00DF7D5B">
      <w:pPr>
        <w:ind w:left="720" w:hanging="720"/>
        <w:rPr>
          <w:sz w:val="24"/>
          <w:szCs w:val="24"/>
        </w:rPr>
      </w:pPr>
      <w:r w:rsidRPr="009A6455">
        <w:rPr>
          <w:sz w:val="24"/>
          <w:szCs w:val="24"/>
        </w:rPr>
        <w:t>Chen, J., He, Y., Zhu, Z., Zhou, T., Peng, Y., Zhang, X., &amp; Fang, F. (2014). Attention-dependent early cortical suppression contributes to crowding. The Journal of Neuroscience, 34(32), 10465-10474.</w:t>
      </w:r>
    </w:p>
    <w:p w:rsidR="00FF5AB0" w:rsidRPr="00216999" w:rsidRDefault="00FF5AB0" w:rsidP="00FF5AB0">
      <w:pPr>
        <w:ind w:left="720" w:hanging="720"/>
        <w:rPr>
          <w:sz w:val="24"/>
          <w:szCs w:val="24"/>
        </w:rPr>
      </w:pPr>
      <w:r w:rsidRPr="00FF5AB0">
        <w:rPr>
          <w:sz w:val="24"/>
          <w:szCs w:val="24"/>
        </w:rPr>
        <w:t>Chicherov, V., Plomp, G., &amp; Herzog, M. H. (2014). Neural correlates of visual crowding. Neuroimage, 93, 23-31.</w:t>
      </w:r>
    </w:p>
    <w:p w:rsidR="00DF7D5B" w:rsidRPr="00216999" w:rsidRDefault="00DF7D5B" w:rsidP="00DF7D5B">
      <w:pPr>
        <w:ind w:left="720" w:hanging="720"/>
        <w:rPr>
          <w:sz w:val="24"/>
          <w:szCs w:val="24"/>
        </w:rPr>
      </w:pPr>
      <w:r w:rsidRPr="00216999">
        <w:rPr>
          <w:sz w:val="24"/>
          <w:szCs w:val="24"/>
        </w:rPr>
        <w:t xml:space="preserve">Cohen, L., Dehaene, S., Naccache, L., Lehericy, S., Dehaene-Lambertz, G., Henaff, M. A., &amp; Michel, F. (2000). The visual word form area: spatial and temporal characterization of an initial stage of reading in normal subjects and posterior split-brain patients. Brain, 123 ( Pt 2), 291-307. </w:t>
      </w:r>
    </w:p>
    <w:p w:rsidR="00DF7D5B" w:rsidRPr="00216999" w:rsidRDefault="00DF7D5B" w:rsidP="00DF7D5B">
      <w:pPr>
        <w:ind w:left="720" w:hanging="720"/>
        <w:rPr>
          <w:sz w:val="24"/>
          <w:szCs w:val="24"/>
        </w:rPr>
      </w:pPr>
      <w:r w:rsidRPr="00216999">
        <w:rPr>
          <w:sz w:val="24"/>
          <w:szCs w:val="24"/>
        </w:rPr>
        <w:t xml:space="preserve">Coltheart, M., Besner, D., Jonasson, J. T., &amp; Davelaar, E. (1979). Phonological Encoding in the Lexical Decision Task. Quarterly Journal of Experimental Psychology, 31(Aug), 489-507. </w:t>
      </w:r>
    </w:p>
    <w:p w:rsidR="003A5851" w:rsidRPr="00216999" w:rsidRDefault="003A5851" w:rsidP="00DF7D5B">
      <w:pPr>
        <w:ind w:left="720" w:hanging="720"/>
        <w:rPr>
          <w:sz w:val="24"/>
          <w:szCs w:val="24"/>
        </w:rPr>
      </w:pPr>
      <w:r w:rsidRPr="00216999">
        <w:rPr>
          <w:rFonts w:ascii="Arial" w:hAnsi="Arial" w:cs="Arial"/>
          <w:color w:val="222222"/>
          <w:sz w:val="24"/>
          <w:szCs w:val="24"/>
          <w:shd w:val="clear" w:color="auto" w:fill="FFFFFF"/>
        </w:rPr>
        <w:t>Crawford, J. R., &amp; Garthwaite, P. H. (2002). Investigation of the single case in neuropsychology: Confidence limits on the abnormality of test scores and test score differences.</w:t>
      </w:r>
      <w:r w:rsidRPr="00216999">
        <w:rPr>
          <w:rStyle w:val="apple-converted-space"/>
          <w:rFonts w:ascii="Arial" w:hAnsi="Arial" w:cs="Arial"/>
          <w:color w:val="222222"/>
          <w:sz w:val="24"/>
          <w:szCs w:val="24"/>
          <w:shd w:val="clear" w:color="auto" w:fill="FFFFFF"/>
        </w:rPr>
        <w:t> </w:t>
      </w:r>
      <w:r w:rsidRPr="00216999">
        <w:rPr>
          <w:rFonts w:ascii="Arial" w:hAnsi="Arial" w:cs="Arial"/>
          <w:i/>
          <w:iCs/>
          <w:color w:val="222222"/>
          <w:sz w:val="24"/>
          <w:szCs w:val="24"/>
          <w:shd w:val="clear" w:color="auto" w:fill="FFFFFF"/>
        </w:rPr>
        <w:t>Neuropsychologia</w:t>
      </w:r>
      <w:r w:rsidRPr="00216999">
        <w:rPr>
          <w:rFonts w:ascii="Arial" w:hAnsi="Arial" w:cs="Arial"/>
          <w:color w:val="222222"/>
          <w:sz w:val="24"/>
          <w:szCs w:val="24"/>
          <w:shd w:val="clear" w:color="auto" w:fill="FFFFFF"/>
        </w:rPr>
        <w:t>,</w:t>
      </w:r>
      <w:r w:rsidRPr="00216999">
        <w:rPr>
          <w:rStyle w:val="apple-converted-space"/>
          <w:rFonts w:ascii="Arial" w:hAnsi="Arial" w:cs="Arial"/>
          <w:color w:val="222222"/>
          <w:sz w:val="24"/>
          <w:szCs w:val="24"/>
          <w:shd w:val="clear" w:color="auto" w:fill="FFFFFF"/>
        </w:rPr>
        <w:t> </w:t>
      </w:r>
      <w:r w:rsidRPr="00216999">
        <w:rPr>
          <w:rFonts w:ascii="Arial" w:hAnsi="Arial" w:cs="Arial"/>
          <w:i/>
          <w:iCs/>
          <w:color w:val="222222"/>
          <w:sz w:val="24"/>
          <w:szCs w:val="24"/>
          <w:shd w:val="clear" w:color="auto" w:fill="FFFFFF"/>
        </w:rPr>
        <w:t>40</w:t>
      </w:r>
      <w:r w:rsidRPr="00216999">
        <w:rPr>
          <w:rFonts w:ascii="Arial" w:hAnsi="Arial" w:cs="Arial"/>
          <w:color w:val="222222"/>
          <w:sz w:val="24"/>
          <w:szCs w:val="24"/>
          <w:shd w:val="clear" w:color="auto" w:fill="FFFFFF"/>
        </w:rPr>
        <w:t>(8), 1196-1208.</w:t>
      </w:r>
    </w:p>
    <w:p w:rsidR="00DF7D5B" w:rsidRPr="00216999" w:rsidRDefault="00DF7D5B" w:rsidP="00DF7D5B">
      <w:pPr>
        <w:ind w:left="720" w:hanging="720"/>
        <w:rPr>
          <w:sz w:val="24"/>
          <w:szCs w:val="24"/>
        </w:rPr>
      </w:pPr>
      <w:r w:rsidRPr="00216999">
        <w:rPr>
          <w:sz w:val="24"/>
          <w:szCs w:val="24"/>
        </w:rPr>
        <w:t>Crutch, S. J., &amp; Warrington, E. K. (2007). Foveal crowding in posterior cortical atrophy: A specific early-visual-processing deficit affecting word reading. Cognitive Neuropsychology, 24(8), 843-866. doi: Doi 10.1080/02643290701754240</w:t>
      </w:r>
    </w:p>
    <w:p w:rsidR="00DF7D5B" w:rsidRPr="00216999" w:rsidRDefault="00DF7D5B" w:rsidP="00DF7D5B">
      <w:pPr>
        <w:ind w:left="720" w:hanging="720"/>
        <w:rPr>
          <w:sz w:val="24"/>
          <w:szCs w:val="24"/>
        </w:rPr>
      </w:pPr>
      <w:r w:rsidRPr="00216999">
        <w:rPr>
          <w:sz w:val="24"/>
          <w:szCs w:val="24"/>
        </w:rPr>
        <w:t>Crutch, S. J., &amp; Warrington, E. K. (2009). The relationship between visual crowding and letter confusability: Towards an understanding of dyslexia in posterior cortical atrophy. Cognitive Neuropsychology, 26(5), 471-498. doi: Doi 10.1080/02643290903465819</w:t>
      </w:r>
    </w:p>
    <w:p w:rsidR="00AC2347" w:rsidRPr="00216999" w:rsidRDefault="00AC2347" w:rsidP="00DF7D5B">
      <w:pPr>
        <w:ind w:left="720" w:hanging="720"/>
        <w:rPr>
          <w:sz w:val="24"/>
          <w:szCs w:val="24"/>
        </w:rPr>
      </w:pPr>
      <w:r w:rsidRPr="00216999">
        <w:rPr>
          <w:sz w:val="24"/>
          <w:szCs w:val="24"/>
        </w:rPr>
        <w:t>Crutch, S. J., Lehmann, M., Gorgoraptis, N., Kaski, D., Ryan, N., Husain, M., &amp; Warrington, E. K. (2011). Abnormal visual phenomena in posterior cortical atrophy. Neurocase, 17(2), 160-177. doi: Pii 926575951Doi 10.1080/13554794.2010.504729</w:t>
      </w:r>
    </w:p>
    <w:p w:rsidR="00AC2347" w:rsidRPr="00216999" w:rsidRDefault="00AC2347" w:rsidP="00DF7D5B">
      <w:pPr>
        <w:ind w:left="720" w:hanging="720"/>
        <w:rPr>
          <w:sz w:val="24"/>
          <w:szCs w:val="24"/>
        </w:rPr>
      </w:pPr>
      <w:r w:rsidRPr="00216999">
        <w:rPr>
          <w:sz w:val="24"/>
          <w:szCs w:val="24"/>
        </w:rPr>
        <w:t>Crutch, S. J., Lehmann, M., Schott, J. M., Rabinovici, G. D., Rossor, M. N., &amp; Fox, N. C. (2012). Posterior cortical atrophy. Lancet Neurology, 11(2), 170-178.</w:t>
      </w:r>
    </w:p>
    <w:p w:rsidR="00AC2347" w:rsidRPr="00216999" w:rsidRDefault="00AC2347" w:rsidP="00DF7D5B">
      <w:pPr>
        <w:ind w:left="720" w:hanging="720"/>
        <w:rPr>
          <w:sz w:val="24"/>
          <w:szCs w:val="24"/>
        </w:rPr>
      </w:pPr>
      <w:r w:rsidRPr="00216999">
        <w:rPr>
          <w:sz w:val="24"/>
          <w:szCs w:val="24"/>
        </w:rPr>
        <w:t>De Renzi, E. 1986. Slowly progressive visual agnosia or apraxia without dementia. Cortex, 22: 171–180.</w:t>
      </w:r>
    </w:p>
    <w:p w:rsidR="00DF7D5B" w:rsidRPr="00216999" w:rsidRDefault="00DF7D5B" w:rsidP="00DF7D5B">
      <w:pPr>
        <w:ind w:left="720" w:hanging="720"/>
        <w:rPr>
          <w:sz w:val="24"/>
          <w:szCs w:val="24"/>
        </w:rPr>
      </w:pPr>
      <w:r w:rsidRPr="00216999">
        <w:rPr>
          <w:sz w:val="24"/>
          <w:szCs w:val="24"/>
        </w:rPr>
        <w:t>Dehaene, S., &amp; Cohen, L. (2011). The unique role of the visual word form area in reading. Trends Cogn Sci, 15(6), 254-262. doi: 10.1016/j.tics.2011.04.003 S1364-6613(11)00073-8 [pii]</w:t>
      </w:r>
    </w:p>
    <w:p w:rsidR="00DF7D5B" w:rsidRPr="00216999" w:rsidRDefault="00DF7D5B" w:rsidP="00DF7D5B">
      <w:pPr>
        <w:ind w:left="720" w:hanging="720"/>
        <w:rPr>
          <w:sz w:val="24"/>
          <w:szCs w:val="24"/>
        </w:rPr>
      </w:pPr>
      <w:r w:rsidRPr="00216999">
        <w:rPr>
          <w:sz w:val="24"/>
          <w:szCs w:val="24"/>
        </w:rPr>
        <w:t>Dehaene, S., Jobert, A., Naccache, L., Ciuciu, P., Poline, J. B., Le Bihan, D., &amp; Cohen, L. (2004). Letter binding and invariant recognition of masked words: behavioral and neuroimaging evidence. Psychological Science, 15(5), 307-313. doi: 10.1111/j.0956-7976.2004.00674.xPSCI674 [pii]</w:t>
      </w:r>
    </w:p>
    <w:p w:rsidR="009A1041" w:rsidRPr="00216999" w:rsidRDefault="009A1041" w:rsidP="00DF7D5B">
      <w:pPr>
        <w:ind w:left="720" w:hanging="720"/>
        <w:rPr>
          <w:sz w:val="24"/>
          <w:szCs w:val="24"/>
        </w:rPr>
      </w:pPr>
      <w:r w:rsidRPr="00216999">
        <w:rPr>
          <w:sz w:val="24"/>
          <w:szCs w:val="24"/>
        </w:rPr>
        <w:t>Ellis, A. W., Flude, B. M., &amp; Young, A. W. (1987). “Neglect dyslexia” and the early visual processing of letters in words and nonwords. Cognitive Neuropsychology, 4(4), 439-464.</w:t>
      </w:r>
    </w:p>
    <w:p w:rsidR="00AC2347" w:rsidRPr="00216999" w:rsidRDefault="00AC2347" w:rsidP="00DF7D5B">
      <w:pPr>
        <w:ind w:left="720" w:hanging="720"/>
        <w:rPr>
          <w:sz w:val="24"/>
          <w:szCs w:val="24"/>
        </w:rPr>
      </w:pPr>
      <w:r w:rsidRPr="00216999">
        <w:rPr>
          <w:sz w:val="24"/>
          <w:szCs w:val="24"/>
        </w:rPr>
        <w:t>Fang, F., &amp; He, S. (2008). Crowding alters the spatial distribution of attention modulation in human primary visual cortex. Journal of Vision, 8(9), 6.</w:t>
      </w:r>
    </w:p>
    <w:p w:rsidR="00DF7D5B" w:rsidRPr="00216999" w:rsidRDefault="00DF7D5B" w:rsidP="00DF7D5B">
      <w:pPr>
        <w:ind w:left="720" w:hanging="720"/>
        <w:rPr>
          <w:sz w:val="24"/>
          <w:szCs w:val="24"/>
        </w:rPr>
      </w:pPr>
      <w:r w:rsidRPr="00216999">
        <w:rPr>
          <w:sz w:val="24"/>
          <w:szCs w:val="24"/>
        </w:rPr>
        <w:t xml:space="preserve">Farah, M. J., &amp; Wallace, M. A. (1991). Pure Alexia as a Visual Impairment - a Reconsideration. Cognitive Neuropsychology, 8(3-4), 313-334. </w:t>
      </w:r>
    </w:p>
    <w:p w:rsidR="00DF7D5B" w:rsidRPr="00216999" w:rsidRDefault="00DF7D5B" w:rsidP="00DF7D5B">
      <w:pPr>
        <w:ind w:left="720" w:hanging="720"/>
        <w:rPr>
          <w:sz w:val="24"/>
          <w:szCs w:val="24"/>
        </w:rPr>
      </w:pPr>
      <w:r w:rsidRPr="00216999">
        <w:rPr>
          <w:sz w:val="24"/>
          <w:szCs w:val="24"/>
        </w:rPr>
        <w:t xml:space="preserve">Fiset, D., Arguin, M., Bub, D., Humphreys, G. W., &amp; Riddoch, M. J. (2005). How to make the word-length effect disappear in letter-by-letter dyslexia - Implications for an account of the disorder. Psychological Science, 16(7), 535-541. </w:t>
      </w:r>
    </w:p>
    <w:p w:rsidR="00DF7D5B" w:rsidRPr="00216999" w:rsidRDefault="00DF7D5B" w:rsidP="00DF7D5B">
      <w:pPr>
        <w:ind w:left="720" w:hanging="720"/>
        <w:rPr>
          <w:sz w:val="24"/>
          <w:szCs w:val="24"/>
        </w:rPr>
      </w:pPr>
      <w:r w:rsidRPr="00216999">
        <w:rPr>
          <w:sz w:val="24"/>
          <w:szCs w:val="24"/>
        </w:rPr>
        <w:t>Fiset, D., Arguin, M., Bub, D., Humphreys, G. W., &amp; Riddoch, M. J. (2005). How to make the word-length effect disappear in letter-by-letter dyslexia - Implications for an account of the disorder. Psychological Science, 16(7), 535-541. doi: DOI 10.1111/j.0956-7976.2005.01571.x</w:t>
      </w:r>
    </w:p>
    <w:p w:rsidR="00DF7D5B" w:rsidRPr="00216999" w:rsidRDefault="00DF7D5B" w:rsidP="00DF7D5B">
      <w:pPr>
        <w:ind w:left="720" w:hanging="720"/>
        <w:rPr>
          <w:sz w:val="24"/>
          <w:szCs w:val="24"/>
        </w:rPr>
      </w:pPr>
      <w:r w:rsidRPr="00216999">
        <w:rPr>
          <w:sz w:val="24"/>
          <w:szCs w:val="24"/>
        </w:rPr>
        <w:t xml:space="preserve">Fisher, D. F., Monty, R. A., &amp; Glucksbe.S. (1969). Visual Confusion Matrices - Fact or Artifact. Journal of Psychology, 71(1), 111-&amp;. </w:t>
      </w:r>
    </w:p>
    <w:p w:rsidR="00AC2347" w:rsidRPr="00216999" w:rsidRDefault="00AC2347" w:rsidP="00DF7D5B">
      <w:pPr>
        <w:ind w:left="720" w:hanging="720"/>
        <w:rPr>
          <w:sz w:val="24"/>
          <w:szCs w:val="24"/>
        </w:rPr>
      </w:pPr>
      <w:r w:rsidRPr="00216999">
        <w:rPr>
          <w:sz w:val="24"/>
          <w:szCs w:val="24"/>
        </w:rPr>
        <w:t>Flom, M. C., Heath, G. G., &amp; Takahashi, E. (1963). Contour Interaction and Visual Resolution: Contralateral Effects. Science, 142(3594), 979-980.</w:t>
      </w:r>
    </w:p>
    <w:p w:rsidR="00DF7D5B" w:rsidRDefault="00DF7D5B" w:rsidP="00DF7D5B">
      <w:pPr>
        <w:ind w:left="720" w:hanging="720"/>
        <w:rPr>
          <w:sz w:val="24"/>
          <w:szCs w:val="24"/>
        </w:rPr>
      </w:pPr>
      <w:r w:rsidRPr="00216999">
        <w:rPr>
          <w:sz w:val="24"/>
          <w:szCs w:val="24"/>
        </w:rPr>
        <w:t>Folstein, M. F., Folstein, S. E., &amp; McHugh, P. R. (1975). "Mini-mental state". A practical method for grading the cognitive state of patients for the clinician. J Psychiatr Res, 12(3), 189-198. doi: 0022-3956(75)90026-6 [pii]</w:t>
      </w:r>
    </w:p>
    <w:p w:rsidR="0009262D" w:rsidRDefault="0009262D" w:rsidP="00DF7D5B">
      <w:pPr>
        <w:ind w:left="720" w:hanging="720"/>
        <w:rPr>
          <w:sz w:val="24"/>
          <w:szCs w:val="24"/>
        </w:rPr>
      </w:pPr>
      <w:r w:rsidRPr="0009262D">
        <w:rPr>
          <w:sz w:val="24"/>
          <w:szCs w:val="24"/>
        </w:rPr>
        <w:t>Franceschini, S., Gori, S., Ruffino, M., Pedrolli, K., &amp; Facoetti, A. (2012). A causal link between visual spatial attention and reading acquisition. Current Biology, 22(9), 814-819.</w:t>
      </w:r>
    </w:p>
    <w:p w:rsidR="0009262D" w:rsidRPr="00216999" w:rsidRDefault="0009262D" w:rsidP="00DF7D5B">
      <w:pPr>
        <w:ind w:left="720" w:hanging="720"/>
        <w:rPr>
          <w:sz w:val="24"/>
          <w:szCs w:val="24"/>
        </w:rPr>
      </w:pPr>
      <w:r w:rsidRPr="0009262D">
        <w:rPr>
          <w:sz w:val="24"/>
          <w:szCs w:val="24"/>
        </w:rPr>
        <w:t>Franceschini, S., Gori, S., Ruffino, M., Viola, S., Molteni, M., &amp; Facoetti, A. (2013). Action video games make dyslexic children read better. Current Biology, 23(6), 462-466.</w:t>
      </w:r>
    </w:p>
    <w:p w:rsidR="00DF7D5B" w:rsidRDefault="00DF7D5B" w:rsidP="00DF7D5B">
      <w:pPr>
        <w:ind w:left="720" w:hanging="720"/>
        <w:rPr>
          <w:sz w:val="24"/>
          <w:szCs w:val="24"/>
        </w:rPr>
      </w:pPr>
      <w:r w:rsidRPr="00216999">
        <w:rPr>
          <w:sz w:val="24"/>
          <w:szCs w:val="24"/>
        </w:rPr>
        <w:t>Freeborough, P. A., &amp; Fox, N. C. (1998). MR image texture analysis applied to the diagnosis and tracking of Alzheimer's disease. Ieee Transactions on Medical Imaging, 17(3), 475-479. doi: Doi 10.1109/42.712137</w:t>
      </w:r>
    </w:p>
    <w:p w:rsidR="00727E57" w:rsidRPr="00216999" w:rsidRDefault="00727E57" w:rsidP="00DF7D5B">
      <w:pPr>
        <w:ind w:left="720" w:hanging="720"/>
        <w:rPr>
          <w:sz w:val="24"/>
          <w:szCs w:val="24"/>
        </w:rPr>
      </w:pPr>
      <w:r w:rsidRPr="00727E57">
        <w:rPr>
          <w:sz w:val="24"/>
          <w:szCs w:val="24"/>
        </w:rPr>
        <w:t>Freeman, J., &amp; Simoncelli, E. P. (2011). Metamers of the ventral stream. Nature neuroscience, 14(9), 1195-1201.</w:t>
      </w:r>
    </w:p>
    <w:p w:rsidR="00BE255B" w:rsidRPr="00216999" w:rsidRDefault="00BE255B" w:rsidP="00DF7D5B">
      <w:pPr>
        <w:ind w:left="720" w:hanging="720"/>
        <w:rPr>
          <w:sz w:val="24"/>
          <w:szCs w:val="24"/>
        </w:rPr>
      </w:pPr>
      <w:r w:rsidRPr="00216999">
        <w:rPr>
          <w:sz w:val="24"/>
          <w:szCs w:val="24"/>
        </w:rPr>
        <w:t>Freedman, L., &amp; Dexter, L. E. (1991). Visuospatial ability in cortical dementia. Journal of clinical and experimental neuropsychology, 13(5), 677-690.</w:t>
      </w:r>
    </w:p>
    <w:p w:rsidR="00DF7D5B" w:rsidRPr="00216999" w:rsidRDefault="00DF7D5B" w:rsidP="00DF7D5B">
      <w:pPr>
        <w:ind w:left="720" w:hanging="720"/>
        <w:rPr>
          <w:sz w:val="24"/>
          <w:szCs w:val="24"/>
        </w:rPr>
      </w:pPr>
      <w:r w:rsidRPr="00216999">
        <w:rPr>
          <w:sz w:val="24"/>
          <w:szCs w:val="24"/>
        </w:rPr>
        <w:t xml:space="preserve">Friedman, R. B., &amp; Alexander, M. P. (1984). Pictures, Images, and Pure Alexia - a Case-Study. Cognitive Neuropsychology, 1(1), 9-23. </w:t>
      </w:r>
    </w:p>
    <w:p w:rsidR="00DF7D5B" w:rsidRPr="00216999" w:rsidRDefault="00DF7D5B" w:rsidP="00DF7D5B">
      <w:pPr>
        <w:ind w:left="720" w:hanging="720"/>
        <w:rPr>
          <w:sz w:val="24"/>
          <w:szCs w:val="24"/>
        </w:rPr>
      </w:pPr>
      <w:r w:rsidRPr="00216999">
        <w:rPr>
          <w:sz w:val="24"/>
          <w:szCs w:val="24"/>
        </w:rPr>
        <w:t>Geyer, L. H. (1977). Recognition and Confusion of Lowercase Alphabet. Perception &amp; Psychophysics, 22(5), 487-490. doi: Doi 10.3758/Bf03199515</w:t>
      </w:r>
    </w:p>
    <w:p w:rsidR="005079CD" w:rsidRDefault="00DF7D5B" w:rsidP="005079CD">
      <w:pPr>
        <w:ind w:left="720" w:hanging="720"/>
        <w:rPr>
          <w:sz w:val="24"/>
          <w:szCs w:val="24"/>
        </w:rPr>
      </w:pPr>
      <w:r w:rsidRPr="00216999">
        <w:rPr>
          <w:sz w:val="24"/>
          <w:szCs w:val="24"/>
        </w:rPr>
        <w:t xml:space="preserve">Gilmore, G. C., Hersh, H., Caramazza, A., &amp; Griffin, J. (1979). Multidimensional letter similarity derived from recognition errors. Percept Psychophys, 25(5), 425-431. </w:t>
      </w:r>
    </w:p>
    <w:p w:rsidR="005079CD" w:rsidRDefault="005079CD" w:rsidP="00DF7D5B">
      <w:pPr>
        <w:ind w:left="720" w:hanging="720"/>
        <w:rPr>
          <w:sz w:val="24"/>
          <w:szCs w:val="24"/>
        </w:rPr>
      </w:pPr>
      <w:r w:rsidRPr="005079CD">
        <w:rPr>
          <w:sz w:val="24"/>
          <w:szCs w:val="24"/>
        </w:rPr>
        <w:t>Gori, S., Cecchini, P., Bigoni, A., Molteni, M., &amp; Facoetti, A. (2015). Magnocellular-dorsal pathway and sub-lexical route in developmental dyslexia. Frontiers of Human Neuroscience1-27.</w:t>
      </w:r>
    </w:p>
    <w:p w:rsidR="00FF5AB0" w:rsidRDefault="0009262D" w:rsidP="00FF5AB0">
      <w:pPr>
        <w:ind w:left="720" w:hanging="720"/>
        <w:rPr>
          <w:sz w:val="24"/>
          <w:szCs w:val="24"/>
        </w:rPr>
      </w:pPr>
      <w:r w:rsidRPr="0009262D">
        <w:rPr>
          <w:sz w:val="24"/>
          <w:szCs w:val="24"/>
        </w:rPr>
        <w:t>Gori, S., &amp; Facoetti, A. (2015). How the visual aspects can be crucial in reading acquisition: the intriguing case of crowding and developmental dyslexia. Journal of vision, 15(1), 8-8.</w:t>
      </w:r>
    </w:p>
    <w:p w:rsidR="00DF7D5B" w:rsidRPr="00216999" w:rsidRDefault="00FF5AB0" w:rsidP="00DF7D5B">
      <w:pPr>
        <w:ind w:left="720" w:hanging="720"/>
        <w:rPr>
          <w:sz w:val="24"/>
          <w:szCs w:val="24"/>
        </w:rPr>
      </w:pPr>
      <w:r w:rsidRPr="00FF5AB0">
        <w:rPr>
          <w:sz w:val="24"/>
          <w:szCs w:val="24"/>
        </w:rPr>
        <w:t>Gori, S., &amp; Spillmann, L. (2010). Detection vs. grouping thresholds for elements differing in spacing, size and luminance. An alternative approach towards the psychophysics of Gestalten. Vision research, 50(12), 1194-1202.</w:t>
      </w:r>
      <w:r w:rsidR="00DF7D5B" w:rsidRPr="00216999">
        <w:rPr>
          <w:sz w:val="24"/>
          <w:szCs w:val="24"/>
        </w:rPr>
        <w:t>Greenwood, J. A., Bex, P. J., &amp; Dakin, S. C. (2010). Crowding changes appearance. Current Biology, 20(6), 496-501. doi: 10.1016/j.cub.2010.01.023 S0960-9822(10)00062-X [pii]</w:t>
      </w:r>
    </w:p>
    <w:p w:rsidR="00DF7D5B" w:rsidRDefault="00DF7D5B" w:rsidP="00DF7D5B">
      <w:pPr>
        <w:ind w:left="720" w:hanging="720"/>
        <w:rPr>
          <w:sz w:val="24"/>
          <w:szCs w:val="24"/>
        </w:rPr>
      </w:pPr>
      <w:r w:rsidRPr="00216999">
        <w:rPr>
          <w:sz w:val="24"/>
          <w:szCs w:val="24"/>
        </w:rPr>
        <w:t xml:space="preserve">Humphreys, G. W., &amp; Mayall, K. (2001). A peripheral reading deficit under conditions of diffuse visual attention. Cognitive Neuropsychology, 18(6), 551-576. </w:t>
      </w:r>
    </w:p>
    <w:p w:rsidR="009A6455" w:rsidRDefault="009A6455" w:rsidP="00DF7D5B">
      <w:pPr>
        <w:ind w:left="720" w:hanging="720"/>
        <w:rPr>
          <w:sz w:val="24"/>
          <w:szCs w:val="24"/>
        </w:rPr>
      </w:pPr>
      <w:r w:rsidRPr="009A6455">
        <w:rPr>
          <w:sz w:val="24"/>
          <w:szCs w:val="24"/>
        </w:rPr>
        <w:t>Intriligator, J., &amp; Cavanagh, P. (2001). The spatial resolution of visual attention. Cognitive psychology, 43(3), 171-216.</w:t>
      </w:r>
    </w:p>
    <w:p w:rsidR="00DF7D5B" w:rsidRPr="00216999" w:rsidRDefault="003B5285" w:rsidP="00DF7D5B">
      <w:pPr>
        <w:ind w:left="720" w:hanging="720"/>
        <w:rPr>
          <w:sz w:val="24"/>
          <w:szCs w:val="24"/>
        </w:rPr>
      </w:pPr>
      <w:r w:rsidRPr="003B5285">
        <w:rPr>
          <w:sz w:val="24"/>
          <w:szCs w:val="24"/>
        </w:rPr>
        <w:t>James, M., Plant, G. T., &amp; Warrington, E. K. (2001). CORVIST: Cortical vision screening test: manual &amp; test materials. Thames Valley Test Company.</w:t>
      </w:r>
      <w:r w:rsidR="00DF7D5B" w:rsidRPr="00216999">
        <w:rPr>
          <w:sz w:val="24"/>
          <w:szCs w:val="24"/>
          <w:lang w:val="it-IT"/>
        </w:rPr>
        <w:t xml:space="preserve">Jobard, G., Crivello, F., &amp; Tzourio-Mazoyer, N. (2003). </w:t>
      </w:r>
      <w:r w:rsidR="00DF7D5B" w:rsidRPr="00216999">
        <w:rPr>
          <w:sz w:val="24"/>
          <w:szCs w:val="24"/>
        </w:rPr>
        <w:t>Evaluation of the dual route theory of reading: a metanalysis of 35 neuroimaging studies. Neuroimage, 20(2), 693-712. doi: Doi 10.1016/S1053-8119(03)00343-4</w:t>
      </w:r>
    </w:p>
    <w:p w:rsidR="00AC2347" w:rsidRPr="00216999" w:rsidRDefault="00AC2347" w:rsidP="00DF7D5B">
      <w:pPr>
        <w:ind w:left="720" w:hanging="720"/>
        <w:rPr>
          <w:sz w:val="24"/>
          <w:szCs w:val="24"/>
        </w:rPr>
      </w:pPr>
      <w:r w:rsidRPr="00216999">
        <w:rPr>
          <w:sz w:val="24"/>
          <w:szCs w:val="24"/>
        </w:rPr>
        <w:t>Kirshner, H. S., &amp; Lavin, P. J. (2006). Posterior cortical atrophy: a brief review. Curr Neurol Neurosci Rep, 6(6), 477-480.</w:t>
      </w:r>
    </w:p>
    <w:p w:rsidR="00F901EF" w:rsidRPr="00216999" w:rsidRDefault="00F901EF" w:rsidP="00DF7D5B">
      <w:pPr>
        <w:ind w:left="720" w:hanging="720"/>
        <w:rPr>
          <w:sz w:val="24"/>
          <w:szCs w:val="24"/>
        </w:rPr>
      </w:pPr>
      <w:r w:rsidRPr="00216999">
        <w:rPr>
          <w:sz w:val="24"/>
          <w:szCs w:val="24"/>
        </w:rPr>
        <w:t>Lehmann, M., Crutch, S. J., Ridgway, G. R., Ridha, B. H., Barnes, J., Warrington, E. K., . . . Fox, N. C. (2011). Cortical thickness and voxel-based morphometry in posterior cortical atrophy and typical Alzheimer's disease. Neurobiology of Aging, 32(8), 1466-1476. doi: DOI 10.1016/j.neurobiolaging.2009.08.017</w:t>
      </w:r>
    </w:p>
    <w:p w:rsidR="00DF7D5B" w:rsidRPr="00216999" w:rsidRDefault="00DF7D5B" w:rsidP="00DF7D5B">
      <w:pPr>
        <w:ind w:left="720" w:hanging="720"/>
        <w:rPr>
          <w:sz w:val="24"/>
          <w:szCs w:val="24"/>
        </w:rPr>
      </w:pPr>
      <w:r w:rsidRPr="00216999">
        <w:rPr>
          <w:sz w:val="24"/>
          <w:szCs w:val="24"/>
        </w:rPr>
        <w:t>Levi, D. M. (2008). Crowding - An essential bottleneck for object recognition: A mini-review. Vision Research, 48(5), 635-654. doi: DOI 10.1016/j.visres.2007.12.009</w:t>
      </w:r>
    </w:p>
    <w:p w:rsidR="00CF2042" w:rsidRDefault="00CF2042" w:rsidP="00DF7D5B">
      <w:pPr>
        <w:ind w:left="720" w:hanging="720"/>
        <w:rPr>
          <w:sz w:val="24"/>
          <w:szCs w:val="24"/>
        </w:rPr>
      </w:pPr>
      <w:r w:rsidRPr="00216999">
        <w:rPr>
          <w:sz w:val="24"/>
          <w:szCs w:val="24"/>
        </w:rPr>
        <w:t>Liu, T. T., Jiang, Y., Sun, X. H., &amp; He, S. (2009). Reduction of the Crowding Effect in Spatially Adjacent but Cortically Remote Visual Stimuli. Current Biology, 19(2), 127-132. doi: DOI 10.1016/j.cub.2008.11.065</w:t>
      </w:r>
    </w:p>
    <w:p w:rsidR="009A6455" w:rsidRPr="00216999" w:rsidRDefault="009A6455" w:rsidP="00DF7D5B">
      <w:pPr>
        <w:ind w:left="720" w:hanging="720"/>
        <w:rPr>
          <w:sz w:val="24"/>
          <w:szCs w:val="24"/>
        </w:rPr>
      </w:pPr>
      <w:r w:rsidRPr="009A6455">
        <w:rPr>
          <w:sz w:val="24"/>
          <w:szCs w:val="24"/>
        </w:rPr>
        <w:t>Martelli, M., Di Filippo, G., Spinelli, D., &amp; Zoccolotti, P. (2009). Crowding, reading, and developmental dyslexia. Journal of Vision, 9(4), 14-14.</w:t>
      </w:r>
    </w:p>
    <w:p w:rsidR="00AC2347" w:rsidRPr="00216999" w:rsidRDefault="00AC2347" w:rsidP="00DF7D5B">
      <w:pPr>
        <w:ind w:left="720" w:hanging="720"/>
        <w:rPr>
          <w:sz w:val="24"/>
          <w:szCs w:val="24"/>
        </w:rPr>
      </w:pPr>
      <w:r w:rsidRPr="00216999">
        <w:rPr>
          <w:sz w:val="24"/>
          <w:szCs w:val="24"/>
        </w:rPr>
        <w:t>McMonagle, P., Deering, F., Berliner, Y., &amp; Kertesz, A. (2006). The cognitive profile of posterior cortical atrophy. Neurology, 66(3), 331-338.</w:t>
      </w:r>
    </w:p>
    <w:p w:rsidR="00BE255B" w:rsidRPr="00216999" w:rsidRDefault="00BE255B" w:rsidP="00DF7D5B">
      <w:pPr>
        <w:ind w:left="720" w:hanging="720"/>
        <w:rPr>
          <w:sz w:val="24"/>
          <w:szCs w:val="24"/>
        </w:rPr>
      </w:pPr>
      <w:r w:rsidRPr="00216999">
        <w:rPr>
          <w:sz w:val="24"/>
          <w:szCs w:val="24"/>
        </w:rPr>
        <w:t>Mendez, M. F. (2001). Visuospatial deficits with preserved reading ability in a patient with posterior cortical atrophy. Cortex, 37(4), 535-543.</w:t>
      </w:r>
    </w:p>
    <w:p w:rsidR="00BE255B" w:rsidRPr="00216999" w:rsidRDefault="00BE255B" w:rsidP="005079CD">
      <w:pPr>
        <w:ind w:left="720" w:hanging="720"/>
        <w:rPr>
          <w:sz w:val="24"/>
          <w:szCs w:val="24"/>
        </w:rPr>
      </w:pPr>
      <w:r w:rsidRPr="00216999">
        <w:rPr>
          <w:sz w:val="24"/>
          <w:szCs w:val="24"/>
          <w:lang w:val="it-IT"/>
        </w:rPr>
        <w:t xml:space="preserve">Mendez, M. F., &amp; Cherrier, M. M. (1998). </w:t>
      </w:r>
      <w:r w:rsidRPr="00216999">
        <w:rPr>
          <w:sz w:val="24"/>
          <w:szCs w:val="24"/>
        </w:rPr>
        <w:t xml:space="preserve">The evolution of alexia and simultanagnosia in posterior cortical atrophy. Neuropsychiatry Neuropsychol Behav Neurol, 11(2), 76-82. </w:t>
      </w:r>
    </w:p>
    <w:p w:rsidR="00BE255B" w:rsidRPr="00216999" w:rsidRDefault="00BE255B" w:rsidP="00BE255B">
      <w:pPr>
        <w:ind w:left="720" w:hanging="720"/>
        <w:rPr>
          <w:sz w:val="24"/>
          <w:szCs w:val="24"/>
        </w:rPr>
      </w:pPr>
      <w:r w:rsidRPr="00216999">
        <w:rPr>
          <w:sz w:val="24"/>
          <w:szCs w:val="24"/>
          <w:lang w:val="it-IT"/>
        </w:rPr>
        <w:t xml:space="preserve">Mendez, M. F., Ghajarania, M., &amp; Perryman, K. M. (2002). </w:t>
      </w:r>
      <w:r w:rsidRPr="00216999">
        <w:rPr>
          <w:sz w:val="24"/>
          <w:szCs w:val="24"/>
        </w:rPr>
        <w:t>Posterior cortical atrophy: Clinical characteristics and differences compared to Alzheimer's disease. Dementia and Geriatric Cognitive Disorders, 14(1), 33-40.</w:t>
      </w:r>
    </w:p>
    <w:p w:rsidR="00460A78" w:rsidRPr="00216999" w:rsidRDefault="00460A78" w:rsidP="00DF7D5B">
      <w:pPr>
        <w:ind w:left="720" w:hanging="720"/>
        <w:rPr>
          <w:sz w:val="24"/>
          <w:szCs w:val="24"/>
        </w:rPr>
      </w:pPr>
      <w:r w:rsidRPr="00216999">
        <w:rPr>
          <w:sz w:val="24"/>
          <w:szCs w:val="24"/>
        </w:rPr>
        <w:t>Michel, F., &amp; Henaff, M. A. (2004). Seeing without the occipito-parietal cortex: Simultagnosia as a shrinkage of the attentional visual field. Behavioural Neurology, 15(1-2), 3-13.</w:t>
      </w:r>
    </w:p>
    <w:p w:rsidR="00DF7D5B" w:rsidRPr="00216999" w:rsidRDefault="00DF7D5B" w:rsidP="00DF7D5B">
      <w:pPr>
        <w:ind w:left="720" w:hanging="720"/>
        <w:rPr>
          <w:sz w:val="24"/>
          <w:szCs w:val="24"/>
        </w:rPr>
      </w:pPr>
      <w:r w:rsidRPr="00216999">
        <w:rPr>
          <w:sz w:val="24"/>
          <w:szCs w:val="24"/>
        </w:rPr>
        <w:t>Mycroft, R. H., Behrmann, M., &amp; Kay, J. (2009). Visuoperceptual deficits in letter-by-letter reading? Neuropsychologia, 47(7), 1733-1744. doi: DOI 10.1016/j.neuropsychologia.2009.02.014</w:t>
      </w:r>
    </w:p>
    <w:p w:rsidR="00DF7D5B" w:rsidRDefault="00DF7D5B" w:rsidP="00DF7D5B">
      <w:pPr>
        <w:ind w:left="720" w:hanging="720"/>
        <w:rPr>
          <w:sz w:val="24"/>
          <w:szCs w:val="24"/>
        </w:rPr>
      </w:pPr>
      <w:r w:rsidRPr="00216999">
        <w:rPr>
          <w:sz w:val="24"/>
          <w:szCs w:val="24"/>
        </w:rPr>
        <w:t>Parkes, L., Lund, J., Angelucci, A., Solomon, J. A., &amp; Morgan, M. (2001). Compulsory averaging of crowded orientation signals in human vision. Nature Neuroscience, 4(7), 739-744. doi: Doi 10.1038/89532</w:t>
      </w:r>
    </w:p>
    <w:p w:rsidR="00690A93" w:rsidRPr="00216999" w:rsidRDefault="00690A93" w:rsidP="00DF7D5B">
      <w:pPr>
        <w:ind w:left="720" w:hanging="720"/>
        <w:rPr>
          <w:sz w:val="24"/>
          <w:szCs w:val="24"/>
        </w:rPr>
      </w:pPr>
      <w:r w:rsidRPr="00690A93">
        <w:rPr>
          <w:sz w:val="24"/>
          <w:szCs w:val="24"/>
        </w:rPr>
        <w:t>Pelli, D. G., &amp; Tillman, K. A. (2008). The uncrowded window of object recognition. Nature neuroscience, 11(10), 1129-1135.</w:t>
      </w:r>
    </w:p>
    <w:p w:rsidR="006C43BB" w:rsidRPr="00216999" w:rsidRDefault="006C43BB" w:rsidP="00DF7D5B">
      <w:pPr>
        <w:ind w:left="720" w:hanging="720"/>
        <w:rPr>
          <w:sz w:val="24"/>
          <w:szCs w:val="24"/>
        </w:rPr>
      </w:pPr>
      <w:r w:rsidRPr="00216999">
        <w:rPr>
          <w:sz w:val="24"/>
          <w:szCs w:val="24"/>
        </w:rPr>
        <w:t>Pelli, D. G., Tillman, K. A., Freeman, J., Su, M., Berger, T. D., &amp; Majaj, N. J. (2007). Crowding and eccentricity determine reading rate. Journal of vision, 7(2), 20.</w:t>
      </w:r>
    </w:p>
    <w:p w:rsidR="00DF7D5B" w:rsidRPr="00216999" w:rsidRDefault="00DF7D5B" w:rsidP="00DF7D5B">
      <w:pPr>
        <w:ind w:left="720" w:hanging="720"/>
        <w:rPr>
          <w:sz w:val="24"/>
          <w:szCs w:val="24"/>
        </w:rPr>
      </w:pPr>
      <w:r w:rsidRPr="00216999">
        <w:rPr>
          <w:sz w:val="24"/>
          <w:szCs w:val="24"/>
        </w:rPr>
        <w:t>Pflugshaupt, T., Gutbrod, K., Wurtz, P., von Wartburg, R., Nyffeler, T., de Haan, B., . . . Mueri, R. M. (2009). About the role of visual field defects in pure alexia. Brain, 132(Pt 7), 1907-1917. doi: 10.1093/brain/awp141awp141 [pii]</w:t>
      </w:r>
    </w:p>
    <w:p w:rsidR="00DF7D5B" w:rsidRPr="00216999" w:rsidRDefault="00DF7D5B" w:rsidP="00DF7D5B">
      <w:pPr>
        <w:ind w:left="720" w:hanging="720"/>
        <w:rPr>
          <w:sz w:val="24"/>
          <w:szCs w:val="24"/>
        </w:rPr>
      </w:pPr>
      <w:r w:rsidRPr="00216999">
        <w:rPr>
          <w:sz w:val="24"/>
          <w:szCs w:val="24"/>
        </w:rPr>
        <w:t>Price, C. J., &amp; Devlin, J. T. (2003). The myth of the visual word form area. Neuroimage, 19(3), 473-481. doi: S1053811903000843 [pii]</w:t>
      </w:r>
    </w:p>
    <w:p w:rsidR="00AC2347" w:rsidRPr="00216999" w:rsidRDefault="00AC2347" w:rsidP="00DF7D5B">
      <w:pPr>
        <w:ind w:left="720" w:hanging="720"/>
        <w:rPr>
          <w:sz w:val="24"/>
          <w:szCs w:val="24"/>
        </w:rPr>
      </w:pPr>
      <w:r w:rsidRPr="00216999">
        <w:rPr>
          <w:sz w:val="24"/>
          <w:szCs w:val="24"/>
        </w:rPr>
        <w:t>Price, C. J., &amp; Humphreys, G. W. (1995). Contrasting Effects of Letter-Spacing in Alexia - Further Evidence That Different Strategies Generate Word-Length Effects in Reading. Quarterly Journal of Experimental Psychology Section a-Human Experimental Psychology, 48(3), 573-597.</w:t>
      </w:r>
    </w:p>
    <w:p w:rsidR="00CB63CB" w:rsidRPr="00216999" w:rsidRDefault="00CB63CB" w:rsidP="00DF7D5B">
      <w:pPr>
        <w:ind w:left="720" w:hanging="720"/>
        <w:rPr>
          <w:sz w:val="24"/>
          <w:szCs w:val="24"/>
        </w:rPr>
      </w:pPr>
      <w:r w:rsidRPr="00216999">
        <w:rPr>
          <w:sz w:val="24"/>
          <w:szCs w:val="24"/>
        </w:rPr>
        <w:t>Roberts, D. J., Woollams, A. M., Kim, E., Beeson, P. M., Rapcsak, S. Z., &amp; Ralph, M. A. L. (2012). Efficient visual object and word recognition relies on high spatial frequency coding in the left posterior fusiform gyrus: Evidence from a case-series of patients with ventral occipito-temporal cortex damage. Cerebral Cortex.</w:t>
      </w:r>
    </w:p>
    <w:p w:rsidR="00BE255B" w:rsidRPr="00216999" w:rsidRDefault="00BE255B" w:rsidP="00DF7D5B">
      <w:pPr>
        <w:ind w:left="720" w:hanging="720"/>
        <w:rPr>
          <w:sz w:val="24"/>
          <w:szCs w:val="24"/>
        </w:rPr>
      </w:pPr>
      <w:r w:rsidRPr="00216999">
        <w:rPr>
          <w:sz w:val="24"/>
          <w:szCs w:val="24"/>
        </w:rPr>
        <w:t>Rogelet, P., Delafosse, A., &amp; Destee, A. (1996). Posterior cortical atrophy: Unusual feature of Alzheimer's disease. Neurocase, 2(6), 495-501.</w:t>
      </w:r>
    </w:p>
    <w:p w:rsidR="00460A78" w:rsidRPr="00216999" w:rsidRDefault="00460A78" w:rsidP="00460A78">
      <w:pPr>
        <w:ind w:left="720" w:hanging="720"/>
        <w:rPr>
          <w:sz w:val="24"/>
          <w:szCs w:val="24"/>
        </w:rPr>
      </w:pPr>
      <w:r w:rsidRPr="00216999">
        <w:rPr>
          <w:sz w:val="24"/>
          <w:szCs w:val="24"/>
        </w:rPr>
        <w:t>Russell, C., Malhotra, P., Deidda, C., &amp; Husain, M. (2013). Dynamic attentional modulation of vision across space and time after right hemisphere stroke and in ageing. Cortex, 49(7), 1874-1883. doi: 10.1016/j.cortex.2012.10.005 S0010-9452(12)00307-3 [pii]</w:t>
      </w:r>
    </w:p>
    <w:p w:rsidR="00460A78" w:rsidRPr="00216999" w:rsidRDefault="00460A78" w:rsidP="00460A78">
      <w:pPr>
        <w:ind w:left="720" w:hanging="720"/>
        <w:rPr>
          <w:sz w:val="24"/>
          <w:szCs w:val="24"/>
        </w:rPr>
      </w:pPr>
      <w:r w:rsidRPr="00216999">
        <w:rPr>
          <w:sz w:val="24"/>
          <w:szCs w:val="24"/>
        </w:rPr>
        <w:t>Russell, C., Malhotra, P., &amp; Husain, M. (2004). Attention modulates the visual field in healthy observers and parietal patients. Neuroreport, 15(14), 2189-2193.</w:t>
      </w:r>
    </w:p>
    <w:p w:rsidR="00AC2347" w:rsidRPr="00216999" w:rsidRDefault="00AC2347" w:rsidP="00460A78">
      <w:pPr>
        <w:ind w:left="720" w:hanging="720"/>
        <w:rPr>
          <w:sz w:val="24"/>
          <w:szCs w:val="24"/>
        </w:rPr>
      </w:pPr>
      <w:r w:rsidRPr="00216999">
        <w:rPr>
          <w:sz w:val="24"/>
          <w:szCs w:val="24"/>
        </w:rPr>
        <w:t>Saffran, E. M., &amp; Coslett, H. B. (1996). ''Attentional dyslexia'' in Alzheimer's disease: A case study. Cognitive Neuropsychology, 13(2), 205-228.</w:t>
      </w:r>
    </w:p>
    <w:p w:rsidR="000F710B" w:rsidRPr="00216999" w:rsidRDefault="000F710B" w:rsidP="00460A78">
      <w:pPr>
        <w:ind w:left="720" w:hanging="720"/>
        <w:rPr>
          <w:sz w:val="24"/>
          <w:szCs w:val="24"/>
        </w:rPr>
      </w:pPr>
      <w:r w:rsidRPr="00216999">
        <w:rPr>
          <w:sz w:val="24"/>
          <w:szCs w:val="24"/>
        </w:rPr>
        <w:t>Schofield A. J., Georgeson M. A. (1999). Sensitivity to modulations of luminance and contrast in visual white noise: Separate mechanisms with similar behaviour. Vision Research, 39, 2697–2716</w:t>
      </w:r>
    </w:p>
    <w:p w:rsidR="00DF7D5B" w:rsidRPr="00216999" w:rsidRDefault="00DF7D5B" w:rsidP="00DF7D5B">
      <w:pPr>
        <w:ind w:left="720" w:hanging="720"/>
        <w:rPr>
          <w:sz w:val="24"/>
          <w:szCs w:val="24"/>
        </w:rPr>
      </w:pPr>
      <w:r w:rsidRPr="00216999">
        <w:rPr>
          <w:sz w:val="24"/>
          <w:szCs w:val="24"/>
          <w:lang w:val="it-IT"/>
        </w:rPr>
        <w:t xml:space="preserve">Spieler, D. H., &amp; Balota, D. A. (2000). </w:t>
      </w:r>
      <w:r w:rsidRPr="00216999">
        <w:rPr>
          <w:sz w:val="24"/>
          <w:szCs w:val="24"/>
        </w:rPr>
        <w:t>Factors influencing word naming in younger and older adults. Psychology and Aging, 15(2), 225-231. doi: Doi 10.1037/0882-7974.15.2.225</w:t>
      </w:r>
    </w:p>
    <w:p w:rsidR="00DF7D5B" w:rsidRPr="00216999" w:rsidRDefault="00DF7D5B" w:rsidP="00DF7D5B">
      <w:pPr>
        <w:ind w:left="720" w:hanging="720"/>
        <w:rPr>
          <w:sz w:val="24"/>
          <w:szCs w:val="24"/>
        </w:rPr>
      </w:pPr>
      <w:r w:rsidRPr="00216999">
        <w:rPr>
          <w:sz w:val="24"/>
          <w:szCs w:val="24"/>
        </w:rPr>
        <w:t>Spinelli, D., De Luca, M., Judica, A., &amp; Zoccolotti, P. (2002). Crowding effects on word identification in developmental dyslexia. Cortex, 38(2), 179-200. doi: Doi 10.1016/S0010-9452(08)70649-X</w:t>
      </w:r>
    </w:p>
    <w:p w:rsidR="00DF7D5B" w:rsidRPr="00216999" w:rsidRDefault="00DF7D5B" w:rsidP="00DF7D5B">
      <w:pPr>
        <w:ind w:left="720" w:hanging="720"/>
        <w:rPr>
          <w:sz w:val="24"/>
          <w:szCs w:val="24"/>
        </w:rPr>
      </w:pPr>
      <w:r w:rsidRPr="00216999">
        <w:rPr>
          <w:sz w:val="24"/>
          <w:szCs w:val="24"/>
        </w:rPr>
        <w:t>Szwed, M., Dehaene, S., Kleinschmidt, A., Eger, E., Valabregue, R., Amadon, A., &amp; Cohen, L. (2011). Specialization for written words over objects in the visual cortex. Neuroimage, 56(1), 330-344. doi: DOI 10.1016/j.neuroimage.2011.01.073</w:t>
      </w:r>
    </w:p>
    <w:p w:rsidR="00507550" w:rsidRPr="00216999" w:rsidRDefault="00507550" w:rsidP="00DF7D5B">
      <w:pPr>
        <w:ind w:left="720" w:hanging="720"/>
        <w:rPr>
          <w:sz w:val="24"/>
          <w:szCs w:val="24"/>
        </w:rPr>
      </w:pPr>
      <w:r w:rsidRPr="00216999">
        <w:rPr>
          <w:sz w:val="24"/>
          <w:szCs w:val="24"/>
        </w:rPr>
        <w:t>Tenovuo, O., Kemppainen, N., Aalto, S., Nagren, K., &amp; Rinne, J. O. (2008). Posterior Cortical Atrophy: A Rare Form of Dementia with in vivo Evidence of Amyloid-beta Accumulation. Journal of Alzheimers Disease, 15(3), 351-355.</w:t>
      </w:r>
    </w:p>
    <w:p w:rsidR="00DF7D5B" w:rsidRPr="00216999" w:rsidRDefault="00DF7D5B" w:rsidP="00DF7D5B">
      <w:pPr>
        <w:ind w:left="720" w:hanging="720"/>
        <w:rPr>
          <w:sz w:val="24"/>
          <w:szCs w:val="24"/>
        </w:rPr>
      </w:pPr>
      <w:r w:rsidRPr="00216999">
        <w:rPr>
          <w:sz w:val="24"/>
          <w:szCs w:val="24"/>
        </w:rPr>
        <w:t>Townsend, J. T., Taylor, S. G., &amp; Brown, D. R. (1971). Lateral Masking for Letters with Unlimited Viewing Time. Perception &amp; Psychophysics, 10(5), 375-&amp;. doi: Doi 10.3758/Bf03207464</w:t>
      </w:r>
    </w:p>
    <w:p w:rsidR="00DF7D5B" w:rsidRPr="00216999" w:rsidRDefault="00DF7D5B" w:rsidP="00DF7D5B">
      <w:pPr>
        <w:ind w:left="720" w:hanging="720"/>
        <w:rPr>
          <w:sz w:val="24"/>
          <w:szCs w:val="24"/>
        </w:rPr>
      </w:pPr>
      <w:r w:rsidRPr="00216999">
        <w:rPr>
          <w:sz w:val="24"/>
          <w:szCs w:val="24"/>
        </w:rPr>
        <w:t>Townsend, J. T., Taylor, S. G., &amp; Brown, D. R. (1971). Lateral Masking for Letters with Unlimited Viewing Time. Perception &amp; Psychophysics, 10(5), 375-&amp;. doi: Doi 10.3758/Bf03207464</w:t>
      </w:r>
    </w:p>
    <w:p w:rsidR="00AC2347" w:rsidRPr="00216999" w:rsidRDefault="00AC2347" w:rsidP="00DF7D5B">
      <w:pPr>
        <w:ind w:left="720" w:hanging="720"/>
        <w:rPr>
          <w:sz w:val="24"/>
          <w:szCs w:val="24"/>
        </w:rPr>
      </w:pPr>
      <w:r w:rsidRPr="00216999">
        <w:rPr>
          <w:sz w:val="24"/>
          <w:szCs w:val="24"/>
        </w:rPr>
        <w:t>Tripathy, S. P., &amp; Levi, D. M. (1994). Long-range dichoptic interactions in the human visual cortex in the region corresponding to the blind spot. Vision Res, 34(9), 1127-1138. doi: 0042-6989(94)90295-X [pii]</w:t>
      </w:r>
    </w:p>
    <w:p w:rsidR="00DF7D5B" w:rsidRPr="00216999" w:rsidRDefault="00DF7D5B" w:rsidP="00DF7D5B">
      <w:pPr>
        <w:ind w:left="720" w:hanging="720"/>
        <w:rPr>
          <w:sz w:val="24"/>
          <w:szCs w:val="24"/>
        </w:rPr>
      </w:pPr>
      <w:r w:rsidRPr="00216999">
        <w:rPr>
          <w:sz w:val="24"/>
          <w:szCs w:val="24"/>
        </w:rPr>
        <w:t xml:space="preserve">van der Heijden, A. H., Malhas, M. S., &amp; van den Roovaart, B. P. (1984). An empirical interletter confusion matrix for continuous-line capitals. Percept Psychophys, 35(1), 85-88. </w:t>
      </w:r>
    </w:p>
    <w:p w:rsidR="00DF7D5B" w:rsidRPr="00216999" w:rsidRDefault="00DF7D5B" w:rsidP="00DF7D5B">
      <w:pPr>
        <w:ind w:left="720" w:hanging="720"/>
        <w:rPr>
          <w:sz w:val="24"/>
          <w:szCs w:val="24"/>
        </w:rPr>
      </w:pPr>
      <w:r w:rsidRPr="00216999">
        <w:rPr>
          <w:sz w:val="24"/>
          <w:szCs w:val="24"/>
          <w:lang w:val="it-IT"/>
        </w:rPr>
        <w:t xml:space="preserve">Warrington, E. K., Cipolotti, L., &amp; McNeil, J. (1993). </w:t>
      </w:r>
      <w:r w:rsidRPr="00216999">
        <w:rPr>
          <w:sz w:val="24"/>
          <w:szCs w:val="24"/>
        </w:rPr>
        <w:t>Attentional dyslexia: a single case study. Neuropsychologia, 31(9), 871-885. doi: 0028-3932(93)90145-P [pii]</w:t>
      </w:r>
    </w:p>
    <w:p w:rsidR="00DF7D5B" w:rsidRPr="00216999" w:rsidRDefault="00DF7D5B" w:rsidP="00DF7D5B">
      <w:pPr>
        <w:ind w:left="720" w:hanging="720"/>
        <w:rPr>
          <w:sz w:val="24"/>
          <w:szCs w:val="24"/>
        </w:rPr>
      </w:pPr>
      <w:r w:rsidRPr="00216999">
        <w:rPr>
          <w:sz w:val="24"/>
          <w:szCs w:val="24"/>
        </w:rPr>
        <w:t>Warrington, E. K., &amp; James, M. (1988). Visual Apperceptive Agnosia - a Clinico-Anatomical Study of 3 Cases. Cortex, 24(1), 13-32.</w:t>
      </w:r>
    </w:p>
    <w:p w:rsidR="00DF7D5B" w:rsidRPr="00216999" w:rsidRDefault="00DF7D5B" w:rsidP="00DF7D5B">
      <w:pPr>
        <w:ind w:left="720" w:hanging="720"/>
        <w:rPr>
          <w:sz w:val="24"/>
          <w:szCs w:val="24"/>
        </w:rPr>
      </w:pPr>
      <w:r w:rsidRPr="00216999">
        <w:rPr>
          <w:sz w:val="24"/>
          <w:szCs w:val="24"/>
        </w:rPr>
        <w:t xml:space="preserve">Warrington, E. K., &amp; James, M. (1991). A New Test of Object Decision - 2d Silhouettes Featuring a Minimal View. Cortex, 27(3), 377-383. </w:t>
      </w:r>
    </w:p>
    <w:p w:rsidR="00DF7D5B" w:rsidRPr="00216999" w:rsidRDefault="00DF7D5B" w:rsidP="00DF7D5B">
      <w:pPr>
        <w:ind w:left="720" w:hanging="720"/>
        <w:rPr>
          <w:sz w:val="24"/>
          <w:szCs w:val="24"/>
        </w:rPr>
      </w:pPr>
      <w:r w:rsidRPr="00216999">
        <w:rPr>
          <w:sz w:val="24"/>
          <w:szCs w:val="24"/>
        </w:rPr>
        <w:t xml:space="preserve">Warrington, E. K., McKenna, P., &amp; Orpwood, L. (1998). Single word comprehension: A concrete and abstract word synonym test. Neuropsychological Rehabilitation, 8(2), 143-154. </w:t>
      </w:r>
    </w:p>
    <w:p w:rsidR="00DF7D5B" w:rsidRPr="00216999" w:rsidRDefault="00DF7D5B" w:rsidP="00DF7D5B">
      <w:pPr>
        <w:ind w:left="720" w:hanging="720"/>
        <w:rPr>
          <w:sz w:val="24"/>
          <w:szCs w:val="24"/>
        </w:rPr>
      </w:pPr>
      <w:r w:rsidRPr="00216999">
        <w:rPr>
          <w:sz w:val="24"/>
          <w:szCs w:val="24"/>
        </w:rPr>
        <w:t xml:space="preserve">Warrington, E. K., &amp; Shallice, T. (1980). Word-form dyslexia. Brain, 103(1), 99-112. </w:t>
      </w:r>
    </w:p>
    <w:p w:rsidR="00DF7D5B" w:rsidRPr="00216999" w:rsidRDefault="00DF7D5B" w:rsidP="00DF7D5B">
      <w:pPr>
        <w:ind w:left="720" w:hanging="720"/>
        <w:rPr>
          <w:rFonts w:cstheme="minorHAnsi"/>
          <w:sz w:val="24"/>
          <w:szCs w:val="24"/>
        </w:rPr>
      </w:pPr>
      <w:r w:rsidRPr="00216999">
        <w:rPr>
          <w:sz w:val="24"/>
          <w:szCs w:val="24"/>
        </w:rPr>
        <w:t xml:space="preserve">Weekes, B. S. (1997). Differential effects of number of letters on word and nonword naming latency. Quarterly Journal of Experimental Psychology Section a-Human Experimental Psychology, 50(2), 439-456. doi: Doi </w:t>
      </w:r>
      <w:r w:rsidRPr="00216999">
        <w:rPr>
          <w:rFonts w:cstheme="minorHAnsi"/>
          <w:sz w:val="24"/>
          <w:szCs w:val="24"/>
        </w:rPr>
        <w:t>10.1080/027249897392170</w:t>
      </w:r>
    </w:p>
    <w:p w:rsidR="00DF7D5B" w:rsidRDefault="00DF7D5B" w:rsidP="00DF7D5B">
      <w:pPr>
        <w:ind w:left="720" w:hanging="720"/>
        <w:rPr>
          <w:rFonts w:cstheme="minorHAnsi"/>
          <w:sz w:val="24"/>
          <w:szCs w:val="24"/>
        </w:rPr>
      </w:pPr>
      <w:r w:rsidRPr="00216999">
        <w:rPr>
          <w:rFonts w:cstheme="minorHAnsi"/>
          <w:sz w:val="24"/>
          <w:szCs w:val="24"/>
        </w:rPr>
        <w:t xml:space="preserve">Wolford, G., &amp; Chambers, L. (1984). Contour interaction as a function of retinal eccentricity. Percept Psychophys, 36(5), 457-460. </w:t>
      </w:r>
    </w:p>
    <w:p w:rsidR="00FE4E5F" w:rsidRPr="00216999" w:rsidRDefault="00FE4E5F" w:rsidP="00DF7D5B">
      <w:pPr>
        <w:ind w:left="720" w:hanging="720"/>
        <w:rPr>
          <w:rFonts w:cstheme="minorHAnsi"/>
          <w:sz w:val="24"/>
          <w:szCs w:val="24"/>
        </w:rPr>
      </w:pPr>
      <w:r w:rsidRPr="00FE4E5F">
        <w:rPr>
          <w:rFonts w:cstheme="minorHAnsi"/>
          <w:sz w:val="24"/>
          <w:szCs w:val="24"/>
        </w:rPr>
        <w:t>Yong, K. X., Rajdev, K., Shakespeare, T. J., Leff, A. P., &amp; Crutch, S. J. (2015). Facilitating text reading in posterior cortical atrophy. Neurology, 85(4), 339-348.</w:t>
      </w:r>
    </w:p>
    <w:p w:rsidR="00A161D0" w:rsidRPr="00216999" w:rsidRDefault="00A161D0" w:rsidP="000F7C3D">
      <w:pPr>
        <w:ind w:left="720" w:hanging="720"/>
        <w:rPr>
          <w:rFonts w:cstheme="minorHAnsi"/>
          <w:color w:val="222222"/>
          <w:sz w:val="24"/>
          <w:szCs w:val="24"/>
          <w:shd w:val="clear" w:color="auto" w:fill="FFFFFF"/>
        </w:rPr>
      </w:pPr>
      <w:r w:rsidRPr="00216999">
        <w:rPr>
          <w:rFonts w:cstheme="minorHAnsi"/>
          <w:color w:val="222222"/>
          <w:sz w:val="24"/>
          <w:szCs w:val="24"/>
          <w:shd w:val="clear" w:color="auto" w:fill="FFFFFF"/>
        </w:rPr>
        <w:t>Yong, K. X., Shakespeare, T. J., Cash, D., Henley, S. M., Nicholas, J. M., Ridgway, G. R., Golden H. L., Warrington E. K., Carton A. M., Kaski D., Schott J. M., Warren J. D., &amp; Crutch, S. J. (2014</w:t>
      </w:r>
      <w:r w:rsidR="00B465C3">
        <w:rPr>
          <w:rFonts w:cstheme="minorHAnsi"/>
          <w:color w:val="222222"/>
          <w:sz w:val="24"/>
          <w:szCs w:val="24"/>
          <w:shd w:val="clear" w:color="auto" w:fill="FFFFFF"/>
        </w:rPr>
        <w:t>a</w:t>
      </w:r>
      <w:r w:rsidRPr="00216999">
        <w:rPr>
          <w:rFonts w:cstheme="minorHAnsi"/>
          <w:color w:val="222222"/>
          <w:sz w:val="24"/>
          <w:szCs w:val="24"/>
          <w:shd w:val="clear" w:color="auto" w:fill="FFFFFF"/>
        </w:rPr>
        <w:t>). Prominent effects and neural correlates of visual crowding in a neurodegenerative disease population.</w:t>
      </w:r>
      <w:r w:rsidRPr="00216999">
        <w:rPr>
          <w:rStyle w:val="apple-converted-space"/>
          <w:rFonts w:cstheme="minorHAnsi"/>
          <w:color w:val="222222"/>
          <w:sz w:val="24"/>
          <w:szCs w:val="24"/>
          <w:shd w:val="clear" w:color="auto" w:fill="FFFFFF"/>
        </w:rPr>
        <w:t> </w:t>
      </w:r>
      <w:r w:rsidRPr="00216999">
        <w:rPr>
          <w:rFonts w:cstheme="minorHAnsi"/>
          <w:i/>
          <w:iCs/>
          <w:color w:val="222222"/>
          <w:sz w:val="24"/>
          <w:szCs w:val="24"/>
          <w:shd w:val="clear" w:color="auto" w:fill="FFFFFF"/>
        </w:rPr>
        <w:t>Brain</w:t>
      </w:r>
      <w:r w:rsidRPr="00216999">
        <w:rPr>
          <w:rFonts w:cstheme="minorHAnsi"/>
          <w:color w:val="222222"/>
          <w:sz w:val="24"/>
          <w:szCs w:val="24"/>
          <w:shd w:val="clear" w:color="auto" w:fill="FFFFFF"/>
        </w:rPr>
        <w:t>,</w:t>
      </w:r>
      <w:r w:rsidRPr="00216999">
        <w:rPr>
          <w:rFonts w:cstheme="minorHAnsi"/>
          <w:i/>
          <w:iCs/>
          <w:color w:val="222222"/>
          <w:sz w:val="24"/>
          <w:szCs w:val="24"/>
          <w:shd w:val="clear" w:color="auto" w:fill="FFFFFF"/>
        </w:rPr>
        <w:t>137</w:t>
      </w:r>
      <w:r w:rsidRPr="00216999">
        <w:rPr>
          <w:rFonts w:cstheme="minorHAnsi"/>
          <w:color w:val="222222"/>
          <w:sz w:val="24"/>
          <w:szCs w:val="24"/>
          <w:shd w:val="clear" w:color="auto" w:fill="FFFFFF"/>
        </w:rPr>
        <w:t>(12), 3284-3299.</w:t>
      </w:r>
    </w:p>
    <w:p w:rsidR="00A161D0" w:rsidRPr="00216999" w:rsidRDefault="00A161D0" w:rsidP="000F7C3D">
      <w:pPr>
        <w:ind w:left="720" w:hanging="720"/>
        <w:rPr>
          <w:rFonts w:cstheme="minorHAnsi"/>
          <w:sz w:val="24"/>
          <w:szCs w:val="24"/>
        </w:rPr>
      </w:pPr>
      <w:r w:rsidRPr="00216999">
        <w:rPr>
          <w:rFonts w:cstheme="minorHAnsi"/>
          <w:color w:val="222222"/>
          <w:sz w:val="24"/>
          <w:szCs w:val="24"/>
          <w:shd w:val="clear" w:color="auto" w:fill="FFFFFF"/>
        </w:rPr>
        <w:t>Yong, K. X., Shakespeare, T. J., Cash, D., Henley, S. M., Warren, J. D., &amp; Crutch, S. J. (2014</w:t>
      </w:r>
      <w:r w:rsidR="00B465C3">
        <w:rPr>
          <w:rFonts w:cstheme="minorHAnsi"/>
          <w:color w:val="222222"/>
          <w:sz w:val="24"/>
          <w:szCs w:val="24"/>
          <w:shd w:val="clear" w:color="auto" w:fill="FFFFFF"/>
        </w:rPr>
        <w:t>b</w:t>
      </w:r>
      <w:r w:rsidRPr="00216999">
        <w:rPr>
          <w:rFonts w:cstheme="minorHAnsi"/>
          <w:color w:val="222222"/>
          <w:sz w:val="24"/>
          <w:szCs w:val="24"/>
          <w:shd w:val="clear" w:color="auto" w:fill="FFFFFF"/>
        </w:rPr>
        <w:t>). (Con) text-specific effects of visual dysfunction on reading in posterior cortical atrophy.</w:t>
      </w:r>
      <w:r w:rsidRPr="00216999">
        <w:rPr>
          <w:rStyle w:val="apple-converted-space"/>
          <w:rFonts w:cstheme="minorHAnsi"/>
          <w:color w:val="222222"/>
          <w:sz w:val="24"/>
          <w:szCs w:val="24"/>
          <w:shd w:val="clear" w:color="auto" w:fill="FFFFFF"/>
        </w:rPr>
        <w:t> </w:t>
      </w:r>
      <w:r w:rsidRPr="00216999">
        <w:rPr>
          <w:rFonts w:cstheme="minorHAnsi"/>
          <w:i/>
          <w:iCs/>
          <w:color w:val="222222"/>
          <w:sz w:val="24"/>
          <w:szCs w:val="24"/>
          <w:shd w:val="clear" w:color="auto" w:fill="FFFFFF"/>
        </w:rPr>
        <w:t>Cortex</w:t>
      </w:r>
      <w:r w:rsidRPr="00216999">
        <w:rPr>
          <w:rFonts w:cstheme="minorHAnsi"/>
          <w:color w:val="222222"/>
          <w:sz w:val="24"/>
          <w:szCs w:val="24"/>
          <w:shd w:val="clear" w:color="auto" w:fill="FFFFFF"/>
        </w:rPr>
        <w:t>,</w:t>
      </w:r>
      <w:r w:rsidRPr="00216999">
        <w:rPr>
          <w:rStyle w:val="apple-converted-space"/>
          <w:rFonts w:cstheme="minorHAnsi"/>
          <w:color w:val="222222"/>
          <w:sz w:val="24"/>
          <w:szCs w:val="24"/>
          <w:shd w:val="clear" w:color="auto" w:fill="FFFFFF"/>
        </w:rPr>
        <w:t> </w:t>
      </w:r>
      <w:r w:rsidRPr="00216999">
        <w:rPr>
          <w:rFonts w:cstheme="minorHAnsi"/>
          <w:i/>
          <w:iCs/>
          <w:color w:val="222222"/>
          <w:sz w:val="24"/>
          <w:szCs w:val="24"/>
          <w:shd w:val="clear" w:color="auto" w:fill="FFFFFF"/>
        </w:rPr>
        <w:t>57</w:t>
      </w:r>
      <w:r w:rsidRPr="00216999">
        <w:rPr>
          <w:rFonts w:cstheme="minorHAnsi"/>
          <w:color w:val="222222"/>
          <w:sz w:val="24"/>
          <w:szCs w:val="24"/>
          <w:shd w:val="clear" w:color="auto" w:fill="FFFFFF"/>
        </w:rPr>
        <w:t>, 92-106.</w:t>
      </w:r>
    </w:p>
    <w:p w:rsidR="00DF7D5B" w:rsidRPr="00216999" w:rsidRDefault="00DF7D5B" w:rsidP="00DF7D5B">
      <w:pPr>
        <w:ind w:left="720" w:hanging="720"/>
        <w:rPr>
          <w:rFonts w:cstheme="minorHAnsi"/>
          <w:sz w:val="24"/>
          <w:szCs w:val="24"/>
        </w:rPr>
      </w:pPr>
      <w:r w:rsidRPr="00216999">
        <w:rPr>
          <w:rFonts w:cstheme="minorHAnsi"/>
          <w:sz w:val="24"/>
          <w:szCs w:val="24"/>
        </w:rPr>
        <w:t>Yong, K. X., Warren, J. D., Warrington, E. K., &amp; Crutch, S. J. (2013). Intact reading in patients with profound early visual dysfunction. Cortex. doi: S0010-9452(13)00012-9 [pii]10.1016/j.cortex.2013.01.009</w:t>
      </w:r>
    </w:p>
    <w:p w:rsidR="00A161D0" w:rsidRPr="00216999" w:rsidRDefault="005F709C" w:rsidP="00DF7D5B">
      <w:pPr>
        <w:ind w:left="720" w:hanging="720"/>
        <w:rPr>
          <w:sz w:val="24"/>
          <w:szCs w:val="24"/>
        </w:rPr>
      </w:pPr>
      <w:r w:rsidRPr="005F709C">
        <w:rPr>
          <w:sz w:val="24"/>
          <w:szCs w:val="24"/>
        </w:rPr>
        <w:t>Zorzi, M., Barbiero, C., Facoetti, A., Lonciari, I., Carrozzi, M., Montico, M., ... &amp; Ziegler, J. C. (2012). Extra-large letter spacing improves reading in dyslexia. Proceedings of the National Academy of Sciences, 109(28), 11455-11459.</w:t>
      </w:r>
    </w:p>
    <w:sectPr w:rsidR="00A161D0" w:rsidRPr="00216999" w:rsidSect="005C6B1F">
      <w:pgSz w:w="11906" w:h="16838"/>
      <w:pgMar w:top="720" w:right="720" w:bottom="720" w:left="72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455" w:rsidRDefault="009A6455" w:rsidP="00095BD4">
      <w:pPr>
        <w:spacing w:after="0" w:line="240" w:lineRule="auto"/>
      </w:pPr>
      <w:r>
        <w:separator/>
      </w:r>
    </w:p>
  </w:endnote>
  <w:endnote w:type="continuationSeparator" w:id="0">
    <w:p w:rsidR="009A6455" w:rsidRDefault="009A6455" w:rsidP="00095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455" w:rsidRDefault="009A6455" w:rsidP="00095BD4">
      <w:pPr>
        <w:spacing w:after="0" w:line="240" w:lineRule="auto"/>
      </w:pPr>
      <w:r>
        <w:separator/>
      </w:r>
    </w:p>
  </w:footnote>
  <w:footnote w:type="continuationSeparator" w:id="0">
    <w:p w:rsidR="009A6455" w:rsidRDefault="009A6455" w:rsidP="00095B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5214"/>
    <w:multiLevelType w:val="hybridMultilevel"/>
    <w:tmpl w:val="CCE89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83EC0"/>
    <w:multiLevelType w:val="hybridMultilevel"/>
    <w:tmpl w:val="0C9C19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FD8560C"/>
    <w:multiLevelType w:val="hybridMultilevel"/>
    <w:tmpl w:val="E368A808"/>
    <w:lvl w:ilvl="0" w:tplc="2376AF2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3B2F01"/>
    <w:multiLevelType w:val="hybridMultilevel"/>
    <w:tmpl w:val="3A380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3D0893"/>
    <w:multiLevelType w:val="multilevel"/>
    <w:tmpl w:val="03EE40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6407B07"/>
    <w:multiLevelType w:val="multilevel"/>
    <w:tmpl w:val="03EE40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F044331"/>
    <w:multiLevelType w:val="multilevel"/>
    <w:tmpl w:val="03EE40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E670458"/>
    <w:multiLevelType w:val="hybridMultilevel"/>
    <w:tmpl w:val="BBDA2D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F56D08"/>
    <w:multiLevelType w:val="hybridMultilevel"/>
    <w:tmpl w:val="2B1C15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5F3A5B"/>
    <w:multiLevelType w:val="multilevel"/>
    <w:tmpl w:val="03EE40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2481CE4"/>
    <w:multiLevelType w:val="multilevel"/>
    <w:tmpl w:val="03EE40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6167CAA"/>
    <w:multiLevelType w:val="multilevel"/>
    <w:tmpl w:val="03EE40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A56119A"/>
    <w:multiLevelType w:val="multilevel"/>
    <w:tmpl w:val="03EE40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1"/>
  </w:num>
  <w:num w:numId="3">
    <w:abstractNumId w:val="2"/>
  </w:num>
  <w:num w:numId="4">
    <w:abstractNumId w:val="10"/>
  </w:num>
  <w:num w:numId="5">
    <w:abstractNumId w:val="5"/>
  </w:num>
  <w:num w:numId="6">
    <w:abstractNumId w:val="9"/>
  </w:num>
  <w:num w:numId="7">
    <w:abstractNumId w:val="11"/>
  </w:num>
  <w:num w:numId="8">
    <w:abstractNumId w:val="7"/>
  </w:num>
  <w:num w:numId="9">
    <w:abstractNumId w:val="4"/>
  </w:num>
  <w:num w:numId="10">
    <w:abstractNumId w:val="12"/>
  </w:num>
  <w:num w:numId="11">
    <w:abstractNumId w:val="0"/>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03"/>
    <w:rsid w:val="00003B99"/>
    <w:rsid w:val="00004E9E"/>
    <w:rsid w:val="0000526E"/>
    <w:rsid w:val="00007030"/>
    <w:rsid w:val="000144AB"/>
    <w:rsid w:val="0001512D"/>
    <w:rsid w:val="000152B0"/>
    <w:rsid w:val="00017371"/>
    <w:rsid w:val="00020B26"/>
    <w:rsid w:val="0002193C"/>
    <w:rsid w:val="000238BC"/>
    <w:rsid w:val="00026077"/>
    <w:rsid w:val="0002607D"/>
    <w:rsid w:val="0002687C"/>
    <w:rsid w:val="00026CB7"/>
    <w:rsid w:val="00026F31"/>
    <w:rsid w:val="00030278"/>
    <w:rsid w:val="00032638"/>
    <w:rsid w:val="00034CF7"/>
    <w:rsid w:val="00036804"/>
    <w:rsid w:val="00037388"/>
    <w:rsid w:val="0003740F"/>
    <w:rsid w:val="00037A24"/>
    <w:rsid w:val="00042870"/>
    <w:rsid w:val="000437EC"/>
    <w:rsid w:val="0004638C"/>
    <w:rsid w:val="0004719B"/>
    <w:rsid w:val="00047781"/>
    <w:rsid w:val="00050C24"/>
    <w:rsid w:val="00056390"/>
    <w:rsid w:val="000602A1"/>
    <w:rsid w:val="00061BD5"/>
    <w:rsid w:val="00064FA6"/>
    <w:rsid w:val="00064FC6"/>
    <w:rsid w:val="000716C0"/>
    <w:rsid w:val="00074B55"/>
    <w:rsid w:val="000751B6"/>
    <w:rsid w:val="0007543D"/>
    <w:rsid w:val="000834E4"/>
    <w:rsid w:val="0008514F"/>
    <w:rsid w:val="000904AA"/>
    <w:rsid w:val="00090FEC"/>
    <w:rsid w:val="0009262D"/>
    <w:rsid w:val="00095BD4"/>
    <w:rsid w:val="000A1EFF"/>
    <w:rsid w:val="000A3142"/>
    <w:rsid w:val="000A4918"/>
    <w:rsid w:val="000A5A34"/>
    <w:rsid w:val="000A5F72"/>
    <w:rsid w:val="000B2873"/>
    <w:rsid w:val="000B2C2C"/>
    <w:rsid w:val="000B6C13"/>
    <w:rsid w:val="000B77ED"/>
    <w:rsid w:val="000B7CA8"/>
    <w:rsid w:val="000C7ADA"/>
    <w:rsid w:val="000D2884"/>
    <w:rsid w:val="000D4FB6"/>
    <w:rsid w:val="000D5175"/>
    <w:rsid w:val="000D6731"/>
    <w:rsid w:val="000D7731"/>
    <w:rsid w:val="000E4BA1"/>
    <w:rsid w:val="000E6A05"/>
    <w:rsid w:val="000F23A3"/>
    <w:rsid w:val="000F287E"/>
    <w:rsid w:val="000F30DC"/>
    <w:rsid w:val="000F3BF5"/>
    <w:rsid w:val="000F41FA"/>
    <w:rsid w:val="000F574B"/>
    <w:rsid w:val="000F6023"/>
    <w:rsid w:val="000F710B"/>
    <w:rsid w:val="000F7A78"/>
    <w:rsid w:val="000F7C3D"/>
    <w:rsid w:val="0010110C"/>
    <w:rsid w:val="00103311"/>
    <w:rsid w:val="00104207"/>
    <w:rsid w:val="00105CF5"/>
    <w:rsid w:val="001067FB"/>
    <w:rsid w:val="0011281D"/>
    <w:rsid w:val="00115B29"/>
    <w:rsid w:val="00116184"/>
    <w:rsid w:val="0011622C"/>
    <w:rsid w:val="001178C1"/>
    <w:rsid w:val="0012013C"/>
    <w:rsid w:val="00122D2A"/>
    <w:rsid w:val="001257CF"/>
    <w:rsid w:val="00125D4F"/>
    <w:rsid w:val="00133E82"/>
    <w:rsid w:val="0013656D"/>
    <w:rsid w:val="00137E2F"/>
    <w:rsid w:val="00142632"/>
    <w:rsid w:val="00143C83"/>
    <w:rsid w:val="00144034"/>
    <w:rsid w:val="001443AC"/>
    <w:rsid w:val="00150456"/>
    <w:rsid w:val="00152B6C"/>
    <w:rsid w:val="00153D64"/>
    <w:rsid w:val="00155568"/>
    <w:rsid w:val="00155876"/>
    <w:rsid w:val="001571EB"/>
    <w:rsid w:val="00157A8B"/>
    <w:rsid w:val="001615DF"/>
    <w:rsid w:val="00162422"/>
    <w:rsid w:val="00162D46"/>
    <w:rsid w:val="00162FBE"/>
    <w:rsid w:val="0016479B"/>
    <w:rsid w:val="00165ED3"/>
    <w:rsid w:val="001725B4"/>
    <w:rsid w:val="00172B65"/>
    <w:rsid w:val="0017363D"/>
    <w:rsid w:val="001736AF"/>
    <w:rsid w:val="00181963"/>
    <w:rsid w:val="00183AD1"/>
    <w:rsid w:val="00192C44"/>
    <w:rsid w:val="0019330C"/>
    <w:rsid w:val="0019722E"/>
    <w:rsid w:val="001A08BE"/>
    <w:rsid w:val="001A67B3"/>
    <w:rsid w:val="001A6AA6"/>
    <w:rsid w:val="001B0C7E"/>
    <w:rsid w:val="001B22DE"/>
    <w:rsid w:val="001B296B"/>
    <w:rsid w:val="001B2B33"/>
    <w:rsid w:val="001B5063"/>
    <w:rsid w:val="001C2089"/>
    <w:rsid w:val="001C3700"/>
    <w:rsid w:val="001C4BE0"/>
    <w:rsid w:val="001C54ED"/>
    <w:rsid w:val="001C5B6D"/>
    <w:rsid w:val="001C6017"/>
    <w:rsid w:val="001D0DE4"/>
    <w:rsid w:val="001D0EEB"/>
    <w:rsid w:val="001D1F69"/>
    <w:rsid w:val="001D382C"/>
    <w:rsid w:val="001D5EA9"/>
    <w:rsid w:val="001E2981"/>
    <w:rsid w:val="001F1730"/>
    <w:rsid w:val="001F20B5"/>
    <w:rsid w:val="001F34A3"/>
    <w:rsid w:val="001F7547"/>
    <w:rsid w:val="00200779"/>
    <w:rsid w:val="00200DE7"/>
    <w:rsid w:val="00210557"/>
    <w:rsid w:val="002117AE"/>
    <w:rsid w:val="00216999"/>
    <w:rsid w:val="0021703C"/>
    <w:rsid w:val="002216CC"/>
    <w:rsid w:val="00225E84"/>
    <w:rsid w:val="0022608A"/>
    <w:rsid w:val="00226743"/>
    <w:rsid w:val="00227620"/>
    <w:rsid w:val="00230A8A"/>
    <w:rsid w:val="002320EA"/>
    <w:rsid w:val="00235E2B"/>
    <w:rsid w:val="0024006A"/>
    <w:rsid w:val="00240C81"/>
    <w:rsid w:val="002446CC"/>
    <w:rsid w:val="00244759"/>
    <w:rsid w:val="00245FA7"/>
    <w:rsid w:val="002504CB"/>
    <w:rsid w:val="00251895"/>
    <w:rsid w:val="00251974"/>
    <w:rsid w:val="00261AAC"/>
    <w:rsid w:val="002649E4"/>
    <w:rsid w:val="00264AEE"/>
    <w:rsid w:val="00264B06"/>
    <w:rsid w:val="00265403"/>
    <w:rsid w:val="00266B34"/>
    <w:rsid w:val="002679F8"/>
    <w:rsid w:val="00270551"/>
    <w:rsid w:val="00270B83"/>
    <w:rsid w:val="0027136E"/>
    <w:rsid w:val="0027445B"/>
    <w:rsid w:val="002748B3"/>
    <w:rsid w:val="00276E45"/>
    <w:rsid w:val="00276F7C"/>
    <w:rsid w:val="002772D9"/>
    <w:rsid w:val="00280368"/>
    <w:rsid w:val="002819FB"/>
    <w:rsid w:val="0028710F"/>
    <w:rsid w:val="00287B3F"/>
    <w:rsid w:val="00290B83"/>
    <w:rsid w:val="00291B75"/>
    <w:rsid w:val="002926C1"/>
    <w:rsid w:val="00295ED2"/>
    <w:rsid w:val="002A1B76"/>
    <w:rsid w:val="002A369E"/>
    <w:rsid w:val="002A486C"/>
    <w:rsid w:val="002A48E2"/>
    <w:rsid w:val="002A4A57"/>
    <w:rsid w:val="002A5680"/>
    <w:rsid w:val="002A56F7"/>
    <w:rsid w:val="002B4572"/>
    <w:rsid w:val="002B5E38"/>
    <w:rsid w:val="002B6E95"/>
    <w:rsid w:val="002C1998"/>
    <w:rsid w:val="002C2768"/>
    <w:rsid w:val="002C28B1"/>
    <w:rsid w:val="002C5810"/>
    <w:rsid w:val="002C5F01"/>
    <w:rsid w:val="002C7A62"/>
    <w:rsid w:val="002D75B7"/>
    <w:rsid w:val="002E300F"/>
    <w:rsid w:val="002E39C5"/>
    <w:rsid w:val="002E5649"/>
    <w:rsid w:val="002E579D"/>
    <w:rsid w:val="002E5BDD"/>
    <w:rsid w:val="002E5E87"/>
    <w:rsid w:val="002F13B9"/>
    <w:rsid w:val="002F57D8"/>
    <w:rsid w:val="00300488"/>
    <w:rsid w:val="00304153"/>
    <w:rsid w:val="00306497"/>
    <w:rsid w:val="00306AC4"/>
    <w:rsid w:val="003071A0"/>
    <w:rsid w:val="00311378"/>
    <w:rsid w:val="00311688"/>
    <w:rsid w:val="00314608"/>
    <w:rsid w:val="00316285"/>
    <w:rsid w:val="003177FA"/>
    <w:rsid w:val="00321505"/>
    <w:rsid w:val="0033086B"/>
    <w:rsid w:val="00332021"/>
    <w:rsid w:val="00333012"/>
    <w:rsid w:val="00333491"/>
    <w:rsid w:val="00336AC6"/>
    <w:rsid w:val="00337E71"/>
    <w:rsid w:val="00343642"/>
    <w:rsid w:val="00347A0F"/>
    <w:rsid w:val="00351AC0"/>
    <w:rsid w:val="0035273C"/>
    <w:rsid w:val="00352EC2"/>
    <w:rsid w:val="00353685"/>
    <w:rsid w:val="00357F91"/>
    <w:rsid w:val="003611D9"/>
    <w:rsid w:val="00362332"/>
    <w:rsid w:val="00365554"/>
    <w:rsid w:val="00366F93"/>
    <w:rsid w:val="00367872"/>
    <w:rsid w:val="00370054"/>
    <w:rsid w:val="00370C00"/>
    <w:rsid w:val="00370CBA"/>
    <w:rsid w:val="00371C10"/>
    <w:rsid w:val="00375227"/>
    <w:rsid w:val="00377478"/>
    <w:rsid w:val="003805F3"/>
    <w:rsid w:val="003824B3"/>
    <w:rsid w:val="00382B16"/>
    <w:rsid w:val="0038715E"/>
    <w:rsid w:val="00392B37"/>
    <w:rsid w:val="003939A0"/>
    <w:rsid w:val="00397997"/>
    <w:rsid w:val="003A1161"/>
    <w:rsid w:val="003A240B"/>
    <w:rsid w:val="003A2D0F"/>
    <w:rsid w:val="003A5851"/>
    <w:rsid w:val="003B0736"/>
    <w:rsid w:val="003B1154"/>
    <w:rsid w:val="003B20B8"/>
    <w:rsid w:val="003B25C8"/>
    <w:rsid w:val="003B3ED9"/>
    <w:rsid w:val="003B44D8"/>
    <w:rsid w:val="003B5285"/>
    <w:rsid w:val="003C144D"/>
    <w:rsid w:val="003C7C66"/>
    <w:rsid w:val="003D1FF4"/>
    <w:rsid w:val="003D2D47"/>
    <w:rsid w:val="003D387D"/>
    <w:rsid w:val="003D6F4D"/>
    <w:rsid w:val="003E1CC2"/>
    <w:rsid w:val="003E5D84"/>
    <w:rsid w:val="003E7258"/>
    <w:rsid w:val="003E7E0C"/>
    <w:rsid w:val="003F0245"/>
    <w:rsid w:val="003F11E1"/>
    <w:rsid w:val="003F2302"/>
    <w:rsid w:val="003F2C51"/>
    <w:rsid w:val="003F5425"/>
    <w:rsid w:val="003F5C12"/>
    <w:rsid w:val="003F7D42"/>
    <w:rsid w:val="004022C6"/>
    <w:rsid w:val="00402757"/>
    <w:rsid w:val="00406442"/>
    <w:rsid w:val="004067C3"/>
    <w:rsid w:val="00406DA2"/>
    <w:rsid w:val="004076D1"/>
    <w:rsid w:val="004101C9"/>
    <w:rsid w:val="00410456"/>
    <w:rsid w:val="0041122F"/>
    <w:rsid w:val="004112FC"/>
    <w:rsid w:val="00411FCA"/>
    <w:rsid w:val="00412DBB"/>
    <w:rsid w:val="004143D3"/>
    <w:rsid w:val="004151A4"/>
    <w:rsid w:val="00415905"/>
    <w:rsid w:val="00416DB8"/>
    <w:rsid w:val="00420349"/>
    <w:rsid w:val="00422BFF"/>
    <w:rsid w:val="004234FD"/>
    <w:rsid w:val="004306B4"/>
    <w:rsid w:val="00433E34"/>
    <w:rsid w:val="00442FE9"/>
    <w:rsid w:val="0044387E"/>
    <w:rsid w:val="00447D46"/>
    <w:rsid w:val="00453C3F"/>
    <w:rsid w:val="004543EB"/>
    <w:rsid w:val="00457A2C"/>
    <w:rsid w:val="00460A78"/>
    <w:rsid w:val="0046390E"/>
    <w:rsid w:val="0046449B"/>
    <w:rsid w:val="0046475C"/>
    <w:rsid w:val="0046506B"/>
    <w:rsid w:val="00465939"/>
    <w:rsid w:val="00474358"/>
    <w:rsid w:val="00474517"/>
    <w:rsid w:val="00476374"/>
    <w:rsid w:val="0047663F"/>
    <w:rsid w:val="00477BAF"/>
    <w:rsid w:val="00480A9D"/>
    <w:rsid w:val="0048331E"/>
    <w:rsid w:val="00484453"/>
    <w:rsid w:val="00485DF8"/>
    <w:rsid w:val="00494A8E"/>
    <w:rsid w:val="004A03CA"/>
    <w:rsid w:val="004A0A3B"/>
    <w:rsid w:val="004A246E"/>
    <w:rsid w:val="004A2F3B"/>
    <w:rsid w:val="004A5494"/>
    <w:rsid w:val="004A7CC9"/>
    <w:rsid w:val="004B0010"/>
    <w:rsid w:val="004B05FA"/>
    <w:rsid w:val="004B16A5"/>
    <w:rsid w:val="004B4396"/>
    <w:rsid w:val="004B7738"/>
    <w:rsid w:val="004C0E1C"/>
    <w:rsid w:val="004C1450"/>
    <w:rsid w:val="004C258F"/>
    <w:rsid w:val="004D104A"/>
    <w:rsid w:val="004D3225"/>
    <w:rsid w:val="004E46FA"/>
    <w:rsid w:val="004F0BC2"/>
    <w:rsid w:val="004F1461"/>
    <w:rsid w:val="005008BD"/>
    <w:rsid w:val="00501625"/>
    <w:rsid w:val="00502145"/>
    <w:rsid w:val="00506280"/>
    <w:rsid w:val="00507550"/>
    <w:rsid w:val="0050766C"/>
    <w:rsid w:val="005079CD"/>
    <w:rsid w:val="0051474B"/>
    <w:rsid w:val="00515CEA"/>
    <w:rsid w:val="00516E15"/>
    <w:rsid w:val="0052097E"/>
    <w:rsid w:val="00521767"/>
    <w:rsid w:val="005248AC"/>
    <w:rsid w:val="00525776"/>
    <w:rsid w:val="0052584E"/>
    <w:rsid w:val="00527DE4"/>
    <w:rsid w:val="00531874"/>
    <w:rsid w:val="00531A5E"/>
    <w:rsid w:val="00532464"/>
    <w:rsid w:val="00532912"/>
    <w:rsid w:val="00532C02"/>
    <w:rsid w:val="00535A92"/>
    <w:rsid w:val="00541B5F"/>
    <w:rsid w:val="00564871"/>
    <w:rsid w:val="0056608F"/>
    <w:rsid w:val="0057001D"/>
    <w:rsid w:val="00571F49"/>
    <w:rsid w:val="00572A52"/>
    <w:rsid w:val="0057766A"/>
    <w:rsid w:val="005777C0"/>
    <w:rsid w:val="00577E76"/>
    <w:rsid w:val="0058078E"/>
    <w:rsid w:val="00582D64"/>
    <w:rsid w:val="00586948"/>
    <w:rsid w:val="00597355"/>
    <w:rsid w:val="005A3539"/>
    <w:rsid w:val="005A6C0C"/>
    <w:rsid w:val="005A6DEB"/>
    <w:rsid w:val="005A7E95"/>
    <w:rsid w:val="005B3A01"/>
    <w:rsid w:val="005B528E"/>
    <w:rsid w:val="005B6910"/>
    <w:rsid w:val="005B7C6F"/>
    <w:rsid w:val="005C2DFB"/>
    <w:rsid w:val="005C4206"/>
    <w:rsid w:val="005C4E61"/>
    <w:rsid w:val="005C6B1F"/>
    <w:rsid w:val="005C730C"/>
    <w:rsid w:val="005C74F9"/>
    <w:rsid w:val="005D009C"/>
    <w:rsid w:val="005D0D2B"/>
    <w:rsid w:val="005D1167"/>
    <w:rsid w:val="005D1191"/>
    <w:rsid w:val="005D12F6"/>
    <w:rsid w:val="005D44FB"/>
    <w:rsid w:val="005D5214"/>
    <w:rsid w:val="005D56FF"/>
    <w:rsid w:val="005D7690"/>
    <w:rsid w:val="005F4F79"/>
    <w:rsid w:val="005F50C3"/>
    <w:rsid w:val="005F665B"/>
    <w:rsid w:val="005F6AF5"/>
    <w:rsid w:val="005F6E83"/>
    <w:rsid w:val="005F709C"/>
    <w:rsid w:val="00600359"/>
    <w:rsid w:val="00602767"/>
    <w:rsid w:val="00604D75"/>
    <w:rsid w:val="00607299"/>
    <w:rsid w:val="0061044C"/>
    <w:rsid w:val="00615918"/>
    <w:rsid w:val="00616F15"/>
    <w:rsid w:val="00621FE2"/>
    <w:rsid w:val="006223BF"/>
    <w:rsid w:val="00623970"/>
    <w:rsid w:val="006244C6"/>
    <w:rsid w:val="00625223"/>
    <w:rsid w:val="00625438"/>
    <w:rsid w:val="0062787C"/>
    <w:rsid w:val="00634B7C"/>
    <w:rsid w:val="00641678"/>
    <w:rsid w:val="00643206"/>
    <w:rsid w:val="00643D4E"/>
    <w:rsid w:val="00644ADF"/>
    <w:rsid w:val="00646AEC"/>
    <w:rsid w:val="00650722"/>
    <w:rsid w:val="00651597"/>
    <w:rsid w:val="006517F8"/>
    <w:rsid w:val="0065257D"/>
    <w:rsid w:val="00653ED9"/>
    <w:rsid w:val="00654751"/>
    <w:rsid w:val="006602AF"/>
    <w:rsid w:val="00661D28"/>
    <w:rsid w:val="00662293"/>
    <w:rsid w:val="00663B68"/>
    <w:rsid w:val="00666486"/>
    <w:rsid w:val="006664AC"/>
    <w:rsid w:val="00666EBE"/>
    <w:rsid w:val="00670E07"/>
    <w:rsid w:val="00675AC7"/>
    <w:rsid w:val="006764B4"/>
    <w:rsid w:val="00681977"/>
    <w:rsid w:val="006829BF"/>
    <w:rsid w:val="0068794B"/>
    <w:rsid w:val="006905FB"/>
    <w:rsid w:val="00690A93"/>
    <w:rsid w:val="0069298B"/>
    <w:rsid w:val="00693A4C"/>
    <w:rsid w:val="00693CCC"/>
    <w:rsid w:val="00697717"/>
    <w:rsid w:val="006A1A17"/>
    <w:rsid w:val="006A1BC6"/>
    <w:rsid w:val="006A6326"/>
    <w:rsid w:val="006B140D"/>
    <w:rsid w:val="006B3003"/>
    <w:rsid w:val="006B4FAC"/>
    <w:rsid w:val="006B5345"/>
    <w:rsid w:val="006B7CA5"/>
    <w:rsid w:val="006C43BB"/>
    <w:rsid w:val="006C5314"/>
    <w:rsid w:val="006C74DC"/>
    <w:rsid w:val="006C7D33"/>
    <w:rsid w:val="006D0095"/>
    <w:rsid w:val="006D0836"/>
    <w:rsid w:val="006D156F"/>
    <w:rsid w:val="006D2FD0"/>
    <w:rsid w:val="006D3DCE"/>
    <w:rsid w:val="006D45E0"/>
    <w:rsid w:val="006D49C9"/>
    <w:rsid w:val="006D4F0D"/>
    <w:rsid w:val="006E1D01"/>
    <w:rsid w:val="006F1ED5"/>
    <w:rsid w:val="006F7F7D"/>
    <w:rsid w:val="00700E35"/>
    <w:rsid w:val="0070292B"/>
    <w:rsid w:val="007034A4"/>
    <w:rsid w:val="0071255F"/>
    <w:rsid w:val="00720364"/>
    <w:rsid w:val="00722BB6"/>
    <w:rsid w:val="00723ACB"/>
    <w:rsid w:val="00724C78"/>
    <w:rsid w:val="0072560E"/>
    <w:rsid w:val="0072613D"/>
    <w:rsid w:val="00727E57"/>
    <w:rsid w:val="00731394"/>
    <w:rsid w:val="00731C93"/>
    <w:rsid w:val="00733611"/>
    <w:rsid w:val="007336F6"/>
    <w:rsid w:val="0073381F"/>
    <w:rsid w:val="007342C0"/>
    <w:rsid w:val="0074304D"/>
    <w:rsid w:val="00746A38"/>
    <w:rsid w:val="0074734F"/>
    <w:rsid w:val="00750E7E"/>
    <w:rsid w:val="00752EFA"/>
    <w:rsid w:val="00753E6E"/>
    <w:rsid w:val="007546AC"/>
    <w:rsid w:val="00763F5A"/>
    <w:rsid w:val="00773F48"/>
    <w:rsid w:val="00774000"/>
    <w:rsid w:val="00774C95"/>
    <w:rsid w:val="007750C4"/>
    <w:rsid w:val="00775F65"/>
    <w:rsid w:val="00777908"/>
    <w:rsid w:val="00777925"/>
    <w:rsid w:val="0078504E"/>
    <w:rsid w:val="00785EC1"/>
    <w:rsid w:val="007957D3"/>
    <w:rsid w:val="00795CB5"/>
    <w:rsid w:val="00796491"/>
    <w:rsid w:val="00796569"/>
    <w:rsid w:val="00797D53"/>
    <w:rsid w:val="007A06C2"/>
    <w:rsid w:val="007A1F10"/>
    <w:rsid w:val="007A2669"/>
    <w:rsid w:val="007A4ED0"/>
    <w:rsid w:val="007A681D"/>
    <w:rsid w:val="007B1FF0"/>
    <w:rsid w:val="007B26A5"/>
    <w:rsid w:val="007B2829"/>
    <w:rsid w:val="007B54E6"/>
    <w:rsid w:val="007B698D"/>
    <w:rsid w:val="007B779F"/>
    <w:rsid w:val="007B7C3B"/>
    <w:rsid w:val="007C01BE"/>
    <w:rsid w:val="007C09DA"/>
    <w:rsid w:val="007C10A7"/>
    <w:rsid w:val="007C6025"/>
    <w:rsid w:val="007C6D7A"/>
    <w:rsid w:val="007D22FC"/>
    <w:rsid w:val="007D51EE"/>
    <w:rsid w:val="007D7708"/>
    <w:rsid w:val="007D7A5C"/>
    <w:rsid w:val="007E10C9"/>
    <w:rsid w:val="007E70A3"/>
    <w:rsid w:val="007E7323"/>
    <w:rsid w:val="007E773E"/>
    <w:rsid w:val="007F4C2C"/>
    <w:rsid w:val="00802273"/>
    <w:rsid w:val="00803C2F"/>
    <w:rsid w:val="00805E96"/>
    <w:rsid w:val="00810C4E"/>
    <w:rsid w:val="0081135F"/>
    <w:rsid w:val="008114D7"/>
    <w:rsid w:val="008139C0"/>
    <w:rsid w:val="00813AB5"/>
    <w:rsid w:val="008176FF"/>
    <w:rsid w:val="00822F62"/>
    <w:rsid w:val="00825EDA"/>
    <w:rsid w:val="00827F51"/>
    <w:rsid w:val="008306FE"/>
    <w:rsid w:val="00841112"/>
    <w:rsid w:val="00841FEA"/>
    <w:rsid w:val="0084319E"/>
    <w:rsid w:val="0085111B"/>
    <w:rsid w:val="008514DD"/>
    <w:rsid w:val="00853E13"/>
    <w:rsid w:val="008550E5"/>
    <w:rsid w:val="0086055B"/>
    <w:rsid w:val="00861202"/>
    <w:rsid w:val="00861EA9"/>
    <w:rsid w:val="008638EE"/>
    <w:rsid w:val="00865432"/>
    <w:rsid w:val="00870E18"/>
    <w:rsid w:val="008714CD"/>
    <w:rsid w:val="00875841"/>
    <w:rsid w:val="00876ABF"/>
    <w:rsid w:val="00877BFB"/>
    <w:rsid w:val="00877E1B"/>
    <w:rsid w:val="00886501"/>
    <w:rsid w:val="00890CC3"/>
    <w:rsid w:val="00893721"/>
    <w:rsid w:val="00894239"/>
    <w:rsid w:val="008A2447"/>
    <w:rsid w:val="008A2993"/>
    <w:rsid w:val="008A59F6"/>
    <w:rsid w:val="008B0515"/>
    <w:rsid w:val="008B49A8"/>
    <w:rsid w:val="008B612F"/>
    <w:rsid w:val="008B6CE6"/>
    <w:rsid w:val="008B7AC2"/>
    <w:rsid w:val="008C6FD0"/>
    <w:rsid w:val="008C7ACD"/>
    <w:rsid w:val="008D44DD"/>
    <w:rsid w:val="008D4FBB"/>
    <w:rsid w:val="008D5088"/>
    <w:rsid w:val="008E24D7"/>
    <w:rsid w:val="008E2584"/>
    <w:rsid w:val="008E3EB3"/>
    <w:rsid w:val="008F23DB"/>
    <w:rsid w:val="008F3885"/>
    <w:rsid w:val="008F4A73"/>
    <w:rsid w:val="008F76A3"/>
    <w:rsid w:val="00902EF2"/>
    <w:rsid w:val="0090344B"/>
    <w:rsid w:val="0091369E"/>
    <w:rsid w:val="009143F6"/>
    <w:rsid w:val="00917333"/>
    <w:rsid w:val="00917F1D"/>
    <w:rsid w:val="00924788"/>
    <w:rsid w:val="00930402"/>
    <w:rsid w:val="00930CD7"/>
    <w:rsid w:val="00935643"/>
    <w:rsid w:val="00935C3D"/>
    <w:rsid w:val="00935C84"/>
    <w:rsid w:val="00940965"/>
    <w:rsid w:val="009448DE"/>
    <w:rsid w:val="00944B02"/>
    <w:rsid w:val="00946497"/>
    <w:rsid w:val="0095342B"/>
    <w:rsid w:val="00953AEC"/>
    <w:rsid w:val="00955049"/>
    <w:rsid w:val="00957285"/>
    <w:rsid w:val="00961E75"/>
    <w:rsid w:val="00963571"/>
    <w:rsid w:val="00965175"/>
    <w:rsid w:val="0096763C"/>
    <w:rsid w:val="00970A93"/>
    <w:rsid w:val="00974FBD"/>
    <w:rsid w:val="009760C2"/>
    <w:rsid w:val="00980639"/>
    <w:rsid w:val="0098175F"/>
    <w:rsid w:val="009829FC"/>
    <w:rsid w:val="00983EF6"/>
    <w:rsid w:val="00985460"/>
    <w:rsid w:val="009876E3"/>
    <w:rsid w:val="00990539"/>
    <w:rsid w:val="0099078F"/>
    <w:rsid w:val="00991982"/>
    <w:rsid w:val="009939AE"/>
    <w:rsid w:val="00994AF3"/>
    <w:rsid w:val="00995415"/>
    <w:rsid w:val="009955DC"/>
    <w:rsid w:val="00996171"/>
    <w:rsid w:val="009A1041"/>
    <w:rsid w:val="009A254D"/>
    <w:rsid w:val="009A47C2"/>
    <w:rsid w:val="009A4B7A"/>
    <w:rsid w:val="009A6455"/>
    <w:rsid w:val="009A6B9B"/>
    <w:rsid w:val="009A6EFE"/>
    <w:rsid w:val="009A79B3"/>
    <w:rsid w:val="009B0ED9"/>
    <w:rsid w:val="009B2149"/>
    <w:rsid w:val="009B5933"/>
    <w:rsid w:val="009B65F7"/>
    <w:rsid w:val="009B7AC6"/>
    <w:rsid w:val="009C0BC4"/>
    <w:rsid w:val="009C3D09"/>
    <w:rsid w:val="009C6253"/>
    <w:rsid w:val="009C7513"/>
    <w:rsid w:val="009D392B"/>
    <w:rsid w:val="009D39A5"/>
    <w:rsid w:val="009E2BB5"/>
    <w:rsid w:val="009E5A00"/>
    <w:rsid w:val="009E6D0F"/>
    <w:rsid w:val="009F091B"/>
    <w:rsid w:val="00A0008F"/>
    <w:rsid w:val="00A10C3E"/>
    <w:rsid w:val="00A161D0"/>
    <w:rsid w:val="00A16581"/>
    <w:rsid w:val="00A21828"/>
    <w:rsid w:val="00A223B7"/>
    <w:rsid w:val="00A22A15"/>
    <w:rsid w:val="00A31800"/>
    <w:rsid w:val="00A31BA4"/>
    <w:rsid w:val="00A35FE6"/>
    <w:rsid w:val="00A360FB"/>
    <w:rsid w:val="00A37E7D"/>
    <w:rsid w:val="00A4079B"/>
    <w:rsid w:val="00A41364"/>
    <w:rsid w:val="00A43EAD"/>
    <w:rsid w:val="00A52EAC"/>
    <w:rsid w:val="00A5498E"/>
    <w:rsid w:val="00A54E8E"/>
    <w:rsid w:val="00A61CAC"/>
    <w:rsid w:val="00A63DBE"/>
    <w:rsid w:val="00A660F9"/>
    <w:rsid w:val="00A67EF5"/>
    <w:rsid w:val="00A72530"/>
    <w:rsid w:val="00A74024"/>
    <w:rsid w:val="00A7689C"/>
    <w:rsid w:val="00A77C92"/>
    <w:rsid w:val="00A81CB7"/>
    <w:rsid w:val="00A837EE"/>
    <w:rsid w:val="00A85543"/>
    <w:rsid w:val="00A85CFF"/>
    <w:rsid w:val="00A86750"/>
    <w:rsid w:val="00A86B76"/>
    <w:rsid w:val="00A87E55"/>
    <w:rsid w:val="00A924A0"/>
    <w:rsid w:val="00A92CA5"/>
    <w:rsid w:val="00A934C0"/>
    <w:rsid w:val="00A9390C"/>
    <w:rsid w:val="00A96563"/>
    <w:rsid w:val="00A96DFF"/>
    <w:rsid w:val="00AA08E6"/>
    <w:rsid w:val="00AA2678"/>
    <w:rsid w:val="00AA59AF"/>
    <w:rsid w:val="00AB0558"/>
    <w:rsid w:val="00AB1E99"/>
    <w:rsid w:val="00AB316A"/>
    <w:rsid w:val="00AB378D"/>
    <w:rsid w:val="00AB3B64"/>
    <w:rsid w:val="00AB5EDC"/>
    <w:rsid w:val="00AB6F45"/>
    <w:rsid w:val="00AB7D73"/>
    <w:rsid w:val="00AC2347"/>
    <w:rsid w:val="00AC2A1B"/>
    <w:rsid w:val="00AC50DD"/>
    <w:rsid w:val="00AC7778"/>
    <w:rsid w:val="00AD0206"/>
    <w:rsid w:val="00AD0DA9"/>
    <w:rsid w:val="00AD5F26"/>
    <w:rsid w:val="00AE0575"/>
    <w:rsid w:val="00AE4F36"/>
    <w:rsid w:val="00AE50D5"/>
    <w:rsid w:val="00AE5795"/>
    <w:rsid w:val="00AE5BB0"/>
    <w:rsid w:val="00AF0598"/>
    <w:rsid w:val="00AF5406"/>
    <w:rsid w:val="00AF7632"/>
    <w:rsid w:val="00B02D82"/>
    <w:rsid w:val="00B038D7"/>
    <w:rsid w:val="00B04046"/>
    <w:rsid w:val="00B043F9"/>
    <w:rsid w:val="00B06918"/>
    <w:rsid w:val="00B114D0"/>
    <w:rsid w:val="00B12278"/>
    <w:rsid w:val="00B13D49"/>
    <w:rsid w:val="00B16153"/>
    <w:rsid w:val="00B21B1A"/>
    <w:rsid w:val="00B274FB"/>
    <w:rsid w:val="00B3611B"/>
    <w:rsid w:val="00B40C92"/>
    <w:rsid w:val="00B436ED"/>
    <w:rsid w:val="00B43A84"/>
    <w:rsid w:val="00B465C3"/>
    <w:rsid w:val="00B47FAA"/>
    <w:rsid w:val="00B5610D"/>
    <w:rsid w:val="00B57115"/>
    <w:rsid w:val="00B579AA"/>
    <w:rsid w:val="00B66254"/>
    <w:rsid w:val="00B66998"/>
    <w:rsid w:val="00B70AFD"/>
    <w:rsid w:val="00B71E70"/>
    <w:rsid w:val="00B72202"/>
    <w:rsid w:val="00B737FF"/>
    <w:rsid w:val="00B74B3B"/>
    <w:rsid w:val="00B75D30"/>
    <w:rsid w:val="00B75D90"/>
    <w:rsid w:val="00B771B6"/>
    <w:rsid w:val="00B77D7D"/>
    <w:rsid w:val="00B80960"/>
    <w:rsid w:val="00B86C9A"/>
    <w:rsid w:val="00B9222B"/>
    <w:rsid w:val="00B94BB2"/>
    <w:rsid w:val="00B953B1"/>
    <w:rsid w:val="00B9687C"/>
    <w:rsid w:val="00B97EC3"/>
    <w:rsid w:val="00BA12A5"/>
    <w:rsid w:val="00BA2E2F"/>
    <w:rsid w:val="00BA67FD"/>
    <w:rsid w:val="00BA6F4B"/>
    <w:rsid w:val="00BA7B59"/>
    <w:rsid w:val="00BB1B72"/>
    <w:rsid w:val="00BB3B7A"/>
    <w:rsid w:val="00BB6E0F"/>
    <w:rsid w:val="00BB700C"/>
    <w:rsid w:val="00BC3F85"/>
    <w:rsid w:val="00BD53A0"/>
    <w:rsid w:val="00BD543D"/>
    <w:rsid w:val="00BE0663"/>
    <w:rsid w:val="00BE196B"/>
    <w:rsid w:val="00BE255B"/>
    <w:rsid w:val="00BE6B84"/>
    <w:rsid w:val="00BF0C45"/>
    <w:rsid w:val="00BF2440"/>
    <w:rsid w:val="00BF44C2"/>
    <w:rsid w:val="00BF6085"/>
    <w:rsid w:val="00BF6E9F"/>
    <w:rsid w:val="00C00AC4"/>
    <w:rsid w:val="00C00E2A"/>
    <w:rsid w:val="00C00E87"/>
    <w:rsid w:val="00C02FB7"/>
    <w:rsid w:val="00C03311"/>
    <w:rsid w:val="00C041CE"/>
    <w:rsid w:val="00C06C43"/>
    <w:rsid w:val="00C161AD"/>
    <w:rsid w:val="00C173CA"/>
    <w:rsid w:val="00C1745B"/>
    <w:rsid w:val="00C200CB"/>
    <w:rsid w:val="00C201BB"/>
    <w:rsid w:val="00C22116"/>
    <w:rsid w:val="00C254BA"/>
    <w:rsid w:val="00C27934"/>
    <w:rsid w:val="00C45972"/>
    <w:rsid w:val="00C47B7D"/>
    <w:rsid w:val="00C52439"/>
    <w:rsid w:val="00C54ED5"/>
    <w:rsid w:val="00C61688"/>
    <w:rsid w:val="00C62B2A"/>
    <w:rsid w:val="00C64180"/>
    <w:rsid w:val="00C64ED8"/>
    <w:rsid w:val="00C65BB6"/>
    <w:rsid w:val="00C67456"/>
    <w:rsid w:val="00C761B8"/>
    <w:rsid w:val="00C76810"/>
    <w:rsid w:val="00C82132"/>
    <w:rsid w:val="00C82D79"/>
    <w:rsid w:val="00C8600C"/>
    <w:rsid w:val="00C870D4"/>
    <w:rsid w:val="00C93028"/>
    <w:rsid w:val="00CA76B4"/>
    <w:rsid w:val="00CB15A9"/>
    <w:rsid w:val="00CB2B25"/>
    <w:rsid w:val="00CB30E8"/>
    <w:rsid w:val="00CB39FB"/>
    <w:rsid w:val="00CB5C94"/>
    <w:rsid w:val="00CB63CB"/>
    <w:rsid w:val="00CB750A"/>
    <w:rsid w:val="00CC132B"/>
    <w:rsid w:val="00CC3194"/>
    <w:rsid w:val="00CC482A"/>
    <w:rsid w:val="00CD0098"/>
    <w:rsid w:val="00CD1B4D"/>
    <w:rsid w:val="00CD1DE6"/>
    <w:rsid w:val="00CD32CA"/>
    <w:rsid w:val="00CD743E"/>
    <w:rsid w:val="00CE01B6"/>
    <w:rsid w:val="00CE3915"/>
    <w:rsid w:val="00CE5EE4"/>
    <w:rsid w:val="00CF2042"/>
    <w:rsid w:val="00CF7BB0"/>
    <w:rsid w:val="00D0057A"/>
    <w:rsid w:val="00D0259C"/>
    <w:rsid w:val="00D05402"/>
    <w:rsid w:val="00D05899"/>
    <w:rsid w:val="00D11014"/>
    <w:rsid w:val="00D11AD2"/>
    <w:rsid w:val="00D12B7C"/>
    <w:rsid w:val="00D161E2"/>
    <w:rsid w:val="00D21A7B"/>
    <w:rsid w:val="00D24AF2"/>
    <w:rsid w:val="00D27D08"/>
    <w:rsid w:val="00D27E51"/>
    <w:rsid w:val="00D3039C"/>
    <w:rsid w:val="00D324EB"/>
    <w:rsid w:val="00D33B4E"/>
    <w:rsid w:val="00D344A2"/>
    <w:rsid w:val="00D34BD5"/>
    <w:rsid w:val="00D34EA3"/>
    <w:rsid w:val="00D34F8B"/>
    <w:rsid w:val="00D357E6"/>
    <w:rsid w:val="00D36331"/>
    <w:rsid w:val="00D427F4"/>
    <w:rsid w:val="00D43052"/>
    <w:rsid w:val="00D449F0"/>
    <w:rsid w:val="00D477AF"/>
    <w:rsid w:val="00D50CCA"/>
    <w:rsid w:val="00D527A5"/>
    <w:rsid w:val="00D56521"/>
    <w:rsid w:val="00D6604E"/>
    <w:rsid w:val="00D67356"/>
    <w:rsid w:val="00D67B16"/>
    <w:rsid w:val="00D70F9C"/>
    <w:rsid w:val="00D72EA0"/>
    <w:rsid w:val="00D73057"/>
    <w:rsid w:val="00D74222"/>
    <w:rsid w:val="00D746B1"/>
    <w:rsid w:val="00D77EB9"/>
    <w:rsid w:val="00D87B49"/>
    <w:rsid w:val="00D95674"/>
    <w:rsid w:val="00D97A9E"/>
    <w:rsid w:val="00DA02DB"/>
    <w:rsid w:val="00DA062F"/>
    <w:rsid w:val="00DA20AA"/>
    <w:rsid w:val="00DA20CD"/>
    <w:rsid w:val="00DA3E53"/>
    <w:rsid w:val="00DA5103"/>
    <w:rsid w:val="00DA5675"/>
    <w:rsid w:val="00DA6368"/>
    <w:rsid w:val="00DA730C"/>
    <w:rsid w:val="00DB1003"/>
    <w:rsid w:val="00DB248D"/>
    <w:rsid w:val="00DB5008"/>
    <w:rsid w:val="00DB7E56"/>
    <w:rsid w:val="00DC08A5"/>
    <w:rsid w:val="00DC1A9C"/>
    <w:rsid w:val="00DC425F"/>
    <w:rsid w:val="00DC4B6F"/>
    <w:rsid w:val="00DD37B0"/>
    <w:rsid w:val="00DE0D46"/>
    <w:rsid w:val="00DE15E5"/>
    <w:rsid w:val="00DE30F2"/>
    <w:rsid w:val="00DE31A5"/>
    <w:rsid w:val="00DE3C02"/>
    <w:rsid w:val="00DE66EC"/>
    <w:rsid w:val="00DE7162"/>
    <w:rsid w:val="00DE766C"/>
    <w:rsid w:val="00DF3F37"/>
    <w:rsid w:val="00DF5AAB"/>
    <w:rsid w:val="00DF7D5B"/>
    <w:rsid w:val="00E0169F"/>
    <w:rsid w:val="00E017B3"/>
    <w:rsid w:val="00E03003"/>
    <w:rsid w:val="00E03C28"/>
    <w:rsid w:val="00E03C74"/>
    <w:rsid w:val="00E11135"/>
    <w:rsid w:val="00E11CB3"/>
    <w:rsid w:val="00E16A46"/>
    <w:rsid w:val="00E2222E"/>
    <w:rsid w:val="00E2518A"/>
    <w:rsid w:val="00E26C0A"/>
    <w:rsid w:val="00E27CA2"/>
    <w:rsid w:val="00E30F0E"/>
    <w:rsid w:val="00E33DD8"/>
    <w:rsid w:val="00E34116"/>
    <w:rsid w:val="00E42A71"/>
    <w:rsid w:val="00E45AF9"/>
    <w:rsid w:val="00E46C3E"/>
    <w:rsid w:val="00E513DD"/>
    <w:rsid w:val="00E52CC8"/>
    <w:rsid w:val="00E5311C"/>
    <w:rsid w:val="00E54384"/>
    <w:rsid w:val="00E5672F"/>
    <w:rsid w:val="00E56EAF"/>
    <w:rsid w:val="00E6307F"/>
    <w:rsid w:val="00E6382A"/>
    <w:rsid w:val="00E63FBB"/>
    <w:rsid w:val="00E65538"/>
    <w:rsid w:val="00E65F37"/>
    <w:rsid w:val="00E67868"/>
    <w:rsid w:val="00E7267C"/>
    <w:rsid w:val="00E733A9"/>
    <w:rsid w:val="00E75075"/>
    <w:rsid w:val="00E7530D"/>
    <w:rsid w:val="00E77B8A"/>
    <w:rsid w:val="00E81DB0"/>
    <w:rsid w:val="00E842AB"/>
    <w:rsid w:val="00E91F2B"/>
    <w:rsid w:val="00E937C4"/>
    <w:rsid w:val="00E93982"/>
    <w:rsid w:val="00E939E9"/>
    <w:rsid w:val="00E93C11"/>
    <w:rsid w:val="00E954AD"/>
    <w:rsid w:val="00EA3B34"/>
    <w:rsid w:val="00EA5C47"/>
    <w:rsid w:val="00EA6A9D"/>
    <w:rsid w:val="00EA7711"/>
    <w:rsid w:val="00EA78ED"/>
    <w:rsid w:val="00EA79EC"/>
    <w:rsid w:val="00EB0404"/>
    <w:rsid w:val="00EB06C6"/>
    <w:rsid w:val="00EB445E"/>
    <w:rsid w:val="00EC3141"/>
    <w:rsid w:val="00EC36D4"/>
    <w:rsid w:val="00EC4EB3"/>
    <w:rsid w:val="00ED0198"/>
    <w:rsid w:val="00ED0E45"/>
    <w:rsid w:val="00ED18C2"/>
    <w:rsid w:val="00ED280E"/>
    <w:rsid w:val="00ED2C3A"/>
    <w:rsid w:val="00ED6505"/>
    <w:rsid w:val="00EE0511"/>
    <w:rsid w:val="00EE0E26"/>
    <w:rsid w:val="00EE4ADA"/>
    <w:rsid w:val="00EE4BE5"/>
    <w:rsid w:val="00EE6323"/>
    <w:rsid w:val="00EE7F0F"/>
    <w:rsid w:val="00EF2746"/>
    <w:rsid w:val="00EF2D8F"/>
    <w:rsid w:val="00EF3CAF"/>
    <w:rsid w:val="00EF3E16"/>
    <w:rsid w:val="00EF7805"/>
    <w:rsid w:val="00EF7C8B"/>
    <w:rsid w:val="00F01EE4"/>
    <w:rsid w:val="00F039F2"/>
    <w:rsid w:val="00F04677"/>
    <w:rsid w:val="00F1234E"/>
    <w:rsid w:val="00F12984"/>
    <w:rsid w:val="00F132BE"/>
    <w:rsid w:val="00F13C83"/>
    <w:rsid w:val="00F14417"/>
    <w:rsid w:val="00F14638"/>
    <w:rsid w:val="00F14E90"/>
    <w:rsid w:val="00F16D6A"/>
    <w:rsid w:val="00F216EA"/>
    <w:rsid w:val="00F2185C"/>
    <w:rsid w:val="00F23255"/>
    <w:rsid w:val="00F268E9"/>
    <w:rsid w:val="00F27AA4"/>
    <w:rsid w:val="00F31FFC"/>
    <w:rsid w:val="00F35347"/>
    <w:rsid w:val="00F3537A"/>
    <w:rsid w:val="00F36F18"/>
    <w:rsid w:val="00F4635D"/>
    <w:rsid w:val="00F476CB"/>
    <w:rsid w:val="00F5256F"/>
    <w:rsid w:val="00F52728"/>
    <w:rsid w:val="00F5345A"/>
    <w:rsid w:val="00F61A2D"/>
    <w:rsid w:val="00F63652"/>
    <w:rsid w:val="00F649A7"/>
    <w:rsid w:val="00F66064"/>
    <w:rsid w:val="00F66D4F"/>
    <w:rsid w:val="00F67F6D"/>
    <w:rsid w:val="00F71207"/>
    <w:rsid w:val="00F73C1D"/>
    <w:rsid w:val="00F760C1"/>
    <w:rsid w:val="00F82E0E"/>
    <w:rsid w:val="00F85AA2"/>
    <w:rsid w:val="00F86F0B"/>
    <w:rsid w:val="00F87115"/>
    <w:rsid w:val="00F874D5"/>
    <w:rsid w:val="00F901EF"/>
    <w:rsid w:val="00F9138D"/>
    <w:rsid w:val="00F93D21"/>
    <w:rsid w:val="00F950B7"/>
    <w:rsid w:val="00F960A6"/>
    <w:rsid w:val="00F96A5D"/>
    <w:rsid w:val="00F96AA8"/>
    <w:rsid w:val="00FA29D1"/>
    <w:rsid w:val="00FA4906"/>
    <w:rsid w:val="00FB2838"/>
    <w:rsid w:val="00FB4014"/>
    <w:rsid w:val="00FB6565"/>
    <w:rsid w:val="00FC28AB"/>
    <w:rsid w:val="00FC59D0"/>
    <w:rsid w:val="00FC6B3D"/>
    <w:rsid w:val="00FD01FF"/>
    <w:rsid w:val="00FE18E8"/>
    <w:rsid w:val="00FE2679"/>
    <w:rsid w:val="00FE3982"/>
    <w:rsid w:val="00FE4E5F"/>
    <w:rsid w:val="00FF5A33"/>
    <w:rsid w:val="00FF5AB0"/>
    <w:rsid w:val="00FF7D11"/>
    <w:rsid w:val="00FF7F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EFAB37"/>
  <w15:docId w15:val="{13C86ABF-DE67-4078-A425-7CD40CAC7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CA5"/>
    <w:pPr>
      <w:ind w:left="720"/>
      <w:contextualSpacing/>
    </w:pPr>
  </w:style>
  <w:style w:type="character" w:styleId="CommentReference">
    <w:name w:val="annotation reference"/>
    <w:basedOn w:val="DefaultParagraphFont"/>
    <w:uiPriority w:val="99"/>
    <w:semiHidden/>
    <w:unhideWhenUsed/>
    <w:rsid w:val="009448DE"/>
    <w:rPr>
      <w:sz w:val="16"/>
      <w:szCs w:val="16"/>
    </w:rPr>
  </w:style>
  <w:style w:type="paragraph" w:styleId="CommentText">
    <w:name w:val="annotation text"/>
    <w:basedOn w:val="Normal"/>
    <w:link w:val="CommentTextChar"/>
    <w:uiPriority w:val="99"/>
    <w:semiHidden/>
    <w:unhideWhenUsed/>
    <w:rsid w:val="009448DE"/>
    <w:pPr>
      <w:spacing w:line="240" w:lineRule="auto"/>
    </w:pPr>
    <w:rPr>
      <w:sz w:val="20"/>
      <w:szCs w:val="20"/>
    </w:rPr>
  </w:style>
  <w:style w:type="character" w:customStyle="1" w:styleId="CommentTextChar">
    <w:name w:val="Comment Text Char"/>
    <w:basedOn w:val="DefaultParagraphFont"/>
    <w:link w:val="CommentText"/>
    <w:uiPriority w:val="99"/>
    <w:semiHidden/>
    <w:rsid w:val="009448DE"/>
    <w:rPr>
      <w:sz w:val="20"/>
      <w:szCs w:val="20"/>
    </w:rPr>
  </w:style>
  <w:style w:type="paragraph" w:styleId="CommentSubject">
    <w:name w:val="annotation subject"/>
    <w:basedOn w:val="CommentText"/>
    <w:next w:val="CommentText"/>
    <w:link w:val="CommentSubjectChar"/>
    <w:uiPriority w:val="99"/>
    <w:semiHidden/>
    <w:unhideWhenUsed/>
    <w:rsid w:val="009448DE"/>
    <w:rPr>
      <w:b/>
      <w:bCs/>
    </w:rPr>
  </w:style>
  <w:style w:type="character" w:customStyle="1" w:styleId="CommentSubjectChar">
    <w:name w:val="Comment Subject Char"/>
    <w:basedOn w:val="CommentTextChar"/>
    <w:link w:val="CommentSubject"/>
    <w:uiPriority w:val="99"/>
    <w:semiHidden/>
    <w:rsid w:val="009448DE"/>
    <w:rPr>
      <w:b/>
      <w:bCs/>
      <w:sz w:val="20"/>
      <w:szCs w:val="20"/>
    </w:rPr>
  </w:style>
  <w:style w:type="paragraph" w:styleId="BalloonText">
    <w:name w:val="Balloon Text"/>
    <w:basedOn w:val="Normal"/>
    <w:link w:val="BalloonTextChar"/>
    <w:uiPriority w:val="99"/>
    <w:semiHidden/>
    <w:unhideWhenUsed/>
    <w:rsid w:val="00944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8DE"/>
    <w:rPr>
      <w:rFonts w:ascii="Tahoma" w:hAnsi="Tahoma" w:cs="Tahoma"/>
      <w:sz w:val="16"/>
      <w:szCs w:val="16"/>
    </w:rPr>
  </w:style>
  <w:style w:type="paragraph" w:styleId="Header">
    <w:name w:val="header"/>
    <w:basedOn w:val="Normal"/>
    <w:link w:val="HeaderChar"/>
    <w:uiPriority w:val="99"/>
    <w:unhideWhenUsed/>
    <w:rsid w:val="00095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BD4"/>
  </w:style>
  <w:style w:type="paragraph" w:styleId="Footer">
    <w:name w:val="footer"/>
    <w:basedOn w:val="Normal"/>
    <w:link w:val="FooterChar"/>
    <w:uiPriority w:val="99"/>
    <w:unhideWhenUsed/>
    <w:rsid w:val="00095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BD4"/>
  </w:style>
  <w:style w:type="paragraph" w:styleId="Revision">
    <w:name w:val="Revision"/>
    <w:hidden/>
    <w:uiPriority w:val="99"/>
    <w:semiHidden/>
    <w:rsid w:val="00061BD5"/>
    <w:pPr>
      <w:spacing w:after="0" w:line="240" w:lineRule="auto"/>
    </w:pPr>
  </w:style>
  <w:style w:type="character" w:customStyle="1" w:styleId="apple-converted-space">
    <w:name w:val="apple-converted-space"/>
    <w:basedOn w:val="DefaultParagraphFont"/>
    <w:rsid w:val="00865432"/>
  </w:style>
  <w:style w:type="character" w:styleId="LineNumber">
    <w:name w:val="line number"/>
    <w:basedOn w:val="DefaultParagraphFont"/>
    <w:uiPriority w:val="99"/>
    <w:semiHidden/>
    <w:unhideWhenUsed/>
    <w:rsid w:val="005D5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8580">
      <w:bodyDiv w:val="1"/>
      <w:marLeft w:val="0"/>
      <w:marRight w:val="0"/>
      <w:marTop w:val="0"/>
      <w:marBottom w:val="0"/>
      <w:divBdr>
        <w:top w:val="none" w:sz="0" w:space="0" w:color="auto"/>
        <w:left w:val="none" w:sz="0" w:space="0" w:color="auto"/>
        <w:bottom w:val="none" w:sz="0" w:space="0" w:color="auto"/>
        <w:right w:val="none" w:sz="0" w:space="0" w:color="auto"/>
      </w:divBdr>
    </w:div>
    <w:div w:id="61607695">
      <w:bodyDiv w:val="1"/>
      <w:marLeft w:val="0"/>
      <w:marRight w:val="0"/>
      <w:marTop w:val="0"/>
      <w:marBottom w:val="0"/>
      <w:divBdr>
        <w:top w:val="none" w:sz="0" w:space="0" w:color="auto"/>
        <w:left w:val="none" w:sz="0" w:space="0" w:color="auto"/>
        <w:bottom w:val="none" w:sz="0" w:space="0" w:color="auto"/>
        <w:right w:val="none" w:sz="0" w:space="0" w:color="auto"/>
      </w:divBdr>
    </w:div>
    <w:div w:id="208494852">
      <w:bodyDiv w:val="1"/>
      <w:marLeft w:val="0"/>
      <w:marRight w:val="0"/>
      <w:marTop w:val="0"/>
      <w:marBottom w:val="0"/>
      <w:divBdr>
        <w:top w:val="none" w:sz="0" w:space="0" w:color="auto"/>
        <w:left w:val="none" w:sz="0" w:space="0" w:color="auto"/>
        <w:bottom w:val="none" w:sz="0" w:space="0" w:color="auto"/>
        <w:right w:val="none" w:sz="0" w:space="0" w:color="auto"/>
      </w:divBdr>
    </w:div>
    <w:div w:id="210389453">
      <w:bodyDiv w:val="1"/>
      <w:marLeft w:val="0"/>
      <w:marRight w:val="0"/>
      <w:marTop w:val="0"/>
      <w:marBottom w:val="0"/>
      <w:divBdr>
        <w:top w:val="none" w:sz="0" w:space="0" w:color="auto"/>
        <w:left w:val="none" w:sz="0" w:space="0" w:color="auto"/>
        <w:bottom w:val="none" w:sz="0" w:space="0" w:color="auto"/>
        <w:right w:val="none" w:sz="0" w:space="0" w:color="auto"/>
      </w:divBdr>
    </w:div>
    <w:div w:id="239144862">
      <w:bodyDiv w:val="1"/>
      <w:marLeft w:val="0"/>
      <w:marRight w:val="0"/>
      <w:marTop w:val="0"/>
      <w:marBottom w:val="0"/>
      <w:divBdr>
        <w:top w:val="none" w:sz="0" w:space="0" w:color="auto"/>
        <w:left w:val="none" w:sz="0" w:space="0" w:color="auto"/>
        <w:bottom w:val="none" w:sz="0" w:space="0" w:color="auto"/>
        <w:right w:val="none" w:sz="0" w:space="0" w:color="auto"/>
      </w:divBdr>
    </w:div>
    <w:div w:id="263731478">
      <w:bodyDiv w:val="1"/>
      <w:marLeft w:val="0"/>
      <w:marRight w:val="0"/>
      <w:marTop w:val="0"/>
      <w:marBottom w:val="0"/>
      <w:divBdr>
        <w:top w:val="none" w:sz="0" w:space="0" w:color="auto"/>
        <w:left w:val="none" w:sz="0" w:space="0" w:color="auto"/>
        <w:bottom w:val="none" w:sz="0" w:space="0" w:color="auto"/>
        <w:right w:val="none" w:sz="0" w:space="0" w:color="auto"/>
      </w:divBdr>
    </w:div>
    <w:div w:id="344746835">
      <w:bodyDiv w:val="1"/>
      <w:marLeft w:val="0"/>
      <w:marRight w:val="0"/>
      <w:marTop w:val="0"/>
      <w:marBottom w:val="0"/>
      <w:divBdr>
        <w:top w:val="none" w:sz="0" w:space="0" w:color="auto"/>
        <w:left w:val="none" w:sz="0" w:space="0" w:color="auto"/>
        <w:bottom w:val="none" w:sz="0" w:space="0" w:color="auto"/>
        <w:right w:val="none" w:sz="0" w:space="0" w:color="auto"/>
      </w:divBdr>
    </w:div>
    <w:div w:id="376584748">
      <w:bodyDiv w:val="1"/>
      <w:marLeft w:val="0"/>
      <w:marRight w:val="0"/>
      <w:marTop w:val="0"/>
      <w:marBottom w:val="0"/>
      <w:divBdr>
        <w:top w:val="none" w:sz="0" w:space="0" w:color="auto"/>
        <w:left w:val="none" w:sz="0" w:space="0" w:color="auto"/>
        <w:bottom w:val="none" w:sz="0" w:space="0" w:color="auto"/>
        <w:right w:val="none" w:sz="0" w:space="0" w:color="auto"/>
      </w:divBdr>
    </w:div>
    <w:div w:id="439840385">
      <w:bodyDiv w:val="1"/>
      <w:marLeft w:val="0"/>
      <w:marRight w:val="0"/>
      <w:marTop w:val="0"/>
      <w:marBottom w:val="0"/>
      <w:divBdr>
        <w:top w:val="none" w:sz="0" w:space="0" w:color="auto"/>
        <w:left w:val="none" w:sz="0" w:space="0" w:color="auto"/>
        <w:bottom w:val="none" w:sz="0" w:space="0" w:color="auto"/>
        <w:right w:val="none" w:sz="0" w:space="0" w:color="auto"/>
      </w:divBdr>
    </w:div>
    <w:div w:id="456685919">
      <w:bodyDiv w:val="1"/>
      <w:marLeft w:val="0"/>
      <w:marRight w:val="0"/>
      <w:marTop w:val="0"/>
      <w:marBottom w:val="0"/>
      <w:divBdr>
        <w:top w:val="none" w:sz="0" w:space="0" w:color="auto"/>
        <w:left w:val="none" w:sz="0" w:space="0" w:color="auto"/>
        <w:bottom w:val="none" w:sz="0" w:space="0" w:color="auto"/>
        <w:right w:val="none" w:sz="0" w:space="0" w:color="auto"/>
      </w:divBdr>
    </w:div>
    <w:div w:id="513812159">
      <w:bodyDiv w:val="1"/>
      <w:marLeft w:val="0"/>
      <w:marRight w:val="0"/>
      <w:marTop w:val="0"/>
      <w:marBottom w:val="0"/>
      <w:divBdr>
        <w:top w:val="none" w:sz="0" w:space="0" w:color="auto"/>
        <w:left w:val="none" w:sz="0" w:space="0" w:color="auto"/>
        <w:bottom w:val="none" w:sz="0" w:space="0" w:color="auto"/>
        <w:right w:val="none" w:sz="0" w:space="0" w:color="auto"/>
      </w:divBdr>
    </w:div>
    <w:div w:id="531115005">
      <w:bodyDiv w:val="1"/>
      <w:marLeft w:val="0"/>
      <w:marRight w:val="0"/>
      <w:marTop w:val="0"/>
      <w:marBottom w:val="0"/>
      <w:divBdr>
        <w:top w:val="none" w:sz="0" w:space="0" w:color="auto"/>
        <w:left w:val="none" w:sz="0" w:space="0" w:color="auto"/>
        <w:bottom w:val="none" w:sz="0" w:space="0" w:color="auto"/>
        <w:right w:val="none" w:sz="0" w:space="0" w:color="auto"/>
      </w:divBdr>
    </w:div>
    <w:div w:id="569583006">
      <w:bodyDiv w:val="1"/>
      <w:marLeft w:val="0"/>
      <w:marRight w:val="0"/>
      <w:marTop w:val="0"/>
      <w:marBottom w:val="0"/>
      <w:divBdr>
        <w:top w:val="none" w:sz="0" w:space="0" w:color="auto"/>
        <w:left w:val="none" w:sz="0" w:space="0" w:color="auto"/>
        <w:bottom w:val="none" w:sz="0" w:space="0" w:color="auto"/>
        <w:right w:val="none" w:sz="0" w:space="0" w:color="auto"/>
      </w:divBdr>
    </w:div>
    <w:div w:id="664093795">
      <w:bodyDiv w:val="1"/>
      <w:marLeft w:val="0"/>
      <w:marRight w:val="0"/>
      <w:marTop w:val="0"/>
      <w:marBottom w:val="0"/>
      <w:divBdr>
        <w:top w:val="none" w:sz="0" w:space="0" w:color="auto"/>
        <w:left w:val="none" w:sz="0" w:space="0" w:color="auto"/>
        <w:bottom w:val="none" w:sz="0" w:space="0" w:color="auto"/>
        <w:right w:val="none" w:sz="0" w:space="0" w:color="auto"/>
      </w:divBdr>
    </w:div>
    <w:div w:id="701324436">
      <w:bodyDiv w:val="1"/>
      <w:marLeft w:val="0"/>
      <w:marRight w:val="0"/>
      <w:marTop w:val="0"/>
      <w:marBottom w:val="0"/>
      <w:divBdr>
        <w:top w:val="none" w:sz="0" w:space="0" w:color="auto"/>
        <w:left w:val="none" w:sz="0" w:space="0" w:color="auto"/>
        <w:bottom w:val="none" w:sz="0" w:space="0" w:color="auto"/>
        <w:right w:val="none" w:sz="0" w:space="0" w:color="auto"/>
      </w:divBdr>
    </w:div>
    <w:div w:id="848907405">
      <w:bodyDiv w:val="1"/>
      <w:marLeft w:val="0"/>
      <w:marRight w:val="0"/>
      <w:marTop w:val="0"/>
      <w:marBottom w:val="0"/>
      <w:divBdr>
        <w:top w:val="none" w:sz="0" w:space="0" w:color="auto"/>
        <w:left w:val="none" w:sz="0" w:space="0" w:color="auto"/>
        <w:bottom w:val="none" w:sz="0" w:space="0" w:color="auto"/>
        <w:right w:val="none" w:sz="0" w:space="0" w:color="auto"/>
      </w:divBdr>
    </w:div>
    <w:div w:id="876048150">
      <w:bodyDiv w:val="1"/>
      <w:marLeft w:val="0"/>
      <w:marRight w:val="0"/>
      <w:marTop w:val="0"/>
      <w:marBottom w:val="0"/>
      <w:divBdr>
        <w:top w:val="none" w:sz="0" w:space="0" w:color="auto"/>
        <w:left w:val="none" w:sz="0" w:space="0" w:color="auto"/>
        <w:bottom w:val="none" w:sz="0" w:space="0" w:color="auto"/>
        <w:right w:val="none" w:sz="0" w:space="0" w:color="auto"/>
      </w:divBdr>
    </w:div>
    <w:div w:id="888959442">
      <w:bodyDiv w:val="1"/>
      <w:marLeft w:val="0"/>
      <w:marRight w:val="0"/>
      <w:marTop w:val="0"/>
      <w:marBottom w:val="0"/>
      <w:divBdr>
        <w:top w:val="none" w:sz="0" w:space="0" w:color="auto"/>
        <w:left w:val="none" w:sz="0" w:space="0" w:color="auto"/>
        <w:bottom w:val="none" w:sz="0" w:space="0" w:color="auto"/>
        <w:right w:val="none" w:sz="0" w:space="0" w:color="auto"/>
      </w:divBdr>
    </w:div>
    <w:div w:id="894507506">
      <w:bodyDiv w:val="1"/>
      <w:marLeft w:val="0"/>
      <w:marRight w:val="0"/>
      <w:marTop w:val="0"/>
      <w:marBottom w:val="0"/>
      <w:divBdr>
        <w:top w:val="none" w:sz="0" w:space="0" w:color="auto"/>
        <w:left w:val="none" w:sz="0" w:space="0" w:color="auto"/>
        <w:bottom w:val="none" w:sz="0" w:space="0" w:color="auto"/>
        <w:right w:val="none" w:sz="0" w:space="0" w:color="auto"/>
      </w:divBdr>
    </w:div>
    <w:div w:id="983850831">
      <w:bodyDiv w:val="1"/>
      <w:marLeft w:val="0"/>
      <w:marRight w:val="0"/>
      <w:marTop w:val="0"/>
      <w:marBottom w:val="0"/>
      <w:divBdr>
        <w:top w:val="none" w:sz="0" w:space="0" w:color="auto"/>
        <w:left w:val="none" w:sz="0" w:space="0" w:color="auto"/>
        <w:bottom w:val="none" w:sz="0" w:space="0" w:color="auto"/>
        <w:right w:val="none" w:sz="0" w:space="0" w:color="auto"/>
      </w:divBdr>
    </w:div>
    <w:div w:id="1005548625">
      <w:bodyDiv w:val="1"/>
      <w:marLeft w:val="0"/>
      <w:marRight w:val="0"/>
      <w:marTop w:val="0"/>
      <w:marBottom w:val="0"/>
      <w:divBdr>
        <w:top w:val="none" w:sz="0" w:space="0" w:color="auto"/>
        <w:left w:val="none" w:sz="0" w:space="0" w:color="auto"/>
        <w:bottom w:val="none" w:sz="0" w:space="0" w:color="auto"/>
        <w:right w:val="none" w:sz="0" w:space="0" w:color="auto"/>
      </w:divBdr>
    </w:div>
    <w:div w:id="1019965709">
      <w:bodyDiv w:val="1"/>
      <w:marLeft w:val="0"/>
      <w:marRight w:val="0"/>
      <w:marTop w:val="0"/>
      <w:marBottom w:val="0"/>
      <w:divBdr>
        <w:top w:val="none" w:sz="0" w:space="0" w:color="auto"/>
        <w:left w:val="none" w:sz="0" w:space="0" w:color="auto"/>
        <w:bottom w:val="none" w:sz="0" w:space="0" w:color="auto"/>
        <w:right w:val="none" w:sz="0" w:space="0" w:color="auto"/>
      </w:divBdr>
    </w:div>
    <w:div w:id="1055665379">
      <w:bodyDiv w:val="1"/>
      <w:marLeft w:val="0"/>
      <w:marRight w:val="0"/>
      <w:marTop w:val="0"/>
      <w:marBottom w:val="0"/>
      <w:divBdr>
        <w:top w:val="none" w:sz="0" w:space="0" w:color="auto"/>
        <w:left w:val="none" w:sz="0" w:space="0" w:color="auto"/>
        <w:bottom w:val="none" w:sz="0" w:space="0" w:color="auto"/>
        <w:right w:val="none" w:sz="0" w:space="0" w:color="auto"/>
      </w:divBdr>
    </w:div>
    <w:div w:id="1179656384">
      <w:bodyDiv w:val="1"/>
      <w:marLeft w:val="0"/>
      <w:marRight w:val="0"/>
      <w:marTop w:val="0"/>
      <w:marBottom w:val="0"/>
      <w:divBdr>
        <w:top w:val="none" w:sz="0" w:space="0" w:color="auto"/>
        <w:left w:val="none" w:sz="0" w:space="0" w:color="auto"/>
        <w:bottom w:val="none" w:sz="0" w:space="0" w:color="auto"/>
        <w:right w:val="none" w:sz="0" w:space="0" w:color="auto"/>
      </w:divBdr>
    </w:div>
    <w:div w:id="1194153460">
      <w:bodyDiv w:val="1"/>
      <w:marLeft w:val="0"/>
      <w:marRight w:val="0"/>
      <w:marTop w:val="0"/>
      <w:marBottom w:val="0"/>
      <w:divBdr>
        <w:top w:val="none" w:sz="0" w:space="0" w:color="auto"/>
        <w:left w:val="none" w:sz="0" w:space="0" w:color="auto"/>
        <w:bottom w:val="none" w:sz="0" w:space="0" w:color="auto"/>
        <w:right w:val="none" w:sz="0" w:space="0" w:color="auto"/>
      </w:divBdr>
    </w:div>
    <w:div w:id="1213881900">
      <w:bodyDiv w:val="1"/>
      <w:marLeft w:val="0"/>
      <w:marRight w:val="0"/>
      <w:marTop w:val="0"/>
      <w:marBottom w:val="0"/>
      <w:divBdr>
        <w:top w:val="none" w:sz="0" w:space="0" w:color="auto"/>
        <w:left w:val="none" w:sz="0" w:space="0" w:color="auto"/>
        <w:bottom w:val="none" w:sz="0" w:space="0" w:color="auto"/>
        <w:right w:val="none" w:sz="0" w:space="0" w:color="auto"/>
      </w:divBdr>
    </w:div>
    <w:div w:id="1247227386">
      <w:bodyDiv w:val="1"/>
      <w:marLeft w:val="0"/>
      <w:marRight w:val="0"/>
      <w:marTop w:val="0"/>
      <w:marBottom w:val="0"/>
      <w:divBdr>
        <w:top w:val="none" w:sz="0" w:space="0" w:color="auto"/>
        <w:left w:val="none" w:sz="0" w:space="0" w:color="auto"/>
        <w:bottom w:val="none" w:sz="0" w:space="0" w:color="auto"/>
        <w:right w:val="none" w:sz="0" w:space="0" w:color="auto"/>
      </w:divBdr>
    </w:div>
    <w:div w:id="1259603709">
      <w:bodyDiv w:val="1"/>
      <w:marLeft w:val="0"/>
      <w:marRight w:val="0"/>
      <w:marTop w:val="0"/>
      <w:marBottom w:val="0"/>
      <w:divBdr>
        <w:top w:val="none" w:sz="0" w:space="0" w:color="auto"/>
        <w:left w:val="none" w:sz="0" w:space="0" w:color="auto"/>
        <w:bottom w:val="none" w:sz="0" w:space="0" w:color="auto"/>
        <w:right w:val="none" w:sz="0" w:space="0" w:color="auto"/>
      </w:divBdr>
    </w:div>
    <w:div w:id="1304307342">
      <w:bodyDiv w:val="1"/>
      <w:marLeft w:val="0"/>
      <w:marRight w:val="0"/>
      <w:marTop w:val="0"/>
      <w:marBottom w:val="0"/>
      <w:divBdr>
        <w:top w:val="none" w:sz="0" w:space="0" w:color="auto"/>
        <w:left w:val="none" w:sz="0" w:space="0" w:color="auto"/>
        <w:bottom w:val="none" w:sz="0" w:space="0" w:color="auto"/>
        <w:right w:val="none" w:sz="0" w:space="0" w:color="auto"/>
      </w:divBdr>
    </w:div>
    <w:div w:id="1329750936">
      <w:bodyDiv w:val="1"/>
      <w:marLeft w:val="0"/>
      <w:marRight w:val="0"/>
      <w:marTop w:val="0"/>
      <w:marBottom w:val="0"/>
      <w:divBdr>
        <w:top w:val="none" w:sz="0" w:space="0" w:color="auto"/>
        <w:left w:val="none" w:sz="0" w:space="0" w:color="auto"/>
        <w:bottom w:val="none" w:sz="0" w:space="0" w:color="auto"/>
        <w:right w:val="none" w:sz="0" w:space="0" w:color="auto"/>
      </w:divBdr>
    </w:div>
    <w:div w:id="1332949901">
      <w:bodyDiv w:val="1"/>
      <w:marLeft w:val="0"/>
      <w:marRight w:val="0"/>
      <w:marTop w:val="0"/>
      <w:marBottom w:val="0"/>
      <w:divBdr>
        <w:top w:val="none" w:sz="0" w:space="0" w:color="auto"/>
        <w:left w:val="none" w:sz="0" w:space="0" w:color="auto"/>
        <w:bottom w:val="none" w:sz="0" w:space="0" w:color="auto"/>
        <w:right w:val="none" w:sz="0" w:space="0" w:color="auto"/>
      </w:divBdr>
    </w:div>
    <w:div w:id="1347748493">
      <w:bodyDiv w:val="1"/>
      <w:marLeft w:val="0"/>
      <w:marRight w:val="0"/>
      <w:marTop w:val="0"/>
      <w:marBottom w:val="0"/>
      <w:divBdr>
        <w:top w:val="none" w:sz="0" w:space="0" w:color="auto"/>
        <w:left w:val="none" w:sz="0" w:space="0" w:color="auto"/>
        <w:bottom w:val="none" w:sz="0" w:space="0" w:color="auto"/>
        <w:right w:val="none" w:sz="0" w:space="0" w:color="auto"/>
      </w:divBdr>
    </w:div>
    <w:div w:id="1352948054">
      <w:bodyDiv w:val="1"/>
      <w:marLeft w:val="0"/>
      <w:marRight w:val="0"/>
      <w:marTop w:val="0"/>
      <w:marBottom w:val="0"/>
      <w:divBdr>
        <w:top w:val="none" w:sz="0" w:space="0" w:color="auto"/>
        <w:left w:val="none" w:sz="0" w:space="0" w:color="auto"/>
        <w:bottom w:val="none" w:sz="0" w:space="0" w:color="auto"/>
        <w:right w:val="none" w:sz="0" w:space="0" w:color="auto"/>
      </w:divBdr>
    </w:div>
    <w:div w:id="1376538417">
      <w:bodyDiv w:val="1"/>
      <w:marLeft w:val="0"/>
      <w:marRight w:val="0"/>
      <w:marTop w:val="0"/>
      <w:marBottom w:val="0"/>
      <w:divBdr>
        <w:top w:val="none" w:sz="0" w:space="0" w:color="auto"/>
        <w:left w:val="none" w:sz="0" w:space="0" w:color="auto"/>
        <w:bottom w:val="none" w:sz="0" w:space="0" w:color="auto"/>
        <w:right w:val="none" w:sz="0" w:space="0" w:color="auto"/>
      </w:divBdr>
    </w:div>
    <w:div w:id="1421871340">
      <w:bodyDiv w:val="1"/>
      <w:marLeft w:val="0"/>
      <w:marRight w:val="0"/>
      <w:marTop w:val="0"/>
      <w:marBottom w:val="0"/>
      <w:divBdr>
        <w:top w:val="none" w:sz="0" w:space="0" w:color="auto"/>
        <w:left w:val="none" w:sz="0" w:space="0" w:color="auto"/>
        <w:bottom w:val="none" w:sz="0" w:space="0" w:color="auto"/>
        <w:right w:val="none" w:sz="0" w:space="0" w:color="auto"/>
      </w:divBdr>
    </w:div>
    <w:div w:id="1529761014">
      <w:bodyDiv w:val="1"/>
      <w:marLeft w:val="0"/>
      <w:marRight w:val="0"/>
      <w:marTop w:val="0"/>
      <w:marBottom w:val="0"/>
      <w:divBdr>
        <w:top w:val="none" w:sz="0" w:space="0" w:color="auto"/>
        <w:left w:val="none" w:sz="0" w:space="0" w:color="auto"/>
        <w:bottom w:val="none" w:sz="0" w:space="0" w:color="auto"/>
        <w:right w:val="none" w:sz="0" w:space="0" w:color="auto"/>
      </w:divBdr>
    </w:div>
    <w:div w:id="1567108361">
      <w:bodyDiv w:val="1"/>
      <w:marLeft w:val="0"/>
      <w:marRight w:val="0"/>
      <w:marTop w:val="0"/>
      <w:marBottom w:val="0"/>
      <w:divBdr>
        <w:top w:val="none" w:sz="0" w:space="0" w:color="auto"/>
        <w:left w:val="none" w:sz="0" w:space="0" w:color="auto"/>
        <w:bottom w:val="none" w:sz="0" w:space="0" w:color="auto"/>
        <w:right w:val="none" w:sz="0" w:space="0" w:color="auto"/>
      </w:divBdr>
    </w:div>
    <w:div w:id="1621034225">
      <w:bodyDiv w:val="1"/>
      <w:marLeft w:val="0"/>
      <w:marRight w:val="0"/>
      <w:marTop w:val="0"/>
      <w:marBottom w:val="0"/>
      <w:divBdr>
        <w:top w:val="none" w:sz="0" w:space="0" w:color="auto"/>
        <w:left w:val="none" w:sz="0" w:space="0" w:color="auto"/>
        <w:bottom w:val="none" w:sz="0" w:space="0" w:color="auto"/>
        <w:right w:val="none" w:sz="0" w:space="0" w:color="auto"/>
      </w:divBdr>
    </w:div>
    <w:div w:id="1622835032">
      <w:bodyDiv w:val="1"/>
      <w:marLeft w:val="0"/>
      <w:marRight w:val="0"/>
      <w:marTop w:val="0"/>
      <w:marBottom w:val="0"/>
      <w:divBdr>
        <w:top w:val="none" w:sz="0" w:space="0" w:color="auto"/>
        <w:left w:val="none" w:sz="0" w:space="0" w:color="auto"/>
        <w:bottom w:val="none" w:sz="0" w:space="0" w:color="auto"/>
        <w:right w:val="none" w:sz="0" w:space="0" w:color="auto"/>
      </w:divBdr>
    </w:div>
    <w:div w:id="1717007790">
      <w:bodyDiv w:val="1"/>
      <w:marLeft w:val="0"/>
      <w:marRight w:val="0"/>
      <w:marTop w:val="0"/>
      <w:marBottom w:val="0"/>
      <w:divBdr>
        <w:top w:val="none" w:sz="0" w:space="0" w:color="auto"/>
        <w:left w:val="none" w:sz="0" w:space="0" w:color="auto"/>
        <w:bottom w:val="none" w:sz="0" w:space="0" w:color="auto"/>
        <w:right w:val="none" w:sz="0" w:space="0" w:color="auto"/>
      </w:divBdr>
    </w:div>
    <w:div w:id="1748989811">
      <w:bodyDiv w:val="1"/>
      <w:marLeft w:val="0"/>
      <w:marRight w:val="0"/>
      <w:marTop w:val="0"/>
      <w:marBottom w:val="0"/>
      <w:divBdr>
        <w:top w:val="none" w:sz="0" w:space="0" w:color="auto"/>
        <w:left w:val="none" w:sz="0" w:space="0" w:color="auto"/>
        <w:bottom w:val="none" w:sz="0" w:space="0" w:color="auto"/>
        <w:right w:val="none" w:sz="0" w:space="0" w:color="auto"/>
      </w:divBdr>
    </w:div>
    <w:div w:id="1753889210">
      <w:bodyDiv w:val="1"/>
      <w:marLeft w:val="0"/>
      <w:marRight w:val="0"/>
      <w:marTop w:val="0"/>
      <w:marBottom w:val="0"/>
      <w:divBdr>
        <w:top w:val="none" w:sz="0" w:space="0" w:color="auto"/>
        <w:left w:val="none" w:sz="0" w:space="0" w:color="auto"/>
        <w:bottom w:val="none" w:sz="0" w:space="0" w:color="auto"/>
        <w:right w:val="none" w:sz="0" w:space="0" w:color="auto"/>
      </w:divBdr>
    </w:div>
    <w:div w:id="1772778718">
      <w:bodyDiv w:val="1"/>
      <w:marLeft w:val="0"/>
      <w:marRight w:val="0"/>
      <w:marTop w:val="0"/>
      <w:marBottom w:val="0"/>
      <w:divBdr>
        <w:top w:val="none" w:sz="0" w:space="0" w:color="auto"/>
        <w:left w:val="none" w:sz="0" w:space="0" w:color="auto"/>
        <w:bottom w:val="none" w:sz="0" w:space="0" w:color="auto"/>
        <w:right w:val="none" w:sz="0" w:space="0" w:color="auto"/>
      </w:divBdr>
    </w:div>
    <w:div w:id="1775906442">
      <w:bodyDiv w:val="1"/>
      <w:marLeft w:val="0"/>
      <w:marRight w:val="0"/>
      <w:marTop w:val="0"/>
      <w:marBottom w:val="0"/>
      <w:divBdr>
        <w:top w:val="none" w:sz="0" w:space="0" w:color="auto"/>
        <w:left w:val="none" w:sz="0" w:space="0" w:color="auto"/>
        <w:bottom w:val="none" w:sz="0" w:space="0" w:color="auto"/>
        <w:right w:val="none" w:sz="0" w:space="0" w:color="auto"/>
      </w:divBdr>
    </w:div>
    <w:div w:id="1983539934">
      <w:bodyDiv w:val="1"/>
      <w:marLeft w:val="0"/>
      <w:marRight w:val="0"/>
      <w:marTop w:val="0"/>
      <w:marBottom w:val="0"/>
      <w:divBdr>
        <w:top w:val="none" w:sz="0" w:space="0" w:color="auto"/>
        <w:left w:val="none" w:sz="0" w:space="0" w:color="auto"/>
        <w:bottom w:val="none" w:sz="0" w:space="0" w:color="auto"/>
        <w:right w:val="none" w:sz="0" w:space="0" w:color="auto"/>
      </w:divBdr>
    </w:div>
    <w:div w:id="1996914088">
      <w:bodyDiv w:val="1"/>
      <w:marLeft w:val="0"/>
      <w:marRight w:val="0"/>
      <w:marTop w:val="0"/>
      <w:marBottom w:val="0"/>
      <w:divBdr>
        <w:top w:val="none" w:sz="0" w:space="0" w:color="auto"/>
        <w:left w:val="none" w:sz="0" w:space="0" w:color="auto"/>
        <w:bottom w:val="none" w:sz="0" w:space="0" w:color="auto"/>
        <w:right w:val="none" w:sz="0" w:space="0" w:color="auto"/>
      </w:divBdr>
    </w:div>
    <w:div w:id="2002543007">
      <w:bodyDiv w:val="1"/>
      <w:marLeft w:val="0"/>
      <w:marRight w:val="0"/>
      <w:marTop w:val="0"/>
      <w:marBottom w:val="0"/>
      <w:divBdr>
        <w:top w:val="none" w:sz="0" w:space="0" w:color="auto"/>
        <w:left w:val="none" w:sz="0" w:space="0" w:color="auto"/>
        <w:bottom w:val="none" w:sz="0" w:space="0" w:color="auto"/>
        <w:right w:val="none" w:sz="0" w:space="0" w:color="auto"/>
      </w:divBdr>
    </w:div>
    <w:div w:id="206840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55503-8BC9-4C2F-9ADC-7C06ECC50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28</Pages>
  <Words>9011</Words>
  <Characters>51366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The Dementia Research Centre</Company>
  <LinksUpToDate>false</LinksUpToDate>
  <CharactersWithSpaces>60257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Keir Yong</dc:creator>
  <cp:lastModifiedBy>Jennifer Nicholas</cp:lastModifiedBy>
  <cp:revision>13</cp:revision>
  <cp:lastPrinted>2015-11-12T10:51:00Z</cp:lastPrinted>
  <dcterms:created xsi:type="dcterms:W3CDTF">2016-02-14T08:59:00Z</dcterms:created>
  <dcterms:modified xsi:type="dcterms:W3CDTF">2016-03-08T17:06:00Z</dcterms:modified>
</cp:coreProperties>
</file>