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E6AB" w14:textId="77777777" w:rsidR="00E17357" w:rsidRPr="00A7253B" w:rsidRDefault="00A7253B" w:rsidP="00A7253B">
      <w:pPr>
        <w:spacing w:after="0" w:line="360" w:lineRule="auto"/>
        <w:rPr>
          <w:rFonts w:ascii="Arial" w:hAnsi="Arial" w:cs="Arial"/>
          <w:b/>
          <w:sz w:val="24"/>
          <w:szCs w:val="24"/>
        </w:rPr>
      </w:pPr>
      <w:r w:rsidRPr="00A7253B">
        <w:rPr>
          <w:rFonts w:ascii="Arial" w:hAnsi="Arial" w:cs="Arial"/>
          <w:b/>
          <w:sz w:val="24"/>
          <w:szCs w:val="24"/>
        </w:rPr>
        <w:t>Statistical Controversies in Reporting of Clinical Trials</w:t>
      </w:r>
    </w:p>
    <w:p w14:paraId="40922901" w14:textId="77777777" w:rsidR="00A7253B" w:rsidRDefault="00A7253B" w:rsidP="00A7253B">
      <w:pPr>
        <w:spacing w:after="0" w:line="360" w:lineRule="auto"/>
        <w:rPr>
          <w:rFonts w:ascii="Arial" w:hAnsi="Arial" w:cs="Arial"/>
          <w:sz w:val="24"/>
          <w:szCs w:val="24"/>
        </w:rPr>
      </w:pPr>
    </w:p>
    <w:p w14:paraId="66766473" w14:textId="77777777" w:rsidR="00D95DDC" w:rsidRPr="00485908" w:rsidRDefault="00D95DDC" w:rsidP="00D95DDC">
      <w:pPr>
        <w:spacing w:after="0" w:line="360" w:lineRule="auto"/>
        <w:rPr>
          <w:rFonts w:ascii="Arial" w:hAnsi="Arial" w:cs="Arial"/>
          <w:sz w:val="24"/>
          <w:szCs w:val="24"/>
          <w:vertAlign w:val="superscript"/>
        </w:rPr>
      </w:pPr>
      <w:r>
        <w:rPr>
          <w:rFonts w:ascii="Arial" w:hAnsi="Arial" w:cs="Arial"/>
          <w:sz w:val="24"/>
          <w:szCs w:val="24"/>
        </w:rPr>
        <w:t xml:space="preserve">Stuart J. </w:t>
      </w:r>
      <w:proofErr w:type="spellStart"/>
      <w:r>
        <w:rPr>
          <w:rFonts w:ascii="Arial" w:hAnsi="Arial" w:cs="Arial"/>
          <w:sz w:val="24"/>
          <w:szCs w:val="24"/>
        </w:rPr>
        <w:t>Pocock</w:t>
      </w:r>
      <w:proofErr w:type="spellEnd"/>
      <w:r>
        <w:rPr>
          <w:rFonts w:ascii="Arial" w:hAnsi="Arial" w:cs="Arial"/>
          <w:sz w:val="24"/>
          <w:szCs w:val="24"/>
        </w:rPr>
        <w:t>, PhD</w:t>
      </w:r>
      <w:r>
        <w:rPr>
          <w:rFonts w:ascii="Arial" w:hAnsi="Arial" w:cs="Arial"/>
          <w:sz w:val="24"/>
          <w:szCs w:val="24"/>
          <w:vertAlign w:val="superscript"/>
        </w:rPr>
        <w:t>*</w:t>
      </w:r>
      <w:r>
        <w:rPr>
          <w:rFonts w:ascii="Arial" w:hAnsi="Arial" w:cs="Arial"/>
          <w:sz w:val="24"/>
          <w:szCs w:val="24"/>
        </w:rPr>
        <w:t>, John JV McMurray, MD</w:t>
      </w:r>
      <w:r>
        <w:rPr>
          <w:rFonts w:ascii="Arial" w:hAnsi="Arial" w:cs="Arial"/>
          <w:sz w:val="24"/>
          <w:szCs w:val="24"/>
          <w:vertAlign w:val="superscript"/>
        </w:rPr>
        <w:t>†</w:t>
      </w:r>
      <w:r>
        <w:rPr>
          <w:rFonts w:ascii="Arial" w:hAnsi="Arial" w:cs="Arial"/>
          <w:sz w:val="24"/>
          <w:szCs w:val="24"/>
        </w:rPr>
        <w:t xml:space="preserve"> and Tim J. Collier, MSc*</w:t>
      </w:r>
    </w:p>
    <w:p w14:paraId="66F87813" w14:textId="77777777" w:rsidR="00D95DDC" w:rsidRDefault="00D95DDC" w:rsidP="00D95DDC">
      <w:pPr>
        <w:spacing w:after="0" w:line="360" w:lineRule="auto"/>
        <w:rPr>
          <w:rFonts w:ascii="Arial" w:hAnsi="Arial" w:cs="Arial"/>
          <w:sz w:val="24"/>
          <w:szCs w:val="24"/>
        </w:rPr>
      </w:pPr>
    </w:p>
    <w:p w14:paraId="65236B1C" w14:textId="77777777" w:rsidR="00D95DDC" w:rsidRDefault="00D95DDC" w:rsidP="00D95DDC">
      <w:pPr>
        <w:spacing w:after="0" w:line="360" w:lineRule="auto"/>
        <w:rPr>
          <w:rFonts w:ascii="Arial" w:hAnsi="Arial" w:cs="Arial"/>
          <w:sz w:val="24"/>
          <w:szCs w:val="24"/>
        </w:rPr>
      </w:pPr>
      <w:r>
        <w:rPr>
          <w:rFonts w:ascii="Arial" w:hAnsi="Arial" w:cs="Arial"/>
          <w:sz w:val="24"/>
          <w:szCs w:val="24"/>
          <w:vertAlign w:val="superscript"/>
        </w:rPr>
        <w:t xml:space="preserve">* </w:t>
      </w:r>
      <w:r>
        <w:rPr>
          <w:rFonts w:ascii="Arial" w:hAnsi="Arial" w:cs="Arial"/>
          <w:sz w:val="24"/>
          <w:szCs w:val="24"/>
        </w:rPr>
        <w:t>Department of Medical Statistics, London School of Hygiene &amp; Tropical Medicine</w:t>
      </w:r>
    </w:p>
    <w:p w14:paraId="1AD0F4D4" w14:textId="77777777" w:rsidR="00D95DDC" w:rsidRPr="00485908" w:rsidRDefault="00D95DDC" w:rsidP="00D95DDC">
      <w:pPr>
        <w:spacing w:after="0" w:line="360" w:lineRule="auto"/>
        <w:rPr>
          <w:rFonts w:ascii="Arial" w:hAnsi="Arial" w:cs="Arial"/>
          <w:sz w:val="24"/>
          <w:szCs w:val="24"/>
        </w:rPr>
      </w:pPr>
      <w:r>
        <w:rPr>
          <w:rFonts w:ascii="Arial" w:hAnsi="Arial" w:cs="Arial"/>
          <w:sz w:val="24"/>
          <w:szCs w:val="24"/>
          <w:vertAlign w:val="superscript"/>
        </w:rPr>
        <w:t>†</w:t>
      </w:r>
      <w:r>
        <w:rPr>
          <w:rFonts w:ascii="Arial" w:hAnsi="Arial" w:cs="Arial"/>
          <w:sz w:val="24"/>
          <w:szCs w:val="24"/>
        </w:rPr>
        <w:t xml:space="preserve"> Institute of Cardiovascular and Medical Sciences, University of Glasgow</w:t>
      </w:r>
    </w:p>
    <w:p w14:paraId="0E33D4CF" w14:textId="77777777" w:rsidR="00A7253B" w:rsidRDefault="00A7253B" w:rsidP="00A7253B">
      <w:pPr>
        <w:spacing w:after="0" w:line="360" w:lineRule="auto"/>
        <w:rPr>
          <w:rFonts w:ascii="Arial" w:hAnsi="Arial" w:cs="Arial"/>
          <w:sz w:val="24"/>
          <w:szCs w:val="24"/>
        </w:rPr>
      </w:pPr>
    </w:p>
    <w:p w14:paraId="66AF802A" w14:textId="77777777" w:rsidR="00AD5988" w:rsidRDefault="00D61611" w:rsidP="00D61611">
      <w:pPr>
        <w:spacing w:after="0" w:line="360" w:lineRule="auto"/>
        <w:rPr>
          <w:rFonts w:ascii="Arial" w:hAnsi="Arial" w:cs="Arial"/>
          <w:sz w:val="24"/>
          <w:szCs w:val="24"/>
        </w:rPr>
      </w:pPr>
      <w:r>
        <w:rPr>
          <w:rFonts w:ascii="Arial" w:hAnsi="Arial" w:cs="Arial"/>
          <w:b/>
          <w:sz w:val="24"/>
          <w:szCs w:val="24"/>
        </w:rPr>
        <w:t>Corresponding Author:</w:t>
      </w:r>
      <w:r>
        <w:rPr>
          <w:rFonts w:ascii="Arial" w:hAnsi="Arial" w:cs="Arial"/>
          <w:sz w:val="24"/>
          <w:szCs w:val="24"/>
        </w:rPr>
        <w:t xml:space="preserve"> Stuart </w:t>
      </w:r>
      <w:proofErr w:type="spellStart"/>
      <w:r>
        <w:rPr>
          <w:rFonts w:ascii="Arial" w:hAnsi="Arial" w:cs="Arial"/>
          <w:sz w:val="24"/>
          <w:szCs w:val="24"/>
        </w:rPr>
        <w:t>Pocock</w:t>
      </w:r>
      <w:proofErr w:type="spellEnd"/>
      <w:r>
        <w:rPr>
          <w:rFonts w:ascii="Arial" w:hAnsi="Arial" w:cs="Arial"/>
          <w:sz w:val="24"/>
          <w:szCs w:val="24"/>
        </w:rPr>
        <w:t>, Department of Medical Statistics, London School of Hygiene &amp; Tropical Medicine</w:t>
      </w:r>
      <w:r w:rsidR="00A255E2">
        <w:rPr>
          <w:rFonts w:ascii="Arial" w:hAnsi="Arial" w:cs="Arial"/>
          <w:sz w:val="24"/>
          <w:szCs w:val="24"/>
        </w:rPr>
        <w:t>,</w:t>
      </w:r>
      <w:r w:rsidR="00AD5988" w:rsidRPr="00AD5988">
        <w:rPr>
          <w:rFonts w:ascii="Arial" w:hAnsi="Arial" w:cs="Arial"/>
          <w:sz w:val="24"/>
          <w:szCs w:val="24"/>
        </w:rPr>
        <w:t xml:space="preserve"> </w:t>
      </w:r>
      <w:r w:rsidR="00AD5988">
        <w:rPr>
          <w:rFonts w:ascii="Arial" w:hAnsi="Arial" w:cs="Arial"/>
          <w:sz w:val="24"/>
          <w:szCs w:val="24"/>
        </w:rPr>
        <w:t>Keppel Street, London, WC1E 7HT, UK.</w:t>
      </w:r>
    </w:p>
    <w:p w14:paraId="1F753854" w14:textId="1D143895" w:rsidR="00D61611" w:rsidRDefault="00A255E2" w:rsidP="00D61611">
      <w:pPr>
        <w:spacing w:after="0" w:line="360" w:lineRule="auto"/>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w:t>
      </w:r>
      <w:hyperlink r:id="rId8" w:history="1">
        <w:r w:rsidRPr="008A26C1">
          <w:rPr>
            <w:rStyle w:val="Hyperlink"/>
            <w:rFonts w:ascii="Arial" w:hAnsi="Arial" w:cs="Arial"/>
            <w:sz w:val="24"/>
            <w:szCs w:val="24"/>
          </w:rPr>
          <w:t>Stuart.Pocock@LSHTM.ac.uk</w:t>
        </w:r>
      </w:hyperlink>
      <w:r>
        <w:rPr>
          <w:rFonts w:ascii="Arial" w:hAnsi="Arial" w:cs="Arial"/>
          <w:sz w:val="24"/>
          <w:szCs w:val="24"/>
        </w:rPr>
        <w:t xml:space="preserve">. </w:t>
      </w:r>
    </w:p>
    <w:p w14:paraId="6EFEC4AE" w14:textId="77777777" w:rsidR="00D61611" w:rsidRDefault="00D61611" w:rsidP="00D61611">
      <w:pPr>
        <w:spacing w:after="0" w:line="360" w:lineRule="auto"/>
        <w:rPr>
          <w:rFonts w:ascii="Arial" w:hAnsi="Arial" w:cs="Arial"/>
          <w:sz w:val="24"/>
          <w:szCs w:val="24"/>
        </w:rPr>
      </w:pPr>
    </w:p>
    <w:p w14:paraId="019B0185" w14:textId="77777777" w:rsidR="008E0F3F" w:rsidRDefault="008E0F3F" w:rsidP="008E0F3F">
      <w:pPr>
        <w:spacing w:line="360" w:lineRule="auto"/>
        <w:rPr>
          <w:rFonts w:ascii="Arial" w:hAnsi="Arial" w:cs="Arial"/>
          <w:sz w:val="20"/>
          <w:szCs w:val="20"/>
        </w:rPr>
      </w:pPr>
      <w:r>
        <w:rPr>
          <w:rFonts w:ascii="Arial" w:hAnsi="Arial" w:cs="Arial"/>
          <w:b/>
          <w:sz w:val="24"/>
          <w:szCs w:val="24"/>
        </w:rPr>
        <w:t xml:space="preserve">Declarations: </w:t>
      </w:r>
      <w:r>
        <w:rPr>
          <w:rFonts w:ascii="Arial" w:hAnsi="Arial" w:cs="Arial"/>
          <w:sz w:val="24"/>
          <w:szCs w:val="20"/>
        </w:rPr>
        <w:t>There are no disclosures for any authors - this is an educational article.</w:t>
      </w:r>
    </w:p>
    <w:p w14:paraId="17117915" w14:textId="77777777" w:rsidR="00D61611" w:rsidRDefault="00D61611" w:rsidP="00A7253B">
      <w:pPr>
        <w:spacing w:after="0" w:line="360" w:lineRule="auto"/>
        <w:rPr>
          <w:rFonts w:ascii="Arial" w:hAnsi="Arial" w:cs="Arial"/>
          <w:sz w:val="24"/>
          <w:szCs w:val="24"/>
        </w:rPr>
      </w:pPr>
    </w:p>
    <w:p w14:paraId="7577BCD2" w14:textId="77777777" w:rsidR="00A7253B" w:rsidRDefault="00A7253B" w:rsidP="00A7253B">
      <w:pPr>
        <w:spacing w:after="0" w:line="360" w:lineRule="auto"/>
        <w:rPr>
          <w:rFonts w:ascii="Arial" w:hAnsi="Arial" w:cs="Arial"/>
          <w:b/>
          <w:sz w:val="24"/>
          <w:szCs w:val="24"/>
        </w:rPr>
      </w:pPr>
      <w:r w:rsidRPr="00A7253B">
        <w:rPr>
          <w:rFonts w:ascii="Arial" w:hAnsi="Arial" w:cs="Arial"/>
          <w:b/>
          <w:sz w:val="24"/>
          <w:szCs w:val="24"/>
        </w:rPr>
        <w:t>Abstract</w:t>
      </w:r>
    </w:p>
    <w:p w14:paraId="0D93CA44" w14:textId="77777777" w:rsidR="008E7251" w:rsidRDefault="008E7251" w:rsidP="00A7253B">
      <w:pPr>
        <w:spacing w:after="0" w:line="360" w:lineRule="auto"/>
        <w:rPr>
          <w:rFonts w:ascii="Arial" w:hAnsi="Arial" w:cs="Arial"/>
          <w:b/>
          <w:sz w:val="24"/>
          <w:szCs w:val="24"/>
        </w:rPr>
      </w:pPr>
    </w:p>
    <w:p w14:paraId="79C33D7C" w14:textId="72D5453F" w:rsidR="008E7251" w:rsidRPr="008E7251" w:rsidRDefault="008E7251" w:rsidP="00A7253B">
      <w:pPr>
        <w:spacing w:after="0" w:line="360" w:lineRule="auto"/>
        <w:rPr>
          <w:rFonts w:ascii="Arial" w:hAnsi="Arial" w:cs="Arial"/>
          <w:sz w:val="24"/>
          <w:szCs w:val="24"/>
        </w:rPr>
      </w:pPr>
      <w:r w:rsidRPr="008E7251">
        <w:rPr>
          <w:rFonts w:ascii="Arial" w:hAnsi="Arial" w:cs="Arial"/>
          <w:sz w:val="24"/>
          <w:szCs w:val="24"/>
        </w:rPr>
        <w:t xml:space="preserve">This </w:t>
      </w:r>
      <w:r>
        <w:rPr>
          <w:rFonts w:ascii="Arial" w:hAnsi="Arial" w:cs="Arial"/>
          <w:sz w:val="24"/>
          <w:szCs w:val="24"/>
        </w:rPr>
        <w:t>article tackles several statistical controversies that are commonly faced when reporting a major clinical trial. Topics covered include: multiplicity of data, interpreting secondary endpoints and composite endpoints, the value of covariate adjustment, the traumas of subgroup analysis, assessing individual benefits and risks,</w:t>
      </w:r>
      <w:r w:rsidR="00D95DDC">
        <w:rPr>
          <w:rFonts w:ascii="Arial" w:hAnsi="Arial" w:cs="Arial"/>
          <w:sz w:val="24"/>
          <w:szCs w:val="24"/>
        </w:rPr>
        <w:t xml:space="preserve"> alternatives to analysis by intention to treat</w:t>
      </w:r>
      <w:r>
        <w:rPr>
          <w:rFonts w:ascii="Arial" w:hAnsi="Arial" w:cs="Arial"/>
          <w:sz w:val="24"/>
          <w:szCs w:val="24"/>
        </w:rPr>
        <w:t>, interpreting surprise</w:t>
      </w:r>
      <w:r w:rsidR="00D95DDC">
        <w:rPr>
          <w:rFonts w:ascii="Arial" w:hAnsi="Arial" w:cs="Arial"/>
          <w:sz w:val="24"/>
          <w:szCs w:val="24"/>
        </w:rPr>
        <w:t xml:space="preserve"> findings (</w:t>
      </w:r>
      <w:r>
        <w:rPr>
          <w:rFonts w:ascii="Arial" w:hAnsi="Arial" w:cs="Arial"/>
          <w:sz w:val="24"/>
          <w:szCs w:val="24"/>
        </w:rPr>
        <w:t>good and bad</w:t>
      </w:r>
      <w:r w:rsidR="00D95DDC">
        <w:rPr>
          <w:rFonts w:ascii="Arial" w:hAnsi="Arial" w:cs="Arial"/>
          <w:sz w:val="24"/>
          <w:szCs w:val="24"/>
        </w:rPr>
        <w:t>)</w:t>
      </w:r>
      <w:r>
        <w:rPr>
          <w:rFonts w:ascii="Arial" w:hAnsi="Arial" w:cs="Arial"/>
          <w:sz w:val="24"/>
          <w:szCs w:val="24"/>
        </w:rPr>
        <w:t xml:space="preserve">, and the overall quality of clinical trial reports. All is put in the context of topical cardiology trial examples, and is geared to help </w:t>
      </w:r>
      <w:proofErr w:type="spellStart"/>
      <w:r>
        <w:rPr>
          <w:rFonts w:ascii="Arial" w:hAnsi="Arial" w:cs="Arial"/>
          <w:sz w:val="24"/>
          <w:szCs w:val="24"/>
        </w:rPr>
        <w:t>trialists</w:t>
      </w:r>
      <w:proofErr w:type="spellEnd"/>
      <w:r>
        <w:rPr>
          <w:rFonts w:ascii="Arial" w:hAnsi="Arial" w:cs="Arial"/>
          <w:sz w:val="24"/>
          <w:szCs w:val="24"/>
        </w:rPr>
        <w:t xml:space="preserve"> to steer a wise c</w:t>
      </w:r>
      <w:r w:rsidR="008046B6">
        <w:rPr>
          <w:rFonts w:ascii="Arial" w:hAnsi="Arial" w:cs="Arial"/>
          <w:sz w:val="24"/>
          <w:szCs w:val="24"/>
        </w:rPr>
        <w:t>our</w:t>
      </w:r>
      <w:r>
        <w:rPr>
          <w:rFonts w:ascii="Arial" w:hAnsi="Arial" w:cs="Arial"/>
          <w:sz w:val="24"/>
          <w:szCs w:val="24"/>
        </w:rPr>
        <w:t xml:space="preserve">se in their statistical reporting, thereby giving readers a balanced account </w:t>
      </w:r>
      <w:r w:rsidR="006D54F7">
        <w:rPr>
          <w:rFonts w:ascii="Arial" w:hAnsi="Arial" w:cs="Arial"/>
          <w:sz w:val="24"/>
          <w:szCs w:val="24"/>
        </w:rPr>
        <w:t>of trial findings.</w:t>
      </w:r>
    </w:p>
    <w:p w14:paraId="521AB362" w14:textId="77777777" w:rsidR="00A7253B" w:rsidRDefault="00A7253B" w:rsidP="00A7253B">
      <w:pPr>
        <w:spacing w:after="0" w:line="360" w:lineRule="auto"/>
        <w:rPr>
          <w:rFonts w:ascii="Arial" w:hAnsi="Arial" w:cs="Arial"/>
          <w:sz w:val="24"/>
          <w:szCs w:val="24"/>
        </w:rPr>
      </w:pPr>
    </w:p>
    <w:p w14:paraId="1A6D6A80" w14:textId="77777777" w:rsidR="00B2006E" w:rsidRDefault="00B2006E" w:rsidP="00A7253B">
      <w:pPr>
        <w:spacing w:after="0" w:line="360" w:lineRule="auto"/>
        <w:rPr>
          <w:rFonts w:ascii="Arial" w:hAnsi="Arial" w:cs="Arial"/>
          <w:b/>
          <w:sz w:val="24"/>
          <w:szCs w:val="24"/>
        </w:rPr>
      </w:pPr>
    </w:p>
    <w:p w14:paraId="7376B38C" w14:textId="31B5EED4" w:rsidR="000478E4" w:rsidRPr="00401FB4" w:rsidRDefault="000478E4" w:rsidP="00A7253B">
      <w:pPr>
        <w:spacing w:after="0" w:line="360" w:lineRule="auto"/>
        <w:rPr>
          <w:rFonts w:ascii="Arial" w:hAnsi="Arial" w:cs="Arial"/>
          <w:b/>
          <w:sz w:val="24"/>
          <w:szCs w:val="24"/>
        </w:rPr>
      </w:pPr>
      <w:r w:rsidRPr="00401FB4">
        <w:rPr>
          <w:rFonts w:ascii="Arial" w:hAnsi="Arial" w:cs="Arial"/>
          <w:b/>
          <w:sz w:val="24"/>
          <w:szCs w:val="24"/>
        </w:rPr>
        <w:t xml:space="preserve">Word count: </w:t>
      </w:r>
      <w:r w:rsidR="00045270">
        <w:rPr>
          <w:rFonts w:ascii="Arial" w:hAnsi="Arial" w:cs="Arial"/>
          <w:b/>
          <w:sz w:val="24"/>
          <w:szCs w:val="24"/>
        </w:rPr>
        <w:t>6830</w:t>
      </w:r>
    </w:p>
    <w:p w14:paraId="147D647D" w14:textId="77777777" w:rsidR="00045270" w:rsidRDefault="00045270">
      <w:pPr>
        <w:rPr>
          <w:rFonts w:ascii="Arial" w:hAnsi="Arial" w:cs="Arial"/>
          <w:b/>
          <w:sz w:val="24"/>
          <w:szCs w:val="24"/>
        </w:rPr>
      </w:pPr>
      <w:r>
        <w:rPr>
          <w:rFonts w:ascii="Arial" w:hAnsi="Arial" w:cs="Arial"/>
          <w:b/>
          <w:sz w:val="24"/>
          <w:szCs w:val="24"/>
        </w:rPr>
        <w:br w:type="page"/>
      </w:r>
    </w:p>
    <w:p w14:paraId="2F5F7035" w14:textId="77777777" w:rsidR="00045270" w:rsidRPr="00045270" w:rsidRDefault="00045270" w:rsidP="00045270">
      <w:pPr>
        <w:spacing w:after="0" w:line="360" w:lineRule="auto"/>
        <w:rPr>
          <w:rFonts w:ascii="Arial" w:hAnsi="Arial" w:cs="Arial"/>
          <w:b/>
          <w:sz w:val="24"/>
          <w:szCs w:val="24"/>
        </w:rPr>
      </w:pPr>
      <w:r w:rsidRPr="00045270">
        <w:rPr>
          <w:rFonts w:ascii="Arial" w:hAnsi="Arial" w:cs="Arial"/>
          <w:b/>
          <w:sz w:val="24"/>
          <w:szCs w:val="24"/>
        </w:rPr>
        <w:lastRenderedPageBreak/>
        <w:t>Abbreviations</w:t>
      </w:r>
    </w:p>
    <w:p w14:paraId="7B6066EF" w14:textId="77777777" w:rsidR="00045270" w:rsidRPr="00AE251D" w:rsidRDefault="00045270" w:rsidP="00045270">
      <w:pPr>
        <w:spacing w:after="0" w:line="360" w:lineRule="auto"/>
        <w:rPr>
          <w:rFonts w:ascii="Arial" w:hAnsi="Arial" w:cs="Arial"/>
          <w:b/>
          <w:sz w:val="24"/>
          <w:szCs w:val="24"/>
        </w:rPr>
      </w:pPr>
      <w:r>
        <w:rPr>
          <w:rFonts w:ascii="Arial" w:hAnsi="Arial" w:cs="Arial"/>
          <w:sz w:val="24"/>
          <w:szCs w:val="24"/>
        </w:rPr>
        <w:t>RCT: Randomised Clinical Trial; SAP: Statistical Analysis Plan; CI: Confidence Interval; MACCE: Major Adverse Cardiac or Cerebrovascular Events; ITT: Intention to Treat; CABG: Coronary Artery Bypass Grafting; DES: Drug Eluting Stent; PCI: Percutaneous Coronary Intervention; TAVI: Trans-Aortic Valve Implant; MI: Myocardial Infarction.</w:t>
      </w:r>
    </w:p>
    <w:p w14:paraId="67407899" w14:textId="77777777" w:rsidR="00045270" w:rsidRDefault="00045270">
      <w:pPr>
        <w:rPr>
          <w:rFonts w:ascii="Arial" w:hAnsi="Arial" w:cs="Arial"/>
          <w:b/>
          <w:sz w:val="24"/>
          <w:szCs w:val="24"/>
        </w:rPr>
      </w:pPr>
      <w:r>
        <w:rPr>
          <w:rFonts w:ascii="Arial" w:hAnsi="Arial" w:cs="Arial"/>
          <w:b/>
          <w:sz w:val="24"/>
          <w:szCs w:val="24"/>
        </w:rPr>
        <w:br w:type="page"/>
      </w:r>
    </w:p>
    <w:p w14:paraId="6560A1D2" w14:textId="2984D086" w:rsidR="00A7253B" w:rsidRPr="00A7253B" w:rsidRDefault="00A7253B" w:rsidP="00A7253B">
      <w:pPr>
        <w:spacing w:after="0" w:line="360" w:lineRule="auto"/>
        <w:rPr>
          <w:rFonts w:ascii="Arial" w:hAnsi="Arial" w:cs="Arial"/>
          <w:b/>
          <w:sz w:val="24"/>
          <w:szCs w:val="24"/>
        </w:rPr>
      </w:pPr>
      <w:r w:rsidRPr="00A7253B">
        <w:rPr>
          <w:rFonts w:ascii="Arial" w:hAnsi="Arial" w:cs="Arial"/>
          <w:b/>
          <w:sz w:val="24"/>
          <w:szCs w:val="24"/>
        </w:rPr>
        <w:lastRenderedPageBreak/>
        <w:t>Introduction</w:t>
      </w:r>
    </w:p>
    <w:p w14:paraId="472CF2B8" w14:textId="77777777" w:rsidR="00A7253B" w:rsidRDefault="00A7253B" w:rsidP="00A7253B">
      <w:pPr>
        <w:spacing w:after="0" w:line="360" w:lineRule="auto"/>
        <w:rPr>
          <w:rFonts w:ascii="Arial" w:hAnsi="Arial" w:cs="Arial"/>
          <w:sz w:val="24"/>
          <w:szCs w:val="24"/>
        </w:rPr>
      </w:pPr>
    </w:p>
    <w:p w14:paraId="2268593C" w14:textId="77777777" w:rsidR="00A7253B" w:rsidRDefault="00A7253B" w:rsidP="00A7253B">
      <w:pPr>
        <w:spacing w:after="0" w:line="360" w:lineRule="auto"/>
        <w:rPr>
          <w:rFonts w:ascii="Arial" w:hAnsi="Arial" w:cs="Arial"/>
          <w:sz w:val="24"/>
          <w:szCs w:val="24"/>
        </w:rPr>
      </w:pPr>
      <w:r>
        <w:rPr>
          <w:rFonts w:ascii="Arial" w:hAnsi="Arial" w:cs="Arial"/>
          <w:sz w:val="24"/>
          <w:szCs w:val="24"/>
        </w:rPr>
        <w:t>Last week’s review article covered the fundamentals of statistical analysis and reporting of randomised clinical trials (RCTs). We now extend those ideas to discuss several controversial statistical issues that are commonly faced in the presentation and interpretation of trial findings.</w:t>
      </w:r>
    </w:p>
    <w:p w14:paraId="183404DA" w14:textId="77777777" w:rsidR="00A7253B" w:rsidRDefault="00A7253B" w:rsidP="00A7253B">
      <w:pPr>
        <w:spacing w:after="0" w:line="360" w:lineRule="auto"/>
        <w:rPr>
          <w:rFonts w:ascii="Arial" w:hAnsi="Arial" w:cs="Arial"/>
          <w:sz w:val="24"/>
          <w:szCs w:val="24"/>
        </w:rPr>
      </w:pPr>
    </w:p>
    <w:p w14:paraId="1EAADF90" w14:textId="77777777" w:rsidR="006D54F7" w:rsidRDefault="00A7253B" w:rsidP="00A7253B">
      <w:pPr>
        <w:spacing w:after="0" w:line="360" w:lineRule="auto"/>
        <w:rPr>
          <w:rFonts w:ascii="Arial" w:hAnsi="Arial" w:cs="Arial"/>
          <w:sz w:val="24"/>
          <w:szCs w:val="24"/>
        </w:rPr>
      </w:pPr>
      <w:r>
        <w:rPr>
          <w:rFonts w:ascii="Arial" w:hAnsi="Arial" w:cs="Arial"/>
          <w:sz w:val="24"/>
          <w:szCs w:val="24"/>
        </w:rPr>
        <w:t xml:space="preserve">We </w:t>
      </w:r>
      <w:r w:rsidR="006D54F7">
        <w:rPr>
          <w:rFonts w:ascii="Arial" w:hAnsi="Arial" w:cs="Arial"/>
          <w:sz w:val="24"/>
          <w:szCs w:val="24"/>
        </w:rPr>
        <w:t>explore the problems faced by</w:t>
      </w:r>
      <w:r>
        <w:rPr>
          <w:rFonts w:ascii="Arial" w:hAnsi="Arial" w:cs="Arial"/>
          <w:sz w:val="24"/>
          <w:szCs w:val="24"/>
        </w:rPr>
        <w:t xml:space="preserve"> the multiplicity of data available from </w:t>
      </w:r>
      <w:r w:rsidR="006D54F7">
        <w:rPr>
          <w:rFonts w:ascii="Arial" w:hAnsi="Arial" w:cs="Arial"/>
          <w:sz w:val="24"/>
          <w:szCs w:val="24"/>
        </w:rPr>
        <w:t xml:space="preserve">any </w:t>
      </w:r>
      <w:r>
        <w:rPr>
          <w:rFonts w:ascii="Arial" w:hAnsi="Arial" w:cs="Arial"/>
          <w:sz w:val="24"/>
          <w:szCs w:val="24"/>
        </w:rPr>
        <w:t>RCT, especially regarding multiple endpoints</w:t>
      </w:r>
      <w:r w:rsidR="006D54F7">
        <w:rPr>
          <w:rFonts w:ascii="Arial" w:hAnsi="Arial" w:cs="Arial"/>
          <w:sz w:val="24"/>
          <w:szCs w:val="24"/>
        </w:rPr>
        <w:t xml:space="preserve"> and subgroup analyses. Interpreting composite endpoints is a particular challenge. There is an inconsistency regarding the use of covariate-adjusted analyses. There is a need for more trials to assess how their overall findings can be translated into assessment of individual patient absolute benefits and absolute risks. The merit of analysis by intention to treat is considered alongside other options such as on-treatment analysis. One rarely discussed topic is how to interpret surprisingly large treatment effects (both good and bad) in new trials that are often quite small in scale. </w:t>
      </w:r>
    </w:p>
    <w:p w14:paraId="1C4F4BEA" w14:textId="77777777" w:rsidR="0024571C" w:rsidRDefault="0024571C" w:rsidP="00A7253B">
      <w:pPr>
        <w:spacing w:after="0" w:line="360" w:lineRule="auto"/>
        <w:rPr>
          <w:rFonts w:ascii="Arial" w:hAnsi="Arial" w:cs="Arial"/>
          <w:sz w:val="24"/>
          <w:szCs w:val="24"/>
        </w:rPr>
      </w:pPr>
    </w:p>
    <w:p w14:paraId="2920171E" w14:textId="22C3B653" w:rsidR="006D54F7" w:rsidRDefault="006D54F7" w:rsidP="00A7253B">
      <w:pPr>
        <w:spacing w:after="0" w:line="360" w:lineRule="auto"/>
        <w:rPr>
          <w:rFonts w:ascii="Arial" w:hAnsi="Arial" w:cs="Arial"/>
          <w:sz w:val="24"/>
          <w:szCs w:val="24"/>
        </w:rPr>
      </w:pPr>
      <w:r>
        <w:rPr>
          <w:rFonts w:ascii="Arial" w:hAnsi="Arial" w:cs="Arial"/>
          <w:sz w:val="24"/>
          <w:szCs w:val="24"/>
        </w:rPr>
        <w:t>All th</w:t>
      </w:r>
      <w:r w:rsidR="008046B6">
        <w:rPr>
          <w:rFonts w:ascii="Arial" w:hAnsi="Arial" w:cs="Arial"/>
          <w:sz w:val="24"/>
          <w:szCs w:val="24"/>
        </w:rPr>
        <w:t>e</w:t>
      </w:r>
      <w:r>
        <w:rPr>
          <w:rFonts w:ascii="Arial" w:hAnsi="Arial" w:cs="Arial"/>
          <w:sz w:val="24"/>
          <w:szCs w:val="24"/>
        </w:rPr>
        <w:t>s</w:t>
      </w:r>
      <w:r w:rsidR="008046B6">
        <w:rPr>
          <w:rFonts w:ascii="Arial" w:hAnsi="Arial" w:cs="Arial"/>
          <w:sz w:val="24"/>
          <w:szCs w:val="24"/>
        </w:rPr>
        <w:t>e</w:t>
      </w:r>
      <w:r>
        <w:rPr>
          <w:rFonts w:ascii="Arial" w:hAnsi="Arial" w:cs="Arial"/>
          <w:sz w:val="24"/>
          <w:szCs w:val="24"/>
        </w:rPr>
        <w:t xml:space="preserve"> controversies are </w:t>
      </w:r>
      <w:r w:rsidR="00D95DDC">
        <w:rPr>
          <w:rFonts w:ascii="Arial" w:hAnsi="Arial" w:cs="Arial"/>
          <w:sz w:val="24"/>
          <w:szCs w:val="24"/>
        </w:rPr>
        <w:t xml:space="preserve">summarised in the Central Illustration and </w:t>
      </w:r>
      <w:r>
        <w:rPr>
          <w:rFonts w:ascii="Arial" w:hAnsi="Arial" w:cs="Arial"/>
          <w:sz w:val="24"/>
          <w:szCs w:val="24"/>
        </w:rPr>
        <w:t xml:space="preserve">illustrated by topical examples from cardiology </w:t>
      </w:r>
      <w:r w:rsidR="00D95DDC">
        <w:rPr>
          <w:rFonts w:ascii="Arial" w:hAnsi="Arial" w:cs="Arial"/>
          <w:sz w:val="24"/>
          <w:szCs w:val="24"/>
        </w:rPr>
        <w:t>t</w:t>
      </w:r>
      <w:r>
        <w:rPr>
          <w:rFonts w:ascii="Arial" w:hAnsi="Arial" w:cs="Arial"/>
          <w:sz w:val="24"/>
          <w:szCs w:val="24"/>
        </w:rPr>
        <w:t>rials. The overall aim in clarifying these issues is to enhance the qu</w:t>
      </w:r>
      <w:r w:rsidR="00D95DDC">
        <w:rPr>
          <w:rFonts w:ascii="Arial" w:hAnsi="Arial" w:cs="Arial"/>
          <w:sz w:val="24"/>
          <w:szCs w:val="24"/>
        </w:rPr>
        <w:t>ality of clinical trial reports in medical journals. The same principles apply to conference presentations and sponsor press releases which are even more prone to distortive reporting.</w:t>
      </w:r>
    </w:p>
    <w:p w14:paraId="4F239BD6" w14:textId="77777777" w:rsidR="00A7253B" w:rsidRDefault="00A7253B" w:rsidP="00A7253B">
      <w:pPr>
        <w:spacing w:after="0" w:line="360" w:lineRule="auto"/>
        <w:rPr>
          <w:rFonts w:ascii="Arial" w:hAnsi="Arial" w:cs="Arial"/>
          <w:sz w:val="24"/>
          <w:szCs w:val="24"/>
        </w:rPr>
      </w:pPr>
    </w:p>
    <w:p w14:paraId="241E3497" w14:textId="77777777" w:rsidR="00A7253B" w:rsidRPr="006D54F7" w:rsidRDefault="00A7253B" w:rsidP="00A7253B">
      <w:pPr>
        <w:spacing w:after="0" w:line="360" w:lineRule="auto"/>
        <w:rPr>
          <w:rFonts w:ascii="Arial" w:hAnsi="Arial" w:cs="Arial"/>
          <w:b/>
          <w:sz w:val="24"/>
          <w:szCs w:val="24"/>
        </w:rPr>
      </w:pPr>
      <w:r w:rsidRPr="006D54F7">
        <w:rPr>
          <w:rFonts w:ascii="Arial" w:hAnsi="Arial" w:cs="Arial"/>
          <w:b/>
          <w:sz w:val="24"/>
          <w:szCs w:val="24"/>
        </w:rPr>
        <w:t>Multiplicity of Data</w:t>
      </w:r>
    </w:p>
    <w:p w14:paraId="35D44226" w14:textId="77777777" w:rsidR="00A7253B" w:rsidRDefault="00A7253B" w:rsidP="00A7253B">
      <w:pPr>
        <w:spacing w:after="0" w:line="360" w:lineRule="auto"/>
        <w:rPr>
          <w:rFonts w:ascii="Arial" w:hAnsi="Arial" w:cs="Arial"/>
          <w:sz w:val="24"/>
          <w:szCs w:val="24"/>
        </w:rPr>
      </w:pPr>
    </w:p>
    <w:p w14:paraId="2AFA759C" w14:textId="51E390EC" w:rsidR="00A7253B" w:rsidRDefault="00A7253B" w:rsidP="00A7253B">
      <w:pPr>
        <w:spacing w:after="0" w:line="360" w:lineRule="auto"/>
        <w:rPr>
          <w:rFonts w:ascii="Arial" w:hAnsi="Arial" w:cs="Arial"/>
          <w:sz w:val="24"/>
          <w:szCs w:val="24"/>
        </w:rPr>
      </w:pPr>
      <w:r>
        <w:rPr>
          <w:rFonts w:ascii="Arial" w:hAnsi="Arial" w:cs="Arial"/>
          <w:sz w:val="24"/>
          <w:szCs w:val="24"/>
        </w:rPr>
        <w:t xml:space="preserve">The key challenge in any report of a major RCT is how to provide a balanced account of the trial’s findings given the large number of variables collected at baseline and during follow-up, commonly called a “multiplicity of data” </w:t>
      </w:r>
      <w:r w:rsidR="007E0097">
        <w:rPr>
          <w:rFonts w:ascii="Arial" w:hAnsi="Arial" w:cs="Arial"/>
          <w:sz w:val="24"/>
          <w:szCs w:val="24"/>
        </w:rPr>
        <w:fldChar w:fldCharType="begin"/>
      </w:r>
      <w:r w:rsidR="007E0097">
        <w:rPr>
          <w:rFonts w:ascii="Arial" w:hAnsi="Arial" w:cs="Arial"/>
          <w:sz w:val="24"/>
          <w:szCs w:val="24"/>
        </w:rPr>
        <w:instrText xml:space="preserve"> ADDIN EN.CITE &lt;EndNote&gt;&lt;Cite&gt;&lt;Author&gt;Cook&lt;/Author&gt;&lt;Year&gt;1996&lt;/Year&gt;&lt;RecNum&gt;94&lt;/RecNum&gt;&lt;DisplayText&gt;(1)&lt;/DisplayText&gt;&lt;record&gt;&lt;rec-number&gt;94&lt;/rec-number&gt;&lt;foreign-keys&gt;&lt;key app="EN" db-id="eaz5sewevp5dfxewrdrvzv52xsv2tsf22rzr"&gt;94&lt;/key&gt;&lt;/foreign-keys&gt;&lt;ref-type name="Journal Article"&gt;17&lt;/ref-type&gt;&lt;contributors&gt;&lt;authors&gt;&lt;author&gt;Cook, Richard J.&lt;/author&gt;&lt;author&gt;Farewell, Vern T.&lt;/author&gt;&lt;/authors&gt;&lt;/contributors&gt;&lt;titles&gt;&lt;title&gt;Multiplicity Considerations in the Design and Analysis of Clinical Trials&lt;/title&gt;&lt;secondary-title&gt;Journal of the Royal Statistical Society. Series A (Statistics in Society)&lt;/secondary-title&gt;&lt;/titles&gt;&lt;periodical&gt;&lt;full-title&gt;Journal of the Royal Statistical Society. Series A (Statistics in Society)&lt;/full-title&gt;&lt;/periodical&gt;&lt;pages&gt;93-110&lt;/pages&gt;&lt;volume&gt;159&lt;/volume&gt;&lt;number&gt;1&lt;/number&gt;&lt;dates&gt;&lt;year&gt;1996&lt;/year&gt;&lt;/dates&gt;&lt;publisher&gt;Wiley for the Royal Statistical Society&lt;/publisher&gt;&lt;isbn&gt;09641998&lt;/isbn&gt;&lt;call-num&gt;1&lt;/call-num&gt;&lt;urls&gt;&lt;related-urls&gt;&lt;url&gt;http://www.jstor.org/stable/2983471&lt;/url&gt;&lt;/related-urls&gt;&lt;/urls&gt;&lt;electronic-resource-num&gt;10.2307/2983471&lt;/electronic-resource-num&gt;&lt;/record&gt;&lt;/Cite&gt;&lt;/EndNote&gt;</w:instrText>
      </w:r>
      <w:r w:rsidR="007E0097">
        <w:rPr>
          <w:rFonts w:ascii="Arial" w:hAnsi="Arial" w:cs="Arial"/>
          <w:sz w:val="24"/>
          <w:szCs w:val="24"/>
        </w:rPr>
        <w:fldChar w:fldCharType="separate"/>
      </w:r>
      <w:r w:rsidR="007E0097">
        <w:rPr>
          <w:rFonts w:ascii="Arial" w:hAnsi="Arial" w:cs="Arial"/>
          <w:noProof/>
          <w:sz w:val="24"/>
          <w:szCs w:val="24"/>
        </w:rPr>
        <w:t>(</w:t>
      </w:r>
      <w:hyperlink w:anchor="_ENREF_1" w:tooltip="Cook, 1996 #94" w:history="1">
        <w:r w:rsidR="00DA7737">
          <w:rPr>
            <w:rFonts w:ascii="Arial" w:hAnsi="Arial" w:cs="Arial"/>
            <w:noProof/>
            <w:sz w:val="24"/>
            <w:szCs w:val="24"/>
          </w:rPr>
          <w:t>1</w:t>
        </w:r>
      </w:hyperlink>
      <w:r w:rsidR="007E0097">
        <w:rPr>
          <w:rFonts w:ascii="Arial" w:hAnsi="Arial" w:cs="Arial"/>
          <w:noProof/>
          <w:sz w:val="24"/>
          <w:szCs w:val="24"/>
        </w:rPr>
        <w:t>)</w:t>
      </w:r>
      <w:r w:rsidR="007E0097">
        <w:rPr>
          <w:rFonts w:ascii="Arial" w:hAnsi="Arial" w:cs="Arial"/>
          <w:sz w:val="24"/>
          <w:szCs w:val="24"/>
        </w:rPr>
        <w:fldChar w:fldCharType="end"/>
      </w:r>
      <w:r>
        <w:rPr>
          <w:rFonts w:ascii="Arial" w:hAnsi="Arial" w:cs="Arial"/>
          <w:sz w:val="24"/>
          <w:szCs w:val="24"/>
        </w:rPr>
        <w:t>. So out of the potential chaos of all</w:t>
      </w:r>
      <w:r w:rsidR="00D95DDC">
        <w:rPr>
          <w:rFonts w:ascii="Arial" w:hAnsi="Arial" w:cs="Arial"/>
          <w:sz w:val="24"/>
          <w:szCs w:val="24"/>
        </w:rPr>
        <w:t xml:space="preserve"> the</w:t>
      </w:r>
      <w:r>
        <w:rPr>
          <w:rFonts w:ascii="Arial" w:hAnsi="Arial" w:cs="Arial"/>
          <w:sz w:val="24"/>
          <w:szCs w:val="24"/>
        </w:rPr>
        <w:t xml:space="preserve"> innumerable Tables and Figures that could be produced for purposes of treatment comparison, how do we validly select what to include in the finite confines of a trial publication in a major journal?</w:t>
      </w:r>
      <w:r w:rsidR="004D0C74">
        <w:rPr>
          <w:rFonts w:ascii="Arial" w:hAnsi="Arial" w:cs="Arial"/>
          <w:sz w:val="24"/>
          <w:szCs w:val="24"/>
        </w:rPr>
        <w:t xml:space="preserve"> Especially, how do we ensure that such a condensed trial report is fair in what it includes, </w:t>
      </w:r>
      <w:proofErr w:type="spellStart"/>
      <w:r w:rsidR="00045270">
        <w:rPr>
          <w:rFonts w:ascii="Arial" w:hAnsi="Arial" w:cs="Arial"/>
          <w:sz w:val="24"/>
          <w:szCs w:val="24"/>
        </w:rPr>
        <w:t>i.e.</w:t>
      </w:r>
      <w:r w:rsidR="004D0C74">
        <w:rPr>
          <w:rFonts w:ascii="Arial" w:hAnsi="Arial" w:cs="Arial"/>
          <w:sz w:val="24"/>
          <w:szCs w:val="24"/>
        </w:rPr>
        <w:t>we</w:t>
      </w:r>
      <w:proofErr w:type="spellEnd"/>
      <w:r w:rsidR="004D0C74">
        <w:rPr>
          <w:rFonts w:ascii="Arial" w:hAnsi="Arial" w:cs="Arial"/>
          <w:sz w:val="24"/>
          <w:szCs w:val="24"/>
        </w:rPr>
        <w:t xml:space="preserve"> resist temptation to “play up the positive” by devoting more space in Results and Conclusions to those findings that put the new treatment in a good light?</w:t>
      </w:r>
    </w:p>
    <w:p w14:paraId="657EB849" w14:textId="77777777" w:rsidR="004D0C74" w:rsidRDefault="004D0C74" w:rsidP="00A7253B">
      <w:pPr>
        <w:spacing w:after="0" w:line="360" w:lineRule="auto"/>
        <w:rPr>
          <w:rFonts w:ascii="Arial" w:hAnsi="Arial" w:cs="Arial"/>
          <w:sz w:val="24"/>
          <w:szCs w:val="24"/>
        </w:rPr>
      </w:pPr>
    </w:p>
    <w:p w14:paraId="4970C7D3" w14:textId="642F9C6D" w:rsidR="004D0C74" w:rsidRDefault="004D0C74" w:rsidP="00A7253B">
      <w:pPr>
        <w:spacing w:after="0" w:line="360" w:lineRule="auto"/>
        <w:rPr>
          <w:rFonts w:ascii="Arial" w:hAnsi="Arial" w:cs="Arial"/>
          <w:sz w:val="24"/>
          <w:szCs w:val="24"/>
        </w:rPr>
      </w:pPr>
      <w:r>
        <w:rPr>
          <w:rFonts w:ascii="Arial" w:hAnsi="Arial" w:cs="Arial"/>
          <w:sz w:val="24"/>
          <w:szCs w:val="24"/>
        </w:rPr>
        <w:t>A first step to overcome this is to have a pre-defined Statistical Analysis Plan (SAP) which is fully si</w:t>
      </w:r>
      <w:r w:rsidR="00D95DDC">
        <w:rPr>
          <w:rFonts w:ascii="Arial" w:hAnsi="Arial" w:cs="Arial"/>
          <w:sz w:val="24"/>
          <w:szCs w:val="24"/>
        </w:rPr>
        <w:t>gned off before database lock and study unblinding.</w:t>
      </w:r>
      <w:r>
        <w:rPr>
          <w:rFonts w:ascii="Arial" w:hAnsi="Arial" w:cs="Arial"/>
          <w:sz w:val="24"/>
          <w:szCs w:val="24"/>
        </w:rPr>
        <w:t xml:space="preserve"> This SAP is prepared by trial statisticians and approved by the Trial Executive all of whom must be blind to any interim results by treatment group. A good SAP will not only document exactly which analyses are to be done, but will also elucidate relevant priorities in their interpretation, especially regarding the primary hypothesis, secondary hypotheses, any pre-defined safety concerns and a potential plethora of exploratory analyses (</w:t>
      </w:r>
      <w:r w:rsidR="00BA5149">
        <w:rPr>
          <w:rFonts w:ascii="Arial" w:hAnsi="Arial" w:cs="Arial"/>
          <w:sz w:val="24"/>
          <w:szCs w:val="24"/>
        </w:rPr>
        <w:t xml:space="preserve">e.g. </w:t>
      </w:r>
      <w:r>
        <w:rPr>
          <w:rFonts w:ascii="Arial" w:hAnsi="Arial" w:cs="Arial"/>
          <w:sz w:val="24"/>
          <w:szCs w:val="24"/>
        </w:rPr>
        <w:t>subgroup analyses) which are more hypothesis generating in spirit.</w:t>
      </w:r>
    </w:p>
    <w:p w14:paraId="06AEB46F" w14:textId="77777777" w:rsidR="004D0C74" w:rsidRDefault="004D0C74" w:rsidP="00A7253B">
      <w:pPr>
        <w:spacing w:after="0" w:line="360" w:lineRule="auto"/>
        <w:rPr>
          <w:rFonts w:ascii="Arial" w:hAnsi="Arial" w:cs="Arial"/>
          <w:sz w:val="24"/>
          <w:szCs w:val="24"/>
        </w:rPr>
      </w:pPr>
    </w:p>
    <w:p w14:paraId="774CC470" w14:textId="29D385CF" w:rsidR="004D0C74" w:rsidRDefault="004D0C74" w:rsidP="00A7253B">
      <w:pPr>
        <w:spacing w:after="0" w:line="360" w:lineRule="auto"/>
        <w:rPr>
          <w:rFonts w:ascii="Arial" w:hAnsi="Arial" w:cs="Arial"/>
          <w:sz w:val="24"/>
          <w:szCs w:val="24"/>
        </w:rPr>
      </w:pPr>
      <w:r>
        <w:rPr>
          <w:rFonts w:ascii="Arial" w:hAnsi="Arial" w:cs="Arial"/>
          <w:sz w:val="24"/>
          <w:szCs w:val="24"/>
        </w:rPr>
        <w:t xml:space="preserve">A particular focus is on the pre-defined primary endpoint with clear definition of the endpoint itself, the time of follow-up included (either a fixed </w:t>
      </w:r>
      <w:r w:rsidR="00717600">
        <w:rPr>
          <w:rFonts w:ascii="Arial" w:hAnsi="Arial" w:cs="Arial"/>
          <w:sz w:val="24"/>
          <w:szCs w:val="24"/>
        </w:rPr>
        <w:t>period</w:t>
      </w:r>
      <w:r>
        <w:rPr>
          <w:rFonts w:ascii="Arial" w:hAnsi="Arial" w:cs="Arial"/>
          <w:sz w:val="24"/>
          <w:szCs w:val="24"/>
        </w:rPr>
        <w:t xml:space="preserve">, </w:t>
      </w:r>
      <w:r w:rsidR="00BA5149">
        <w:rPr>
          <w:rFonts w:ascii="Arial" w:hAnsi="Arial" w:cs="Arial"/>
          <w:sz w:val="24"/>
          <w:szCs w:val="24"/>
        </w:rPr>
        <w:t xml:space="preserve">e.g. </w:t>
      </w:r>
      <w:r>
        <w:rPr>
          <w:rFonts w:ascii="Arial" w:hAnsi="Arial" w:cs="Arial"/>
          <w:sz w:val="24"/>
          <w:szCs w:val="24"/>
        </w:rPr>
        <w:t>90 days, or a fixed calendar date for</w:t>
      </w:r>
      <w:r w:rsidR="00C6165D">
        <w:rPr>
          <w:rFonts w:ascii="Arial" w:hAnsi="Arial" w:cs="Arial"/>
          <w:sz w:val="24"/>
          <w:szCs w:val="24"/>
        </w:rPr>
        <w:t xml:space="preserve"> </w:t>
      </w:r>
      <w:r w:rsidR="00717600">
        <w:rPr>
          <w:rFonts w:ascii="Arial" w:hAnsi="Arial" w:cs="Arial"/>
          <w:sz w:val="24"/>
          <w:szCs w:val="24"/>
        </w:rPr>
        <w:t>follow-up of all patients</w:t>
      </w:r>
      <w:r>
        <w:rPr>
          <w:rFonts w:ascii="Arial" w:hAnsi="Arial" w:cs="Arial"/>
          <w:sz w:val="24"/>
          <w:szCs w:val="24"/>
        </w:rPr>
        <w:t xml:space="preserve">), and </w:t>
      </w:r>
      <w:r w:rsidR="00A868D9">
        <w:rPr>
          <w:rFonts w:ascii="Arial" w:hAnsi="Arial" w:cs="Arial"/>
          <w:sz w:val="24"/>
          <w:szCs w:val="24"/>
        </w:rPr>
        <w:t>the precise statistical method for determining its point estimate</w:t>
      </w:r>
      <w:r w:rsidR="006D54F7">
        <w:rPr>
          <w:rFonts w:ascii="Arial" w:hAnsi="Arial" w:cs="Arial"/>
          <w:sz w:val="24"/>
          <w:szCs w:val="24"/>
        </w:rPr>
        <w:t>,</w:t>
      </w:r>
      <w:r w:rsidR="00A868D9">
        <w:rPr>
          <w:rFonts w:ascii="Arial" w:hAnsi="Arial" w:cs="Arial"/>
          <w:sz w:val="24"/>
          <w:szCs w:val="24"/>
        </w:rPr>
        <w:t xml:space="preserve"> confidence interval and P-value. For time-to-event outcomes this is commonly a hazard ratio (and 95% CI) with </w:t>
      </w:r>
      <w:proofErr w:type="spellStart"/>
      <w:r w:rsidR="00A868D9">
        <w:rPr>
          <w:rFonts w:ascii="Arial" w:hAnsi="Arial" w:cs="Arial"/>
          <w:sz w:val="24"/>
          <w:szCs w:val="24"/>
        </w:rPr>
        <w:t>logrank</w:t>
      </w:r>
      <w:proofErr w:type="spellEnd"/>
      <w:r w:rsidR="00A868D9">
        <w:rPr>
          <w:rFonts w:ascii="Arial" w:hAnsi="Arial" w:cs="Arial"/>
          <w:sz w:val="24"/>
          <w:szCs w:val="24"/>
        </w:rPr>
        <w:t xml:space="preserve"> P-value. But sometimes a covariate-adjusted analysis is primary (see later discussion on this).</w:t>
      </w:r>
    </w:p>
    <w:p w14:paraId="5718ECC7" w14:textId="77777777" w:rsidR="00A868D9" w:rsidRDefault="00A868D9" w:rsidP="00A7253B">
      <w:pPr>
        <w:spacing w:after="0" w:line="360" w:lineRule="auto"/>
        <w:rPr>
          <w:rFonts w:ascii="Arial" w:hAnsi="Arial" w:cs="Arial"/>
          <w:sz w:val="24"/>
          <w:szCs w:val="24"/>
        </w:rPr>
      </w:pPr>
    </w:p>
    <w:p w14:paraId="7240844D" w14:textId="46FDC0CF" w:rsidR="00A868D9" w:rsidRDefault="00A868D9" w:rsidP="00A7253B">
      <w:pPr>
        <w:spacing w:after="0" w:line="360" w:lineRule="auto"/>
        <w:rPr>
          <w:rFonts w:ascii="Arial" w:hAnsi="Arial" w:cs="Arial"/>
          <w:sz w:val="24"/>
          <w:szCs w:val="24"/>
        </w:rPr>
      </w:pPr>
      <w:r w:rsidRPr="008B5539">
        <w:rPr>
          <w:rFonts w:ascii="Arial" w:hAnsi="Arial" w:cs="Arial"/>
          <w:sz w:val="24"/>
          <w:szCs w:val="24"/>
        </w:rPr>
        <w:t>It is good practice</w:t>
      </w:r>
      <w:r w:rsidR="006D54F7" w:rsidRPr="008B5539">
        <w:rPr>
          <w:rFonts w:ascii="Arial" w:hAnsi="Arial" w:cs="Arial"/>
          <w:sz w:val="24"/>
          <w:szCs w:val="24"/>
        </w:rPr>
        <w:t xml:space="preserve"> to have</w:t>
      </w:r>
      <w:r w:rsidRPr="008B5539">
        <w:rPr>
          <w:rFonts w:ascii="Arial" w:hAnsi="Arial" w:cs="Arial"/>
          <w:sz w:val="24"/>
          <w:szCs w:val="24"/>
        </w:rPr>
        <w:t xml:space="preserve"> a pre-defined </w:t>
      </w:r>
      <w:r w:rsidR="00D95DDC">
        <w:rPr>
          <w:rFonts w:ascii="Arial" w:hAnsi="Arial" w:cs="Arial"/>
          <w:sz w:val="24"/>
          <w:szCs w:val="24"/>
        </w:rPr>
        <w:t xml:space="preserve">and limited </w:t>
      </w:r>
      <w:r w:rsidRPr="008B5539">
        <w:rPr>
          <w:rFonts w:ascii="Arial" w:hAnsi="Arial" w:cs="Arial"/>
          <w:sz w:val="24"/>
          <w:szCs w:val="24"/>
        </w:rPr>
        <w:t xml:space="preserve">set of secondary endpoints for treatment efficacy. Their results are shown alongside those of the primary endpoint, </w:t>
      </w:r>
      <w:r w:rsidR="00BA5149">
        <w:rPr>
          <w:rFonts w:ascii="Arial" w:hAnsi="Arial" w:cs="Arial"/>
          <w:sz w:val="24"/>
          <w:szCs w:val="24"/>
        </w:rPr>
        <w:t xml:space="preserve">e.g. </w:t>
      </w:r>
      <w:r w:rsidRPr="008B5539">
        <w:rPr>
          <w:rFonts w:ascii="Arial" w:hAnsi="Arial" w:cs="Arial"/>
          <w:sz w:val="24"/>
          <w:szCs w:val="24"/>
        </w:rPr>
        <w:t>as in Table 1 for the PEGASUS trial</w:t>
      </w:r>
      <w:r w:rsidR="007E0097">
        <w:rPr>
          <w:rFonts w:ascii="Arial" w:hAnsi="Arial" w:cs="Arial"/>
          <w:sz w:val="24"/>
          <w:szCs w:val="24"/>
        </w:rPr>
        <w:t xml:space="preserve"> </w:t>
      </w:r>
      <w:r w:rsidR="007E0097">
        <w:rPr>
          <w:rFonts w:ascii="Arial" w:hAnsi="Arial" w:cs="Arial"/>
          <w:sz w:val="24"/>
          <w:szCs w:val="24"/>
        </w:rPr>
        <w:fldChar w:fldCharType="begin"/>
      </w:r>
      <w:r w:rsidR="007E0097">
        <w:rPr>
          <w:rFonts w:ascii="Arial" w:hAnsi="Arial" w:cs="Arial"/>
          <w:sz w:val="24"/>
          <w:szCs w:val="24"/>
        </w:rPr>
        <w:instrText xml:space="preserve"> ADDIN EN.CITE &lt;EndNote&gt;&lt;Cite&gt;&lt;Author&gt;Bonaca&lt;/Author&gt;&lt;Year&gt;2015&lt;/Year&gt;&lt;RecNum&gt;49&lt;/RecNum&gt;&lt;DisplayText&gt;(2)&lt;/DisplayText&gt;&lt;record&gt;&lt;rec-number&gt;49&lt;/rec-number&gt;&lt;foreign-keys&gt;&lt;key app="EN" db-id="eaz5sewevp5dfxewrdrvzv52xsv2tsf22rzr"&gt;49&lt;/key&gt;&lt;/foreign-keys&gt;&lt;ref-type name="Journal Article"&gt;17&lt;/ref-type&gt;&lt;contributors&gt;&lt;authors&gt;&lt;author&gt;Bonaca, Marc P.&lt;/author&gt;&lt;author&gt;Bhatt, Deepak L.&lt;/author&gt;&lt;author&gt;Cohen, Marc&lt;/author&gt;&lt;author&gt;Steg, Philippe Gabriel&lt;/author&gt;&lt;author&gt;Storey, Robert F.&lt;/author&gt;&lt;author&gt;Jensen, Eva C.&lt;/author&gt;&lt;author&gt;Magnani, Giulia&lt;/author&gt;&lt;author&gt;Bansilal, Sameer&lt;/author&gt;&lt;author&gt;Fish, M. Polly&lt;/author&gt;&lt;author&gt;Im, Kyungah&lt;/author&gt;&lt;author&gt;Bengtsson, Olof&lt;/author&gt;&lt;author&gt;Ophuis, Ton Oude&lt;/author&gt;&lt;author&gt;Budaj, Andrzej&lt;/author&gt;&lt;author&gt;Theroux, Pierre&lt;/author&gt;&lt;author&gt;Ruda, Mikhail&lt;/author&gt;&lt;author&gt;Hamm, Christian&lt;/author&gt;&lt;author&gt;Goto, Shinya&lt;/author&gt;&lt;author&gt;Spinar, Jindrich&lt;/author&gt;&lt;author&gt;Nicolau, José Carlos&lt;/author&gt;&lt;author&gt;Kiss, Robert G.&lt;/author&gt;&lt;author&gt;Murphy, Sabina A.&lt;/author&gt;&lt;author&gt;Wiviott, Stephen D.&lt;/author&gt;&lt;author&gt;Held, Peter&lt;/author&gt;&lt;author&gt;Braunwald, Eugene&lt;/author&gt;&lt;author&gt;Sabatine, Marc S.&lt;/author&gt;&lt;/authors&gt;&lt;/contributors&gt;&lt;titles&gt;&lt;title&gt;Long-Term Use of Ticagrelor in Patients with Prior Myocardial Infarction&lt;/title&gt;&lt;secondary-title&gt;New England Journal of Medicine&lt;/secondary-title&gt;&lt;/titles&gt;&lt;periodical&gt;&lt;full-title&gt;New England Journal of Medicine&lt;/full-title&gt;&lt;/periodical&gt;&lt;pages&gt;1791-1800&lt;/pages&gt;&lt;volume&gt;372&lt;/volume&gt;&lt;number&gt;19&lt;/number&gt;&lt;dates&gt;&lt;year&gt;2015&lt;/year&gt;&lt;/dates&gt;&lt;accession-num&gt;25773268&lt;/accession-num&gt;&lt;call-num&gt;2&lt;/call-num&gt;&lt;urls&gt;&lt;related-urls&gt;&lt;url&gt;http://www.nejm.org/doi/full/10.1056/NEJMoa1500857&lt;/url&gt;&lt;/related-urls&gt;&lt;/urls&gt;&lt;electronic-resource-num&gt;doi:10.1056/NEJMoa1500857&lt;/electronic-resource-num&gt;&lt;/record&gt;&lt;/Cite&gt;&lt;/EndNote&gt;</w:instrText>
      </w:r>
      <w:r w:rsidR="007E0097">
        <w:rPr>
          <w:rFonts w:ascii="Arial" w:hAnsi="Arial" w:cs="Arial"/>
          <w:sz w:val="24"/>
          <w:szCs w:val="24"/>
        </w:rPr>
        <w:fldChar w:fldCharType="separate"/>
      </w:r>
      <w:r w:rsidR="007E0097">
        <w:rPr>
          <w:rFonts w:ascii="Arial" w:hAnsi="Arial" w:cs="Arial"/>
          <w:noProof/>
          <w:sz w:val="24"/>
          <w:szCs w:val="24"/>
        </w:rPr>
        <w:t>(</w:t>
      </w:r>
      <w:hyperlink w:anchor="_ENREF_2" w:tooltip="Bonaca, 2015 #49" w:history="1">
        <w:r w:rsidR="00DA7737">
          <w:rPr>
            <w:rFonts w:ascii="Arial" w:hAnsi="Arial" w:cs="Arial"/>
            <w:noProof/>
            <w:sz w:val="24"/>
            <w:szCs w:val="24"/>
          </w:rPr>
          <w:t>2</w:t>
        </w:r>
      </w:hyperlink>
      <w:r w:rsidR="007E0097">
        <w:rPr>
          <w:rFonts w:ascii="Arial" w:hAnsi="Arial" w:cs="Arial"/>
          <w:noProof/>
          <w:sz w:val="24"/>
          <w:szCs w:val="24"/>
        </w:rPr>
        <w:t>)</w:t>
      </w:r>
      <w:r w:rsidR="007E0097">
        <w:rPr>
          <w:rFonts w:ascii="Arial" w:hAnsi="Arial" w:cs="Arial"/>
          <w:sz w:val="24"/>
          <w:szCs w:val="24"/>
        </w:rPr>
        <w:fldChar w:fldCharType="end"/>
      </w:r>
      <w:r w:rsidR="007E0097">
        <w:rPr>
          <w:rFonts w:ascii="Arial" w:hAnsi="Arial" w:cs="Arial"/>
          <w:sz w:val="24"/>
          <w:szCs w:val="24"/>
        </w:rPr>
        <w:t xml:space="preserve"> </w:t>
      </w:r>
      <w:r w:rsidRPr="008B5539">
        <w:rPr>
          <w:rFonts w:ascii="Arial" w:hAnsi="Arial" w:cs="Arial"/>
          <w:sz w:val="24"/>
          <w:szCs w:val="24"/>
        </w:rPr>
        <w:t xml:space="preserve">comparing two doses of ticagrelor with aspirin in patients with prior myocardial infarction. In this instance, interpretation </w:t>
      </w:r>
      <w:r w:rsidR="00E1151E">
        <w:rPr>
          <w:rFonts w:ascii="Arial" w:hAnsi="Arial" w:cs="Arial"/>
          <w:sz w:val="24"/>
          <w:szCs w:val="24"/>
        </w:rPr>
        <w:t xml:space="preserve">appears </w:t>
      </w:r>
      <w:r w:rsidRPr="008B5539">
        <w:rPr>
          <w:rFonts w:ascii="Arial" w:hAnsi="Arial" w:cs="Arial"/>
          <w:sz w:val="24"/>
          <w:szCs w:val="24"/>
        </w:rPr>
        <w:t>straightforward since the primary endpoint ac</w:t>
      </w:r>
      <w:r w:rsidRPr="00636F9B">
        <w:rPr>
          <w:rFonts w:ascii="Arial" w:hAnsi="Arial" w:cs="Arial"/>
          <w:sz w:val="24"/>
          <w:szCs w:val="24"/>
        </w:rPr>
        <w:t>hieved statistical significance for each ticagrelor dose versus placebo and all secondary</w:t>
      </w:r>
      <w:r w:rsidR="00E1151E">
        <w:rPr>
          <w:rFonts w:ascii="Arial" w:hAnsi="Arial" w:cs="Arial"/>
          <w:sz w:val="24"/>
          <w:szCs w:val="24"/>
        </w:rPr>
        <w:t xml:space="preserve"> efficacy</w:t>
      </w:r>
      <w:r w:rsidRPr="00AB4615">
        <w:rPr>
          <w:rFonts w:ascii="Arial" w:hAnsi="Arial" w:cs="Arial"/>
          <w:sz w:val="24"/>
          <w:szCs w:val="24"/>
        </w:rPr>
        <w:t xml:space="preserve"> endpoints showed trends in the same direction, ex</w:t>
      </w:r>
      <w:r w:rsidR="008046B6" w:rsidRPr="00AB4615">
        <w:rPr>
          <w:rFonts w:ascii="Arial" w:hAnsi="Arial" w:cs="Arial"/>
          <w:sz w:val="24"/>
          <w:szCs w:val="24"/>
        </w:rPr>
        <w:t>c</w:t>
      </w:r>
      <w:r w:rsidR="006D54F7" w:rsidRPr="00AB4615">
        <w:rPr>
          <w:rFonts w:ascii="Arial" w:hAnsi="Arial" w:cs="Arial"/>
          <w:sz w:val="24"/>
          <w:szCs w:val="24"/>
        </w:rPr>
        <w:t>e</w:t>
      </w:r>
      <w:r w:rsidRPr="00AB4615">
        <w:rPr>
          <w:rFonts w:ascii="Arial" w:hAnsi="Arial" w:cs="Arial"/>
          <w:sz w:val="24"/>
          <w:szCs w:val="24"/>
        </w:rPr>
        <w:t>pt for no difference in all cause death for the higher ticagrelor dose.</w:t>
      </w:r>
      <w:r w:rsidR="00E1151E">
        <w:rPr>
          <w:rFonts w:ascii="Arial" w:hAnsi="Arial" w:cs="Arial"/>
          <w:sz w:val="24"/>
          <w:szCs w:val="24"/>
        </w:rPr>
        <w:t xml:space="preserve"> However, excesses of major bleeding and dyspnoea on ticagrelor, mean that such efficacy is offset by safety concerns.</w:t>
      </w:r>
    </w:p>
    <w:p w14:paraId="30208166" w14:textId="77777777" w:rsidR="006D54F7" w:rsidRDefault="006D54F7" w:rsidP="00A7253B">
      <w:pPr>
        <w:spacing w:after="0" w:line="360" w:lineRule="auto"/>
        <w:rPr>
          <w:rFonts w:ascii="Arial" w:hAnsi="Arial" w:cs="Arial"/>
          <w:sz w:val="24"/>
          <w:szCs w:val="24"/>
        </w:rPr>
      </w:pPr>
    </w:p>
    <w:p w14:paraId="6A10F09B" w14:textId="1CE4CAD3" w:rsidR="00A868D9" w:rsidRDefault="00A868D9" w:rsidP="00A7253B">
      <w:pPr>
        <w:spacing w:after="0" w:line="360" w:lineRule="auto"/>
        <w:rPr>
          <w:rFonts w:ascii="Arial" w:hAnsi="Arial" w:cs="Arial"/>
          <w:sz w:val="24"/>
          <w:szCs w:val="24"/>
        </w:rPr>
      </w:pPr>
      <w:r>
        <w:rPr>
          <w:rFonts w:ascii="Arial" w:hAnsi="Arial" w:cs="Arial"/>
          <w:sz w:val="24"/>
          <w:szCs w:val="24"/>
        </w:rPr>
        <w:t xml:space="preserve">But when the primary endpoint findings are inconclusive, claims of efficacy for any </w:t>
      </w:r>
      <w:r w:rsidRPr="008B5539">
        <w:rPr>
          <w:rFonts w:ascii="Arial" w:hAnsi="Arial" w:cs="Arial"/>
          <w:sz w:val="24"/>
          <w:szCs w:val="24"/>
        </w:rPr>
        <w:t xml:space="preserve">secondary endpoints are more of a challenge. For instance, the </w:t>
      </w:r>
      <w:proofErr w:type="spellStart"/>
      <w:r w:rsidRPr="008B5539">
        <w:rPr>
          <w:rFonts w:ascii="Arial" w:hAnsi="Arial" w:cs="Arial"/>
          <w:sz w:val="24"/>
          <w:szCs w:val="24"/>
        </w:rPr>
        <w:t>PRO</w:t>
      </w:r>
      <w:r w:rsidR="008B5539">
        <w:rPr>
          <w:rFonts w:ascii="Arial" w:hAnsi="Arial" w:cs="Arial"/>
          <w:sz w:val="24"/>
          <w:szCs w:val="24"/>
        </w:rPr>
        <w:t>active</w:t>
      </w:r>
      <w:proofErr w:type="spellEnd"/>
      <w:r w:rsidR="005E314A">
        <w:rPr>
          <w:rFonts w:ascii="Arial" w:hAnsi="Arial" w:cs="Arial"/>
          <w:sz w:val="24"/>
          <w:szCs w:val="24"/>
        </w:rPr>
        <w:t xml:space="preserve"> </w:t>
      </w:r>
      <w:r w:rsidR="007E0097">
        <w:rPr>
          <w:rFonts w:ascii="Arial" w:hAnsi="Arial" w:cs="Arial"/>
          <w:sz w:val="24"/>
          <w:szCs w:val="24"/>
        </w:rPr>
        <w:fldChar w:fldCharType="begin">
          <w:fldData xml:space="preserve">PEVuZE5vdGU+PENpdGU+PEF1dGhvcj5Eb3JtYW5keTwvQXV0aG9yPjxZZWFyPjIwMDU8L1llYXI+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</w:fldData>
        </w:fldChar>
      </w:r>
      <w:r w:rsidR="007E0097">
        <w:rPr>
          <w:rFonts w:ascii="Arial" w:hAnsi="Arial" w:cs="Arial"/>
          <w:sz w:val="24"/>
          <w:szCs w:val="24"/>
        </w:rPr>
        <w:instrText xml:space="preserve"> ADDIN EN.CITE </w:instrText>
      </w:r>
      <w:r w:rsidR="007E0097">
        <w:rPr>
          <w:rFonts w:ascii="Arial" w:hAnsi="Arial" w:cs="Arial"/>
          <w:sz w:val="24"/>
          <w:szCs w:val="24"/>
        </w:rPr>
        <w:fldChar w:fldCharType="begin">
          <w:fldData xml:space="preserve">PEVuZE5vdGU+PENpdGU+PEF1dGhvcj5Eb3JtYW5keTwvQXV0aG9yPjxZZWFyPjIwMDU8L1llYXI+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</w:fldData>
        </w:fldChar>
      </w:r>
      <w:r w:rsidR="007E0097">
        <w:rPr>
          <w:rFonts w:ascii="Arial" w:hAnsi="Arial" w:cs="Arial"/>
          <w:sz w:val="24"/>
          <w:szCs w:val="24"/>
        </w:rPr>
        <w:instrText xml:space="preserve"> ADDIN EN.CITE.DATA </w:instrText>
      </w:r>
      <w:r w:rsidR="007E0097">
        <w:rPr>
          <w:rFonts w:ascii="Arial" w:hAnsi="Arial" w:cs="Arial"/>
          <w:sz w:val="24"/>
          <w:szCs w:val="24"/>
        </w:rPr>
      </w:r>
      <w:r w:rsidR="007E0097">
        <w:rPr>
          <w:rFonts w:ascii="Arial" w:hAnsi="Arial" w:cs="Arial"/>
          <w:sz w:val="24"/>
          <w:szCs w:val="24"/>
        </w:rPr>
        <w:fldChar w:fldCharType="end"/>
      </w:r>
      <w:r w:rsidR="007E0097">
        <w:rPr>
          <w:rFonts w:ascii="Arial" w:hAnsi="Arial" w:cs="Arial"/>
          <w:sz w:val="24"/>
          <w:szCs w:val="24"/>
        </w:rPr>
      </w:r>
      <w:r w:rsidR="007E0097">
        <w:rPr>
          <w:rFonts w:ascii="Arial" w:hAnsi="Arial" w:cs="Arial"/>
          <w:sz w:val="24"/>
          <w:szCs w:val="24"/>
        </w:rPr>
        <w:fldChar w:fldCharType="separate"/>
      </w:r>
      <w:r w:rsidR="007E0097">
        <w:rPr>
          <w:rFonts w:ascii="Arial" w:hAnsi="Arial" w:cs="Arial"/>
          <w:noProof/>
          <w:sz w:val="24"/>
          <w:szCs w:val="24"/>
        </w:rPr>
        <w:t>(</w:t>
      </w:r>
      <w:hyperlink w:anchor="_ENREF_3" w:tooltip="Dormandy, 2005 #74" w:history="1">
        <w:r w:rsidR="00DA7737">
          <w:rPr>
            <w:rFonts w:ascii="Arial" w:hAnsi="Arial" w:cs="Arial"/>
            <w:noProof/>
            <w:sz w:val="24"/>
            <w:szCs w:val="24"/>
          </w:rPr>
          <w:t>3</w:t>
        </w:r>
      </w:hyperlink>
      <w:r w:rsidR="007E0097">
        <w:rPr>
          <w:rFonts w:ascii="Arial" w:hAnsi="Arial" w:cs="Arial"/>
          <w:noProof/>
          <w:sz w:val="24"/>
          <w:szCs w:val="24"/>
        </w:rPr>
        <w:t>)</w:t>
      </w:r>
      <w:r w:rsidR="007E0097">
        <w:rPr>
          <w:rFonts w:ascii="Arial" w:hAnsi="Arial" w:cs="Arial"/>
          <w:sz w:val="24"/>
          <w:szCs w:val="24"/>
        </w:rPr>
        <w:fldChar w:fldCharType="end"/>
      </w:r>
      <w:r w:rsidRPr="00640478">
        <w:rPr>
          <w:rFonts w:ascii="Arial" w:hAnsi="Arial" w:cs="Arial"/>
          <w:sz w:val="24"/>
          <w:szCs w:val="24"/>
        </w:rPr>
        <w:t xml:space="preserve"> trial of pioglitazone versus placebo in 5238 diabetic patients had a primary</w:t>
      </w:r>
      <w:r>
        <w:rPr>
          <w:rFonts w:ascii="Arial" w:hAnsi="Arial" w:cs="Arial"/>
          <w:sz w:val="24"/>
          <w:szCs w:val="24"/>
        </w:rPr>
        <w:t xml:space="preserve"> composite endpoint of death, myocardial infarction, str</w:t>
      </w:r>
      <w:r w:rsidR="00A947B4">
        <w:rPr>
          <w:rFonts w:ascii="Arial" w:hAnsi="Arial" w:cs="Arial"/>
          <w:sz w:val="24"/>
          <w:szCs w:val="24"/>
        </w:rPr>
        <w:t>o</w:t>
      </w:r>
      <w:r>
        <w:rPr>
          <w:rFonts w:ascii="Arial" w:hAnsi="Arial" w:cs="Arial"/>
          <w:sz w:val="24"/>
          <w:szCs w:val="24"/>
        </w:rPr>
        <w:t xml:space="preserve">ke, acute coronary syndrome, endovascular surgery or leg </w:t>
      </w:r>
      <w:r w:rsidRPr="008B5539">
        <w:rPr>
          <w:rFonts w:ascii="Arial" w:hAnsi="Arial" w:cs="Arial"/>
          <w:sz w:val="24"/>
          <w:szCs w:val="24"/>
        </w:rPr>
        <w:t>amputation</w:t>
      </w:r>
      <w:r>
        <w:rPr>
          <w:rFonts w:ascii="Arial" w:hAnsi="Arial" w:cs="Arial"/>
          <w:sz w:val="24"/>
          <w:szCs w:val="24"/>
        </w:rPr>
        <w:t>. Over a mean 3 years follow-up the hazard ratio was 0.90 (95% CI 0.80 to 1.02) P=0.095.</w:t>
      </w:r>
      <w:r w:rsidR="00A947B4">
        <w:rPr>
          <w:rFonts w:ascii="Arial" w:hAnsi="Arial" w:cs="Arial"/>
          <w:sz w:val="24"/>
          <w:szCs w:val="24"/>
        </w:rPr>
        <w:t xml:space="preserve"> The main secondary endpoint, the </w:t>
      </w:r>
      <w:r w:rsidR="00A947B4">
        <w:rPr>
          <w:rFonts w:ascii="Arial" w:hAnsi="Arial" w:cs="Arial"/>
          <w:sz w:val="24"/>
          <w:szCs w:val="24"/>
        </w:rPr>
        <w:lastRenderedPageBreak/>
        <w:t>composite of death, myocardial infarction and stroke had hazard ratio 0.84 (95% CI 0.72 to 0.98) P=0.027. The publication’s conclusions highlighted the latter downplaying the lack of statistical significance for the primary endpoint</w:t>
      </w:r>
      <w:r w:rsidR="00E1151E">
        <w:rPr>
          <w:rFonts w:ascii="Arial" w:hAnsi="Arial" w:cs="Arial"/>
          <w:sz w:val="24"/>
          <w:szCs w:val="24"/>
        </w:rPr>
        <w:t xml:space="preserve">, whereas </w:t>
      </w:r>
      <w:r w:rsidR="00A947B4">
        <w:rPr>
          <w:rFonts w:ascii="Arial" w:hAnsi="Arial" w:cs="Arial"/>
          <w:sz w:val="24"/>
          <w:szCs w:val="24"/>
        </w:rPr>
        <w:t xml:space="preserve">a more cautious interpretation is </w:t>
      </w:r>
      <w:r w:rsidR="00E1151E">
        <w:rPr>
          <w:rFonts w:ascii="Arial" w:hAnsi="Arial" w:cs="Arial"/>
          <w:sz w:val="24"/>
          <w:szCs w:val="24"/>
        </w:rPr>
        <w:t xml:space="preserve">usually </w:t>
      </w:r>
      <w:r w:rsidR="00A947B4">
        <w:rPr>
          <w:rFonts w:ascii="Arial" w:hAnsi="Arial" w:cs="Arial"/>
          <w:sz w:val="24"/>
          <w:szCs w:val="24"/>
        </w:rPr>
        <w:t>warranted</w:t>
      </w:r>
      <w:r w:rsidR="00F43231">
        <w:rPr>
          <w:rFonts w:ascii="Arial" w:hAnsi="Arial" w:cs="Arial"/>
          <w:sz w:val="24"/>
          <w:szCs w:val="24"/>
        </w:rPr>
        <w:t>.</w:t>
      </w:r>
    </w:p>
    <w:p w14:paraId="26EB603F" w14:textId="77777777" w:rsidR="00F43231" w:rsidRDefault="00F43231" w:rsidP="00A7253B">
      <w:pPr>
        <w:spacing w:after="0" w:line="360" w:lineRule="auto"/>
        <w:rPr>
          <w:rFonts w:ascii="Arial" w:hAnsi="Arial" w:cs="Arial"/>
          <w:sz w:val="24"/>
          <w:szCs w:val="24"/>
        </w:rPr>
      </w:pPr>
    </w:p>
    <w:p w14:paraId="7B75945D" w14:textId="6D3403D2" w:rsidR="00717600" w:rsidRDefault="00717600" w:rsidP="00A7253B">
      <w:pPr>
        <w:spacing w:after="0" w:line="360" w:lineRule="auto"/>
        <w:rPr>
          <w:rFonts w:ascii="Arial" w:hAnsi="Arial" w:cs="Arial"/>
          <w:sz w:val="24"/>
          <w:szCs w:val="24"/>
        </w:rPr>
      </w:pPr>
      <w:r>
        <w:rPr>
          <w:rFonts w:ascii="Arial" w:hAnsi="Arial" w:cs="Arial"/>
          <w:sz w:val="24"/>
          <w:szCs w:val="24"/>
        </w:rPr>
        <w:t xml:space="preserve">In contrast, publication of the MATRIX trial </w:t>
      </w:r>
      <w:r w:rsidR="00DA7737">
        <w:rPr>
          <w:rFonts w:ascii="Arial" w:hAnsi="Arial" w:cs="Arial"/>
          <w:sz w:val="24"/>
          <w:szCs w:val="24"/>
        </w:rPr>
        <w:fldChar w:fldCharType="begin">
          <w:fldData xml:space="preserve">PEVuZE5vdGU+PENpdGU+PEF1dGhvcj5WYWxnaW1pZ2xpPC9BdXRob3I+PFllYXI+MjAxNTwvWWVh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</w:fldData>
        </w:fldChar>
      </w:r>
      <w:r w:rsidR="00DA7737">
        <w:rPr>
          <w:rFonts w:ascii="Arial" w:hAnsi="Arial" w:cs="Arial"/>
          <w:sz w:val="24"/>
          <w:szCs w:val="24"/>
        </w:rPr>
        <w:instrText xml:space="preserve"> ADDIN EN.CITE </w:instrText>
      </w:r>
      <w:r w:rsidR="00DA7737">
        <w:rPr>
          <w:rFonts w:ascii="Arial" w:hAnsi="Arial" w:cs="Arial"/>
          <w:sz w:val="24"/>
          <w:szCs w:val="24"/>
        </w:rPr>
        <w:fldChar w:fldCharType="begin">
          <w:fldData xml:space="preserve">PEVuZE5vdGU+PENpdGU+PEF1dGhvcj5WYWxnaW1pZ2xpPC9BdXRob3I+PFllYXI+MjAxNTwvWWVh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</w:fldData>
        </w:fldChar>
      </w:r>
      <w:r w:rsidR="00DA7737">
        <w:rPr>
          <w:rFonts w:ascii="Arial" w:hAnsi="Arial" w:cs="Arial"/>
          <w:sz w:val="24"/>
          <w:szCs w:val="24"/>
        </w:rPr>
        <w:instrText xml:space="preserve"> ADDIN EN.CITE.DATA </w:instrText>
      </w:r>
      <w:r w:rsidR="00DA7737">
        <w:rPr>
          <w:rFonts w:ascii="Arial" w:hAnsi="Arial" w:cs="Arial"/>
          <w:sz w:val="24"/>
          <w:szCs w:val="24"/>
        </w:rPr>
      </w:r>
      <w:r w:rsidR="00DA7737">
        <w:rPr>
          <w:rFonts w:ascii="Arial" w:hAnsi="Arial" w:cs="Arial"/>
          <w:sz w:val="24"/>
          <w:szCs w:val="24"/>
        </w:rPr>
        <w:fldChar w:fldCharType="end"/>
      </w:r>
      <w:r w:rsidR="00DA7737">
        <w:rPr>
          <w:rFonts w:ascii="Arial" w:hAnsi="Arial" w:cs="Arial"/>
          <w:sz w:val="24"/>
          <w:szCs w:val="24"/>
        </w:rPr>
      </w:r>
      <w:r w:rsidR="00DA7737">
        <w:rPr>
          <w:rFonts w:ascii="Arial" w:hAnsi="Arial" w:cs="Arial"/>
          <w:sz w:val="24"/>
          <w:szCs w:val="24"/>
        </w:rPr>
        <w:fldChar w:fldCharType="separate"/>
      </w:r>
      <w:r w:rsidR="00DA7737">
        <w:rPr>
          <w:rFonts w:ascii="Arial" w:hAnsi="Arial" w:cs="Arial"/>
          <w:noProof/>
          <w:sz w:val="24"/>
          <w:szCs w:val="24"/>
        </w:rPr>
        <w:t>(</w:t>
      </w:r>
      <w:hyperlink w:anchor="_ENREF_4" w:tooltip="Valgimigli, 2015 #111" w:history="1">
        <w:r w:rsidR="00DA7737">
          <w:rPr>
            <w:rFonts w:ascii="Arial" w:hAnsi="Arial" w:cs="Arial"/>
            <w:noProof/>
            <w:sz w:val="24"/>
            <w:szCs w:val="24"/>
          </w:rPr>
          <w:t>4</w:t>
        </w:r>
      </w:hyperlink>
      <w:r w:rsidR="00DA7737">
        <w:rPr>
          <w:rFonts w:ascii="Arial" w:hAnsi="Arial" w:cs="Arial"/>
          <w:noProof/>
          <w:sz w:val="24"/>
          <w:szCs w:val="24"/>
        </w:rPr>
        <w:t>)</w:t>
      </w:r>
      <w:r w:rsidR="00DA7737">
        <w:rPr>
          <w:rFonts w:ascii="Arial" w:hAnsi="Arial" w:cs="Arial"/>
          <w:sz w:val="24"/>
          <w:szCs w:val="24"/>
        </w:rPr>
        <w:fldChar w:fldCharType="end"/>
      </w:r>
      <w:r w:rsidR="00DA7737">
        <w:rPr>
          <w:rFonts w:ascii="Arial" w:hAnsi="Arial" w:cs="Arial"/>
          <w:sz w:val="24"/>
          <w:szCs w:val="24"/>
        </w:rPr>
        <w:t xml:space="preserve"> </w:t>
      </w:r>
      <w:r>
        <w:rPr>
          <w:rFonts w:ascii="Arial" w:hAnsi="Arial" w:cs="Arial"/>
          <w:sz w:val="24"/>
          <w:szCs w:val="24"/>
        </w:rPr>
        <w:t xml:space="preserve">comparing bivalirudin or unfractionated heparin in acute coronary syndromes had conclusions confined to the co-primary endpoints MACE (death, MI or stroke) and NACE (death, MI, stroke or major bleed) both of which </w:t>
      </w:r>
      <w:r w:rsidR="003E3AC6">
        <w:rPr>
          <w:rFonts w:ascii="Arial" w:hAnsi="Arial" w:cs="Arial"/>
          <w:sz w:val="24"/>
          <w:szCs w:val="24"/>
        </w:rPr>
        <w:t xml:space="preserve">“were not significantly lower with bivalirudin than with unfractionated heparin”. While the focus on primary endpoints is appropriate, there is a danger that it hides important differences amongst secondary (component) endpoints. While cautious interpretation is essential across a multiplicity of secondary endpoints, conclusions would have benefited from mentioning that bivalirudin had more stent </w:t>
      </w:r>
      <w:proofErr w:type="spellStart"/>
      <w:r w:rsidR="003E3AC6">
        <w:rPr>
          <w:rFonts w:ascii="Arial" w:hAnsi="Arial" w:cs="Arial"/>
          <w:sz w:val="24"/>
          <w:szCs w:val="24"/>
        </w:rPr>
        <w:t>thromboses</w:t>
      </w:r>
      <w:proofErr w:type="spellEnd"/>
      <w:r w:rsidR="003E3AC6">
        <w:rPr>
          <w:rFonts w:ascii="Arial" w:hAnsi="Arial" w:cs="Arial"/>
          <w:sz w:val="24"/>
          <w:szCs w:val="24"/>
        </w:rPr>
        <w:t xml:space="preserve"> (P=0.048), fewer major bleeds (P&lt;0.001) and fewer deaths (P=0.04). Such intriguing secondary findings need clarification from other related trials.</w:t>
      </w:r>
    </w:p>
    <w:p w14:paraId="68C99BEF" w14:textId="77777777" w:rsidR="00717600" w:rsidRDefault="00717600" w:rsidP="00A7253B">
      <w:pPr>
        <w:spacing w:after="0" w:line="360" w:lineRule="auto"/>
        <w:rPr>
          <w:rFonts w:ascii="Arial" w:hAnsi="Arial" w:cs="Arial"/>
          <w:sz w:val="24"/>
          <w:szCs w:val="24"/>
        </w:rPr>
      </w:pPr>
    </w:p>
    <w:p w14:paraId="2ED826FB" w14:textId="1E7FA173" w:rsidR="00F43231" w:rsidRDefault="00F43231" w:rsidP="00A7253B">
      <w:pPr>
        <w:spacing w:after="0" w:line="360" w:lineRule="auto"/>
        <w:rPr>
          <w:rFonts w:ascii="Arial" w:hAnsi="Arial" w:cs="Arial"/>
          <w:sz w:val="24"/>
          <w:szCs w:val="24"/>
        </w:rPr>
      </w:pPr>
      <w:r w:rsidRPr="00640478">
        <w:rPr>
          <w:rFonts w:ascii="Arial" w:hAnsi="Arial" w:cs="Arial"/>
          <w:sz w:val="24"/>
          <w:szCs w:val="24"/>
        </w:rPr>
        <w:t>When a secondary endpoint reveals potential harm</w:t>
      </w:r>
      <w:r w:rsidR="009348D3" w:rsidRPr="00640478">
        <w:rPr>
          <w:rFonts w:ascii="Arial" w:hAnsi="Arial" w:cs="Arial"/>
          <w:sz w:val="24"/>
          <w:szCs w:val="24"/>
        </w:rPr>
        <w:t xml:space="preserve"> of a treatment</w:t>
      </w:r>
      <w:r w:rsidR="006D54F7" w:rsidRPr="00640478">
        <w:rPr>
          <w:rFonts w:ascii="Arial" w:hAnsi="Arial" w:cs="Arial"/>
          <w:sz w:val="24"/>
          <w:szCs w:val="24"/>
        </w:rPr>
        <w:t>,</w:t>
      </w:r>
      <w:r w:rsidR="009348D3" w:rsidRPr="00640478">
        <w:rPr>
          <w:rFonts w:ascii="Arial" w:hAnsi="Arial" w:cs="Arial"/>
          <w:sz w:val="24"/>
          <w:szCs w:val="24"/>
        </w:rPr>
        <w:t xml:space="preserve"> controversy is likely to ensue. For instance, in the SAVOR</w:t>
      </w:r>
      <w:r w:rsidR="00E1151E">
        <w:rPr>
          <w:rFonts w:ascii="Arial" w:hAnsi="Arial" w:cs="Arial"/>
          <w:sz w:val="24"/>
          <w:szCs w:val="24"/>
        </w:rPr>
        <w:t xml:space="preserve"> </w:t>
      </w:r>
      <w:r w:rsidR="009348D3" w:rsidRPr="00640478">
        <w:rPr>
          <w:rFonts w:ascii="Arial" w:hAnsi="Arial" w:cs="Arial"/>
          <w:sz w:val="24"/>
          <w:szCs w:val="24"/>
        </w:rPr>
        <w:t xml:space="preserve">trial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&lt;EndNote&gt;&lt;Cite&gt;&lt;Author&gt;Scirica&lt;/Author&gt;&lt;Year&gt;2013&lt;/Year&gt;&lt;RecNum&gt;50&lt;/RecNum&gt;&lt;DisplayText&gt;(5)&lt;/DisplayText&gt;&lt;record&gt;&lt;rec-number&gt;50&lt;/rec-number&gt;&lt;foreign-keys&gt;&lt;key app="EN" db-id="eaz5sewevp5dfxewrdrvzv52xsv2tsf22rzr"&gt;50&lt;/key&gt;&lt;/foreign-keys&gt;&lt;ref-type name="Journal Article"&gt;17&lt;/ref-type&gt;&lt;contributors&gt;&lt;authors&gt;&lt;author&gt;Scirica, Benjamin M.&lt;/author&gt;&lt;author&gt;Bhatt, Deepak L.&lt;/author&gt;&lt;author&gt;Braunwald, Eugene&lt;/author&gt;&lt;author&gt;Steg, P. Gabriel&lt;/author&gt;&lt;author&gt;Davidson, Jaime&lt;/author&gt;&lt;author&gt;Hirshberg, Boaz&lt;/author&gt;&lt;author&gt;Ohman, Peter&lt;/author&gt;&lt;author&gt;Frederich, Robert&lt;/author&gt;&lt;author&gt;Wiviott, Stephen D.&lt;/author&gt;&lt;author&gt;Hoffman, Elaine B.&lt;/author&gt;&lt;author&gt;Cavender, Matthew A.&lt;/author&gt;&lt;author&gt;Udell, Jacob A.&lt;/author&gt;&lt;author&gt;Desai, Nihar R.&lt;/author&gt;&lt;author&gt;Mosenzon, Ofri&lt;/author&gt;&lt;author&gt;McGuire, Darren K.&lt;/author&gt;&lt;author&gt;Ray, Kausik K.&lt;/author&gt;&lt;author&gt;Leiter, Lawrence A.&lt;/author&gt;&lt;author&gt;Raz, Itamar&lt;/author&gt;&lt;/authors&gt;&lt;/contributors&gt;&lt;titles&gt;&lt;title&gt;Saxagliptin and Cardiovascular Outcomes in Patients with Type 2 Diabetes Mellitus&lt;/title&gt;&lt;secondary-title&gt;New England Journal of Medicine&lt;/secondary-title&gt;&lt;/titles&gt;&lt;periodical&gt;&lt;full-title&gt;New England Journal of Medicine&lt;/full-title&gt;&lt;/periodical&gt;&lt;pages&gt;1317-1326&lt;/pages&gt;&lt;volume&gt;369&lt;/volume&gt;&lt;number&gt;14&lt;/number&gt;&lt;dates&gt;&lt;year&gt;2013&lt;/year&gt;&lt;/dates&gt;&lt;accession-num&gt;23992601&lt;/accession-num&gt;&lt;call-num&gt;4&lt;/call-num&gt;&lt;urls&gt;&lt;related-urls&gt;&lt;url&gt;http://www.nejm.org/doi/full/10.1056/NEJMoa1307684&lt;/url&gt;&lt;/related-urls&gt;&lt;/urls&gt;&lt;electronic-resource-num&gt;doi:10.1056/NEJMoa1307684&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5" w:tooltip="Scirica, 2013 #50" w:history="1">
        <w:r w:rsidR="00DA7737">
          <w:rPr>
            <w:rFonts w:ascii="Arial" w:hAnsi="Arial" w:cs="Arial"/>
            <w:noProof/>
            <w:sz w:val="24"/>
            <w:szCs w:val="24"/>
          </w:rPr>
          <w:t>5</w:t>
        </w:r>
      </w:hyperlink>
      <w:r w:rsidR="00DA7737">
        <w:rPr>
          <w:rFonts w:ascii="Arial" w:hAnsi="Arial" w:cs="Arial"/>
          <w:noProof/>
          <w:sz w:val="24"/>
          <w:szCs w:val="24"/>
        </w:rPr>
        <w:t>)</w:t>
      </w:r>
      <w:r w:rsidR="007E0097">
        <w:rPr>
          <w:rFonts w:ascii="Arial" w:hAnsi="Arial" w:cs="Arial"/>
          <w:sz w:val="24"/>
          <w:szCs w:val="24"/>
        </w:rPr>
        <w:fldChar w:fldCharType="end"/>
      </w:r>
      <w:r w:rsidR="007E0097">
        <w:rPr>
          <w:rFonts w:ascii="Arial" w:hAnsi="Arial" w:cs="Arial"/>
          <w:sz w:val="24"/>
          <w:szCs w:val="24"/>
        </w:rPr>
        <w:t xml:space="preserve"> </w:t>
      </w:r>
      <w:r w:rsidR="009348D3" w:rsidRPr="00640478">
        <w:rPr>
          <w:rFonts w:ascii="Arial" w:hAnsi="Arial" w:cs="Arial"/>
          <w:sz w:val="24"/>
          <w:szCs w:val="24"/>
        </w:rPr>
        <w:t>of saxagliptin versus placebo in diabetic patients the composite primary endpoint (CV death, MI and stroke) showed no treatment difference but one</w:t>
      </w:r>
      <w:r w:rsidR="009348D3" w:rsidRPr="00636F9B">
        <w:rPr>
          <w:rFonts w:ascii="Arial" w:hAnsi="Arial" w:cs="Arial"/>
          <w:sz w:val="24"/>
          <w:szCs w:val="24"/>
        </w:rPr>
        <w:t xml:space="preserve"> of several secondary endpoints, heart failure hospitalisation revealed an excess on saxagliptin hazard ratio 1.27 (95% CI 1.07 to 1.51) P=0.007. The risk of a type I error (false positive) runs high when looking at multiple endpoints (1 primary and 10 secondary in this instance), so the play of chance cannot be ruled out. Two subsequent trials </w:t>
      </w:r>
      <w:r w:rsidR="009348D3" w:rsidRPr="00AB4615">
        <w:rPr>
          <w:rFonts w:ascii="Arial" w:hAnsi="Arial" w:cs="Arial"/>
          <w:sz w:val="24"/>
          <w:szCs w:val="24"/>
        </w:rPr>
        <w:t xml:space="preserve">EXAMINE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&lt;EndNote&gt;&lt;Cite&gt;&lt;Author&gt;White&lt;/Author&gt;&lt;Year&gt;2013&lt;/Year&gt;&lt;RecNum&gt;51&lt;/RecNum&gt;&lt;DisplayText&gt;(6)&lt;/DisplayText&gt;&lt;record&gt;&lt;rec-number&gt;51&lt;/rec-number&gt;&lt;foreign-keys&gt;&lt;key app="EN" db-id="eaz5sewevp5dfxewrdrvzv52xsv2tsf22rzr"&gt;51&lt;/key&gt;&lt;/foreign-keys&gt;&lt;ref-type name="Journal Article"&gt;17&lt;/ref-type&gt;&lt;contributors&gt;&lt;authors&gt;&lt;author&gt;White, William B.&lt;/author&gt;&lt;author&gt;Cannon, Christopher P.&lt;/author&gt;&lt;author&gt;Heller, Simon R.&lt;/author&gt;&lt;author&gt;Nissen, Steven E.&lt;/author&gt;&lt;author&gt;Bergenstal, Richard M.&lt;/author&gt;&lt;author&gt;Bakris, George L.&lt;/author&gt;&lt;author&gt;Perez, Alfonso T.&lt;/author&gt;&lt;author&gt;Fleck, Penny R.&lt;/author&gt;&lt;author&gt;Mehta, Cyrus R.&lt;/author&gt;&lt;author&gt;Kupfer, Stuart&lt;/author&gt;&lt;author&gt;Wilson, Craig&lt;/author&gt;&lt;author&gt;Cushman, William C.&lt;/author&gt;&lt;author&gt;Zannad, Faiez&lt;/author&gt;&lt;/authors&gt;&lt;/contributors&gt;&lt;titles&gt;&lt;title&gt;Alogliptin after Acute Coronary Syndrome in Patients with Type 2 Diabetes&lt;/title&gt;&lt;secondary-title&gt;New England Journal of Medicine&lt;/secondary-title&gt;&lt;/titles&gt;&lt;periodical&gt;&lt;full-title&gt;New England Journal of Medicine&lt;/full-title&gt;&lt;/periodical&gt;&lt;pages&gt;1327-1335&lt;/pages&gt;&lt;volume&gt;369&lt;/volume&gt;&lt;number&gt;14&lt;/number&gt;&lt;dates&gt;&lt;year&gt;2013&lt;/year&gt;&lt;/dates&gt;&lt;accession-num&gt;23992602&lt;/accession-num&gt;&lt;call-num&gt;5&lt;/call-num&gt;&lt;urls&gt;&lt;related-urls&gt;&lt;url&gt;http://www.nejm.org/doi/full/10.1056/NEJMoa1305889&lt;/url&gt;&lt;/related-urls&gt;&lt;/urls&gt;&lt;electronic-resource-num&gt;doi:10.1056/NEJMoa1305889&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6" w:tooltip="White, 2013 #51" w:history="1">
        <w:r w:rsidR="00DA7737">
          <w:rPr>
            <w:rFonts w:ascii="Arial" w:hAnsi="Arial" w:cs="Arial"/>
            <w:noProof/>
            <w:sz w:val="24"/>
            <w:szCs w:val="24"/>
          </w:rPr>
          <w:t>6</w:t>
        </w:r>
      </w:hyperlink>
      <w:r w:rsidR="00DA7737">
        <w:rPr>
          <w:rFonts w:ascii="Arial" w:hAnsi="Arial" w:cs="Arial"/>
          <w:noProof/>
          <w:sz w:val="24"/>
          <w:szCs w:val="24"/>
        </w:rPr>
        <w:t>)</w:t>
      </w:r>
      <w:r w:rsidR="007E0097">
        <w:rPr>
          <w:rFonts w:ascii="Arial" w:hAnsi="Arial" w:cs="Arial"/>
          <w:sz w:val="24"/>
          <w:szCs w:val="24"/>
        </w:rPr>
        <w:fldChar w:fldCharType="end"/>
      </w:r>
      <w:r w:rsidR="005E314A" w:rsidRPr="00AB4615">
        <w:rPr>
          <w:rFonts w:ascii="Arial" w:hAnsi="Arial" w:cs="Arial"/>
          <w:sz w:val="24"/>
          <w:szCs w:val="24"/>
        </w:rPr>
        <w:t xml:space="preserve"> </w:t>
      </w:r>
      <w:r w:rsidR="009348D3" w:rsidRPr="00AB4615">
        <w:rPr>
          <w:rFonts w:ascii="Arial" w:hAnsi="Arial" w:cs="Arial"/>
          <w:sz w:val="24"/>
          <w:szCs w:val="24"/>
        </w:rPr>
        <w:t xml:space="preserve">and TECOS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&lt;EndNote&gt;&lt;Cite&gt;&lt;Author&gt;Green&lt;/Author&gt;&lt;Year&gt;2015&lt;/Year&gt;&lt;RecNum&gt;99&lt;/RecNum&gt;&lt;DisplayText&gt;(7)&lt;/DisplayText&gt;&lt;record&gt;&lt;rec-number&gt;99&lt;/rec-number&gt;&lt;foreign-keys&gt;&lt;key app="EN" db-id="eaz5sewevp5dfxewrdrvzv52xsv2tsf22rzr"&gt;99&lt;/key&gt;&lt;/foreign-keys&gt;&lt;ref-type name="Journal Article"&gt;17&lt;/ref-type&gt;&lt;contributors&gt;&lt;authors&gt;&lt;author&gt;Green, Jennifer B.&lt;/author&gt;&lt;author&gt;Bethel, M. Angelyn&lt;/author&gt;&lt;author&gt;Armstrong, Paul W.&lt;/author&gt;&lt;author&gt;Buse, John B.&lt;/author&gt;&lt;author&gt;Engel, Samuel S.&lt;/author&gt;&lt;author&gt;Garg, Jyotsna&lt;/author&gt;&lt;author&gt;Josse, Robert&lt;/author&gt;&lt;author&gt;Kaufman, Keith D.&lt;/author&gt;&lt;author&gt;Koglin, Joerg&lt;/author&gt;&lt;author&gt;Korn, Scott&lt;/author&gt;&lt;author&gt;Lachin, John M.&lt;/author&gt;&lt;author&gt;McGuire, Darren K.&lt;/author&gt;&lt;author&gt;Pencina, Michael J.&lt;/author&gt;&lt;author&gt;Standl, Eberhard&lt;/author&gt;&lt;author&gt;Stein, Peter P.&lt;/author&gt;&lt;author&gt;Suryawanshi, Shailaja&lt;/author&gt;&lt;author&gt;Van de Werf, Frans&lt;/author&gt;&lt;author&gt;Peterson, Eric D.&lt;/author&gt;&lt;author&gt;Holman, Rury R.&lt;/author&gt;&lt;/authors&gt;&lt;/contributors&gt;&lt;titles&gt;&lt;title&gt;Effect of Sitagliptin on Cardiovascular Outcomes in Type 2 Diabetes&lt;/title&gt;&lt;secondary-title&gt;New England Journal of Medicine&lt;/secondary-title&gt;&lt;/titles&gt;&lt;periodical&gt;&lt;full-title&gt;New England Journal of Medicine&lt;/full-title&gt;&lt;/periodical&gt;&lt;pages&gt;232-242&lt;/pages&gt;&lt;volume&gt;373&lt;/volume&gt;&lt;number&gt;3&lt;/number&gt;&lt;dates&gt;&lt;year&gt;2015&lt;/year&gt;&lt;/dates&gt;&lt;accession-num&gt;26052984&lt;/accession-num&gt;&lt;call-num&gt;6&lt;/call-num&gt;&lt;urls&gt;&lt;related-urls&gt;&lt;url&gt;http://www.nejm.org/doi/full/10.1056/NEJMoa1501352&lt;/url&gt;&lt;/related-urls&gt;&lt;/urls&gt;&lt;electronic-resource-num&gt;doi:10.1056/NEJMoa1501352&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7" w:tooltip="Green, 2015 #99" w:history="1">
        <w:r w:rsidR="00DA7737">
          <w:rPr>
            <w:rFonts w:ascii="Arial" w:hAnsi="Arial" w:cs="Arial"/>
            <w:noProof/>
            <w:sz w:val="24"/>
            <w:szCs w:val="24"/>
          </w:rPr>
          <w:t>7</w:t>
        </w:r>
      </w:hyperlink>
      <w:r w:rsidR="00DA7737">
        <w:rPr>
          <w:rFonts w:ascii="Arial" w:hAnsi="Arial" w:cs="Arial"/>
          <w:noProof/>
          <w:sz w:val="24"/>
          <w:szCs w:val="24"/>
        </w:rPr>
        <w:t>)</w:t>
      </w:r>
      <w:r w:rsidR="007E0097">
        <w:rPr>
          <w:rFonts w:ascii="Arial" w:hAnsi="Arial" w:cs="Arial"/>
          <w:sz w:val="24"/>
          <w:szCs w:val="24"/>
        </w:rPr>
        <w:fldChar w:fldCharType="end"/>
      </w:r>
      <w:r w:rsidR="005E314A" w:rsidRPr="00AB4615">
        <w:rPr>
          <w:rFonts w:ascii="Arial" w:hAnsi="Arial" w:cs="Arial"/>
          <w:sz w:val="24"/>
          <w:szCs w:val="24"/>
        </w:rPr>
        <w:t xml:space="preserve"> </w:t>
      </w:r>
      <w:r w:rsidR="009348D3" w:rsidRPr="00AB4615">
        <w:rPr>
          <w:rFonts w:ascii="Arial" w:hAnsi="Arial" w:cs="Arial"/>
          <w:sz w:val="24"/>
          <w:szCs w:val="24"/>
        </w:rPr>
        <w:t>of</w:t>
      </w:r>
      <w:r w:rsidR="009348D3">
        <w:rPr>
          <w:rFonts w:ascii="Arial" w:hAnsi="Arial" w:cs="Arial"/>
          <w:sz w:val="24"/>
          <w:szCs w:val="24"/>
        </w:rPr>
        <w:t xml:space="preserve"> drugs in the same class, </w:t>
      </w:r>
      <w:proofErr w:type="spellStart"/>
      <w:r w:rsidR="009348D3">
        <w:rPr>
          <w:rFonts w:ascii="Arial" w:hAnsi="Arial" w:cs="Arial"/>
          <w:sz w:val="24"/>
          <w:szCs w:val="24"/>
        </w:rPr>
        <w:t>alogliptin</w:t>
      </w:r>
      <w:proofErr w:type="spellEnd"/>
      <w:r w:rsidR="009348D3">
        <w:rPr>
          <w:rFonts w:ascii="Arial" w:hAnsi="Arial" w:cs="Arial"/>
          <w:sz w:val="24"/>
          <w:szCs w:val="24"/>
        </w:rPr>
        <w:t xml:space="preserve"> an</w:t>
      </w:r>
      <w:r w:rsidR="006D54F7">
        <w:rPr>
          <w:rFonts w:ascii="Arial" w:hAnsi="Arial" w:cs="Arial"/>
          <w:sz w:val="24"/>
          <w:szCs w:val="24"/>
        </w:rPr>
        <w:t>d</w:t>
      </w:r>
      <w:r w:rsidR="009348D3">
        <w:rPr>
          <w:rFonts w:ascii="Arial" w:hAnsi="Arial" w:cs="Arial"/>
          <w:sz w:val="24"/>
          <w:szCs w:val="24"/>
        </w:rPr>
        <w:t xml:space="preserve"> </w:t>
      </w:r>
      <w:proofErr w:type="spellStart"/>
      <w:r w:rsidR="009348D3">
        <w:rPr>
          <w:rFonts w:ascii="Arial" w:hAnsi="Arial" w:cs="Arial"/>
          <w:sz w:val="24"/>
          <w:szCs w:val="24"/>
        </w:rPr>
        <w:t>sitagliptin</w:t>
      </w:r>
      <w:proofErr w:type="spellEnd"/>
      <w:r w:rsidR="009348D3">
        <w:rPr>
          <w:rFonts w:ascii="Arial" w:hAnsi="Arial" w:cs="Arial"/>
          <w:sz w:val="24"/>
          <w:szCs w:val="24"/>
        </w:rPr>
        <w:t xml:space="preserve"> respectively, reveal no excess of heart failure and there is no plausible biological explanation as to why the drugs might differ in this respect. Furthermore, a statistical test of heterogeneity comparing the three trials’ hazard ratios for heart failure is not statistically significant (interaction P=0.16) and the combined hazard ratio is 1.</w:t>
      </w:r>
      <w:r w:rsidR="006D54F7">
        <w:rPr>
          <w:rFonts w:ascii="Arial" w:hAnsi="Arial" w:cs="Arial"/>
          <w:sz w:val="24"/>
          <w:szCs w:val="24"/>
        </w:rPr>
        <w:t>1</w:t>
      </w:r>
      <w:r w:rsidR="009348D3">
        <w:rPr>
          <w:rFonts w:ascii="Arial" w:hAnsi="Arial" w:cs="Arial"/>
          <w:sz w:val="24"/>
          <w:szCs w:val="24"/>
        </w:rPr>
        <w:t>3 (P=0.04) and 1.12 (P=0.18) for fixed and random effect meta-analyses respectively (see Figure 1).</w:t>
      </w:r>
      <w:r w:rsidR="00D109CD">
        <w:rPr>
          <w:rFonts w:ascii="Arial" w:hAnsi="Arial" w:cs="Arial"/>
          <w:sz w:val="24"/>
          <w:szCs w:val="24"/>
        </w:rPr>
        <w:t xml:space="preserve"> </w:t>
      </w:r>
      <w:r w:rsidR="003E3AC6">
        <w:rPr>
          <w:rFonts w:ascii="Arial" w:hAnsi="Arial" w:cs="Arial"/>
          <w:sz w:val="24"/>
          <w:szCs w:val="24"/>
        </w:rPr>
        <w:t xml:space="preserve">This analysis partly hinges on the concept that similar effects should be expected for drugs in the same class. This is often the case but there are exceptions e.g. </w:t>
      </w:r>
      <w:proofErr w:type="spellStart"/>
      <w:r w:rsidR="003E3AC6">
        <w:rPr>
          <w:rFonts w:ascii="Arial" w:hAnsi="Arial" w:cs="Arial"/>
          <w:sz w:val="24"/>
          <w:szCs w:val="24"/>
        </w:rPr>
        <w:t>torcetrapib</w:t>
      </w:r>
      <w:proofErr w:type="spellEnd"/>
      <w:r w:rsidR="003E3AC6">
        <w:rPr>
          <w:rFonts w:ascii="Arial" w:hAnsi="Arial" w:cs="Arial"/>
          <w:sz w:val="24"/>
          <w:szCs w:val="24"/>
        </w:rPr>
        <w:t xml:space="preserve"> versus other CETP inhibitors, and </w:t>
      </w:r>
      <w:proofErr w:type="spellStart"/>
      <w:r w:rsidR="003E3AC6" w:rsidRPr="003E3AC6">
        <w:rPr>
          <w:rFonts w:ascii="Arial" w:hAnsi="Arial" w:cs="Arial"/>
          <w:sz w:val="24"/>
          <w:szCs w:val="24"/>
        </w:rPr>
        <w:t>ximelagatran</w:t>
      </w:r>
      <w:proofErr w:type="spellEnd"/>
      <w:r w:rsidR="003E3AC6">
        <w:rPr>
          <w:rFonts w:ascii="Arial" w:hAnsi="Arial" w:cs="Arial"/>
          <w:sz w:val="24"/>
          <w:szCs w:val="24"/>
        </w:rPr>
        <w:t xml:space="preserve"> versus other direct thrombin inhibitors regarding </w:t>
      </w:r>
      <w:r w:rsidR="003E3AC6">
        <w:rPr>
          <w:rFonts w:ascii="Arial" w:hAnsi="Arial" w:cs="Arial"/>
          <w:sz w:val="24"/>
          <w:szCs w:val="24"/>
        </w:rPr>
        <w:lastRenderedPageBreak/>
        <w:t>liver abnormalities. This, w</w:t>
      </w:r>
      <w:r w:rsidR="00D109CD">
        <w:rPr>
          <w:rFonts w:ascii="Arial" w:hAnsi="Arial" w:cs="Arial"/>
          <w:sz w:val="24"/>
          <w:szCs w:val="24"/>
        </w:rPr>
        <w:t>hile one cannot rule out the possibility of a real problem here</w:t>
      </w:r>
      <w:r w:rsidR="003E3AC6">
        <w:rPr>
          <w:rFonts w:ascii="Arial" w:hAnsi="Arial" w:cs="Arial"/>
          <w:sz w:val="24"/>
          <w:szCs w:val="24"/>
        </w:rPr>
        <w:t xml:space="preserve"> unique to sax</w:t>
      </w:r>
      <w:r w:rsidR="0001697A">
        <w:rPr>
          <w:rFonts w:ascii="Arial" w:hAnsi="Arial" w:cs="Arial"/>
          <w:sz w:val="24"/>
          <w:szCs w:val="24"/>
        </w:rPr>
        <w:t>agliptin</w:t>
      </w:r>
      <w:r w:rsidR="00D109CD">
        <w:rPr>
          <w:rFonts w:ascii="Arial" w:hAnsi="Arial" w:cs="Arial"/>
          <w:sz w:val="24"/>
          <w:szCs w:val="24"/>
        </w:rPr>
        <w:t>, the evidence of harm lacks conviction and should be interpreted with caution.</w:t>
      </w:r>
    </w:p>
    <w:p w14:paraId="122C8327" w14:textId="77777777" w:rsidR="00E1151E" w:rsidRDefault="00E1151E" w:rsidP="00A7253B">
      <w:pPr>
        <w:spacing w:after="0" w:line="360" w:lineRule="auto"/>
        <w:rPr>
          <w:rFonts w:ascii="Arial" w:hAnsi="Arial" w:cs="Arial"/>
          <w:sz w:val="24"/>
          <w:szCs w:val="24"/>
        </w:rPr>
      </w:pPr>
    </w:p>
    <w:p w14:paraId="355C39B6" w14:textId="012DF537" w:rsidR="00D109CD" w:rsidRDefault="00D109CD" w:rsidP="00A7253B">
      <w:pPr>
        <w:spacing w:after="0" w:line="360" w:lineRule="auto"/>
        <w:rPr>
          <w:rFonts w:ascii="Arial" w:hAnsi="Arial" w:cs="Arial"/>
          <w:sz w:val="24"/>
          <w:szCs w:val="24"/>
        </w:rPr>
      </w:pPr>
      <w:r>
        <w:rPr>
          <w:rFonts w:ascii="Arial" w:hAnsi="Arial" w:cs="Arial"/>
          <w:sz w:val="24"/>
          <w:szCs w:val="24"/>
        </w:rPr>
        <w:t>Regulatory authorities and trial publications in medical journals have somewhat different perspectives when it comes to interpreting secondary endpoints. If the primary endpoint is neutral, the efficacy claims for secondary endpoints may be cauti</w:t>
      </w:r>
      <w:r w:rsidR="003723A7">
        <w:rPr>
          <w:rFonts w:ascii="Arial" w:hAnsi="Arial" w:cs="Arial"/>
          <w:sz w:val="24"/>
          <w:szCs w:val="24"/>
        </w:rPr>
        <w:t xml:space="preserve">ously expressed in the medical literature </w:t>
      </w:r>
      <w:r w:rsidR="00E1151E">
        <w:rPr>
          <w:rFonts w:ascii="Arial" w:hAnsi="Arial" w:cs="Arial"/>
          <w:sz w:val="24"/>
          <w:szCs w:val="24"/>
        </w:rPr>
        <w:t xml:space="preserve">(usually with less emphasis than authors might wish), </w:t>
      </w:r>
      <w:r w:rsidR="003723A7">
        <w:rPr>
          <w:rFonts w:ascii="Arial" w:hAnsi="Arial" w:cs="Arial"/>
          <w:sz w:val="24"/>
          <w:szCs w:val="24"/>
        </w:rPr>
        <w:t xml:space="preserve">while it is highly unlikely that regulators will approve a drug on this basis. Regulators face a dilemma when secondary endpoint suggestions of potential harm arise, as in the </w:t>
      </w:r>
      <w:r w:rsidR="003723A7" w:rsidRPr="00640478">
        <w:rPr>
          <w:rFonts w:ascii="Arial" w:hAnsi="Arial" w:cs="Arial"/>
          <w:sz w:val="24"/>
          <w:szCs w:val="24"/>
        </w:rPr>
        <w:t>SAVOR trial</w:t>
      </w:r>
      <w:r w:rsidR="005E314A">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&lt;EndNote&gt;&lt;Cite&gt;&lt;Author&gt;Scirica&lt;/Author&gt;&lt;Year&gt;2013&lt;/Year&gt;&lt;RecNum&gt;50&lt;/RecNum&gt;&lt;DisplayText&gt;(5)&lt;/DisplayText&gt;&lt;record&gt;&lt;rec-number&gt;50&lt;/rec-number&gt;&lt;foreign-keys&gt;&lt;key app="EN" db-id="eaz5sewevp5dfxewrdrvzv52xsv2tsf22rzr"&gt;50&lt;/key&gt;&lt;/foreign-keys&gt;&lt;ref-type name="Journal Article"&gt;17&lt;/ref-type&gt;&lt;contributors&gt;&lt;authors&gt;&lt;author&gt;Scirica, Benjamin M.&lt;/author&gt;&lt;author&gt;Bhatt, Deepak L.&lt;/author&gt;&lt;author&gt;Braunwald, Eugene&lt;/author&gt;&lt;author&gt;Steg, P. Gabriel&lt;/author&gt;&lt;author&gt;Davidson, Jaime&lt;/author&gt;&lt;author&gt;Hirshberg, Boaz&lt;/author&gt;&lt;author&gt;Ohman, Peter&lt;/author&gt;&lt;author&gt;Frederich, Robert&lt;/author&gt;&lt;author&gt;Wiviott, Stephen D.&lt;/author&gt;&lt;author&gt;Hoffman, Elaine B.&lt;/author&gt;&lt;author&gt;Cavender, Matthew A.&lt;/author&gt;&lt;author&gt;Udell, Jacob A.&lt;/author&gt;&lt;author&gt;Desai, Nihar R.&lt;/author&gt;&lt;author&gt;Mosenzon, Ofri&lt;/author&gt;&lt;author&gt;McGuire, Darren K.&lt;/author&gt;&lt;author&gt;Ray, Kausik K.&lt;/author&gt;&lt;author&gt;Leiter, Lawrence A.&lt;/author&gt;&lt;author&gt;Raz, Itamar&lt;/author&gt;&lt;/authors&gt;&lt;/contributors&gt;&lt;titles&gt;&lt;title&gt;Saxagliptin and Cardiovascular Outcomes in Patients with Type 2 Diabetes Mellitus&lt;/title&gt;&lt;secondary-title&gt;New England Journal of Medicine&lt;/secondary-title&gt;&lt;/titles&gt;&lt;periodical&gt;&lt;full-title&gt;New England Journal of Medicine&lt;/full-title&gt;&lt;/periodical&gt;&lt;pages&gt;1317-1326&lt;/pages&gt;&lt;volume&gt;369&lt;/volume&gt;&lt;number&gt;14&lt;/number&gt;&lt;dates&gt;&lt;year&gt;2013&lt;/year&gt;&lt;/dates&gt;&lt;accession-num&gt;23992601&lt;/accession-num&gt;&lt;call-num&gt;4&lt;/call-num&gt;&lt;urls&gt;&lt;related-urls&gt;&lt;url&gt;http://www.nejm.org/doi/full/10.1056/NEJMoa1307684&lt;/url&gt;&lt;/related-urls&gt;&lt;/urls&gt;&lt;electronic-resource-num&gt;doi:10.1056/NEJMoa1307684&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5" w:tooltip="Scirica, 2013 #50" w:history="1">
        <w:r w:rsidR="00DA7737">
          <w:rPr>
            <w:rFonts w:ascii="Arial" w:hAnsi="Arial" w:cs="Arial"/>
            <w:noProof/>
            <w:sz w:val="24"/>
            <w:szCs w:val="24"/>
          </w:rPr>
          <w:t>5</w:t>
        </w:r>
      </w:hyperlink>
      <w:r w:rsidR="00DA7737">
        <w:rPr>
          <w:rFonts w:ascii="Arial" w:hAnsi="Arial" w:cs="Arial"/>
          <w:noProof/>
          <w:sz w:val="24"/>
          <w:szCs w:val="24"/>
        </w:rPr>
        <w:t>)</w:t>
      </w:r>
      <w:r w:rsidR="007E0097">
        <w:rPr>
          <w:rFonts w:ascii="Arial" w:hAnsi="Arial" w:cs="Arial"/>
          <w:sz w:val="24"/>
          <w:szCs w:val="24"/>
        </w:rPr>
        <w:fldChar w:fldCharType="end"/>
      </w:r>
      <w:r w:rsidR="003723A7">
        <w:rPr>
          <w:rFonts w:ascii="Arial" w:hAnsi="Arial" w:cs="Arial"/>
          <w:sz w:val="24"/>
          <w:szCs w:val="24"/>
        </w:rPr>
        <w:t>. There is an asymmetr</w:t>
      </w:r>
      <w:r w:rsidR="00D56782">
        <w:rPr>
          <w:rFonts w:ascii="Arial" w:hAnsi="Arial" w:cs="Arial"/>
          <w:sz w:val="24"/>
          <w:szCs w:val="24"/>
        </w:rPr>
        <w:t>y</w:t>
      </w:r>
      <w:r w:rsidR="003723A7">
        <w:rPr>
          <w:rFonts w:ascii="Arial" w:hAnsi="Arial" w:cs="Arial"/>
          <w:sz w:val="24"/>
          <w:szCs w:val="24"/>
        </w:rPr>
        <w:t xml:space="preserve"> here in that the corresponding extent of evidence in the direction of treatment benefit would receive scant attention. While there is an obvious need to protect patients from any harm, regulators need to recognize the statistical uncertainties whereby effective treatments might be unjustly removed based on weak evidence of potential harm arising from data dredging across a multiplicity of endpoints.</w:t>
      </w:r>
    </w:p>
    <w:p w14:paraId="2E1EBC62" w14:textId="77777777" w:rsidR="003723A7" w:rsidRDefault="003723A7" w:rsidP="00A7253B">
      <w:pPr>
        <w:spacing w:after="0" w:line="360" w:lineRule="auto"/>
        <w:rPr>
          <w:rFonts w:ascii="Arial" w:hAnsi="Arial" w:cs="Arial"/>
          <w:sz w:val="24"/>
          <w:szCs w:val="24"/>
        </w:rPr>
      </w:pPr>
    </w:p>
    <w:p w14:paraId="6C2DB718" w14:textId="21616AFB" w:rsidR="003723A7" w:rsidRDefault="003723A7" w:rsidP="00A7253B">
      <w:pPr>
        <w:spacing w:after="0" w:line="360" w:lineRule="auto"/>
        <w:rPr>
          <w:rFonts w:ascii="Arial" w:hAnsi="Arial" w:cs="Arial"/>
          <w:sz w:val="24"/>
          <w:szCs w:val="24"/>
        </w:rPr>
      </w:pPr>
      <w:r w:rsidRPr="003723A7">
        <w:rPr>
          <w:rFonts w:ascii="Arial" w:hAnsi="Arial" w:cs="Arial"/>
          <w:b/>
          <w:sz w:val="24"/>
          <w:szCs w:val="24"/>
        </w:rPr>
        <w:t>Composite endpoints</w:t>
      </w:r>
      <w:r>
        <w:rPr>
          <w:rFonts w:ascii="Arial" w:hAnsi="Arial" w:cs="Arial"/>
          <w:sz w:val="24"/>
          <w:szCs w:val="24"/>
        </w:rPr>
        <w:t xml:space="preserve"> are commonly used in cardiovascular RCTs to combine evidence across two or more outcomes into a single primary endpoint. But there is a danger of oversimplifying the evidence by putting too much emphasis on the composite without adequate inspection of the contribution from each separate component.</w:t>
      </w:r>
      <w:r w:rsidR="00D56782">
        <w:rPr>
          <w:rFonts w:ascii="Arial" w:hAnsi="Arial" w:cs="Arial"/>
          <w:sz w:val="24"/>
          <w:szCs w:val="24"/>
        </w:rPr>
        <w:t xml:space="preserve"> </w:t>
      </w:r>
      <w:r>
        <w:rPr>
          <w:rFonts w:ascii="Arial" w:hAnsi="Arial" w:cs="Arial"/>
          <w:sz w:val="24"/>
          <w:szCs w:val="24"/>
        </w:rPr>
        <w:t xml:space="preserve">For instance, the </w:t>
      </w:r>
      <w:r w:rsidRPr="00640478">
        <w:rPr>
          <w:rFonts w:ascii="Arial" w:hAnsi="Arial" w:cs="Arial"/>
          <w:sz w:val="24"/>
          <w:szCs w:val="24"/>
        </w:rPr>
        <w:t>SYNTAX trial</w:t>
      </w:r>
      <w:r w:rsidR="005E314A" w:rsidRPr="00640478">
        <w:rPr>
          <w:rFonts w:ascii="Arial" w:hAnsi="Arial" w:cs="Arial"/>
          <w:sz w:val="24"/>
          <w:szCs w:val="24"/>
        </w:rPr>
        <w:t xml:space="preserve"> </w:t>
      </w:r>
      <w:r w:rsidR="007E0097">
        <w:rPr>
          <w:rFonts w:ascii="Arial" w:hAnsi="Arial" w:cs="Arial"/>
          <w:sz w:val="24"/>
          <w:szCs w:val="24"/>
        </w:rPr>
        <w:fldChar w:fldCharType="begin">
          <w:fldData xml:space="preserve">PEVuZE5vdGU+PENpdGU+PEF1dGhvcj5TZXJydXlzPC9BdXRob3I+PFllYXI+MjAwOTwvWWVhcj48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</w:fldData>
        </w:fldChar>
      </w:r>
      <w:r w:rsidR="00DA7737">
        <w:rPr>
          <w:rFonts w:ascii="Arial" w:hAnsi="Arial" w:cs="Arial"/>
          <w:sz w:val="24"/>
          <w:szCs w:val="24"/>
        </w:rPr>
        <w:instrText xml:space="preserve"> ADDIN EN.CITE </w:instrText>
      </w:r>
      <w:r w:rsidR="00DA7737">
        <w:rPr>
          <w:rFonts w:ascii="Arial" w:hAnsi="Arial" w:cs="Arial"/>
          <w:sz w:val="24"/>
          <w:szCs w:val="24"/>
        </w:rPr>
        <w:fldChar w:fldCharType="begin">
          <w:fldData xml:space="preserve">PEVuZE5vdGU+PENpdGU+PEF1dGhvcj5TZXJydXlzPC9BdXRob3I+PFllYXI+MjAwOTwvWWVhcj48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</w:fldData>
        </w:fldChar>
      </w:r>
      <w:r w:rsidR="00DA7737">
        <w:rPr>
          <w:rFonts w:ascii="Arial" w:hAnsi="Arial" w:cs="Arial"/>
          <w:sz w:val="24"/>
          <w:szCs w:val="24"/>
        </w:rPr>
        <w:instrText xml:space="preserve"> ADDIN EN.CITE.DATA </w:instrText>
      </w:r>
      <w:r w:rsidR="00DA7737">
        <w:rPr>
          <w:rFonts w:ascii="Arial" w:hAnsi="Arial" w:cs="Arial"/>
          <w:sz w:val="24"/>
          <w:szCs w:val="24"/>
        </w:rPr>
      </w:r>
      <w:r w:rsidR="00DA7737">
        <w:rPr>
          <w:rFonts w:ascii="Arial" w:hAnsi="Arial" w:cs="Arial"/>
          <w:sz w:val="24"/>
          <w:szCs w:val="24"/>
        </w:rPr>
        <w:fldChar w:fldCharType="end"/>
      </w:r>
      <w:r w:rsidR="007E0097">
        <w:rPr>
          <w:rFonts w:ascii="Arial" w:hAnsi="Arial" w:cs="Arial"/>
          <w:sz w:val="24"/>
          <w:szCs w:val="24"/>
        </w:rPr>
      </w:r>
      <w:r w:rsidR="007E0097">
        <w:rPr>
          <w:rFonts w:ascii="Arial" w:hAnsi="Arial" w:cs="Arial"/>
          <w:sz w:val="24"/>
          <w:szCs w:val="24"/>
        </w:rPr>
        <w:fldChar w:fldCharType="separate"/>
      </w:r>
      <w:r w:rsidR="00DA7737">
        <w:rPr>
          <w:rFonts w:ascii="Arial" w:hAnsi="Arial" w:cs="Arial"/>
          <w:noProof/>
          <w:sz w:val="24"/>
          <w:szCs w:val="24"/>
        </w:rPr>
        <w:t>(</w:t>
      </w:r>
      <w:hyperlink w:anchor="_ENREF_8" w:tooltip="Serruys, 2009 #53" w:history="1">
        <w:r w:rsidR="00DA7737">
          <w:rPr>
            <w:rFonts w:ascii="Arial" w:hAnsi="Arial" w:cs="Arial"/>
            <w:noProof/>
            <w:sz w:val="24"/>
            <w:szCs w:val="24"/>
          </w:rPr>
          <w:t>8</w:t>
        </w:r>
      </w:hyperlink>
      <w:r w:rsidR="00DA7737">
        <w:rPr>
          <w:rFonts w:ascii="Arial" w:hAnsi="Arial" w:cs="Arial"/>
          <w:noProof/>
          <w:sz w:val="24"/>
          <w:szCs w:val="24"/>
        </w:rPr>
        <w:t>,</w:t>
      </w:r>
      <w:hyperlink w:anchor="_ENREF_9" w:tooltip="Mohr, 2013 #75" w:history="1">
        <w:r w:rsidR="00DA7737">
          <w:rPr>
            <w:rFonts w:ascii="Arial" w:hAnsi="Arial" w:cs="Arial"/>
            <w:noProof/>
            <w:sz w:val="24"/>
            <w:szCs w:val="24"/>
          </w:rPr>
          <w:t>9</w:t>
        </w:r>
      </w:hyperlink>
      <w:r w:rsidR="00DA7737">
        <w:rPr>
          <w:rFonts w:ascii="Arial" w:hAnsi="Arial" w:cs="Arial"/>
          <w:noProof/>
          <w:sz w:val="24"/>
          <w:szCs w:val="24"/>
        </w:rPr>
        <w:t>)</w:t>
      </w:r>
      <w:r w:rsidR="007E0097">
        <w:rPr>
          <w:rFonts w:ascii="Arial" w:hAnsi="Arial" w:cs="Arial"/>
          <w:sz w:val="24"/>
          <w:szCs w:val="24"/>
        </w:rPr>
        <w:fldChar w:fldCharType="end"/>
      </w:r>
      <w:r w:rsidRPr="00640478">
        <w:rPr>
          <w:rFonts w:ascii="Arial" w:hAnsi="Arial" w:cs="Arial"/>
          <w:sz w:val="24"/>
          <w:szCs w:val="24"/>
        </w:rPr>
        <w:t xml:space="preserve"> of</w:t>
      </w:r>
      <w:r>
        <w:rPr>
          <w:rFonts w:ascii="Arial" w:hAnsi="Arial" w:cs="Arial"/>
          <w:sz w:val="24"/>
          <w:szCs w:val="24"/>
        </w:rPr>
        <w:t xml:space="preserve"> bypass surgery (CABG) versus the TAXUS drug-eluting stent (DES) in 1800 patients with left main or triple vessel disease had a </w:t>
      </w:r>
      <w:r w:rsidR="00E1151E">
        <w:rPr>
          <w:rFonts w:ascii="Arial" w:hAnsi="Arial" w:cs="Arial"/>
          <w:sz w:val="24"/>
          <w:szCs w:val="24"/>
        </w:rPr>
        <w:t>Major Adverse Cardia</w:t>
      </w:r>
      <w:r w:rsidR="000478E4">
        <w:rPr>
          <w:rFonts w:ascii="Arial" w:hAnsi="Arial" w:cs="Arial"/>
          <w:sz w:val="24"/>
          <w:szCs w:val="24"/>
        </w:rPr>
        <w:t>c</w:t>
      </w:r>
      <w:r w:rsidR="00E1151E">
        <w:rPr>
          <w:rFonts w:ascii="Arial" w:hAnsi="Arial" w:cs="Arial"/>
          <w:sz w:val="24"/>
          <w:szCs w:val="24"/>
        </w:rPr>
        <w:t xml:space="preserve"> or Cerebrovascular Events (</w:t>
      </w:r>
      <w:r>
        <w:rPr>
          <w:rFonts w:ascii="Arial" w:hAnsi="Arial" w:cs="Arial"/>
          <w:sz w:val="24"/>
          <w:szCs w:val="24"/>
        </w:rPr>
        <w:t>MACCE</w:t>
      </w:r>
      <w:r w:rsidR="00E1151E">
        <w:rPr>
          <w:rFonts w:ascii="Arial" w:hAnsi="Arial" w:cs="Arial"/>
          <w:sz w:val="24"/>
          <w:szCs w:val="24"/>
        </w:rPr>
        <w:t>)</w:t>
      </w:r>
      <w:r>
        <w:rPr>
          <w:rFonts w:ascii="Arial" w:hAnsi="Arial" w:cs="Arial"/>
          <w:sz w:val="24"/>
          <w:szCs w:val="24"/>
        </w:rPr>
        <w:t xml:space="preserve"> composite primary endpoint comprising of death, stroke, myocardial infarction and repeat re</w:t>
      </w:r>
      <w:r w:rsidR="000432C6">
        <w:rPr>
          <w:rFonts w:ascii="Arial" w:hAnsi="Arial" w:cs="Arial"/>
          <w:sz w:val="24"/>
          <w:szCs w:val="24"/>
        </w:rPr>
        <w:t>vascularisation</w:t>
      </w:r>
      <w:r w:rsidR="00D56782">
        <w:rPr>
          <w:rFonts w:ascii="Arial" w:hAnsi="Arial" w:cs="Arial"/>
          <w:sz w:val="24"/>
          <w:szCs w:val="24"/>
        </w:rPr>
        <w:t>:</w:t>
      </w:r>
      <w:r w:rsidR="000432C6">
        <w:rPr>
          <w:rFonts w:ascii="Arial" w:hAnsi="Arial" w:cs="Arial"/>
          <w:sz w:val="24"/>
          <w:szCs w:val="24"/>
        </w:rPr>
        <w:t xml:space="preserve"> results at 1 year and 5 years follow-up are shown in Table 2. At one year there was highly significant excess of MACCE events after DES which at face value indicates that DES is inferior to CABG. But </w:t>
      </w:r>
      <w:r w:rsidR="008046B6">
        <w:rPr>
          <w:rFonts w:ascii="Arial" w:hAnsi="Arial" w:cs="Arial"/>
          <w:sz w:val="24"/>
          <w:szCs w:val="24"/>
        </w:rPr>
        <w:t>here</w:t>
      </w:r>
      <w:r w:rsidR="000432C6">
        <w:rPr>
          <w:rFonts w:ascii="Arial" w:hAnsi="Arial" w:cs="Arial"/>
          <w:sz w:val="24"/>
          <w:szCs w:val="24"/>
        </w:rPr>
        <w:t xml:space="preserve"> is a more complex picture not well captured by this choice of primary endpoint. The main difference is in repeat revascularisation, the great majority of which is repeat PCI. One could argue that 10% of patients having a second PCI is less </w:t>
      </w:r>
      <w:r w:rsidR="00E1151E">
        <w:rPr>
          <w:rFonts w:ascii="Arial" w:hAnsi="Arial" w:cs="Arial"/>
          <w:sz w:val="24"/>
          <w:szCs w:val="24"/>
        </w:rPr>
        <w:t>traumatic</w:t>
      </w:r>
      <w:r w:rsidR="000432C6">
        <w:rPr>
          <w:rFonts w:ascii="Arial" w:hAnsi="Arial" w:cs="Arial"/>
          <w:sz w:val="24"/>
          <w:szCs w:val="24"/>
        </w:rPr>
        <w:t xml:space="preserve"> than the CABG received by 100% of the CABG group, so </w:t>
      </w:r>
      <w:r w:rsidR="00E1151E">
        <w:rPr>
          <w:rFonts w:ascii="Arial" w:hAnsi="Arial" w:cs="Arial"/>
          <w:sz w:val="24"/>
          <w:szCs w:val="24"/>
        </w:rPr>
        <w:t xml:space="preserve">this component of the primary endpoint </w:t>
      </w:r>
      <w:r w:rsidR="000432C6">
        <w:rPr>
          <w:rFonts w:ascii="Arial" w:hAnsi="Arial" w:cs="Arial"/>
          <w:sz w:val="24"/>
          <w:szCs w:val="24"/>
        </w:rPr>
        <w:t xml:space="preserve">is not well representing the comparison of overall patient </w:t>
      </w:r>
      <w:r w:rsidR="007E0097">
        <w:rPr>
          <w:rFonts w:ascii="Arial" w:hAnsi="Arial" w:cs="Arial"/>
          <w:sz w:val="24"/>
          <w:szCs w:val="24"/>
        </w:rPr>
        <w:t>well-being</w:t>
      </w:r>
      <w:r w:rsidR="000432C6">
        <w:rPr>
          <w:rFonts w:ascii="Arial" w:hAnsi="Arial" w:cs="Arial"/>
          <w:sz w:val="24"/>
          <w:szCs w:val="24"/>
        </w:rPr>
        <w:t xml:space="preserve">. At one year, there is a significant excess of strokes after CABG, and no overall difference in the composite </w:t>
      </w:r>
      <w:r w:rsidR="000432C6">
        <w:rPr>
          <w:rFonts w:ascii="Arial" w:hAnsi="Arial" w:cs="Arial"/>
          <w:sz w:val="24"/>
          <w:szCs w:val="24"/>
        </w:rPr>
        <w:lastRenderedPageBreak/>
        <w:t xml:space="preserve">of death, MI and stroke. </w:t>
      </w:r>
      <w:r w:rsidR="0001697A">
        <w:rPr>
          <w:rFonts w:ascii="Arial" w:hAnsi="Arial" w:cs="Arial"/>
          <w:sz w:val="24"/>
          <w:szCs w:val="24"/>
        </w:rPr>
        <w:t>A general principle that often occurs in other interventional trials, e.g. complete or culprit lesion intervention in primary PCI, is that clinically driven interventions should not be part of the primary endpoint.</w:t>
      </w:r>
    </w:p>
    <w:p w14:paraId="30D5F61A" w14:textId="77777777" w:rsidR="000432C6" w:rsidRDefault="000432C6" w:rsidP="00A7253B">
      <w:pPr>
        <w:spacing w:after="0" w:line="360" w:lineRule="auto"/>
        <w:rPr>
          <w:rFonts w:ascii="Arial" w:hAnsi="Arial" w:cs="Arial"/>
          <w:sz w:val="24"/>
          <w:szCs w:val="24"/>
        </w:rPr>
      </w:pPr>
    </w:p>
    <w:p w14:paraId="1B4F09F5" w14:textId="3151ED7C" w:rsidR="000432C6" w:rsidRDefault="007B0B0F" w:rsidP="00A7253B">
      <w:pPr>
        <w:spacing w:after="0" w:line="360" w:lineRule="auto"/>
        <w:rPr>
          <w:rFonts w:ascii="Arial" w:hAnsi="Arial" w:cs="Arial"/>
          <w:sz w:val="24"/>
          <w:szCs w:val="24"/>
        </w:rPr>
      </w:pPr>
      <w:r>
        <w:rPr>
          <w:rFonts w:ascii="Arial" w:hAnsi="Arial" w:cs="Arial"/>
          <w:sz w:val="24"/>
          <w:szCs w:val="24"/>
        </w:rPr>
        <w:t xml:space="preserve">A second important point raised by </w:t>
      </w:r>
      <w:r w:rsidR="000432C6">
        <w:rPr>
          <w:rFonts w:ascii="Arial" w:hAnsi="Arial" w:cs="Arial"/>
          <w:sz w:val="24"/>
          <w:szCs w:val="24"/>
        </w:rPr>
        <w:t xml:space="preserve">SYNTAX </w:t>
      </w:r>
      <w:r>
        <w:rPr>
          <w:rFonts w:ascii="Arial" w:hAnsi="Arial" w:cs="Arial"/>
          <w:sz w:val="24"/>
          <w:szCs w:val="24"/>
        </w:rPr>
        <w:t xml:space="preserve">is </w:t>
      </w:r>
      <w:r w:rsidR="000432C6">
        <w:rPr>
          <w:rFonts w:ascii="Arial" w:hAnsi="Arial" w:cs="Arial"/>
          <w:sz w:val="24"/>
          <w:szCs w:val="24"/>
        </w:rPr>
        <w:t xml:space="preserve">that in </w:t>
      </w:r>
      <w:r w:rsidR="00D56782">
        <w:rPr>
          <w:rFonts w:ascii="Arial" w:hAnsi="Arial" w:cs="Arial"/>
          <w:sz w:val="24"/>
          <w:szCs w:val="24"/>
        </w:rPr>
        <w:t>su</w:t>
      </w:r>
      <w:r w:rsidR="000432C6">
        <w:rPr>
          <w:rFonts w:ascii="Arial" w:hAnsi="Arial" w:cs="Arial"/>
          <w:sz w:val="24"/>
          <w:szCs w:val="24"/>
        </w:rPr>
        <w:t>ch strategy trial</w:t>
      </w:r>
      <w:r>
        <w:rPr>
          <w:rFonts w:ascii="Arial" w:hAnsi="Arial" w:cs="Arial"/>
          <w:sz w:val="24"/>
          <w:szCs w:val="24"/>
        </w:rPr>
        <w:t>s</w:t>
      </w:r>
      <w:r w:rsidR="000432C6">
        <w:rPr>
          <w:rFonts w:ascii="Arial" w:hAnsi="Arial" w:cs="Arial"/>
          <w:sz w:val="24"/>
          <w:szCs w:val="24"/>
        </w:rPr>
        <w:t xml:space="preserve"> the </w:t>
      </w:r>
      <w:r w:rsidR="0001697A">
        <w:rPr>
          <w:rFonts w:ascii="Arial" w:hAnsi="Arial" w:cs="Arial"/>
          <w:sz w:val="24"/>
          <w:szCs w:val="24"/>
        </w:rPr>
        <w:t>key treatment differences</w:t>
      </w:r>
      <w:r w:rsidR="000432C6">
        <w:rPr>
          <w:rFonts w:ascii="Arial" w:hAnsi="Arial" w:cs="Arial"/>
          <w:sz w:val="24"/>
          <w:szCs w:val="24"/>
        </w:rPr>
        <w:t xml:space="preserve"> </w:t>
      </w:r>
      <w:r>
        <w:rPr>
          <w:rFonts w:ascii="Arial" w:hAnsi="Arial" w:cs="Arial"/>
          <w:sz w:val="24"/>
          <w:szCs w:val="24"/>
        </w:rPr>
        <w:t xml:space="preserve">may well be revealed </w:t>
      </w:r>
      <w:r w:rsidR="000432C6">
        <w:rPr>
          <w:rFonts w:ascii="Arial" w:hAnsi="Arial" w:cs="Arial"/>
          <w:sz w:val="24"/>
          <w:szCs w:val="24"/>
        </w:rPr>
        <w:t>with longer-term follow-up. At 5 years, there is a highly significant excess of MIs in the DES group and this drives the composite of death</w:t>
      </w:r>
      <w:r w:rsidR="000431CF">
        <w:rPr>
          <w:rFonts w:ascii="Arial" w:hAnsi="Arial" w:cs="Arial"/>
          <w:sz w:val="24"/>
          <w:szCs w:val="24"/>
        </w:rPr>
        <w:t>,</w:t>
      </w:r>
      <w:r w:rsidR="000432C6">
        <w:rPr>
          <w:rFonts w:ascii="Arial" w:hAnsi="Arial" w:cs="Arial"/>
          <w:sz w:val="24"/>
          <w:szCs w:val="24"/>
        </w:rPr>
        <w:t xml:space="preserve"> MI and stroke also to be in favor of CABG.</w:t>
      </w:r>
    </w:p>
    <w:p w14:paraId="423DAC8F" w14:textId="77777777" w:rsidR="0040699D" w:rsidRDefault="0040699D" w:rsidP="00A7253B">
      <w:pPr>
        <w:spacing w:after="0" w:line="360" w:lineRule="auto"/>
        <w:rPr>
          <w:rFonts w:ascii="Arial" w:hAnsi="Arial" w:cs="Arial"/>
          <w:sz w:val="24"/>
          <w:szCs w:val="24"/>
        </w:rPr>
      </w:pPr>
    </w:p>
    <w:p w14:paraId="5311B866" w14:textId="5FED9CAB" w:rsidR="000432C6" w:rsidRDefault="000432C6" w:rsidP="00A7253B">
      <w:pPr>
        <w:spacing w:after="0" w:line="360" w:lineRule="auto"/>
        <w:rPr>
          <w:rFonts w:ascii="Arial" w:hAnsi="Arial" w:cs="Arial"/>
          <w:sz w:val="24"/>
          <w:szCs w:val="24"/>
        </w:rPr>
      </w:pPr>
      <w:r>
        <w:rPr>
          <w:rFonts w:ascii="Arial" w:hAnsi="Arial" w:cs="Arial"/>
          <w:sz w:val="24"/>
          <w:szCs w:val="24"/>
        </w:rPr>
        <w:t xml:space="preserve">This example illustrates how for composite endpoints “the devil lies in the details”. In the ongoing </w:t>
      </w:r>
      <w:r w:rsidRPr="00543767">
        <w:rPr>
          <w:rFonts w:ascii="Arial" w:hAnsi="Arial" w:cs="Arial"/>
          <w:sz w:val="24"/>
          <w:szCs w:val="24"/>
        </w:rPr>
        <w:t>EXCEL</w:t>
      </w:r>
      <w:r w:rsidR="00A05AD9">
        <w:rPr>
          <w:rFonts w:ascii="Arial" w:hAnsi="Arial" w:cs="Arial"/>
          <w:sz w:val="24"/>
          <w:szCs w:val="24"/>
        </w:rPr>
        <w:t xml:space="preserve"> </w:t>
      </w:r>
      <w:r w:rsidR="00A05AD9">
        <w:rPr>
          <w:rFonts w:ascii="Arial" w:hAnsi="Arial" w:cs="Arial"/>
          <w:sz w:val="24"/>
          <w:szCs w:val="24"/>
        </w:rPr>
        <w:fldChar w:fldCharType="begin"/>
      </w:r>
      <w:r w:rsidR="00DA7737">
        <w:rPr>
          <w:rFonts w:ascii="Arial" w:hAnsi="Arial" w:cs="Arial"/>
          <w:sz w:val="24"/>
          <w:szCs w:val="24"/>
        </w:rPr>
        <w:instrText xml:space="preserve"> ADDIN EN.CITE &lt;EndNote&gt;&lt;Cite&gt;&lt;Author&gt;Abbott Vascular&lt;/Author&gt;&lt;Year&gt;2010&lt;/Year&gt;&lt;RecNum&gt;103&lt;/RecNum&gt;&lt;DisplayText&gt;(10)&lt;/DisplayText&gt;&lt;record&gt;&lt;rec-number&gt;103&lt;/rec-number&gt;&lt;foreign-keys&gt;&lt;key app="EN" db-id="eaz5sewevp5dfxewrdrvzv52xsv2tsf22rzr"&gt;103&lt;/key&gt;&lt;/foreign-keys&gt;&lt;ref-type name="Journal Article"&gt;17&lt;/ref-type&gt;&lt;contributors&gt;&lt;authors&gt;&lt;author&gt;Abbott Vascular, Illinois, U.S.A.&lt;/author&gt;&lt;/authors&gt;&lt;/contributors&gt;&lt;titles&gt;&lt;title&gt;Evaluation of Xience Prime everolimus-eluting stent system (EECSS) or Xience V EECSS versus coronary artery bypass surgery for effectiveness of left main revascularization (EXCEL) clinical trial&lt;/title&gt;&lt;secondary-title&gt;In: ClinicalTrials.gov [Internet]. Bethesda (MD): National Library of Medicine (US). 2010- [cited 2015 August 07]. Available from: https://clinicaltrials.gov/ct2/show/NCT01205776 Identifier: NCT01205776 2010&lt;/secondary-title&gt;&lt;/titles&gt;&lt;periodical&gt;&lt;full-title&gt;In: ClinicalTrials.gov [Internet]. Bethesda (MD): National Library of Medicine (US). 2010- [cited 2015 August 07]. Available from: https://clinicaltrials.gov/ct2/show/NCT01205776 Identifier: NCT01205776 2010&lt;/full-title&gt;&lt;/periodical&gt;&lt;dates&gt;&lt;year&gt;2010&lt;/year&gt;&lt;/dates&gt;&lt;urls&gt;&lt;/urls&gt;&lt;/record&gt;&lt;/Cite&gt;&lt;/EndNote&gt;</w:instrText>
      </w:r>
      <w:r w:rsidR="00A05AD9">
        <w:rPr>
          <w:rFonts w:ascii="Arial" w:hAnsi="Arial" w:cs="Arial"/>
          <w:sz w:val="24"/>
          <w:szCs w:val="24"/>
        </w:rPr>
        <w:fldChar w:fldCharType="separate"/>
      </w:r>
      <w:r w:rsidR="00DA7737">
        <w:rPr>
          <w:rFonts w:ascii="Arial" w:hAnsi="Arial" w:cs="Arial"/>
          <w:noProof/>
          <w:sz w:val="24"/>
          <w:szCs w:val="24"/>
        </w:rPr>
        <w:t>(</w:t>
      </w:r>
      <w:hyperlink w:anchor="_ENREF_10" w:tooltip="Abbott Vascular, 2010 #103" w:history="1">
        <w:r w:rsidR="00DA7737">
          <w:rPr>
            <w:rFonts w:ascii="Arial" w:hAnsi="Arial" w:cs="Arial"/>
            <w:noProof/>
            <w:sz w:val="24"/>
            <w:szCs w:val="24"/>
          </w:rPr>
          <w:t>10</w:t>
        </w:r>
      </w:hyperlink>
      <w:r w:rsidR="00DA7737">
        <w:rPr>
          <w:rFonts w:ascii="Arial" w:hAnsi="Arial" w:cs="Arial"/>
          <w:noProof/>
          <w:sz w:val="24"/>
          <w:szCs w:val="24"/>
        </w:rPr>
        <w:t>)</w:t>
      </w:r>
      <w:r w:rsidR="00A05AD9">
        <w:rPr>
          <w:rFonts w:ascii="Arial" w:hAnsi="Arial" w:cs="Arial"/>
          <w:sz w:val="24"/>
          <w:szCs w:val="24"/>
        </w:rPr>
        <w:fldChar w:fldCharType="end"/>
      </w:r>
      <w:r w:rsidRPr="00543767">
        <w:rPr>
          <w:rFonts w:ascii="Arial" w:hAnsi="Arial" w:cs="Arial"/>
          <w:sz w:val="24"/>
          <w:szCs w:val="24"/>
        </w:rPr>
        <w:t xml:space="preserve"> </w:t>
      </w:r>
      <w:r>
        <w:rPr>
          <w:rFonts w:ascii="Arial" w:hAnsi="Arial" w:cs="Arial"/>
          <w:sz w:val="24"/>
          <w:szCs w:val="24"/>
        </w:rPr>
        <w:t xml:space="preserve">trial of CABG versus </w:t>
      </w:r>
      <w:proofErr w:type="spellStart"/>
      <w:r>
        <w:rPr>
          <w:rFonts w:ascii="Arial" w:hAnsi="Arial" w:cs="Arial"/>
          <w:sz w:val="24"/>
          <w:szCs w:val="24"/>
        </w:rPr>
        <w:t>everolimus</w:t>
      </w:r>
      <w:proofErr w:type="spellEnd"/>
      <w:r>
        <w:rPr>
          <w:rFonts w:ascii="Arial" w:hAnsi="Arial" w:cs="Arial"/>
          <w:sz w:val="24"/>
          <w:szCs w:val="24"/>
        </w:rPr>
        <w:t>-eluting stent in left main disease, the primary endpoint is death, MI and stroke after 3 years providi</w:t>
      </w:r>
      <w:r w:rsidR="00B52315">
        <w:rPr>
          <w:rFonts w:ascii="Arial" w:hAnsi="Arial" w:cs="Arial"/>
          <w:sz w:val="24"/>
          <w:szCs w:val="24"/>
        </w:rPr>
        <w:t>ng an appropriate longer-term p</w:t>
      </w:r>
      <w:r>
        <w:rPr>
          <w:rFonts w:ascii="Arial" w:hAnsi="Arial" w:cs="Arial"/>
          <w:sz w:val="24"/>
          <w:szCs w:val="24"/>
        </w:rPr>
        <w:t>e</w:t>
      </w:r>
      <w:r w:rsidR="00B52315">
        <w:rPr>
          <w:rFonts w:ascii="Arial" w:hAnsi="Arial" w:cs="Arial"/>
          <w:sz w:val="24"/>
          <w:szCs w:val="24"/>
        </w:rPr>
        <w:t>r</w:t>
      </w:r>
      <w:r>
        <w:rPr>
          <w:rFonts w:ascii="Arial" w:hAnsi="Arial" w:cs="Arial"/>
          <w:sz w:val="24"/>
          <w:szCs w:val="24"/>
        </w:rPr>
        <w:t xml:space="preserve">spective on the key major </w:t>
      </w:r>
      <w:r w:rsidR="00B52315">
        <w:rPr>
          <w:rFonts w:ascii="Arial" w:hAnsi="Arial" w:cs="Arial"/>
          <w:sz w:val="24"/>
          <w:szCs w:val="24"/>
        </w:rPr>
        <w:t>cardiovascular events.</w:t>
      </w:r>
    </w:p>
    <w:p w14:paraId="69DC01B6" w14:textId="77777777" w:rsidR="00B52315" w:rsidRDefault="00B52315" w:rsidP="00A7253B">
      <w:pPr>
        <w:spacing w:after="0" w:line="360" w:lineRule="auto"/>
        <w:rPr>
          <w:rFonts w:ascii="Arial" w:hAnsi="Arial" w:cs="Arial"/>
          <w:sz w:val="24"/>
          <w:szCs w:val="24"/>
        </w:rPr>
      </w:pPr>
    </w:p>
    <w:p w14:paraId="383A8918" w14:textId="77777777" w:rsidR="00B52315" w:rsidRPr="00B52315" w:rsidRDefault="00B52315" w:rsidP="00A7253B">
      <w:pPr>
        <w:spacing w:after="0" w:line="360" w:lineRule="auto"/>
        <w:rPr>
          <w:rFonts w:ascii="Arial" w:hAnsi="Arial" w:cs="Arial"/>
          <w:b/>
          <w:sz w:val="24"/>
          <w:szCs w:val="24"/>
        </w:rPr>
      </w:pPr>
      <w:r w:rsidRPr="00B52315">
        <w:rPr>
          <w:rFonts w:ascii="Arial" w:hAnsi="Arial" w:cs="Arial"/>
          <w:b/>
          <w:sz w:val="24"/>
          <w:szCs w:val="24"/>
        </w:rPr>
        <w:t>Covariate Adjustment</w:t>
      </w:r>
    </w:p>
    <w:p w14:paraId="38AA3FBA" w14:textId="77777777" w:rsidR="00B52315" w:rsidRDefault="00B52315" w:rsidP="00A7253B">
      <w:pPr>
        <w:spacing w:after="0" w:line="360" w:lineRule="auto"/>
        <w:rPr>
          <w:rFonts w:ascii="Arial" w:hAnsi="Arial" w:cs="Arial"/>
          <w:sz w:val="24"/>
          <w:szCs w:val="24"/>
        </w:rPr>
      </w:pPr>
    </w:p>
    <w:p w14:paraId="765B8C86" w14:textId="1686422E" w:rsidR="00B52315" w:rsidRDefault="00B52315" w:rsidP="00A7253B">
      <w:pPr>
        <w:spacing w:after="0" w:line="360" w:lineRule="auto"/>
        <w:rPr>
          <w:rFonts w:ascii="Arial" w:hAnsi="Arial" w:cs="Arial"/>
          <w:sz w:val="24"/>
          <w:szCs w:val="24"/>
        </w:rPr>
      </w:pPr>
      <w:r>
        <w:rPr>
          <w:rFonts w:ascii="Arial" w:hAnsi="Arial" w:cs="Arial"/>
          <w:sz w:val="24"/>
          <w:szCs w:val="24"/>
        </w:rPr>
        <w:t>Should the key</w:t>
      </w:r>
      <w:r w:rsidR="00F568C5">
        <w:rPr>
          <w:rFonts w:ascii="Arial" w:hAnsi="Arial" w:cs="Arial"/>
          <w:sz w:val="24"/>
          <w:szCs w:val="24"/>
        </w:rPr>
        <w:t xml:space="preserve"> results of an RCT be adjusted for baseline covariates, which covariates should be chosen (and how), and which results should be emphasized?</w:t>
      </w:r>
      <w:r w:rsidR="007E0097">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&lt;EndNote&gt;&lt;Cite&gt;&lt;Author&gt;Pocock&lt;/Author&gt;&lt;Year&gt;2002&lt;/Year&gt;&lt;RecNum&gt;81&lt;/RecNum&gt;&lt;DisplayText&gt;(11)&lt;/DisplayText&gt;&lt;record&gt;&lt;rec-number&gt;81&lt;/rec-number&gt;&lt;foreign-keys&gt;&lt;key app="EN" db-id="eaz5sewevp5dfxewrdrvzv52xsv2tsf22rzr"&gt;81&lt;/key&gt;&lt;/foreign-keys&gt;&lt;ref-type name="Journal Article"&gt;17&lt;/ref-type&gt;&lt;contributors&gt;&lt;authors&gt;&lt;author&gt;Pocock, Stuart J.&lt;/author&gt;&lt;author&gt;Assmann, Susan E.&lt;/author&gt;&lt;author&gt;Enos, Laura E.&lt;/author&gt;&lt;author&gt;Kasten, Linda E.&lt;/author&gt;&lt;/authors&gt;&lt;/contributors&gt;&lt;titles&gt;&lt;title&gt;Subgroup analysis, covariate adjustment and baseline comparisons in clinical trial reporting: current practiceand problems&lt;/title&gt;&lt;secondary-title&gt;Statistics in Medicine&lt;/secondary-title&gt;&lt;/titles&gt;&lt;periodical&gt;&lt;full-title&gt;Statistics in Medicine&lt;/full-title&gt;&lt;/periodical&gt;&lt;pages&gt;2917-2930&lt;/pages&gt;&lt;volume&gt;21&lt;/volume&gt;&lt;number&gt;19&lt;/number&gt;&lt;keywords&gt;&lt;keyword&gt;clinical trials&lt;/keyword&gt;&lt;keyword&gt;subgroup analysis&lt;/keyword&gt;&lt;keyword&gt;covariate adjustment&lt;/keyword&gt;&lt;keyword&gt;baseline comparisons&lt;/keyword&gt;&lt;keyword&gt;medical journals&lt;/keyword&gt;&lt;/keywords&gt;&lt;dates&gt;&lt;year&gt;2002&lt;/year&gt;&lt;/dates&gt;&lt;publisher&gt;John Wiley &amp;amp; Sons, Ltd.&lt;/publisher&gt;&lt;isbn&gt;1097-0258&lt;/isbn&gt;&lt;call-num&gt;10&lt;/call-num&gt;&lt;urls&gt;&lt;related-urls&gt;&lt;url&gt;http://dx.doi.org/10.1002/sim.1296&lt;/url&gt;&lt;/related-urls&gt;&lt;/urls&gt;&lt;electronic-resource-num&gt;10.1002/sim.1296&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1" w:tooltip="Pocock, 2002 #81" w:history="1">
        <w:r w:rsidR="00DA7737">
          <w:rPr>
            <w:rFonts w:ascii="Arial" w:hAnsi="Arial" w:cs="Arial"/>
            <w:noProof/>
            <w:sz w:val="24"/>
            <w:szCs w:val="24"/>
          </w:rPr>
          <w:t>11</w:t>
        </w:r>
      </w:hyperlink>
      <w:r w:rsidR="00DA7737">
        <w:rPr>
          <w:rFonts w:ascii="Arial" w:hAnsi="Arial" w:cs="Arial"/>
          <w:noProof/>
          <w:sz w:val="24"/>
          <w:szCs w:val="24"/>
        </w:rPr>
        <w:t>)</w:t>
      </w:r>
      <w:r w:rsidR="007E0097">
        <w:rPr>
          <w:rFonts w:ascii="Arial" w:hAnsi="Arial" w:cs="Arial"/>
          <w:sz w:val="24"/>
          <w:szCs w:val="24"/>
        </w:rPr>
        <w:fldChar w:fldCharType="end"/>
      </w:r>
      <w:r w:rsidR="00F568C5">
        <w:rPr>
          <w:rFonts w:ascii="Arial" w:hAnsi="Arial" w:cs="Arial"/>
          <w:sz w:val="24"/>
          <w:szCs w:val="24"/>
        </w:rPr>
        <w:t xml:space="preserve"> </w:t>
      </w:r>
      <w:r w:rsidR="009455BD">
        <w:rPr>
          <w:rFonts w:ascii="Arial" w:hAnsi="Arial" w:cs="Arial"/>
          <w:sz w:val="24"/>
          <w:szCs w:val="24"/>
        </w:rPr>
        <w:t xml:space="preserve"> </w:t>
      </w:r>
      <w:r w:rsidR="00F568C5">
        <w:rPr>
          <w:rFonts w:ascii="Arial" w:hAnsi="Arial" w:cs="Arial"/>
          <w:sz w:val="24"/>
          <w:szCs w:val="24"/>
        </w:rPr>
        <w:t xml:space="preserve">Practice varies widely: for some RCTs only unadjusted results are presented, others have covariate adjustment as their primary analysis while yet others use it as a secondary sensitivity analysis. This inconsistency of approach across trials is perhaps tolerated because in major trials randomisation ensures good balance across treatments for baseline variables and hence covariate adjustment usually makes little difference. </w:t>
      </w:r>
    </w:p>
    <w:p w14:paraId="312AD53C" w14:textId="77777777" w:rsidR="00537631" w:rsidRDefault="00537631" w:rsidP="00A7253B">
      <w:pPr>
        <w:spacing w:after="0" w:line="360" w:lineRule="auto"/>
        <w:rPr>
          <w:rFonts w:ascii="Arial" w:hAnsi="Arial" w:cs="Arial"/>
          <w:sz w:val="24"/>
          <w:szCs w:val="24"/>
        </w:rPr>
      </w:pPr>
    </w:p>
    <w:p w14:paraId="53432FA5" w14:textId="4C269911" w:rsidR="00537631" w:rsidRDefault="00F568C5" w:rsidP="00A7253B">
      <w:pPr>
        <w:spacing w:after="0" w:line="360" w:lineRule="auto"/>
        <w:rPr>
          <w:rFonts w:ascii="Arial" w:hAnsi="Arial" w:cs="Arial"/>
          <w:sz w:val="24"/>
          <w:szCs w:val="24"/>
        </w:rPr>
      </w:pPr>
      <w:r>
        <w:rPr>
          <w:rFonts w:ascii="Arial" w:hAnsi="Arial" w:cs="Arial"/>
          <w:sz w:val="24"/>
          <w:szCs w:val="24"/>
        </w:rPr>
        <w:t xml:space="preserve">The </w:t>
      </w:r>
      <w:r w:rsidRPr="00543767">
        <w:rPr>
          <w:rFonts w:ascii="Arial" w:hAnsi="Arial" w:cs="Arial"/>
          <w:sz w:val="24"/>
          <w:szCs w:val="24"/>
        </w:rPr>
        <w:t>EMPHASIS</w:t>
      </w:r>
      <w:r w:rsidR="008B5539" w:rsidRPr="009455BD">
        <w:rPr>
          <w:rFonts w:ascii="Arial" w:hAnsi="Arial" w:cs="Arial"/>
          <w:sz w:val="24"/>
          <w:szCs w:val="24"/>
        </w:rPr>
        <w:t>-HF</w:t>
      </w:r>
      <w:r w:rsidRPr="00543767">
        <w:rPr>
          <w:rFonts w:ascii="Arial" w:hAnsi="Arial" w:cs="Arial"/>
          <w:sz w:val="24"/>
          <w:szCs w:val="24"/>
        </w:rPr>
        <w:t xml:space="preserve"> trial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&lt;EndNote&gt;&lt;Cite&gt;&lt;Author&gt;Zannad&lt;/Author&gt;&lt;Year&gt;2011&lt;/Year&gt;&lt;RecNum&gt;22&lt;/RecNum&gt;&lt;DisplayText&gt;(12)&lt;/DisplayText&gt;&lt;record&gt;&lt;rec-number&gt;22&lt;/rec-number&gt;&lt;foreign-keys&gt;&lt;key app="EN" db-id="eaz5sewevp5dfxewrdrvzv52xsv2tsf22rzr"&gt;22&lt;/key&gt;&lt;/foreign-keys&gt;&lt;ref-type name="Journal Article"&gt;17&lt;/ref-type&gt;&lt;contributors&gt;&lt;authors&gt;&lt;author&gt;Zannad, Faiez&lt;/author&gt;&lt;author&gt;McMurray, John J.V.&lt;/author&gt;&lt;author&gt;Krum, Henry&lt;/author&gt;&lt;author&gt;van Veldhuisen, Dirk J.&lt;/author&gt;&lt;author&gt;Swedberg, Karl&lt;/author&gt;&lt;author&gt;Shi, Harry&lt;/author&gt;&lt;author&gt;Vincent, John&lt;/author&gt;&lt;author&gt;Pocock, Stuart J.&lt;/author&gt;&lt;author&gt;Pitt, Bertram&lt;/author&gt;&lt;/authors&gt;&lt;/contributors&gt;&lt;titles&gt;&lt;title&gt;Eplerenone in Patients with Systolic Heart Failure and Mild Symptoms&lt;/title&gt;&lt;secondary-title&gt;New England Journal of Medicine&lt;/secondary-title&gt;&lt;/titles&gt;&lt;periodical&gt;&lt;full-title&gt;New England Journal of Medicine&lt;/full-title&gt;&lt;/periodical&gt;&lt;pages&gt;11-21&lt;/pages&gt;&lt;volume&gt;364&lt;/volume&gt;&lt;number&gt;1&lt;/number&gt;&lt;dates&gt;&lt;year&gt;2011&lt;/year&gt;&lt;/dates&gt;&lt;accession-num&gt;21073363&lt;/accession-num&gt;&lt;call-num&gt;11&lt;/call-num&gt;&lt;urls&gt;&lt;related-urls&gt;&lt;url&gt;http://www.nejm.org/doi/full/10.1056/NEJMoa1009492&lt;/url&gt;&lt;/related-urls&gt;&lt;/urls&gt;&lt;electronic-resource-num&gt;doi:10.1056/NEJMoa1009492&lt;/electronic-resource-num&gt;&lt;access-date&gt;1&lt;/access-date&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2" w:tooltip="Zannad, 2011 #22" w:history="1">
        <w:r w:rsidR="00DA7737">
          <w:rPr>
            <w:rFonts w:ascii="Arial" w:hAnsi="Arial" w:cs="Arial"/>
            <w:noProof/>
            <w:sz w:val="24"/>
            <w:szCs w:val="24"/>
          </w:rPr>
          <w:t>12</w:t>
        </w:r>
      </w:hyperlink>
      <w:r w:rsidR="00DA7737">
        <w:rPr>
          <w:rFonts w:ascii="Arial" w:hAnsi="Arial" w:cs="Arial"/>
          <w:noProof/>
          <w:sz w:val="24"/>
          <w:szCs w:val="24"/>
        </w:rPr>
        <w:t>)</w:t>
      </w:r>
      <w:r w:rsidR="007E0097">
        <w:rPr>
          <w:rFonts w:ascii="Arial" w:hAnsi="Arial" w:cs="Arial"/>
          <w:sz w:val="24"/>
          <w:szCs w:val="24"/>
        </w:rPr>
        <w:fldChar w:fldCharType="end"/>
      </w:r>
      <w:r w:rsidR="005E314A">
        <w:rPr>
          <w:rFonts w:ascii="Arial" w:hAnsi="Arial" w:cs="Arial"/>
          <w:sz w:val="24"/>
          <w:szCs w:val="24"/>
        </w:rPr>
        <w:t xml:space="preserve"> </w:t>
      </w:r>
      <w:r>
        <w:rPr>
          <w:rFonts w:ascii="Arial" w:hAnsi="Arial" w:cs="Arial"/>
          <w:sz w:val="24"/>
          <w:szCs w:val="24"/>
        </w:rPr>
        <w:t xml:space="preserve">of eplerenone vs placebo in 2737 chronic heart failure illustrates the consequences of covariate adjustment. They pre-defined use of a proportional hazards model adjusting for 13 baseline covariates: </w:t>
      </w:r>
      <w:r w:rsidR="0040699D" w:rsidRPr="0040699D">
        <w:rPr>
          <w:rFonts w:ascii="Arial" w:hAnsi="Arial" w:cs="Arial"/>
          <w:sz w:val="24"/>
          <w:szCs w:val="24"/>
        </w:rPr>
        <w:t xml:space="preserve">age, estimated GFR, ejection fraction, </w:t>
      </w:r>
      <w:r w:rsidR="00C6165D" w:rsidRPr="0040699D">
        <w:rPr>
          <w:rFonts w:ascii="Arial" w:hAnsi="Arial" w:cs="Arial"/>
          <w:sz w:val="24"/>
          <w:szCs w:val="24"/>
        </w:rPr>
        <w:t>body mass</w:t>
      </w:r>
      <w:r w:rsidR="0040699D" w:rsidRPr="0040699D">
        <w:rPr>
          <w:rFonts w:ascii="Arial" w:hAnsi="Arial" w:cs="Arial"/>
          <w:sz w:val="24"/>
          <w:szCs w:val="24"/>
        </w:rPr>
        <w:t xml:space="preserve"> index, </w:t>
      </w:r>
      <w:r w:rsidR="00C6165D" w:rsidRPr="0040699D">
        <w:rPr>
          <w:rFonts w:ascii="Arial" w:hAnsi="Arial" w:cs="Arial"/>
          <w:sz w:val="24"/>
          <w:szCs w:val="24"/>
        </w:rPr>
        <w:t>haemoglobin</w:t>
      </w:r>
      <w:r w:rsidR="0040699D" w:rsidRPr="0040699D">
        <w:rPr>
          <w:rFonts w:ascii="Arial" w:hAnsi="Arial" w:cs="Arial"/>
          <w:sz w:val="24"/>
          <w:szCs w:val="24"/>
        </w:rPr>
        <w:t xml:space="preserve"> value, heart rate, systolic blood pressure, diabetes mellitus, history of hypertension, previous myocardial infarction, atrial fibrillation, and left bundle-branch block or QRS duration greater than 130 msec</w:t>
      </w:r>
      <w:r>
        <w:rPr>
          <w:rFonts w:ascii="Arial" w:hAnsi="Arial" w:cs="Arial"/>
          <w:sz w:val="24"/>
          <w:szCs w:val="24"/>
        </w:rPr>
        <w:t>. Selection was sensibly based on prior knowl</w:t>
      </w:r>
      <w:r w:rsidR="00537631">
        <w:rPr>
          <w:rFonts w:ascii="Arial" w:hAnsi="Arial" w:cs="Arial"/>
          <w:sz w:val="24"/>
          <w:szCs w:val="24"/>
        </w:rPr>
        <w:t>e</w:t>
      </w:r>
      <w:r>
        <w:rPr>
          <w:rFonts w:ascii="Arial" w:hAnsi="Arial" w:cs="Arial"/>
          <w:sz w:val="24"/>
          <w:szCs w:val="24"/>
        </w:rPr>
        <w:t xml:space="preserve">dge/suspicion of each variable’s association with patient prognosis. Table 3 shows the adjusted and unadjusted </w:t>
      </w:r>
      <w:r w:rsidR="00537631">
        <w:rPr>
          <w:rFonts w:ascii="Arial" w:hAnsi="Arial" w:cs="Arial"/>
          <w:sz w:val="24"/>
          <w:szCs w:val="24"/>
        </w:rPr>
        <w:t xml:space="preserve">hazard ratios for eplerenone versus placebo for the primary endpoint and </w:t>
      </w:r>
      <w:r w:rsidR="00537631">
        <w:rPr>
          <w:rFonts w:ascii="Arial" w:hAnsi="Arial" w:cs="Arial"/>
          <w:sz w:val="24"/>
          <w:szCs w:val="24"/>
        </w:rPr>
        <w:lastRenderedPageBreak/>
        <w:t>also for its two separate components. In all three instances, the adjusted hazard ratio was slightly further from</w:t>
      </w:r>
      <w:r w:rsidR="00D56782">
        <w:rPr>
          <w:rFonts w:ascii="Arial" w:hAnsi="Arial" w:cs="Arial"/>
          <w:sz w:val="24"/>
          <w:szCs w:val="24"/>
        </w:rPr>
        <w:t xml:space="preserve"> </w:t>
      </w:r>
      <w:r w:rsidR="00537631">
        <w:rPr>
          <w:rFonts w:ascii="Arial" w:hAnsi="Arial" w:cs="Arial"/>
          <w:sz w:val="24"/>
          <w:szCs w:val="24"/>
        </w:rPr>
        <w:t xml:space="preserve">1, as one would expect when adjusting for factors that are related to prognosis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&lt;EndNote&gt;&lt;Cite&gt;&lt;Author&gt;Ford&lt;/Author&gt;&lt;Year&gt;2002&lt;/Year&gt;&lt;RecNum&gt;82&lt;/RecNum&gt;&lt;DisplayText&gt;(13)&lt;/DisplayText&gt;&lt;record&gt;&lt;rec-number&gt;82&lt;/rec-number&gt;&lt;foreign-keys&gt;&lt;key app="EN" db-id="eaz5sewevp5dfxewrdrvzv52xsv2tsf22rzr"&gt;82&lt;/key&gt;&lt;/foreign-keys&gt;&lt;ref-type name="Journal Article"&gt;17&lt;/ref-type&gt;&lt;contributors&gt;&lt;authors&gt;&lt;author&gt;Ford, Ian&lt;/author&gt;&lt;author&gt;Norrie, John&lt;/author&gt;&lt;/authors&gt;&lt;/contributors&gt;&lt;titles&gt;&lt;title&gt;The role of covariates in estimating treatment effects and risk in long-term clinical trials&lt;/title&gt;&lt;secondary-title&gt;Statistics in Medicine&lt;/secondary-title&gt;&lt;/titles&gt;&lt;periodical&gt;&lt;full-title&gt;Statistics in Medicine&lt;/full-title&gt;&lt;/periodical&gt;&lt;pages&gt;2899-2908&lt;/pages&gt;&lt;volume&gt;21&lt;/volume&gt;&lt;number&gt;19&lt;/number&gt;&lt;keywords&gt;&lt;keyword&gt;parameter estimation&lt;/keyword&gt;&lt;keyword&gt;exponential regression&lt;/keyword&gt;&lt;keyword&gt;proportional hazards model&lt;/keyword&gt;&lt;keyword&gt;risk modelling&lt;/keyword&gt;&lt;/keywords&gt;&lt;dates&gt;&lt;year&gt;2002&lt;/year&gt;&lt;/dates&gt;&lt;publisher&gt;John Wiley &amp;amp; Sons, Ltd.&lt;/publisher&gt;&lt;isbn&gt;1097-0258&lt;/isbn&gt;&lt;call-num&gt;12&lt;/call-num&gt;&lt;urls&gt;&lt;related-urls&gt;&lt;url&gt;http://dx.doi.org/10.1002/sim.1294&lt;/url&gt;&lt;/related-urls&gt;&lt;/urls&gt;&lt;electronic-resource-num&gt;10.1002/sim.1294&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3" w:tooltip="Ford, 2002 #82" w:history="1">
        <w:r w:rsidR="00DA7737">
          <w:rPr>
            <w:rFonts w:ascii="Arial" w:hAnsi="Arial" w:cs="Arial"/>
            <w:noProof/>
            <w:sz w:val="24"/>
            <w:szCs w:val="24"/>
          </w:rPr>
          <w:t>13</w:t>
        </w:r>
      </w:hyperlink>
      <w:r w:rsidR="00DA7737">
        <w:rPr>
          <w:rFonts w:ascii="Arial" w:hAnsi="Arial" w:cs="Arial"/>
          <w:noProof/>
          <w:sz w:val="24"/>
          <w:szCs w:val="24"/>
        </w:rPr>
        <w:t>)</w:t>
      </w:r>
      <w:r w:rsidR="007E0097">
        <w:rPr>
          <w:rFonts w:ascii="Arial" w:hAnsi="Arial" w:cs="Arial"/>
          <w:sz w:val="24"/>
          <w:szCs w:val="24"/>
        </w:rPr>
        <w:fldChar w:fldCharType="end"/>
      </w:r>
      <w:r w:rsidR="00537631">
        <w:rPr>
          <w:rFonts w:ascii="Arial" w:hAnsi="Arial" w:cs="Arial"/>
          <w:sz w:val="24"/>
          <w:szCs w:val="24"/>
        </w:rPr>
        <w:t>. Unlike Normal regression models, covariate-adjustment for binary or time-to-event outcomes using logistic or proportional hazard models does not increase the precis</w:t>
      </w:r>
      <w:r w:rsidR="00D56782">
        <w:rPr>
          <w:rFonts w:ascii="Arial" w:hAnsi="Arial" w:cs="Arial"/>
          <w:sz w:val="24"/>
          <w:szCs w:val="24"/>
        </w:rPr>
        <w:t>ion</w:t>
      </w:r>
      <w:r w:rsidR="00537631">
        <w:rPr>
          <w:rFonts w:ascii="Arial" w:hAnsi="Arial" w:cs="Arial"/>
          <w:sz w:val="24"/>
          <w:szCs w:val="24"/>
        </w:rPr>
        <w:t xml:space="preserve"> of estimates (confidence interval width changes little): rather point estimates, </w:t>
      </w:r>
      <w:r w:rsidR="009455BD">
        <w:rPr>
          <w:rFonts w:ascii="Arial" w:hAnsi="Arial" w:cs="Arial"/>
          <w:sz w:val="24"/>
          <w:szCs w:val="24"/>
        </w:rPr>
        <w:t>(</w:t>
      </w:r>
      <w:r w:rsidR="00BA5149">
        <w:rPr>
          <w:rFonts w:ascii="Arial" w:hAnsi="Arial" w:cs="Arial"/>
          <w:sz w:val="24"/>
          <w:szCs w:val="24"/>
        </w:rPr>
        <w:t xml:space="preserve">e.g. </w:t>
      </w:r>
      <w:r w:rsidR="00537631">
        <w:rPr>
          <w:rFonts w:ascii="Arial" w:hAnsi="Arial" w:cs="Arial"/>
          <w:sz w:val="24"/>
          <w:szCs w:val="24"/>
        </w:rPr>
        <w:t>odds ratio, hazard ratio</w:t>
      </w:r>
      <w:r w:rsidR="009455BD">
        <w:rPr>
          <w:rFonts w:ascii="Arial" w:hAnsi="Arial" w:cs="Arial"/>
          <w:sz w:val="24"/>
          <w:szCs w:val="24"/>
        </w:rPr>
        <w:t>)</w:t>
      </w:r>
      <w:r w:rsidR="00537631">
        <w:rPr>
          <w:rFonts w:ascii="Arial" w:hAnsi="Arial" w:cs="Arial"/>
          <w:sz w:val="24"/>
          <w:szCs w:val="24"/>
        </w:rPr>
        <w:t xml:space="preserve"> </w:t>
      </w:r>
      <w:r w:rsidR="009455BD">
        <w:rPr>
          <w:rFonts w:ascii="Arial" w:hAnsi="Arial" w:cs="Arial"/>
          <w:sz w:val="24"/>
          <w:szCs w:val="24"/>
        </w:rPr>
        <w:t>tend to move f</w:t>
      </w:r>
      <w:r w:rsidR="00537631">
        <w:rPr>
          <w:rFonts w:ascii="Arial" w:hAnsi="Arial" w:cs="Arial"/>
          <w:sz w:val="24"/>
          <w:szCs w:val="24"/>
        </w:rPr>
        <w:t xml:space="preserve">urther </w:t>
      </w:r>
      <w:r w:rsidR="009455BD">
        <w:rPr>
          <w:rFonts w:ascii="Arial" w:hAnsi="Arial" w:cs="Arial"/>
          <w:sz w:val="24"/>
          <w:szCs w:val="24"/>
        </w:rPr>
        <w:t xml:space="preserve">away </w:t>
      </w:r>
      <w:r w:rsidR="00537631">
        <w:rPr>
          <w:rFonts w:ascii="Arial" w:hAnsi="Arial" w:cs="Arial"/>
          <w:sz w:val="24"/>
          <w:szCs w:val="24"/>
        </w:rPr>
        <w:t>from the null. Thus, there is a slight gain in statistical power in adjusting for covariates, but only if the chosen covariates are related to pat</w:t>
      </w:r>
      <w:r w:rsidR="000C6C62">
        <w:rPr>
          <w:rFonts w:ascii="Arial" w:hAnsi="Arial" w:cs="Arial"/>
          <w:sz w:val="24"/>
          <w:szCs w:val="24"/>
        </w:rPr>
        <w:t>i</w:t>
      </w:r>
      <w:r w:rsidR="00537631">
        <w:rPr>
          <w:rFonts w:ascii="Arial" w:hAnsi="Arial" w:cs="Arial"/>
          <w:sz w:val="24"/>
          <w:szCs w:val="24"/>
        </w:rPr>
        <w:t>ent prognosis.</w:t>
      </w:r>
      <w:r w:rsidR="00D56782">
        <w:rPr>
          <w:rFonts w:ascii="Arial" w:hAnsi="Arial" w:cs="Arial"/>
          <w:sz w:val="24"/>
          <w:szCs w:val="24"/>
        </w:rPr>
        <w:t xml:space="preserve"> </w:t>
      </w:r>
      <w:r w:rsidR="00537631">
        <w:rPr>
          <w:rFonts w:ascii="Arial" w:hAnsi="Arial" w:cs="Arial"/>
          <w:sz w:val="24"/>
          <w:szCs w:val="24"/>
        </w:rPr>
        <w:t>If misguidedly one chooses covariates not linked to prognosis then covariate-adjustment will make no difference.</w:t>
      </w:r>
    </w:p>
    <w:p w14:paraId="7BB4FE87" w14:textId="77777777" w:rsidR="00543767" w:rsidRDefault="00543767" w:rsidP="00A7253B">
      <w:pPr>
        <w:spacing w:after="0" w:line="360" w:lineRule="auto"/>
        <w:rPr>
          <w:rFonts w:ascii="Arial" w:hAnsi="Arial" w:cs="Arial"/>
          <w:sz w:val="24"/>
          <w:szCs w:val="24"/>
        </w:rPr>
      </w:pPr>
    </w:p>
    <w:p w14:paraId="5387A668" w14:textId="2728CD6D" w:rsidR="00537631" w:rsidRDefault="00537631" w:rsidP="00A7253B">
      <w:pPr>
        <w:spacing w:after="0" w:line="360" w:lineRule="auto"/>
        <w:rPr>
          <w:rFonts w:ascii="Arial" w:hAnsi="Arial" w:cs="Arial"/>
          <w:sz w:val="24"/>
          <w:szCs w:val="24"/>
        </w:rPr>
      </w:pPr>
      <w:r>
        <w:rPr>
          <w:rFonts w:ascii="Arial" w:hAnsi="Arial" w:cs="Arial"/>
          <w:sz w:val="24"/>
          <w:szCs w:val="24"/>
        </w:rPr>
        <w:t xml:space="preserve">One misperception is that covariate-adjustment should be done for the stratification factors used in randomisation. This was specified in </w:t>
      </w:r>
      <w:r w:rsidRPr="00543767">
        <w:rPr>
          <w:rFonts w:ascii="Arial" w:hAnsi="Arial" w:cs="Arial"/>
          <w:sz w:val="24"/>
          <w:szCs w:val="24"/>
        </w:rPr>
        <w:t>IMPROVE-IT</w:t>
      </w:r>
      <w:r w:rsidR="00AB4615">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&lt;EndNote&gt;&lt;Cite&gt;&lt;Author&gt;Cannon&lt;/Author&gt;&lt;Year&gt;2015&lt;/Year&gt;&lt;RecNum&gt;54&lt;/RecNum&gt;&lt;DisplayText&gt;(14)&lt;/DisplayText&gt;&lt;record&gt;&lt;rec-number&gt;54&lt;/rec-number&gt;&lt;foreign-keys&gt;&lt;key app="EN" db-id="eaz5sewevp5dfxewrdrvzv52xsv2tsf22rzr"&gt;54&lt;/key&gt;&lt;/foreign-keys&gt;&lt;ref-type name="Journal Article"&gt;17&lt;/ref-type&gt;&lt;contributors&gt;&lt;authors&gt;&lt;author&gt;Cannon, Christopher P.&lt;/author&gt;&lt;author&gt;Blazing, Michael A.&lt;/author&gt;&lt;author&gt;Giugliano, Robert P.&lt;/author&gt;&lt;author&gt;McCagg, Amy&lt;/author&gt;&lt;author&gt;White, Jennifer A.&lt;/author&gt;&lt;author&gt;Theroux, Pierre&lt;/author&gt;&lt;author&gt;Darius, Harald&lt;/author&gt;&lt;author&gt;Lewis, Basil S.&lt;/author&gt;&lt;author&gt;Ophuis, Ton Oude&lt;/author&gt;&lt;author&gt;Jukema, J. Wouter&lt;/author&gt;&lt;author&gt;De Ferrari, Gaetano M.&lt;/author&gt;&lt;author&gt;Ruzyllo, Witold&lt;/author&gt;&lt;author&gt;De Lucca, Paul&lt;/author&gt;&lt;author&gt;Im, KyungAh&lt;/author&gt;&lt;author&gt;Bohula, Erin A.&lt;/author&gt;&lt;author&gt;Reist, Craig&lt;/author&gt;&lt;author&gt;Wiviott, Stephen D.&lt;/author&gt;&lt;author&gt;Tershakovec, Andrew M.&lt;/author&gt;&lt;author&gt;Musliner, Thomas A.&lt;/author&gt;&lt;author&gt;Braunwald, Eugene&lt;/author&gt;&lt;author&gt;Califf, Robert M.&lt;/author&gt;&lt;/authors&gt;&lt;/contributors&gt;&lt;titles&gt;&lt;title&gt;Ezetimibe Added to Statin Therapy after Acute Coronary Syndromes&lt;/title&gt;&lt;secondary-title&gt;New England Journal of Medicine&lt;/secondary-title&gt;&lt;/titles&gt;&lt;periodical&gt;&lt;full-title&gt;New England Journal of Medicine&lt;/full-title&gt;&lt;/periodical&gt;&lt;pages&gt;2387-2397&lt;/pages&gt;&lt;volume&gt;372&lt;/volume&gt;&lt;number&gt;25&lt;/number&gt;&lt;dates&gt;&lt;year&gt;2015&lt;/year&gt;&lt;/dates&gt;&lt;accession-num&gt;26039521&lt;/accession-num&gt;&lt;call-num&gt;13&lt;/call-num&gt;&lt;urls&gt;&lt;related-urls&gt;&lt;url&gt;http://www.nejm.org/doi/full/10.1056/NEJMoa1410489&lt;/url&gt;&lt;/related-urls&gt;&lt;/urls&gt;&lt;electronic-resource-num&gt;doi:10.1056/NEJMoa1410489&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4" w:tooltip="Cannon, 2015 #54" w:history="1">
        <w:r w:rsidR="00DA7737">
          <w:rPr>
            <w:rFonts w:ascii="Arial" w:hAnsi="Arial" w:cs="Arial"/>
            <w:noProof/>
            <w:sz w:val="24"/>
            <w:szCs w:val="24"/>
          </w:rPr>
          <w:t>14</w:t>
        </w:r>
      </w:hyperlink>
      <w:r w:rsidR="00DA7737">
        <w:rPr>
          <w:rFonts w:ascii="Arial" w:hAnsi="Arial" w:cs="Arial"/>
          <w:noProof/>
          <w:sz w:val="24"/>
          <w:szCs w:val="24"/>
        </w:rPr>
        <w:t>)</w:t>
      </w:r>
      <w:r w:rsidR="007E0097">
        <w:rPr>
          <w:rFonts w:ascii="Arial" w:hAnsi="Arial" w:cs="Arial"/>
          <w:sz w:val="24"/>
          <w:szCs w:val="24"/>
        </w:rPr>
        <w:fldChar w:fldCharType="end"/>
      </w:r>
      <w:r>
        <w:rPr>
          <w:rFonts w:ascii="Arial" w:hAnsi="Arial" w:cs="Arial"/>
          <w:sz w:val="24"/>
          <w:szCs w:val="24"/>
        </w:rPr>
        <w:t xml:space="preserve"> in acute coronary syndrome where stratification factors were prior lipid-lowering therapy, type of acute coronary syndrome, and enrolment in another trial (yes/no). Clearly, these are not </w:t>
      </w:r>
      <w:r w:rsidR="0001697A">
        <w:rPr>
          <w:rFonts w:ascii="Arial" w:hAnsi="Arial" w:cs="Arial"/>
          <w:sz w:val="24"/>
          <w:szCs w:val="24"/>
        </w:rPr>
        <w:t>the most important</w:t>
      </w:r>
      <w:r>
        <w:rPr>
          <w:rFonts w:ascii="Arial" w:hAnsi="Arial" w:cs="Arial"/>
          <w:sz w:val="24"/>
          <w:szCs w:val="24"/>
        </w:rPr>
        <w:t xml:space="preserve"> issues affecting prognosis i</w:t>
      </w:r>
      <w:r w:rsidR="00D56782">
        <w:rPr>
          <w:rFonts w:ascii="Arial" w:hAnsi="Arial" w:cs="Arial"/>
          <w:sz w:val="24"/>
          <w:szCs w:val="24"/>
        </w:rPr>
        <w:t>n</w:t>
      </w:r>
      <w:r>
        <w:rPr>
          <w:rFonts w:ascii="Arial" w:hAnsi="Arial" w:cs="Arial"/>
          <w:sz w:val="24"/>
          <w:szCs w:val="24"/>
        </w:rPr>
        <w:t xml:space="preserve"> ACS </w:t>
      </w:r>
      <w:r w:rsidR="0001697A">
        <w:rPr>
          <w:rFonts w:ascii="Arial" w:hAnsi="Arial" w:cs="Arial"/>
          <w:sz w:val="24"/>
          <w:szCs w:val="24"/>
        </w:rPr>
        <w:t xml:space="preserve">(age is the strongest risk factor) </w:t>
      </w:r>
      <w:r>
        <w:rPr>
          <w:rFonts w:ascii="Arial" w:hAnsi="Arial" w:cs="Arial"/>
          <w:sz w:val="24"/>
          <w:szCs w:val="24"/>
        </w:rPr>
        <w:t>and such adjust</w:t>
      </w:r>
      <w:r w:rsidR="00D56782">
        <w:rPr>
          <w:rFonts w:ascii="Arial" w:hAnsi="Arial" w:cs="Arial"/>
          <w:sz w:val="24"/>
          <w:szCs w:val="24"/>
        </w:rPr>
        <w:t>ment while harmless, might be co</w:t>
      </w:r>
      <w:r>
        <w:rPr>
          <w:rFonts w:ascii="Arial" w:hAnsi="Arial" w:cs="Arial"/>
          <w:sz w:val="24"/>
          <w:szCs w:val="24"/>
        </w:rPr>
        <w:t xml:space="preserve">nsidered </w:t>
      </w:r>
      <w:r w:rsidR="000431CF">
        <w:rPr>
          <w:rFonts w:ascii="Arial" w:hAnsi="Arial" w:cs="Arial"/>
          <w:sz w:val="24"/>
          <w:szCs w:val="24"/>
        </w:rPr>
        <w:t>of little value</w:t>
      </w:r>
      <w:r>
        <w:rPr>
          <w:rFonts w:ascii="Arial" w:hAnsi="Arial" w:cs="Arial"/>
          <w:sz w:val="24"/>
          <w:szCs w:val="24"/>
        </w:rPr>
        <w:t>.</w:t>
      </w:r>
    </w:p>
    <w:p w14:paraId="1607B8FA" w14:textId="77777777" w:rsidR="00A166AE" w:rsidRDefault="00A166AE" w:rsidP="00A7253B">
      <w:pPr>
        <w:spacing w:after="0" w:line="360" w:lineRule="auto"/>
        <w:rPr>
          <w:rFonts w:ascii="Arial" w:hAnsi="Arial" w:cs="Arial"/>
          <w:sz w:val="24"/>
          <w:szCs w:val="24"/>
        </w:rPr>
      </w:pPr>
    </w:p>
    <w:p w14:paraId="41501674" w14:textId="1994CC7F" w:rsidR="00A166AE" w:rsidRDefault="003E044D" w:rsidP="00A7253B">
      <w:pPr>
        <w:spacing w:after="0" w:line="360" w:lineRule="auto"/>
        <w:rPr>
          <w:rFonts w:ascii="Arial" w:hAnsi="Arial" w:cs="Arial"/>
          <w:sz w:val="24"/>
          <w:szCs w:val="24"/>
        </w:rPr>
      </w:pPr>
      <w:r>
        <w:rPr>
          <w:rFonts w:ascii="Arial" w:hAnsi="Arial" w:cs="Arial"/>
          <w:sz w:val="24"/>
          <w:szCs w:val="24"/>
        </w:rPr>
        <w:t xml:space="preserve">Adjustment for geographic region is also sometimes performed, </w:t>
      </w:r>
      <w:r w:rsidR="00BA5149">
        <w:rPr>
          <w:rFonts w:ascii="Arial" w:hAnsi="Arial" w:cs="Arial"/>
          <w:sz w:val="24"/>
          <w:szCs w:val="24"/>
        </w:rPr>
        <w:t xml:space="preserve">e.g. </w:t>
      </w:r>
      <w:r w:rsidRPr="00543767">
        <w:rPr>
          <w:rFonts w:ascii="Arial" w:hAnsi="Arial" w:cs="Arial"/>
          <w:sz w:val="24"/>
          <w:szCs w:val="24"/>
        </w:rPr>
        <w:t>PARADIGM-HF</w:t>
      </w:r>
      <w:r>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&lt;EndNote&gt;&lt;Cite&gt;&lt;Author&gt;McMurray&lt;/Author&gt;&lt;Year&gt;2014&lt;/Year&gt;&lt;RecNum&gt;55&lt;/RecNum&gt;&lt;DisplayText&gt;(15)&lt;/DisplayText&gt;&lt;record&gt;&lt;rec-number&gt;55&lt;/rec-number&gt;&lt;foreign-keys&gt;&lt;key app="EN" db-id="eaz5sewevp5dfxewrdrvzv52xsv2tsf22rzr"&gt;55&lt;/key&gt;&lt;/foreign-keys&gt;&lt;ref-type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14&lt;/call-num&gt;&lt;urls&gt;&lt;related-urls&gt;&lt;url&gt;http://www.nejm.org/doi/full/10.1056/NEJMoa1409077&lt;/url&gt;&lt;/related-urls&gt;&lt;/urls&gt;&lt;electronic-resource-num&gt;doi:10.1056/NEJMoa1409077&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5" w:tooltip="McMurray, 2014 #55" w:history="1">
        <w:r w:rsidR="00DA7737">
          <w:rPr>
            <w:rFonts w:ascii="Arial" w:hAnsi="Arial" w:cs="Arial"/>
            <w:noProof/>
            <w:sz w:val="24"/>
            <w:szCs w:val="24"/>
          </w:rPr>
          <w:t>15</w:t>
        </w:r>
      </w:hyperlink>
      <w:r w:rsidR="00DA7737">
        <w:rPr>
          <w:rFonts w:ascii="Arial" w:hAnsi="Arial" w:cs="Arial"/>
          <w:noProof/>
          <w:sz w:val="24"/>
          <w:szCs w:val="24"/>
        </w:rPr>
        <w:t>)</w:t>
      </w:r>
      <w:r w:rsidR="007E0097">
        <w:rPr>
          <w:rFonts w:ascii="Arial" w:hAnsi="Arial" w:cs="Arial"/>
          <w:sz w:val="24"/>
          <w:szCs w:val="24"/>
        </w:rPr>
        <w:fldChar w:fldCharType="end"/>
      </w:r>
      <w:r w:rsidR="00E67CBA">
        <w:rPr>
          <w:rFonts w:ascii="Arial" w:hAnsi="Arial" w:cs="Arial"/>
          <w:sz w:val="24"/>
          <w:szCs w:val="24"/>
        </w:rPr>
        <w:t xml:space="preserve"> </w:t>
      </w:r>
      <w:r>
        <w:rPr>
          <w:rFonts w:ascii="Arial" w:hAnsi="Arial" w:cs="Arial"/>
          <w:sz w:val="24"/>
          <w:szCs w:val="24"/>
        </w:rPr>
        <w:t>adjusted hazard ratios for 5 regions, one of which curiously was Western Europe plus South Africa and Israel. Again, this will do no harm but is a cosmetic exercise missing out on the real purpose of covariate-adjustment.</w:t>
      </w:r>
    </w:p>
    <w:p w14:paraId="387A2C7E" w14:textId="77777777" w:rsidR="003E044D" w:rsidRDefault="003E044D" w:rsidP="00A7253B">
      <w:pPr>
        <w:spacing w:after="0" w:line="360" w:lineRule="auto"/>
        <w:rPr>
          <w:rFonts w:ascii="Arial" w:hAnsi="Arial" w:cs="Arial"/>
          <w:sz w:val="24"/>
          <w:szCs w:val="24"/>
        </w:rPr>
      </w:pPr>
    </w:p>
    <w:p w14:paraId="4209BB22" w14:textId="7FCB0F8B" w:rsidR="003E044D" w:rsidRDefault="003E044D" w:rsidP="00A7253B">
      <w:pPr>
        <w:spacing w:after="0" w:line="360" w:lineRule="auto"/>
        <w:rPr>
          <w:rFonts w:ascii="Arial" w:hAnsi="Arial" w:cs="Arial"/>
          <w:sz w:val="24"/>
          <w:szCs w:val="24"/>
        </w:rPr>
      </w:pPr>
      <w:r>
        <w:rPr>
          <w:rFonts w:ascii="Arial" w:hAnsi="Arial" w:cs="Arial"/>
          <w:sz w:val="24"/>
          <w:szCs w:val="24"/>
        </w:rPr>
        <w:t>Some argue that one should adjust for baseline variables that show an imbal</w:t>
      </w:r>
      <w:r w:rsidR="009455BD">
        <w:rPr>
          <w:rFonts w:ascii="Arial" w:hAnsi="Arial" w:cs="Arial"/>
          <w:sz w:val="24"/>
          <w:szCs w:val="24"/>
        </w:rPr>
        <w:t>ance between treatment groups</w:t>
      </w:r>
      <w:r>
        <w:rPr>
          <w:rFonts w:ascii="Arial" w:hAnsi="Arial" w:cs="Arial"/>
          <w:sz w:val="24"/>
          <w:szCs w:val="24"/>
        </w:rPr>
        <w:t>.</w:t>
      </w:r>
      <w:r w:rsidR="009455BD">
        <w:rPr>
          <w:rFonts w:ascii="Arial" w:hAnsi="Arial" w:cs="Arial"/>
          <w:sz w:val="24"/>
          <w:szCs w:val="24"/>
        </w:rPr>
        <w:t xml:space="preserve"> For instance, the GISSI-HF trial</w:t>
      </w:r>
      <w:r w:rsidR="00A14EF5">
        <w:rPr>
          <w:rFonts w:ascii="Arial" w:hAnsi="Arial" w:cs="Arial"/>
          <w:sz w:val="24"/>
          <w:szCs w:val="24"/>
        </w:rPr>
        <w:t xml:space="preserve"> </w:t>
      </w:r>
      <w:r w:rsidR="00A14EF5">
        <w:rPr>
          <w:rFonts w:ascii="Arial" w:hAnsi="Arial" w:cs="Arial"/>
          <w:sz w:val="24"/>
          <w:szCs w:val="24"/>
        </w:rPr>
        <w:fldChar w:fldCharType="begin"/>
      </w:r>
      <w:r w:rsidR="00DA7737">
        <w:rPr>
          <w:rFonts w:ascii="Arial" w:hAnsi="Arial" w:cs="Arial"/>
          <w:sz w:val="24"/>
          <w:szCs w:val="24"/>
        </w:rPr>
        <w:instrText xml:space="preserve"> ADDIN EN.CITE &lt;EndNote&gt;&lt;Cite&gt;&lt;Author&gt;investigators&lt;/Author&gt;&lt;RecNum&gt;100&lt;/RecNum&gt;&lt;DisplayText&gt;(16)&lt;/DisplayText&gt;&lt;record&gt;&lt;rec-number&gt;100&lt;/rec-number&gt;&lt;foreign-keys&gt;&lt;key app="EN" db-id="eaz5sewevp5dfxewrdrvzv52xsv2tsf22rzr"&gt;100&lt;/key&gt;&lt;/foreign-keys&gt;&lt;ref-type name="Journal Article"&gt;17&lt;/ref-type&gt;&lt;contributors&gt;&lt;authors&gt;&lt;author&gt;Gissi-HF investigators&lt;/author&gt;&lt;/authors&gt;&lt;/contributors&gt;&lt;titles&gt;&lt;title&gt;Effect of rosuvastatin in patients with chronic heart failure (the GISSI-HF trial): a randomised, double-blind, placebo-controlled trial&lt;/title&gt;&lt;secondary-title&gt;The Lancet&lt;/secondary-title&gt;&lt;/titles&gt;&lt;periodical&gt;&lt;full-title&gt;The Lancet&lt;/full-title&gt;&lt;/periodical&gt;&lt;pages&gt;1231-1239&lt;/pages&gt;&lt;volume&gt;372&lt;/volume&gt;&lt;number&gt;9645&lt;/number&gt;&lt;dates&gt;&lt;pub-dates&gt;&lt;date&gt;//&lt;/date&gt;&lt;/pub-dates&gt;&lt;/dates&gt;&lt;isbn&gt;0140-6736&lt;/isbn&gt;&lt;urls&gt;&lt;related-urls&gt;&lt;url&gt;http://www.sciencedirect.com/science/article/pii/S0140673608612404&lt;/url&gt;&lt;/related-urls&gt;&lt;/urls&gt;&lt;electronic-resource-num&gt;http://dx.doi.org/10.1016/S0140-6736(08)61240-4&lt;/electronic-resource-num&gt;&lt;access-date&gt;2008/10/10/&lt;/access-date&gt;&lt;/record&gt;&lt;/Cite&gt;&lt;/EndNote&gt;</w:instrText>
      </w:r>
      <w:r w:rsidR="00A14EF5">
        <w:rPr>
          <w:rFonts w:ascii="Arial" w:hAnsi="Arial" w:cs="Arial"/>
          <w:sz w:val="24"/>
          <w:szCs w:val="24"/>
        </w:rPr>
        <w:fldChar w:fldCharType="separate"/>
      </w:r>
      <w:r w:rsidR="00DA7737">
        <w:rPr>
          <w:rFonts w:ascii="Arial" w:hAnsi="Arial" w:cs="Arial"/>
          <w:noProof/>
          <w:sz w:val="24"/>
          <w:szCs w:val="24"/>
        </w:rPr>
        <w:t>(</w:t>
      </w:r>
      <w:hyperlink w:anchor="_ENREF_16" w:tooltip="investigators,  #100" w:history="1">
        <w:r w:rsidR="00DA7737">
          <w:rPr>
            <w:rFonts w:ascii="Arial" w:hAnsi="Arial" w:cs="Arial"/>
            <w:noProof/>
            <w:sz w:val="24"/>
            <w:szCs w:val="24"/>
          </w:rPr>
          <w:t>16</w:t>
        </w:r>
      </w:hyperlink>
      <w:r w:rsidR="00DA7737">
        <w:rPr>
          <w:rFonts w:ascii="Arial" w:hAnsi="Arial" w:cs="Arial"/>
          <w:noProof/>
          <w:sz w:val="24"/>
          <w:szCs w:val="24"/>
        </w:rPr>
        <w:t>)</w:t>
      </w:r>
      <w:r w:rsidR="00A14EF5">
        <w:rPr>
          <w:rFonts w:ascii="Arial" w:hAnsi="Arial" w:cs="Arial"/>
          <w:sz w:val="24"/>
          <w:szCs w:val="24"/>
        </w:rPr>
        <w:fldChar w:fldCharType="end"/>
      </w:r>
      <w:r w:rsidR="009455BD">
        <w:rPr>
          <w:rFonts w:ascii="Arial" w:hAnsi="Arial" w:cs="Arial"/>
          <w:sz w:val="24"/>
          <w:szCs w:val="24"/>
        </w:rPr>
        <w:t xml:space="preserve"> adjusted for variables that were unbalanced between randomi</w:t>
      </w:r>
      <w:r w:rsidR="00DA7737">
        <w:rPr>
          <w:rFonts w:ascii="Arial" w:hAnsi="Arial" w:cs="Arial"/>
          <w:sz w:val="24"/>
          <w:szCs w:val="24"/>
        </w:rPr>
        <w:t>s</w:t>
      </w:r>
      <w:r w:rsidR="009455BD">
        <w:rPr>
          <w:rFonts w:ascii="Arial" w:hAnsi="Arial" w:cs="Arial"/>
          <w:sz w:val="24"/>
          <w:szCs w:val="24"/>
        </w:rPr>
        <w:t>ed groups at P&lt;0.1.</w:t>
      </w:r>
      <w:r>
        <w:rPr>
          <w:rFonts w:ascii="Arial" w:hAnsi="Arial" w:cs="Arial"/>
          <w:sz w:val="24"/>
          <w:szCs w:val="24"/>
        </w:rPr>
        <w:t xml:space="preserve"> As a secondary sensitivity analysis it can add reassurance that the primary analysis makes sense, but again if the covariates with imbalance do not affect prognosis such adjustment</w:t>
      </w:r>
      <w:r w:rsidR="00C6165D">
        <w:rPr>
          <w:rFonts w:ascii="Arial" w:hAnsi="Arial" w:cs="Arial"/>
          <w:sz w:val="24"/>
          <w:szCs w:val="24"/>
        </w:rPr>
        <w:t xml:space="preserve"> </w:t>
      </w:r>
      <w:r w:rsidR="0001697A">
        <w:rPr>
          <w:rFonts w:ascii="Arial" w:hAnsi="Arial" w:cs="Arial"/>
          <w:sz w:val="24"/>
          <w:szCs w:val="24"/>
        </w:rPr>
        <w:t>will make negligible difference</w:t>
      </w:r>
      <w:r>
        <w:rPr>
          <w:rFonts w:ascii="Arial" w:hAnsi="Arial" w:cs="Arial"/>
          <w:sz w:val="24"/>
          <w:szCs w:val="24"/>
        </w:rPr>
        <w:t>.</w:t>
      </w:r>
    </w:p>
    <w:p w14:paraId="0A5CEDA2" w14:textId="77777777" w:rsidR="003E044D" w:rsidRDefault="003E044D" w:rsidP="00A7253B">
      <w:pPr>
        <w:spacing w:after="0" w:line="360" w:lineRule="auto"/>
        <w:rPr>
          <w:rFonts w:ascii="Arial" w:hAnsi="Arial" w:cs="Arial"/>
          <w:sz w:val="24"/>
          <w:szCs w:val="24"/>
        </w:rPr>
      </w:pPr>
    </w:p>
    <w:p w14:paraId="2A151102" w14:textId="132D5F7F" w:rsidR="003E044D" w:rsidRDefault="003E044D" w:rsidP="00A7253B">
      <w:pPr>
        <w:spacing w:after="0" w:line="360" w:lineRule="auto"/>
        <w:rPr>
          <w:rFonts w:ascii="Arial" w:hAnsi="Arial" w:cs="Arial"/>
          <w:sz w:val="24"/>
          <w:szCs w:val="24"/>
        </w:rPr>
      </w:pPr>
      <w:r>
        <w:rPr>
          <w:rFonts w:ascii="Arial" w:hAnsi="Arial" w:cs="Arial"/>
          <w:sz w:val="24"/>
          <w:szCs w:val="24"/>
        </w:rPr>
        <w:t xml:space="preserve">Occasionally, when an unadjusted analysis achieves borderline significance the use of an appropriately pre-defined covariate adjustment can add weight to the conclusions. For  instance, in the </w:t>
      </w:r>
      <w:r w:rsidRPr="00543767">
        <w:rPr>
          <w:rFonts w:ascii="Arial" w:hAnsi="Arial" w:cs="Arial"/>
          <w:sz w:val="24"/>
          <w:szCs w:val="24"/>
        </w:rPr>
        <w:t>CHARM</w:t>
      </w:r>
      <w:r>
        <w:rPr>
          <w:rFonts w:ascii="Arial" w:hAnsi="Arial" w:cs="Arial"/>
          <w:sz w:val="24"/>
          <w:szCs w:val="24"/>
        </w:rPr>
        <w:t xml:space="preserve"> trial</w:t>
      </w:r>
      <w:r w:rsidR="00E67CBA">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&lt;EndNote&gt;&lt;Cite&gt;&lt;Author&gt;Yusuf&lt;/Author&gt;&lt;Year&gt;2003&lt;/Year&gt;&lt;RecNum&gt;76&lt;/RecNum&gt;&lt;DisplayText&gt;(17)&lt;/DisplayText&gt;&lt;record&gt;&lt;rec-number&gt;76&lt;/rec-number&gt;&lt;foreign-keys&gt;&lt;key app="EN" db-id="eaz5sewevp5dfxewrdrvzv52xsv2tsf22rzr"&gt;76&lt;/key&gt;&lt;/foreign-keys&gt;&lt;ref-type name="Journal Article"&gt;17&lt;/ref-type&gt;&lt;contributors&gt;&lt;authors&gt;&lt;author&gt;Yusuf, Salim&lt;/author&gt;&lt;author&gt;Pfeffer, Marc A.&lt;/author&gt;&lt;author&gt;Swedberg, Karl&lt;/author&gt;&lt;author&gt;Granger, Christopher B.&lt;/author&gt;&lt;author&gt;Held, Peter&lt;/author&gt;&lt;author&gt;McMurray, John J. V.&lt;/author&gt;&lt;author&gt;Michelson, Eric L.&lt;/author&gt;&lt;author&gt;Olofsson, Bertil&lt;/author&gt;&lt;author&gt;Östergren, Jan&lt;/author&gt;&lt;/authors&gt;&lt;/contributors&gt;&lt;titles&gt;&lt;title&gt;Effects of candesartan in patients with chronic heart failure and preserved left-ventricular ejection fraction: the CHARM-Preserved Trial&lt;/title&gt;&lt;secondary-title&gt;The Lancet&lt;/secondary-title&gt;&lt;/titles&gt;&lt;periodical&gt;&lt;full-title&gt;The Lancet&lt;/full-title&gt;&lt;/periodical&gt;&lt;pages&gt;777-781&lt;/pages&gt;&lt;volume&gt;362&lt;/volume&gt;&lt;number&gt;9386&lt;/number&gt;&lt;dates&gt;&lt;year&gt;2003&lt;/year&gt;&lt;pub-dates&gt;&lt;date&gt;9/6/&lt;/date&gt;&lt;/pub-dates&gt;&lt;/dates&gt;&lt;isbn&gt;0140-6736&lt;/isbn&gt;&lt;call-num&gt;15&lt;/call-num&gt;&lt;label&gt;CHARM&lt;/label&gt;&lt;urls&gt;&lt;related-urls&gt;&lt;url&gt;http://www.sciencedirect.com/science/article/pii/S0140673603142857&lt;/url&gt;&lt;/related-urls&gt;&lt;/urls&gt;&lt;electronic-resource-num&gt;http://dx.doi.org/10.1016/S0140-6736(03)14285-7&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7" w:tooltip="Yusuf, 2003 #76" w:history="1">
        <w:r w:rsidR="00DA7737">
          <w:rPr>
            <w:rFonts w:ascii="Arial" w:hAnsi="Arial" w:cs="Arial"/>
            <w:noProof/>
            <w:sz w:val="24"/>
            <w:szCs w:val="24"/>
          </w:rPr>
          <w:t>17</w:t>
        </w:r>
      </w:hyperlink>
      <w:r w:rsidR="00DA7737">
        <w:rPr>
          <w:rFonts w:ascii="Arial" w:hAnsi="Arial" w:cs="Arial"/>
          <w:noProof/>
          <w:sz w:val="24"/>
          <w:szCs w:val="24"/>
        </w:rPr>
        <w:t>)</w:t>
      </w:r>
      <w:r w:rsidR="007E0097">
        <w:rPr>
          <w:rFonts w:ascii="Arial" w:hAnsi="Arial" w:cs="Arial"/>
          <w:sz w:val="24"/>
          <w:szCs w:val="24"/>
        </w:rPr>
        <w:fldChar w:fldCharType="end"/>
      </w:r>
      <w:r>
        <w:rPr>
          <w:rFonts w:ascii="Arial" w:hAnsi="Arial" w:cs="Arial"/>
          <w:sz w:val="24"/>
          <w:szCs w:val="24"/>
        </w:rPr>
        <w:t xml:space="preserve"> in 7599 heart failure patients the unadjusted hazard ratio (candesartan vs placebo) for all-cause death over a median </w:t>
      </w:r>
      <w:r>
        <w:rPr>
          <w:rFonts w:ascii="Arial" w:hAnsi="Arial" w:cs="Arial"/>
          <w:sz w:val="24"/>
          <w:szCs w:val="24"/>
        </w:rPr>
        <w:lastRenderedPageBreak/>
        <w:t>3.2 years was 0.90 (95% CI 0.83 to 1.00) P=0.055. A pre-specified secondary analysis, adjusting for</w:t>
      </w:r>
      <w:r w:rsidR="0026598F">
        <w:rPr>
          <w:rFonts w:ascii="Arial" w:hAnsi="Arial" w:cs="Arial"/>
          <w:sz w:val="24"/>
          <w:szCs w:val="24"/>
        </w:rPr>
        <w:t xml:space="preserve"> </w:t>
      </w:r>
      <w:r w:rsidR="00D56782">
        <w:rPr>
          <w:rFonts w:ascii="Arial" w:hAnsi="Arial" w:cs="Arial"/>
          <w:sz w:val="24"/>
          <w:szCs w:val="24"/>
        </w:rPr>
        <w:t>c</w:t>
      </w:r>
      <w:r>
        <w:rPr>
          <w:rFonts w:ascii="Arial" w:hAnsi="Arial" w:cs="Arial"/>
          <w:sz w:val="24"/>
          <w:szCs w:val="24"/>
        </w:rPr>
        <w:t>ovariates anticipated to affect</w:t>
      </w:r>
      <w:r w:rsidR="0026598F">
        <w:rPr>
          <w:rFonts w:ascii="Arial" w:hAnsi="Arial" w:cs="Arial"/>
          <w:sz w:val="24"/>
          <w:szCs w:val="24"/>
        </w:rPr>
        <w:t xml:space="preserve"> prognosis, gave hazard ratio 0.90 (95% CI 0.82 to 0.99) P=0.032.  This added credibility to the idea of a survival benefit for candesartan</w:t>
      </w:r>
      <w:r w:rsidR="00633F8B">
        <w:rPr>
          <w:rFonts w:ascii="Arial" w:hAnsi="Arial" w:cs="Arial"/>
          <w:sz w:val="24"/>
          <w:szCs w:val="24"/>
        </w:rPr>
        <w:t>, especially given that for cardiovascular death the covariate-adjusted hazard ratio was 0.87 (95% CI 0.78 to 0.96), P=0.006.</w:t>
      </w:r>
    </w:p>
    <w:p w14:paraId="053A3333" w14:textId="77777777" w:rsidR="00633F8B" w:rsidRDefault="00633F8B" w:rsidP="00A7253B">
      <w:pPr>
        <w:spacing w:after="0" w:line="360" w:lineRule="auto"/>
        <w:rPr>
          <w:rFonts w:ascii="Arial" w:hAnsi="Arial" w:cs="Arial"/>
          <w:sz w:val="24"/>
          <w:szCs w:val="24"/>
        </w:rPr>
      </w:pPr>
    </w:p>
    <w:p w14:paraId="24CAEB38" w14:textId="77777777" w:rsidR="00633F8B" w:rsidRDefault="00633F8B" w:rsidP="00A7253B">
      <w:pPr>
        <w:spacing w:after="0" w:line="360" w:lineRule="auto"/>
        <w:rPr>
          <w:rFonts w:ascii="Arial" w:hAnsi="Arial" w:cs="Arial"/>
          <w:sz w:val="24"/>
          <w:szCs w:val="24"/>
        </w:rPr>
      </w:pPr>
      <w:r>
        <w:rPr>
          <w:rFonts w:ascii="Arial" w:hAnsi="Arial" w:cs="Arial"/>
          <w:sz w:val="24"/>
          <w:szCs w:val="24"/>
        </w:rPr>
        <w:t>In general, we feel that a well-defined appropriate covariate-adjusted analysis is well worth doing in major RCTs. After all, it offers a slight gain in statistical power at no extra cost and with minimal statistical effort, so why miss out on such an opportunity? The following principles should be followed:</w:t>
      </w:r>
    </w:p>
    <w:p w14:paraId="17AE85F5" w14:textId="77777777" w:rsidR="00633F8B" w:rsidRDefault="00633F8B" w:rsidP="00A7253B">
      <w:pPr>
        <w:spacing w:after="0" w:line="360" w:lineRule="auto"/>
        <w:rPr>
          <w:rFonts w:ascii="Arial" w:hAnsi="Arial" w:cs="Arial"/>
          <w:sz w:val="24"/>
          <w:szCs w:val="24"/>
        </w:rPr>
      </w:pPr>
      <w:r>
        <w:rPr>
          <w:rFonts w:ascii="Arial" w:hAnsi="Arial" w:cs="Arial"/>
          <w:sz w:val="24"/>
          <w:szCs w:val="24"/>
        </w:rPr>
        <w:t>1) Based on prior knowledge, one should specify clearly a limited number of covariates known (or thought) to have a substantial bearing on patient prognosis. Make sure such covariate</w:t>
      </w:r>
      <w:r w:rsidR="00D56782">
        <w:rPr>
          <w:rFonts w:ascii="Arial" w:hAnsi="Arial" w:cs="Arial"/>
          <w:sz w:val="24"/>
          <w:szCs w:val="24"/>
        </w:rPr>
        <w:t>s</w:t>
      </w:r>
      <w:r>
        <w:rPr>
          <w:rFonts w:ascii="Arial" w:hAnsi="Arial" w:cs="Arial"/>
          <w:sz w:val="24"/>
          <w:szCs w:val="24"/>
        </w:rPr>
        <w:t xml:space="preserve"> are accurately recorded at baseline on all patients.</w:t>
      </w:r>
    </w:p>
    <w:p w14:paraId="1D55CDD7" w14:textId="77777777" w:rsidR="00633F8B" w:rsidRDefault="00633F8B" w:rsidP="00A7253B">
      <w:pPr>
        <w:spacing w:after="0" w:line="360" w:lineRule="auto"/>
        <w:rPr>
          <w:rFonts w:ascii="Arial" w:hAnsi="Arial" w:cs="Arial"/>
          <w:sz w:val="24"/>
          <w:szCs w:val="24"/>
        </w:rPr>
      </w:pPr>
      <w:r>
        <w:rPr>
          <w:rFonts w:ascii="Arial" w:hAnsi="Arial" w:cs="Arial"/>
          <w:sz w:val="24"/>
          <w:szCs w:val="24"/>
        </w:rPr>
        <w:t>2) Document in a pre-specified SAP the precise covariate-adjusted model to be fitted. For instance, a quantitative covariate such as age can be either fitted as a linear covariate or in several categories (age-groups). Such a choice needs to be made in advance.</w:t>
      </w:r>
    </w:p>
    <w:p w14:paraId="7FC66FAB" w14:textId="527575D5" w:rsidR="00633F8B" w:rsidRDefault="00633F8B" w:rsidP="00A7253B">
      <w:pPr>
        <w:spacing w:after="0" w:line="360" w:lineRule="auto"/>
        <w:rPr>
          <w:rFonts w:ascii="Arial" w:hAnsi="Arial" w:cs="Arial"/>
          <w:sz w:val="24"/>
          <w:szCs w:val="24"/>
        </w:rPr>
      </w:pPr>
      <w:r>
        <w:rPr>
          <w:rFonts w:ascii="Arial" w:hAnsi="Arial" w:cs="Arial"/>
          <w:sz w:val="24"/>
          <w:szCs w:val="24"/>
        </w:rPr>
        <w:t xml:space="preserve">3) Post hoc variable selection, </w:t>
      </w:r>
      <w:r w:rsidR="00BA5149">
        <w:rPr>
          <w:rFonts w:ascii="Arial" w:hAnsi="Arial" w:cs="Arial"/>
          <w:sz w:val="24"/>
          <w:szCs w:val="24"/>
        </w:rPr>
        <w:t xml:space="preserve">e.g. </w:t>
      </w:r>
      <w:r>
        <w:rPr>
          <w:rFonts w:ascii="Arial" w:hAnsi="Arial" w:cs="Arial"/>
          <w:sz w:val="24"/>
          <w:szCs w:val="24"/>
        </w:rPr>
        <w:t xml:space="preserve">adding covariates unbalanced at baseline, dropping non-significant predictors or adding in new significant predictors after database lock, should be avoided </w:t>
      </w:r>
      <w:r w:rsidR="009455BD">
        <w:rPr>
          <w:rFonts w:ascii="Arial" w:hAnsi="Arial" w:cs="Arial"/>
          <w:sz w:val="24"/>
          <w:szCs w:val="24"/>
        </w:rPr>
        <w:t xml:space="preserve">in the primary analysis </w:t>
      </w:r>
      <w:r>
        <w:rPr>
          <w:rFonts w:ascii="Arial" w:hAnsi="Arial" w:cs="Arial"/>
          <w:sz w:val="24"/>
          <w:szCs w:val="24"/>
        </w:rPr>
        <w:t>since suspicions may arise that such choices might have been made to enhance the treatment effect.</w:t>
      </w:r>
    </w:p>
    <w:p w14:paraId="7AB6E6A8" w14:textId="178D57CF" w:rsidR="00633F8B" w:rsidRDefault="00633F8B" w:rsidP="00A7253B">
      <w:pPr>
        <w:spacing w:after="0" w:line="360" w:lineRule="auto"/>
        <w:rPr>
          <w:rFonts w:ascii="Arial" w:hAnsi="Arial" w:cs="Arial"/>
          <w:sz w:val="24"/>
          <w:szCs w:val="24"/>
        </w:rPr>
      </w:pPr>
      <w:r>
        <w:rPr>
          <w:rFonts w:ascii="Arial" w:hAnsi="Arial" w:cs="Arial"/>
          <w:sz w:val="24"/>
          <w:szCs w:val="24"/>
        </w:rPr>
        <w:t>4) Both unadjusted and covariate-adjusted analyses should be presented, with pre-specification as to which is the primary analysis. If the choice of covariates is confidently based on experience of what influences prognosis, then it makes sense to have the covariate-adjusted analysis as primary</w:t>
      </w:r>
      <w:r w:rsidR="00C735CE">
        <w:rPr>
          <w:rFonts w:ascii="Arial" w:hAnsi="Arial" w:cs="Arial"/>
          <w:sz w:val="24"/>
          <w:szCs w:val="24"/>
        </w:rPr>
        <w:t xml:space="preserve"> </w:t>
      </w:r>
      <w:r w:rsidR="00C735CE">
        <w:rPr>
          <w:rFonts w:ascii="Arial" w:hAnsi="Arial" w:cs="Arial"/>
          <w:sz w:val="24"/>
          <w:szCs w:val="24"/>
        </w:rPr>
        <w:fldChar w:fldCharType="begin"/>
      </w:r>
      <w:r w:rsidR="00DA7737">
        <w:rPr>
          <w:rFonts w:ascii="Arial" w:hAnsi="Arial" w:cs="Arial"/>
          <w:sz w:val="24"/>
          <w:szCs w:val="24"/>
        </w:rPr>
        <w:instrText xml:space="preserve"> ADDIN EN.CITE &lt;EndNote&gt;&lt;Cite&gt;&lt;Year&gt;2004&lt;/Year&gt;&lt;RecNum&gt;5&lt;/RecNum&gt;&lt;DisplayText&gt;(18)&lt;/DisplayText&gt;&lt;record&gt;&lt;rec-number&gt;5&lt;/rec-number&gt;&lt;foreign-keys&gt;&lt;key app="EN" db-id="eaz5sewevp5dfxewrdrvzv52xsv2tsf22rzr"&gt;5&lt;/key&gt;&lt;/foreign-keys&gt;&lt;ref-type name="Journal Article"&gt;17&lt;/ref-type&gt;&lt;contributors&gt;&lt;/contributors&gt;&lt;titles&gt;&lt;title&gt;Committee for proprietary medicinal products (CPMP) points to consider on adjustment for baseline covariates&lt;/title&gt;&lt;secondary-title&gt;Statistics in Medicine&lt;/secondary-title&gt;&lt;/titles&gt;&lt;periodical&gt;&lt;full-title&gt;Statistics in Medicine&lt;/full-title&gt;&lt;/periodical&gt;&lt;pages&gt;701-709&lt;/pages&gt;&lt;volume&gt;23&lt;/volume&gt;&lt;number&gt;5&lt;/number&gt;&lt;dates&gt;&lt;year&gt;2004&lt;/year&gt;&lt;/dates&gt;&lt;publisher&gt;John Wiley &amp;amp; Sons, Ltd.&lt;/publisher&gt;&lt;isbn&gt;1097-0258&lt;/isbn&gt;&lt;urls&gt;&lt;related-urls&gt;&lt;url&gt;http://dx.doi.org/10.1002/sim.1647&lt;/url&gt;&lt;/related-urls&gt;&lt;/urls&gt;&lt;electronic-resource-num&gt;10.1002/sim.1647&lt;/electronic-resource-num&gt;&lt;/record&gt;&lt;/Cite&gt;&lt;/EndNote&gt;</w:instrText>
      </w:r>
      <w:r w:rsidR="00C735CE">
        <w:rPr>
          <w:rFonts w:ascii="Arial" w:hAnsi="Arial" w:cs="Arial"/>
          <w:sz w:val="24"/>
          <w:szCs w:val="24"/>
        </w:rPr>
        <w:fldChar w:fldCharType="separate"/>
      </w:r>
      <w:r w:rsidR="00DA7737">
        <w:rPr>
          <w:rFonts w:ascii="Arial" w:hAnsi="Arial" w:cs="Arial"/>
          <w:noProof/>
          <w:sz w:val="24"/>
          <w:szCs w:val="24"/>
        </w:rPr>
        <w:t>(</w:t>
      </w:r>
      <w:hyperlink w:anchor="_ENREF_18" w:tooltip=", 2004 #5" w:history="1">
        <w:r w:rsidR="00DA7737">
          <w:rPr>
            <w:rFonts w:ascii="Arial" w:hAnsi="Arial" w:cs="Arial"/>
            <w:noProof/>
            <w:sz w:val="24"/>
            <w:szCs w:val="24"/>
          </w:rPr>
          <w:t>18</w:t>
        </w:r>
      </w:hyperlink>
      <w:r w:rsidR="00DA7737">
        <w:rPr>
          <w:rFonts w:ascii="Arial" w:hAnsi="Arial" w:cs="Arial"/>
          <w:noProof/>
          <w:sz w:val="24"/>
          <w:szCs w:val="24"/>
        </w:rPr>
        <w:t>)</w:t>
      </w:r>
      <w:r w:rsidR="00C735CE">
        <w:rPr>
          <w:rFonts w:ascii="Arial" w:hAnsi="Arial" w:cs="Arial"/>
          <w:sz w:val="24"/>
          <w:szCs w:val="24"/>
        </w:rPr>
        <w:fldChar w:fldCharType="end"/>
      </w:r>
      <w:r>
        <w:rPr>
          <w:rFonts w:ascii="Arial" w:hAnsi="Arial" w:cs="Arial"/>
          <w:sz w:val="24"/>
          <w:szCs w:val="24"/>
        </w:rPr>
        <w:t>.</w:t>
      </w:r>
    </w:p>
    <w:p w14:paraId="55BBBED4" w14:textId="77777777" w:rsidR="00936712" w:rsidRDefault="00936712" w:rsidP="00A7253B">
      <w:pPr>
        <w:spacing w:after="0" w:line="360" w:lineRule="auto"/>
        <w:rPr>
          <w:rFonts w:ascii="Arial" w:hAnsi="Arial" w:cs="Arial"/>
          <w:sz w:val="24"/>
          <w:szCs w:val="24"/>
        </w:rPr>
      </w:pPr>
    </w:p>
    <w:p w14:paraId="1E94B857" w14:textId="77777777" w:rsidR="00936712" w:rsidRPr="00936712" w:rsidRDefault="00936712" w:rsidP="00A7253B">
      <w:pPr>
        <w:spacing w:after="0" w:line="360" w:lineRule="auto"/>
        <w:rPr>
          <w:rFonts w:ascii="Arial" w:hAnsi="Arial" w:cs="Arial"/>
          <w:b/>
          <w:sz w:val="24"/>
          <w:szCs w:val="24"/>
        </w:rPr>
      </w:pPr>
      <w:r w:rsidRPr="00936712">
        <w:rPr>
          <w:rFonts w:ascii="Arial" w:hAnsi="Arial" w:cs="Arial"/>
          <w:b/>
          <w:sz w:val="24"/>
          <w:szCs w:val="24"/>
        </w:rPr>
        <w:t>Subgroup Analysis</w:t>
      </w:r>
    </w:p>
    <w:p w14:paraId="4A70959B" w14:textId="77777777" w:rsidR="00936712" w:rsidRDefault="00936712" w:rsidP="00A7253B">
      <w:pPr>
        <w:spacing w:after="0" w:line="360" w:lineRule="auto"/>
        <w:rPr>
          <w:rFonts w:ascii="Arial" w:hAnsi="Arial" w:cs="Arial"/>
          <w:sz w:val="24"/>
          <w:szCs w:val="24"/>
        </w:rPr>
      </w:pPr>
    </w:p>
    <w:p w14:paraId="5C283765" w14:textId="77777777" w:rsidR="00936712" w:rsidRDefault="00936712" w:rsidP="00A7253B">
      <w:pPr>
        <w:spacing w:after="0" w:line="360" w:lineRule="auto"/>
        <w:rPr>
          <w:rFonts w:ascii="Arial" w:hAnsi="Arial" w:cs="Arial"/>
          <w:sz w:val="24"/>
          <w:szCs w:val="24"/>
        </w:rPr>
      </w:pPr>
      <w:r>
        <w:rPr>
          <w:rFonts w:ascii="Arial" w:hAnsi="Arial" w:cs="Arial"/>
          <w:sz w:val="24"/>
          <w:szCs w:val="24"/>
        </w:rPr>
        <w:t>Patients recruited in a major trial are not a homogeneous bunch: their medical history, demographics and other baseline features will vary. Hence, it is legitimate to undertake subgroup analyses to see whether the overall result of the trial appears to apply to all eligible patients or whether there is evidence that real treatment effects depend on certain baseline characteristics.</w:t>
      </w:r>
    </w:p>
    <w:p w14:paraId="0DE2009A" w14:textId="77777777" w:rsidR="00936712" w:rsidRDefault="00936712" w:rsidP="00A7253B">
      <w:pPr>
        <w:spacing w:after="0" w:line="360" w:lineRule="auto"/>
        <w:rPr>
          <w:rFonts w:ascii="Arial" w:hAnsi="Arial" w:cs="Arial"/>
          <w:sz w:val="24"/>
          <w:szCs w:val="24"/>
        </w:rPr>
      </w:pPr>
    </w:p>
    <w:p w14:paraId="323DBE6E" w14:textId="1B014313" w:rsidR="00936712" w:rsidRDefault="00936712" w:rsidP="00A7253B">
      <w:pPr>
        <w:spacing w:after="0" w:line="360" w:lineRule="auto"/>
        <w:rPr>
          <w:rFonts w:ascii="Arial" w:hAnsi="Arial" w:cs="Arial"/>
          <w:sz w:val="24"/>
          <w:szCs w:val="24"/>
        </w:rPr>
      </w:pPr>
      <w:r>
        <w:rPr>
          <w:rFonts w:ascii="Arial" w:hAnsi="Arial" w:cs="Arial"/>
          <w:sz w:val="24"/>
          <w:szCs w:val="24"/>
        </w:rPr>
        <w:lastRenderedPageBreak/>
        <w:t>Of all the multiplicity problems in reporting RCTs, interpretation of subgroup analyses presents a particular challenge</w:t>
      </w:r>
      <w:r w:rsidR="00E67CBA">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&lt;EndNote&gt;&lt;Cite&gt;&lt;Author&gt;Assmann&lt;/Author&gt;&lt;Year&gt;2000&lt;/Year&gt;&lt;RecNum&gt;77&lt;/RecNum&gt;&lt;DisplayText&gt;(19)&lt;/DisplayText&gt;&lt;record&gt;&lt;rec-number&gt;77&lt;/rec-number&gt;&lt;foreign-keys&gt;&lt;key app="EN" db-id="eaz5sewevp5dfxewrdrvzv52xsv2tsf22rzr"&gt;77&lt;/key&gt;&lt;/foreign-keys&gt;&lt;ref-type name="Journal Article"&gt;17&lt;/ref-type&gt;&lt;contributors&gt;&lt;authors&gt;&lt;author&gt;Assmann, Susan F.&lt;/author&gt;&lt;author&gt;Pocock, Stuart J.&lt;/author&gt;&lt;author&gt;Enos, Laura E.&lt;/author&gt;&lt;author&gt;Kasten, Linda E.&lt;/author&gt;&lt;/authors&gt;&lt;/contributors&gt;&lt;titles&gt;&lt;title&gt;Subgroup analysis and other (mis)uses of baseline data in clinical trials&lt;/title&gt;&lt;secondary-title&gt;The Lancet&lt;/secondary-title&gt;&lt;/titles&gt;&lt;periodical&gt;&lt;full-title&gt;The Lancet&lt;/full-title&gt;&lt;/periodical&gt;&lt;pages&gt;1064-1069&lt;/pages&gt;&lt;volume&gt;355&lt;/volume&gt;&lt;number&gt;9209&lt;/number&gt;&lt;dates&gt;&lt;year&gt;2000&lt;/year&gt;&lt;pub-dates&gt;&lt;date&gt;3/25/&lt;/date&gt;&lt;/pub-dates&gt;&lt;/dates&gt;&lt;isbn&gt;0140-6736&lt;/isbn&gt;&lt;call-num&gt;16&lt;/call-num&gt;&lt;urls&gt;&lt;related-urls&gt;&lt;url&gt;http://www.sciencedirect.com/science/article/pii/S0140673600020390&lt;/url&gt;&lt;/related-urls&gt;&lt;/urls&gt;&lt;electronic-resource-num&gt;http://dx.doi.org/10.1016/S0140-6736(00)02039-0&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9" w:tooltip="Assmann, 2000 #77" w:history="1">
        <w:r w:rsidR="00DA7737">
          <w:rPr>
            <w:rFonts w:ascii="Arial" w:hAnsi="Arial" w:cs="Arial"/>
            <w:noProof/>
            <w:sz w:val="24"/>
            <w:szCs w:val="24"/>
          </w:rPr>
          <w:t>19</w:t>
        </w:r>
      </w:hyperlink>
      <w:r w:rsidR="00DA7737">
        <w:rPr>
          <w:rFonts w:ascii="Arial" w:hAnsi="Arial" w:cs="Arial"/>
          <w:noProof/>
          <w:sz w:val="24"/>
          <w:szCs w:val="24"/>
        </w:rPr>
        <w:t>)</w:t>
      </w:r>
      <w:r w:rsidR="007E0097">
        <w:rPr>
          <w:rFonts w:ascii="Arial" w:hAnsi="Arial" w:cs="Arial"/>
          <w:sz w:val="24"/>
          <w:szCs w:val="24"/>
        </w:rPr>
        <w:fldChar w:fldCharType="end"/>
      </w:r>
      <w:r w:rsidR="007E0097">
        <w:rPr>
          <w:rFonts w:ascii="Arial" w:hAnsi="Arial" w:cs="Arial"/>
          <w:sz w:val="24"/>
          <w:szCs w:val="24"/>
        </w:rPr>
        <w:t>.</w:t>
      </w:r>
      <w:r>
        <w:rPr>
          <w:rFonts w:ascii="Arial" w:hAnsi="Arial" w:cs="Arial"/>
          <w:sz w:val="24"/>
          <w:szCs w:val="24"/>
        </w:rPr>
        <w:t xml:space="preserve"> First trials</w:t>
      </w:r>
      <w:r w:rsidR="009455BD">
        <w:rPr>
          <w:rFonts w:ascii="Arial" w:hAnsi="Arial" w:cs="Arial"/>
          <w:sz w:val="24"/>
          <w:szCs w:val="24"/>
        </w:rPr>
        <w:t xml:space="preserve"> usually</w:t>
      </w:r>
      <w:r>
        <w:rPr>
          <w:rFonts w:ascii="Arial" w:hAnsi="Arial" w:cs="Arial"/>
          <w:sz w:val="24"/>
          <w:szCs w:val="24"/>
        </w:rPr>
        <w:t xml:space="preserve"> lack power to reliably detect subgroup effects. Second there are many possible subgroups that could be explored and one needs t</w:t>
      </w:r>
      <w:r w:rsidR="00D56782">
        <w:rPr>
          <w:rFonts w:ascii="Arial" w:hAnsi="Arial" w:cs="Arial"/>
          <w:sz w:val="24"/>
          <w:szCs w:val="24"/>
        </w:rPr>
        <w:t>o</w:t>
      </w:r>
      <w:r>
        <w:rPr>
          <w:rFonts w:ascii="Arial" w:hAnsi="Arial" w:cs="Arial"/>
          <w:sz w:val="24"/>
          <w:szCs w:val="24"/>
        </w:rPr>
        <w:t xml:space="preserve"> guard against data dredging eliciting false subgroup claims. Third, statistical significance (or not) in a specific subgroup is not a sound basis for making (or ruling out) any subgroup claims: instead one needs statistical tests of interaction to directly infer whether the treatment effect appears to differ across subgroups.</w:t>
      </w:r>
    </w:p>
    <w:p w14:paraId="05BF5B6E" w14:textId="77777777" w:rsidR="00936712" w:rsidRDefault="00936712" w:rsidP="00A7253B">
      <w:pPr>
        <w:spacing w:after="0" w:line="360" w:lineRule="auto"/>
        <w:rPr>
          <w:rFonts w:ascii="Arial" w:hAnsi="Arial" w:cs="Arial"/>
          <w:sz w:val="24"/>
          <w:szCs w:val="24"/>
        </w:rPr>
      </w:pPr>
    </w:p>
    <w:p w14:paraId="192339CB" w14:textId="5F58941A" w:rsidR="00936712" w:rsidRDefault="00936712" w:rsidP="00A7253B">
      <w:pPr>
        <w:spacing w:after="0" w:line="360" w:lineRule="auto"/>
        <w:rPr>
          <w:rFonts w:ascii="Arial" w:hAnsi="Arial" w:cs="Arial"/>
          <w:sz w:val="24"/>
          <w:szCs w:val="24"/>
        </w:rPr>
      </w:pPr>
      <w:r>
        <w:rPr>
          <w:rFonts w:ascii="Arial" w:hAnsi="Arial" w:cs="Arial"/>
          <w:sz w:val="24"/>
          <w:szCs w:val="24"/>
        </w:rPr>
        <w:t xml:space="preserve">We explore these ideas in a few examples. First, subgroup analyses for the </w:t>
      </w:r>
      <w:r w:rsidRPr="00543767">
        <w:rPr>
          <w:rFonts w:ascii="Arial" w:hAnsi="Arial" w:cs="Arial"/>
          <w:sz w:val="24"/>
          <w:szCs w:val="24"/>
        </w:rPr>
        <w:t>PARADIGM</w:t>
      </w:r>
      <w:r w:rsidR="008B5539">
        <w:rPr>
          <w:rFonts w:ascii="Arial" w:hAnsi="Arial" w:cs="Arial"/>
          <w:sz w:val="24"/>
          <w:szCs w:val="24"/>
        </w:rPr>
        <w:t>-HF</w:t>
      </w:r>
      <w:r>
        <w:rPr>
          <w:rFonts w:ascii="Arial" w:hAnsi="Arial" w:cs="Arial"/>
          <w:sz w:val="24"/>
          <w:szCs w:val="24"/>
        </w:rPr>
        <w:t xml:space="preserve"> trial</w:t>
      </w:r>
      <w:r w:rsidR="00E67CBA">
        <w:rPr>
          <w:rFonts w:ascii="Arial" w:hAnsi="Arial" w:cs="Arial"/>
          <w:sz w:val="24"/>
          <w:szCs w:val="24"/>
        </w:rPr>
        <w:t xml:space="preserve"> </w:t>
      </w:r>
      <w:r w:rsidR="007E0097">
        <w:rPr>
          <w:rFonts w:ascii="Arial" w:hAnsi="Arial" w:cs="Arial"/>
          <w:sz w:val="24"/>
          <w:szCs w:val="24"/>
        </w:rPr>
        <w:fldChar w:fldCharType="begin"/>
      </w:r>
      <w:r w:rsidR="00DA7737">
        <w:rPr>
          <w:rFonts w:ascii="Arial" w:hAnsi="Arial" w:cs="Arial"/>
          <w:sz w:val="24"/>
          <w:szCs w:val="24"/>
        </w:rPr>
        <w:instrText xml:space="preserve"> ADDIN EN.CITE &lt;EndNote&gt;&lt;Cite&gt;&lt;Author&gt;McMurray&lt;/Author&gt;&lt;Year&gt;2014&lt;/Year&gt;&lt;RecNum&gt;55&lt;/RecNum&gt;&lt;DisplayText&gt;(15)&lt;/DisplayText&gt;&lt;record&gt;&lt;rec-number&gt;55&lt;/rec-number&gt;&lt;foreign-keys&gt;&lt;key app="EN" db-id="eaz5sewevp5dfxewrdrvzv52xsv2tsf22rzr"&gt;55&lt;/key&gt;&lt;/foreign-keys&gt;&lt;ref-type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14&lt;/call-num&gt;&lt;urls&gt;&lt;related-urls&gt;&lt;url&gt;http://www.nejm.org/doi/full/10.1056/NEJMoa1409077&lt;/url&gt;&lt;/related-urls&gt;&lt;/urls&gt;&lt;electronic-resource-num&gt;doi:10.1056/NEJMoa1409077&lt;/electronic-resource-num&gt;&lt;/record&gt;&lt;/Cite&gt;&lt;/EndNote&gt;</w:instrText>
      </w:r>
      <w:r w:rsidR="007E0097">
        <w:rPr>
          <w:rFonts w:ascii="Arial" w:hAnsi="Arial" w:cs="Arial"/>
          <w:sz w:val="24"/>
          <w:szCs w:val="24"/>
        </w:rPr>
        <w:fldChar w:fldCharType="separate"/>
      </w:r>
      <w:r w:rsidR="00DA7737">
        <w:rPr>
          <w:rFonts w:ascii="Arial" w:hAnsi="Arial" w:cs="Arial"/>
          <w:noProof/>
          <w:sz w:val="24"/>
          <w:szCs w:val="24"/>
        </w:rPr>
        <w:t>(</w:t>
      </w:r>
      <w:hyperlink w:anchor="_ENREF_15" w:tooltip="McMurray, 2014 #55" w:history="1">
        <w:r w:rsidR="00DA7737">
          <w:rPr>
            <w:rFonts w:ascii="Arial" w:hAnsi="Arial" w:cs="Arial"/>
            <w:noProof/>
            <w:sz w:val="24"/>
            <w:szCs w:val="24"/>
          </w:rPr>
          <w:t>15</w:t>
        </w:r>
      </w:hyperlink>
      <w:r w:rsidR="00DA7737">
        <w:rPr>
          <w:rFonts w:ascii="Arial" w:hAnsi="Arial" w:cs="Arial"/>
          <w:noProof/>
          <w:sz w:val="24"/>
          <w:szCs w:val="24"/>
        </w:rPr>
        <w:t>)</w:t>
      </w:r>
      <w:r w:rsidR="007E0097">
        <w:rPr>
          <w:rFonts w:ascii="Arial" w:hAnsi="Arial" w:cs="Arial"/>
          <w:sz w:val="24"/>
          <w:szCs w:val="24"/>
        </w:rPr>
        <w:fldChar w:fldCharType="end"/>
      </w:r>
      <w:r>
        <w:rPr>
          <w:rFonts w:ascii="Arial" w:hAnsi="Arial" w:cs="Arial"/>
          <w:sz w:val="24"/>
          <w:szCs w:val="24"/>
        </w:rPr>
        <w:t xml:space="preserve"> are shown in Figure 2. This kind of Figure, called a Forest plot, is the usual way of documenting the estimated treatment effect within each subgroup (a hazard ratio in this case) together with its 95% CI. The 18 subgroups displayed were pre-specified and show a consistency of treatment effect, all being in the direction of superiority for LCZ696 compared to enalapril in this heterogeneous </w:t>
      </w:r>
      <w:r w:rsidR="00635021">
        <w:rPr>
          <w:rFonts w:ascii="Arial" w:hAnsi="Arial" w:cs="Arial"/>
          <w:sz w:val="24"/>
          <w:szCs w:val="24"/>
        </w:rPr>
        <w:t>heart failure population, for both the primary endpoint and cardiovascular death. For reference, the results for all patients, with their inevitably tighter confidence intervals, are shown at the top of Figure 2.</w:t>
      </w:r>
    </w:p>
    <w:p w14:paraId="776CE860" w14:textId="77777777" w:rsidR="00635021" w:rsidRDefault="00635021" w:rsidP="00A7253B">
      <w:pPr>
        <w:spacing w:after="0" w:line="360" w:lineRule="auto"/>
        <w:rPr>
          <w:rFonts w:ascii="Arial" w:hAnsi="Arial" w:cs="Arial"/>
          <w:sz w:val="24"/>
          <w:szCs w:val="24"/>
        </w:rPr>
      </w:pPr>
    </w:p>
    <w:p w14:paraId="281B9D98" w14:textId="52931103" w:rsidR="00635021" w:rsidRDefault="00635021" w:rsidP="00A7253B">
      <w:pPr>
        <w:spacing w:after="0" w:line="360" w:lineRule="auto"/>
        <w:rPr>
          <w:rFonts w:ascii="Arial" w:hAnsi="Arial" w:cs="Arial"/>
          <w:sz w:val="24"/>
          <w:szCs w:val="24"/>
        </w:rPr>
      </w:pPr>
      <w:r>
        <w:rPr>
          <w:rFonts w:ascii="Arial" w:hAnsi="Arial" w:cs="Arial"/>
          <w:sz w:val="24"/>
          <w:szCs w:val="24"/>
        </w:rPr>
        <w:t xml:space="preserve">Scanning across subgroups one can see that estimated hazard ratios vary by chance and confidence intervals (CIs) </w:t>
      </w:r>
      <w:r w:rsidR="00C67FA6">
        <w:rPr>
          <w:rFonts w:ascii="Arial" w:hAnsi="Arial" w:cs="Arial"/>
          <w:sz w:val="24"/>
          <w:szCs w:val="24"/>
        </w:rPr>
        <w:t>are</w:t>
      </w:r>
      <w:r>
        <w:rPr>
          <w:rFonts w:ascii="Arial" w:hAnsi="Arial" w:cs="Arial"/>
          <w:sz w:val="24"/>
          <w:szCs w:val="24"/>
        </w:rPr>
        <w:t xml:space="preserve"> wider for smaller subgroups. Some CIs overlap the line of unity indicating that </w:t>
      </w:r>
      <w:r w:rsidR="009962BC">
        <w:rPr>
          <w:rFonts w:ascii="Arial" w:hAnsi="Arial" w:cs="Arial"/>
          <w:sz w:val="24"/>
          <w:szCs w:val="24"/>
        </w:rPr>
        <w:t xml:space="preserve">the </w:t>
      </w:r>
      <w:r>
        <w:rPr>
          <w:rFonts w:ascii="Arial" w:hAnsi="Arial" w:cs="Arial"/>
          <w:sz w:val="24"/>
          <w:szCs w:val="24"/>
        </w:rPr>
        <w:t>subgroup P-value does not reach 5% significance,</w:t>
      </w:r>
      <w:r w:rsidR="009962BC">
        <w:rPr>
          <w:rFonts w:ascii="Arial" w:hAnsi="Arial" w:cs="Arial"/>
          <w:sz w:val="24"/>
          <w:szCs w:val="24"/>
        </w:rPr>
        <w:t xml:space="preserve"> </w:t>
      </w:r>
      <w:r>
        <w:rPr>
          <w:rFonts w:ascii="Arial" w:hAnsi="Arial" w:cs="Arial"/>
          <w:sz w:val="24"/>
          <w:szCs w:val="24"/>
        </w:rPr>
        <w:t>but this will inevitably happen, especially in smaller subgroups, and is not helpful in interpreting subgroup findings. Instead, a statistical test of interaction should accompany each subgroup display (as shown in Figure 2). This interaction test examines the extent to which the observed difference in hazard ratios across subgroup</w:t>
      </w:r>
      <w:r w:rsidR="00D56782">
        <w:rPr>
          <w:rFonts w:ascii="Arial" w:hAnsi="Arial" w:cs="Arial"/>
          <w:sz w:val="24"/>
          <w:szCs w:val="24"/>
        </w:rPr>
        <w:t>s</w:t>
      </w:r>
      <w:r>
        <w:rPr>
          <w:rFonts w:ascii="Arial" w:hAnsi="Arial" w:cs="Arial"/>
          <w:sz w:val="24"/>
          <w:szCs w:val="24"/>
        </w:rPr>
        <w:t xml:space="preserve"> may be attributed to chance variation. For the primary endpoint just one interaction test is statistically significant: P=0.03 for NYHA class I or II versus III or IV suggests a possible greater benefit of LCZ696 in less symptomatic patients, though no such interaction exists for cardiovascular death (interaction P=0.76). Given 18 subgroups analyses have been performed for each of two outcomes, one could expect at least one interaction </w:t>
      </w:r>
      <w:r w:rsidR="00D676CB">
        <w:rPr>
          <w:rFonts w:ascii="Arial" w:hAnsi="Arial" w:cs="Arial"/>
          <w:sz w:val="24"/>
          <w:szCs w:val="24"/>
        </w:rPr>
        <w:t>P&lt;0.05 purely by chance, so these data are overall supportive of a consistency of treatment effect across a broad spectrum of patients with heart failure.</w:t>
      </w:r>
    </w:p>
    <w:p w14:paraId="4679874A" w14:textId="77777777" w:rsidR="00D676CB" w:rsidRDefault="00D676CB" w:rsidP="00A7253B">
      <w:pPr>
        <w:spacing w:after="0" w:line="360" w:lineRule="auto"/>
        <w:rPr>
          <w:rFonts w:ascii="Arial" w:hAnsi="Arial" w:cs="Arial"/>
          <w:sz w:val="24"/>
          <w:szCs w:val="24"/>
        </w:rPr>
      </w:pPr>
    </w:p>
    <w:p w14:paraId="3F480F21" w14:textId="77777777" w:rsidR="00D56782" w:rsidRDefault="00D676CB" w:rsidP="00A7253B">
      <w:pPr>
        <w:spacing w:after="0" w:line="360" w:lineRule="auto"/>
        <w:rPr>
          <w:rFonts w:ascii="Arial" w:hAnsi="Arial" w:cs="Arial"/>
          <w:sz w:val="24"/>
          <w:szCs w:val="24"/>
        </w:rPr>
      </w:pPr>
      <w:r>
        <w:rPr>
          <w:rFonts w:ascii="Arial" w:hAnsi="Arial" w:cs="Arial"/>
          <w:sz w:val="24"/>
          <w:szCs w:val="24"/>
        </w:rPr>
        <w:lastRenderedPageBreak/>
        <w:t xml:space="preserve">When </w:t>
      </w:r>
      <w:r w:rsidR="00D56782">
        <w:rPr>
          <w:rFonts w:ascii="Arial" w:hAnsi="Arial" w:cs="Arial"/>
          <w:sz w:val="24"/>
          <w:szCs w:val="24"/>
        </w:rPr>
        <w:t xml:space="preserve">the </w:t>
      </w:r>
      <w:r>
        <w:rPr>
          <w:rFonts w:ascii="Arial" w:hAnsi="Arial" w:cs="Arial"/>
          <w:sz w:val="24"/>
          <w:szCs w:val="24"/>
        </w:rPr>
        <w:t xml:space="preserve">overall result of a major RCT is neutral, it is tempting to search across subgroups to see if there is a particular subgroup in which the treatment effect is favourable. In this context subgroup claims require an especially cautious interpretation in a journal publication. Furthermore, it is highly unlikely that regulators such as the FDA would approve a drug based on such a positive subgroup claim. </w:t>
      </w:r>
    </w:p>
    <w:p w14:paraId="4A793862" w14:textId="77777777" w:rsidR="00D56782" w:rsidRDefault="00D56782" w:rsidP="00A7253B">
      <w:pPr>
        <w:spacing w:after="0" w:line="360" w:lineRule="auto"/>
        <w:rPr>
          <w:rFonts w:ascii="Arial" w:hAnsi="Arial" w:cs="Arial"/>
          <w:sz w:val="24"/>
          <w:szCs w:val="24"/>
        </w:rPr>
      </w:pPr>
    </w:p>
    <w:p w14:paraId="2774E7D0" w14:textId="6D717762" w:rsidR="00D56782" w:rsidRDefault="00D676CB" w:rsidP="00A7253B">
      <w:pPr>
        <w:spacing w:after="0" w:line="360" w:lineRule="auto"/>
        <w:rPr>
          <w:rFonts w:ascii="Arial" w:hAnsi="Arial" w:cs="Arial"/>
          <w:sz w:val="24"/>
          <w:szCs w:val="24"/>
        </w:rPr>
      </w:pPr>
      <w:r>
        <w:rPr>
          <w:rFonts w:ascii="Arial" w:hAnsi="Arial" w:cs="Arial"/>
          <w:sz w:val="24"/>
          <w:szCs w:val="24"/>
        </w:rPr>
        <w:t xml:space="preserve">The </w:t>
      </w:r>
      <w:r w:rsidRPr="00543767">
        <w:rPr>
          <w:rFonts w:ascii="Arial" w:hAnsi="Arial" w:cs="Arial"/>
          <w:sz w:val="24"/>
          <w:szCs w:val="24"/>
        </w:rPr>
        <w:t>CHARISMA</w:t>
      </w:r>
      <w:r>
        <w:rPr>
          <w:rFonts w:ascii="Arial" w:hAnsi="Arial" w:cs="Arial"/>
          <w:sz w:val="24"/>
          <w:szCs w:val="24"/>
        </w:rPr>
        <w:t xml:space="preserve"> trial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&lt;EndNote&gt;&lt;Cite&gt;&lt;Author&gt;Bhatt&lt;/Author&gt;&lt;Year&gt;2006&lt;/Year&gt;&lt;RecNum&gt;56&lt;/RecNum&gt;&lt;DisplayText&gt;(20)&lt;/DisplayText&gt;&lt;record&gt;&lt;rec-number&gt;56&lt;/rec-number&gt;&lt;foreign-keys&gt;&lt;key app="EN" db-id="eaz5sewevp5dfxewrdrvzv52xsv2tsf22rzr"&gt;56&lt;/key&gt;&lt;/foreign-keys&gt;&lt;ref-type name="Journal Article"&gt;17&lt;/ref-type&gt;&lt;contributors&gt;&lt;authors&gt;&lt;author&gt;Bhatt, Deepak L.&lt;/author&gt;&lt;author&gt;Fox, Keith A.A.&lt;/author&gt;&lt;author&gt;Hacke, Werner&lt;/author&gt;&lt;author&gt;Berger, Peter B.&lt;/author&gt;&lt;author&gt;Black, Henry R.&lt;/author&gt;&lt;author&gt;Boden, William E.&lt;/author&gt;&lt;author&gt;Cacoub, Patrice&lt;/author&gt;&lt;author&gt;Cohen, Eric A.&lt;/author&gt;&lt;author&gt;Creager, Mark A.&lt;/author&gt;&lt;author&gt;Easton, J. Donald&lt;/author&gt;&lt;author&gt;Flather, Marcus D.&lt;/author&gt;&lt;author&gt;Haffner, Steven M.&lt;/author&gt;&lt;author&gt;Hamm, Christian W.&lt;/author&gt;&lt;author&gt;Hankey, Graeme J.&lt;/author&gt;&lt;author&gt;Johnston, S. Claiborne&lt;/author&gt;&lt;author&gt;Mak, Koon-Hou&lt;/author&gt;&lt;author&gt;Mas, Jean-Louis&lt;/author&gt;&lt;author&gt;Montalescot, Gilles&lt;/author&gt;&lt;author&gt;Pearson, Thomas A.&lt;/author&gt;&lt;author&gt;Steg, P. Gabriel&lt;/author&gt;&lt;author&gt;Steinhubl, Steven R.&lt;/author&gt;&lt;author&gt;Weber, Michael A.&lt;/author&gt;&lt;author&gt;Brennan, Danielle M.&lt;/author&gt;&lt;author&gt;Fabry-Ribaudo, Liz&lt;/author&gt;&lt;author&gt;Booth, Joan&lt;/author&gt;&lt;author&gt;Topol, Eric J.&lt;/author&gt;&lt;/authors&gt;&lt;/contributors&gt;&lt;titles&gt;&lt;title&gt;Clopidogrel and Aspirin versus Aspirin Alone for the Prevention of Atherothrombotic Events&lt;/title&gt;&lt;secondary-title&gt;New England Journal of Medicine&lt;/secondary-title&gt;&lt;/titles&gt;&lt;periodical&gt;&lt;full-title&gt;New England Journal of Medicine&lt;/full-title&gt;&lt;/periodical&gt;&lt;pages&gt;1706-1717&lt;/pages&gt;&lt;volume&gt;354&lt;/volume&gt;&lt;number&gt;16&lt;/number&gt;&lt;dates&gt;&lt;year&gt;2006&lt;/year&gt;&lt;/dates&gt;&lt;accession-num&gt;16531616&lt;/accession-num&gt;&lt;call-num&gt;18&lt;/call-num&gt;&lt;urls&gt;&lt;related-urls&gt;&lt;url&gt;http://www.nejm.org/doi/full/10.1056/NEJMoa060989&lt;/url&gt;&lt;/related-urls&gt;&lt;/urls&gt;&lt;electronic-resource-num&gt;doi:10.1056/NEJMoa060989&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0" w:tooltip="Bhatt, 2006 #56" w:history="1">
        <w:r w:rsidR="00DA7737">
          <w:rPr>
            <w:rFonts w:ascii="Arial" w:hAnsi="Arial" w:cs="Arial"/>
            <w:noProof/>
            <w:sz w:val="24"/>
            <w:szCs w:val="24"/>
          </w:rPr>
          <w:t>20</w:t>
        </w:r>
      </w:hyperlink>
      <w:r w:rsidR="00DA7737">
        <w:rPr>
          <w:rFonts w:ascii="Arial" w:hAnsi="Arial" w:cs="Arial"/>
          <w:noProof/>
          <w:sz w:val="24"/>
          <w:szCs w:val="24"/>
        </w:rPr>
        <w:t>)</w:t>
      </w:r>
      <w:r w:rsidR="000F189D">
        <w:rPr>
          <w:rFonts w:ascii="Arial" w:hAnsi="Arial" w:cs="Arial"/>
          <w:sz w:val="24"/>
          <w:szCs w:val="24"/>
        </w:rPr>
        <w:fldChar w:fldCharType="end"/>
      </w:r>
      <w:r w:rsidR="00E67CBA">
        <w:rPr>
          <w:rFonts w:ascii="Arial" w:hAnsi="Arial" w:cs="Arial"/>
          <w:sz w:val="24"/>
          <w:szCs w:val="24"/>
        </w:rPr>
        <w:t xml:space="preserve"> </w:t>
      </w:r>
      <w:r>
        <w:rPr>
          <w:rFonts w:ascii="Arial" w:hAnsi="Arial" w:cs="Arial"/>
          <w:sz w:val="24"/>
          <w:szCs w:val="24"/>
        </w:rPr>
        <w:t>is an interesting case</w:t>
      </w:r>
      <w:r w:rsidR="00D56782">
        <w:rPr>
          <w:rFonts w:ascii="Arial" w:hAnsi="Arial" w:cs="Arial"/>
          <w:sz w:val="24"/>
          <w:szCs w:val="24"/>
        </w:rPr>
        <w:t xml:space="preserve"> in</w:t>
      </w:r>
      <w:r>
        <w:rPr>
          <w:rFonts w:ascii="Arial" w:hAnsi="Arial" w:cs="Arial"/>
          <w:sz w:val="24"/>
          <w:szCs w:val="24"/>
        </w:rPr>
        <w:t xml:space="preserve"> point. Against a background of low dose aspirin 15,603 patients at high risk of atherothrombotic</w:t>
      </w:r>
      <w:bookmarkStart w:id="0" w:name="_GoBack"/>
      <w:bookmarkEnd w:id="0"/>
      <w:r>
        <w:rPr>
          <w:rFonts w:ascii="Arial" w:hAnsi="Arial" w:cs="Arial"/>
          <w:sz w:val="24"/>
          <w:szCs w:val="24"/>
        </w:rPr>
        <w:t xml:space="preserve"> events were randomised to clopidogrel or placebo. Over a median 28 months</w:t>
      </w:r>
      <w:r w:rsidR="00D56782">
        <w:rPr>
          <w:rFonts w:ascii="Arial" w:hAnsi="Arial" w:cs="Arial"/>
          <w:sz w:val="24"/>
          <w:szCs w:val="24"/>
        </w:rPr>
        <w:t>,</w:t>
      </w:r>
      <w:r>
        <w:rPr>
          <w:rFonts w:ascii="Arial" w:hAnsi="Arial" w:cs="Arial"/>
          <w:sz w:val="24"/>
          <w:szCs w:val="24"/>
        </w:rPr>
        <w:t xml:space="preserve"> incidence of the primary endpoint (CV death, MI or stroke) was 6.8% versus 7.3%, P=0.22. But in symptomatic patients (78% of all patients) the findings for clopidogrel looked better: 6.9% vs 7.9%, P=0.046.</w:t>
      </w:r>
      <w:r w:rsidR="008046B6">
        <w:rPr>
          <w:rFonts w:ascii="Arial" w:hAnsi="Arial" w:cs="Arial"/>
          <w:sz w:val="24"/>
          <w:szCs w:val="24"/>
        </w:rPr>
        <w:t xml:space="preserve"> </w:t>
      </w:r>
      <w:r>
        <w:rPr>
          <w:rFonts w:ascii="Arial" w:hAnsi="Arial" w:cs="Arial"/>
          <w:sz w:val="24"/>
          <w:szCs w:val="24"/>
        </w:rPr>
        <w:t xml:space="preserve">In contrast, in asymptomatic patients results trended in the opposition direction: 6.6% vs 5.5%, P=0.02. The interaction test had P=0.045 and the authors’ conclusions included a claim of benefit for clopidogrel in symptomatic patients. </w:t>
      </w:r>
    </w:p>
    <w:p w14:paraId="4AEDD2BB" w14:textId="77777777" w:rsidR="00D56782" w:rsidRDefault="00D56782" w:rsidP="00A7253B">
      <w:pPr>
        <w:spacing w:after="0" w:line="360" w:lineRule="auto"/>
        <w:rPr>
          <w:rFonts w:ascii="Arial" w:hAnsi="Arial" w:cs="Arial"/>
          <w:sz w:val="24"/>
          <w:szCs w:val="24"/>
        </w:rPr>
      </w:pPr>
    </w:p>
    <w:p w14:paraId="20BA244E" w14:textId="5E60A634" w:rsidR="004E3180" w:rsidRDefault="00D676CB" w:rsidP="00A7253B">
      <w:pPr>
        <w:spacing w:after="0" w:line="360" w:lineRule="auto"/>
        <w:rPr>
          <w:rFonts w:ascii="Arial" w:hAnsi="Arial" w:cs="Arial"/>
          <w:sz w:val="24"/>
          <w:szCs w:val="24"/>
        </w:rPr>
      </w:pPr>
      <w:r>
        <w:rPr>
          <w:rFonts w:ascii="Arial" w:hAnsi="Arial" w:cs="Arial"/>
          <w:sz w:val="24"/>
          <w:szCs w:val="24"/>
        </w:rPr>
        <w:t xml:space="preserve">The accompanying </w:t>
      </w:r>
      <w:r w:rsidR="004E3180">
        <w:rPr>
          <w:rFonts w:ascii="Arial" w:hAnsi="Arial" w:cs="Arial"/>
          <w:sz w:val="24"/>
          <w:szCs w:val="24"/>
        </w:rPr>
        <w:t>editorial was critical commenting “the charisma of extracting favourable subgroups should be resisted”</w:t>
      </w:r>
      <w:r w:rsidR="002D581F">
        <w:rPr>
          <w:rFonts w:ascii="Arial" w:hAnsi="Arial" w:cs="Arial"/>
          <w:sz w:val="24"/>
          <w:szCs w:val="24"/>
        </w:rPr>
        <w:t xml:space="preserve"> </w:t>
      </w:r>
      <w:r w:rsidR="002D581F">
        <w:rPr>
          <w:rFonts w:ascii="Arial" w:hAnsi="Arial" w:cs="Arial"/>
          <w:sz w:val="24"/>
          <w:szCs w:val="24"/>
        </w:rPr>
        <w:fldChar w:fldCharType="begin"/>
      </w:r>
      <w:r w:rsidR="00DA7737">
        <w:rPr>
          <w:rFonts w:ascii="Arial" w:hAnsi="Arial" w:cs="Arial"/>
          <w:sz w:val="24"/>
          <w:szCs w:val="24"/>
        </w:rPr>
        <w:instrText xml:space="preserve"> ADDIN EN.CITE &lt;EndNote&gt;&lt;Cite&gt;&lt;Author&gt;Pfeffer&lt;/Author&gt;&lt;Year&gt;2006&lt;/Year&gt;&lt;RecNum&gt;101&lt;/RecNum&gt;&lt;DisplayText&gt;(21)&lt;/DisplayText&gt;&lt;record&gt;&lt;rec-number&gt;101&lt;/rec-number&gt;&lt;foreign-keys&gt;&lt;key app="EN" db-id="eaz5sewevp5dfxewrdrvzv52xsv2tsf22rzr"&gt;101&lt;/key&gt;&lt;/foreign-keys&gt;&lt;ref-type name="Journal Article"&gt;17&lt;/ref-type&gt;&lt;contributors&gt;&lt;authors&gt;&lt;author&gt;Pfeffer, Marc A.&lt;/author&gt;&lt;author&gt;Jarcho, John A.&lt;/author&gt;&lt;/authors&gt;&lt;/contributors&gt;&lt;titles&gt;&lt;title&gt;The Charisma of Subgroups and the Subgroups of CHARISMA&lt;/title&gt;&lt;secondary-title&gt;New England Journal of Medicine&lt;/secondary-title&gt;&lt;/titles&gt;&lt;periodical&gt;&lt;full-title&gt;New England Journal of Medicine&lt;/full-title&gt;&lt;/periodical&gt;&lt;pages&gt;1744-1746&lt;/pages&gt;&lt;volume&gt;354&lt;/volume&gt;&lt;number&gt;16&lt;/number&gt;&lt;dates&gt;&lt;year&gt;2006&lt;/year&gt;&lt;/dates&gt;&lt;accession-num&gt;16531617&lt;/accession-num&gt;&lt;urls&gt;&lt;related-urls&gt;&lt;url&gt;http://www.nejm.org/doi/full/10.1056/NEJMe068061&lt;/url&gt;&lt;/related-urls&gt;&lt;/urls&gt;&lt;electronic-resource-num&gt;doi:10.1056/NEJMe068061&lt;/electronic-resource-num&gt;&lt;/record&gt;&lt;/Cite&gt;&lt;/EndNote&gt;</w:instrText>
      </w:r>
      <w:r w:rsidR="002D581F">
        <w:rPr>
          <w:rFonts w:ascii="Arial" w:hAnsi="Arial" w:cs="Arial"/>
          <w:sz w:val="24"/>
          <w:szCs w:val="24"/>
        </w:rPr>
        <w:fldChar w:fldCharType="separate"/>
      </w:r>
      <w:r w:rsidR="00DA7737">
        <w:rPr>
          <w:rFonts w:ascii="Arial" w:hAnsi="Arial" w:cs="Arial"/>
          <w:noProof/>
          <w:sz w:val="24"/>
          <w:szCs w:val="24"/>
        </w:rPr>
        <w:t>(</w:t>
      </w:r>
      <w:hyperlink w:anchor="_ENREF_21" w:tooltip="Pfeffer, 2006 #101" w:history="1">
        <w:r w:rsidR="00DA7737">
          <w:rPr>
            <w:rFonts w:ascii="Arial" w:hAnsi="Arial" w:cs="Arial"/>
            <w:noProof/>
            <w:sz w:val="24"/>
            <w:szCs w:val="24"/>
          </w:rPr>
          <w:t>21</w:t>
        </w:r>
      </w:hyperlink>
      <w:r w:rsidR="00DA7737">
        <w:rPr>
          <w:rFonts w:ascii="Arial" w:hAnsi="Arial" w:cs="Arial"/>
          <w:noProof/>
          <w:sz w:val="24"/>
          <w:szCs w:val="24"/>
        </w:rPr>
        <w:t>)</w:t>
      </w:r>
      <w:r w:rsidR="002D581F">
        <w:rPr>
          <w:rFonts w:ascii="Arial" w:hAnsi="Arial" w:cs="Arial"/>
          <w:sz w:val="24"/>
          <w:szCs w:val="24"/>
        </w:rPr>
        <w:fldChar w:fldCharType="end"/>
      </w:r>
      <w:r w:rsidR="004E3180" w:rsidRPr="002D581F">
        <w:rPr>
          <w:rFonts w:ascii="Arial" w:hAnsi="Arial" w:cs="Arial"/>
          <w:sz w:val="24"/>
          <w:szCs w:val="24"/>
        </w:rPr>
        <w:t>.</w:t>
      </w:r>
      <w:r w:rsidR="004E3180">
        <w:rPr>
          <w:rFonts w:ascii="Arial" w:hAnsi="Arial" w:cs="Arial"/>
          <w:sz w:val="24"/>
          <w:szCs w:val="24"/>
        </w:rPr>
        <w:t xml:space="preserve"> Why? Well, this was one of 12 pre-specified subgroup analyses and the strength of evidence, P for interaction, was borderline. Also, it is usually biologically implausible that a true treatment effect will be in opposite directions across subgroups, </w:t>
      </w:r>
      <w:r w:rsidR="00045270">
        <w:rPr>
          <w:rFonts w:ascii="Arial" w:hAnsi="Arial" w:cs="Arial"/>
          <w:sz w:val="24"/>
          <w:szCs w:val="24"/>
        </w:rPr>
        <w:t>i.e.</w:t>
      </w:r>
      <w:r w:rsidR="004E3180">
        <w:rPr>
          <w:rFonts w:ascii="Arial" w:hAnsi="Arial" w:cs="Arial"/>
          <w:sz w:val="24"/>
          <w:szCs w:val="24"/>
        </w:rPr>
        <w:t>so-called qua</w:t>
      </w:r>
      <w:r w:rsidR="00D12BE5">
        <w:rPr>
          <w:rFonts w:ascii="Arial" w:hAnsi="Arial" w:cs="Arial"/>
          <w:sz w:val="24"/>
          <w:szCs w:val="24"/>
        </w:rPr>
        <w:t>l</w:t>
      </w:r>
      <w:r w:rsidR="004E3180">
        <w:rPr>
          <w:rFonts w:ascii="Arial" w:hAnsi="Arial" w:cs="Arial"/>
          <w:sz w:val="24"/>
          <w:szCs w:val="24"/>
        </w:rPr>
        <w:t>itative interactions rarely arise across clinical medicine.</w:t>
      </w:r>
      <w:r w:rsidR="00D56782">
        <w:rPr>
          <w:rFonts w:ascii="Arial" w:hAnsi="Arial" w:cs="Arial"/>
          <w:sz w:val="24"/>
          <w:szCs w:val="24"/>
        </w:rPr>
        <w:t xml:space="preserve"> </w:t>
      </w:r>
      <w:r w:rsidR="004E3180">
        <w:rPr>
          <w:rFonts w:ascii="Arial" w:hAnsi="Arial" w:cs="Arial"/>
          <w:sz w:val="24"/>
          <w:szCs w:val="24"/>
        </w:rPr>
        <w:t>The New England Journal</w:t>
      </w:r>
      <w:r w:rsidR="009C1624">
        <w:rPr>
          <w:rFonts w:ascii="Arial" w:hAnsi="Arial" w:cs="Arial"/>
          <w:sz w:val="24"/>
          <w:szCs w:val="24"/>
        </w:rPr>
        <w:t xml:space="preserve"> </w:t>
      </w:r>
      <w:r w:rsidR="004E3180">
        <w:rPr>
          <w:rFonts w:ascii="Arial" w:hAnsi="Arial" w:cs="Arial"/>
          <w:sz w:val="24"/>
          <w:szCs w:val="24"/>
        </w:rPr>
        <w:t>has subsequently toughened its policy regarding subgroup analyses</w:t>
      </w:r>
      <w:r w:rsidR="000F189D">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&lt;EndNote&gt;&lt;Cite&gt;&lt;Author&gt;Wang&lt;/Author&gt;&lt;Year&gt;2007&lt;/Year&gt;&lt;RecNum&gt;58&lt;/RecNum&gt;&lt;DisplayText&gt;(22)&lt;/DisplayText&gt;&lt;record&gt;&lt;rec-number&gt;58&lt;/rec-number&gt;&lt;foreign-keys&gt;&lt;key app="EN" db-id="eaz5sewevp5dfxewrdrvzv52xsv2tsf22rzr"&gt;58&lt;/key&gt;&lt;/foreign-keys&gt;&lt;ref-type name="Journal Article"&gt;17&lt;/ref-type&gt;&lt;contributors&gt;&lt;authors&gt;&lt;author&gt;Wang, Rui&lt;/author&gt;&lt;author&gt;Lagakos, Stephen W.&lt;/author&gt;&lt;author&gt;Ware, James H.&lt;/author&gt;&lt;author&gt;Hunter, David J.&lt;/author&gt;&lt;author&gt;Drazen, Jeffrey M.&lt;/author&gt;&lt;/authors&gt;&lt;/contributors&gt;&lt;titles&gt;&lt;title&gt;Statistics in Medicine — Reporting of Subgroup Analyses in Clinical Trials&lt;/title&gt;&lt;secondary-title&gt;New England Journal of Medicine&lt;/secondary-title&gt;&lt;/titles&gt;&lt;periodical&gt;&lt;full-title&gt;New England Journal of Medicine&lt;/full-title&gt;&lt;/periodical&gt;&lt;pages&gt;2189-2194&lt;/pages&gt;&lt;volume&gt;357&lt;/volume&gt;&lt;number&gt;21&lt;/number&gt;&lt;dates&gt;&lt;year&gt;2007&lt;/year&gt;&lt;/dates&gt;&lt;accession-num&gt;18032770&lt;/accession-num&gt;&lt;call-num&gt;17&lt;/call-num&gt;&lt;urls&gt;&lt;related-urls&gt;&lt;url&gt;http://www.nejm.org/doi/full/10.1056/NEJMsr077003&lt;/url&gt;&lt;/related-urls&gt;&lt;/urls&gt;&lt;electronic-resource-num&gt;doi:10.1056/NEJMsr077003&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2" w:tooltip="Wang, 2007 #58" w:history="1">
        <w:r w:rsidR="00DA7737">
          <w:rPr>
            <w:rFonts w:ascii="Arial" w:hAnsi="Arial" w:cs="Arial"/>
            <w:noProof/>
            <w:sz w:val="24"/>
            <w:szCs w:val="24"/>
          </w:rPr>
          <w:t>22</w:t>
        </w:r>
      </w:hyperlink>
      <w:r w:rsidR="00DA7737">
        <w:rPr>
          <w:rFonts w:ascii="Arial" w:hAnsi="Arial" w:cs="Arial"/>
          <w:noProof/>
          <w:sz w:val="24"/>
          <w:szCs w:val="24"/>
        </w:rPr>
        <w:t>)</w:t>
      </w:r>
      <w:r w:rsidR="000F189D">
        <w:rPr>
          <w:rFonts w:ascii="Arial" w:hAnsi="Arial" w:cs="Arial"/>
          <w:sz w:val="24"/>
          <w:szCs w:val="24"/>
        </w:rPr>
        <w:fldChar w:fldCharType="end"/>
      </w:r>
      <w:r w:rsidR="004E3180">
        <w:rPr>
          <w:rFonts w:ascii="Arial" w:hAnsi="Arial" w:cs="Arial"/>
          <w:sz w:val="24"/>
          <w:szCs w:val="24"/>
        </w:rPr>
        <w:t>, so that they be seen more as exploratory and hypothesis-generating rather than becoming part of a trial’s key conclusions.</w:t>
      </w:r>
    </w:p>
    <w:p w14:paraId="200F8C0B" w14:textId="77777777" w:rsidR="004E3180" w:rsidRDefault="004E3180" w:rsidP="00A7253B">
      <w:pPr>
        <w:spacing w:after="0" w:line="360" w:lineRule="auto"/>
        <w:rPr>
          <w:rFonts w:ascii="Arial" w:hAnsi="Arial" w:cs="Arial"/>
          <w:sz w:val="24"/>
          <w:szCs w:val="24"/>
        </w:rPr>
      </w:pPr>
    </w:p>
    <w:p w14:paraId="0F7C5552" w14:textId="7096DE47" w:rsidR="004E3180" w:rsidRDefault="004E3180" w:rsidP="00A7253B">
      <w:pPr>
        <w:spacing w:after="0" w:line="360" w:lineRule="auto"/>
        <w:rPr>
          <w:rFonts w:ascii="Arial" w:hAnsi="Arial" w:cs="Arial"/>
          <w:sz w:val="24"/>
          <w:szCs w:val="24"/>
        </w:rPr>
      </w:pPr>
      <w:r>
        <w:rPr>
          <w:rFonts w:ascii="Arial" w:hAnsi="Arial" w:cs="Arial"/>
          <w:sz w:val="24"/>
          <w:szCs w:val="24"/>
        </w:rPr>
        <w:t>A different challenge arises when the overall results of a trial are positive, but there appears to be a lack of superiority in a particular subgroup. For i</w:t>
      </w:r>
      <w:r w:rsidRPr="00543767">
        <w:rPr>
          <w:rFonts w:ascii="Arial" w:hAnsi="Arial" w:cs="Arial"/>
          <w:sz w:val="24"/>
          <w:szCs w:val="24"/>
        </w:rPr>
        <w:t>nstance, the SPIRIT</w:t>
      </w:r>
      <w:r w:rsidR="00D56782" w:rsidRPr="00543767">
        <w:rPr>
          <w:rFonts w:ascii="Arial" w:hAnsi="Arial" w:cs="Arial"/>
          <w:sz w:val="24"/>
          <w:szCs w:val="24"/>
        </w:rPr>
        <w:t xml:space="preserve"> </w:t>
      </w:r>
      <w:r w:rsidRPr="00543767">
        <w:rPr>
          <w:rFonts w:ascii="Arial" w:hAnsi="Arial" w:cs="Arial"/>
          <w:sz w:val="24"/>
          <w:szCs w:val="24"/>
        </w:rPr>
        <w:t>IV</w:t>
      </w:r>
      <w:r w:rsidRPr="00640478">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&lt;EndNote&gt;&lt;Cite&gt;&lt;Author&gt;Stone&lt;/Author&gt;&lt;Year&gt;2010&lt;/Year&gt;&lt;RecNum&gt;57&lt;/RecNum&gt;&lt;DisplayText&gt;(23)&lt;/DisplayText&gt;&lt;record&gt;&lt;rec-number&gt;57&lt;/rec-number&gt;&lt;foreign-keys&gt;&lt;key app="EN" db-id="eaz5sewevp5dfxewrdrvzv52xsv2tsf22rzr"&gt;57&lt;/key&gt;&lt;/foreign-keys&gt;&lt;ref-type name="Journal Article"&gt;17&lt;/ref-type&gt;&lt;contributors&gt;&lt;authors&gt;&lt;author&gt;Stone, Gregg W.&lt;/author&gt;&lt;author&gt;Rizvi, Ali&lt;/author&gt;&lt;author&gt;Newman, William&lt;/author&gt;&lt;author&gt;Mastali, Kourosh&lt;/author&gt;&lt;author&gt;Wang, John C.&lt;/author&gt;&lt;author&gt;Caputo, Ronald&lt;/author&gt;&lt;author&gt;Doostzadeh, Julie&lt;/author&gt;&lt;author&gt;Cao, Sherry&lt;/author&gt;&lt;author&gt;Simonton, Charles A.&lt;/author&gt;&lt;author&gt;Sudhir, Krishnankutty&lt;/author&gt;&lt;author&gt;Lansky, Alexandra J.&lt;/author&gt;&lt;author&gt;Cutlip, Donald E.&lt;/author&gt;&lt;author&gt;Kereiakes, Dean J.&lt;/author&gt;&lt;/authors&gt;&lt;/contributors&gt;&lt;titles&gt;&lt;title&gt;Everolimus-Eluting versus Paclitaxel-Eluting Stents in Coronary Artery Disease&lt;/title&gt;&lt;secondary-title&gt;New England Journal of Medicine&lt;/secondary-title&gt;&lt;/titles&gt;&lt;periodical&gt;&lt;full-title&gt;New England Journal of Medicine&lt;/full-title&gt;&lt;/periodical&gt;&lt;pages&gt;1663-1674&lt;/pages&gt;&lt;volume&gt;362&lt;/volume&gt;&lt;number&gt;18&lt;/number&gt;&lt;dates&gt;&lt;year&gt;2010&lt;/year&gt;&lt;/dates&gt;&lt;accession-num&gt;20445180&lt;/accession-num&gt;&lt;call-num&gt;19&lt;/call-num&gt;&lt;urls&gt;&lt;related-urls&gt;&lt;url&gt;http://www.nejm.org/doi/full/10.1056/NEJMoa0910496&lt;/url&gt;&lt;/related-urls&gt;&lt;/urls&gt;&lt;electronic-resource-num&gt;doi:10.1056/NEJMoa0910496&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3" w:tooltip="Stone, 2010 #57" w:history="1">
        <w:r w:rsidR="00DA7737">
          <w:rPr>
            <w:rFonts w:ascii="Arial" w:hAnsi="Arial" w:cs="Arial"/>
            <w:noProof/>
            <w:sz w:val="24"/>
            <w:szCs w:val="24"/>
          </w:rPr>
          <w:t>23</w:t>
        </w:r>
      </w:hyperlink>
      <w:r w:rsidR="00DA7737">
        <w:rPr>
          <w:rFonts w:ascii="Arial" w:hAnsi="Arial" w:cs="Arial"/>
          <w:noProof/>
          <w:sz w:val="24"/>
          <w:szCs w:val="24"/>
        </w:rPr>
        <w:t>)</w:t>
      </w:r>
      <w:r w:rsidR="000F189D">
        <w:rPr>
          <w:rFonts w:ascii="Arial" w:hAnsi="Arial" w:cs="Arial"/>
          <w:sz w:val="24"/>
          <w:szCs w:val="24"/>
        </w:rPr>
        <w:fldChar w:fldCharType="end"/>
      </w:r>
      <w:r w:rsidR="000F189D">
        <w:rPr>
          <w:rFonts w:ascii="Arial" w:hAnsi="Arial" w:cs="Arial"/>
          <w:sz w:val="24"/>
          <w:szCs w:val="24"/>
        </w:rPr>
        <w:t xml:space="preserve"> </w:t>
      </w:r>
      <w:r>
        <w:rPr>
          <w:rFonts w:ascii="Arial" w:hAnsi="Arial" w:cs="Arial"/>
          <w:sz w:val="24"/>
          <w:szCs w:val="24"/>
        </w:rPr>
        <w:t xml:space="preserve">trial comparing </w:t>
      </w:r>
      <w:proofErr w:type="spellStart"/>
      <w:r>
        <w:rPr>
          <w:rFonts w:ascii="Arial" w:hAnsi="Arial" w:cs="Arial"/>
          <w:sz w:val="24"/>
          <w:szCs w:val="24"/>
        </w:rPr>
        <w:t>everolimus</w:t>
      </w:r>
      <w:proofErr w:type="spellEnd"/>
      <w:r>
        <w:rPr>
          <w:rFonts w:ascii="Arial" w:hAnsi="Arial" w:cs="Arial"/>
          <w:sz w:val="24"/>
          <w:szCs w:val="24"/>
        </w:rPr>
        <w:t>-eluting stent (EES) or paclitaxel-eluting stent (PES) in 3687 patients showed overall superiority for ESS for the primary endpoint target-lesion failure at one year: 4.2% vs 6.8%, P=0.001. But in 1140 diabetic patients (one of 12 subgroup analyses) there was no evidence of a treatment difference: 6.4% vs 6.9%, interaction P=0.02.</w:t>
      </w:r>
      <w:r w:rsidR="004163D0">
        <w:rPr>
          <w:rFonts w:ascii="Arial" w:hAnsi="Arial" w:cs="Arial"/>
          <w:sz w:val="24"/>
          <w:szCs w:val="24"/>
        </w:rPr>
        <w:t xml:space="preserve"> </w:t>
      </w:r>
      <w:r>
        <w:rPr>
          <w:rFonts w:ascii="Arial" w:hAnsi="Arial" w:cs="Arial"/>
          <w:sz w:val="24"/>
          <w:szCs w:val="24"/>
        </w:rPr>
        <w:t xml:space="preserve">This finding in itself </w:t>
      </w:r>
      <w:r w:rsidR="004163D0">
        <w:rPr>
          <w:rFonts w:ascii="Arial" w:hAnsi="Arial" w:cs="Arial"/>
          <w:sz w:val="24"/>
          <w:szCs w:val="24"/>
        </w:rPr>
        <w:t xml:space="preserve">is not definitive evidence, and hence further evidence was sought to confirm (or refute) this finding. </w:t>
      </w:r>
      <w:r w:rsidR="004163D0">
        <w:rPr>
          <w:rFonts w:ascii="Arial" w:hAnsi="Arial" w:cs="Arial"/>
          <w:sz w:val="24"/>
          <w:szCs w:val="24"/>
        </w:rPr>
        <w:lastRenderedPageBreak/>
        <w:t>A pooled analysis of two-year outcomes across four RCTs of EES versus PES in 6780 patients</w:t>
      </w:r>
      <w:r w:rsidR="000F189D">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&lt;EndNote&gt;&lt;Cite&gt;&lt;Author&gt;Stone&lt;/Author&gt;&lt;Year&gt;2011&lt;/Year&gt;&lt;RecNum&gt;91&lt;/RecNum&gt;&lt;DisplayText&gt;(24)&lt;/DisplayText&gt;&lt;record&gt;&lt;rec-number&gt;91&lt;/rec-number&gt;&lt;foreign-keys&gt;&lt;key app="EN" db-id="eaz5sewevp5dfxewrdrvzv52xsv2tsf22rzr"&gt;91&lt;/key&gt;&lt;/foreign-keys&gt;&lt;ref-type name="Journal Article"&gt;17&lt;/ref-type&gt;&lt;contributors&gt;&lt;authors&gt;&lt;author&gt;Stone, Gregg. W.&lt;/author&gt;&lt;author&gt;Kedhi, Elvin&lt;/author&gt;&lt;author&gt;Kereiakes, Dean J.&lt;/author&gt;&lt;author&gt;Parise, Helen&lt;/author&gt;&lt;author&gt;Fahy, Martin&lt;/author&gt;&lt;author&gt;Serruys, Patrick W.&lt;/author&gt;&lt;author&gt;Smits, Pieter C.&lt;/author&gt;&lt;/authors&gt;&lt;/contributors&gt;&lt;titles&gt;&lt;title&gt;Differential Clinical Responses to Everolimus-Eluting and Paclitaxel-Eluting Coronary Stents in Patients With and Without Diabetes Mellitus&lt;/title&gt;&lt;secondary-title&gt;Circulation&lt;/secondary-title&gt;&lt;/titles&gt;&lt;periodical&gt;&lt;full-title&gt;Circulation&lt;/full-title&gt;&lt;/periodical&gt;&lt;pages&gt;893-900&lt;/pages&gt;&lt;volume&gt;124&lt;/volume&gt;&lt;number&gt;8&lt;/number&gt;&lt;dates&gt;&lt;year&gt;2011&lt;/year&gt;&lt;pub-dates&gt;&lt;date&gt;August 23, 2011&lt;/date&gt;&lt;/pub-dates&gt;&lt;/dates&gt;&lt;call-num&gt;20&lt;/call-num&gt;&lt;urls&gt;&lt;related-urls&gt;&lt;url&gt;http://circ.ahajournals.org/content/124/8/893.abstract&lt;/url&gt;&lt;/related-urls&gt;&lt;/urls&gt;&lt;electronic-resource-num&gt;10.1161/circulationaha.111.031070&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4" w:tooltip="Stone, 2011 #91" w:history="1">
        <w:r w:rsidR="00DA7737">
          <w:rPr>
            <w:rFonts w:ascii="Arial" w:hAnsi="Arial" w:cs="Arial"/>
            <w:noProof/>
            <w:sz w:val="24"/>
            <w:szCs w:val="24"/>
          </w:rPr>
          <w:t>24</w:t>
        </w:r>
      </w:hyperlink>
      <w:r w:rsidR="00DA7737">
        <w:rPr>
          <w:rFonts w:ascii="Arial" w:hAnsi="Arial" w:cs="Arial"/>
          <w:noProof/>
          <w:sz w:val="24"/>
          <w:szCs w:val="24"/>
        </w:rPr>
        <w:t>)</w:t>
      </w:r>
      <w:r w:rsidR="000F189D">
        <w:rPr>
          <w:rFonts w:ascii="Arial" w:hAnsi="Arial" w:cs="Arial"/>
          <w:sz w:val="24"/>
          <w:szCs w:val="24"/>
        </w:rPr>
        <w:fldChar w:fldCharType="end"/>
      </w:r>
      <w:r w:rsidR="004163D0">
        <w:rPr>
          <w:rFonts w:ascii="Arial" w:hAnsi="Arial" w:cs="Arial"/>
          <w:sz w:val="24"/>
          <w:szCs w:val="24"/>
        </w:rPr>
        <w:t xml:space="preserve"> revealed marked superiority of EES in non-diabetics for death, myocardial infarction, stent thrombosis and ischaemia-driven target lesion revascularisation, while no such benefits of EES existed for diabetic patients. All four interaction tests were convincingly significant: P=0.02, P=0.01, P=0.0006, P=0.02 respectively.</w:t>
      </w:r>
    </w:p>
    <w:p w14:paraId="2FE1DDAB" w14:textId="77777777" w:rsidR="004163D0" w:rsidRDefault="004163D0" w:rsidP="00A7253B">
      <w:pPr>
        <w:spacing w:after="0" w:line="360" w:lineRule="auto"/>
        <w:rPr>
          <w:rFonts w:ascii="Arial" w:hAnsi="Arial" w:cs="Arial"/>
          <w:sz w:val="24"/>
          <w:szCs w:val="24"/>
        </w:rPr>
      </w:pPr>
    </w:p>
    <w:p w14:paraId="0701A96A" w14:textId="2880892B" w:rsidR="004163D0" w:rsidRDefault="004163D0" w:rsidP="00A7253B">
      <w:pPr>
        <w:spacing w:after="0" w:line="360" w:lineRule="auto"/>
        <w:rPr>
          <w:rFonts w:ascii="Arial" w:hAnsi="Arial" w:cs="Arial"/>
          <w:sz w:val="24"/>
          <w:szCs w:val="24"/>
        </w:rPr>
      </w:pPr>
      <w:r>
        <w:rPr>
          <w:rFonts w:ascii="Arial" w:hAnsi="Arial" w:cs="Arial"/>
          <w:sz w:val="24"/>
          <w:szCs w:val="24"/>
        </w:rPr>
        <w:t xml:space="preserve">While such confirmatory evidence of an initial subgroup finding is highly desirable it is not always achievable. But still regulatory decisions need to be made on whether apparent lack of efficacy in a subgroup merits a specific restriction re drug approval. For instance, the European Medicines Agency restricted use of </w:t>
      </w:r>
      <w:proofErr w:type="spellStart"/>
      <w:r>
        <w:rPr>
          <w:rFonts w:ascii="Arial" w:hAnsi="Arial" w:cs="Arial"/>
          <w:sz w:val="24"/>
          <w:szCs w:val="24"/>
        </w:rPr>
        <w:t>ivabradine</w:t>
      </w:r>
      <w:proofErr w:type="spellEnd"/>
      <w:r>
        <w:rPr>
          <w:rFonts w:ascii="Arial" w:hAnsi="Arial" w:cs="Arial"/>
          <w:sz w:val="24"/>
          <w:szCs w:val="24"/>
        </w:rPr>
        <w:t xml:space="preserve"> in chronic heart failure to patients with heart rate ≥75 bpm on the basis of a significant interaction in one pivotal trial</w:t>
      </w:r>
      <w:r w:rsidR="000F189D">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&lt;EndNote&gt;&lt;Cite&gt;&lt;Author&gt;Swedberg&lt;/Author&gt;&lt;Year&gt;2010&lt;/Year&gt;&lt;RecNum&gt;78&lt;/RecNum&gt;&lt;DisplayText&gt;(25)&lt;/DisplayText&gt;&lt;record&gt;&lt;rec-number&gt;78&lt;/rec-number&gt;&lt;foreign-keys&gt;&lt;key app="EN" db-id="eaz5sewevp5dfxewrdrvzv52xsv2tsf22rzr"&gt;78&lt;/key&gt;&lt;/foreign-keys&gt;&lt;ref-type name="Journal Article"&gt;17&lt;/ref-type&gt;&lt;contributors&gt;&lt;authors&gt;&lt;author&gt;Swedberg, Karl&lt;/author&gt;&lt;author&gt;Komajda, Michel&lt;/author&gt;&lt;author&gt;Böhm, Michael&lt;/author&gt;&lt;author&gt;Borer, Jeffrey S.&lt;/author&gt;&lt;author&gt;Ford, Ian&lt;/author&gt;&lt;author&gt;Dubost-Brama, Ariane&lt;/author&gt;&lt;author&gt;Lerebours, Guy&lt;/author&gt;&lt;author&gt;Tavazzi, Luigi&lt;/author&gt;&lt;/authors&gt;&lt;/contributors&gt;&lt;titles&gt;&lt;title&gt;Ivabradine and outcomes in chronic heart failure (SHIFT): a randomised placebo-controlled study&lt;/title&gt;&lt;secondary-title&gt;The Lancet&lt;/secondary-title&gt;&lt;/titles&gt;&lt;periodical&gt;&lt;full-title&gt;The Lancet&lt;/full-title&gt;&lt;/periodical&gt;&lt;pages&gt;875-885&lt;/pages&gt;&lt;volume&gt;376&lt;/volume&gt;&lt;number&gt;9744&lt;/number&gt;&lt;dates&gt;&lt;year&gt;2010&lt;/year&gt;&lt;pub-dates&gt;&lt;date&gt;//&lt;/date&gt;&lt;/pub-dates&gt;&lt;/dates&gt;&lt;isbn&gt;0140-6736&lt;/isbn&gt;&lt;call-num&gt;21&lt;/call-num&gt;&lt;urls&gt;&lt;related-urls&gt;&lt;url&gt;http://www.sciencedirect.com/science/article/pii/S0140673610611981&lt;/url&gt;&lt;/related-urls&gt;&lt;/urls&gt;&lt;electronic-resource-num&gt;http://dx.doi.org/10.1016/S0140-6736(10)61198-1&lt;/electronic-resource-num&gt;&lt;access-date&gt;2010/9/17/&lt;/access-date&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5" w:tooltip="Swedberg, 2010 #78" w:history="1">
        <w:r w:rsidR="00DA7737">
          <w:rPr>
            <w:rFonts w:ascii="Arial" w:hAnsi="Arial" w:cs="Arial"/>
            <w:noProof/>
            <w:sz w:val="24"/>
            <w:szCs w:val="24"/>
          </w:rPr>
          <w:t>25</w:t>
        </w:r>
      </w:hyperlink>
      <w:r w:rsidR="00DA7737">
        <w:rPr>
          <w:rFonts w:ascii="Arial" w:hAnsi="Arial" w:cs="Arial"/>
          <w:noProof/>
          <w:sz w:val="24"/>
          <w:szCs w:val="24"/>
        </w:rPr>
        <w:t>)</w:t>
      </w:r>
      <w:r w:rsidR="000F189D">
        <w:rPr>
          <w:rFonts w:ascii="Arial" w:hAnsi="Arial" w:cs="Arial"/>
          <w:sz w:val="24"/>
          <w:szCs w:val="24"/>
        </w:rPr>
        <w:fldChar w:fldCharType="end"/>
      </w:r>
      <w:r>
        <w:rPr>
          <w:rFonts w:ascii="Arial" w:hAnsi="Arial" w:cs="Arial"/>
          <w:sz w:val="24"/>
          <w:szCs w:val="24"/>
        </w:rPr>
        <w:t>.</w:t>
      </w:r>
    </w:p>
    <w:p w14:paraId="65CCF523" w14:textId="77777777" w:rsidR="004163D0" w:rsidRDefault="004163D0" w:rsidP="00A7253B">
      <w:pPr>
        <w:spacing w:after="0" w:line="360" w:lineRule="auto"/>
        <w:rPr>
          <w:rFonts w:ascii="Arial" w:hAnsi="Arial" w:cs="Arial"/>
          <w:sz w:val="24"/>
          <w:szCs w:val="24"/>
        </w:rPr>
      </w:pPr>
    </w:p>
    <w:p w14:paraId="295C9B3F" w14:textId="34DFDBD9" w:rsidR="00D12BE5" w:rsidRDefault="004163D0" w:rsidP="00A7253B">
      <w:pPr>
        <w:spacing w:after="0" w:line="360" w:lineRule="auto"/>
        <w:rPr>
          <w:rFonts w:ascii="Arial" w:hAnsi="Arial" w:cs="Arial"/>
          <w:sz w:val="24"/>
          <w:szCs w:val="24"/>
        </w:rPr>
      </w:pPr>
      <w:r>
        <w:rPr>
          <w:rFonts w:ascii="Arial" w:hAnsi="Arial" w:cs="Arial"/>
          <w:sz w:val="24"/>
          <w:szCs w:val="24"/>
        </w:rPr>
        <w:t xml:space="preserve">Overall, there is a responsibility to perform and present subgroup findings from major RCTs. Pre-specification of </w:t>
      </w:r>
      <w:r w:rsidR="00437DDA">
        <w:rPr>
          <w:rFonts w:ascii="Arial" w:hAnsi="Arial" w:cs="Arial"/>
          <w:sz w:val="24"/>
          <w:szCs w:val="24"/>
        </w:rPr>
        <w:t xml:space="preserve">a limited number of </w:t>
      </w:r>
      <w:r>
        <w:rPr>
          <w:rFonts w:ascii="Arial" w:hAnsi="Arial" w:cs="Arial"/>
          <w:sz w:val="24"/>
          <w:szCs w:val="24"/>
        </w:rPr>
        <w:t>intended subgroup analyses is a helpful guard agains</w:t>
      </w:r>
      <w:r w:rsidR="0020623B">
        <w:rPr>
          <w:rFonts w:ascii="Arial" w:hAnsi="Arial" w:cs="Arial"/>
          <w:sz w:val="24"/>
          <w:szCs w:val="24"/>
        </w:rPr>
        <w:t>t</w:t>
      </w:r>
      <w:r>
        <w:rPr>
          <w:rFonts w:ascii="Arial" w:hAnsi="Arial" w:cs="Arial"/>
          <w:sz w:val="24"/>
          <w:szCs w:val="24"/>
        </w:rPr>
        <w:t xml:space="preserve"> post hoc</w:t>
      </w:r>
      <w:r w:rsidR="0020623B">
        <w:rPr>
          <w:rFonts w:ascii="Arial" w:hAnsi="Arial" w:cs="Arial"/>
          <w:sz w:val="24"/>
          <w:szCs w:val="24"/>
        </w:rPr>
        <w:t xml:space="preserve"> manipulations of data, but still interpretations are </w:t>
      </w:r>
      <w:r w:rsidR="00437DDA">
        <w:rPr>
          <w:rFonts w:ascii="Arial" w:hAnsi="Arial" w:cs="Arial"/>
          <w:sz w:val="24"/>
          <w:szCs w:val="24"/>
        </w:rPr>
        <w:t>restricted</w:t>
      </w:r>
      <w:r w:rsidR="0020623B">
        <w:rPr>
          <w:rFonts w:ascii="Arial" w:hAnsi="Arial" w:cs="Arial"/>
          <w:sz w:val="24"/>
          <w:szCs w:val="24"/>
        </w:rPr>
        <w:t xml:space="preserve"> by a lack of statistical power and a multiplicity of hypotheses, so due caution is required in not over-reacting to any subgroup claims.</w:t>
      </w:r>
      <w:r w:rsidR="0001697A">
        <w:rPr>
          <w:rFonts w:ascii="Arial" w:hAnsi="Arial" w:cs="Arial"/>
          <w:sz w:val="24"/>
          <w:szCs w:val="24"/>
        </w:rPr>
        <w:t xml:space="preserve"> Subgroup analysis becomes most convincing when it relates to just one pre-declared factor of especial interest (e.g. troponin positive versus negative </w:t>
      </w:r>
      <w:r w:rsidR="000431CF">
        <w:rPr>
          <w:rFonts w:ascii="Arial" w:hAnsi="Arial" w:cs="Arial"/>
          <w:sz w:val="24"/>
          <w:szCs w:val="24"/>
        </w:rPr>
        <w:t>in</w:t>
      </w:r>
      <w:r w:rsidR="0001697A">
        <w:rPr>
          <w:rFonts w:ascii="Arial" w:hAnsi="Arial" w:cs="Arial"/>
          <w:sz w:val="24"/>
          <w:szCs w:val="24"/>
        </w:rPr>
        <w:t xml:space="preserve"> GP </w:t>
      </w:r>
      <w:proofErr w:type="spellStart"/>
      <w:r w:rsidR="0001697A">
        <w:rPr>
          <w:rFonts w:ascii="Arial" w:hAnsi="Arial" w:cs="Arial"/>
          <w:sz w:val="24"/>
          <w:szCs w:val="24"/>
        </w:rPr>
        <w:t>IIb</w:t>
      </w:r>
      <w:proofErr w:type="spellEnd"/>
      <w:r w:rsidR="0001697A">
        <w:rPr>
          <w:rFonts w:ascii="Arial" w:hAnsi="Arial" w:cs="Arial"/>
          <w:sz w:val="24"/>
          <w:szCs w:val="24"/>
        </w:rPr>
        <w:t>/</w:t>
      </w:r>
      <w:proofErr w:type="spellStart"/>
      <w:r w:rsidR="0001697A">
        <w:rPr>
          <w:rFonts w:ascii="Arial" w:hAnsi="Arial" w:cs="Arial"/>
          <w:sz w:val="24"/>
          <w:szCs w:val="24"/>
        </w:rPr>
        <w:t>IIIa</w:t>
      </w:r>
      <w:proofErr w:type="spellEnd"/>
      <w:r w:rsidR="0001697A">
        <w:rPr>
          <w:rFonts w:ascii="Arial" w:hAnsi="Arial" w:cs="Arial"/>
          <w:sz w:val="24"/>
          <w:szCs w:val="24"/>
        </w:rPr>
        <w:t xml:space="preserve"> trials) where an interaction is anticipated to exist.</w:t>
      </w:r>
    </w:p>
    <w:p w14:paraId="2DA16543" w14:textId="77777777" w:rsidR="007051CA" w:rsidRDefault="007051CA" w:rsidP="00A7253B">
      <w:pPr>
        <w:spacing w:after="0" w:line="360" w:lineRule="auto"/>
        <w:rPr>
          <w:rFonts w:ascii="Arial" w:hAnsi="Arial" w:cs="Arial"/>
          <w:sz w:val="24"/>
          <w:szCs w:val="24"/>
        </w:rPr>
      </w:pPr>
    </w:p>
    <w:p w14:paraId="23B692B6" w14:textId="77777777" w:rsidR="007051CA" w:rsidRDefault="007051CA" w:rsidP="00A7253B">
      <w:pPr>
        <w:spacing w:after="0" w:line="360" w:lineRule="auto"/>
        <w:rPr>
          <w:rFonts w:ascii="Arial" w:hAnsi="Arial" w:cs="Arial"/>
          <w:sz w:val="24"/>
          <w:szCs w:val="24"/>
        </w:rPr>
      </w:pPr>
      <w:r w:rsidRPr="007051CA">
        <w:rPr>
          <w:rFonts w:ascii="Arial" w:hAnsi="Arial" w:cs="Arial"/>
          <w:b/>
          <w:sz w:val="24"/>
          <w:szCs w:val="24"/>
        </w:rPr>
        <w:t>Assessing Individual Benefits and Risk</w:t>
      </w:r>
      <w:r w:rsidRPr="003C2808">
        <w:rPr>
          <w:rFonts w:ascii="Arial" w:hAnsi="Arial" w:cs="Arial"/>
          <w:b/>
          <w:sz w:val="24"/>
          <w:szCs w:val="24"/>
        </w:rPr>
        <w:t>s</w:t>
      </w:r>
    </w:p>
    <w:p w14:paraId="2E2712A8" w14:textId="77777777" w:rsidR="007051CA" w:rsidRDefault="007051CA" w:rsidP="00A7253B">
      <w:pPr>
        <w:spacing w:after="0" w:line="360" w:lineRule="auto"/>
        <w:rPr>
          <w:rFonts w:ascii="Arial" w:hAnsi="Arial" w:cs="Arial"/>
          <w:sz w:val="24"/>
          <w:szCs w:val="24"/>
        </w:rPr>
      </w:pPr>
    </w:p>
    <w:p w14:paraId="2C0375E6" w14:textId="61335860" w:rsidR="007051CA" w:rsidRDefault="007051CA" w:rsidP="00A7253B">
      <w:pPr>
        <w:spacing w:after="0" w:line="360" w:lineRule="auto"/>
        <w:rPr>
          <w:rFonts w:ascii="Arial" w:hAnsi="Arial" w:cs="Arial"/>
          <w:sz w:val="24"/>
          <w:szCs w:val="24"/>
        </w:rPr>
      </w:pPr>
      <w:r>
        <w:rPr>
          <w:rFonts w:ascii="Arial" w:hAnsi="Arial" w:cs="Arial"/>
          <w:sz w:val="24"/>
          <w:szCs w:val="24"/>
        </w:rPr>
        <w:t>In most RCT reports</w:t>
      </w:r>
      <w:r w:rsidR="004E1DE4">
        <w:rPr>
          <w:rFonts w:ascii="Arial" w:hAnsi="Arial" w:cs="Arial"/>
          <w:sz w:val="24"/>
          <w:szCs w:val="24"/>
        </w:rPr>
        <w:t xml:space="preserve"> the focus is on the overall relative efficacy and relative safety of the treatments being compared. But even in the absence of any subgroup differences on a relative scale (</w:t>
      </w:r>
      <w:r w:rsidR="00BA5149">
        <w:rPr>
          <w:rFonts w:ascii="Arial" w:hAnsi="Arial" w:cs="Arial"/>
          <w:sz w:val="24"/>
          <w:szCs w:val="24"/>
        </w:rPr>
        <w:t xml:space="preserve">e.g. </w:t>
      </w:r>
      <w:r w:rsidR="004E1DE4">
        <w:rPr>
          <w:rFonts w:ascii="Arial" w:hAnsi="Arial" w:cs="Arial"/>
          <w:sz w:val="24"/>
          <w:szCs w:val="24"/>
        </w:rPr>
        <w:t>based on hazard ratios or odds ratios) there may well be important differences between individuals as regards absolute treatment benefits</w:t>
      </w:r>
      <w:r w:rsidR="000E3027">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&lt;EndNote&gt;&lt;Cite&gt;&lt;Author&gt;Pocock&lt;/Author&gt;&lt;Year&gt;2008&lt;/Year&gt;&lt;RecNum&gt;59&lt;/RecNum&gt;&lt;DisplayText&gt;(26)&lt;/DisplayText&gt;&lt;record&gt;&lt;rec-number&gt;59&lt;/rec-number&gt;&lt;foreign-keys&gt;&lt;key app="EN" db-id="eaz5sewevp5dfxewrdrvzv52xsv2tsf22rzr"&gt;59&lt;/key&gt;&lt;/foreign-keys&gt;&lt;ref-type name="Journal Article"&gt;17&lt;/ref-type&gt;&lt;contributors&gt;&lt;authors&gt;&lt;author&gt;Pocock, Stuart J.&lt;/author&gt;&lt;author&gt;Lubsen, Jacobus&lt;/author&gt;&lt;/authors&gt;&lt;/contributors&gt;&lt;titles&gt;&lt;title&gt;More on Subgroup Analyses in Clinical Trials&lt;/title&gt;&lt;secondary-title&gt;New England Journal of Medicine&lt;/secondary-title&gt;&lt;/titles&gt;&lt;periodical&gt;&lt;full-title&gt;New England Journal of Medicine&lt;/full-title&gt;&lt;/periodical&gt;&lt;pages&gt;2076-2077&lt;/pages&gt;&lt;volume&gt;358&lt;/volume&gt;&lt;number&gt;19&lt;/number&gt;&lt;dates&gt;&lt;year&gt;2008&lt;/year&gt;&lt;/dates&gt;&lt;accession-num&gt;18463389&lt;/accession-num&gt;&lt;call-num&gt;22&lt;/call-num&gt;&lt;urls&gt;&lt;related-urls&gt;&lt;url&gt;http://www.nejm.org/doi/full/10.1056/NEJMc0800616&lt;/url&gt;&lt;/related-urls&gt;&lt;/urls&gt;&lt;electronic-resource-num&gt;doi:10.1056/NEJMc0800616&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6" w:tooltip="Pocock, 2008 #59" w:history="1">
        <w:r w:rsidR="00DA7737">
          <w:rPr>
            <w:rFonts w:ascii="Arial" w:hAnsi="Arial" w:cs="Arial"/>
            <w:noProof/>
            <w:sz w:val="24"/>
            <w:szCs w:val="24"/>
          </w:rPr>
          <w:t>26</w:t>
        </w:r>
      </w:hyperlink>
      <w:r w:rsidR="00DA7737">
        <w:rPr>
          <w:rFonts w:ascii="Arial" w:hAnsi="Arial" w:cs="Arial"/>
          <w:noProof/>
          <w:sz w:val="24"/>
          <w:szCs w:val="24"/>
        </w:rPr>
        <w:t>)</w:t>
      </w:r>
      <w:r w:rsidR="000F189D">
        <w:rPr>
          <w:rFonts w:ascii="Arial" w:hAnsi="Arial" w:cs="Arial"/>
          <w:sz w:val="24"/>
          <w:szCs w:val="24"/>
        </w:rPr>
        <w:fldChar w:fldCharType="end"/>
      </w:r>
      <w:r w:rsidR="000E3027">
        <w:rPr>
          <w:rFonts w:ascii="Arial" w:hAnsi="Arial" w:cs="Arial"/>
          <w:sz w:val="24"/>
          <w:szCs w:val="24"/>
        </w:rPr>
        <w:t>.</w:t>
      </w:r>
    </w:p>
    <w:p w14:paraId="1BCEBB3E" w14:textId="77777777" w:rsidR="004E1DE4" w:rsidRDefault="004E1DE4" w:rsidP="00A7253B">
      <w:pPr>
        <w:spacing w:after="0" w:line="360" w:lineRule="auto"/>
        <w:rPr>
          <w:rFonts w:ascii="Arial" w:hAnsi="Arial" w:cs="Arial"/>
          <w:sz w:val="24"/>
          <w:szCs w:val="24"/>
        </w:rPr>
      </w:pPr>
    </w:p>
    <w:p w14:paraId="64F20653" w14:textId="4E237F3F" w:rsidR="004E1DE4" w:rsidRDefault="004E1DE4" w:rsidP="00A7253B">
      <w:pPr>
        <w:spacing w:after="0" w:line="360" w:lineRule="auto"/>
        <w:rPr>
          <w:rFonts w:ascii="Arial" w:hAnsi="Arial" w:cs="Arial"/>
          <w:sz w:val="24"/>
          <w:szCs w:val="24"/>
        </w:rPr>
      </w:pPr>
      <w:r>
        <w:rPr>
          <w:rFonts w:ascii="Arial" w:hAnsi="Arial" w:cs="Arial"/>
          <w:sz w:val="24"/>
          <w:szCs w:val="24"/>
        </w:rPr>
        <w:t xml:space="preserve">For instance, in </w:t>
      </w:r>
      <w:r w:rsidRPr="00543767">
        <w:rPr>
          <w:rFonts w:ascii="Arial" w:hAnsi="Arial" w:cs="Arial"/>
          <w:sz w:val="24"/>
          <w:szCs w:val="24"/>
        </w:rPr>
        <w:t>the EMPHASIS</w:t>
      </w:r>
      <w:r w:rsidR="00543767" w:rsidRPr="00543767">
        <w:rPr>
          <w:rFonts w:ascii="Arial" w:hAnsi="Arial" w:cs="Arial"/>
          <w:sz w:val="24"/>
          <w:szCs w:val="24"/>
        </w:rPr>
        <w:t>-HF</w:t>
      </w:r>
      <w:r>
        <w:rPr>
          <w:rFonts w:ascii="Arial" w:hAnsi="Arial" w:cs="Arial"/>
          <w:sz w:val="24"/>
          <w:szCs w:val="24"/>
        </w:rPr>
        <w:t xml:space="preserve"> trial</w:t>
      </w:r>
      <w:r w:rsidR="00E37C9E">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&lt;EndNote&gt;&lt;Cite&gt;&lt;Author&gt;Zannad&lt;/Author&gt;&lt;Year&gt;2011&lt;/Year&gt;&lt;RecNum&gt;22&lt;/RecNum&gt;&lt;DisplayText&gt;(12)&lt;/DisplayText&gt;&lt;record&gt;&lt;rec-number&gt;22&lt;/rec-number&gt;&lt;foreign-keys&gt;&lt;key app="EN" db-id="eaz5sewevp5dfxewrdrvzv52xsv2tsf22rzr"&gt;22&lt;/key&gt;&lt;/foreign-keys&gt;&lt;ref-type name="Journal Article"&gt;17&lt;/ref-type&gt;&lt;contributors&gt;&lt;authors&gt;&lt;author&gt;Zannad, Faiez&lt;/author&gt;&lt;author&gt;McMurray, John J.V.&lt;/author&gt;&lt;author&gt;Krum, Henry&lt;/author&gt;&lt;author&gt;van Veldhuisen, Dirk J.&lt;/author&gt;&lt;author&gt;Swedberg, Karl&lt;/author&gt;&lt;author&gt;Shi, Harry&lt;/author&gt;&lt;author&gt;Vincent, John&lt;/author&gt;&lt;author&gt;Pocock, Stuart J.&lt;/author&gt;&lt;author&gt;Pitt, Bertram&lt;/author&gt;&lt;/authors&gt;&lt;/contributors&gt;&lt;titles&gt;&lt;title&gt;Eplerenone in Patients with Systolic Heart Failure and Mild Symptoms&lt;/title&gt;&lt;secondary-title&gt;New England Journal of Medicine&lt;/secondary-title&gt;&lt;/titles&gt;&lt;periodical&gt;&lt;full-title&gt;New England Journal of Medicine&lt;/full-title&gt;&lt;/periodical&gt;&lt;pages&gt;11-21&lt;/pages&gt;&lt;volume&gt;364&lt;/volume&gt;&lt;number&gt;1&lt;/number&gt;&lt;dates&gt;&lt;year&gt;2011&lt;/year&gt;&lt;/dates&gt;&lt;accession-num&gt;21073363&lt;/accession-num&gt;&lt;call-num&gt;11&lt;/call-num&gt;&lt;urls&gt;&lt;related-urls&gt;&lt;url&gt;http://www.nejm.org/doi/full/10.1056/NEJMoa1009492&lt;/url&gt;&lt;/related-urls&gt;&lt;/urls&gt;&lt;electronic-resource-num&gt;doi:10.1056/NEJMoa1009492&lt;/electronic-resource-num&gt;&lt;access-date&gt;1&lt;/access-date&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12" w:tooltip="Zannad, 2011 #22" w:history="1">
        <w:r w:rsidR="00DA7737">
          <w:rPr>
            <w:rFonts w:ascii="Arial" w:hAnsi="Arial" w:cs="Arial"/>
            <w:noProof/>
            <w:sz w:val="24"/>
            <w:szCs w:val="24"/>
          </w:rPr>
          <w:t>12</w:t>
        </w:r>
      </w:hyperlink>
      <w:r w:rsidR="00DA7737">
        <w:rPr>
          <w:rFonts w:ascii="Arial" w:hAnsi="Arial" w:cs="Arial"/>
          <w:noProof/>
          <w:sz w:val="24"/>
          <w:szCs w:val="24"/>
        </w:rPr>
        <w:t>)</w:t>
      </w:r>
      <w:r w:rsidR="000F189D">
        <w:rPr>
          <w:rFonts w:ascii="Arial" w:hAnsi="Arial" w:cs="Arial"/>
          <w:sz w:val="24"/>
          <w:szCs w:val="24"/>
        </w:rPr>
        <w:fldChar w:fldCharType="end"/>
      </w:r>
      <w:r>
        <w:rPr>
          <w:rFonts w:ascii="Arial" w:hAnsi="Arial" w:cs="Arial"/>
          <w:sz w:val="24"/>
          <w:szCs w:val="24"/>
        </w:rPr>
        <w:t xml:space="preserve"> of eplerenone versus placebo in heart failure patients with mild symptoms the composite primary endpoint, CV death and heart failure hospitalisation sho</w:t>
      </w:r>
      <w:r w:rsidR="00D56782">
        <w:rPr>
          <w:rFonts w:ascii="Arial" w:hAnsi="Arial" w:cs="Arial"/>
          <w:sz w:val="24"/>
          <w:szCs w:val="24"/>
        </w:rPr>
        <w:t>we</w:t>
      </w:r>
      <w:r>
        <w:rPr>
          <w:rFonts w:ascii="Arial" w:hAnsi="Arial" w:cs="Arial"/>
          <w:sz w:val="24"/>
          <w:szCs w:val="24"/>
        </w:rPr>
        <w:t>d a marked benefit over a median 2</w:t>
      </w:r>
      <w:r w:rsidR="009C1624">
        <w:rPr>
          <w:rFonts w:ascii="Arial" w:hAnsi="Arial" w:cs="Arial"/>
          <w:sz w:val="24"/>
          <w:szCs w:val="24"/>
        </w:rPr>
        <w:t>1</w:t>
      </w:r>
      <w:r>
        <w:rPr>
          <w:rFonts w:ascii="Arial" w:hAnsi="Arial" w:cs="Arial"/>
          <w:sz w:val="24"/>
          <w:szCs w:val="24"/>
        </w:rPr>
        <w:t xml:space="preserve"> months </w:t>
      </w:r>
      <w:r>
        <w:rPr>
          <w:rFonts w:ascii="Arial" w:hAnsi="Arial" w:cs="Arial"/>
          <w:sz w:val="24"/>
          <w:szCs w:val="24"/>
        </w:rPr>
        <w:lastRenderedPageBreak/>
        <w:t>follow-up, hazard ratio 0.6</w:t>
      </w:r>
      <w:r w:rsidR="009C1624">
        <w:rPr>
          <w:rFonts w:ascii="Arial" w:hAnsi="Arial" w:cs="Arial"/>
          <w:sz w:val="24"/>
          <w:szCs w:val="24"/>
        </w:rPr>
        <w:t>3</w:t>
      </w:r>
      <w:r>
        <w:rPr>
          <w:rFonts w:ascii="Arial" w:hAnsi="Arial" w:cs="Arial"/>
          <w:sz w:val="24"/>
          <w:szCs w:val="24"/>
        </w:rPr>
        <w:t xml:space="preserve"> (95% CI </w:t>
      </w:r>
      <w:r w:rsidR="009C1624">
        <w:rPr>
          <w:rFonts w:ascii="Arial" w:hAnsi="Arial" w:cs="Arial"/>
          <w:sz w:val="24"/>
          <w:szCs w:val="24"/>
        </w:rPr>
        <w:t>0.54</w:t>
      </w:r>
      <w:r>
        <w:rPr>
          <w:rFonts w:ascii="Arial" w:hAnsi="Arial" w:cs="Arial"/>
          <w:sz w:val="24"/>
          <w:szCs w:val="24"/>
        </w:rPr>
        <w:t xml:space="preserve"> to </w:t>
      </w:r>
      <w:r w:rsidR="009C1624">
        <w:rPr>
          <w:rFonts w:ascii="Arial" w:hAnsi="Arial" w:cs="Arial"/>
          <w:sz w:val="24"/>
          <w:szCs w:val="24"/>
        </w:rPr>
        <w:t>0.74</w:t>
      </w:r>
      <w:r>
        <w:rPr>
          <w:rFonts w:ascii="Arial" w:hAnsi="Arial" w:cs="Arial"/>
          <w:sz w:val="24"/>
          <w:szCs w:val="24"/>
        </w:rPr>
        <w:t>) P&lt;0.00</w:t>
      </w:r>
      <w:r w:rsidR="00437DDA">
        <w:rPr>
          <w:rFonts w:ascii="Arial" w:hAnsi="Arial" w:cs="Arial"/>
          <w:sz w:val="24"/>
          <w:szCs w:val="24"/>
        </w:rPr>
        <w:t>0</w:t>
      </w:r>
      <w:r>
        <w:rPr>
          <w:rFonts w:ascii="Arial" w:hAnsi="Arial" w:cs="Arial"/>
          <w:sz w:val="24"/>
          <w:szCs w:val="24"/>
        </w:rPr>
        <w:t>1. There were no apparent subgroup effects on a hazard ratio scale.</w:t>
      </w:r>
      <w:r w:rsidR="00D56782">
        <w:rPr>
          <w:rFonts w:ascii="Arial" w:hAnsi="Arial" w:cs="Arial"/>
          <w:sz w:val="24"/>
          <w:szCs w:val="24"/>
        </w:rPr>
        <w:t xml:space="preserve"> </w:t>
      </w:r>
      <w:r w:rsidR="00D12BE5">
        <w:rPr>
          <w:rFonts w:ascii="Arial" w:hAnsi="Arial" w:cs="Arial"/>
          <w:sz w:val="24"/>
          <w:szCs w:val="24"/>
        </w:rPr>
        <w:t>In a subsequent analysis each patient</w:t>
      </w:r>
      <w:r>
        <w:rPr>
          <w:rFonts w:ascii="Arial" w:hAnsi="Arial" w:cs="Arial"/>
          <w:sz w:val="24"/>
          <w:szCs w:val="24"/>
        </w:rPr>
        <w:t xml:space="preserve"> was</w:t>
      </w:r>
      <w:r w:rsidR="008046B6">
        <w:rPr>
          <w:rFonts w:ascii="Arial" w:hAnsi="Arial" w:cs="Arial"/>
          <w:sz w:val="24"/>
          <w:szCs w:val="24"/>
        </w:rPr>
        <w:t xml:space="preserve"> then cl</w:t>
      </w:r>
      <w:r w:rsidR="00676C1D">
        <w:rPr>
          <w:rFonts w:ascii="Arial" w:hAnsi="Arial" w:cs="Arial"/>
          <w:sz w:val="24"/>
          <w:szCs w:val="24"/>
        </w:rPr>
        <w:t>a</w:t>
      </w:r>
      <w:r>
        <w:rPr>
          <w:rFonts w:ascii="Arial" w:hAnsi="Arial" w:cs="Arial"/>
          <w:sz w:val="24"/>
          <w:szCs w:val="24"/>
        </w:rPr>
        <w:t>ssified into low, medi</w:t>
      </w:r>
      <w:r w:rsidR="00D56782">
        <w:rPr>
          <w:rFonts w:ascii="Arial" w:hAnsi="Arial" w:cs="Arial"/>
          <w:sz w:val="24"/>
          <w:szCs w:val="24"/>
        </w:rPr>
        <w:t>um</w:t>
      </w:r>
      <w:r>
        <w:rPr>
          <w:rFonts w:ascii="Arial" w:hAnsi="Arial" w:cs="Arial"/>
          <w:sz w:val="24"/>
          <w:szCs w:val="24"/>
        </w:rPr>
        <w:t xml:space="preserve"> and high risk on the basis of</w:t>
      </w:r>
      <w:r w:rsidR="00D56782">
        <w:rPr>
          <w:rFonts w:ascii="Arial" w:hAnsi="Arial" w:cs="Arial"/>
          <w:sz w:val="24"/>
          <w:szCs w:val="24"/>
        </w:rPr>
        <w:t xml:space="preserve"> a</w:t>
      </w:r>
      <w:r>
        <w:rPr>
          <w:rFonts w:ascii="Arial" w:hAnsi="Arial" w:cs="Arial"/>
          <w:sz w:val="24"/>
          <w:szCs w:val="24"/>
        </w:rPr>
        <w:t xml:space="preserve"> multivariable risk score using 10 commonly recognised prognostic features</w:t>
      </w:r>
      <w:r w:rsidR="000F189D">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&lt;EndNote&gt;&lt;Cite&gt;&lt;Author&gt;Collier&lt;/Author&gt;&lt;Year&gt;2013&lt;/Year&gt;&lt;RecNum&gt;87&lt;/RecNum&gt;&lt;DisplayText&gt;(27)&lt;/DisplayText&gt;&lt;record&gt;&lt;rec-number&gt;87&lt;/rec-number&gt;&lt;foreign-keys&gt;&lt;key app="EN" db-id="eaz5sewevp5dfxewrdrvzv52xsv2tsf22rzr"&gt;87&lt;/key&gt;&lt;/foreign-keys&gt;&lt;ref-type name="Journal Article"&gt;17&lt;/ref-type&gt;&lt;contributors&gt;&lt;authors&gt;&lt;author&gt;Collier, Timothy J.&lt;/author&gt;&lt;author&gt;Pocock, Stuart J.&lt;/author&gt;&lt;author&gt;McMurray, John J.V.&lt;/author&gt;&lt;author&gt;Zannad, Faiez&lt;/author&gt;&lt;author&gt;Krum, Henry&lt;/author&gt;&lt;author&gt;van Veldhuisen, Dirk J.&lt;/author&gt;&lt;author&gt;Swedberg, Karl&lt;/author&gt;&lt;author&gt;Shi, Harry&lt;/author&gt;&lt;author&gt;Vincent, John&lt;/author&gt;&lt;author&gt;Pitt, Bertram&lt;/author&gt;&lt;/authors&gt;&lt;/contributors&gt;&lt;titles&gt;&lt;title&gt;The impact of eplerenone at different levels of risk in patients with systolic heart failure and mild symptoms: insight from a novel risk score for prognosis derived from the EMPHASIS-HF trial&lt;/title&gt;&lt;secondary-title&gt;Eur Heart J&lt;/secondary-title&gt;&lt;/titles&gt;&lt;periodical&gt;&lt;full-title&gt;Eur Heart J&lt;/full-title&gt;&lt;abbr-1&gt;European heart journal&lt;/abbr-1&gt;&lt;/periodical&gt;&lt;pages&gt;2823-2829&lt;/pages&gt;&lt;volume&gt;34&lt;/volume&gt;&lt;number&gt;36&lt;/number&gt;&lt;dates&gt;&lt;year&gt;2013&lt;/year&gt;&lt;pub-dates&gt;&lt;date&gt;2013-09-21 00:00:00&lt;/date&gt;&lt;/pub-dates&gt;&lt;/dates&gt;&lt;call-num&gt;23&lt;/call-num&gt;&lt;work-type&gt;Journal Article&lt;/work-type&gt;&lt;urls&gt;&lt;related-urls&gt;&lt;url&gt;http://eurheartj.oxfordjournals.org/ehj/34/36/2823.full.pdf&lt;/url&gt;&lt;/related-urls&gt;&lt;/urls&gt;&lt;electronic-resource-num&gt;10.1093/eurheartj/eht247&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7" w:tooltip="Collier, 2013 #87" w:history="1">
        <w:r w:rsidR="00DA7737">
          <w:rPr>
            <w:rFonts w:ascii="Arial" w:hAnsi="Arial" w:cs="Arial"/>
            <w:noProof/>
            <w:sz w:val="24"/>
            <w:szCs w:val="24"/>
          </w:rPr>
          <w:t>27</w:t>
        </w:r>
      </w:hyperlink>
      <w:r w:rsidR="00DA7737">
        <w:rPr>
          <w:rFonts w:ascii="Arial" w:hAnsi="Arial" w:cs="Arial"/>
          <w:noProof/>
          <w:sz w:val="24"/>
          <w:szCs w:val="24"/>
        </w:rPr>
        <w:t>)</w:t>
      </w:r>
      <w:r w:rsidR="000F189D">
        <w:rPr>
          <w:rFonts w:ascii="Arial" w:hAnsi="Arial" w:cs="Arial"/>
          <w:sz w:val="24"/>
          <w:szCs w:val="24"/>
        </w:rPr>
        <w:fldChar w:fldCharType="end"/>
      </w:r>
      <w:r>
        <w:rPr>
          <w:rFonts w:ascii="Arial" w:hAnsi="Arial" w:cs="Arial"/>
          <w:sz w:val="24"/>
          <w:szCs w:val="24"/>
        </w:rPr>
        <w:t xml:space="preserve">. Table </w:t>
      </w:r>
      <w:r w:rsidR="00D56782">
        <w:rPr>
          <w:rFonts w:ascii="Arial" w:hAnsi="Arial" w:cs="Arial"/>
          <w:sz w:val="24"/>
          <w:szCs w:val="24"/>
        </w:rPr>
        <w:t>4</w:t>
      </w:r>
      <w:r>
        <w:rPr>
          <w:rFonts w:ascii="Arial" w:hAnsi="Arial" w:cs="Arial"/>
          <w:sz w:val="24"/>
          <w:szCs w:val="24"/>
        </w:rPr>
        <w:t xml:space="preserve"> shows the consequent treatment benefits by risk group, on both relative and absolute scales. As anticipated, the hazard ratio was similar in all risk groups. But the absolute benefits varied markedly by risk: the estimated reduction due to eplerenone in </w:t>
      </w:r>
      <w:r w:rsidR="002F11AF">
        <w:rPr>
          <w:rFonts w:ascii="Arial" w:hAnsi="Arial" w:cs="Arial"/>
          <w:sz w:val="24"/>
          <w:szCs w:val="24"/>
        </w:rPr>
        <w:t xml:space="preserve">the </w:t>
      </w:r>
      <w:r>
        <w:rPr>
          <w:rFonts w:ascii="Arial" w:hAnsi="Arial" w:cs="Arial"/>
          <w:sz w:val="24"/>
          <w:szCs w:val="24"/>
        </w:rPr>
        <w:t>primary event rate per 100 patient years was 2.0, 6.8 and 15.2 in low, medi</w:t>
      </w:r>
      <w:r w:rsidR="00D56782">
        <w:rPr>
          <w:rFonts w:ascii="Arial" w:hAnsi="Arial" w:cs="Arial"/>
          <w:sz w:val="24"/>
          <w:szCs w:val="24"/>
        </w:rPr>
        <w:t>um</w:t>
      </w:r>
      <w:r>
        <w:rPr>
          <w:rFonts w:ascii="Arial" w:hAnsi="Arial" w:cs="Arial"/>
          <w:sz w:val="24"/>
          <w:szCs w:val="24"/>
        </w:rPr>
        <w:t xml:space="preserve"> and high risk patients respectively.</w:t>
      </w:r>
      <w:r w:rsidR="0001697A">
        <w:rPr>
          <w:rFonts w:ascii="Arial" w:hAnsi="Arial" w:cs="Arial"/>
          <w:sz w:val="24"/>
          <w:szCs w:val="24"/>
        </w:rPr>
        <w:t xml:space="preserve"> Inevitably, when there is no interaction on a relative scale, there will often be a marked interaction on an absolute scale across subgroups of differing risk status.</w:t>
      </w:r>
    </w:p>
    <w:p w14:paraId="33E97EF6" w14:textId="77777777" w:rsidR="00DE5947" w:rsidRDefault="00DE5947" w:rsidP="00A7253B">
      <w:pPr>
        <w:spacing w:after="0" w:line="360" w:lineRule="auto"/>
        <w:rPr>
          <w:rFonts w:ascii="Arial" w:hAnsi="Arial" w:cs="Arial"/>
          <w:sz w:val="24"/>
          <w:szCs w:val="24"/>
        </w:rPr>
      </w:pPr>
    </w:p>
    <w:p w14:paraId="1FB870EC" w14:textId="14EF1056" w:rsidR="00DE5947" w:rsidRDefault="00DE5947" w:rsidP="00A7253B">
      <w:pPr>
        <w:spacing w:after="0" w:line="360" w:lineRule="auto"/>
        <w:rPr>
          <w:rFonts w:ascii="Arial" w:hAnsi="Arial" w:cs="Arial"/>
          <w:sz w:val="24"/>
          <w:szCs w:val="24"/>
        </w:rPr>
      </w:pPr>
      <w:r>
        <w:rPr>
          <w:rFonts w:ascii="Arial" w:hAnsi="Arial" w:cs="Arial"/>
          <w:sz w:val="24"/>
          <w:szCs w:val="24"/>
        </w:rPr>
        <w:t>A pooling of data for three trials</w:t>
      </w:r>
      <w:r w:rsidR="00E37C9E">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&lt;EndNote&gt;&lt;Cite&gt;&lt;Author&gt;Fox&lt;/Author&gt;&lt;Year&gt;2010&lt;/Year&gt;&lt;RecNum&gt;83&lt;/RecNum&gt;&lt;DisplayText&gt;(28)&lt;/DisplayText&gt;&lt;record&gt;&lt;rec-number&gt;83&lt;/rec-number&gt;&lt;foreign-keys&gt;&lt;key app="EN" db-id="eaz5sewevp5dfxewrdrvzv52xsv2tsf22rzr"&gt;83&lt;/key&gt;&lt;/foreign-keys&gt;&lt;ref-type name="Journal Article"&gt;17&lt;/ref-type&gt;&lt;contributors&gt;&lt;authors&gt;&lt;author&gt;Fox, Keith A. A.&lt;/author&gt;&lt;author&gt;Clayton, Tim C.&lt;/author&gt;&lt;author&gt;Damman, Peter&lt;/author&gt;&lt;author&gt;Pocock, Stuart J.&lt;/author&gt;&lt;author&gt;de Winter, Robbert J.&lt;/author&gt;&lt;author&gt;Tijssen, Jan G. P.&lt;/author&gt;&lt;author&gt;Lagerqvist, Bo&lt;/author&gt;&lt;author&gt;Wallentin, Lars&lt;/author&gt;&lt;/authors&gt;&lt;/contributors&gt;&lt;titles&gt;&lt;title&gt;Long-Term Outcome of a Routine Versus Selective Invasive Strategy in Patients With Non–ST-Segment Elevation Acute Coronary Syndrome: A Meta-Analysis of Individual Patient Data&lt;/title&gt;&lt;secondary-title&gt;Journal of the American College of Cardiology&lt;/secondary-title&gt;&lt;/titles&gt;&lt;periodical&gt;&lt;full-title&gt;Journal of the American College of Cardiology&lt;/full-title&gt;&lt;/periodical&gt;&lt;pages&gt;2435-2445&lt;/pages&gt;&lt;volume&gt;55&lt;/volume&gt;&lt;number&gt;22&lt;/number&gt;&lt;keywords&gt;&lt;keyword&gt;acute coronary syndrome&lt;/keyword&gt;&lt;keyword&gt;percutaneous coronary intervention&lt;/keyword&gt;&lt;keyword&gt;interventional strategy&lt;/keyword&gt;&lt;/keywords&gt;&lt;dates&gt;&lt;year&gt;2010&lt;/year&gt;&lt;pub-dates&gt;&lt;date&gt;6/1/&lt;/date&gt;&lt;/pub-dates&gt;&lt;/dates&gt;&lt;isbn&gt;0735-1097&lt;/isbn&gt;&lt;call-num&gt;24&lt;/call-num&gt;&lt;urls&gt;&lt;related-urls&gt;&lt;url&gt;http://www.sciencedirect.com/science/article/pii/S0735109710009940&lt;/url&gt;&lt;/related-urls&gt;&lt;/urls&gt;&lt;electronic-resource-num&gt;http://dx.doi.org/10.1016/j.jacc.2010.03.007&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8" w:tooltip="Fox, 2010 #83" w:history="1">
        <w:r w:rsidR="00DA7737">
          <w:rPr>
            <w:rFonts w:ascii="Arial" w:hAnsi="Arial" w:cs="Arial"/>
            <w:noProof/>
            <w:sz w:val="24"/>
            <w:szCs w:val="24"/>
          </w:rPr>
          <w:t>28</w:t>
        </w:r>
      </w:hyperlink>
      <w:r w:rsidR="00DA7737">
        <w:rPr>
          <w:rFonts w:ascii="Arial" w:hAnsi="Arial" w:cs="Arial"/>
          <w:noProof/>
          <w:sz w:val="24"/>
          <w:szCs w:val="24"/>
        </w:rPr>
        <w:t>)</w:t>
      </w:r>
      <w:r w:rsidR="000F189D">
        <w:rPr>
          <w:rFonts w:ascii="Arial" w:hAnsi="Arial" w:cs="Arial"/>
          <w:sz w:val="24"/>
          <w:szCs w:val="24"/>
        </w:rPr>
        <w:fldChar w:fldCharType="end"/>
      </w:r>
      <w:r>
        <w:rPr>
          <w:rFonts w:ascii="Arial" w:hAnsi="Arial" w:cs="Arial"/>
          <w:sz w:val="24"/>
          <w:szCs w:val="24"/>
        </w:rPr>
        <w:t xml:space="preserve"> of routine invasive versus selective invasive strategies in acute coronary syndrome found a significant difference in 5 year risk of CV death or myocardial infarction: hazard ratio 0.81, 95% CI 0.71 to 0.93, P=0.002. This was consistent across risk groups, but when expressed on an absolute scale the benefit of a routine invasive strategy is more marked in higher </w:t>
      </w:r>
      <w:r w:rsidR="003A10BE">
        <w:rPr>
          <w:rFonts w:ascii="Arial" w:hAnsi="Arial" w:cs="Arial"/>
          <w:sz w:val="24"/>
          <w:szCs w:val="24"/>
        </w:rPr>
        <w:t xml:space="preserve">risk </w:t>
      </w:r>
      <w:r>
        <w:rPr>
          <w:rFonts w:ascii="Arial" w:hAnsi="Arial" w:cs="Arial"/>
          <w:sz w:val="24"/>
          <w:szCs w:val="24"/>
        </w:rPr>
        <w:t>patients: for low, intermediate and high risk patients the reductions in five year risk of CV death and MI were 2.0%, 3.8% or 11.1% respectively.</w:t>
      </w:r>
      <w:r w:rsidR="0001697A">
        <w:rPr>
          <w:rFonts w:ascii="Arial" w:hAnsi="Arial" w:cs="Arial"/>
          <w:sz w:val="24"/>
          <w:szCs w:val="24"/>
        </w:rPr>
        <w:t xml:space="preserve"> In contrast, it could happen that higher risk patients have a lower relative benefit, but </w:t>
      </w:r>
      <w:r w:rsidR="00795F0C">
        <w:rPr>
          <w:rFonts w:ascii="Arial" w:hAnsi="Arial" w:cs="Arial"/>
          <w:sz w:val="24"/>
          <w:szCs w:val="24"/>
        </w:rPr>
        <w:t xml:space="preserve">because of their higher risk their absolute benefit was similar to those at lower risk e.g. the elderly (age&gt;75 years) and fibrinolysis. </w:t>
      </w:r>
    </w:p>
    <w:p w14:paraId="01D0C124" w14:textId="77777777" w:rsidR="003A10BE" w:rsidRDefault="003A10BE" w:rsidP="00A7253B">
      <w:pPr>
        <w:spacing w:after="0" w:line="360" w:lineRule="auto"/>
        <w:rPr>
          <w:rFonts w:ascii="Arial" w:hAnsi="Arial" w:cs="Arial"/>
          <w:sz w:val="24"/>
          <w:szCs w:val="24"/>
        </w:rPr>
      </w:pPr>
    </w:p>
    <w:p w14:paraId="2864B463" w14:textId="62148CF1" w:rsidR="00DE5947" w:rsidRDefault="00DE5947" w:rsidP="00A7253B">
      <w:pPr>
        <w:spacing w:after="0" w:line="360" w:lineRule="auto"/>
        <w:rPr>
          <w:rFonts w:ascii="Arial" w:hAnsi="Arial" w:cs="Arial"/>
          <w:sz w:val="24"/>
          <w:szCs w:val="24"/>
        </w:rPr>
      </w:pPr>
      <w:r>
        <w:rPr>
          <w:rFonts w:ascii="Arial" w:hAnsi="Arial" w:cs="Arial"/>
          <w:sz w:val="24"/>
          <w:szCs w:val="24"/>
        </w:rPr>
        <w:t xml:space="preserve">These two examples illustrate how one needs to consider the individual’s risk status in determining whether the absolute benefit of an intervention is sufficient to merit its use in their case. </w:t>
      </w:r>
      <w:r w:rsidR="004E1525">
        <w:rPr>
          <w:rFonts w:ascii="Arial" w:hAnsi="Arial" w:cs="Arial"/>
          <w:sz w:val="24"/>
          <w:szCs w:val="24"/>
        </w:rPr>
        <w:t xml:space="preserve">Note this is achieved by multivariable risk analysis rather that univariate subgroups. </w:t>
      </w:r>
      <w:r>
        <w:rPr>
          <w:rFonts w:ascii="Arial" w:hAnsi="Arial" w:cs="Arial"/>
          <w:sz w:val="24"/>
          <w:szCs w:val="24"/>
        </w:rPr>
        <w:t xml:space="preserve">This becomes particularly important if treatment efficacy is offset by a risk of side effects. For instance, </w:t>
      </w:r>
      <w:r w:rsidRPr="00543767">
        <w:rPr>
          <w:rFonts w:ascii="Arial" w:hAnsi="Arial" w:cs="Arial"/>
          <w:sz w:val="24"/>
          <w:szCs w:val="24"/>
        </w:rPr>
        <w:t xml:space="preserve">the </w:t>
      </w:r>
      <w:r w:rsidRPr="000F189D">
        <w:rPr>
          <w:rFonts w:ascii="Arial" w:hAnsi="Arial" w:cs="Arial"/>
          <w:sz w:val="24"/>
          <w:szCs w:val="24"/>
        </w:rPr>
        <w:t>TRITON</w:t>
      </w:r>
      <w:r w:rsidRPr="00543767">
        <w:rPr>
          <w:rFonts w:ascii="Arial" w:hAnsi="Arial" w:cs="Arial"/>
          <w:sz w:val="24"/>
          <w:szCs w:val="24"/>
        </w:rPr>
        <w:t xml:space="preserve"> trial</w:t>
      </w:r>
      <w:r w:rsidR="000F189D">
        <w:rPr>
          <w:rFonts w:ascii="Arial" w:hAnsi="Arial" w:cs="Arial"/>
          <w:sz w:val="24"/>
          <w:szCs w:val="24"/>
        </w:rPr>
        <w:t xml:space="preserve"> </w:t>
      </w:r>
      <w:r w:rsidR="000F189D">
        <w:rPr>
          <w:rFonts w:ascii="Arial" w:hAnsi="Arial" w:cs="Arial"/>
          <w:sz w:val="24"/>
          <w:szCs w:val="24"/>
        </w:rPr>
        <w:fldChar w:fldCharType="begin"/>
      </w:r>
      <w:r w:rsidR="00DA7737">
        <w:rPr>
          <w:rFonts w:ascii="Arial" w:hAnsi="Arial" w:cs="Arial"/>
          <w:sz w:val="24"/>
          <w:szCs w:val="24"/>
        </w:rPr>
        <w:instrText xml:space="preserve"> ADDIN EN.CITE &lt;EndNote&gt;&lt;Cite&gt;&lt;Author&gt;Wiviott&lt;/Author&gt;&lt;Year&gt;2007&lt;/Year&gt;&lt;RecNum&gt;60&lt;/RecNum&gt;&lt;DisplayText&gt;(29)&lt;/DisplayText&gt;&lt;record&gt;&lt;rec-number&gt;60&lt;/rec-number&gt;&lt;foreign-keys&gt;&lt;key app="EN" db-id="eaz5sewevp5dfxewrdrvzv52xsv2tsf22rzr"&gt;60&lt;/key&gt;&lt;/foreign-keys&gt;&lt;ref-type name="Journal Article"&gt;17&lt;/ref-type&gt;&lt;contributors&gt;&lt;authors&gt;&lt;author&gt;Wiviott, Stephen D.&lt;/author&gt;&lt;author&gt;Braunwald, Eugene&lt;/author&gt;&lt;author&gt;McCabe, Carolyn H.&lt;/author&gt;&lt;author&gt;Montalescot, Gilles&lt;/author&gt;&lt;author&gt;Ruzyllo, Witold&lt;/author&gt;&lt;author&gt;Gottlieb, Shmuel&lt;/author&gt;&lt;author&gt;Neumann, Franz-Joseph&lt;/author&gt;&lt;author&gt;Ardissino, Diego&lt;/author&gt;&lt;author&gt;De Servi, Stefano&lt;/author&gt;&lt;author&gt;Murphy, Sabina A.&lt;/author&gt;&lt;author&gt;Riesmeyer, Jeffrey&lt;/author&gt;&lt;author&gt;Weerakkody, Govinda&lt;/author&gt;&lt;author&gt;Gibson, C. Michael&lt;/author&gt;&lt;author&gt;Antman, Elliott M.&lt;/author&gt;&lt;/authors&gt;&lt;/contributors&gt;&lt;titles&gt;&lt;title&gt;Prasugrel versus Clopidogrel in Patients with Acute Coronary Syndromes&lt;/title&gt;&lt;secondary-title&gt;New England Journal of Medicine&lt;/secondary-title&gt;&lt;/titles&gt;&lt;periodical&gt;&lt;full-title&gt;New England Journal of Medicine&lt;/full-title&gt;&lt;/periodical&gt;&lt;pages&gt;2001-2015&lt;/pages&gt;&lt;volume&gt;357&lt;/volume&gt;&lt;number&gt;20&lt;/number&gt;&lt;dates&gt;&lt;year&gt;2007&lt;/year&gt;&lt;/dates&gt;&lt;accession-num&gt;17982182&lt;/accession-num&gt;&lt;call-num&gt;25&lt;/call-num&gt;&lt;urls&gt;&lt;related-urls&gt;&lt;url&gt;http://www.nejm.org/doi/full/10.1056/NEJMoa0706482&lt;/url&gt;&lt;/related-urls&gt;&lt;/urls&gt;&lt;electronic-resource-num&gt;doi:10.1056/NEJMoa0706482&lt;/electronic-resource-num&gt;&lt;/record&gt;&lt;/Cite&gt;&lt;/EndNote&gt;</w:instrText>
      </w:r>
      <w:r w:rsidR="000F189D">
        <w:rPr>
          <w:rFonts w:ascii="Arial" w:hAnsi="Arial" w:cs="Arial"/>
          <w:sz w:val="24"/>
          <w:szCs w:val="24"/>
        </w:rPr>
        <w:fldChar w:fldCharType="separate"/>
      </w:r>
      <w:r w:rsidR="00DA7737">
        <w:rPr>
          <w:rFonts w:ascii="Arial" w:hAnsi="Arial" w:cs="Arial"/>
          <w:noProof/>
          <w:sz w:val="24"/>
          <w:szCs w:val="24"/>
        </w:rPr>
        <w:t>(</w:t>
      </w:r>
      <w:hyperlink w:anchor="_ENREF_29" w:tooltip="Wiviott, 2007 #60" w:history="1">
        <w:r w:rsidR="00DA7737">
          <w:rPr>
            <w:rFonts w:ascii="Arial" w:hAnsi="Arial" w:cs="Arial"/>
            <w:noProof/>
            <w:sz w:val="24"/>
            <w:szCs w:val="24"/>
          </w:rPr>
          <w:t>29</w:t>
        </w:r>
      </w:hyperlink>
      <w:r w:rsidR="00DA7737">
        <w:rPr>
          <w:rFonts w:ascii="Arial" w:hAnsi="Arial" w:cs="Arial"/>
          <w:noProof/>
          <w:sz w:val="24"/>
          <w:szCs w:val="24"/>
        </w:rPr>
        <w:t>)</w:t>
      </w:r>
      <w:r w:rsidR="000F189D">
        <w:rPr>
          <w:rFonts w:ascii="Arial" w:hAnsi="Arial" w:cs="Arial"/>
          <w:sz w:val="24"/>
          <w:szCs w:val="24"/>
        </w:rPr>
        <w:fldChar w:fldCharType="end"/>
      </w:r>
      <w:r>
        <w:rPr>
          <w:rFonts w:ascii="Arial" w:hAnsi="Arial" w:cs="Arial"/>
          <w:sz w:val="24"/>
          <w:szCs w:val="24"/>
        </w:rPr>
        <w:t xml:space="preserve"> compared </w:t>
      </w:r>
      <w:proofErr w:type="spellStart"/>
      <w:r>
        <w:rPr>
          <w:rFonts w:ascii="Arial" w:hAnsi="Arial" w:cs="Arial"/>
          <w:sz w:val="24"/>
          <w:szCs w:val="24"/>
        </w:rPr>
        <w:t>prasugrel</w:t>
      </w:r>
      <w:proofErr w:type="spellEnd"/>
      <w:r>
        <w:rPr>
          <w:rFonts w:ascii="Arial" w:hAnsi="Arial" w:cs="Arial"/>
          <w:sz w:val="24"/>
          <w:szCs w:val="24"/>
        </w:rPr>
        <w:t xml:space="preserve"> against clopidogrel in 13, 608 patients with acute coronary syndrome. Over a median 14.5 months, incidence of the primary endpoint (CV death, MI and stroke) was less on </w:t>
      </w:r>
      <w:proofErr w:type="spellStart"/>
      <w:r>
        <w:rPr>
          <w:rFonts w:ascii="Arial" w:hAnsi="Arial" w:cs="Arial"/>
          <w:sz w:val="24"/>
          <w:szCs w:val="24"/>
        </w:rPr>
        <w:t>prasugrel</w:t>
      </w:r>
      <w:proofErr w:type="spellEnd"/>
      <w:r>
        <w:rPr>
          <w:rFonts w:ascii="Arial" w:hAnsi="Arial" w:cs="Arial"/>
          <w:sz w:val="24"/>
          <w:szCs w:val="24"/>
        </w:rPr>
        <w:t xml:space="preserve"> 9.9% versus 12.1%, hazard ratio 0.81 95% CI 0.73 to 0.90, P&lt;0.001.</w:t>
      </w:r>
      <w:r w:rsidR="00543767">
        <w:rPr>
          <w:rFonts w:ascii="Arial" w:hAnsi="Arial" w:cs="Arial"/>
          <w:sz w:val="24"/>
          <w:szCs w:val="24"/>
        </w:rPr>
        <w:t xml:space="preserve"> </w:t>
      </w:r>
      <w:r>
        <w:rPr>
          <w:rFonts w:ascii="Arial" w:hAnsi="Arial" w:cs="Arial"/>
          <w:sz w:val="24"/>
          <w:szCs w:val="24"/>
        </w:rPr>
        <w:t xml:space="preserve">This benefit </w:t>
      </w:r>
      <w:r w:rsidR="003A10BE">
        <w:rPr>
          <w:rFonts w:ascii="Arial" w:hAnsi="Arial" w:cs="Arial"/>
          <w:sz w:val="24"/>
          <w:szCs w:val="24"/>
        </w:rPr>
        <w:t>was</w:t>
      </w:r>
      <w:r>
        <w:rPr>
          <w:rFonts w:ascii="Arial" w:hAnsi="Arial" w:cs="Arial"/>
          <w:sz w:val="24"/>
          <w:szCs w:val="24"/>
        </w:rPr>
        <w:t xml:space="preserve"> mainly due to a reduction in non-fatal MIs: 7.3% versus 9.5%. But there were more bleeding events on </w:t>
      </w:r>
      <w:proofErr w:type="spellStart"/>
      <w:r>
        <w:rPr>
          <w:rFonts w:ascii="Arial" w:hAnsi="Arial" w:cs="Arial"/>
          <w:sz w:val="24"/>
          <w:szCs w:val="24"/>
        </w:rPr>
        <w:t>prasugrel</w:t>
      </w:r>
      <w:proofErr w:type="spellEnd"/>
      <w:r>
        <w:rPr>
          <w:rFonts w:ascii="Arial" w:hAnsi="Arial" w:cs="Arial"/>
          <w:sz w:val="24"/>
          <w:szCs w:val="24"/>
        </w:rPr>
        <w:t xml:space="preserve">, </w:t>
      </w:r>
      <w:r w:rsidR="00BA5149">
        <w:rPr>
          <w:rFonts w:ascii="Arial" w:hAnsi="Arial" w:cs="Arial"/>
          <w:sz w:val="24"/>
          <w:szCs w:val="24"/>
        </w:rPr>
        <w:t xml:space="preserve">e.g. </w:t>
      </w:r>
      <w:r>
        <w:rPr>
          <w:rFonts w:ascii="Arial" w:hAnsi="Arial" w:cs="Arial"/>
          <w:sz w:val="24"/>
          <w:szCs w:val="24"/>
        </w:rPr>
        <w:t xml:space="preserve">TIMI major bleed 2.4% versus 1.8%, P=0.03. </w:t>
      </w:r>
    </w:p>
    <w:p w14:paraId="3A68F875" w14:textId="77777777" w:rsidR="003A10BE" w:rsidRDefault="003A10BE" w:rsidP="00A7253B">
      <w:pPr>
        <w:spacing w:after="0" w:line="360" w:lineRule="auto"/>
        <w:rPr>
          <w:rFonts w:ascii="Arial" w:hAnsi="Arial" w:cs="Arial"/>
          <w:sz w:val="24"/>
          <w:szCs w:val="24"/>
        </w:rPr>
      </w:pPr>
    </w:p>
    <w:p w14:paraId="681066B6" w14:textId="0F349EF6" w:rsidR="00DE5947" w:rsidRDefault="00DE5947" w:rsidP="00A7253B">
      <w:pPr>
        <w:spacing w:after="0" w:line="360" w:lineRule="auto"/>
        <w:rPr>
          <w:rFonts w:ascii="Arial" w:hAnsi="Arial" w:cs="Arial"/>
          <w:sz w:val="24"/>
          <w:szCs w:val="24"/>
        </w:rPr>
      </w:pPr>
      <w:r>
        <w:rPr>
          <w:rFonts w:ascii="Arial" w:hAnsi="Arial" w:cs="Arial"/>
          <w:sz w:val="24"/>
          <w:szCs w:val="24"/>
        </w:rPr>
        <w:t xml:space="preserve">In order to weigh the benefits and risks of </w:t>
      </w:r>
      <w:proofErr w:type="spellStart"/>
      <w:r>
        <w:rPr>
          <w:rFonts w:ascii="Arial" w:hAnsi="Arial" w:cs="Arial"/>
          <w:sz w:val="24"/>
          <w:szCs w:val="24"/>
        </w:rPr>
        <w:t>prasugrel</w:t>
      </w:r>
      <w:proofErr w:type="spellEnd"/>
      <w:r>
        <w:rPr>
          <w:rFonts w:ascii="Arial" w:hAnsi="Arial" w:cs="Arial"/>
          <w:sz w:val="24"/>
          <w:szCs w:val="24"/>
        </w:rPr>
        <w:t xml:space="preserve"> versus clopidogrel on an individual patient basis, </w:t>
      </w:r>
      <w:r w:rsidR="009564CA" w:rsidRPr="00543767">
        <w:rPr>
          <w:rFonts w:ascii="Arial" w:hAnsi="Arial" w:cs="Arial"/>
          <w:sz w:val="24"/>
          <w:szCs w:val="24"/>
        </w:rPr>
        <w:t>Salisbury et al</w:t>
      </w:r>
      <w:r w:rsidR="009564CA">
        <w:rPr>
          <w:rFonts w:ascii="Arial" w:hAnsi="Arial" w:cs="Arial"/>
          <w:sz w:val="24"/>
          <w:szCs w:val="24"/>
        </w:rPr>
        <w:t xml:space="preserve"> </w:t>
      </w:r>
      <w:r w:rsidR="0009214E">
        <w:rPr>
          <w:rFonts w:ascii="Arial" w:hAnsi="Arial" w:cs="Arial"/>
          <w:sz w:val="24"/>
          <w:szCs w:val="24"/>
        </w:rPr>
        <w:fldChar w:fldCharType="begin"/>
      </w:r>
      <w:r w:rsidR="00DA7737">
        <w:rPr>
          <w:rFonts w:ascii="Arial" w:hAnsi="Arial" w:cs="Arial"/>
          <w:sz w:val="24"/>
          <w:szCs w:val="24"/>
        </w:rPr>
        <w:instrText xml:space="preserve"> ADDIN EN.CITE &lt;EndNote&gt;&lt;Cite&gt;&lt;Author&gt;Salisbury&lt;/Author&gt;&lt;Year&gt;2013&lt;/Year&gt;&lt;RecNum&gt;89&lt;/RecNum&gt;&lt;DisplayText&gt;(30)&lt;/DisplayText&gt;&lt;record&gt;&lt;rec-number&gt;89&lt;/rec-number&gt;&lt;foreign-keys&gt;&lt;key app="EN" db-id="eaz5sewevp5dfxewrdrvzv52xsv2tsf22rzr"&gt;89&lt;/key&gt;&lt;/foreign-keys&gt;&lt;ref-type name="Journal Article"&gt;17&lt;/ref-type&gt;&lt;contributors&gt;&lt;authors&gt;&lt;author&gt;Salisbury, Adam C.&lt;/author&gt;&lt;author&gt;Wang, Kaijun&lt;/author&gt;&lt;author&gt;Cohen, David J.&lt;/author&gt;&lt;author&gt;Li, Yan&lt;/author&gt;&lt;author&gt;Jones, Philip G.&lt;/author&gt;&lt;author&gt;Spertus, John A.&lt;/author&gt;&lt;/authors&gt;&lt;/contributors&gt;&lt;titles&gt;&lt;title&gt;Selecting Antiplatelet Therapy at the Time of Percutaneous Intervention for an Acute Coronary Syndrome: Weighing the Benefits and Risks of Prasugrel Versus Clopidogrel&lt;/title&gt;&lt;secondary-title&gt;Circulation: Cardiovascular Quality and Outcomes&lt;/secondary-title&gt;&lt;/titles&gt;&lt;periodical&gt;&lt;full-title&gt;Circulation: Cardiovascular Quality and Outcomes&lt;/full-title&gt;&lt;/periodical&gt;&lt;pages&gt;27-34&lt;/pages&gt;&lt;volume&gt;6&lt;/volume&gt;&lt;number&gt;1&lt;/number&gt;&lt;dates&gt;&lt;year&gt;2013&lt;/year&gt;&lt;pub-dates&gt;&lt;date&gt;January 1, 2013&lt;/date&gt;&lt;/pub-dates&gt;&lt;/dates&gt;&lt;call-num&gt;26&lt;/call-num&gt;&lt;urls&gt;&lt;related-urls&gt;&lt;url&gt;http://circoutcomes.ahajournals.org/content/6/1/27.abstract&lt;/url&gt;&lt;/related-urls&gt;&lt;/urls&gt;&lt;electronic-resource-num&gt;10.1161/circoutcomes.112.965624&lt;/electronic-resource-num&gt;&lt;/record&gt;&lt;/Cite&gt;&lt;/EndNote&gt;</w:instrText>
      </w:r>
      <w:r w:rsidR="0009214E">
        <w:rPr>
          <w:rFonts w:ascii="Arial" w:hAnsi="Arial" w:cs="Arial"/>
          <w:sz w:val="24"/>
          <w:szCs w:val="24"/>
        </w:rPr>
        <w:fldChar w:fldCharType="separate"/>
      </w:r>
      <w:r w:rsidR="00DA7737">
        <w:rPr>
          <w:rFonts w:ascii="Arial" w:hAnsi="Arial" w:cs="Arial"/>
          <w:noProof/>
          <w:sz w:val="24"/>
          <w:szCs w:val="24"/>
        </w:rPr>
        <w:t>(</w:t>
      </w:r>
      <w:hyperlink w:anchor="_ENREF_30" w:tooltip="Salisbury, 2013 #89" w:history="1">
        <w:r w:rsidR="00DA7737">
          <w:rPr>
            <w:rFonts w:ascii="Arial" w:hAnsi="Arial" w:cs="Arial"/>
            <w:noProof/>
            <w:sz w:val="24"/>
            <w:szCs w:val="24"/>
          </w:rPr>
          <w:t>30</w:t>
        </w:r>
      </w:hyperlink>
      <w:r w:rsidR="00DA7737">
        <w:rPr>
          <w:rFonts w:ascii="Arial" w:hAnsi="Arial" w:cs="Arial"/>
          <w:noProof/>
          <w:sz w:val="24"/>
          <w:szCs w:val="24"/>
        </w:rPr>
        <w:t>)</w:t>
      </w:r>
      <w:r w:rsidR="0009214E">
        <w:rPr>
          <w:rFonts w:ascii="Arial" w:hAnsi="Arial" w:cs="Arial"/>
          <w:sz w:val="24"/>
          <w:szCs w:val="24"/>
        </w:rPr>
        <w:fldChar w:fldCharType="end"/>
      </w:r>
      <w:r w:rsidR="0009214E">
        <w:rPr>
          <w:rFonts w:ascii="Arial" w:hAnsi="Arial" w:cs="Arial"/>
          <w:sz w:val="24"/>
          <w:szCs w:val="24"/>
        </w:rPr>
        <w:t xml:space="preserve"> </w:t>
      </w:r>
      <w:r w:rsidR="009564CA">
        <w:rPr>
          <w:rFonts w:ascii="Arial" w:hAnsi="Arial" w:cs="Arial"/>
          <w:sz w:val="24"/>
          <w:szCs w:val="24"/>
        </w:rPr>
        <w:t xml:space="preserve">used multivariable </w:t>
      </w:r>
      <w:r w:rsidR="00795F0C">
        <w:rPr>
          <w:rFonts w:ascii="Arial" w:hAnsi="Arial" w:cs="Arial"/>
          <w:sz w:val="24"/>
          <w:szCs w:val="24"/>
        </w:rPr>
        <w:t xml:space="preserve">logistic </w:t>
      </w:r>
      <w:r w:rsidR="009564CA">
        <w:rPr>
          <w:rFonts w:ascii="Arial" w:hAnsi="Arial" w:cs="Arial"/>
          <w:sz w:val="24"/>
          <w:szCs w:val="24"/>
        </w:rPr>
        <w:t>models to separately predict any patient’s risk of 1) the primary ischaemic endpoint and 2) TIMI major or minor bleed, taking account of both randomised treatment and patient characteristics. The intent is to quantify</w:t>
      </w:r>
      <w:r w:rsidR="00795F0C">
        <w:rPr>
          <w:rFonts w:ascii="Arial" w:hAnsi="Arial" w:cs="Arial"/>
          <w:sz w:val="24"/>
          <w:szCs w:val="24"/>
        </w:rPr>
        <w:t xml:space="preserve"> on an absolute scale</w:t>
      </w:r>
      <w:r w:rsidR="009564CA">
        <w:rPr>
          <w:rFonts w:ascii="Arial" w:hAnsi="Arial" w:cs="Arial"/>
          <w:sz w:val="24"/>
          <w:szCs w:val="24"/>
        </w:rPr>
        <w:t xml:space="preserve"> how the trade-off between </w:t>
      </w:r>
      <w:r w:rsidR="00795F0C">
        <w:rPr>
          <w:rFonts w:ascii="Arial" w:hAnsi="Arial" w:cs="Arial"/>
          <w:sz w:val="24"/>
          <w:szCs w:val="24"/>
        </w:rPr>
        <w:t xml:space="preserve">treatment differences in </w:t>
      </w:r>
      <w:r w:rsidR="009564CA">
        <w:rPr>
          <w:rFonts w:ascii="Arial" w:hAnsi="Arial" w:cs="Arial"/>
          <w:sz w:val="24"/>
          <w:szCs w:val="24"/>
        </w:rPr>
        <w:t xml:space="preserve">ischaemic efficacy and bleeding harm is patient specific. For instance, for elderly women the bleeding risk is of greater concern while in a younger man with known CV risk factors avoidance of future ischaemic events is paramount: clopidogrel is the drug of choice for the former while </w:t>
      </w:r>
      <w:proofErr w:type="spellStart"/>
      <w:r w:rsidR="009564CA">
        <w:rPr>
          <w:rFonts w:ascii="Arial" w:hAnsi="Arial" w:cs="Arial"/>
          <w:sz w:val="24"/>
          <w:szCs w:val="24"/>
        </w:rPr>
        <w:t>prasugrel</w:t>
      </w:r>
      <w:proofErr w:type="spellEnd"/>
      <w:r w:rsidR="009564CA">
        <w:rPr>
          <w:rFonts w:ascii="Arial" w:hAnsi="Arial" w:cs="Arial"/>
          <w:sz w:val="24"/>
          <w:szCs w:val="24"/>
        </w:rPr>
        <w:t xml:space="preserve"> is a better choice for the latter.</w:t>
      </w:r>
      <w:r w:rsidR="00795F0C">
        <w:rPr>
          <w:rFonts w:ascii="Arial" w:hAnsi="Arial" w:cs="Arial"/>
          <w:sz w:val="24"/>
          <w:szCs w:val="24"/>
        </w:rPr>
        <w:t xml:space="preserve"> These multivariable models are a quantitative aid to such clinical judgement and may be of particular use in the broader spectrum of patients for whom the efficacy/safety trade-off is less clinically obvious.</w:t>
      </w:r>
    </w:p>
    <w:p w14:paraId="58413586" w14:textId="77777777" w:rsidR="009564CA" w:rsidRDefault="009564CA" w:rsidP="00A7253B">
      <w:pPr>
        <w:spacing w:after="0" w:line="360" w:lineRule="auto"/>
        <w:rPr>
          <w:rFonts w:ascii="Arial" w:hAnsi="Arial" w:cs="Arial"/>
          <w:sz w:val="24"/>
          <w:szCs w:val="24"/>
        </w:rPr>
      </w:pPr>
    </w:p>
    <w:p w14:paraId="58AF349D" w14:textId="1839D9E3" w:rsidR="009564CA" w:rsidRDefault="009564CA" w:rsidP="00A7253B">
      <w:pPr>
        <w:spacing w:after="0" w:line="360" w:lineRule="auto"/>
        <w:rPr>
          <w:rFonts w:ascii="Arial" w:hAnsi="Arial" w:cs="Arial"/>
          <w:sz w:val="24"/>
          <w:szCs w:val="24"/>
        </w:rPr>
      </w:pPr>
      <w:r>
        <w:rPr>
          <w:rFonts w:ascii="Arial" w:hAnsi="Arial" w:cs="Arial"/>
          <w:sz w:val="24"/>
          <w:szCs w:val="24"/>
        </w:rPr>
        <w:t>Similar principles can apply when deciding what dose</w:t>
      </w:r>
      <w:r w:rsidR="003A10BE">
        <w:rPr>
          <w:rFonts w:ascii="Arial" w:hAnsi="Arial" w:cs="Arial"/>
          <w:sz w:val="24"/>
          <w:szCs w:val="24"/>
        </w:rPr>
        <w:t xml:space="preserve"> of</w:t>
      </w:r>
      <w:r>
        <w:rPr>
          <w:rFonts w:ascii="Arial" w:hAnsi="Arial" w:cs="Arial"/>
          <w:sz w:val="24"/>
          <w:szCs w:val="24"/>
        </w:rPr>
        <w:t xml:space="preserve"> a drug is </w:t>
      </w:r>
      <w:r w:rsidRPr="00543767">
        <w:rPr>
          <w:rFonts w:ascii="Arial" w:hAnsi="Arial" w:cs="Arial"/>
          <w:sz w:val="24"/>
          <w:szCs w:val="24"/>
        </w:rPr>
        <w:t xml:space="preserve">appropriate for the individual patient. In stroke prevention for patients with atrial fibrillation, the RE-LY </w:t>
      </w:r>
      <w:r w:rsidR="0009214E">
        <w:rPr>
          <w:rFonts w:ascii="Arial" w:hAnsi="Arial" w:cs="Arial"/>
          <w:sz w:val="24"/>
          <w:szCs w:val="24"/>
        </w:rPr>
        <w:fldChar w:fldCharType="begin"/>
      </w:r>
      <w:r w:rsidR="00DA7737">
        <w:rPr>
          <w:rFonts w:ascii="Arial" w:hAnsi="Arial" w:cs="Arial"/>
          <w:sz w:val="24"/>
          <w:szCs w:val="24"/>
        </w:rPr>
        <w:instrText xml:space="preserve"> ADDIN EN.CITE &lt;EndNote&gt;&lt;Cite&gt;&lt;Author&gt;Connolly&lt;/Author&gt;&lt;Year&gt;2009&lt;/Year&gt;&lt;RecNum&gt;61&lt;/RecNum&gt;&lt;DisplayText&gt;(31)&lt;/DisplayText&gt;&lt;record&gt;&lt;rec-number&gt;61&lt;/rec-number&gt;&lt;foreign-keys&gt;&lt;key app="EN" db-id="eaz5sewevp5dfxewrdrvzv52xsv2tsf22rzr"&gt;61&lt;/key&gt;&lt;/foreign-keys&gt;&lt;ref-type name="Journal Article"&gt;17&lt;/ref-type&gt;&lt;contributors&gt;&lt;authors&gt;&lt;author&gt;Connolly, Stuart J.&lt;/author&gt;&lt;author&gt;Ezekowitz, Michael D.&lt;/author&gt;&lt;author&gt;Yusuf, Salim&lt;/author&gt;&lt;author&gt;Eikelboom, John&lt;/author&gt;&lt;author&gt;Oldgren, Jonas&lt;/author&gt;&lt;author&gt;Parekh, Amit&lt;/author&gt;&lt;author&gt;Pogue, Janice&lt;/author&gt;&lt;author&gt;Reilly, Paul A.&lt;/author&gt;&lt;author&gt;Themeles, Ellison&lt;/author&gt;&lt;author&gt;Varrone, Jeanne&lt;/author&gt;&lt;author&gt;Wang, Susan&lt;/author&gt;&lt;author&gt;Alings, Marco&lt;/author&gt;&lt;author&gt;Xavier, Denis&lt;/author&gt;&lt;author&gt;Zhu, Jun&lt;/author&gt;&lt;author&gt;Diaz, Rafael&lt;/author&gt;&lt;author&gt;Lewis, Basil S.&lt;/author&gt;&lt;author&gt;Darius, Harald&lt;/author&gt;&lt;author&gt;Diener, Hans-Christoph&lt;/author&gt;&lt;author&gt;Joyner, Campbell D.&lt;/author&gt;&lt;author&gt;Wallentin, Lars&lt;/author&gt;&lt;/authors&gt;&lt;/contributors&gt;&lt;titles&gt;&lt;title&gt;Dabigatran versus Warfarin in Patients with Atrial Fibrillation&lt;/title&gt;&lt;secondary-title&gt;New England Journal of Medicine&lt;/secondary-title&gt;&lt;/titles&gt;&lt;periodical&gt;&lt;full-title&gt;New England Journal of Medicine&lt;/full-title&gt;&lt;/periodical&gt;&lt;pages&gt;1139-1151&lt;/pages&gt;&lt;volume&gt;361&lt;/volume&gt;&lt;number&gt;12&lt;/number&gt;&lt;dates&gt;&lt;year&gt;2009&lt;/year&gt;&lt;/dates&gt;&lt;accession-num&gt;19717844&lt;/accession-num&gt;&lt;call-num&gt;27&lt;/call-num&gt;&lt;urls&gt;&lt;related-urls&gt;&lt;url&gt;http://www.nejm.org/doi/full/10.1056/NEJMoa0905561&lt;/url&gt;&lt;/related-urls&gt;&lt;/urls&gt;&lt;electronic-resource-num&gt;doi:10.1056/NEJMoa0905561&lt;/electronic-resource-num&gt;&lt;/record&gt;&lt;/Cite&gt;&lt;/EndNote&gt;</w:instrText>
      </w:r>
      <w:r w:rsidR="0009214E">
        <w:rPr>
          <w:rFonts w:ascii="Arial" w:hAnsi="Arial" w:cs="Arial"/>
          <w:sz w:val="24"/>
          <w:szCs w:val="24"/>
        </w:rPr>
        <w:fldChar w:fldCharType="separate"/>
      </w:r>
      <w:r w:rsidR="00DA7737">
        <w:rPr>
          <w:rFonts w:ascii="Arial" w:hAnsi="Arial" w:cs="Arial"/>
          <w:noProof/>
          <w:sz w:val="24"/>
          <w:szCs w:val="24"/>
        </w:rPr>
        <w:t>(</w:t>
      </w:r>
      <w:hyperlink w:anchor="_ENREF_31" w:tooltip="Connolly, 2009 #61" w:history="1">
        <w:r w:rsidR="00DA7737">
          <w:rPr>
            <w:rFonts w:ascii="Arial" w:hAnsi="Arial" w:cs="Arial"/>
            <w:noProof/>
            <w:sz w:val="24"/>
            <w:szCs w:val="24"/>
          </w:rPr>
          <w:t>31</w:t>
        </w:r>
      </w:hyperlink>
      <w:r w:rsidR="00DA7737">
        <w:rPr>
          <w:rFonts w:ascii="Arial" w:hAnsi="Arial" w:cs="Arial"/>
          <w:noProof/>
          <w:sz w:val="24"/>
          <w:szCs w:val="24"/>
        </w:rPr>
        <w:t>)</w:t>
      </w:r>
      <w:r w:rsidR="0009214E">
        <w:rPr>
          <w:rFonts w:ascii="Arial" w:hAnsi="Arial" w:cs="Arial"/>
          <w:sz w:val="24"/>
          <w:szCs w:val="24"/>
        </w:rPr>
        <w:fldChar w:fldCharType="end"/>
      </w:r>
      <w:r w:rsidR="0009214E">
        <w:rPr>
          <w:rFonts w:ascii="Arial" w:hAnsi="Arial" w:cs="Arial"/>
          <w:sz w:val="24"/>
          <w:szCs w:val="24"/>
        </w:rPr>
        <w:t xml:space="preserve"> </w:t>
      </w:r>
      <w:r w:rsidRPr="00640478">
        <w:rPr>
          <w:rFonts w:ascii="Arial" w:hAnsi="Arial" w:cs="Arial"/>
          <w:sz w:val="24"/>
          <w:szCs w:val="24"/>
        </w:rPr>
        <w:t>and ENGAGE</w:t>
      </w:r>
      <w:r w:rsidR="00914DE8" w:rsidRPr="000E3027">
        <w:rPr>
          <w:rFonts w:ascii="Arial" w:hAnsi="Arial" w:cs="Arial"/>
          <w:sz w:val="24"/>
          <w:szCs w:val="24"/>
        </w:rPr>
        <w:t xml:space="preserve"> </w:t>
      </w:r>
      <w:r w:rsidRPr="00543767">
        <w:rPr>
          <w:rFonts w:ascii="Arial" w:hAnsi="Arial" w:cs="Arial"/>
          <w:sz w:val="24"/>
          <w:szCs w:val="24"/>
        </w:rPr>
        <w:t>AF</w:t>
      </w:r>
      <w:r>
        <w:rPr>
          <w:rFonts w:ascii="Arial" w:hAnsi="Arial" w:cs="Arial"/>
          <w:sz w:val="24"/>
          <w:szCs w:val="24"/>
        </w:rPr>
        <w:t xml:space="preserve"> </w:t>
      </w:r>
      <w:r w:rsidR="0009214E">
        <w:rPr>
          <w:rFonts w:ascii="Arial" w:hAnsi="Arial" w:cs="Arial"/>
          <w:sz w:val="24"/>
          <w:szCs w:val="24"/>
        </w:rPr>
        <w:fldChar w:fldCharType="begin"/>
      </w:r>
      <w:r w:rsidR="00DA7737">
        <w:rPr>
          <w:rFonts w:ascii="Arial" w:hAnsi="Arial" w:cs="Arial"/>
          <w:sz w:val="24"/>
          <w:szCs w:val="24"/>
        </w:rPr>
        <w:instrText xml:space="preserve"> ADDIN EN.CITE &lt;EndNote&gt;&lt;Cite&gt;&lt;Author&gt;Giugliano&lt;/Author&gt;&lt;Year&gt;2013&lt;/Year&gt;&lt;RecNum&gt;62&lt;/RecNum&gt;&lt;DisplayText&gt;(32)&lt;/DisplayText&gt;&lt;record&gt;&lt;rec-number&gt;62&lt;/rec-number&gt;&lt;foreign-keys&gt;&lt;key app="EN" db-id="eaz5sewevp5dfxewrdrvzv52xsv2tsf22rzr"&gt;62&lt;/key&gt;&lt;/foreign-keys&gt;&lt;ref-type name="Journal Article"&gt;17&lt;/ref-type&gt;&lt;contributors&gt;&lt;authors&gt;&lt;author&gt;Giugliano, Robert P.&lt;/author&gt;&lt;author&gt;Ruff, Christian T.&lt;/author&gt;&lt;author&gt;Braunwald, Eugene&lt;/author&gt;&lt;author&gt;Murphy, Sabina A.&lt;/author&gt;&lt;author&gt;Wiviott, Stephen D.&lt;/author&gt;&lt;author&gt;Halperin, Jonathan L.&lt;/author&gt;&lt;author&gt;Waldo, Albert L.&lt;/author&gt;&lt;author&gt;Ezekowitz, Michael D.&lt;/author&gt;&lt;author&gt;Weitz, Jeffrey I.&lt;/author&gt;&lt;author&gt;Špinar, Jindřich&lt;/author&gt;&lt;author&gt;Ruzyllo, Witold&lt;/author&gt;&lt;author&gt;Ruda, Mikhail&lt;/author&gt;&lt;author&gt;Koretsune, Yukihiro&lt;/author&gt;&lt;author&gt;Betcher, Joshua&lt;/author&gt;&lt;author&gt;Shi, Minggao&lt;/author&gt;&lt;author&gt;Grip, Laura T.&lt;/author&gt;&lt;author&gt;Patel, Shirali P.&lt;/author&gt;&lt;author&gt;Patel, Indravadan&lt;/author&gt;&lt;author&gt;Hanyok, James J.&lt;/author&gt;&lt;author&gt;Mercuri, Michele&lt;/author&gt;&lt;author&gt;Antman, Elliott M.&lt;/author&gt;&lt;/authors&gt;&lt;/contributors&gt;&lt;titles&gt;&lt;title&gt;Edoxaban versus Warfarin in Patients with Atrial Fibrillation&lt;/title&gt;&lt;secondary-title&gt;New England Journal of Medicine&lt;/secondary-title&gt;&lt;/titles&gt;&lt;periodical&gt;&lt;full-title&gt;New England Journal of Medicine&lt;/full-title&gt;&lt;/periodical&gt;&lt;pages&gt;2093-2104&lt;/pages&gt;&lt;volume&gt;369&lt;/volume&gt;&lt;number&gt;22&lt;/number&gt;&lt;dates&gt;&lt;year&gt;2013&lt;/year&gt;&lt;/dates&gt;&lt;accession-num&gt;24251359&lt;/accession-num&gt;&lt;call-num&gt;28&lt;/call-num&gt;&lt;urls&gt;&lt;related-urls&gt;&lt;url&gt;http://www.nejm.org/doi/full/10.1056/NEJMoa1310907&lt;/url&gt;&lt;/related-urls&gt;&lt;/urls&gt;&lt;electronic-resource-num&gt;doi:10.1056/NEJMoa1310907&lt;/electronic-resource-num&gt;&lt;/record&gt;&lt;/Cite&gt;&lt;/EndNote&gt;</w:instrText>
      </w:r>
      <w:r w:rsidR="0009214E">
        <w:rPr>
          <w:rFonts w:ascii="Arial" w:hAnsi="Arial" w:cs="Arial"/>
          <w:sz w:val="24"/>
          <w:szCs w:val="24"/>
        </w:rPr>
        <w:fldChar w:fldCharType="separate"/>
      </w:r>
      <w:r w:rsidR="00DA7737">
        <w:rPr>
          <w:rFonts w:ascii="Arial" w:hAnsi="Arial" w:cs="Arial"/>
          <w:noProof/>
          <w:sz w:val="24"/>
          <w:szCs w:val="24"/>
        </w:rPr>
        <w:t>(</w:t>
      </w:r>
      <w:hyperlink w:anchor="_ENREF_32" w:tooltip="Giugliano, 2013 #62" w:history="1">
        <w:r w:rsidR="00DA7737">
          <w:rPr>
            <w:rFonts w:ascii="Arial" w:hAnsi="Arial" w:cs="Arial"/>
            <w:noProof/>
            <w:sz w:val="24"/>
            <w:szCs w:val="24"/>
          </w:rPr>
          <w:t>32</w:t>
        </w:r>
      </w:hyperlink>
      <w:r w:rsidR="00DA7737">
        <w:rPr>
          <w:rFonts w:ascii="Arial" w:hAnsi="Arial" w:cs="Arial"/>
          <w:noProof/>
          <w:sz w:val="24"/>
          <w:szCs w:val="24"/>
        </w:rPr>
        <w:t>)</w:t>
      </w:r>
      <w:r w:rsidR="0009214E">
        <w:rPr>
          <w:rFonts w:ascii="Arial" w:hAnsi="Arial" w:cs="Arial"/>
          <w:sz w:val="24"/>
          <w:szCs w:val="24"/>
        </w:rPr>
        <w:fldChar w:fldCharType="end"/>
      </w:r>
      <w:r w:rsidR="0009214E">
        <w:rPr>
          <w:rFonts w:ascii="Arial" w:hAnsi="Arial" w:cs="Arial"/>
          <w:sz w:val="24"/>
          <w:szCs w:val="24"/>
        </w:rPr>
        <w:t xml:space="preserve"> </w:t>
      </w:r>
      <w:r>
        <w:rPr>
          <w:rFonts w:ascii="Arial" w:hAnsi="Arial" w:cs="Arial"/>
          <w:sz w:val="24"/>
          <w:szCs w:val="24"/>
        </w:rPr>
        <w:t xml:space="preserve">trials are to be commended for comparing two different anticoagulant drug doses (of </w:t>
      </w:r>
      <w:proofErr w:type="spellStart"/>
      <w:r>
        <w:rPr>
          <w:rFonts w:ascii="Arial" w:hAnsi="Arial" w:cs="Arial"/>
          <w:sz w:val="24"/>
          <w:szCs w:val="24"/>
        </w:rPr>
        <w:t>dabigatran</w:t>
      </w:r>
      <w:proofErr w:type="spellEnd"/>
      <w:r>
        <w:rPr>
          <w:rFonts w:ascii="Arial" w:hAnsi="Arial" w:cs="Arial"/>
          <w:sz w:val="24"/>
          <w:szCs w:val="24"/>
        </w:rPr>
        <w:t xml:space="preserve"> and </w:t>
      </w:r>
      <w:proofErr w:type="spellStart"/>
      <w:r>
        <w:rPr>
          <w:rFonts w:ascii="Arial" w:hAnsi="Arial" w:cs="Arial"/>
          <w:sz w:val="24"/>
          <w:szCs w:val="24"/>
        </w:rPr>
        <w:t>edoxaban</w:t>
      </w:r>
      <w:proofErr w:type="spellEnd"/>
      <w:r>
        <w:rPr>
          <w:rFonts w:ascii="Arial" w:hAnsi="Arial" w:cs="Arial"/>
          <w:sz w:val="24"/>
          <w:szCs w:val="24"/>
        </w:rPr>
        <w:t xml:space="preserve"> respectively) </w:t>
      </w:r>
      <w:r w:rsidR="003A10BE">
        <w:rPr>
          <w:rFonts w:ascii="Arial" w:hAnsi="Arial" w:cs="Arial"/>
          <w:sz w:val="24"/>
          <w:szCs w:val="24"/>
        </w:rPr>
        <w:t>against</w:t>
      </w:r>
      <w:r>
        <w:rPr>
          <w:rFonts w:ascii="Arial" w:hAnsi="Arial" w:cs="Arial"/>
          <w:sz w:val="24"/>
          <w:szCs w:val="24"/>
        </w:rPr>
        <w:t xml:space="preserve"> warfarin. In both</w:t>
      </w:r>
      <w:r w:rsidR="003A10BE">
        <w:rPr>
          <w:rFonts w:ascii="Arial" w:hAnsi="Arial" w:cs="Arial"/>
          <w:sz w:val="24"/>
          <w:szCs w:val="24"/>
        </w:rPr>
        <w:t xml:space="preserve"> three-arm</w:t>
      </w:r>
      <w:r>
        <w:rPr>
          <w:rFonts w:ascii="Arial" w:hAnsi="Arial" w:cs="Arial"/>
          <w:sz w:val="24"/>
          <w:szCs w:val="24"/>
        </w:rPr>
        <w:t xml:space="preserve"> trials, the h</w:t>
      </w:r>
      <w:r w:rsidR="003A10BE">
        <w:rPr>
          <w:rFonts w:ascii="Arial" w:hAnsi="Arial" w:cs="Arial"/>
          <w:sz w:val="24"/>
          <w:szCs w:val="24"/>
        </w:rPr>
        <w:t>i</w:t>
      </w:r>
      <w:r>
        <w:rPr>
          <w:rFonts w:ascii="Arial" w:hAnsi="Arial" w:cs="Arial"/>
          <w:sz w:val="24"/>
          <w:szCs w:val="24"/>
        </w:rPr>
        <w:t xml:space="preserve">gher dose appeared more effective in reducing risk of stroke and systemic embolism, while the lower dose had </w:t>
      </w:r>
      <w:r w:rsidR="003A10BE">
        <w:rPr>
          <w:rFonts w:ascii="Arial" w:hAnsi="Arial" w:cs="Arial"/>
          <w:sz w:val="24"/>
          <w:szCs w:val="24"/>
        </w:rPr>
        <w:t>less</w:t>
      </w:r>
      <w:r>
        <w:rPr>
          <w:rFonts w:ascii="Arial" w:hAnsi="Arial" w:cs="Arial"/>
          <w:sz w:val="24"/>
          <w:szCs w:val="24"/>
        </w:rPr>
        <w:t xml:space="preserve"> bleeding events. At present, these two trials have </w:t>
      </w:r>
      <w:r w:rsidR="003B4973">
        <w:rPr>
          <w:rFonts w:ascii="Arial" w:hAnsi="Arial" w:cs="Arial"/>
          <w:sz w:val="24"/>
          <w:szCs w:val="24"/>
        </w:rPr>
        <w:t>confined attention to the overall findings and conventional subgroup analyses, whereas we would encourage more model-based</w:t>
      </w:r>
      <w:r w:rsidR="003A10BE">
        <w:rPr>
          <w:rFonts w:ascii="Arial" w:hAnsi="Arial" w:cs="Arial"/>
          <w:sz w:val="24"/>
          <w:szCs w:val="24"/>
        </w:rPr>
        <w:t xml:space="preserve"> approaches</w:t>
      </w:r>
      <w:r w:rsidR="003B4973">
        <w:rPr>
          <w:rFonts w:ascii="Arial" w:hAnsi="Arial" w:cs="Arial"/>
          <w:sz w:val="24"/>
          <w:szCs w:val="24"/>
        </w:rPr>
        <w:t xml:space="preserve"> to better identify which types of patient (if any) would have a net benefit for the lower dose.</w:t>
      </w:r>
      <w:r w:rsidR="00795F0C">
        <w:rPr>
          <w:rFonts w:ascii="Arial" w:hAnsi="Arial" w:cs="Arial"/>
          <w:sz w:val="24"/>
          <w:szCs w:val="24"/>
        </w:rPr>
        <w:t xml:space="preserve"> Ideally, such risk models should be based on external data, but realistically this is often not possible. </w:t>
      </w:r>
    </w:p>
    <w:p w14:paraId="54824A31" w14:textId="77777777" w:rsidR="003B4973" w:rsidRDefault="003B4973" w:rsidP="00A7253B">
      <w:pPr>
        <w:spacing w:after="0" w:line="360" w:lineRule="auto"/>
        <w:rPr>
          <w:rFonts w:ascii="Arial" w:hAnsi="Arial" w:cs="Arial"/>
          <w:sz w:val="24"/>
          <w:szCs w:val="24"/>
        </w:rPr>
      </w:pPr>
    </w:p>
    <w:p w14:paraId="25652DDE" w14:textId="688ECAD8" w:rsidR="003B4973" w:rsidRDefault="003B4973" w:rsidP="00A7253B">
      <w:pPr>
        <w:spacing w:after="0" w:line="360" w:lineRule="auto"/>
        <w:rPr>
          <w:rFonts w:ascii="Arial" w:hAnsi="Arial" w:cs="Arial"/>
          <w:sz w:val="24"/>
          <w:szCs w:val="24"/>
        </w:rPr>
      </w:pPr>
      <w:r>
        <w:rPr>
          <w:rFonts w:ascii="Arial" w:hAnsi="Arial" w:cs="Arial"/>
          <w:sz w:val="24"/>
          <w:szCs w:val="24"/>
        </w:rPr>
        <w:t>In general, reports of clinical trials mainly focus on an overall treatment comparison with cautious reference to subgroup analyses based on one baseline variable at a time. Therefore, the opportunity to link trial findings to individualised patient care based on “whole patient” risk profiles is largely being missed</w:t>
      </w:r>
      <w:r w:rsidR="000E3027">
        <w:rPr>
          <w:rFonts w:ascii="Arial" w:hAnsi="Arial" w:cs="Arial"/>
          <w:sz w:val="24"/>
          <w:szCs w:val="24"/>
        </w:rPr>
        <w:t xml:space="preserve"> </w:t>
      </w:r>
      <w:r w:rsidR="0009214E">
        <w:rPr>
          <w:rFonts w:ascii="Arial" w:hAnsi="Arial" w:cs="Arial"/>
          <w:sz w:val="24"/>
          <w:szCs w:val="24"/>
        </w:rPr>
        <w:fldChar w:fldCharType="begin"/>
      </w:r>
      <w:r w:rsidR="00DA7737">
        <w:rPr>
          <w:rFonts w:ascii="Arial" w:hAnsi="Arial" w:cs="Arial"/>
          <w:sz w:val="24"/>
          <w:szCs w:val="24"/>
        </w:rPr>
        <w:instrText xml:space="preserve"> ADDIN EN.CITE &lt;EndNote&gt;&lt;Cite&gt;&lt;Author&gt;Pocock&lt;/Author&gt;&lt;Year&gt;2014&lt;/Year&gt;&lt;RecNum&gt;85&lt;/RecNum&gt;&lt;DisplayText&gt;(33)&lt;/DisplayText&gt;&lt;record&gt;&lt;rec-number&gt;85&lt;/rec-number&gt;&lt;foreign-keys&gt;&lt;key app="EN" db-id="eaz5sewevp5dfxewrdrvzv52xsv2tsf22rzr"&gt;85&lt;/key&gt;&lt;/foreign-keys&gt;&lt;ref-type name="Journal Article"&gt;17&lt;/ref-type&gt;&lt;contributors&gt;&lt;authors&gt;&lt;author&gt;Pocock, Stuart J.&lt;/author&gt;&lt;author&gt;Stone, Gregg W.&lt;/author&gt;&lt;author&gt;Mehran, Roxana&lt;/author&gt;&lt;author&gt;Clayton, Tim C.&lt;/author&gt;&lt;/authors&gt;&lt;/contributors&gt;&lt;titles&gt;&lt;title&gt;Individualizing treatment choices using quantitative methods&lt;/title&gt;&lt;secondary-title&gt;American Heart Journal&lt;/secondary-title&gt;&lt;/titles&gt;&lt;periodical&gt;&lt;full-title&gt;American Heart Journal&lt;/full-title&gt;&lt;/periodical&gt;&lt;pages&gt;607-610&lt;/pages&gt;&lt;volume&gt;168&lt;/volume&gt;&lt;number&gt;5&lt;/number&gt;&lt;dates&gt;&lt;year&gt;2014&lt;/year&gt;&lt;pub-dates&gt;&lt;date&gt;11//&lt;/date&gt;&lt;/pub-dates&gt;&lt;/dates&gt;&lt;isbn&gt;0002-8703&lt;/isbn&gt;&lt;call-num&gt;29&lt;/call-num&gt;&lt;urls&gt;&lt;related-urls&gt;&lt;url&gt;http://www.sciencedirect.com/science/article/pii/S0002870314004992&lt;/url&gt;&lt;/related-urls&gt;&lt;/urls&gt;&lt;electronic-resource-num&gt;http://dx.doi.org/10.1016/j.ahj.2014.08.003&lt;/electronic-resource-num&gt;&lt;/record&gt;&lt;/Cite&gt;&lt;/EndNote&gt;</w:instrText>
      </w:r>
      <w:r w:rsidR="0009214E">
        <w:rPr>
          <w:rFonts w:ascii="Arial" w:hAnsi="Arial" w:cs="Arial"/>
          <w:sz w:val="24"/>
          <w:szCs w:val="24"/>
        </w:rPr>
        <w:fldChar w:fldCharType="separate"/>
      </w:r>
      <w:r w:rsidR="00DA7737">
        <w:rPr>
          <w:rFonts w:ascii="Arial" w:hAnsi="Arial" w:cs="Arial"/>
          <w:noProof/>
          <w:sz w:val="24"/>
          <w:szCs w:val="24"/>
        </w:rPr>
        <w:t>(</w:t>
      </w:r>
      <w:hyperlink w:anchor="_ENREF_33" w:tooltip="Pocock, 2014 #85" w:history="1">
        <w:r w:rsidR="00DA7737">
          <w:rPr>
            <w:rFonts w:ascii="Arial" w:hAnsi="Arial" w:cs="Arial"/>
            <w:noProof/>
            <w:sz w:val="24"/>
            <w:szCs w:val="24"/>
          </w:rPr>
          <w:t>33</w:t>
        </w:r>
      </w:hyperlink>
      <w:r w:rsidR="00DA7737">
        <w:rPr>
          <w:rFonts w:ascii="Arial" w:hAnsi="Arial" w:cs="Arial"/>
          <w:noProof/>
          <w:sz w:val="24"/>
          <w:szCs w:val="24"/>
        </w:rPr>
        <w:t>)</w:t>
      </w:r>
      <w:r w:rsidR="0009214E">
        <w:rPr>
          <w:rFonts w:ascii="Arial" w:hAnsi="Arial" w:cs="Arial"/>
          <w:sz w:val="24"/>
          <w:szCs w:val="24"/>
        </w:rPr>
        <w:fldChar w:fldCharType="end"/>
      </w:r>
      <w:r>
        <w:rPr>
          <w:rFonts w:ascii="Arial" w:hAnsi="Arial" w:cs="Arial"/>
          <w:sz w:val="24"/>
          <w:szCs w:val="24"/>
        </w:rPr>
        <w:t>.</w:t>
      </w:r>
    </w:p>
    <w:p w14:paraId="359D5EFD" w14:textId="77777777" w:rsidR="003B4973" w:rsidRDefault="003B4973" w:rsidP="00A7253B">
      <w:pPr>
        <w:spacing w:after="0" w:line="360" w:lineRule="auto"/>
        <w:rPr>
          <w:rFonts w:ascii="Arial" w:hAnsi="Arial" w:cs="Arial"/>
          <w:sz w:val="24"/>
          <w:szCs w:val="24"/>
        </w:rPr>
      </w:pPr>
    </w:p>
    <w:p w14:paraId="7151D25E" w14:textId="77777777" w:rsidR="003B4973" w:rsidRPr="00D75D43" w:rsidRDefault="003B4973" w:rsidP="00A7253B">
      <w:pPr>
        <w:spacing w:after="0" w:line="360" w:lineRule="auto"/>
        <w:rPr>
          <w:rFonts w:ascii="Arial" w:hAnsi="Arial" w:cs="Arial"/>
          <w:b/>
          <w:sz w:val="24"/>
          <w:szCs w:val="24"/>
        </w:rPr>
      </w:pPr>
      <w:r w:rsidRPr="00D75D43">
        <w:rPr>
          <w:rFonts w:ascii="Arial" w:hAnsi="Arial" w:cs="Arial"/>
          <w:b/>
          <w:sz w:val="24"/>
          <w:szCs w:val="24"/>
        </w:rPr>
        <w:t>Analysis by Intention to Tr</w:t>
      </w:r>
      <w:r w:rsidR="003A10BE">
        <w:rPr>
          <w:rFonts w:ascii="Arial" w:hAnsi="Arial" w:cs="Arial"/>
          <w:b/>
          <w:sz w:val="24"/>
          <w:szCs w:val="24"/>
        </w:rPr>
        <w:t>ea</w:t>
      </w:r>
      <w:r w:rsidRPr="00D75D43">
        <w:rPr>
          <w:rFonts w:ascii="Arial" w:hAnsi="Arial" w:cs="Arial"/>
          <w:b/>
          <w:sz w:val="24"/>
          <w:szCs w:val="24"/>
        </w:rPr>
        <w:t>t and Other Options</w:t>
      </w:r>
    </w:p>
    <w:p w14:paraId="6B0064C5" w14:textId="77777777" w:rsidR="003B4973" w:rsidRDefault="003B4973" w:rsidP="00A7253B">
      <w:pPr>
        <w:spacing w:after="0" w:line="360" w:lineRule="auto"/>
        <w:rPr>
          <w:rFonts w:ascii="Arial" w:hAnsi="Arial" w:cs="Arial"/>
          <w:sz w:val="24"/>
          <w:szCs w:val="24"/>
        </w:rPr>
      </w:pPr>
    </w:p>
    <w:p w14:paraId="0926C6E4" w14:textId="07201B2B" w:rsidR="003B4973" w:rsidRDefault="003B4973" w:rsidP="00A7253B">
      <w:pPr>
        <w:spacing w:after="0" w:line="360" w:lineRule="auto"/>
        <w:rPr>
          <w:rFonts w:ascii="Arial" w:hAnsi="Arial" w:cs="Arial"/>
          <w:sz w:val="24"/>
          <w:szCs w:val="24"/>
        </w:rPr>
      </w:pPr>
      <w:r>
        <w:rPr>
          <w:rFonts w:ascii="Arial" w:hAnsi="Arial" w:cs="Arial"/>
          <w:sz w:val="24"/>
          <w:szCs w:val="24"/>
        </w:rPr>
        <w:lastRenderedPageBreak/>
        <w:t>Analysis by intention to treat (ITT) means that a trial’s results include the totality of patient follow-up for all randomised patients. For major RCTs with a superiority hypothesis it is generally regarded as the main approac</w:t>
      </w:r>
      <w:r w:rsidR="000E3027">
        <w:rPr>
          <w:rFonts w:ascii="Arial" w:hAnsi="Arial" w:cs="Arial"/>
          <w:sz w:val="24"/>
          <w:szCs w:val="24"/>
        </w:rPr>
        <w:t xml:space="preserve">h to reporting of trial findings for treatment efficacy </w:t>
      </w:r>
      <w:r>
        <w:rPr>
          <w:rFonts w:ascii="Arial" w:hAnsi="Arial" w:cs="Arial"/>
          <w:sz w:val="24"/>
          <w:szCs w:val="24"/>
        </w:rPr>
        <w:t>in both medical journals and regulatory submissions. The advantage of ITT is that it provides an unbiased comparison of treatment strategies as delivered in practice: there is no sc</w:t>
      </w:r>
      <w:r w:rsidR="00BF3F17">
        <w:rPr>
          <w:rFonts w:ascii="Arial" w:hAnsi="Arial" w:cs="Arial"/>
          <w:sz w:val="24"/>
          <w:szCs w:val="24"/>
        </w:rPr>
        <w:t>o</w:t>
      </w:r>
      <w:r>
        <w:rPr>
          <w:rFonts w:ascii="Arial" w:hAnsi="Arial" w:cs="Arial"/>
          <w:sz w:val="24"/>
          <w:szCs w:val="24"/>
        </w:rPr>
        <w:t xml:space="preserve">pe for post hoc selection of who to include for how long. Everyone is included, with no escape! Such logic appears soundly based but there are two complications to consider: 1) do we truly have full follow-up data available for everyone? </w:t>
      </w:r>
      <w:proofErr w:type="gramStart"/>
      <w:r>
        <w:rPr>
          <w:rFonts w:ascii="Arial" w:hAnsi="Arial" w:cs="Arial"/>
          <w:sz w:val="24"/>
          <w:szCs w:val="24"/>
        </w:rPr>
        <w:t>and</w:t>
      </w:r>
      <w:proofErr w:type="gramEnd"/>
      <w:r>
        <w:rPr>
          <w:rFonts w:ascii="Arial" w:hAnsi="Arial" w:cs="Arial"/>
          <w:sz w:val="24"/>
          <w:szCs w:val="24"/>
        </w:rPr>
        <w:t xml:space="preserve"> 2) are we really happy</w:t>
      </w:r>
      <w:r w:rsidR="00BF3F17">
        <w:rPr>
          <w:rFonts w:ascii="Arial" w:hAnsi="Arial" w:cs="Arial"/>
          <w:sz w:val="24"/>
          <w:szCs w:val="24"/>
        </w:rPr>
        <w:t xml:space="preserve"> to include all protocol deviations in a pure ITT or is a modified ITT appropriate?</w:t>
      </w:r>
    </w:p>
    <w:p w14:paraId="2FA8CCE8" w14:textId="77777777" w:rsidR="004F6680" w:rsidRDefault="004F6680" w:rsidP="00A7253B">
      <w:pPr>
        <w:spacing w:after="0" w:line="360" w:lineRule="auto"/>
        <w:rPr>
          <w:rFonts w:ascii="Arial" w:hAnsi="Arial" w:cs="Arial"/>
          <w:sz w:val="24"/>
          <w:szCs w:val="24"/>
        </w:rPr>
      </w:pPr>
    </w:p>
    <w:p w14:paraId="79C99CF8" w14:textId="4FB56415" w:rsidR="00BF3F17" w:rsidRDefault="00BF3F17" w:rsidP="00A7253B">
      <w:pPr>
        <w:spacing w:after="0" w:line="360" w:lineRule="auto"/>
        <w:rPr>
          <w:rFonts w:ascii="Arial" w:hAnsi="Arial" w:cs="Arial"/>
          <w:sz w:val="24"/>
          <w:szCs w:val="24"/>
        </w:rPr>
      </w:pPr>
      <w:r>
        <w:rPr>
          <w:rFonts w:ascii="Arial" w:hAnsi="Arial" w:cs="Arial"/>
          <w:sz w:val="24"/>
          <w:szCs w:val="24"/>
        </w:rPr>
        <w:t>On the first point, the more patients that are lost to follow-up the further the attempted analysis deviates from true ITT.</w:t>
      </w:r>
      <w:r w:rsidR="00795F0C">
        <w:rPr>
          <w:rFonts w:ascii="Arial" w:hAnsi="Arial" w:cs="Arial"/>
          <w:sz w:val="24"/>
          <w:szCs w:val="24"/>
        </w:rPr>
        <w:t xml:space="preserve"> In trial conduct, it is important to minimize the loss to follow-up. High treatment compliance is a first step. Also, when patients do withdraw from treatment their follow-up should continue if at all possible.</w:t>
      </w:r>
      <w:r>
        <w:rPr>
          <w:rFonts w:ascii="Arial" w:hAnsi="Arial" w:cs="Arial"/>
          <w:sz w:val="24"/>
          <w:szCs w:val="24"/>
        </w:rPr>
        <w:t xml:space="preserve"> In most time-to-event analyses there is variation in observed patient follow-up: commonly recruitment takes </w:t>
      </w:r>
      <w:r w:rsidR="00D561E9">
        <w:rPr>
          <w:rFonts w:ascii="Arial" w:hAnsi="Arial" w:cs="Arial"/>
          <w:sz w:val="24"/>
          <w:szCs w:val="24"/>
        </w:rPr>
        <w:t>1 to 2 years</w:t>
      </w:r>
      <w:r>
        <w:rPr>
          <w:rFonts w:ascii="Arial" w:hAnsi="Arial" w:cs="Arial"/>
          <w:sz w:val="24"/>
          <w:szCs w:val="24"/>
        </w:rPr>
        <w:t xml:space="preserve"> and all patients are followed to a fixed calendar date. If all patients not experiencing a primary endpoint reach that date then a true ITT analysis is done, and in producing Kaplan Meier plots etc. censoring </w:t>
      </w:r>
      <w:r w:rsidR="004F6680">
        <w:rPr>
          <w:rFonts w:ascii="Arial" w:hAnsi="Arial" w:cs="Arial"/>
          <w:sz w:val="24"/>
          <w:szCs w:val="24"/>
        </w:rPr>
        <w:t xml:space="preserve">is sensibly assumed to be non-informative. But if patients are lost to follow-up at an earlier stage this cannot be assumed to occur at random, </w:t>
      </w:r>
      <w:r w:rsidR="00BA5149">
        <w:rPr>
          <w:rFonts w:ascii="Arial" w:hAnsi="Arial" w:cs="Arial"/>
          <w:sz w:val="24"/>
          <w:szCs w:val="24"/>
        </w:rPr>
        <w:t xml:space="preserve">e.g. </w:t>
      </w:r>
      <w:r w:rsidR="004F6680">
        <w:rPr>
          <w:rFonts w:ascii="Arial" w:hAnsi="Arial" w:cs="Arial"/>
          <w:sz w:val="24"/>
          <w:szCs w:val="24"/>
        </w:rPr>
        <w:t>patients who drop out may be sicker and hence at higher risk of a primary event, which goes unrecorded. Thus loss to follow is potentially informative censoring and could lead to a biased treatment comparison. This becomes particularly serious if the rate of drop-out</w:t>
      </w:r>
      <w:r w:rsidR="003A10BE">
        <w:rPr>
          <w:rFonts w:ascii="Arial" w:hAnsi="Arial" w:cs="Arial"/>
          <w:sz w:val="24"/>
          <w:szCs w:val="24"/>
        </w:rPr>
        <w:t>,</w:t>
      </w:r>
      <w:r w:rsidR="004F6680">
        <w:rPr>
          <w:rFonts w:ascii="Arial" w:hAnsi="Arial" w:cs="Arial"/>
          <w:sz w:val="24"/>
          <w:szCs w:val="24"/>
        </w:rPr>
        <w:t xml:space="preserve"> and its reasons, differ between treatment groups.</w:t>
      </w:r>
    </w:p>
    <w:p w14:paraId="4697DB3E" w14:textId="77777777" w:rsidR="004F6680" w:rsidRDefault="004F6680" w:rsidP="00A7253B">
      <w:pPr>
        <w:spacing w:after="0" w:line="360" w:lineRule="auto"/>
        <w:rPr>
          <w:rFonts w:ascii="Arial" w:hAnsi="Arial" w:cs="Arial"/>
          <w:sz w:val="24"/>
          <w:szCs w:val="24"/>
        </w:rPr>
      </w:pPr>
    </w:p>
    <w:p w14:paraId="4AC2AAD2" w14:textId="66AD1995" w:rsidR="004F6680" w:rsidRDefault="004F6680" w:rsidP="00A7253B">
      <w:pPr>
        <w:spacing w:after="0" w:line="360" w:lineRule="auto"/>
        <w:rPr>
          <w:rFonts w:ascii="Arial" w:hAnsi="Arial" w:cs="Arial"/>
          <w:sz w:val="24"/>
          <w:szCs w:val="24"/>
        </w:rPr>
      </w:pPr>
      <w:r w:rsidRPr="00543767">
        <w:rPr>
          <w:rFonts w:ascii="Arial" w:hAnsi="Arial" w:cs="Arial"/>
          <w:sz w:val="24"/>
          <w:szCs w:val="24"/>
        </w:rPr>
        <w:t>The ATLAS ACS</w:t>
      </w:r>
      <w:r w:rsidR="00FD7EF0" w:rsidRPr="00543767">
        <w:rPr>
          <w:rFonts w:ascii="Arial" w:hAnsi="Arial" w:cs="Arial"/>
          <w:sz w:val="24"/>
          <w:szCs w:val="24"/>
        </w:rPr>
        <w:t xml:space="preserve"> </w:t>
      </w:r>
      <w:r w:rsidRPr="00543767">
        <w:rPr>
          <w:rFonts w:ascii="Arial" w:hAnsi="Arial" w:cs="Arial"/>
          <w:sz w:val="24"/>
          <w:szCs w:val="24"/>
        </w:rPr>
        <w:t xml:space="preserve">2 trial </w:t>
      </w:r>
      <w:r w:rsidR="0009214E">
        <w:rPr>
          <w:rFonts w:ascii="Arial" w:hAnsi="Arial" w:cs="Arial"/>
          <w:sz w:val="24"/>
          <w:szCs w:val="24"/>
        </w:rPr>
        <w:fldChar w:fldCharType="begin"/>
      </w:r>
      <w:r w:rsidR="00DA7737">
        <w:rPr>
          <w:rFonts w:ascii="Arial" w:hAnsi="Arial" w:cs="Arial"/>
          <w:sz w:val="24"/>
          <w:szCs w:val="24"/>
        </w:rPr>
        <w:instrText xml:space="preserve"> ADDIN EN.CITE &lt;EndNote&gt;&lt;Cite&gt;&lt;Author&gt;Mega&lt;/Author&gt;&lt;Year&gt;2012&lt;/Year&gt;&lt;RecNum&gt;63&lt;/RecNum&gt;&lt;DisplayText&gt;(34)&lt;/DisplayText&gt;&lt;record&gt;&lt;rec-number&gt;63&lt;/rec-number&gt;&lt;foreign-keys&gt;&lt;key app="EN" db-id="eaz5sewevp5dfxewrdrvzv52xsv2tsf22rzr"&gt;63&lt;/key&gt;&lt;/foreign-keys&gt;&lt;ref-type name="Journal Article"&gt;17&lt;/ref-type&gt;&lt;contributors&gt;&lt;authors&gt;&lt;author&gt;Mega, Jessica L.&lt;/author&gt;&lt;author&gt;Braunwald, Eugene&lt;/author&gt;&lt;author&gt;Wiviott, Stephen D.&lt;/author&gt;&lt;author&gt;Bassand, Jean-Pierre&lt;/author&gt;&lt;author&gt;Bhatt, Deepak L.&lt;/author&gt;&lt;author&gt;Bode, Christoph&lt;/author&gt;&lt;author&gt;Burton, Paul&lt;/author&gt;&lt;author&gt;Cohen, Marc&lt;/author&gt;&lt;author&gt;Cook-Bruns, Nancy&lt;/author&gt;&lt;author&gt;Fox, Keith A.A.&lt;/author&gt;&lt;author&gt;Goto, Shinya&lt;/author&gt;&lt;author&gt;Murphy, Sabina A.&lt;/author&gt;&lt;author&gt;Plotnikov, Alexei N.&lt;/author&gt;&lt;author&gt;Schneider, David&lt;/author&gt;&lt;author&gt;Sun, Xiang&lt;/author&gt;&lt;author&gt;Verheugt, Freek W.A.&lt;/author&gt;&lt;author&gt;Gibson, C. Michael&lt;/author&gt;&lt;/authors&gt;&lt;/contributors&gt;&lt;titles&gt;&lt;title&gt;Rivaroxaban in Patients with a Recent Acute Coronary Syndrome&lt;/title&gt;&lt;secondary-title&gt;New England Journal of Medicine&lt;/secondary-title&gt;&lt;/titles&gt;&lt;periodical&gt;&lt;full-title&gt;New England Journal of Medicine&lt;/full-title&gt;&lt;/periodical&gt;&lt;pages&gt;9-19&lt;/pages&gt;&lt;volume&gt;366&lt;/volume&gt;&lt;number&gt;1&lt;/number&gt;&lt;dates&gt;&lt;year&gt;2012&lt;/year&gt;&lt;/dates&gt;&lt;accession-num&gt;22077192&lt;/accession-num&gt;&lt;call-num&gt;30&amp;#xD;&lt;/call-num&gt;&lt;urls&gt;&lt;related-urls&gt;&lt;url&gt;http://www.nejm.org/doi/full/10.1056/NEJMoa1112277&lt;/url&gt;&lt;/related-urls&gt;&lt;/urls&gt;&lt;electronic-resource-num&gt;doi:10.1056/NEJMoa1112277&lt;/electronic-resource-num&gt;&lt;/record&gt;&lt;/Cite&gt;&lt;/EndNote&gt;</w:instrText>
      </w:r>
      <w:r w:rsidR="0009214E">
        <w:rPr>
          <w:rFonts w:ascii="Arial" w:hAnsi="Arial" w:cs="Arial"/>
          <w:sz w:val="24"/>
          <w:szCs w:val="24"/>
        </w:rPr>
        <w:fldChar w:fldCharType="separate"/>
      </w:r>
      <w:r w:rsidR="00DA7737">
        <w:rPr>
          <w:rFonts w:ascii="Arial" w:hAnsi="Arial" w:cs="Arial"/>
          <w:noProof/>
          <w:sz w:val="24"/>
          <w:szCs w:val="24"/>
        </w:rPr>
        <w:t>(</w:t>
      </w:r>
      <w:hyperlink w:anchor="_ENREF_34" w:tooltip="Mega, 2012 #63" w:history="1">
        <w:r w:rsidR="00DA7737">
          <w:rPr>
            <w:rFonts w:ascii="Arial" w:hAnsi="Arial" w:cs="Arial"/>
            <w:noProof/>
            <w:sz w:val="24"/>
            <w:szCs w:val="24"/>
          </w:rPr>
          <w:t>34</w:t>
        </w:r>
      </w:hyperlink>
      <w:r w:rsidR="00DA7737">
        <w:rPr>
          <w:rFonts w:ascii="Arial" w:hAnsi="Arial" w:cs="Arial"/>
          <w:noProof/>
          <w:sz w:val="24"/>
          <w:szCs w:val="24"/>
        </w:rPr>
        <w:t>)</w:t>
      </w:r>
      <w:r w:rsidR="0009214E">
        <w:rPr>
          <w:rFonts w:ascii="Arial" w:hAnsi="Arial" w:cs="Arial"/>
          <w:sz w:val="24"/>
          <w:szCs w:val="24"/>
        </w:rPr>
        <w:fldChar w:fldCharType="end"/>
      </w:r>
      <w:r w:rsidR="0009214E">
        <w:rPr>
          <w:rFonts w:ascii="Arial" w:hAnsi="Arial" w:cs="Arial"/>
          <w:sz w:val="24"/>
          <w:szCs w:val="24"/>
        </w:rPr>
        <w:t xml:space="preserve"> </w:t>
      </w:r>
      <w:r w:rsidRPr="00543767">
        <w:rPr>
          <w:rFonts w:ascii="Arial" w:hAnsi="Arial" w:cs="Arial"/>
          <w:sz w:val="24"/>
          <w:szCs w:val="24"/>
        </w:rPr>
        <w:t xml:space="preserve">illustrates this problem. This three-arm trial compared two doses of </w:t>
      </w:r>
      <w:proofErr w:type="spellStart"/>
      <w:r w:rsidRPr="00543767">
        <w:rPr>
          <w:rFonts w:ascii="Arial" w:hAnsi="Arial" w:cs="Arial"/>
          <w:sz w:val="24"/>
          <w:szCs w:val="24"/>
        </w:rPr>
        <w:t>rivaroxaban</w:t>
      </w:r>
      <w:proofErr w:type="spellEnd"/>
      <w:r w:rsidRPr="00543767">
        <w:rPr>
          <w:rFonts w:ascii="Arial" w:hAnsi="Arial" w:cs="Arial"/>
          <w:sz w:val="24"/>
          <w:szCs w:val="24"/>
        </w:rPr>
        <w:t xml:space="preserve"> and placebo in 15,526 patients followed for a mean of 13 months. Published finding</w:t>
      </w:r>
      <w:r w:rsidR="003A10BE" w:rsidRPr="00543767">
        <w:rPr>
          <w:rFonts w:ascii="Arial" w:hAnsi="Arial" w:cs="Arial"/>
          <w:sz w:val="24"/>
          <w:szCs w:val="24"/>
        </w:rPr>
        <w:t xml:space="preserve">s </w:t>
      </w:r>
      <w:r w:rsidRPr="00640478">
        <w:rPr>
          <w:rFonts w:ascii="Arial" w:hAnsi="Arial" w:cs="Arial"/>
          <w:sz w:val="24"/>
          <w:szCs w:val="24"/>
        </w:rPr>
        <w:t xml:space="preserve">looked particularly good for the lower </w:t>
      </w:r>
      <w:proofErr w:type="spellStart"/>
      <w:r w:rsidRPr="00640478">
        <w:rPr>
          <w:rFonts w:ascii="Arial" w:hAnsi="Arial" w:cs="Arial"/>
          <w:sz w:val="24"/>
          <w:szCs w:val="24"/>
        </w:rPr>
        <w:t>rivaroxaban</w:t>
      </w:r>
      <w:proofErr w:type="spellEnd"/>
      <w:r w:rsidRPr="00640478">
        <w:rPr>
          <w:rFonts w:ascii="Arial" w:hAnsi="Arial" w:cs="Arial"/>
          <w:sz w:val="24"/>
          <w:szCs w:val="24"/>
        </w:rPr>
        <w:t xml:space="preserve"> dos</w:t>
      </w:r>
      <w:r w:rsidRPr="00636F9B">
        <w:rPr>
          <w:rFonts w:ascii="Arial" w:hAnsi="Arial" w:cs="Arial"/>
          <w:sz w:val="24"/>
          <w:szCs w:val="24"/>
        </w:rPr>
        <w:t>e with superiority for the primary endpoint (CV death, MI and stroke) and for all-cause death, though with some increase in bleeding events compared with placebo. However, unde</w:t>
      </w:r>
      <w:r w:rsidR="00FD7EF0" w:rsidRPr="00636F9B">
        <w:rPr>
          <w:rFonts w:ascii="Arial" w:hAnsi="Arial" w:cs="Arial"/>
          <w:sz w:val="24"/>
          <w:szCs w:val="24"/>
        </w:rPr>
        <w:t>r the scrutiny of an FDA Advisory Panel the extent of incomplete follow-up becam</w:t>
      </w:r>
      <w:r w:rsidR="00FD7EF0" w:rsidRPr="00AB4615">
        <w:rPr>
          <w:rFonts w:ascii="Arial" w:hAnsi="Arial" w:cs="Arial"/>
          <w:sz w:val="24"/>
          <w:szCs w:val="24"/>
        </w:rPr>
        <w:t xml:space="preserve">e evident: </w:t>
      </w:r>
      <w:r w:rsidR="000E3027">
        <w:rPr>
          <w:rFonts w:ascii="Arial" w:hAnsi="Arial" w:cs="Arial"/>
          <w:sz w:val="24"/>
          <w:szCs w:val="24"/>
        </w:rPr>
        <w:t xml:space="preserve">with </w:t>
      </w:r>
      <w:r w:rsidR="00FD7EF0" w:rsidRPr="00AB4615">
        <w:rPr>
          <w:rFonts w:ascii="Arial" w:hAnsi="Arial" w:cs="Arial"/>
          <w:sz w:val="24"/>
          <w:szCs w:val="24"/>
        </w:rPr>
        <w:t>15.5% of patients prematurely discontinued from the study</w:t>
      </w:r>
      <w:r w:rsidR="000E3027">
        <w:rPr>
          <w:rFonts w:ascii="Arial" w:hAnsi="Arial" w:cs="Arial"/>
          <w:sz w:val="24"/>
          <w:szCs w:val="24"/>
        </w:rPr>
        <w:t>. Specifically</w:t>
      </w:r>
      <w:r w:rsidR="00FD7EF0" w:rsidRPr="00AB4615">
        <w:rPr>
          <w:rFonts w:ascii="Arial" w:hAnsi="Arial" w:cs="Arial"/>
          <w:sz w:val="24"/>
          <w:szCs w:val="24"/>
        </w:rPr>
        <w:t xml:space="preserve"> 8.3% withdrew consent for whom the great majority had unknown </w:t>
      </w:r>
      <w:r w:rsidR="00FD7EF0" w:rsidRPr="00AB4615">
        <w:rPr>
          <w:rFonts w:ascii="Arial" w:hAnsi="Arial" w:cs="Arial"/>
          <w:sz w:val="24"/>
          <w:szCs w:val="24"/>
        </w:rPr>
        <w:lastRenderedPageBreak/>
        <w:t xml:space="preserve">vital status at trial end. This problem cast sufficient doubt on the robustness of trial findings to influence the FDA Panel not to recommend approval. There is no fixed guidance as to what level of dropout </w:t>
      </w:r>
      <w:r w:rsidR="00676C1D" w:rsidRPr="00AB4615">
        <w:rPr>
          <w:rFonts w:ascii="Arial" w:hAnsi="Arial" w:cs="Arial"/>
          <w:sz w:val="24"/>
          <w:szCs w:val="24"/>
        </w:rPr>
        <w:t>b</w:t>
      </w:r>
      <w:r w:rsidR="00FD7EF0" w:rsidRPr="00AB4615">
        <w:rPr>
          <w:rFonts w:ascii="Arial" w:hAnsi="Arial" w:cs="Arial"/>
          <w:sz w:val="24"/>
          <w:szCs w:val="24"/>
        </w:rPr>
        <w:t>ecomes unacceptable, though ATLAS ACS 2 clearly did less well in this regard than several other recent trials in acute coronary</w:t>
      </w:r>
      <w:r w:rsidR="00FD7EF0">
        <w:rPr>
          <w:rFonts w:ascii="Arial" w:hAnsi="Arial" w:cs="Arial"/>
          <w:sz w:val="24"/>
          <w:szCs w:val="24"/>
        </w:rPr>
        <w:t xml:space="preserve"> syndrome, though of course none could achieve 100% follow-up</w:t>
      </w:r>
      <w:r w:rsidR="0009214E">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&lt;EndNote&gt;&lt;Cite&gt;&lt;Author&gt;Krantz&lt;/Author&gt;&lt;Year&gt;2013&lt;/Year&gt;&lt;RecNum&gt;84&lt;/RecNum&gt;&lt;DisplayText&gt;(35)&lt;/DisplayText&gt;&lt;record&gt;&lt;rec-number&gt;84&lt;/rec-number&gt;&lt;foreign-keys&gt;&lt;key app="EN" db-id="eaz5sewevp5dfxewrdrvzv52xsv2tsf22rzr"&gt;84&lt;/key&gt;&lt;/foreign-keys&gt;&lt;ref-type name="Journal Article"&gt;17&lt;/ref-type&gt;&lt;contributors&gt;&lt;authors&gt;&lt;author&gt;Krantz, Mori J.&lt;/author&gt;&lt;author&gt;Kaul, Sanjay&lt;/author&gt;&lt;/authors&gt;&lt;/contributors&gt;&lt;titles&gt;&lt;title&gt;The ATLAS ACS 2–TIMI 51 Trial and the Burden of Missing Data: (Anti-Xa Therapy to Lower Cardiovascular Events in Addition to Standard Therapy in Subjects With Acute Coronary Syndrome ACS 2–Thrombolysis In Myocardial Infarction 51)&lt;/title&gt;&lt;secondary-title&gt;Journal of the American College of Cardiology&lt;/secondary-title&gt;&lt;/titles&gt;&lt;periodical&gt;&lt;full-title&gt;Journal of the American College of Cardiology&lt;/full-title&gt;&lt;/periodical&gt;&lt;pages&gt;777-781&lt;/pages&gt;&lt;volume&gt;62&lt;/volume&gt;&lt;number&gt;9&lt;/number&gt;&lt;keywords&gt;&lt;keyword&gt;acute coronary syndrome(s)&lt;/keyword&gt;&lt;keyword&gt;informative censuring&lt;/keyword&gt;&lt;keyword&gt;missing data&lt;/keyword&gt;&lt;keyword&gt;rivaroxaban&lt;/keyword&gt;&lt;keyword&gt;triple antithrombotic therapy&lt;/keyword&gt;&lt;/keywords&gt;&lt;dates&gt;&lt;year&gt;2013&lt;/year&gt;&lt;pub-dates&gt;&lt;date&gt;8/27/&lt;/date&gt;&lt;/pub-dates&gt;&lt;/dates&gt;&lt;isbn&gt;0735-1097&lt;/isbn&gt;&lt;call-num&gt;31&lt;/call-num&gt;&lt;urls&gt;&lt;related-urls&gt;&lt;url&gt;http://www.sciencedirect.com/science/article/pii/S0735109713021645&lt;/url&gt;&lt;/related-urls&gt;&lt;/urls&gt;&lt;electronic-resource-num&gt;http://dx.doi.org/10.1016/j.jacc.2013.05.024&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35" w:tooltip="Krantz, 2013 #84" w:history="1">
        <w:r w:rsidR="00DA7737">
          <w:rPr>
            <w:rFonts w:ascii="Arial" w:hAnsi="Arial" w:cs="Arial"/>
            <w:noProof/>
            <w:sz w:val="24"/>
            <w:szCs w:val="24"/>
          </w:rPr>
          <w:t>35</w:t>
        </w:r>
      </w:hyperlink>
      <w:r w:rsidR="00DA7737">
        <w:rPr>
          <w:rFonts w:ascii="Arial" w:hAnsi="Arial" w:cs="Arial"/>
          <w:noProof/>
          <w:sz w:val="24"/>
          <w:szCs w:val="24"/>
        </w:rPr>
        <w:t>)</w:t>
      </w:r>
      <w:r w:rsidR="006B0D3C">
        <w:rPr>
          <w:rFonts w:ascii="Arial" w:hAnsi="Arial" w:cs="Arial"/>
          <w:sz w:val="24"/>
          <w:szCs w:val="24"/>
        </w:rPr>
        <w:fldChar w:fldCharType="end"/>
      </w:r>
      <w:r w:rsidR="000E3027">
        <w:rPr>
          <w:rFonts w:ascii="Arial" w:hAnsi="Arial" w:cs="Arial"/>
          <w:sz w:val="24"/>
          <w:szCs w:val="24"/>
        </w:rPr>
        <w:t>.</w:t>
      </w:r>
    </w:p>
    <w:p w14:paraId="29201734" w14:textId="77777777" w:rsidR="00FD7EF0" w:rsidRDefault="00FD7EF0" w:rsidP="00A7253B">
      <w:pPr>
        <w:spacing w:after="0" w:line="360" w:lineRule="auto"/>
        <w:rPr>
          <w:rFonts w:ascii="Arial" w:hAnsi="Arial" w:cs="Arial"/>
          <w:sz w:val="24"/>
          <w:szCs w:val="24"/>
        </w:rPr>
      </w:pPr>
    </w:p>
    <w:p w14:paraId="4F26E25B" w14:textId="587BE22B" w:rsidR="00FD7EF0" w:rsidRDefault="00FD7EF0" w:rsidP="00A7253B">
      <w:pPr>
        <w:spacing w:after="0" w:line="360" w:lineRule="auto"/>
        <w:rPr>
          <w:rFonts w:ascii="Arial" w:hAnsi="Arial" w:cs="Arial"/>
          <w:sz w:val="24"/>
          <w:szCs w:val="24"/>
        </w:rPr>
      </w:pPr>
      <w:r>
        <w:rPr>
          <w:rFonts w:ascii="Arial" w:hAnsi="Arial" w:cs="Arial"/>
          <w:sz w:val="24"/>
          <w:szCs w:val="24"/>
        </w:rPr>
        <w:t xml:space="preserve">While presenting ITT analyses, </w:t>
      </w:r>
      <w:r w:rsidRPr="00543767">
        <w:rPr>
          <w:rFonts w:ascii="Arial" w:hAnsi="Arial" w:cs="Arial"/>
          <w:sz w:val="24"/>
          <w:szCs w:val="24"/>
        </w:rPr>
        <w:t>ATLAS ACS</w:t>
      </w:r>
      <w:r w:rsidR="00543767">
        <w:rPr>
          <w:rFonts w:ascii="Arial" w:hAnsi="Arial" w:cs="Arial"/>
          <w:sz w:val="24"/>
          <w:szCs w:val="24"/>
        </w:rPr>
        <w:t xml:space="preserve"> 2</w:t>
      </w:r>
      <w:r>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&lt;EndNote&gt;&lt;Cite&gt;&lt;Author&gt;Pocock&lt;/Author&gt;&lt;Year&gt;2014&lt;/Year&gt;&lt;RecNum&gt;85&lt;/RecNum&gt;&lt;DisplayText&gt;(33)&lt;/DisplayText&gt;&lt;record&gt;&lt;rec-number&gt;85&lt;/rec-number&gt;&lt;foreign-keys&gt;&lt;key app="EN" db-id="eaz5sewevp5dfxewrdrvzv52xsv2tsf22rzr"&gt;85&lt;/key&gt;&lt;/foreign-keys&gt;&lt;ref-type name="Journal Article"&gt;17&lt;/ref-type&gt;&lt;contributors&gt;&lt;authors&gt;&lt;author&gt;Pocock, Stuart J.&lt;/author&gt;&lt;author&gt;Stone, Gregg W.&lt;/author&gt;&lt;author&gt;Mehran, Roxana&lt;/author&gt;&lt;author&gt;Clayton, Tim C.&lt;/author&gt;&lt;/authors&gt;&lt;/contributors&gt;&lt;titles&gt;&lt;title&gt;Individualizing treatment choices using quantitative methods&lt;/title&gt;&lt;secondary-title&gt;American Heart Journal&lt;/secondary-title&gt;&lt;/titles&gt;&lt;periodical&gt;&lt;full-title&gt;American Heart Journal&lt;/full-title&gt;&lt;/periodical&gt;&lt;pages&gt;607-610&lt;/pages&gt;&lt;volume&gt;168&lt;/volume&gt;&lt;number&gt;5&lt;/number&gt;&lt;dates&gt;&lt;year&gt;2014&lt;/year&gt;&lt;pub-dates&gt;&lt;date&gt;11//&lt;/date&gt;&lt;/pub-dates&gt;&lt;/dates&gt;&lt;isbn&gt;0002-8703&lt;/isbn&gt;&lt;call-num&gt;29&lt;/call-num&gt;&lt;urls&gt;&lt;related-urls&gt;&lt;url&gt;http://www.sciencedirect.com/science/article/pii/S0002870314004992&lt;/url&gt;&lt;/related-urls&gt;&lt;/urls&gt;&lt;electronic-resource-num&gt;http://dx.doi.org/10.1016/j.ahj.2014.08.003&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33" w:tooltip="Pocock, 2014 #85" w:history="1">
        <w:r w:rsidR="00DA7737">
          <w:rPr>
            <w:rFonts w:ascii="Arial" w:hAnsi="Arial" w:cs="Arial"/>
            <w:noProof/>
            <w:sz w:val="24"/>
            <w:szCs w:val="24"/>
          </w:rPr>
          <w:t>33</w:t>
        </w:r>
      </w:hyperlink>
      <w:r w:rsidR="00DA7737">
        <w:rPr>
          <w:rFonts w:ascii="Arial" w:hAnsi="Arial" w:cs="Arial"/>
          <w:noProof/>
          <w:sz w:val="24"/>
          <w:szCs w:val="24"/>
        </w:rPr>
        <w:t>)</w:t>
      </w:r>
      <w:r w:rsidR="006B0D3C">
        <w:rPr>
          <w:rFonts w:ascii="Arial" w:hAnsi="Arial" w:cs="Arial"/>
          <w:sz w:val="24"/>
          <w:szCs w:val="24"/>
        </w:rPr>
        <w:fldChar w:fldCharType="end"/>
      </w:r>
      <w:r w:rsidR="006B0D3C">
        <w:rPr>
          <w:rFonts w:ascii="Arial" w:hAnsi="Arial" w:cs="Arial"/>
          <w:sz w:val="24"/>
          <w:szCs w:val="24"/>
        </w:rPr>
        <w:t xml:space="preserve"> </w:t>
      </w:r>
      <w:r>
        <w:rPr>
          <w:rFonts w:ascii="Arial" w:hAnsi="Arial" w:cs="Arial"/>
          <w:sz w:val="24"/>
          <w:szCs w:val="24"/>
        </w:rPr>
        <w:t>put greater emphasis on what they called a modified ITT approach: that is, any events occurring more than 30 days after study drug discontinuation were excluded from analysis. This is perhaps more commonly called a “per protocol” or “</w:t>
      </w:r>
      <w:r w:rsidR="000E3027">
        <w:rPr>
          <w:rFonts w:ascii="Arial" w:hAnsi="Arial" w:cs="Arial"/>
          <w:sz w:val="24"/>
          <w:szCs w:val="24"/>
        </w:rPr>
        <w:t>on treatment</w:t>
      </w:r>
      <w:r>
        <w:rPr>
          <w:rFonts w:ascii="Arial" w:hAnsi="Arial" w:cs="Arial"/>
          <w:sz w:val="24"/>
          <w:szCs w:val="24"/>
        </w:rPr>
        <w:t>” analysis and is usually downgraded to a secondary analysis with prime focus being on ITT. Use of the term “modified ITT” is quite common in clinical trial reports but there is a lack of consistency in what it means. Less desirable features are any post-randomisation exclusions, since these could lead to bias</w:t>
      </w:r>
      <w:r w:rsidR="001E3599">
        <w:rPr>
          <w:rFonts w:ascii="Arial" w:hAnsi="Arial" w:cs="Arial"/>
          <w:sz w:val="24"/>
          <w:szCs w:val="24"/>
        </w:rPr>
        <w:t xml:space="preserve"> </w:t>
      </w:r>
      <w:r w:rsidR="006B0D3C">
        <w:rPr>
          <w:rFonts w:ascii="Arial" w:hAnsi="Arial" w:cs="Arial"/>
          <w:sz w:val="24"/>
          <w:szCs w:val="24"/>
        </w:rPr>
        <w:fldChar w:fldCharType="begin">
          <w:fldData xml:space="preserve">PEVuZE5vdGU+PENpdGU+PEF1dGhvcj5Nb250ZWRvcmk8L0F1dGhvcj48WWVhcj4yMDExPC9ZZWFy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b2RpY2FsPjxwYWdlcz41ODwvcGFnZXM+PHZvbHVtZT4xMjwvdm9sdW1lPjxlZGl0aW9uPjIwMTEv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</w:fldData>
        </w:fldChar>
      </w:r>
      <w:r w:rsidR="00DA7737">
        <w:rPr>
          <w:rFonts w:ascii="Arial" w:hAnsi="Arial" w:cs="Arial"/>
          <w:sz w:val="24"/>
          <w:szCs w:val="24"/>
        </w:rPr>
        <w:instrText xml:space="preserve"> ADDIN EN.CITE </w:instrText>
      </w:r>
      <w:r w:rsidR="00DA7737">
        <w:rPr>
          <w:rFonts w:ascii="Arial" w:hAnsi="Arial" w:cs="Arial"/>
          <w:sz w:val="24"/>
          <w:szCs w:val="24"/>
        </w:rPr>
        <w:fldChar w:fldCharType="begin">
          <w:fldData xml:space="preserve">PEVuZE5vdGU+PENpdGU+PEF1dGhvcj5Nb250ZWRvcmk8L0F1dGhvcj48WWVhcj4yMDExPC9ZZWFy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b2RpY2FsPjxwYWdlcz41ODwvcGFnZXM+PHZvbHVtZT4xMjwvdm9sdW1lPjxlZGl0aW9uPjIwMTEv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</w:fldData>
        </w:fldChar>
      </w:r>
      <w:r w:rsidR="00DA7737">
        <w:rPr>
          <w:rFonts w:ascii="Arial" w:hAnsi="Arial" w:cs="Arial"/>
          <w:sz w:val="24"/>
          <w:szCs w:val="24"/>
        </w:rPr>
        <w:instrText xml:space="preserve"> ADDIN EN.CITE.DATA </w:instrText>
      </w:r>
      <w:r w:rsidR="00DA7737">
        <w:rPr>
          <w:rFonts w:ascii="Arial" w:hAnsi="Arial" w:cs="Arial"/>
          <w:sz w:val="24"/>
          <w:szCs w:val="24"/>
        </w:rPr>
      </w:r>
      <w:r w:rsidR="00DA7737">
        <w:rPr>
          <w:rFonts w:ascii="Arial" w:hAnsi="Arial" w:cs="Arial"/>
          <w:sz w:val="24"/>
          <w:szCs w:val="24"/>
        </w:rPr>
        <w:fldChar w:fldCharType="end"/>
      </w:r>
      <w:r w:rsidR="006B0D3C">
        <w:rPr>
          <w:rFonts w:ascii="Arial" w:hAnsi="Arial" w:cs="Arial"/>
          <w:sz w:val="24"/>
          <w:szCs w:val="24"/>
        </w:rPr>
      </w:r>
      <w:r w:rsidR="006B0D3C">
        <w:rPr>
          <w:rFonts w:ascii="Arial" w:hAnsi="Arial" w:cs="Arial"/>
          <w:sz w:val="24"/>
          <w:szCs w:val="24"/>
        </w:rPr>
        <w:fldChar w:fldCharType="separate"/>
      </w:r>
      <w:r w:rsidR="00DA7737">
        <w:rPr>
          <w:rFonts w:ascii="Arial" w:hAnsi="Arial" w:cs="Arial"/>
          <w:noProof/>
          <w:sz w:val="24"/>
          <w:szCs w:val="24"/>
        </w:rPr>
        <w:t>(</w:t>
      </w:r>
      <w:hyperlink w:anchor="_ENREF_36" w:tooltip="Montedori, 2011 #88" w:history="1">
        <w:r w:rsidR="00DA7737">
          <w:rPr>
            <w:rFonts w:ascii="Arial" w:hAnsi="Arial" w:cs="Arial"/>
            <w:noProof/>
            <w:sz w:val="24"/>
            <w:szCs w:val="24"/>
          </w:rPr>
          <w:t>36</w:t>
        </w:r>
      </w:hyperlink>
      <w:r w:rsidR="00DA7737">
        <w:rPr>
          <w:rFonts w:ascii="Arial" w:hAnsi="Arial" w:cs="Arial"/>
          <w:noProof/>
          <w:sz w:val="24"/>
          <w:szCs w:val="24"/>
        </w:rPr>
        <w:t>)</w:t>
      </w:r>
      <w:r w:rsidR="006B0D3C">
        <w:rPr>
          <w:rFonts w:ascii="Arial" w:hAnsi="Arial" w:cs="Arial"/>
          <w:sz w:val="24"/>
          <w:szCs w:val="24"/>
        </w:rPr>
        <w:fldChar w:fldCharType="end"/>
      </w:r>
      <w:r>
        <w:rPr>
          <w:rFonts w:ascii="Arial" w:hAnsi="Arial" w:cs="Arial"/>
          <w:sz w:val="24"/>
          <w:szCs w:val="24"/>
        </w:rPr>
        <w:t xml:space="preserve">. More </w:t>
      </w:r>
      <w:r w:rsidR="00986D48">
        <w:rPr>
          <w:rFonts w:ascii="Arial" w:hAnsi="Arial" w:cs="Arial"/>
          <w:sz w:val="24"/>
          <w:szCs w:val="24"/>
        </w:rPr>
        <w:t>acceptable modifications are exclusions of ineligible patients incorrectly randomised and, in double blind trials, exclusions of any patients who never g</w:t>
      </w:r>
      <w:r w:rsidR="001E3599">
        <w:rPr>
          <w:rFonts w:ascii="Arial" w:hAnsi="Arial" w:cs="Arial"/>
          <w:sz w:val="24"/>
          <w:szCs w:val="24"/>
        </w:rPr>
        <w:t>ot a single dose of study drug.</w:t>
      </w:r>
    </w:p>
    <w:p w14:paraId="21C6AD4E" w14:textId="77777777" w:rsidR="00986D48" w:rsidRDefault="00986D48" w:rsidP="00A7253B">
      <w:pPr>
        <w:spacing w:after="0" w:line="360" w:lineRule="auto"/>
        <w:rPr>
          <w:rFonts w:ascii="Arial" w:hAnsi="Arial" w:cs="Arial"/>
          <w:sz w:val="24"/>
          <w:szCs w:val="24"/>
        </w:rPr>
      </w:pPr>
    </w:p>
    <w:p w14:paraId="5DF3408E" w14:textId="0B01EC40" w:rsidR="006160CA" w:rsidRDefault="00986D48" w:rsidP="00A7253B">
      <w:pPr>
        <w:spacing w:after="0" w:line="360" w:lineRule="auto"/>
        <w:rPr>
          <w:rFonts w:ascii="Arial" w:hAnsi="Arial" w:cs="Arial"/>
          <w:sz w:val="24"/>
          <w:szCs w:val="24"/>
        </w:rPr>
      </w:pPr>
      <w:r w:rsidRPr="00543767">
        <w:rPr>
          <w:rFonts w:ascii="Arial" w:hAnsi="Arial" w:cs="Arial"/>
          <w:sz w:val="24"/>
          <w:szCs w:val="24"/>
        </w:rPr>
        <w:t xml:space="preserve">The </w:t>
      </w:r>
      <w:proofErr w:type="spellStart"/>
      <w:r w:rsidRPr="00543767">
        <w:rPr>
          <w:rFonts w:ascii="Arial" w:hAnsi="Arial" w:cs="Arial"/>
          <w:sz w:val="24"/>
          <w:szCs w:val="24"/>
        </w:rPr>
        <w:t>APPROV</w:t>
      </w:r>
      <w:r w:rsidR="00543767" w:rsidRPr="001E3599">
        <w:rPr>
          <w:rFonts w:ascii="Arial" w:hAnsi="Arial" w:cs="Arial"/>
          <w:sz w:val="24"/>
          <w:szCs w:val="24"/>
        </w:rPr>
        <w:t>e</w:t>
      </w:r>
      <w:proofErr w:type="spellEnd"/>
      <w:r>
        <w:rPr>
          <w:rFonts w:ascii="Arial" w:hAnsi="Arial" w:cs="Arial"/>
          <w:sz w:val="24"/>
          <w:szCs w:val="24"/>
        </w:rPr>
        <w:t xml:space="preserve"> trial</w:t>
      </w:r>
      <w:r w:rsidR="00D65760">
        <w:rPr>
          <w:rFonts w:ascii="Arial" w:hAnsi="Arial" w:cs="Arial"/>
          <w:sz w:val="24"/>
          <w:szCs w:val="24"/>
        </w:rPr>
        <w:t xml:space="preserve"> </w:t>
      </w:r>
      <w:r w:rsidR="006B0D3C">
        <w:rPr>
          <w:rFonts w:ascii="Arial" w:hAnsi="Arial" w:cs="Arial"/>
          <w:sz w:val="24"/>
          <w:szCs w:val="24"/>
        </w:rPr>
        <w:fldChar w:fldCharType="begin">
          <w:fldData xml:space="preserve">PEVuZE5vdGU+PENpdGU+PEF1dGhvcj5CcmVzYWxpZXI8L0F1dGhvcj48WWVhcj4yMDA1PC9ZZWFy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</w:fldData>
        </w:fldChar>
      </w:r>
      <w:r w:rsidR="00DA7737">
        <w:rPr>
          <w:rFonts w:ascii="Arial" w:hAnsi="Arial" w:cs="Arial"/>
          <w:sz w:val="24"/>
          <w:szCs w:val="24"/>
        </w:rPr>
        <w:instrText xml:space="preserve"> ADDIN EN.CITE </w:instrText>
      </w:r>
      <w:r w:rsidR="00DA7737">
        <w:rPr>
          <w:rFonts w:ascii="Arial" w:hAnsi="Arial" w:cs="Arial"/>
          <w:sz w:val="24"/>
          <w:szCs w:val="24"/>
        </w:rPr>
        <w:fldChar w:fldCharType="begin">
          <w:fldData xml:space="preserve">PEVuZE5vdGU+PENpdGU+PEF1dGhvcj5CcmVzYWxpZXI8L0F1dGhvcj48WWVhcj4yMDA1PC9ZZWFy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</w:fldData>
        </w:fldChar>
      </w:r>
      <w:r w:rsidR="00DA7737">
        <w:rPr>
          <w:rFonts w:ascii="Arial" w:hAnsi="Arial" w:cs="Arial"/>
          <w:sz w:val="24"/>
          <w:szCs w:val="24"/>
        </w:rPr>
        <w:instrText xml:space="preserve"> ADDIN EN.CITE.DATA </w:instrText>
      </w:r>
      <w:r w:rsidR="00DA7737">
        <w:rPr>
          <w:rFonts w:ascii="Arial" w:hAnsi="Arial" w:cs="Arial"/>
          <w:sz w:val="24"/>
          <w:szCs w:val="24"/>
        </w:rPr>
      </w:r>
      <w:r w:rsidR="00DA7737">
        <w:rPr>
          <w:rFonts w:ascii="Arial" w:hAnsi="Arial" w:cs="Arial"/>
          <w:sz w:val="24"/>
          <w:szCs w:val="24"/>
        </w:rPr>
        <w:fldChar w:fldCharType="end"/>
      </w:r>
      <w:r w:rsidR="006B0D3C">
        <w:rPr>
          <w:rFonts w:ascii="Arial" w:hAnsi="Arial" w:cs="Arial"/>
          <w:sz w:val="24"/>
          <w:szCs w:val="24"/>
        </w:rPr>
      </w:r>
      <w:r w:rsidR="006B0D3C">
        <w:rPr>
          <w:rFonts w:ascii="Arial" w:hAnsi="Arial" w:cs="Arial"/>
          <w:sz w:val="24"/>
          <w:szCs w:val="24"/>
        </w:rPr>
        <w:fldChar w:fldCharType="separate"/>
      </w:r>
      <w:r w:rsidR="00DA7737">
        <w:rPr>
          <w:rFonts w:ascii="Arial" w:hAnsi="Arial" w:cs="Arial"/>
          <w:noProof/>
          <w:sz w:val="24"/>
          <w:szCs w:val="24"/>
        </w:rPr>
        <w:t>(</w:t>
      </w:r>
      <w:hyperlink w:anchor="_ENREF_37" w:tooltip="Bresalier, 2005 #64" w:history="1">
        <w:r w:rsidR="00DA7737">
          <w:rPr>
            <w:rFonts w:ascii="Arial" w:hAnsi="Arial" w:cs="Arial"/>
            <w:noProof/>
            <w:sz w:val="24"/>
            <w:szCs w:val="24"/>
          </w:rPr>
          <w:t>37</w:t>
        </w:r>
      </w:hyperlink>
      <w:r w:rsidR="00DA7737">
        <w:rPr>
          <w:rFonts w:ascii="Arial" w:hAnsi="Arial" w:cs="Arial"/>
          <w:noProof/>
          <w:sz w:val="24"/>
          <w:szCs w:val="24"/>
        </w:rPr>
        <w:t>,</w:t>
      </w:r>
      <w:hyperlink w:anchor="_ENREF_38" w:tooltip="Baron, 2008 #79" w:history="1">
        <w:r w:rsidR="00DA7737">
          <w:rPr>
            <w:rFonts w:ascii="Arial" w:hAnsi="Arial" w:cs="Arial"/>
            <w:noProof/>
            <w:sz w:val="24"/>
            <w:szCs w:val="24"/>
          </w:rPr>
          <w:t>38</w:t>
        </w:r>
      </w:hyperlink>
      <w:r w:rsidR="00DA7737">
        <w:rPr>
          <w:rFonts w:ascii="Arial" w:hAnsi="Arial" w:cs="Arial"/>
          <w:noProof/>
          <w:sz w:val="24"/>
          <w:szCs w:val="24"/>
        </w:rPr>
        <w:t>)</w:t>
      </w:r>
      <w:r w:rsidR="006B0D3C">
        <w:rPr>
          <w:rFonts w:ascii="Arial" w:hAnsi="Arial" w:cs="Arial"/>
          <w:sz w:val="24"/>
          <w:szCs w:val="24"/>
        </w:rPr>
        <w:fldChar w:fldCharType="end"/>
      </w:r>
      <w:r>
        <w:rPr>
          <w:rFonts w:ascii="Arial" w:hAnsi="Arial" w:cs="Arial"/>
          <w:sz w:val="24"/>
          <w:szCs w:val="24"/>
        </w:rPr>
        <w:t xml:space="preserve"> illustrates how obtaining a</w:t>
      </w:r>
      <w:r w:rsidR="001E3599">
        <w:rPr>
          <w:rFonts w:ascii="Arial" w:hAnsi="Arial" w:cs="Arial"/>
          <w:sz w:val="24"/>
          <w:szCs w:val="24"/>
        </w:rPr>
        <w:t>n appropriate</w:t>
      </w:r>
      <w:r>
        <w:rPr>
          <w:rFonts w:ascii="Arial" w:hAnsi="Arial" w:cs="Arial"/>
          <w:sz w:val="24"/>
          <w:szCs w:val="24"/>
        </w:rPr>
        <w:t xml:space="preserve"> ITT analysis is important in reaching valid conclusions. The trial found an excess risk of cardiovascular events on </w:t>
      </w:r>
      <w:proofErr w:type="spellStart"/>
      <w:r>
        <w:rPr>
          <w:rFonts w:ascii="Arial" w:hAnsi="Arial" w:cs="Arial"/>
          <w:sz w:val="24"/>
          <w:szCs w:val="24"/>
        </w:rPr>
        <w:t>rofecoxib</w:t>
      </w:r>
      <w:proofErr w:type="spellEnd"/>
      <w:r>
        <w:rPr>
          <w:rFonts w:ascii="Arial" w:hAnsi="Arial" w:cs="Arial"/>
          <w:sz w:val="24"/>
          <w:szCs w:val="24"/>
        </w:rPr>
        <w:t xml:space="preserve"> compared to placebo in 2586 patients with a history of </w:t>
      </w:r>
      <w:proofErr w:type="spellStart"/>
      <w:r>
        <w:rPr>
          <w:rFonts w:ascii="Arial" w:hAnsi="Arial" w:cs="Arial"/>
          <w:sz w:val="24"/>
          <w:szCs w:val="24"/>
        </w:rPr>
        <w:t>colerectal</w:t>
      </w:r>
      <w:proofErr w:type="spellEnd"/>
      <w:r>
        <w:rPr>
          <w:rFonts w:ascii="Arial" w:hAnsi="Arial" w:cs="Arial"/>
          <w:sz w:val="24"/>
          <w:szCs w:val="24"/>
        </w:rPr>
        <w:t xml:space="preserve"> adenomas. The first report only included events occurring during treatment and up to 14 days after last dose: 46 vs 26 patients with thrombotic events, P=0.008. It was claimed that event rates were similar in the first 18 months and the excess only emerged thereafter (see Figure </w:t>
      </w:r>
      <w:r w:rsidR="003A10BE">
        <w:rPr>
          <w:rFonts w:ascii="Arial" w:hAnsi="Arial" w:cs="Arial"/>
          <w:sz w:val="24"/>
          <w:szCs w:val="24"/>
        </w:rPr>
        <w:t>3</w:t>
      </w:r>
      <w:r>
        <w:rPr>
          <w:rFonts w:ascii="Arial" w:hAnsi="Arial" w:cs="Arial"/>
          <w:sz w:val="24"/>
          <w:szCs w:val="24"/>
        </w:rPr>
        <w:t>, top graph).</w:t>
      </w:r>
      <w:r w:rsidR="003A10BE">
        <w:rPr>
          <w:rFonts w:ascii="Arial" w:hAnsi="Arial" w:cs="Arial"/>
          <w:sz w:val="24"/>
          <w:szCs w:val="24"/>
        </w:rPr>
        <w:t xml:space="preserve"> </w:t>
      </w:r>
      <w:r>
        <w:rPr>
          <w:rFonts w:ascii="Arial" w:hAnsi="Arial" w:cs="Arial"/>
          <w:sz w:val="24"/>
          <w:szCs w:val="24"/>
        </w:rPr>
        <w:t>This “on treatment” analysis did not give the whole story, and a subsequent ITT analysis, still</w:t>
      </w:r>
      <w:r w:rsidR="003A10BE">
        <w:rPr>
          <w:rFonts w:ascii="Arial" w:hAnsi="Arial" w:cs="Arial"/>
          <w:sz w:val="24"/>
          <w:szCs w:val="24"/>
        </w:rPr>
        <w:t xml:space="preserve"> with</w:t>
      </w:r>
      <w:r>
        <w:rPr>
          <w:rFonts w:ascii="Arial" w:hAnsi="Arial" w:cs="Arial"/>
          <w:sz w:val="24"/>
          <w:szCs w:val="24"/>
        </w:rPr>
        <w:t xml:space="preserve"> some missing follow-up</w:t>
      </w:r>
      <w:r w:rsidR="003A10BE">
        <w:rPr>
          <w:rFonts w:ascii="Arial" w:hAnsi="Arial" w:cs="Arial"/>
          <w:sz w:val="24"/>
          <w:szCs w:val="24"/>
        </w:rPr>
        <w:t>,</w:t>
      </w:r>
      <w:r>
        <w:rPr>
          <w:rFonts w:ascii="Arial" w:hAnsi="Arial" w:cs="Arial"/>
          <w:sz w:val="24"/>
          <w:szCs w:val="24"/>
        </w:rPr>
        <w:t xml:space="preserve"> revealed a somewhat differen</w:t>
      </w:r>
      <w:r w:rsidR="00D65760">
        <w:rPr>
          <w:rFonts w:ascii="Arial" w:hAnsi="Arial" w:cs="Arial"/>
          <w:sz w:val="24"/>
          <w:szCs w:val="24"/>
        </w:rPr>
        <w:t>t</w:t>
      </w:r>
      <w:r>
        <w:rPr>
          <w:rFonts w:ascii="Arial" w:hAnsi="Arial" w:cs="Arial"/>
          <w:sz w:val="24"/>
          <w:szCs w:val="24"/>
        </w:rPr>
        <w:t xml:space="preserve"> pattern. There were now 59 vs 34 patients with thrombotic events, P=0.006 and the evidence appeared compatible with an early increase in risk that persists</w:t>
      </w:r>
      <w:r w:rsidR="006160CA">
        <w:rPr>
          <w:rFonts w:ascii="Arial" w:hAnsi="Arial" w:cs="Arial"/>
          <w:sz w:val="24"/>
          <w:szCs w:val="24"/>
        </w:rPr>
        <w:t xml:space="preserve"> one year after stopping treatment (see Figure </w:t>
      </w:r>
      <w:r w:rsidR="008046B6">
        <w:rPr>
          <w:rFonts w:ascii="Arial" w:hAnsi="Arial" w:cs="Arial"/>
          <w:sz w:val="24"/>
          <w:szCs w:val="24"/>
        </w:rPr>
        <w:t>3</w:t>
      </w:r>
      <w:r w:rsidR="006160CA">
        <w:rPr>
          <w:rFonts w:ascii="Arial" w:hAnsi="Arial" w:cs="Arial"/>
          <w:sz w:val="24"/>
          <w:szCs w:val="24"/>
        </w:rPr>
        <w:t xml:space="preserve">, bottom graph). </w:t>
      </w:r>
      <w:proofErr w:type="spellStart"/>
      <w:r w:rsidR="006160CA">
        <w:rPr>
          <w:rFonts w:ascii="Arial" w:hAnsi="Arial" w:cs="Arial"/>
          <w:sz w:val="24"/>
          <w:szCs w:val="24"/>
        </w:rPr>
        <w:t>Rofecoxib</w:t>
      </w:r>
      <w:proofErr w:type="spellEnd"/>
      <w:r w:rsidR="006160CA">
        <w:rPr>
          <w:rFonts w:ascii="Arial" w:hAnsi="Arial" w:cs="Arial"/>
          <w:sz w:val="24"/>
          <w:szCs w:val="24"/>
        </w:rPr>
        <w:t xml:space="preserve"> was withdrawn from worldwide markets due to these safety concern</w:t>
      </w:r>
      <w:r w:rsidR="004217BC">
        <w:rPr>
          <w:rFonts w:ascii="Arial" w:hAnsi="Arial" w:cs="Arial"/>
          <w:sz w:val="24"/>
          <w:szCs w:val="24"/>
        </w:rPr>
        <w:t>s</w:t>
      </w:r>
      <w:r w:rsidR="00D561E9">
        <w:rPr>
          <w:rFonts w:ascii="Arial" w:hAnsi="Arial" w:cs="Arial"/>
          <w:sz w:val="24"/>
          <w:szCs w:val="24"/>
        </w:rPr>
        <w:t xml:space="preserve">, though it is worth noting that the second report </w:t>
      </w:r>
      <w:r w:rsidR="00D561E9">
        <w:rPr>
          <w:rFonts w:ascii="Arial" w:hAnsi="Arial" w:cs="Arial"/>
          <w:sz w:val="24"/>
          <w:szCs w:val="24"/>
        </w:rPr>
        <w:fldChar w:fldCharType="begin"/>
      </w:r>
      <w:r w:rsidR="00DA7737">
        <w:rPr>
          <w:rFonts w:ascii="Arial" w:hAnsi="Arial" w:cs="Arial"/>
          <w:sz w:val="24"/>
          <w:szCs w:val="24"/>
        </w:rPr>
        <w:instrText xml:space="preserve"> ADDIN EN.CITE &lt;EndNote&gt;&lt;Cite&gt;&lt;Author&gt;Baron&lt;/Author&gt;&lt;Year&gt;2008&lt;/Year&gt;&lt;RecNum&gt;79&lt;/RecNum&gt;&lt;DisplayText&gt;(38)&lt;/DisplayText&gt;&lt;record&gt;&lt;rec-number&gt;79&lt;/rec-number&gt;&lt;foreign-keys&gt;&lt;key app="EN" db-id="eaz5sewevp5dfxewrdrvzv52xsv2tsf22rzr"&gt;79&lt;/key&gt;&lt;/foreign-keys&gt;&lt;ref-type name="Journal Article"&gt;17&lt;/ref-type&gt;&lt;contributors&gt;&lt;authors&gt;&lt;author&gt;Baron, John A.&lt;/author&gt;&lt;author&gt;Sandler, Robert S.&lt;/author&gt;&lt;author&gt;Bresalier, Robert S.&lt;/author&gt;&lt;author&gt;Lanas, Angel&lt;/author&gt;&lt;author&gt;Morton, Dion G.&lt;/author&gt;&lt;author&gt;Riddell, Robert&lt;/author&gt;&lt;author&gt;Iverson, Erik R.&lt;/author&gt;&lt;author&gt;DeMets, David L.&lt;/author&gt;&lt;/authors&gt;&lt;/contributors&gt;&lt;titles&gt;&lt;title&gt;Cardiovascular events associated with rofecoxib: final analysis of the APPROVe trial&lt;/title&gt;&lt;secondary-title&gt;The Lancet&lt;/secondary-title&gt;&lt;/titles&gt;&lt;periodical&gt;&lt;full-title&gt;The Lancet&lt;/full-title&gt;&lt;/periodical&gt;&lt;pages&gt;1756-1764&lt;/pages&gt;&lt;volume&gt;372&lt;/volume&gt;&lt;number&gt;9651&lt;/number&gt;&lt;dates&gt;&lt;year&gt;2008&lt;/year&gt;&lt;pub-dates&gt;&lt;date&gt;//&lt;/date&gt;&lt;/pub-dates&gt;&lt;/dates&gt;&lt;isbn&gt;0140-6736&lt;/isbn&gt;&lt;call-num&gt;34&lt;/call-num&gt;&lt;urls&gt;&lt;related-urls&gt;&lt;url&gt;http://www.sciencedirect.com/science/article/pii/S0140673608614907&lt;/url&gt;&lt;/related-urls&gt;&lt;/urls&gt;&lt;electronic-resource-num&gt;http://dx.doi.org/10.1016/S0140-6736(08)61490-7&lt;/electronic-resource-num&gt;&lt;access-date&gt;2008/11/21/&lt;/access-date&gt;&lt;/record&gt;&lt;/Cite&gt;&lt;/EndNote&gt;</w:instrText>
      </w:r>
      <w:r w:rsidR="00D561E9">
        <w:rPr>
          <w:rFonts w:ascii="Arial" w:hAnsi="Arial" w:cs="Arial"/>
          <w:sz w:val="24"/>
          <w:szCs w:val="24"/>
        </w:rPr>
        <w:fldChar w:fldCharType="separate"/>
      </w:r>
      <w:r w:rsidR="00DA7737">
        <w:rPr>
          <w:rFonts w:ascii="Arial" w:hAnsi="Arial" w:cs="Arial"/>
          <w:noProof/>
          <w:sz w:val="24"/>
          <w:szCs w:val="24"/>
        </w:rPr>
        <w:t>(</w:t>
      </w:r>
      <w:hyperlink w:anchor="_ENREF_38" w:tooltip="Baron, 2008 #79" w:history="1">
        <w:r w:rsidR="00DA7737">
          <w:rPr>
            <w:rFonts w:ascii="Arial" w:hAnsi="Arial" w:cs="Arial"/>
            <w:noProof/>
            <w:sz w:val="24"/>
            <w:szCs w:val="24"/>
          </w:rPr>
          <w:t>38</w:t>
        </w:r>
      </w:hyperlink>
      <w:r w:rsidR="00DA7737">
        <w:rPr>
          <w:rFonts w:ascii="Arial" w:hAnsi="Arial" w:cs="Arial"/>
          <w:noProof/>
          <w:sz w:val="24"/>
          <w:szCs w:val="24"/>
        </w:rPr>
        <w:t>)</w:t>
      </w:r>
      <w:r w:rsidR="00D561E9">
        <w:rPr>
          <w:rFonts w:ascii="Arial" w:hAnsi="Arial" w:cs="Arial"/>
          <w:sz w:val="24"/>
          <w:szCs w:val="24"/>
        </w:rPr>
        <w:fldChar w:fldCharType="end"/>
      </w:r>
      <w:r w:rsidR="00D561E9">
        <w:rPr>
          <w:rFonts w:ascii="Arial" w:hAnsi="Arial" w:cs="Arial"/>
          <w:sz w:val="24"/>
          <w:szCs w:val="24"/>
        </w:rPr>
        <w:t xml:space="preserve"> was published </w:t>
      </w:r>
      <w:r w:rsidR="000431CF">
        <w:rPr>
          <w:rFonts w:ascii="Arial" w:hAnsi="Arial" w:cs="Arial"/>
          <w:sz w:val="24"/>
          <w:szCs w:val="24"/>
        </w:rPr>
        <w:t xml:space="preserve">over 3 years </w:t>
      </w:r>
      <w:r w:rsidR="00D561E9">
        <w:rPr>
          <w:rFonts w:ascii="Arial" w:hAnsi="Arial" w:cs="Arial"/>
          <w:sz w:val="24"/>
          <w:szCs w:val="24"/>
        </w:rPr>
        <w:t>after this withdrawal</w:t>
      </w:r>
      <w:r w:rsidR="006160CA">
        <w:rPr>
          <w:rFonts w:ascii="Arial" w:hAnsi="Arial" w:cs="Arial"/>
          <w:sz w:val="24"/>
          <w:szCs w:val="24"/>
        </w:rPr>
        <w:t>.</w:t>
      </w:r>
    </w:p>
    <w:p w14:paraId="580082C4" w14:textId="77777777" w:rsidR="006160CA" w:rsidRDefault="006160CA" w:rsidP="00A7253B">
      <w:pPr>
        <w:spacing w:after="0" w:line="360" w:lineRule="auto"/>
        <w:rPr>
          <w:rFonts w:ascii="Arial" w:hAnsi="Arial" w:cs="Arial"/>
          <w:sz w:val="24"/>
          <w:szCs w:val="24"/>
        </w:rPr>
      </w:pPr>
    </w:p>
    <w:p w14:paraId="26A58AB9" w14:textId="579140BA" w:rsidR="006160CA" w:rsidRDefault="006160CA" w:rsidP="00A7253B">
      <w:pPr>
        <w:spacing w:after="0" w:line="360" w:lineRule="auto"/>
        <w:rPr>
          <w:rFonts w:ascii="Arial" w:hAnsi="Arial" w:cs="Arial"/>
          <w:sz w:val="24"/>
          <w:szCs w:val="24"/>
        </w:rPr>
      </w:pPr>
      <w:r>
        <w:rPr>
          <w:rFonts w:ascii="Arial" w:hAnsi="Arial" w:cs="Arial"/>
          <w:sz w:val="24"/>
          <w:szCs w:val="24"/>
        </w:rPr>
        <w:t xml:space="preserve">For a trial in which both non-inferiority and superiority hypotheses are of interest then both per-protocol analysis and ITT analysis are relevant. For non-inferiority testing </w:t>
      </w:r>
      <w:r>
        <w:rPr>
          <w:rFonts w:ascii="Arial" w:hAnsi="Arial" w:cs="Arial"/>
          <w:sz w:val="24"/>
          <w:szCs w:val="24"/>
        </w:rPr>
        <w:lastRenderedPageBreak/>
        <w:t xml:space="preserve">the per-protocol analysis is often deemed primary, on the basis that ITT includes time when patients are off study drug which may dilute any real treatment effects making it artificially too easy to claim non-inferiority. But for tests of superiority ITT gets priority. </w:t>
      </w:r>
      <w:r w:rsidRPr="00543767">
        <w:rPr>
          <w:rFonts w:ascii="Arial" w:hAnsi="Arial" w:cs="Arial"/>
          <w:sz w:val="24"/>
          <w:szCs w:val="24"/>
        </w:rPr>
        <w:t>The TECOS trial</w:t>
      </w:r>
      <w:r>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&lt;EndNote&gt;&lt;Cite&gt;&lt;Author&gt;Green&lt;/Author&gt;&lt;Year&gt;2015&lt;/Year&gt;&lt;RecNum&gt;99&lt;/RecNum&gt;&lt;DisplayText&gt;(7)&lt;/DisplayText&gt;&lt;record&gt;&lt;rec-number&gt;99&lt;/rec-number&gt;&lt;foreign-keys&gt;&lt;key app="EN" db-id="eaz5sewevp5dfxewrdrvzv52xsv2tsf22rzr"&gt;99&lt;/key&gt;&lt;/foreign-keys&gt;&lt;ref-type name="Journal Article"&gt;17&lt;/ref-type&gt;&lt;contributors&gt;&lt;authors&gt;&lt;author&gt;Green, Jennifer B.&lt;/author&gt;&lt;author&gt;Bethel, M. Angelyn&lt;/author&gt;&lt;author&gt;Armstrong, Paul W.&lt;/author&gt;&lt;author&gt;Buse, John B.&lt;/author&gt;&lt;author&gt;Engel, Samuel S.&lt;/author&gt;&lt;author&gt;Garg, Jyotsna&lt;/author&gt;&lt;author&gt;Josse, Robert&lt;/author&gt;&lt;author&gt;Kaufman, Keith D.&lt;/author&gt;&lt;author&gt;Koglin, Joerg&lt;/author&gt;&lt;author&gt;Korn, Scott&lt;/author&gt;&lt;author&gt;Lachin, John M.&lt;/author&gt;&lt;author&gt;McGuire, Darren K.&lt;/author&gt;&lt;author&gt;Pencina, Michael J.&lt;/author&gt;&lt;author&gt;Standl, Eberhard&lt;/author&gt;&lt;author&gt;Stein, Peter P.&lt;/author&gt;&lt;author&gt;Suryawanshi, Shailaja&lt;/author&gt;&lt;author&gt;Van de Werf, Frans&lt;/author&gt;&lt;author&gt;Peterson, Eric D.&lt;/author&gt;&lt;author&gt;Holman, Rury R.&lt;/author&gt;&lt;/authors&gt;&lt;/contributors&gt;&lt;titles&gt;&lt;title&gt;Effect of Sitagliptin on Cardiovascular Outcomes in Type 2 Diabetes&lt;/title&gt;&lt;secondary-title&gt;New England Journal of Medicine&lt;/secondary-title&gt;&lt;/titles&gt;&lt;periodical&gt;&lt;full-title&gt;New England Journal of Medicine&lt;/full-title&gt;&lt;/periodical&gt;&lt;pages&gt;232-242&lt;/pages&gt;&lt;volume&gt;373&lt;/volume&gt;&lt;number&gt;3&lt;/number&gt;&lt;dates&gt;&lt;year&gt;2015&lt;/year&gt;&lt;/dates&gt;&lt;accession-num&gt;26052984&lt;/accession-num&gt;&lt;call-num&gt;6&lt;/call-num&gt;&lt;urls&gt;&lt;related-urls&gt;&lt;url&gt;http://www.nejm.org/doi/full/10.1056/NEJMoa1501352&lt;/url&gt;&lt;/related-urls&gt;&lt;/urls&gt;&lt;electronic-resource-num&gt;doi:10.1056/NEJMoa1501352&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7" w:tooltip="Green, 2015 #99" w:history="1">
        <w:r w:rsidR="00DA7737">
          <w:rPr>
            <w:rFonts w:ascii="Arial" w:hAnsi="Arial" w:cs="Arial"/>
            <w:noProof/>
            <w:sz w:val="24"/>
            <w:szCs w:val="24"/>
          </w:rPr>
          <w:t>7</w:t>
        </w:r>
      </w:hyperlink>
      <w:r w:rsidR="00DA7737">
        <w:rPr>
          <w:rFonts w:ascii="Arial" w:hAnsi="Arial" w:cs="Arial"/>
          <w:noProof/>
          <w:sz w:val="24"/>
          <w:szCs w:val="24"/>
        </w:rPr>
        <w:t>)</w:t>
      </w:r>
      <w:r w:rsidR="006B0D3C">
        <w:rPr>
          <w:rFonts w:ascii="Arial" w:hAnsi="Arial" w:cs="Arial"/>
          <w:sz w:val="24"/>
          <w:szCs w:val="24"/>
        </w:rPr>
        <w:fldChar w:fldCharType="end"/>
      </w:r>
      <w:r w:rsidR="00D65760">
        <w:rPr>
          <w:rFonts w:ascii="Arial" w:hAnsi="Arial" w:cs="Arial"/>
          <w:sz w:val="24"/>
          <w:szCs w:val="24"/>
        </w:rPr>
        <w:t xml:space="preserve"> </w:t>
      </w:r>
      <w:r>
        <w:rPr>
          <w:rFonts w:ascii="Arial" w:hAnsi="Arial" w:cs="Arial"/>
          <w:sz w:val="24"/>
          <w:szCs w:val="24"/>
        </w:rPr>
        <w:t xml:space="preserve">of </w:t>
      </w:r>
      <w:proofErr w:type="spellStart"/>
      <w:r>
        <w:rPr>
          <w:rFonts w:ascii="Arial" w:hAnsi="Arial" w:cs="Arial"/>
          <w:sz w:val="24"/>
          <w:szCs w:val="24"/>
        </w:rPr>
        <w:t>sitagliptin</w:t>
      </w:r>
      <w:proofErr w:type="spellEnd"/>
      <w:r>
        <w:rPr>
          <w:rFonts w:ascii="Arial" w:hAnsi="Arial" w:cs="Arial"/>
          <w:sz w:val="24"/>
          <w:szCs w:val="24"/>
        </w:rPr>
        <w:t xml:space="preserve"> versus placebo in type 2 diabetes illustrates this approach. The primary event (CV death, MI, stroke, unstable angina) occurred in 839 vs 851 patients in ITT analysis, P=0.65. Over a median 3 years follow-up a sizeable minority of patients stopped taking their study drug, so per protocol analysis had 695 vs 695 primary events: hazard ratio 0.98 (95% CI 0.88 to 1.09). Non-inferiority of </w:t>
      </w:r>
      <w:proofErr w:type="spellStart"/>
      <w:r>
        <w:rPr>
          <w:rFonts w:ascii="Arial" w:hAnsi="Arial" w:cs="Arial"/>
          <w:sz w:val="24"/>
          <w:szCs w:val="24"/>
        </w:rPr>
        <w:t>sitagliptin</w:t>
      </w:r>
      <w:proofErr w:type="spellEnd"/>
      <w:r>
        <w:rPr>
          <w:rFonts w:ascii="Arial" w:hAnsi="Arial" w:cs="Arial"/>
          <w:sz w:val="24"/>
          <w:szCs w:val="24"/>
        </w:rPr>
        <w:t xml:space="preserve"> was clearly established and there is no evidence that it reduces risk of CV events. In the both treatment groups the event rates in ITT analysis are higher than in per-protocol analysis. That is, becoming non-</w:t>
      </w:r>
      <w:r w:rsidR="001E3599">
        <w:rPr>
          <w:rFonts w:ascii="Arial" w:hAnsi="Arial" w:cs="Arial"/>
          <w:sz w:val="24"/>
          <w:szCs w:val="24"/>
        </w:rPr>
        <w:t>adherent</w:t>
      </w:r>
      <w:r>
        <w:rPr>
          <w:rFonts w:ascii="Arial" w:hAnsi="Arial" w:cs="Arial"/>
          <w:sz w:val="24"/>
          <w:szCs w:val="24"/>
        </w:rPr>
        <w:t xml:space="preserve"> is associated with a high risk, which is a common feature across </w:t>
      </w:r>
      <w:r w:rsidR="003A10BE">
        <w:rPr>
          <w:rFonts w:ascii="Arial" w:hAnsi="Arial" w:cs="Arial"/>
          <w:sz w:val="24"/>
          <w:szCs w:val="24"/>
        </w:rPr>
        <w:t xml:space="preserve">most </w:t>
      </w:r>
      <w:r>
        <w:rPr>
          <w:rFonts w:ascii="Arial" w:hAnsi="Arial" w:cs="Arial"/>
          <w:sz w:val="24"/>
          <w:szCs w:val="24"/>
        </w:rPr>
        <w:t>RCTs.</w:t>
      </w:r>
    </w:p>
    <w:p w14:paraId="37C795CD" w14:textId="77777777" w:rsidR="006160CA" w:rsidRDefault="006160CA" w:rsidP="00A7253B">
      <w:pPr>
        <w:spacing w:after="0" w:line="360" w:lineRule="auto"/>
        <w:rPr>
          <w:rFonts w:ascii="Arial" w:hAnsi="Arial" w:cs="Arial"/>
          <w:sz w:val="24"/>
          <w:szCs w:val="24"/>
        </w:rPr>
      </w:pPr>
    </w:p>
    <w:p w14:paraId="7ECAB4F5" w14:textId="7CAE3EA8" w:rsidR="00D75D43" w:rsidRDefault="006160CA" w:rsidP="00A7253B">
      <w:pPr>
        <w:spacing w:after="0" w:line="360" w:lineRule="auto"/>
        <w:rPr>
          <w:rFonts w:ascii="Arial" w:hAnsi="Arial" w:cs="Arial"/>
          <w:sz w:val="24"/>
          <w:szCs w:val="24"/>
        </w:rPr>
      </w:pPr>
      <w:r w:rsidRPr="00543767">
        <w:rPr>
          <w:rFonts w:ascii="Arial" w:hAnsi="Arial" w:cs="Arial"/>
          <w:sz w:val="24"/>
          <w:szCs w:val="24"/>
        </w:rPr>
        <w:t>The ROCKET-AF trial</w:t>
      </w:r>
      <w:r>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&lt;EndNote&gt;&lt;Cite&gt;&lt;Author&gt;Patel&lt;/Author&gt;&lt;Year&gt;2011&lt;/Year&gt;&lt;RecNum&gt;65&lt;/RecNum&gt;&lt;DisplayText&gt;(39)&lt;/DisplayText&gt;&lt;record&gt;&lt;rec-number&gt;65&lt;/rec-number&gt;&lt;foreign-keys&gt;&lt;key app="EN" db-id="eaz5sewevp5dfxewrdrvzv52xsv2tsf22rzr"&gt;65&lt;/key&gt;&lt;/foreign-keys&gt;&lt;ref-type name="Journal Article"&gt;17&lt;/ref-type&gt;&lt;contributors&gt;&lt;authors&gt;&lt;author&gt;Patel, Manesh R.&lt;/author&gt;&lt;author&gt;Mahaffey, Kenneth W.&lt;/author&gt;&lt;author&gt;Garg, Jyotsna&lt;/author&gt;&lt;author&gt;Pan, Guohua&lt;/author&gt;&lt;author&gt;Singer, Daniel E.&lt;/author&gt;&lt;author&gt;Hacke, Werner&lt;/author&gt;&lt;author&gt;Breithardt, Günter&lt;/author&gt;&lt;author&gt;Halperin, Jonathan L.&lt;/author&gt;&lt;author&gt;Hankey, Graeme J.&lt;/author&gt;&lt;author&gt;Piccini, Jonathan P.&lt;/author&gt;&lt;author&gt;Becker, Richard C.&lt;/author&gt;&lt;author&gt;Nessel, Christopher C.&lt;/author&gt;&lt;author&gt;Paolini, John F.&lt;/author&gt;&lt;author&gt;Berkowitz, Scott D.&lt;/author&gt;&lt;author&gt;Fox, Keith A.A.&lt;/author&gt;&lt;author&gt;Califf, Robert M.&lt;/author&gt;&lt;/authors&gt;&lt;/contributors&gt;&lt;titles&gt;&lt;title&gt;Rivaroxaban versus Warfarin in Nonvalvular Atrial Fibrillation&lt;/title&gt;&lt;secondary-title&gt;New England Journal of Medicine&lt;/secondary-title&gt;&lt;/titles&gt;&lt;periodical&gt;&lt;full-title&gt;New England Journal of Medicine&lt;/full-title&gt;&lt;/periodical&gt;&lt;pages&gt;883-891&lt;/pages&gt;&lt;volume&gt;365&lt;/volume&gt;&lt;number&gt;10&lt;/number&gt;&lt;keywords&gt;&lt;keyword&gt;ROCKET-AF&lt;/keyword&gt;&lt;/keywords&gt;&lt;dates&gt;&lt;year&gt;2011&lt;/year&gt;&lt;/dates&gt;&lt;accession-num&gt;21830957&lt;/accession-num&gt;&lt;call-num&gt;35&lt;/call-num&gt;&lt;urls&gt;&lt;related-urls&gt;&lt;url&gt;http://www.nejm.org/doi/full/10.1056/NEJMoa1009638&lt;/url&gt;&lt;/related-urls&gt;&lt;/urls&gt;&lt;electronic-resource-num&gt;doi:10.1056/NEJMoa1009638&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39" w:tooltip="Patel, 2011 #65" w:history="1">
        <w:r w:rsidR="00DA7737">
          <w:rPr>
            <w:rFonts w:ascii="Arial" w:hAnsi="Arial" w:cs="Arial"/>
            <w:noProof/>
            <w:sz w:val="24"/>
            <w:szCs w:val="24"/>
          </w:rPr>
          <w:t>39</w:t>
        </w:r>
      </w:hyperlink>
      <w:r w:rsidR="00DA7737">
        <w:rPr>
          <w:rFonts w:ascii="Arial" w:hAnsi="Arial" w:cs="Arial"/>
          <w:noProof/>
          <w:sz w:val="24"/>
          <w:szCs w:val="24"/>
        </w:rPr>
        <w:t>)</w:t>
      </w:r>
      <w:r w:rsidR="006B0D3C">
        <w:rPr>
          <w:rFonts w:ascii="Arial" w:hAnsi="Arial" w:cs="Arial"/>
          <w:sz w:val="24"/>
          <w:szCs w:val="24"/>
        </w:rPr>
        <w:fldChar w:fldCharType="end"/>
      </w:r>
      <w:r w:rsidR="00D65760">
        <w:rPr>
          <w:rFonts w:ascii="Arial" w:hAnsi="Arial" w:cs="Arial"/>
          <w:sz w:val="24"/>
          <w:szCs w:val="24"/>
        </w:rPr>
        <w:t xml:space="preserve"> </w:t>
      </w:r>
      <w:r>
        <w:rPr>
          <w:rFonts w:ascii="Arial" w:hAnsi="Arial" w:cs="Arial"/>
          <w:sz w:val="24"/>
          <w:szCs w:val="24"/>
        </w:rPr>
        <w:t xml:space="preserve">comparing </w:t>
      </w:r>
      <w:proofErr w:type="spellStart"/>
      <w:r>
        <w:rPr>
          <w:rFonts w:ascii="Arial" w:hAnsi="Arial" w:cs="Arial"/>
          <w:sz w:val="24"/>
          <w:szCs w:val="24"/>
        </w:rPr>
        <w:t>rivoraxaban</w:t>
      </w:r>
      <w:proofErr w:type="spellEnd"/>
      <w:r>
        <w:rPr>
          <w:rFonts w:ascii="Arial" w:hAnsi="Arial" w:cs="Arial"/>
          <w:sz w:val="24"/>
          <w:szCs w:val="24"/>
        </w:rPr>
        <w:t xml:space="preserve"> and warfarin in 14,264 patients with atrial fibrillation had a similar con</w:t>
      </w:r>
      <w:r w:rsidR="00D75D43">
        <w:rPr>
          <w:rFonts w:ascii="Arial" w:hAnsi="Arial" w:cs="Arial"/>
          <w:sz w:val="24"/>
          <w:szCs w:val="24"/>
        </w:rPr>
        <w:t xml:space="preserve">struct with both non-inferiority and superiority hypotheses. In ITT analysis the primary event, stroke or systematic embolism, occurred less frequently on </w:t>
      </w:r>
      <w:proofErr w:type="spellStart"/>
      <w:r w:rsidR="00D75D43">
        <w:rPr>
          <w:rFonts w:ascii="Arial" w:hAnsi="Arial" w:cs="Arial"/>
          <w:sz w:val="24"/>
          <w:szCs w:val="24"/>
        </w:rPr>
        <w:t>rivaroxaban</w:t>
      </w:r>
      <w:proofErr w:type="spellEnd"/>
      <w:r w:rsidR="00D75D43">
        <w:rPr>
          <w:rFonts w:ascii="Arial" w:hAnsi="Arial" w:cs="Arial"/>
          <w:sz w:val="24"/>
          <w:szCs w:val="24"/>
        </w:rPr>
        <w:t>: 269 vs 306 events, hazard ratio 0.88 (95% CI 0.75 to 1.03) P=0.12.</w:t>
      </w:r>
      <w:r w:rsidR="003A10BE">
        <w:rPr>
          <w:rFonts w:ascii="Arial" w:hAnsi="Arial" w:cs="Arial"/>
          <w:sz w:val="24"/>
          <w:szCs w:val="24"/>
        </w:rPr>
        <w:t xml:space="preserve"> </w:t>
      </w:r>
      <w:r w:rsidR="00D75D43">
        <w:rPr>
          <w:rFonts w:ascii="Arial" w:hAnsi="Arial" w:cs="Arial"/>
          <w:sz w:val="24"/>
          <w:szCs w:val="24"/>
        </w:rPr>
        <w:t>Given this lack of significance, interest turned to the events occurring on study drug</w:t>
      </w:r>
      <w:r w:rsidR="001E3599">
        <w:rPr>
          <w:rFonts w:ascii="Arial" w:hAnsi="Arial" w:cs="Arial"/>
          <w:sz w:val="24"/>
          <w:szCs w:val="24"/>
        </w:rPr>
        <w:t xml:space="preserve"> (plus within 2 days of stopping)</w:t>
      </w:r>
      <w:r w:rsidR="00D75D43">
        <w:rPr>
          <w:rFonts w:ascii="Arial" w:hAnsi="Arial" w:cs="Arial"/>
          <w:sz w:val="24"/>
          <w:szCs w:val="24"/>
        </w:rPr>
        <w:t xml:space="preserve">, the </w:t>
      </w:r>
      <w:r w:rsidR="001E3599">
        <w:rPr>
          <w:rFonts w:ascii="Arial" w:hAnsi="Arial" w:cs="Arial"/>
          <w:sz w:val="24"/>
          <w:szCs w:val="24"/>
        </w:rPr>
        <w:t xml:space="preserve">per-protocol </w:t>
      </w:r>
      <w:r w:rsidR="00D75D43">
        <w:rPr>
          <w:rFonts w:ascii="Arial" w:hAnsi="Arial" w:cs="Arial"/>
          <w:sz w:val="24"/>
          <w:szCs w:val="24"/>
        </w:rPr>
        <w:t>population: 188 vs 240 events, hazard ratio 0.79 (95% CI 0.66 to 0.96) P=0.02. However this secondary analysis</w:t>
      </w:r>
      <w:r w:rsidR="001E3599">
        <w:rPr>
          <w:rFonts w:ascii="Arial" w:hAnsi="Arial" w:cs="Arial"/>
          <w:sz w:val="24"/>
          <w:szCs w:val="24"/>
        </w:rPr>
        <w:t xml:space="preserve"> for superiority</w:t>
      </w:r>
      <w:r w:rsidR="00D75D43">
        <w:rPr>
          <w:rFonts w:ascii="Arial" w:hAnsi="Arial" w:cs="Arial"/>
          <w:sz w:val="24"/>
          <w:szCs w:val="24"/>
        </w:rPr>
        <w:t>, with its potential bias as always, did not sway the evidence towards a claim of superiority and the published conclusion was “</w:t>
      </w:r>
      <w:proofErr w:type="spellStart"/>
      <w:r w:rsidR="00D75D43">
        <w:rPr>
          <w:rFonts w:ascii="Arial" w:hAnsi="Arial" w:cs="Arial"/>
          <w:sz w:val="24"/>
          <w:szCs w:val="24"/>
        </w:rPr>
        <w:t>rivaroxaban</w:t>
      </w:r>
      <w:proofErr w:type="spellEnd"/>
      <w:r w:rsidR="00D75D43">
        <w:rPr>
          <w:rFonts w:ascii="Arial" w:hAnsi="Arial" w:cs="Arial"/>
          <w:sz w:val="24"/>
          <w:szCs w:val="24"/>
        </w:rPr>
        <w:t xml:space="preserve"> was non-inferior to warfarin for the prevention of stroke or systemic embolism”.</w:t>
      </w:r>
      <w:r w:rsidR="00D561E9">
        <w:rPr>
          <w:rFonts w:ascii="Arial" w:hAnsi="Arial" w:cs="Arial"/>
          <w:sz w:val="24"/>
          <w:szCs w:val="24"/>
        </w:rPr>
        <w:t xml:space="preserve"> In general, per-protocol analyses introduce a bias: non-adherent patients are a select group, often but not automatically at high risk of outcome events</w:t>
      </w:r>
      <w:r w:rsidR="00DA7737">
        <w:rPr>
          <w:rFonts w:ascii="Arial" w:hAnsi="Arial" w:cs="Arial"/>
          <w:sz w:val="24"/>
          <w:szCs w:val="24"/>
        </w:rPr>
        <w:t>, which makes interpretation unreliable.</w:t>
      </w:r>
    </w:p>
    <w:p w14:paraId="418D12E4" w14:textId="77777777" w:rsidR="00D75D43" w:rsidRDefault="00D75D43" w:rsidP="00A7253B">
      <w:pPr>
        <w:spacing w:after="0" w:line="360" w:lineRule="auto"/>
        <w:rPr>
          <w:rFonts w:ascii="Arial" w:hAnsi="Arial" w:cs="Arial"/>
          <w:sz w:val="24"/>
          <w:szCs w:val="24"/>
        </w:rPr>
      </w:pPr>
    </w:p>
    <w:p w14:paraId="5C1A8048" w14:textId="6C91EE0E" w:rsidR="00D75D43" w:rsidRDefault="00D75D43" w:rsidP="00A7253B">
      <w:pPr>
        <w:spacing w:after="0" w:line="360" w:lineRule="auto"/>
        <w:rPr>
          <w:rFonts w:ascii="Arial" w:hAnsi="Arial" w:cs="Arial"/>
          <w:sz w:val="24"/>
          <w:szCs w:val="24"/>
        </w:rPr>
      </w:pPr>
      <w:r>
        <w:rPr>
          <w:rFonts w:ascii="Arial" w:hAnsi="Arial" w:cs="Arial"/>
          <w:sz w:val="24"/>
          <w:szCs w:val="24"/>
        </w:rPr>
        <w:t>In unbl</w:t>
      </w:r>
      <w:r w:rsidR="003A10BE">
        <w:rPr>
          <w:rFonts w:ascii="Arial" w:hAnsi="Arial" w:cs="Arial"/>
          <w:sz w:val="24"/>
          <w:szCs w:val="24"/>
        </w:rPr>
        <w:t>i</w:t>
      </w:r>
      <w:r>
        <w:rPr>
          <w:rFonts w:ascii="Arial" w:hAnsi="Arial" w:cs="Arial"/>
          <w:sz w:val="24"/>
          <w:szCs w:val="24"/>
        </w:rPr>
        <w:t xml:space="preserve">nded trials of alternative treatment strategies, there is a risk that some patients do not pursue their randomly allocated strategy. For instance, in the </w:t>
      </w:r>
      <w:r w:rsidRPr="00543767">
        <w:rPr>
          <w:rFonts w:ascii="Arial" w:hAnsi="Arial" w:cs="Arial"/>
          <w:sz w:val="24"/>
          <w:szCs w:val="24"/>
        </w:rPr>
        <w:t>PARTNER</w:t>
      </w:r>
      <w:r>
        <w:rPr>
          <w:rFonts w:ascii="Arial" w:hAnsi="Arial" w:cs="Arial"/>
          <w:sz w:val="24"/>
          <w:szCs w:val="24"/>
        </w:rPr>
        <w:t xml:space="preserve"> trial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&lt;EndNote&gt;&lt;Cite&gt;&lt;Author&gt;Smith&lt;/Author&gt;&lt;Year&gt;2011&lt;/Year&gt;&lt;RecNum&gt;66&lt;/RecNum&gt;&lt;DisplayText&gt;(40)&lt;/DisplayText&gt;&lt;record&gt;&lt;rec-number&gt;66&lt;/rec-number&gt;&lt;foreign-keys&gt;&lt;key app="EN" db-id="eaz5sewevp5dfxewrdrvzv52xsv2tsf22rzr"&gt;66&lt;/key&gt;&lt;/foreign-keys&gt;&lt;ref-type name="Journal Article"&gt;17&lt;/ref-type&gt;&lt;contributors&gt;&lt;authors&gt;&lt;author&gt;Smith, Craig R.&lt;/author&gt;&lt;author&gt;Leon, Martin B.&lt;/author&gt;&lt;author&gt;Mack, Michael J.&lt;/author&gt;&lt;author&gt;Miller, D. Craig&lt;/author&gt;&lt;author&gt;Moses, Jeffrey W.&lt;/author&gt;&lt;author&gt;Svensson, Lars G.&lt;/author&gt;&lt;author&gt;Tuzcu, E. Murat&lt;/author&gt;&lt;author&gt;Webb, John G.&lt;/author&gt;&lt;author&gt;Fontana, Gregory P.&lt;/author&gt;&lt;author&gt;Makkar, Raj R.&lt;/author&gt;&lt;author&gt;Williams, Mathew&lt;/author&gt;&lt;author&gt;Dewey, Todd&lt;/author&gt;&lt;author&gt;Kapadia, Samir&lt;/author&gt;&lt;author&gt;Babaliaros, Vasilis&lt;/author&gt;&lt;author&gt;Thourani, Vinod H.&lt;/author&gt;&lt;author&gt;Corso, Paul&lt;/author&gt;&lt;author&gt;Pichard, Augusto D.&lt;/author&gt;&lt;author&gt;Bavaria, Joseph E.&lt;/author&gt;&lt;author&gt;Herrmann, Howard C.&lt;/author&gt;&lt;author&gt;Akin, Jodi J.&lt;/author&gt;&lt;author&gt;Anderson, William N.&lt;/author&gt;&lt;author&gt;Wang, Duolao&lt;/author&gt;&lt;author&gt;Pocock, Stuart J.&lt;/author&gt;&lt;/authors&gt;&lt;/contributors&gt;&lt;titles&gt;&lt;title&gt;Transcatheter versus Surgical Aortic-Valve Replacement in High-Risk Patients&lt;/title&gt;&lt;secondary-title&gt;New England Journal of Medicine&lt;/secondary-title&gt;&lt;/titles&gt;&lt;periodical&gt;&lt;full-title&gt;New England Journal of Medicine&lt;/full-title&gt;&lt;/periodical&gt;&lt;pages&gt;2187-2198&lt;/pages&gt;&lt;volume&gt;364&lt;/volume&gt;&lt;number&gt;23&lt;/number&gt;&lt;dates&gt;&lt;year&gt;2011&lt;/year&gt;&lt;/dates&gt;&lt;accession-num&gt;21639811&lt;/accession-num&gt;&lt;call-num&gt;36&lt;/call-num&gt;&lt;label&gt;PARTNER&lt;/label&gt;&lt;urls&gt;&lt;related-urls&gt;&lt;url&gt;http://www.nejm.org/doi/full/10.1056/NEJMoa1103510&lt;/url&gt;&lt;/related-urls&gt;&lt;/urls&gt;&lt;electronic-resource-num&gt;doi:10.1056/NEJMoa1103510&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0" w:tooltip="Smith, 2011 #66" w:history="1">
        <w:r w:rsidR="00DA7737">
          <w:rPr>
            <w:rFonts w:ascii="Arial" w:hAnsi="Arial" w:cs="Arial"/>
            <w:noProof/>
            <w:sz w:val="24"/>
            <w:szCs w:val="24"/>
          </w:rPr>
          <w:t>40</w:t>
        </w:r>
      </w:hyperlink>
      <w:r w:rsidR="00DA7737">
        <w:rPr>
          <w:rFonts w:ascii="Arial" w:hAnsi="Arial" w:cs="Arial"/>
          <w:noProof/>
          <w:sz w:val="24"/>
          <w:szCs w:val="24"/>
        </w:rPr>
        <w:t>)</w:t>
      </w:r>
      <w:r w:rsidR="006B0D3C">
        <w:rPr>
          <w:rFonts w:ascii="Arial" w:hAnsi="Arial" w:cs="Arial"/>
          <w:sz w:val="24"/>
          <w:szCs w:val="24"/>
        </w:rPr>
        <w:fldChar w:fldCharType="end"/>
      </w:r>
      <w:r w:rsidR="006B0D3C">
        <w:rPr>
          <w:rFonts w:ascii="Arial" w:hAnsi="Arial" w:cs="Arial"/>
          <w:sz w:val="24"/>
          <w:szCs w:val="24"/>
        </w:rPr>
        <w:t xml:space="preserve"> </w:t>
      </w:r>
      <w:r>
        <w:rPr>
          <w:rFonts w:ascii="Arial" w:hAnsi="Arial" w:cs="Arial"/>
          <w:sz w:val="24"/>
          <w:szCs w:val="24"/>
        </w:rPr>
        <w:t>of trans-aortic valve implant (TAVI) versus aortic valve surgery there were 4 (1%) and 38 (11%) respectively who did not get their intended treatment. ITT from randomisation</w:t>
      </w:r>
      <w:r w:rsidR="003A10BE">
        <w:rPr>
          <w:rFonts w:ascii="Arial" w:hAnsi="Arial" w:cs="Arial"/>
          <w:sz w:val="24"/>
          <w:szCs w:val="24"/>
        </w:rPr>
        <w:t xml:space="preserve"> was</w:t>
      </w:r>
      <w:r>
        <w:rPr>
          <w:rFonts w:ascii="Arial" w:hAnsi="Arial" w:cs="Arial"/>
          <w:sz w:val="24"/>
          <w:szCs w:val="24"/>
        </w:rPr>
        <w:t xml:space="preserve"> the primary analysis, </w:t>
      </w:r>
      <w:r w:rsidR="003A10BE">
        <w:rPr>
          <w:rFonts w:ascii="Arial" w:hAnsi="Arial" w:cs="Arial"/>
          <w:sz w:val="24"/>
          <w:szCs w:val="24"/>
        </w:rPr>
        <w:t xml:space="preserve">but </w:t>
      </w:r>
      <w:r>
        <w:rPr>
          <w:rFonts w:ascii="Arial" w:hAnsi="Arial" w:cs="Arial"/>
          <w:sz w:val="24"/>
          <w:szCs w:val="24"/>
        </w:rPr>
        <w:t>a supplementary as-treated analysis from time of treatment</w:t>
      </w:r>
      <w:r w:rsidR="003A10BE">
        <w:rPr>
          <w:rFonts w:ascii="Arial" w:hAnsi="Arial" w:cs="Arial"/>
          <w:sz w:val="24"/>
          <w:szCs w:val="24"/>
        </w:rPr>
        <w:t xml:space="preserve"> (excluding those 42 patie</w:t>
      </w:r>
      <w:r w:rsidR="00D0020F">
        <w:rPr>
          <w:rFonts w:ascii="Arial" w:hAnsi="Arial" w:cs="Arial"/>
          <w:sz w:val="24"/>
          <w:szCs w:val="24"/>
        </w:rPr>
        <w:t>nts) helped to confirm no mortality difference but a borderline significant excess of strokes</w:t>
      </w:r>
      <w:r w:rsidR="0078297E">
        <w:rPr>
          <w:rFonts w:ascii="Arial" w:hAnsi="Arial" w:cs="Arial"/>
          <w:sz w:val="24"/>
          <w:szCs w:val="24"/>
        </w:rPr>
        <w:t xml:space="preserve">. In this </w:t>
      </w:r>
      <w:r w:rsidR="0078297E">
        <w:rPr>
          <w:rFonts w:ascii="Arial" w:hAnsi="Arial" w:cs="Arial"/>
          <w:sz w:val="24"/>
          <w:szCs w:val="24"/>
        </w:rPr>
        <w:lastRenderedPageBreak/>
        <w:t>situation, ITT will tend to dilute any real treatment differences (while giving a valid c</w:t>
      </w:r>
      <w:r w:rsidR="003C2808">
        <w:rPr>
          <w:rFonts w:ascii="Arial" w:hAnsi="Arial" w:cs="Arial"/>
          <w:sz w:val="24"/>
          <w:szCs w:val="24"/>
        </w:rPr>
        <w:t xml:space="preserve">omparison of strategies along with their protocol deviations) and an as-treated analysis may be biased, </w:t>
      </w:r>
      <w:r w:rsidR="00BA5149">
        <w:rPr>
          <w:rFonts w:ascii="Arial" w:hAnsi="Arial" w:cs="Arial"/>
          <w:sz w:val="24"/>
          <w:szCs w:val="24"/>
        </w:rPr>
        <w:t xml:space="preserve">e.g. </w:t>
      </w:r>
      <w:r w:rsidR="003C2808">
        <w:rPr>
          <w:rFonts w:ascii="Arial" w:hAnsi="Arial" w:cs="Arial"/>
          <w:sz w:val="24"/>
          <w:szCs w:val="24"/>
        </w:rPr>
        <w:t>it may be poorer risk patients who declined surgery. A consistency across the two analyses is helpful.</w:t>
      </w:r>
      <w:r w:rsidR="00DA7737">
        <w:rPr>
          <w:rFonts w:ascii="Arial" w:hAnsi="Arial" w:cs="Arial"/>
          <w:sz w:val="24"/>
          <w:szCs w:val="24"/>
        </w:rPr>
        <w:t xml:space="preserve"> For non-inferiority trials both ITT and per-protocol analyses should be presented, a point we clarify further in the last article of this series. </w:t>
      </w:r>
    </w:p>
    <w:p w14:paraId="7FB8209F" w14:textId="77777777" w:rsidR="003C2808" w:rsidRDefault="003C2808" w:rsidP="00A7253B">
      <w:pPr>
        <w:spacing w:after="0" w:line="360" w:lineRule="auto"/>
        <w:rPr>
          <w:rFonts w:ascii="Arial" w:hAnsi="Arial" w:cs="Arial"/>
          <w:sz w:val="24"/>
          <w:szCs w:val="24"/>
        </w:rPr>
      </w:pPr>
    </w:p>
    <w:p w14:paraId="55C86521" w14:textId="77777777" w:rsidR="003C2808" w:rsidRPr="003C2808" w:rsidRDefault="003C2808" w:rsidP="00A7253B">
      <w:pPr>
        <w:spacing w:after="0" w:line="360" w:lineRule="auto"/>
        <w:rPr>
          <w:rFonts w:ascii="Arial" w:hAnsi="Arial" w:cs="Arial"/>
          <w:b/>
          <w:sz w:val="24"/>
          <w:szCs w:val="24"/>
        </w:rPr>
      </w:pPr>
      <w:r w:rsidRPr="003C2808">
        <w:rPr>
          <w:rFonts w:ascii="Arial" w:hAnsi="Arial" w:cs="Arial"/>
          <w:b/>
          <w:sz w:val="24"/>
          <w:szCs w:val="24"/>
        </w:rPr>
        <w:t>Interpreting Surprises, both Good and Bad</w:t>
      </w:r>
    </w:p>
    <w:p w14:paraId="03DC7616" w14:textId="77777777" w:rsidR="003C2808" w:rsidRDefault="003C2808" w:rsidP="00A7253B">
      <w:pPr>
        <w:spacing w:after="0" w:line="360" w:lineRule="auto"/>
        <w:rPr>
          <w:rFonts w:ascii="Arial" w:hAnsi="Arial" w:cs="Arial"/>
          <w:sz w:val="24"/>
          <w:szCs w:val="24"/>
        </w:rPr>
      </w:pPr>
    </w:p>
    <w:p w14:paraId="3BAAEE54" w14:textId="77777777" w:rsidR="003C2808" w:rsidRDefault="003C2808" w:rsidP="00A7253B">
      <w:pPr>
        <w:spacing w:after="0" w:line="360" w:lineRule="auto"/>
        <w:rPr>
          <w:rFonts w:ascii="Arial" w:hAnsi="Arial" w:cs="Arial"/>
          <w:sz w:val="24"/>
          <w:szCs w:val="24"/>
        </w:rPr>
      </w:pPr>
      <w:r>
        <w:rPr>
          <w:rFonts w:ascii="Arial" w:hAnsi="Arial" w:cs="Arial"/>
          <w:sz w:val="24"/>
          <w:szCs w:val="24"/>
        </w:rPr>
        <w:t>From time to time an unexpected finding arises from a clinical trial. The surprise may relate to an endpoint for which there was no prior hypothesis, a subgroup that appears inconsistent with the overall treatment effect or an unduly large treatment effect that exceeds prior expectations. It may relate to treatment benefit or harm.</w:t>
      </w:r>
    </w:p>
    <w:p w14:paraId="2785D92B" w14:textId="77777777" w:rsidR="003C2808" w:rsidRDefault="003C2808" w:rsidP="00A7253B">
      <w:pPr>
        <w:spacing w:after="0" w:line="360" w:lineRule="auto"/>
        <w:rPr>
          <w:rFonts w:ascii="Arial" w:hAnsi="Arial" w:cs="Arial"/>
          <w:sz w:val="24"/>
          <w:szCs w:val="24"/>
        </w:rPr>
      </w:pPr>
    </w:p>
    <w:p w14:paraId="54E9197E" w14:textId="39A2667E" w:rsidR="003C2808" w:rsidRDefault="003C2808" w:rsidP="00A7253B">
      <w:pPr>
        <w:spacing w:after="0" w:line="360" w:lineRule="auto"/>
        <w:rPr>
          <w:rFonts w:ascii="Arial" w:hAnsi="Arial" w:cs="Arial"/>
          <w:sz w:val="24"/>
          <w:szCs w:val="24"/>
        </w:rPr>
      </w:pPr>
      <w:r>
        <w:rPr>
          <w:rFonts w:ascii="Arial" w:hAnsi="Arial" w:cs="Arial"/>
          <w:sz w:val="24"/>
          <w:szCs w:val="24"/>
        </w:rPr>
        <w:t>The cycle of progress in medical research needs to be born in mind. A new dramatic claim (whether benefit or harm) is often based on a small study. Accordingly, it is prone to exaggerate the issue, eve</w:t>
      </w:r>
      <w:r w:rsidR="000478E4">
        <w:rPr>
          <w:rFonts w:ascii="Arial" w:hAnsi="Arial" w:cs="Arial"/>
          <w:sz w:val="24"/>
          <w:szCs w:val="24"/>
        </w:rPr>
        <w:t>n if the study has no design fla</w:t>
      </w:r>
      <w:r>
        <w:rPr>
          <w:rFonts w:ascii="Arial" w:hAnsi="Arial" w:cs="Arial"/>
          <w:sz w:val="24"/>
          <w:szCs w:val="24"/>
        </w:rPr>
        <w:t xml:space="preserve">w. The issue becomes high profile without adequate recognition of all the selection biases that have taken place, </w:t>
      </w:r>
      <w:r w:rsidR="00BA5149">
        <w:rPr>
          <w:rFonts w:ascii="Arial" w:hAnsi="Arial" w:cs="Arial"/>
          <w:sz w:val="24"/>
          <w:szCs w:val="24"/>
        </w:rPr>
        <w:t xml:space="preserve">e.g. </w:t>
      </w:r>
      <w:r>
        <w:rPr>
          <w:rFonts w:ascii="Arial" w:hAnsi="Arial" w:cs="Arial"/>
          <w:sz w:val="24"/>
          <w:szCs w:val="24"/>
        </w:rPr>
        <w:t>across multiple analyses (endpoints, trials, subgroups) if one focuses on the most extreme result it will look more impressive than is justified.</w:t>
      </w:r>
    </w:p>
    <w:p w14:paraId="0D83CC92" w14:textId="6C59F0E7" w:rsidR="003C2808" w:rsidRDefault="003C2808" w:rsidP="00A7253B">
      <w:pPr>
        <w:spacing w:after="0" w:line="360" w:lineRule="auto"/>
        <w:rPr>
          <w:rFonts w:ascii="Arial" w:hAnsi="Arial" w:cs="Arial"/>
          <w:sz w:val="24"/>
          <w:szCs w:val="24"/>
        </w:rPr>
      </w:pPr>
      <w:r>
        <w:rPr>
          <w:rFonts w:ascii="Arial" w:hAnsi="Arial" w:cs="Arial"/>
          <w:sz w:val="24"/>
          <w:szCs w:val="24"/>
        </w:rPr>
        <w:t>One then nee</w:t>
      </w:r>
      <w:r w:rsidR="00F51140">
        <w:rPr>
          <w:rFonts w:ascii="Arial" w:hAnsi="Arial" w:cs="Arial"/>
          <w:sz w:val="24"/>
          <w:szCs w:val="24"/>
        </w:rPr>
        <w:t xml:space="preserve">ds to collect more substantial evidence on the issue, </w:t>
      </w:r>
      <w:r w:rsidR="00BA5149">
        <w:rPr>
          <w:rFonts w:ascii="Arial" w:hAnsi="Arial" w:cs="Arial"/>
          <w:sz w:val="24"/>
          <w:szCs w:val="24"/>
        </w:rPr>
        <w:t xml:space="preserve">e.g. </w:t>
      </w:r>
      <w:r w:rsidR="00F51140">
        <w:rPr>
          <w:rFonts w:ascii="Arial" w:hAnsi="Arial" w:cs="Arial"/>
          <w:sz w:val="24"/>
          <w:szCs w:val="24"/>
        </w:rPr>
        <w:t xml:space="preserve">continued follow-up, a larger trial or a meta-analysis of related trials. Some “regression to the truth” is liable to occur whereby the consequent effect turns out to be more modest, and sometimes not present at all. We illustrate this pattern with some examples, starting with potential safety concerns arising from RCTs. </w:t>
      </w:r>
    </w:p>
    <w:p w14:paraId="144BAFB2" w14:textId="77777777" w:rsidR="00F51140" w:rsidRDefault="00F51140" w:rsidP="00A7253B">
      <w:pPr>
        <w:spacing w:after="0" w:line="360" w:lineRule="auto"/>
        <w:rPr>
          <w:rFonts w:ascii="Arial" w:hAnsi="Arial" w:cs="Arial"/>
          <w:sz w:val="24"/>
          <w:szCs w:val="24"/>
        </w:rPr>
      </w:pPr>
    </w:p>
    <w:p w14:paraId="369FEB0C" w14:textId="41EC1434" w:rsidR="001544AE" w:rsidRDefault="00F51140" w:rsidP="00A7253B">
      <w:pPr>
        <w:spacing w:after="0" w:line="360" w:lineRule="auto"/>
        <w:rPr>
          <w:rFonts w:ascii="Arial" w:hAnsi="Arial" w:cs="Arial"/>
          <w:sz w:val="24"/>
          <w:szCs w:val="24"/>
        </w:rPr>
      </w:pPr>
      <w:r w:rsidRPr="00543767">
        <w:rPr>
          <w:rFonts w:ascii="Arial" w:hAnsi="Arial" w:cs="Arial"/>
          <w:sz w:val="24"/>
          <w:szCs w:val="24"/>
        </w:rPr>
        <w:t>In the SEAS trial</w:t>
      </w:r>
      <w:r w:rsidR="00D65760" w:rsidRPr="00543767">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&lt;EndNote&gt;&lt;Cite&gt;&lt;Author&gt;Rossebø&lt;/Author&gt;&lt;Year&gt;2008&lt;/Year&gt;&lt;RecNum&gt;68&lt;/RecNum&gt;&lt;DisplayText&gt;(41)&lt;/DisplayText&gt;&lt;record&gt;&lt;rec-number&gt;68&lt;/rec-number&gt;&lt;foreign-keys&gt;&lt;key app="EN" db-id="eaz5sewevp5dfxewrdrvzv52xsv2tsf22rzr"&gt;68&lt;/key&gt;&lt;/foreign-keys&gt;&lt;ref-type name="Journal Article"&gt;17&lt;/ref-type&gt;&lt;contributors&gt;&lt;authors&gt;&lt;author&gt;Rossebø, Anne B.&lt;/author&gt;&lt;author&gt;Pedersen, Terje R.&lt;/author&gt;&lt;author&gt;Boman, Kurt&lt;/author&gt;&lt;author&gt;Brudi, Philippe&lt;/author&gt;&lt;author&gt;Chambers, John B.&lt;/author&gt;&lt;author&gt;Egstrup, Kenneth&lt;/author&gt;&lt;author&gt;Gerdts, Eva&lt;/author&gt;&lt;author&gt;Gohlke-Bärwolf, Christa&lt;/author&gt;&lt;author&gt;Holme, Ingar&lt;/author&gt;&lt;author&gt;Kesäniemi, Y. Antero&lt;/author&gt;&lt;author&gt;Malbecq, William&lt;/author&gt;&lt;author&gt;Nienaber, Christoph A.&lt;/author&gt;&lt;author&gt;Ray, Simon&lt;/author&gt;&lt;author&gt;Skjærpe, Terje&lt;/author&gt;&lt;author&gt;Wachtell, Kristian&lt;/author&gt;&lt;author&gt;Willenheimer, Ronnie&lt;/author&gt;&lt;/authors&gt;&lt;/contributors&gt;&lt;titles&gt;&lt;title&gt;Intensive Lipid Lowering with Simvastatin and Ezetimibe in Aortic Stenosis&lt;/title&gt;&lt;secondary-title&gt;New England Journal of Medicine&lt;/secondary-title&gt;&lt;/titles&gt;&lt;periodical&gt;&lt;full-title&gt;New England Journal of Medicine&lt;/full-title&gt;&lt;/periodical&gt;&lt;pages&gt;1343-1356&lt;/pages&gt;&lt;volume&gt;359&lt;/volume&gt;&lt;number&gt;13&lt;/number&gt;&lt;dates&gt;&lt;year&gt;2008&lt;/year&gt;&lt;/dates&gt;&lt;accession-num&gt;18765433&lt;/accession-num&gt;&lt;call-num&gt;37&lt;/call-num&gt;&lt;label&gt;SEAS&lt;/label&gt;&lt;urls&gt;&lt;related-urls&gt;&lt;url&gt;http://www.nejm.org/doi/full/10.1056/NEJMoa0804602&lt;/url&gt;&lt;/related-urls&gt;&lt;/urls&gt;&lt;electronic-resource-num&gt;doi:10.1056/NEJMoa0804602&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1" w:tooltip="Rossebø, 2008 #68" w:history="1">
        <w:r w:rsidR="00DA7737">
          <w:rPr>
            <w:rFonts w:ascii="Arial" w:hAnsi="Arial" w:cs="Arial"/>
            <w:noProof/>
            <w:sz w:val="24"/>
            <w:szCs w:val="24"/>
          </w:rPr>
          <w:t>41</w:t>
        </w:r>
      </w:hyperlink>
      <w:r w:rsidR="00DA7737">
        <w:rPr>
          <w:rFonts w:ascii="Arial" w:hAnsi="Arial" w:cs="Arial"/>
          <w:noProof/>
          <w:sz w:val="24"/>
          <w:szCs w:val="24"/>
        </w:rPr>
        <w:t>)</w:t>
      </w:r>
      <w:r w:rsidR="006B0D3C">
        <w:rPr>
          <w:rFonts w:ascii="Arial" w:hAnsi="Arial" w:cs="Arial"/>
          <w:sz w:val="24"/>
          <w:szCs w:val="24"/>
        </w:rPr>
        <w:fldChar w:fldCharType="end"/>
      </w:r>
      <w:r w:rsidR="00D65760">
        <w:rPr>
          <w:rFonts w:ascii="Arial" w:hAnsi="Arial" w:cs="Arial"/>
          <w:sz w:val="24"/>
          <w:szCs w:val="24"/>
        </w:rPr>
        <w:t xml:space="preserve"> </w:t>
      </w:r>
      <w:r>
        <w:rPr>
          <w:rFonts w:ascii="Arial" w:hAnsi="Arial" w:cs="Arial"/>
          <w:sz w:val="24"/>
          <w:szCs w:val="24"/>
        </w:rPr>
        <w:t xml:space="preserve">in 1873 patients with aortic stenosis the active treatment </w:t>
      </w:r>
      <w:proofErr w:type="spellStart"/>
      <w:r>
        <w:rPr>
          <w:rFonts w:ascii="Arial" w:hAnsi="Arial" w:cs="Arial"/>
          <w:sz w:val="24"/>
          <w:szCs w:val="24"/>
        </w:rPr>
        <w:t>simvastatim</w:t>
      </w:r>
      <w:proofErr w:type="spellEnd"/>
      <w:r>
        <w:rPr>
          <w:rFonts w:ascii="Arial" w:hAnsi="Arial" w:cs="Arial"/>
          <w:sz w:val="24"/>
          <w:szCs w:val="24"/>
        </w:rPr>
        <w:t xml:space="preserve"> plus </w:t>
      </w:r>
      <w:proofErr w:type="spellStart"/>
      <w:r>
        <w:rPr>
          <w:rFonts w:ascii="Arial" w:hAnsi="Arial" w:cs="Arial"/>
          <w:sz w:val="24"/>
          <w:szCs w:val="24"/>
        </w:rPr>
        <w:t>ezetemibe</w:t>
      </w:r>
      <w:proofErr w:type="spellEnd"/>
      <w:r>
        <w:rPr>
          <w:rFonts w:ascii="Arial" w:hAnsi="Arial" w:cs="Arial"/>
          <w:sz w:val="24"/>
          <w:szCs w:val="24"/>
        </w:rPr>
        <w:t xml:space="preserve"> had an unexpected excess of cancers compared with placebo: 105 vs 70 incident cancers P=0.01, and 39 vs 23 cancer deaths P=0.05. Given the wealth of safety data available on statins, the potential culprit was thought to be </w:t>
      </w:r>
      <w:proofErr w:type="spellStart"/>
      <w:r>
        <w:rPr>
          <w:rFonts w:ascii="Arial" w:hAnsi="Arial" w:cs="Arial"/>
          <w:sz w:val="24"/>
          <w:szCs w:val="24"/>
        </w:rPr>
        <w:t>ezetemibe</w:t>
      </w:r>
      <w:proofErr w:type="spellEnd"/>
      <w:r>
        <w:rPr>
          <w:rFonts w:ascii="Arial" w:hAnsi="Arial" w:cs="Arial"/>
          <w:sz w:val="24"/>
          <w:szCs w:val="24"/>
        </w:rPr>
        <w:t>. There was an urgent need to study the totality of evidence regarding</w:t>
      </w:r>
      <w:r w:rsidR="001544AE">
        <w:rPr>
          <w:rFonts w:ascii="Arial" w:hAnsi="Arial" w:cs="Arial"/>
          <w:sz w:val="24"/>
          <w:szCs w:val="24"/>
        </w:rPr>
        <w:t xml:space="preserve"> </w:t>
      </w:r>
      <w:proofErr w:type="spellStart"/>
      <w:r w:rsidR="001544AE">
        <w:rPr>
          <w:rFonts w:ascii="Arial" w:hAnsi="Arial" w:cs="Arial"/>
          <w:sz w:val="24"/>
          <w:szCs w:val="24"/>
        </w:rPr>
        <w:t>ezetemibe</w:t>
      </w:r>
      <w:proofErr w:type="spellEnd"/>
      <w:r w:rsidR="001544AE">
        <w:rPr>
          <w:rFonts w:ascii="Arial" w:hAnsi="Arial" w:cs="Arial"/>
          <w:sz w:val="24"/>
          <w:szCs w:val="24"/>
        </w:rPr>
        <w:t xml:space="preserve"> and cancer. Hence, two ongoing large trials </w:t>
      </w:r>
      <w:r w:rsidR="00DA7737">
        <w:rPr>
          <w:rFonts w:ascii="Arial" w:hAnsi="Arial" w:cs="Arial"/>
          <w:sz w:val="24"/>
          <w:szCs w:val="24"/>
        </w:rPr>
        <w:t xml:space="preserve">of ezetimibe versus placebo on background statin </w:t>
      </w:r>
      <w:r w:rsidR="001544AE" w:rsidRPr="00793516">
        <w:rPr>
          <w:rFonts w:ascii="Arial" w:hAnsi="Arial" w:cs="Arial"/>
          <w:sz w:val="24"/>
          <w:szCs w:val="24"/>
        </w:rPr>
        <w:t xml:space="preserve">SHARP </w:t>
      </w:r>
      <w:r w:rsidR="001544AE">
        <w:rPr>
          <w:rFonts w:ascii="Arial" w:hAnsi="Arial" w:cs="Arial"/>
          <w:sz w:val="24"/>
          <w:szCs w:val="24"/>
        </w:rPr>
        <w:t xml:space="preserve">and </w:t>
      </w:r>
      <w:r w:rsidR="008046B6" w:rsidRPr="00793516">
        <w:rPr>
          <w:rFonts w:ascii="Arial" w:hAnsi="Arial" w:cs="Arial"/>
          <w:sz w:val="24"/>
          <w:szCs w:val="24"/>
        </w:rPr>
        <w:t>IMPROVE</w:t>
      </w:r>
      <w:r w:rsidR="008046B6">
        <w:rPr>
          <w:rFonts w:ascii="Arial" w:hAnsi="Arial" w:cs="Arial"/>
          <w:sz w:val="24"/>
          <w:szCs w:val="24"/>
        </w:rPr>
        <w:t>-</w:t>
      </w:r>
      <w:r w:rsidR="008046B6" w:rsidRPr="00793516">
        <w:rPr>
          <w:rFonts w:ascii="Arial" w:hAnsi="Arial" w:cs="Arial"/>
          <w:sz w:val="24"/>
          <w:szCs w:val="24"/>
        </w:rPr>
        <w:t>IT</w:t>
      </w:r>
      <w:r w:rsidR="001544AE" w:rsidRPr="00793516">
        <w:rPr>
          <w:rFonts w:ascii="Arial" w:hAnsi="Arial" w:cs="Arial"/>
          <w:sz w:val="24"/>
          <w:szCs w:val="24"/>
        </w:rPr>
        <w:t xml:space="preserve"> </w:t>
      </w:r>
      <w:r w:rsidR="001544AE">
        <w:rPr>
          <w:rFonts w:ascii="Arial" w:hAnsi="Arial" w:cs="Arial"/>
          <w:sz w:val="24"/>
          <w:szCs w:val="24"/>
        </w:rPr>
        <w:t xml:space="preserve">published their combined interim findings: 313 vs 329 incident cancers P=0.61 and 97 vs 72 cancer deaths </w:t>
      </w:r>
      <w:r w:rsidR="001544AE">
        <w:rPr>
          <w:rFonts w:ascii="Arial" w:hAnsi="Arial" w:cs="Arial"/>
          <w:sz w:val="24"/>
          <w:szCs w:val="24"/>
        </w:rPr>
        <w:lastRenderedPageBreak/>
        <w:t>P=0.07 for ezetimibe and placebo groups respectively</w:t>
      </w:r>
      <w:r w:rsidR="006B0D3C">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&lt;EndNote&gt;&lt;Cite&gt;&lt;Author&gt;Peto&lt;/Author&gt;&lt;Year&gt;2008&lt;/Year&gt;&lt;RecNum&gt;67&lt;/RecNum&gt;&lt;DisplayText&gt;(42)&lt;/DisplayText&gt;&lt;record&gt;&lt;rec-number&gt;67&lt;/rec-number&gt;&lt;foreign-keys&gt;&lt;key app="EN" db-id="eaz5sewevp5dfxewrdrvzv52xsv2tsf22rzr"&gt;67&lt;/key&gt;&lt;/foreign-keys&gt;&lt;ref-type name="Journal Article"&gt;17&lt;/ref-type&gt;&lt;contributors&gt;&lt;authors&gt;&lt;author&gt;Peto, Richard&lt;/author&gt;&lt;author&gt;Emberson, Jonathan&lt;/author&gt;&lt;author&gt;Landray, Martin&lt;/author&gt;&lt;author&gt;Baigent, Colin&lt;/author&gt;&lt;author&gt;Collins, Rory&lt;/author&gt;&lt;author&gt;Clare, Robert&lt;/author&gt;&lt;author&gt;Califf, Robert&lt;/author&gt;&lt;/authors&gt;&lt;/contributors&gt;&lt;titles&gt;&lt;title&gt;Analyses of Cancer Data from Three Ezetimibe Trials&lt;/title&gt;&lt;secondary-title&gt;New England Journal of Medicine&lt;/secondary-title&gt;&lt;/titles&gt;&lt;periodical&gt;&lt;full-title&gt;New England Journal of Medicine&lt;/full-title&gt;&lt;/periodical&gt;&lt;pages&gt;1357-1366&lt;/pages&gt;&lt;volume&gt;359&lt;/volume&gt;&lt;number&gt;13&lt;/number&gt;&lt;dates&gt;&lt;year&gt;2008&lt;/year&gt;&lt;/dates&gt;&lt;accession-num&gt;18765432&lt;/accession-num&gt;&lt;call-num&gt;38&lt;/call-num&gt;&lt;label&gt;Ezetimibe&lt;/label&gt;&lt;urls&gt;&lt;related-urls&gt;&lt;url&gt;http://www.nejm.org/doi/full/10.1056/NEJMsa0806603&lt;/url&gt;&lt;/related-urls&gt;&lt;/urls&gt;&lt;electronic-resource-num&gt;doi:10.1056/NEJMsa0806603&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2" w:tooltip="Peto, 2008 #67" w:history="1">
        <w:r w:rsidR="00DA7737">
          <w:rPr>
            <w:rFonts w:ascii="Arial" w:hAnsi="Arial" w:cs="Arial"/>
            <w:noProof/>
            <w:sz w:val="24"/>
            <w:szCs w:val="24"/>
          </w:rPr>
          <w:t>42</w:t>
        </w:r>
      </w:hyperlink>
      <w:r w:rsidR="00DA7737">
        <w:rPr>
          <w:rFonts w:ascii="Arial" w:hAnsi="Arial" w:cs="Arial"/>
          <w:noProof/>
          <w:sz w:val="24"/>
          <w:szCs w:val="24"/>
        </w:rPr>
        <w:t>)</w:t>
      </w:r>
      <w:r w:rsidR="006B0D3C">
        <w:rPr>
          <w:rFonts w:ascii="Arial" w:hAnsi="Arial" w:cs="Arial"/>
          <w:sz w:val="24"/>
          <w:szCs w:val="24"/>
        </w:rPr>
        <w:fldChar w:fldCharType="end"/>
      </w:r>
      <w:r w:rsidR="001544AE">
        <w:rPr>
          <w:rFonts w:ascii="Arial" w:hAnsi="Arial" w:cs="Arial"/>
          <w:sz w:val="24"/>
          <w:szCs w:val="24"/>
        </w:rPr>
        <w:t xml:space="preserve">.  There were also no logical pattern re specific cancers. The conclusion was the “the available evidence do not provide any credible evidence of any adverse effect of </w:t>
      </w:r>
      <w:r w:rsidR="004C5050">
        <w:rPr>
          <w:rFonts w:ascii="Arial" w:hAnsi="Arial" w:cs="Arial"/>
          <w:sz w:val="24"/>
          <w:szCs w:val="24"/>
        </w:rPr>
        <w:t xml:space="preserve">ezetimibe on rates of cancer”, which was confirmed by the larger numbers of events in the final results of these two trials. </w:t>
      </w:r>
    </w:p>
    <w:p w14:paraId="30090BB8" w14:textId="77777777" w:rsidR="001544AE" w:rsidRDefault="001544AE" w:rsidP="00A7253B">
      <w:pPr>
        <w:spacing w:after="0" w:line="360" w:lineRule="auto"/>
        <w:rPr>
          <w:rFonts w:ascii="Arial" w:hAnsi="Arial" w:cs="Arial"/>
          <w:sz w:val="24"/>
          <w:szCs w:val="24"/>
        </w:rPr>
      </w:pPr>
    </w:p>
    <w:p w14:paraId="66135BF2" w14:textId="7F6D2284" w:rsidR="00F51140" w:rsidRPr="00640478" w:rsidRDefault="001544AE" w:rsidP="00A7253B">
      <w:pPr>
        <w:spacing w:after="0" w:line="360" w:lineRule="auto"/>
        <w:rPr>
          <w:rFonts w:ascii="Arial" w:hAnsi="Arial" w:cs="Arial"/>
          <w:sz w:val="24"/>
          <w:szCs w:val="24"/>
        </w:rPr>
      </w:pPr>
      <w:r w:rsidRPr="00543767">
        <w:rPr>
          <w:rFonts w:ascii="Arial" w:hAnsi="Arial" w:cs="Arial"/>
          <w:sz w:val="24"/>
          <w:szCs w:val="24"/>
        </w:rPr>
        <w:t xml:space="preserve">A similar pattern emerged with an apparent excess of myocardial infarction on rosiglitazone, first proposed in a meta-analysis by </w:t>
      </w:r>
      <w:proofErr w:type="spellStart"/>
      <w:r w:rsidRPr="00543767">
        <w:rPr>
          <w:rFonts w:ascii="Arial" w:hAnsi="Arial" w:cs="Arial"/>
          <w:sz w:val="24"/>
          <w:szCs w:val="24"/>
        </w:rPr>
        <w:t>N</w:t>
      </w:r>
      <w:r w:rsidR="00D56804" w:rsidRPr="00543767">
        <w:rPr>
          <w:rFonts w:ascii="Arial" w:hAnsi="Arial" w:cs="Arial"/>
          <w:sz w:val="24"/>
          <w:szCs w:val="24"/>
        </w:rPr>
        <w:t>i</w:t>
      </w:r>
      <w:r w:rsidRPr="00543767">
        <w:rPr>
          <w:rFonts w:ascii="Arial" w:hAnsi="Arial" w:cs="Arial"/>
          <w:sz w:val="24"/>
          <w:szCs w:val="24"/>
        </w:rPr>
        <w:t>ss</w:t>
      </w:r>
      <w:r w:rsidR="00D56804" w:rsidRPr="00543767">
        <w:rPr>
          <w:rFonts w:ascii="Arial" w:hAnsi="Arial" w:cs="Arial"/>
          <w:sz w:val="24"/>
          <w:szCs w:val="24"/>
        </w:rPr>
        <w:t>e</w:t>
      </w:r>
      <w:r w:rsidRPr="00640478">
        <w:rPr>
          <w:rFonts w:ascii="Arial" w:hAnsi="Arial" w:cs="Arial"/>
          <w:sz w:val="24"/>
          <w:szCs w:val="24"/>
        </w:rPr>
        <w:t>n</w:t>
      </w:r>
      <w:proofErr w:type="spellEnd"/>
      <w:r w:rsidRPr="00640478">
        <w:rPr>
          <w:rFonts w:ascii="Arial" w:hAnsi="Arial" w:cs="Arial"/>
          <w:sz w:val="24"/>
          <w:szCs w:val="24"/>
        </w:rPr>
        <w:t xml:space="preserve"> and </w:t>
      </w:r>
      <w:proofErr w:type="spellStart"/>
      <w:r w:rsidRPr="00640478">
        <w:rPr>
          <w:rFonts w:ascii="Arial" w:hAnsi="Arial" w:cs="Arial"/>
          <w:sz w:val="24"/>
          <w:szCs w:val="24"/>
        </w:rPr>
        <w:t>Wolski</w:t>
      </w:r>
      <w:proofErr w:type="spellEnd"/>
      <w:r w:rsidRPr="00640478">
        <w:rPr>
          <w:rFonts w:ascii="Arial" w:hAnsi="Arial" w:cs="Arial"/>
          <w:sz w:val="24"/>
          <w:szCs w:val="24"/>
        </w:rPr>
        <w:t>: odds ratio versus control 1.43 (95% CI 1.03 to 1.98</w:t>
      </w:r>
      <w:r w:rsidR="00D56804" w:rsidRPr="00636F9B">
        <w:rPr>
          <w:rFonts w:ascii="Arial" w:hAnsi="Arial" w:cs="Arial"/>
          <w:sz w:val="24"/>
          <w:szCs w:val="24"/>
        </w:rPr>
        <w:t>) P=0.03</w:t>
      </w:r>
      <w:r w:rsidR="00793516" w:rsidRPr="00636F9B">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&lt;EndNote&gt;&lt;Cite&gt;&lt;Author&gt;Nissen&lt;/Author&gt;&lt;Year&gt;2007&lt;/Year&gt;&lt;RecNum&gt;69&lt;/RecNum&gt;&lt;DisplayText&gt;(43)&lt;/DisplayText&gt;&lt;record&gt;&lt;rec-number&gt;69&lt;/rec-number&gt;&lt;foreign-keys&gt;&lt;key app="EN" db-id="eaz5sewevp5dfxewrdrvzv52xsv2tsf22rzr"&gt;69&lt;/key&gt;&lt;/foreign-keys&gt;&lt;ref-type name="Journal Article"&gt;17&lt;/ref-type&gt;&lt;contributors&gt;&lt;authors&gt;&lt;author&gt;Nissen, Steven E.&lt;/author&gt;&lt;author&gt;Wolski, Kathy&lt;/author&gt;&lt;/authors&gt;&lt;/contributors&gt;&lt;titles&gt;&lt;title&gt;Effect of Rosiglitazone on the Risk of Myocardial Infarction and Death from Cardiovascular Causes&lt;/title&gt;&lt;secondary-title&gt;New England Journal of Medicine&lt;/secondary-title&gt;&lt;/titles&gt;&lt;periodical&gt;&lt;full-title&gt;New England Journal of Medicine&lt;/full-title&gt;&lt;/periodical&gt;&lt;pages&gt;2457-2471&lt;/pages&gt;&lt;volume&gt;356&lt;/volume&gt;&lt;number&gt;24&lt;/number&gt;&lt;dates&gt;&lt;year&gt;2007&lt;/year&gt;&lt;/dates&gt;&lt;accession-num&gt;17517853&lt;/accession-num&gt;&lt;call-num&gt;39&lt;/call-num&gt;&lt;urls&gt;&lt;related-urls&gt;&lt;url&gt;http://www.nejm.org/doi/full/10.1056/NEJMoa072761&lt;/url&gt;&lt;/related-urls&gt;&lt;/urls&gt;&lt;electronic-resource-num&gt;doi:10.1056/NEJMoa072761&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3" w:tooltip="Nissen, 2007 #69" w:history="1">
        <w:r w:rsidR="00DA7737">
          <w:rPr>
            <w:rFonts w:ascii="Arial" w:hAnsi="Arial" w:cs="Arial"/>
            <w:noProof/>
            <w:sz w:val="24"/>
            <w:szCs w:val="24"/>
          </w:rPr>
          <w:t>43</w:t>
        </w:r>
      </w:hyperlink>
      <w:r w:rsidR="00DA7737">
        <w:rPr>
          <w:rFonts w:ascii="Arial" w:hAnsi="Arial" w:cs="Arial"/>
          <w:noProof/>
          <w:sz w:val="24"/>
          <w:szCs w:val="24"/>
        </w:rPr>
        <w:t>)</w:t>
      </w:r>
      <w:r w:rsidR="006B0D3C">
        <w:rPr>
          <w:rFonts w:ascii="Arial" w:hAnsi="Arial" w:cs="Arial"/>
          <w:sz w:val="24"/>
          <w:szCs w:val="24"/>
        </w:rPr>
        <w:fldChar w:fldCharType="end"/>
      </w:r>
      <w:r w:rsidR="00D56804" w:rsidRPr="00636F9B">
        <w:rPr>
          <w:rFonts w:ascii="Arial" w:hAnsi="Arial" w:cs="Arial"/>
          <w:sz w:val="24"/>
          <w:szCs w:val="24"/>
        </w:rPr>
        <w:t xml:space="preserve">. The main subsequent </w:t>
      </w:r>
      <w:r w:rsidR="00D56804" w:rsidRPr="00AB4615">
        <w:rPr>
          <w:rFonts w:ascii="Arial" w:hAnsi="Arial" w:cs="Arial"/>
          <w:sz w:val="24"/>
          <w:szCs w:val="24"/>
        </w:rPr>
        <w:t xml:space="preserve">evidence came from the RECORD trials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&lt;EndNote&gt;&lt;Cite&gt;&lt;Author&gt;Home&lt;/Author&gt;&lt;Year&gt;2009&lt;/Year&gt;&lt;RecNum&gt;80&lt;/RecNum&gt;&lt;DisplayText&gt;(44)&lt;/DisplayText&gt;&lt;record&gt;&lt;rec-number&gt;80&lt;/rec-number&gt;&lt;foreign-keys&gt;&lt;key app="EN" db-id="eaz5sewevp5dfxewrdrvzv52xsv2tsf22rzr"&gt;80&lt;/key&gt;&lt;/foreign-keys&gt;&lt;ref-type name="Journal Article"&gt;17&lt;/ref-type&gt;&lt;contributors&gt;&lt;authors&gt;&lt;author&gt;Home, Philip D.&lt;/author&gt;&lt;author&gt;Pocock, Stuart J.&lt;/author&gt;&lt;author&gt;Beck-Nielsen, Henning&lt;/author&gt;&lt;author&gt;Curtis, Paula S.&lt;/author&gt;&lt;author&gt;Gomis, Ramon&lt;/author&gt;&lt;author&gt;Hanefeld, Markolf&lt;/author&gt;&lt;author&gt;Jones, Nigel P.&lt;/author&gt;&lt;author&gt;Komajda, Michel&lt;/author&gt;&lt;author&gt;McMurray, John J. V.&lt;/author&gt;&lt;/authors&gt;&lt;/contributors&gt;&lt;titles&gt;&lt;title&gt;Rosiglitazone evaluated for cardiovascular outcomes in oral agent combination therapy for type 2 diabetes (RECORD): a multicentre, randomised, open-label trial&lt;/title&gt;&lt;secondary-title&gt;The Lancet&lt;/secondary-title&gt;&lt;/titles&gt;&lt;periodical&gt;&lt;full-title&gt;The Lancet&lt;/full-title&gt;&lt;/periodical&gt;&lt;pages&gt;2125-2135&lt;/pages&gt;&lt;volume&gt;373&lt;/volume&gt;&lt;number&gt;9681&lt;/number&gt;&lt;dates&gt;&lt;year&gt;2009&lt;/year&gt;&lt;pub-dates&gt;&lt;date&gt;//&lt;/date&gt;&lt;/pub-dates&gt;&lt;/dates&gt;&lt;isbn&gt;0140-6736&lt;/isbn&gt;&lt;call-num&gt;40&lt;/call-num&gt;&lt;urls&gt;&lt;related-urls&gt;&lt;url&gt;http://www.sciencedirect.com/science/article/pii/S0140673609609533&lt;/url&gt;&lt;/related-urls&gt;&lt;/urls&gt;&lt;electronic-resource-num&gt;http://dx.doi.org/10.1016/S0140-6736(09)60953-3&lt;/electronic-resource-num&gt;&lt;access-date&gt;2009/6/26/&lt;/access-date&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4" w:tooltip="Home, 2009 #80" w:history="1">
        <w:r w:rsidR="00DA7737">
          <w:rPr>
            <w:rFonts w:ascii="Arial" w:hAnsi="Arial" w:cs="Arial"/>
            <w:noProof/>
            <w:sz w:val="24"/>
            <w:szCs w:val="24"/>
          </w:rPr>
          <w:t>44</w:t>
        </w:r>
      </w:hyperlink>
      <w:r w:rsidR="00DA7737">
        <w:rPr>
          <w:rFonts w:ascii="Arial" w:hAnsi="Arial" w:cs="Arial"/>
          <w:noProof/>
          <w:sz w:val="24"/>
          <w:szCs w:val="24"/>
        </w:rPr>
        <w:t>)</w:t>
      </w:r>
      <w:r w:rsidR="006B0D3C">
        <w:rPr>
          <w:rFonts w:ascii="Arial" w:hAnsi="Arial" w:cs="Arial"/>
          <w:sz w:val="24"/>
          <w:szCs w:val="24"/>
        </w:rPr>
        <w:fldChar w:fldCharType="end"/>
      </w:r>
      <w:r w:rsidR="00793516" w:rsidRPr="00AB4615">
        <w:rPr>
          <w:rFonts w:ascii="Arial" w:hAnsi="Arial" w:cs="Arial"/>
          <w:sz w:val="24"/>
          <w:szCs w:val="24"/>
        </w:rPr>
        <w:t xml:space="preserve"> </w:t>
      </w:r>
      <w:r w:rsidR="00D56804" w:rsidRPr="00AB4615">
        <w:rPr>
          <w:rFonts w:ascii="Arial" w:hAnsi="Arial" w:cs="Arial"/>
          <w:sz w:val="24"/>
          <w:szCs w:val="24"/>
        </w:rPr>
        <w:t>in 4447 diabetic patients followed for a mean 5.5 years: hazard ratio for myocardial infarction (rosiglitazone vs active control) was 1.14 (95% CI 0.80 to 1.63), P=</w:t>
      </w:r>
      <w:r w:rsidR="00ED19A4" w:rsidRPr="0082262A">
        <w:rPr>
          <w:rFonts w:ascii="Arial" w:hAnsi="Arial" w:cs="Arial"/>
          <w:sz w:val="24"/>
          <w:szCs w:val="24"/>
        </w:rPr>
        <w:t>0.4</w:t>
      </w:r>
      <w:r w:rsidR="0082262A">
        <w:rPr>
          <w:rFonts w:ascii="Arial" w:hAnsi="Arial" w:cs="Arial"/>
          <w:sz w:val="24"/>
          <w:szCs w:val="24"/>
        </w:rPr>
        <w:t>7</w:t>
      </w:r>
      <w:r w:rsidR="00D56804" w:rsidRPr="00543767">
        <w:rPr>
          <w:rFonts w:ascii="Arial" w:hAnsi="Arial" w:cs="Arial"/>
          <w:sz w:val="24"/>
          <w:szCs w:val="24"/>
        </w:rPr>
        <w:t xml:space="preserve">. After much FDA scrutiny over </w:t>
      </w:r>
      <w:r w:rsidR="000478E4">
        <w:rPr>
          <w:rFonts w:ascii="Arial" w:hAnsi="Arial" w:cs="Arial"/>
          <w:sz w:val="24"/>
          <w:szCs w:val="24"/>
        </w:rPr>
        <w:t>several</w:t>
      </w:r>
      <w:r w:rsidR="00D56804" w:rsidRPr="00543767">
        <w:rPr>
          <w:rFonts w:ascii="Arial" w:hAnsi="Arial" w:cs="Arial"/>
          <w:sz w:val="24"/>
          <w:szCs w:val="24"/>
        </w:rPr>
        <w:t xml:space="preserve"> years it was finally concluded that rosiglitazone does not increase the risk of myocardial infarction. However, the overall safety profile, especially risks of heart failure and </w:t>
      </w:r>
      <w:r w:rsidR="00893C80" w:rsidRPr="00543767">
        <w:rPr>
          <w:rFonts w:ascii="Arial" w:hAnsi="Arial" w:cs="Arial"/>
          <w:sz w:val="24"/>
          <w:szCs w:val="24"/>
        </w:rPr>
        <w:t>bone</w:t>
      </w:r>
      <w:r w:rsidR="0082262A">
        <w:rPr>
          <w:rFonts w:ascii="Arial" w:hAnsi="Arial" w:cs="Arial"/>
          <w:sz w:val="24"/>
          <w:szCs w:val="24"/>
        </w:rPr>
        <w:t xml:space="preserve"> fractures, meant that the marketing authorisation for the drug was</w:t>
      </w:r>
      <w:r w:rsidR="00893C80" w:rsidRPr="00543767">
        <w:rPr>
          <w:rFonts w:ascii="Arial" w:hAnsi="Arial" w:cs="Arial"/>
          <w:sz w:val="24"/>
          <w:szCs w:val="24"/>
        </w:rPr>
        <w:t xml:space="preserve"> suspended in Europe.</w:t>
      </w:r>
      <w:r w:rsidR="00DA7737">
        <w:rPr>
          <w:rFonts w:ascii="Arial" w:hAnsi="Arial" w:cs="Arial"/>
          <w:sz w:val="24"/>
          <w:szCs w:val="24"/>
        </w:rPr>
        <w:t xml:space="preserve"> One general lesson here is that meta-analyses of small trials require a very cautious interpretation pending more solid evidence from large prospective randomised trials. </w:t>
      </w:r>
    </w:p>
    <w:p w14:paraId="0FBB4568" w14:textId="77777777" w:rsidR="00893C80" w:rsidRPr="00636F9B" w:rsidRDefault="00893C80" w:rsidP="00A7253B">
      <w:pPr>
        <w:spacing w:after="0" w:line="360" w:lineRule="auto"/>
        <w:rPr>
          <w:rFonts w:ascii="Arial" w:hAnsi="Arial" w:cs="Arial"/>
          <w:sz w:val="24"/>
          <w:szCs w:val="24"/>
        </w:rPr>
      </w:pPr>
    </w:p>
    <w:p w14:paraId="1E626F3D" w14:textId="46529485" w:rsidR="00893C80" w:rsidRDefault="00893C80" w:rsidP="00A7253B">
      <w:pPr>
        <w:spacing w:after="0" w:line="360" w:lineRule="auto"/>
        <w:rPr>
          <w:rFonts w:ascii="Arial" w:hAnsi="Arial" w:cs="Arial"/>
          <w:sz w:val="24"/>
          <w:szCs w:val="24"/>
        </w:rPr>
      </w:pPr>
      <w:r w:rsidRPr="00636F9B">
        <w:rPr>
          <w:rFonts w:ascii="Arial" w:hAnsi="Arial" w:cs="Arial"/>
          <w:sz w:val="24"/>
          <w:szCs w:val="24"/>
        </w:rPr>
        <w:t>Another possibi</w:t>
      </w:r>
      <w:r w:rsidRPr="00AB4615">
        <w:rPr>
          <w:rFonts w:ascii="Arial" w:hAnsi="Arial" w:cs="Arial"/>
          <w:sz w:val="24"/>
          <w:szCs w:val="24"/>
        </w:rPr>
        <w:t xml:space="preserve">lity is that a drug’s initial signal of harm is exaggerated but further evidence does substantiate that a real problem exists. For instance, the first evidence of risk of myocardial infarction attributed to </w:t>
      </w:r>
      <w:proofErr w:type="spellStart"/>
      <w:r w:rsidRPr="00AB4615">
        <w:rPr>
          <w:rFonts w:ascii="Arial" w:hAnsi="Arial" w:cs="Arial"/>
          <w:sz w:val="24"/>
          <w:szCs w:val="24"/>
        </w:rPr>
        <w:t>rofecoxib</w:t>
      </w:r>
      <w:proofErr w:type="spellEnd"/>
      <w:r w:rsidRPr="00AB4615">
        <w:rPr>
          <w:rFonts w:ascii="Arial" w:hAnsi="Arial" w:cs="Arial"/>
          <w:sz w:val="24"/>
          <w:szCs w:val="24"/>
        </w:rPr>
        <w:t xml:space="preserve"> came from the VIGOR trial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&lt;EndNote&gt;&lt;Cite&gt;&lt;Author&gt;Bombardier&lt;/Author&gt;&lt;Year&gt;2000&lt;/Year&gt;&lt;RecNum&gt;70&lt;/RecNum&gt;&lt;DisplayText&gt;(45)&lt;/DisplayText&gt;&lt;record&gt;&lt;rec-number&gt;70&lt;/rec-number&gt;&lt;foreign-keys&gt;&lt;key app="EN" db-id="eaz5sewevp5dfxewrdrvzv52xsv2tsf22rzr"&gt;70&lt;/key&gt;&lt;/foreign-keys&gt;&lt;ref-type name="Journal Article"&gt;17&lt;/ref-type&gt;&lt;contributors&gt;&lt;authors&gt;&lt;author&gt;Bombardier, Claire&lt;/author&gt;&lt;author&gt;Laine, Loren&lt;/author&gt;&lt;author&gt;Reicin, Alise&lt;/author&gt;&lt;author&gt;Shapiro, Deborah&lt;/author&gt;&lt;author&gt;Burgos-Vargas, Ruben&lt;/author&gt;&lt;author&gt;Davis, Barry&lt;/author&gt;&lt;author&gt;Day, Richard&lt;/author&gt;&lt;author&gt;Ferraz, Marcos Bosi&lt;/author&gt;&lt;author&gt;Hawkey, Christopher J.&lt;/author&gt;&lt;author&gt;Hochberg, Marc C.&lt;/author&gt;&lt;author&gt;Kvien, Tore K.&lt;/author&gt;&lt;author&gt;Schnitzer, Thomas J.&lt;/author&gt;&lt;/authors&gt;&lt;/contributors&gt;&lt;titles&gt;&lt;title&gt;Comparison of Upper Gastrointestinal Toxicity of Rofecoxib and Naproxen in Patients with Rheumatoid Arthritis&lt;/title&gt;&lt;secondary-title&gt;New England Journal of Medicine&lt;/secondary-title&gt;&lt;/titles&gt;&lt;periodical&gt;&lt;full-title&gt;New England Journal of Medicine&lt;/full-title&gt;&lt;/periodical&gt;&lt;pages&gt;1520-1528&lt;/pages&gt;&lt;volume&gt;343&lt;/volume&gt;&lt;number&gt;21&lt;/number&gt;&lt;dates&gt;&lt;year&gt;2000&lt;/year&gt;&lt;/dates&gt;&lt;accession-num&gt;11087881&lt;/accession-num&gt;&lt;call-num&gt;41&lt;/call-num&gt;&lt;label&gt;VIGOR&lt;/label&gt;&lt;urls&gt;&lt;related-urls&gt;&lt;url&gt;http://www.nejm.org/doi/full/10.1056/NEJM200011233432103&lt;/url&gt;&lt;/related-urls&gt;&lt;/urls&gt;&lt;electronic-resource-num&gt;doi:10.1056/NEJM200011233432103&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45" w:tooltip="Bombardier, 2000 #70" w:history="1">
        <w:r w:rsidR="00DA7737">
          <w:rPr>
            <w:rFonts w:ascii="Arial" w:hAnsi="Arial" w:cs="Arial"/>
            <w:noProof/>
            <w:sz w:val="24"/>
            <w:szCs w:val="24"/>
          </w:rPr>
          <w:t>45</w:t>
        </w:r>
      </w:hyperlink>
      <w:r w:rsidR="00DA7737">
        <w:rPr>
          <w:rFonts w:ascii="Arial" w:hAnsi="Arial" w:cs="Arial"/>
          <w:noProof/>
          <w:sz w:val="24"/>
          <w:szCs w:val="24"/>
        </w:rPr>
        <w:t>)</w:t>
      </w:r>
      <w:r w:rsidR="006B0D3C">
        <w:rPr>
          <w:rFonts w:ascii="Arial" w:hAnsi="Arial" w:cs="Arial"/>
          <w:sz w:val="24"/>
          <w:szCs w:val="24"/>
        </w:rPr>
        <w:fldChar w:fldCharType="end"/>
      </w:r>
      <w:r w:rsidR="006B0D3C">
        <w:rPr>
          <w:rFonts w:ascii="Arial" w:hAnsi="Arial" w:cs="Arial"/>
          <w:sz w:val="24"/>
          <w:szCs w:val="24"/>
        </w:rPr>
        <w:t xml:space="preserve"> </w:t>
      </w:r>
      <w:r w:rsidRPr="00AB4615">
        <w:rPr>
          <w:rFonts w:ascii="Arial" w:hAnsi="Arial" w:cs="Arial"/>
          <w:sz w:val="24"/>
          <w:szCs w:val="24"/>
        </w:rPr>
        <w:t xml:space="preserve">of </w:t>
      </w:r>
      <w:proofErr w:type="spellStart"/>
      <w:r w:rsidRPr="00AB4615">
        <w:rPr>
          <w:rFonts w:ascii="Arial" w:hAnsi="Arial" w:cs="Arial"/>
          <w:sz w:val="24"/>
          <w:szCs w:val="24"/>
        </w:rPr>
        <w:t>rofecoxib</w:t>
      </w:r>
      <w:proofErr w:type="spellEnd"/>
      <w:r w:rsidRPr="00AB4615">
        <w:rPr>
          <w:rFonts w:ascii="Arial" w:hAnsi="Arial" w:cs="Arial"/>
          <w:sz w:val="24"/>
          <w:szCs w:val="24"/>
        </w:rPr>
        <w:t xml:space="preserve"> vs naproxen</w:t>
      </w:r>
      <w:r w:rsidR="00450581" w:rsidRPr="00AB4615">
        <w:rPr>
          <w:rFonts w:ascii="Arial" w:hAnsi="Arial" w:cs="Arial"/>
          <w:sz w:val="24"/>
          <w:szCs w:val="24"/>
        </w:rPr>
        <w:t xml:space="preserve"> in patients</w:t>
      </w:r>
      <w:r w:rsidR="008046B6" w:rsidRPr="00AB4615">
        <w:rPr>
          <w:rFonts w:ascii="Arial" w:hAnsi="Arial" w:cs="Arial"/>
          <w:sz w:val="24"/>
          <w:szCs w:val="24"/>
        </w:rPr>
        <w:t xml:space="preserve"> with rheumatoid arthritis</w:t>
      </w:r>
      <w:r w:rsidRPr="00B263DF">
        <w:rPr>
          <w:rFonts w:ascii="Arial" w:hAnsi="Arial" w:cs="Arial"/>
          <w:sz w:val="24"/>
          <w:szCs w:val="24"/>
        </w:rPr>
        <w:t>:</w:t>
      </w:r>
      <w:r w:rsidR="00676C1D" w:rsidRPr="00B263DF">
        <w:rPr>
          <w:rFonts w:ascii="Arial" w:hAnsi="Arial" w:cs="Arial"/>
          <w:sz w:val="24"/>
          <w:szCs w:val="24"/>
        </w:rPr>
        <w:t xml:space="preserve"> </w:t>
      </w:r>
      <w:r w:rsidR="00450581" w:rsidRPr="00B263DF">
        <w:rPr>
          <w:rFonts w:ascii="Arial" w:hAnsi="Arial" w:cs="Arial"/>
          <w:sz w:val="24"/>
          <w:szCs w:val="24"/>
        </w:rPr>
        <w:t xml:space="preserve">20 vs 4 myocardial infarctions, relative risk 5.00 (95% CI 1.68 to 20.13). </w:t>
      </w:r>
      <w:r w:rsidR="0082262A">
        <w:rPr>
          <w:rFonts w:ascii="Arial" w:hAnsi="Arial" w:cs="Arial"/>
          <w:sz w:val="24"/>
          <w:szCs w:val="24"/>
        </w:rPr>
        <w:t>Curiously</w:t>
      </w:r>
      <w:r w:rsidR="00450581" w:rsidRPr="00B263DF">
        <w:rPr>
          <w:rFonts w:ascii="Arial" w:hAnsi="Arial" w:cs="Arial"/>
          <w:sz w:val="24"/>
          <w:szCs w:val="24"/>
        </w:rPr>
        <w:t>, the original publication reported it as a benefit of naproxen</w:t>
      </w:r>
      <w:r w:rsidR="00DF6116" w:rsidRPr="00B263DF">
        <w:rPr>
          <w:rFonts w:ascii="Arial" w:hAnsi="Arial" w:cs="Arial"/>
          <w:sz w:val="24"/>
          <w:szCs w:val="24"/>
        </w:rPr>
        <w:t xml:space="preserve"> relative risk 0.2 (95% CI 0.1 to 0.7). Here it is important to note the small numbers of events and hence the wide confidence interval. Subsequent evidence both</w:t>
      </w:r>
      <w:r w:rsidR="008046B6" w:rsidRPr="00B263DF">
        <w:rPr>
          <w:rFonts w:ascii="Arial" w:hAnsi="Arial" w:cs="Arial"/>
          <w:sz w:val="24"/>
          <w:szCs w:val="24"/>
        </w:rPr>
        <w:t xml:space="preserve"> from</w:t>
      </w:r>
      <w:r w:rsidR="00DF6116" w:rsidRPr="00B263DF">
        <w:rPr>
          <w:rFonts w:ascii="Arial" w:hAnsi="Arial" w:cs="Arial"/>
          <w:sz w:val="24"/>
          <w:szCs w:val="24"/>
        </w:rPr>
        <w:t xml:space="preserve"> the </w:t>
      </w:r>
      <w:proofErr w:type="spellStart"/>
      <w:r w:rsidR="00DF6116" w:rsidRPr="00B263DF">
        <w:rPr>
          <w:rFonts w:ascii="Arial" w:hAnsi="Arial" w:cs="Arial"/>
          <w:sz w:val="24"/>
          <w:szCs w:val="24"/>
        </w:rPr>
        <w:t>APPROV</w:t>
      </w:r>
      <w:r w:rsidR="00543767" w:rsidRPr="0082262A">
        <w:rPr>
          <w:rFonts w:ascii="Arial" w:hAnsi="Arial" w:cs="Arial"/>
          <w:sz w:val="24"/>
          <w:szCs w:val="24"/>
        </w:rPr>
        <w:t>e</w:t>
      </w:r>
      <w:proofErr w:type="spellEnd"/>
      <w:r w:rsidR="00DF6116" w:rsidRPr="00543767">
        <w:rPr>
          <w:rFonts w:ascii="Arial" w:hAnsi="Arial" w:cs="Arial"/>
          <w:sz w:val="24"/>
          <w:szCs w:val="24"/>
        </w:rPr>
        <w:t xml:space="preserve"> trial</w:t>
      </w:r>
      <w:r w:rsidR="00543767" w:rsidRPr="00543767">
        <w:rPr>
          <w:rFonts w:ascii="Arial" w:hAnsi="Arial" w:cs="Arial"/>
          <w:sz w:val="24"/>
          <w:szCs w:val="24"/>
        </w:rPr>
        <w:t xml:space="preserve"> </w:t>
      </w:r>
      <w:r w:rsidR="006B0D3C">
        <w:rPr>
          <w:rFonts w:ascii="Arial" w:hAnsi="Arial" w:cs="Arial"/>
          <w:sz w:val="24"/>
          <w:szCs w:val="24"/>
        </w:rPr>
        <w:fldChar w:fldCharType="begin"/>
      </w:r>
      <w:r w:rsidR="00DA7737">
        <w:rPr>
          <w:rFonts w:ascii="Arial" w:hAnsi="Arial" w:cs="Arial"/>
          <w:sz w:val="24"/>
          <w:szCs w:val="24"/>
        </w:rPr>
        <w:instrText xml:space="preserve"> ADDIN EN.CITE &lt;EndNote&gt;&lt;Cite&gt;&lt;Author&gt;Bresalier&lt;/Author&gt;&lt;Year&gt;2005&lt;/Year&gt;&lt;RecNum&gt;64&lt;/RecNum&gt;&lt;DisplayText&gt;(37)&lt;/DisplayText&gt;&lt;record&gt;&lt;rec-number&gt;64&lt;/rec-number&gt;&lt;foreign-keys&gt;&lt;key app="EN" db-id="eaz5sewevp5dfxewrdrvzv52xsv2tsf22rzr"&gt;64&lt;/key&gt;&lt;/foreign-keys&gt;&lt;ref-type name="Journal Article"&gt;17&lt;/ref-type&gt;&lt;contributors&gt;&lt;authors&gt;&lt;author&gt;Bresalier, Robert S.&lt;/author&gt;&lt;author&gt;Sandler, Robert S.&lt;/author&gt;&lt;author&gt;Quan, Hui&lt;/author&gt;&lt;author&gt;Bolognese, James A.&lt;/author&gt;&lt;author&gt;Oxenius, Bettina&lt;/author&gt;&lt;author&gt;Horgan, Kevin&lt;/author&gt;&lt;author&gt;Lines, Christopher&lt;/author&gt;&lt;author&gt;Riddell, Robert&lt;/author&gt;&lt;author&gt;Morton, Dion&lt;/author&gt;&lt;author&gt;Lanas, Angel&lt;/author&gt;&lt;author&gt;Konstam, Marvin A.&lt;/author&gt;&lt;author&gt;Baron, John A.&lt;/author&gt;&lt;/authors&gt;&lt;/contributors&gt;&lt;titles&gt;&lt;title&gt;Cardiovascular Events Associated with Rofecoxib in a Colorectal Adenoma Chemoprevention Trial&lt;/title&gt;&lt;secondary-title&gt;New England Journal of Medicine&lt;/secondary-title&gt;&lt;/titles&gt;&lt;periodical&gt;&lt;full-title&gt;New England Journal of Medicine&lt;/full-title&gt;&lt;/periodical&gt;&lt;pages&gt;1092-1102&lt;/pages&gt;&lt;volume&gt;352&lt;/volume&gt;&lt;number&gt;11&lt;/number&gt;&lt;dates&gt;&lt;year&gt;2005&lt;/year&gt;&lt;/dates&gt;&lt;accession-num&gt;15713943&lt;/accession-num&gt;&lt;call-num&gt;33&lt;/call-num&gt;&lt;urls&gt;&lt;related-urls&gt;&lt;url&gt;http://www.nejm.org/doi/full/10.1056/NEJMoa050493&lt;/url&gt;&lt;/related-urls&gt;&lt;/urls&gt;&lt;electronic-resource-num&gt;doi:10.1056/NEJMoa050493&lt;/electronic-resource-num&gt;&lt;/record&gt;&lt;/Cite&gt;&lt;/EndNote&gt;</w:instrText>
      </w:r>
      <w:r w:rsidR="006B0D3C">
        <w:rPr>
          <w:rFonts w:ascii="Arial" w:hAnsi="Arial" w:cs="Arial"/>
          <w:sz w:val="24"/>
          <w:szCs w:val="24"/>
        </w:rPr>
        <w:fldChar w:fldCharType="separate"/>
      </w:r>
      <w:r w:rsidR="00DA7737">
        <w:rPr>
          <w:rFonts w:ascii="Arial" w:hAnsi="Arial" w:cs="Arial"/>
          <w:noProof/>
          <w:sz w:val="24"/>
          <w:szCs w:val="24"/>
        </w:rPr>
        <w:t>(</w:t>
      </w:r>
      <w:hyperlink w:anchor="_ENREF_37" w:tooltip="Bresalier, 2005 #64" w:history="1">
        <w:r w:rsidR="00DA7737">
          <w:rPr>
            <w:rFonts w:ascii="Arial" w:hAnsi="Arial" w:cs="Arial"/>
            <w:noProof/>
            <w:sz w:val="24"/>
            <w:szCs w:val="24"/>
          </w:rPr>
          <w:t>37</w:t>
        </w:r>
      </w:hyperlink>
      <w:r w:rsidR="00DA7737">
        <w:rPr>
          <w:rFonts w:ascii="Arial" w:hAnsi="Arial" w:cs="Arial"/>
          <w:noProof/>
          <w:sz w:val="24"/>
          <w:szCs w:val="24"/>
        </w:rPr>
        <w:t>)</w:t>
      </w:r>
      <w:r w:rsidR="006B0D3C">
        <w:rPr>
          <w:rFonts w:ascii="Arial" w:hAnsi="Arial" w:cs="Arial"/>
          <w:sz w:val="24"/>
          <w:szCs w:val="24"/>
        </w:rPr>
        <w:fldChar w:fldCharType="end"/>
      </w:r>
      <w:r w:rsidR="00DF6116">
        <w:rPr>
          <w:rFonts w:ascii="Arial" w:hAnsi="Arial" w:cs="Arial"/>
          <w:sz w:val="24"/>
          <w:szCs w:val="24"/>
        </w:rPr>
        <w:t xml:space="preserve"> (see above) and from </w:t>
      </w:r>
      <w:r w:rsidR="00DF6116" w:rsidRPr="00793516">
        <w:rPr>
          <w:rFonts w:ascii="Arial" w:hAnsi="Arial" w:cs="Arial"/>
          <w:sz w:val="24"/>
          <w:szCs w:val="24"/>
        </w:rPr>
        <w:t>meta-analyses</w:t>
      </w:r>
      <w:r w:rsidR="00DF6116">
        <w:rPr>
          <w:rFonts w:ascii="Arial" w:hAnsi="Arial" w:cs="Arial"/>
          <w:sz w:val="24"/>
          <w:szCs w:val="24"/>
        </w:rPr>
        <w:t xml:space="preserve"> showed an effect closer to a doubling of </w:t>
      </w:r>
      <w:r w:rsidR="008046B6">
        <w:rPr>
          <w:rFonts w:ascii="Arial" w:hAnsi="Arial" w:cs="Arial"/>
          <w:sz w:val="24"/>
          <w:szCs w:val="24"/>
        </w:rPr>
        <w:t>risk</w:t>
      </w:r>
      <w:r w:rsidR="00DF6116">
        <w:rPr>
          <w:rFonts w:ascii="Arial" w:hAnsi="Arial" w:cs="Arial"/>
          <w:sz w:val="24"/>
          <w:szCs w:val="24"/>
        </w:rPr>
        <w:t>, rather than a five-fold increase. Furthermore, the meta-analysis showed no heterogeneity of this risk across the class of Cox 2 inhibitors</w:t>
      </w:r>
      <w:r w:rsidR="00793F31">
        <w:rPr>
          <w:rFonts w:ascii="Arial" w:hAnsi="Arial" w:cs="Arial"/>
          <w:sz w:val="24"/>
          <w:szCs w:val="24"/>
        </w:rPr>
        <w:t xml:space="preserve"> </w:t>
      </w:r>
      <w:r w:rsidR="00793F31">
        <w:rPr>
          <w:rFonts w:ascii="Arial" w:hAnsi="Arial" w:cs="Arial"/>
          <w:sz w:val="24"/>
          <w:szCs w:val="24"/>
        </w:rPr>
        <w:fldChar w:fldCharType="begin"/>
      </w:r>
      <w:r w:rsidR="00DA7737">
        <w:rPr>
          <w:rFonts w:ascii="Arial" w:hAnsi="Arial" w:cs="Arial"/>
          <w:sz w:val="24"/>
          <w:szCs w:val="24"/>
        </w:rPr>
        <w:instrText xml:space="preserve"> ADDIN EN.CITE &lt;EndNote&gt;&lt;Cite&gt;&lt;Author&gt;Kearney&lt;/Author&gt;&lt;Year&gt;2006&lt;/Year&gt;&lt;RecNum&gt;102&lt;/RecNum&gt;&lt;DisplayText&gt;(46)&lt;/DisplayText&gt;&lt;record&gt;&lt;rec-number&gt;102&lt;/rec-number&gt;&lt;foreign-keys&gt;&lt;key app="EN" db-id="eaz5sewevp5dfxewrdrvzv52xsv2tsf22rzr"&gt;102&lt;/key&gt;&lt;/foreign-keys&gt;&lt;ref-type name="Journal Article"&gt;17&lt;/ref-type&gt;&lt;contributors&gt;&lt;authors&gt;&lt;author&gt;Kearney, Patricia M&lt;/author&gt;&lt;author&gt;Baigent, Colin&lt;/author&gt;&lt;author&gt;Godwin, Jon&lt;/author&gt;&lt;author&gt;Halls, Heather&lt;/author&gt;&lt;author&gt;Emberson, Jonathan R&lt;/author&gt;&lt;author&gt;Patrono, Carlo&lt;/author&gt;&lt;/authors&gt;&lt;/contributors&gt;&lt;titles&gt;&lt;title&gt;Do selective cyclo-oxygenase-2 inhibitors and traditional non-steroidal anti-inflammatory drugs increase the risk of atherothrombosis? Meta-analysis of randomised trials&lt;/title&gt;&lt;secondary-title&gt;BMJ&lt;/secondary-title&gt;&lt;/titles&gt;&lt;periodical&gt;&lt;full-title&gt;Bmj&lt;/full-title&gt;&lt;abbr-1&gt;BMJ (Clinical research ed.)&lt;/abbr-1&gt;&lt;/periodical&gt;&lt;pages&gt;1302-1308&lt;/pages&gt;&lt;volume&gt;332&lt;/volume&gt;&lt;number&gt;7553&lt;/number&gt;&lt;dates&gt;&lt;year&gt;2006&lt;/year&gt;&lt;pub-dates&gt;&lt;date&gt;2006-06-01 21:58:56&lt;/date&gt;&lt;/pub-dates&gt;&lt;/dates&gt;&lt;work-type&gt;Journal Article&lt;/work-type&gt;&lt;urls&gt;&lt;related-urls&gt;&lt;url&gt;http://www.bmj.com/bmj/332/7553/1302.full.pdf&lt;/url&gt;&lt;/related-urls&gt;&lt;/urls&gt;&lt;electronic-resource-num&gt;10.1136/bmj.332.7553.1302&lt;/electronic-resource-num&gt;&lt;/record&gt;&lt;/Cite&gt;&lt;/EndNote&gt;</w:instrText>
      </w:r>
      <w:r w:rsidR="00793F31">
        <w:rPr>
          <w:rFonts w:ascii="Arial" w:hAnsi="Arial" w:cs="Arial"/>
          <w:sz w:val="24"/>
          <w:szCs w:val="24"/>
        </w:rPr>
        <w:fldChar w:fldCharType="separate"/>
      </w:r>
      <w:r w:rsidR="00DA7737">
        <w:rPr>
          <w:rFonts w:ascii="Arial" w:hAnsi="Arial" w:cs="Arial"/>
          <w:noProof/>
          <w:sz w:val="24"/>
          <w:szCs w:val="24"/>
        </w:rPr>
        <w:t>(</w:t>
      </w:r>
      <w:hyperlink w:anchor="_ENREF_46" w:tooltip="Kearney, 2006 #102" w:history="1">
        <w:r w:rsidR="00DA7737">
          <w:rPr>
            <w:rFonts w:ascii="Arial" w:hAnsi="Arial" w:cs="Arial"/>
            <w:noProof/>
            <w:sz w:val="24"/>
            <w:szCs w:val="24"/>
          </w:rPr>
          <w:t>46</w:t>
        </w:r>
      </w:hyperlink>
      <w:r w:rsidR="00DA7737">
        <w:rPr>
          <w:rFonts w:ascii="Arial" w:hAnsi="Arial" w:cs="Arial"/>
          <w:noProof/>
          <w:sz w:val="24"/>
          <w:szCs w:val="24"/>
        </w:rPr>
        <w:t>)</w:t>
      </w:r>
      <w:r w:rsidR="00793F31">
        <w:rPr>
          <w:rFonts w:ascii="Arial" w:hAnsi="Arial" w:cs="Arial"/>
          <w:sz w:val="24"/>
          <w:szCs w:val="24"/>
        </w:rPr>
        <w:fldChar w:fldCharType="end"/>
      </w:r>
      <w:r w:rsidR="00DF6116">
        <w:rPr>
          <w:rFonts w:ascii="Arial" w:hAnsi="Arial" w:cs="Arial"/>
          <w:sz w:val="24"/>
          <w:szCs w:val="24"/>
        </w:rPr>
        <w:t xml:space="preserve">. So was </w:t>
      </w:r>
      <w:proofErr w:type="spellStart"/>
      <w:r w:rsidR="00DF6116">
        <w:rPr>
          <w:rFonts w:ascii="Arial" w:hAnsi="Arial" w:cs="Arial"/>
          <w:sz w:val="24"/>
          <w:szCs w:val="24"/>
        </w:rPr>
        <w:t>rofecoxib</w:t>
      </w:r>
      <w:proofErr w:type="spellEnd"/>
      <w:r w:rsidR="00DF6116">
        <w:rPr>
          <w:rFonts w:ascii="Arial" w:hAnsi="Arial" w:cs="Arial"/>
          <w:sz w:val="24"/>
          <w:szCs w:val="24"/>
        </w:rPr>
        <w:t xml:space="preserve"> “the unlucky one” to first focus attention on this class phenomenon?</w:t>
      </w:r>
    </w:p>
    <w:p w14:paraId="41524370" w14:textId="77777777" w:rsidR="00DF6116" w:rsidRDefault="00DF6116" w:rsidP="00A7253B">
      <w:pPr>
        <w:spacing w:after="0" w:line="360" w:lineRule="auto"/>
        <w:rPr>
          <w:rFonts w:ascii="Arial" w:hAnsi="Arial" w:cs="Arial"/>
          <w:sz w:val="24"/>
          <w:szCs w:val="24"/>
        </w:rPr>
      </w:pPr>
    </w:p>
    <w:p w14:paraId="0BF1F615" w14:textId="37EB7F7D" w:rsidR="00DF6116" w:rsidRDefault="00DF6116" w:rsidP="00A7253B">
      <w:pPr>
        <w:spacing w:after="0" w:line="360" w:lineRule="auto"/>
        <w:rPr>
          <w:rStyle w:val="Emphasis"/>
          <w:rFonts w:ascii="Arial" w:hAnsi="Arial" w:cs="Arial"/>
          <w:i w:val="0"/>
          <w:sz w:val="24"/>
          <w:szCs w:val="24"/>
        </w:rPr>
      </w:pPr>
      <w:r w:rsidRPr="00543767">
        <w:rPr>
          <w:rFonts w:ascii="Arial" w:hAnsi="Arial" w:cs="Arial"/>
          <w:sz w:val="24"/>
          <w:szCs w:val="24"/>
        </w:rPr>
        <w:t xml:space="preserve">We now turn to claims of treatment efficacy based on apparently large benefits in small trials. For instance, a trial of </w:t>
      </w:r>
      <w:r w:rsidR="00DD03A5" w:rsidRPr="00543767">
        <w:rPr>
          <w:rStyle w:val="Emphasis"/>
          <w:rFonts w:ascii="Arial" w:hAnsi="Arial" w:cs="Arial"/>
          <w:i w:val="0"/>
          <w:sz w:val="24"/>
          <w:szCs w:val="24"/>
        </w:rPr>
        <w:t xml:space="preserve">acetylcysteine vs placebo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&lt;EndNote&gt;&lt;Cite&gt;&lt;Author&gt;Tepel&lt;/Author&gt;&lt;Year&gt;2000&lt;/Year&gt;&lt;RecNum&gt;71&lt;/RecNum&gt;&lt;DisplayText&gt;(47)&lt;/DisplayText&gt;&lt;record&gt;&lt;rec-number&gt;71&lt;/rec-number&gt;&lt;foreign-keys&gt;&lt;key app="EN" db-id="eaz5sewevp5dfxewrdrvzv52xsv2tsf22rzr"&gt;71&lt;/key&gt;&lt;/foreign-keys&gt;&lt;ref-type name="Journal Article"&gt;17&lt;/ref-type&gt;&lt;contributors&gt;&lt;authors&gt;&lt;author&gt;Tepel, Martin&lt;/author&gt;&lt;author&gt;van der Giet, Marcus&lt;/author&gt;&lt;author&gt;Schwarzfeld, Carola&lt;/author&gt;&lt;author&gt;Laufer, Ulf&lt;/author&gt;&lt;author&gt;Liermann, Dieter&lt;/author&gt;&lt;author&gt;Zidek, Walter&lt;/author&gt;&lt;/authors&gt;&lt;/contributors&gt;&lt;titles&gt;&lt;title&gt;Prevention of Radiographic-Contrast-Agent–Induced Reductions in Renal Function by Acetylcysteine&lt;/title&gt;&lt;secondary-title&gt;New England Journal of Medicine&lt;/secondary-title&gt;&lt;/titles&gt;&lt;periodical&gt;&lt;full-title&gt;New England Journal of Medicine&lt;/full-title&gt;&lt;/periodical&gt;&lt;pages&gt;180-184&lt;/pages&gt;&lt;volume&gt;343&lt;/volume&gt;&lt;number&gt;3&lt;/number&gt;&lt;dates&gt;&lt;year&gt;2000&lt;/year&gt;&lt;/dates&gt;&lt;accession-num&gt;10900277&lt;/accession-num&gt;&lt;call-num&gt;42&lt;/call-num&gt;&lt;label&gt;Acetylcysteine&lt;/label&gt;&lt;urls&gt;&lt;related-urls&gt;&lt;url&gt;http://www.nejm.org/doi/full/10.1056/NEJM200007203430304&lt;/url&gt;&lt;/related-urls&gt;&lt;/urls&gt;&lt;electronic-resource-num&gt;doi:10.1056/NEJM200007203430304&lt;/electronic-resource-num&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47" w:tooltip="Tepel, 2000 #71" w:history="1">
        <w:r w:rsidR="00DA7737">
          <w:rPr>
            <w:rStyle w:val="Emphasis"/>
            <w:rFonts w:ascii="Arial" w:hAnsi="Arial" w:cs="Arial"/>
            <w:i w:val="0"/>
            <w:noProof/>
            <w:sz w:val="24"/>
            <w:szCs w:val="24"/>
          </w:rPr>
          <w:t>47</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sidR="006B0D3C">
        <w:rPr>
          <w:rStyle w:val="Emphasis"/>
          <w:rFonts w:ascii="Arial" w:hAnsi="Arial" w:cs="Arial"/>
          <w:i w:val="0"/>
          <w:sz w:val="24"/>
          <w:szCs w:val="24"/>
        </w:rPr>
        <w:t xml:space="preserve"> </w:t>
      </w:r>
      <w:r w:rsidR="00DD03A5" w:rsidRPr="00543767">
        <w:rPr>
          <w:rStyle w:val="Emphasis"/>
          <w:rFonts w:ascii="Arial" w:hAnsi="Arial" w:cs="Arial"/>
          <w:i w:val="0"/>
          <w:sz w:val="24"/>
          <w:szCs w:val="24"/>
        </w:rPr>
        <w:t xml:space="preserve">for prevention of </w:t>
      </w:r>
      <w:r w:rsidR="00DD03A5" w:rsidRPr="00543767">
        <w:rPr>
          <w:rStyle w:val="Emphasis"/>
          <w:rFonts w:ascii="Arial" w:hAnsi="Arial" w:cs="Arial"/>
          <w:i w:val="0"/>
          <w:sz w:val="24"/>
          <w:szCs w:val="24"/>
        </w:rPr>
        <w:lastRenderedPageBreak/>
        <w:t>contrast induced nephropathy in 83 patients revealed 1 vs 9 acute reductions in renal function, P=0.01. This topic has yielded a number of other sm</w:t>
      </w:r>
      <w:r w:rsidR="00DD03A5" w:rsidRPr="00636F9B">
        <w:rPr>
          <w:rStyle w:val="Emphasis"/>
          <w:rFonts w:ascii="Arial" w:hAnsi="Arial" w:cs="Arial"/>
          <w:i w:val="0"/>
          <w:sz w:val="24"/>
          <w:szCs w:val="24"/>
        </w:rPr>
        <w:t>all trials and meta-analyses of the collective evidence show that findings are too inconsistent to warrant a conclusion of efficacy. A large well designed trial is needed to resolve this issue.</w:t>
      </w:r>
    </w:p>
    <w:p w14:paraId="5C7A47AA" w14:textId="77777777" w:rsidR="00DD03A5" w:rsidRDefault="00DD03A5" w:rsidP="00A7253B">
      <w:pPr>
        <w:spacing w:after="0" w:line="360" w:lineRule="auto"/>
        <w:rPr>
          <w:rStyle w:val="Emphasis"/>
          <w:rFonts w:ascii="Arial" w:hAnsi="Arial" w:cs="Arial"/>
          <w:i w:val="0"/>
          <w:sz w:val="24"/>
          <w:szCs w:val="24"/>
        </w:rPr>
      </w:pPr>
    </w:p>
    <w:p w14:paraId="5A1C1BE6" w14:textId="01F4A4AA" w:rsidR="00DD03A5" w:rsidRDefault="00DD03A5" w:rsidP="00A7253B">
      <w:pPr>
        <w:spacing w:after="0" w:line="360" w:lineRule="auto"/>
        <w:rPr>
          <w:rStyle w:val="Emphasis"/>
          <w:rFonts w:ascii="Arial" w:hAnsi="Arial" w:cs="Arial"/>
          <w:i w:val="0"/>
          <w:sz w:val="24"/>
          <w:szCs w:val="24"/>
        </w:rPr>
      </w:pPr>
      <w:r>
        <w:rPr>
          <w:rStyle w:val="Emphasis"/>
          <w:rFonts w:ascii="Arial" w:hAnsi="Arial" w:cs="Arial"/>
          <w:i w:val="0"/>
          <w:sz w:val="24"/>
          <w:szCs w:val="24"/>
        </w:rPr>
        <w:t xml:space="preserve">There is an ongoing controversy re the </w:t>
      </w:r>
      <w:proofErr w:type="spellStart"/>
      <w:r>
        <w:rPr>
          <w:rStyle w:val="Emphasis"/>
          <w:rFonts w:ascii="Arial" w:hAnsi="Arial" w:cs="Arial"/>
          <w:i w:val="0"/>
          <w:sz w:val="24"/>
          <w:szCs w:val="24"/>
        </w:rPr>
        <w:t>peri</w:t>
      </w:r>
      <w:proofErr w:type="spellEnd"/>
      <w:r>
        <w:rPr>
          <w:rStyle w:val="Emphasis"/>
          <w:rFonts w:ascii="Arial" w:hAnsi="Arial" w:cs="Arial"/>
          <w:i w:val="0"/>
          <w:sz w:val="24"/>
          <w:szCs w:val="24"/>
        </w:rPr>
        <w:t xml:space="preserve">-operative use of beta-blockers in </w:t>
      </w:r>
      <w:r w:rsidR="00030777">
        <w:rPr>
          <w:rStyle w:val="Emphasis"/>
          <w:rFonts w:ascii="Arial" w:hAnsi="Arial" w:cs="Arial"/>
          <w:i w:val="0"/>
          <w:sz w:val="24"/>
          <w:szCs w:val="24"/>
        </w:rPr>
        <w:t>n</w:t>
      </w:r>
      <w:r>
        <w:rPr>
          <w:rStyle w:val="Emphasis"/>
          <w:rFonts w:ascii="Arial" w:hAnsi="Arial" w:cs="Arial"/>
          <w:i w:val="0"/>
          <w:sz w:val="24"/>
          <w:szCs w:val="24"/>
        </w:rPr>
        <w:t xml:space="preserve">on-cardiac surgery. The small </w:t>
      </w:r>
      <w:r w:rsidRPr="00543767">
        <w:rPr>
          <w:rStyle w:val="Emphasis"/>
          <w:rFonts w:ascii="Arial" w:hAnsi="Arial" w:cs="Arial"/>
          <w:i w:val="0"/>
          <w:sz w:val="24"/>
          <w:szCs w:val="24"/>
        </w:rPr>
        <w:t>DECREASE</w:t>
      </w:r>
      <w:r>
        <w:rPr>
          <w:rStyle w:val="Emphasis"/>
          <w:rFonts w:ascii="Arial" w:hAnsi="Arial" w:cs="Arial"/>
          <w:i w:val="0"/>
          <w:sz w:val="24"/>
          <w:szCs w:val="24"/>
        </w:rPr>
        <w:t xml:space="preserve"> trial</w:t>
      </w:r>
      <w:r w:rsidR="006B0D3C">
        <w:rPr>
          <w:rStyle w:val="Emphasis"/>
          <w:rFonts w:ascii="Arial" w:hAnsi="Arial" w:cs="Arial"/>
          <w:i w:val="0"/>
          <w:sz w:val="24"/>
          <w:szCs w:val="24"/>
        </w:rPr>
        <w:t xml:space="preserve">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&lt;EndNote&gt;&lt;Cite&gt;&lt;Author&gt;Poldermans&lt;/Author&gt;&lt;Year&gt;1999&lt;/Year&gt;&lt;RecNum&gt;72&lt;/RecNum&gt;&lt;DisplayText&gt;(48)&lt;/DisplayText&gt;&lt;record&gt;&lt;rec-number&gt;72&lt;/rec-number&gt;&lt;foreign-keys&gt;&lt;key app="EN" db-id="eaz5sewevp5dfxewrdrvzv52xsv2tsf22rzr"&gt;72&lt;/key&gt;&lt;/foreign-keys&gt;&lt;ref-type name="Journal Article"&gt;17&lt;/ref-type&gt;&lt;contributors&gt;&lt;authors&gt;&lt;author&gt;Poldermans, Don&lt;/author&gt;&lt;author&gt;Boersma, Eric&lt;/author&gt;&lt;author&gt;Bax, Jeroen J.&lt;/author&gt;&lt;author&gt;Thomson, Ian R.&lt;/author&gt;&lt;author&gt;van de Ven, Louis L.M.&lt;/author&gt;&lt;author&gt;Blankensteijn, Jan D.&lt;/author&gt;&lt;author&gt;Baars, Hubert F.&lt;/author&gt;&lt;author&gt;Yo, Tik-Ien&lt;/author&gt;&lt;author&gt;Trocino, Giuseppe&lt;/author&gt;&lt;author&gt;Vigna, Carlo&lt;/author&gt;&lt;author&gt;Roelandt, Jos R.T.C.&lt;/author&gt;&lt;author&gt;Fioretti, Paolo M.&lt;/author&gt;&lt;author&gt;Paelinck, Bernard&lt;/author&gt;&lt;author&gt;van Urk, Hero&lt;/author&gt;&lt;/authors&gt;&lt;/contributors&gt;&lt;titles&gt;&lt;title&gt;The Effect of Bisoprolol on Perioperative Mortality and Myocardial Infarction in High-Risk Patients Undergoing Vascular Surgery&lt;/title&gt;&lt;secondary-title&gt;New England Journal of Medicine&lt;/secondary-title&gt;&lt;/titles&gt;&lt;periodical&gt;&lt;full-title&gt;New England Journal of Medicine&lt;/full-title&gt;&lt;/periodical&gt;&lt;pages&gt;1789-1794&lt;/pages&gt;&lt;volume&gt;341&lt;/volume&gt;&lt;number&gt;24&lt;/number&gt;&lt;dates&gt;&lt;year&gt;1999&lt;/year&gt;&lt;/dates&gt;&lt;accession-num&gt;10588963&lt;/accession-num&gt;&lt;call-num&gt;43&lt;/call-num&gt;&lt;label&gt;DECREASE&lt;/label&gt;&lt;urls&gt;&lt;related-urls&gt;&lt;url&gt;http://www.nejm.org/doi/full/10.1056/NEJM199912093412402&lt;/url&gt;&lt;/related-urls&gt;&lt;/urls&gt;&lt;electronic-resource-num&gt;doi:10.1056/NEJM199912093412402&lt;/electronic-resource-num&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48" w:tooltip="Poldermans, 1999 #72" w:history="1">
        <w:r w:rsidR="00DA7737">
          <w:rPr>
            <w:rStyle w:val="Emphasis"/>
            <w:rFonts w:ascii="Arial" w:hAnsi="Arial" w:cs="Arial"/>
            <w:i w:val="0"/>
            <w:noProof/>
            <w:sz w:val="24"/>
            <w:szCs w:val="24"/>
          </w:rPr>
          <w:t>48</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Pr>
          <w:rStyle w:val="Emphasis"/>
          <w:rFonts w:ascii="Arial" w:hAnsi="Arial" w:cs="Arial"/>
          <w:i w:val="0"/>
          <w:sz w:val="24"/>
          <w:szCs w:val="24"/>
        </w:rPr>
        <w:t xml:space="preserve"> of </w:t>
      </w:r>
      <w:proofErr w:type="spellStart"/>
      <w:r>
        <w:rPr>
          <w:rStyle w:val="Emphasis"/>
          <w:rFonts w:ascii="Arial" w:hAnsi="Arial" w:cs="Arial"/>
          <w:i w:val="0"/>
          <w:sz w:val="24"/>
          <w:szCs w:val="24"/>
        </w:rPr>
        <w:t>bisoprolol</w:t>
      </w:r>
      <w:proofErr w:type="spellEnd"/>
      <w:r>
        <w:rPr>
          <w:rStyle w:val="Emphasis"/>
          <w:rFonts w:ascii="Arial" w:hAnsi="Arial" w:cs="Arial"/>
          <w:i w:val="0"/>
          <w:sz w:val="24"/>
          <w:szCs w:val="24"/>
        </w:rPr>
        <w:t xml:space="preserve"> showed apparently marked benefits: in 112 patients there were 2 vs 9 deaths (P=0.02) and 0 vs 9 myocardial infarction (P&lt;0.001) in </w:t>
      </w:r>
      <w:proofErr w:type="spellStart"/>
      <w:r>
        <w:rPr>
          <w:rStyle w:val="Emphasis"/>
          <w:rFonts w:ascii="Arial" w:hAnsi="Arial" w:cs="Arial"/>
          <w:i w:val="0"/>
          <w:sz w:val="24"/>
          <w:szCs w:val="24"/>
        </w:rPr>
        <w:t>bisoprolol</w:t>
      </w:r>
      <w:proofErr w:type="spellEnd"/>
      <w:r>
        <w:rPr>
          <w:rStyle w:val="Emphasis"/>
          <w:rFonts w:ascii="Arial" w:hAnsi="Arial" w:cs="Arial"/>
          <w:i w:val="0"/>
          <w:sz w:val="24"/>
          <w:szCs w:val="24"/>
        </w:rPr>
        <w:t xml:space="preserve"> and control groups respectively. In general it is wise to consider such dramatic findings based on small numbers as being too good t</w:t>
      </w:r>
      <w:r w:rsidR="00030777">
        <w:rPr>
          <w:rStyle w:val="Emphasis"/>
          <w:rFonts w:ascii="Arial" w:hAnsi="Arial" w:cs="Arial"/>
          <w:i w:val="0"/>
          <w:sz w:val="24"/>
          <w:szCs w:val="24"/>
        </w:rPr>
        <w:t>o</w:t>
      </w:r>
      <w:r>
        <w:rPr>
          <w:rStyle w:val="Emphasis"/>
          <w:rFonts w:ascii="Arial" w:hAnsi="Arial" w:cs="Arial"/>
          <w:i w:val="0"/>
          <w:sz w:val="24"/>
          <w:szCs w:val="24"/>
        </w:rPr>
        <w:t xml:space="preserve"> be true. Sadly, in this case scientific misconduct became evident making the study untrustworthy, and current guidelines indicate that the collective valid evidence re the value of beta-blockers is inconclusive. Again, a large well designed trial is needed.</w:t>
      </w:r>
    </w:p>
    <w:p w14:paraId="036729EA" w14:textId="77777777" w:rsidR="00DD03A5" w:rsidRDefault="00DD03A5" w:rsidP="00A7253B">
      <w:pPr>
        <w:spacing w:after="0" w:line="360" w:lineRule="auto"/>
        <w:rPr>
          <w:rStyle w:val="Emphasis"/>
          <w:rFonts w:ascii="Arial" w:hAnsi="Arial" w:cs="Arial"/>
          <w:i w:val="0"/>
          <w:sz w:val="24"/>
          <w:szCs w:val="24"/>
        </w:rPr>
      </w:pPr>
    </w:p>
    <w:p w14:paraId="27BFA3F1" w14:textId="3E713535" w:rsidR="00DD03A5" w:rsidRDefault="00030777" w:rsidP="00A7253B">
      <w:pPr>
        <w:spacing w:after="0" w:line="360" w:lineRule="auto"/>
        <w:rPr>
          <w:rStyle w:val="Emphasis"/>
          <w:rFonts w:ascii="Arial" w:hAnsi="Arial" w:cs="Arial"/>
          <w:i w:val="0"/>
          <w:sz w:val="24"/>
          <w:szCs w:val="24"/>
        </w:rPr>
      </w:pPr>
      <w:r w:rsidRPr="00543767">
        <w:rPr>
          <w:rStyle w:val="Emphasis"/>
          <w:rFonts w:ascii="Arial" w:hAnsi="Arial" w:cs="Arial"/>
          <w:i w:val="0"/>
          <w:sz w:val="24"/>
          <w:szCs w:val="24"/>
        </w:rPr>
        <w:t>T</w:t>
      </w:r>
      <w:r w:rsidR="00DD03A5" w:rsidRPr="00543767">
        <w:rPr>
          <w:rStyle w:val="Emphasis"/>
          <w:rFonts w:ascii="Arial" w:hAnsi="Arial" w:cs="Arial"/>
          <w:i w:val="0"/>
          <w:sz w:val="24"/>
          <w:szCs w:val="24"/>
        </w:rPr>
        <w:t xml:space="preserve">he PRAMI trial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&lt;EndNote&gt;&lt;Cite&gt;&lt;Author&gt;Wald&lt;/Author&gt;&lt;Year&gt;2013&lt;/Year&gt;&lt;RecNum&gt;73&lt;/RecNum&gt;&lt;DisplayText&gt;(49)&lt;/DisplayText&gt;&lt;record&gt;&lt;rec-number&gt;73&lt;/rec-number&gt;&lt;foreign-keys&gt;&lt;key app="EN" db-id="eaz5sewevp5dfxewrdrvzv52xsv2tsf22rzr"&gt;73&lt;/key&gt;&lt;/foreign-keys&gt;&lt;ref-type name="Journal Article"&gt;17&lt;/ref-type&gt;&lt;contributors&gt;&lt;authors&gt;&lt;author&gt;Wald, David S.&lt;/author&gt;&lt;author&gt;Morris, Joan K.&lt;/author&gt;&lt;author&gt;Wald, Nicholas J.&lt;/author&gt;&lt;author&gt;Chase, Alexander J.&lt;/author&gt;&lt;author&gt;Edwards, Richard J.&lt;/author&gt;&lt;author&gt;Hughes, Liam O.&lt;/author&gt;&lt;author&gt;Berry, Colin&lt;/author&gt;&lt;author&gt;Oldroyd, Keith G.&lt;/author&gt;&lt;/authors&gt;&lt;/contributors&gt;&lt;titles&gt;&lt;title&gt;Randomized Trial of Preventive Angioplasty in Myocardial Infarction&lt;/title&gt;&lt;secondary-title&gt;New England Journal of Medicine&lt;/secondary-title&gt;&lt;/titles&gt;&lt;periodical&gt;&lt;full-title&gt;New England Journal of Medicine&lt;/full-title&gt;&lt;/periodical&gt;&lt;pages&gt;1115-1123&lt;/pages&gt;&lt;volume&gt;369&lt;/volume&gt;&lt;number&gt;12&lt;/number&gt;&lt;dates&gt;&lt;year&gt;2013&lt;/year&gt;&lt;/dates&gt;&lt;accession-num&gt;23991625&lt;/accession-num&gt;&lt;call-num&gt;44&lt;/call-num&gt;&lt;label&gt;PRAMI&lt;/label&gt;&lt;urls&gt;&lt;related-urls&gt;&lt;url&gt;http://www.nejm.org/doi/full/10.1056/NEJMoa1305520&lt;/url&gt;&lt;/related-urls&gt;&lt;/urls&gt;&lt;electronic-resource-num&gt;doi:10.1056/NEJMoa1305520&lt;/electronic-resource-num&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49" w:tooltip="Wald, 2013 #73" w:history="1">
        <w:r w:rsidR="00DA7737">
          <w:rPr>
            <w:rStyle w:val="Emphasis"/>
            <w:rFonts w:ascii="Arial" w:hAnsi="Arial" w:cs="Arial"/>
            <w:i w:val="0"/>
            <w:noProof/>
            <w:sz w:val="24"/>
            <w:szCs w:val="24"/>
          </w:rPr>
          <w:t>49</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sidR="006B0D3C">
        <w:rPr>
          <w:rStyle w:val="Emphasis"/>
          <w:rFonts w:ascii="Arial" w:hAnsi="Arial" w:cs="Arial"/>
          <w:i w:val="0"/>
          <w:sz w:val="24"/>
          <w:szCs w:val="24"/>
        </w:rPr>
        <w:t xml:space="preserve"> </w:t>
      </w:r>
      <w:r w:rsidR="00DD03A5" w:rsidRPr="00543767">
        <w:rPr>
          <w:rStyle w:val="Emphasis"/>
          <w:rFonts w:ascii="Arial" w:hAnsi="Arial" w:cs="Arial"/>
          <w:i w:val="0"/>
          <w:sz w:val="24"/>
          <w:szCs w:val="24"/>
        </w:rPr>
        <w:t>of preventive angioplasty versus stenting</w:t>
      </w:r>
      <w:r w:rsidR="004C05CC" w:rsidRPr="00543767">
        <w:rPr>
          <w:rStyle w:val="Emphasis"/>
          <w:rFonts w:ascii="Arial" w:hAnsi="Arial" w:cs="Arial"/>
          <w:i w:val="0"/>
          <w:sz w:val="24"/>
          <w:szCs w:val="24"/>
        </w:rPr>
        <w:t xml:space="preserve"> of the culprit lesion only </w:t>
      </w:r>
      <w:r w:rsidRPr="00543767">
        <w:rPr>
          <w:rStyle w:val="Emphasis"/>
          <w:rFonts w:ascii="Arial" w:hAnsi="Arial" w:cs="Arial"/>
          <w:i w:val="0"/>
          <w:sz w:val="24"/>
          <w:szCs w:val="24"/>
        </w:rPr>
        <w:t>is</w:t>
      </w:r>
      <w:r w:rsidR="004C05CC" w:rsidRPr="00543767">
        <w:rPr>
          <w:rStyle w:val="Emphasis"/>
          <w:rFonts w:ascii="Arial" w:hAnsi="Arial" w:cs="Arial"/>
          <w:i w:val="0"/>
          <w:sz w:val="24"/>
          <w:szCs w:val="24"/>
        </w:rPr>
        <w:t xml:space="preserve"> an example of an apparently very large treatment effect based on</w:t>
      </w:r>
      <w:r w:rsidRPr="00543767">
        <w:rPr>
          <w:rStyle w:val="Emphasis"/>
          <w:rFonts w:ascii="Arial" w:hAnsi="Arial" w:cs="Arial"/>
          <w:i w:val="0"/>
          <w:sz w:val="24"/>
          <w:szCs w:val="24"/>
        </w:rPr>
        <w:t xml:space="preserve"> relatively</w:t>
      </w:r>
      <w:r w:rsidR="004C05CC" w:rsidRPr="00543767">
        <w:rPr>
          <w:rStyle w:val="Emphasis"/>
          <w:rFonts w:ascii="Arial" w:hAnsi="Arial" w:cs="Arial"/>
          <w:i w:val="0"/>
          <w:sz w:val="24"/>
          <w:szCs w:val="24"/>
        </w:rPr>
        <w:t xml:space="preserve"> small numbers of events: 53 vs 21 primary endpoints (refractory angina, myocardial infarction or cardiac death) hazard ratio 0.35 (95% CI 0.21 to 0.58) P&lt;0.</w:t>
      </w:r>
      <w:r w:rsidRPr="00636F9B">
        <w:rPr>
          <w:rStyle w:val="Emphasis"/>
          <w:rFonts w:ascii="Arial" w:hAnsi="Arial" w:cs="Arial"/>
          <w:i w:val="0"/>
          <w:sz w:val="24"/>
          <w:szCs w:val="24"/>
        </w:rPr>
        <w:t>0</w:t>
      </w:r>
      <w:r w:rsidR="004C05CC" w:rsidRPr="00636F9B">
        <w:rPr>
          <w:rStyle w:val="Emphasis"/>
          <w:rFonts w:ascii="Arial" w:hAnsi="Arial" w:cs="Arial"/>
          <w:i w:val="0"/>
          <w:sz w:val="24"/>
          <w:szCs w:val="24"/>
        </w:rPr>
        <w:t>01. For any intervention to reduce an event rate by more than half strikes one as implausible. Here, the trial stopped early, recruitment had been slow (and hence perhaps not representative) and the trial was unbl</w:t>
      </w:r>
      <w:r w:rsidRPr="00AB4615">
        <w:rPr>
          <w:rStyle w:val="Emphasis"/>
          <w:rFonts w:ascii="Arial" w:hAnsi="Arial" w:cs="Arial"/>
          <w:i w:val="0"/>
          <w:sz w:val="24"/>
          <w:szCs w:val="24"/>
        </w:rPr>
        <w:t>i</w:t>
      </w:r>
      <w:r w:rsidR="004C05CC" w:rsidRPr="00AB4615">
        <w:rPr>
          <w:rStyle w:val="Emphasis"/>
          <w:rFonts w:ascii="Arial" w:hAnsi="Arial" w:cs="Arial"/>
          <w:i w:val="0"/>
          <w:sz w:val="24"/>
          <w:szCs w:val="24"/>
        </w:rPr>
        <w:t>nded: all of these may have contributed to an exaggeration of effect. Findings from a larger sequel trial, COMPLETE</w:t>
      </w:r>
      <w:r w:rsidR="006B0D3C">
        <w:rPr>
          <w:rStyle w:val="Emphasis"/>
          <w:rFonts w:ascii="Arial" w:hAnsi="Arial" w:cs="Arial"/>
          <w:i w:val="0"/>
          <w:sz w:val="24"/>
          <w:szCs w:val="24"/>
        </w:rPr>
        <w:t xml:space="preserve">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&lt;EndNote&gt;&lt;Cite&gt;&lt;Author&gt;Population Health Research Institute; Hamilton&lt;/Author&gt;&lt;Year&gt;2012&lt;/Year&gt;&lt;RecNum&gt;95&lt;/RecNum&gt;&lt;DisplayText&gt;(50)&lt;/DisplayText&gt;&lt;record&gt;&lt;rec-number&gt;95&lt;/rec-number&gt;&lt;foreign-keys&gt;&lt;key app="EN" db-id="eaz5sewevp5dfxewrdrvzv52xsv2tsf22rzr"&gt;95&lt;/key&gt;&lt;/foreign-keys&gt;&lt;ref-type name="Journal Article"&gt;17&lt;/ref-type&gt;&lt;contributors&gt;&lt;authors&gt;&lt;author&gt;Population Health Research Institute; Hamilton, Canada.&lt;/author&gt;&lt;/authors&gt;&lt;/contributors&gt;&lt;titles&gt;&lt;title&gt;Complete vs Culprit-only Revascularization to Treat Multi-vessel Disease After Primary PCI for STEMI (COMPLETE) &lt;/title&gt;&lt;secondary-title&gt;In: ClinicalTrials.gov [Internet]. Bethesda (MD): National Library of Medicine (US). 2012- [cited 2015 July 16]. Available from: https://clinicaltrials.gov/ct2/show/study/NCT01740479 Identifier: NCT01740479&lt;/secondary-title&gt;&lt;/titles&gt;&lt;periodical&gt;&lt;full-title&gt;In: ClinicalTrials.gov [Internet]. Bethesda (MD): National Library of Medicine (US). 2012- [cited 2015 July 16]. Available from: https://clinicaltrials.gov/ct2/show/study/NCT01740479 Identifier: NCT01740479&lt;/full-title&gt;&lt;/periodical&gt;&lt;dates&gt;&lt;year&gt;2012&lt;/year&gt;&lt;/dates&gt;&lt;call-num&gt;45&lt;/call-num&gt;&lt;urls&gt;&lt;related-urls&gt;&lt;url&gt;https://clinicaltrials.gov/ct2/show/study/NCT01740479&lt;/url&gt;&lt;/related-urls&gt;&lt;/urls&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50" w:tooltip="Population Health Research Institute; Hamilton, 2012 #95" w:history="1">
        <w:r w:rsidR="00DA7737">
          <w:rPr>
            <w:rStyle w:val="Emphasis"/>
            <w:rFonts w:ascii="Arial" w:hAnsi="Arial" w:cs="Arial"/>
            <w:i w:val="0"/>
            <w:noProof/>
            <w:sz w:val="24"/>
            <w:szCs w:val="24"/>
          </w:rPr>
          <w:t>50</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sidR="004C05CC" w:rsidRPr="00AB4615">
        <w:rPr>
          <w:rStyle w:val="Emphasis"/>
          <w:rFonts w:ascii="Arial" w:hAnsi="Arial" w:cs="Arial"/>
          <w:i w:val="0"/>
          <w:sz w:val="24"/>
          <w:szCs w:val="24"/>
        </w:rPr>
        <w:t>, are awaited with interest.</w:t>
      </w:r>
    </w:p>
    <w:p w14:paraId="7E011549" w14:textId="77777777" w:rsidR="004C05CC" w:rsidRDefault="004C05CC" w:rsidP="00A7253B">
      <w:pPr>
        <w:spacing w:after="0" w:line="360" w:lineRule="auto"/>
        <w:rPr>
          <w:rStyle w:val="Emphasis"/>
          <w:rFonts w:ascii="Arial" w:hAnsi="Arial" w:cs="Arial"/>
          <w:i w:val="0"/>
          <w:sz w:val="24"/>
          <w:szCs w:val="24"/>
        </w:rPr>
      </w:pPr>
    </w:p>
    <w:p w14:paraId="13F81A22" w14:textId="77777777" w:rsidR="004C05CC" w:rsidRPr="004C05CC" w:rsidRDefault="004C05CC" w:rsidP="00A7253B">
      <w:pPr>
        <w:spacing w:after="0" w:line="360" w:lineRule="auto"/>
        <w:rPr>
          <w:rStyle w:val="Emphasis"/>
          <w:rFonts w:ascii="Arial" w:hAnsi="Arial" w:cs="Arial"/>
          <w:b/>
          <w:i w:val="0"/>
          <w:sz w:val="24"/>
          <w:szCs w:val="24"/>
        </w:rPr>
      </w:pPr>
      <w:r w:rsidRPr="004C05CC">
        <w:rPr>
          <w:rStyle w:val="Emphasis"/>
          <w:rFonts w:ascii="Arial" w:hAnsi="Arial" w:cs="Arial"/>
          <w:b/>
          <w:i w:val="0"/>
          <w:sz w:val="24"/>
          <w:szCs w:val="24"/>
        </w:rPr>
        <w:t>Enhancing the Quality of Clinical Trial Reports</w:t>
      </w:r>
    </w:p>
    <w:p w14:paraId="300F33A3" w14:textId="77777777" w:rsidR="004C05CC" w:rsidRDefault="004C05CC" w:rsidP="00A7253B">
      <w:pPr>
        <w:spacing w:after="0" w:line="360" w:lineRule="auto"/>
        <w:rPr>
          <w:rStyle w:val="Emphasis"/>
          <w:rFonts w:ascii="Arial" w:hAnsi="Arial" w:cs="Arial"/>
          <w:i w:val="0"/>
          <w:sz w:val="24"/>
          <w:szCs w:val="24"/>
        </w:rPr>
      </w:pPr>
    </w:p>
    <w:p w14:paraId="523CD146" w14:textId="0DFC3B57" w:rsidR="004C05CC" w:rsidRDefault="004C05CC" w:rsidP="00A7253B">
      <w:pPr>
        <w:spacing w:after="0" w:line="360" w:lineRule="auto"/>
        <w:rPr>
          <w:rStyle w:val="Emphasis"/>
          <w:rFonts w:ascii="Arial" w:hAnsi="Arial" w:cs="Arial"/>
          <w:i w:val="0"/>
          <w:sz w:val="24"/>
          <w:szCs w:val="24"/>
        </w:rPr>
      </w:pPr>
      <w:r>
        <w:rPr>
          <w:rStyle w:val="Emphasis"/>
          <w:rFonts w:ascii="Arial" w:hAnsi="Arial" w:cs="Arial"/>
          <w:i w:val="0"/>
          <w:sz w:val="24"/>
          <w:szCs w:val="24"/>
        </w:rPr>
        <w:t>We conclude with some general remarks about the overall quality of clinical trial publications</w:t>
      </w:r>
      <w:r w:rsidRPr="00543767">
        <w:rPr>
          <w:rStyle w:val="Emphasis"/>
          <w:rFonts w:ascii="Arial" w:hAnsi="Arial" w:cs="Arial"/>
          <w:i w:val="0"/>
          <w:sz w:val="24"/>
          <w:szCs w:val="24"/>
        </w:rPr>
        <w:t xml:space="preserve">. </w:t>
      </w:r>
      <w:r w:rsidRPr="0082262A">
        <w:rPr>
          <w:rStyle w:val="Emphasis"/>
          <w:rFonts w:ascii="Arial" w:hAnsi="Arial" w:cs="Arial"/>
          <w:i w:val="0"/>
          <w:sz w:val="24"/>
          <w:szCs w:val="24"/>
        </w:rPr>
        <w:t>CONSORT</w:t>
      </w:r>
      <w:r w:rsidR="006B0D3C">
        <w:rPr>
          <w:rStyle w:val="Emphasis"/>
          <w:rFonts w:ascii="Arial" w:hAnsi="Arial" w:cs="Arial"/>
          <w:i w:val="0"/>
          <w:sz w:val="24"/>
          <w:szCs w:val="24"/>
        </w:rPr>
        <w:t xml:space="preserve">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&lt;EndNote&gt;&lt;Cite&gt;&lt;Author&gt;Moher&lt;/Author&gt;&lt;Year&gt;2010&lt;/Year&gt;&lt;RecNum&gt;47&lt;/RecNum&gt;&lt;DisplayText&gt;(51)&lt;/DisplayText&gt;&lt;record&gt;&lt;rec-number&gt;47&lt;/rec-number&gt;&lt;foreign-keys&gt;&lt;key app="EN" db-id="eaz5sewevp5dfxewrdrvzv52xsv2tsf22rzr"&gt;47&lt;/key&gt;&lt;/foreign-keys&gt;&lt;ref-type name="Journal Article"&gt;17&lt;/ref-type&gt;&lt;contributors&gt;&lt;authors&gt;&lt;author&gt;Moher, D.&lt;/author&gt;&lt;author&gt;Hopewell, S.&lt;/author&gt;&lt;author&gt;Schulz, K. F.&lt;/author&gt;&lt;author&gt;Montori, V.&lt;/author&gt;&lt;author&gt;Gotzsche, P. C.&lt;/author&gt;&lt;author&gt;Devereaux, P. J.&lt;/author&gt;&lt;author&gt;Elbourne, D.&lt;/author&gt;&lt;author&gt;Egger, M.&lt;/author&gt;&lt;author&gt;Altman, D. G.&lt;/author&gt;&lt;/authors&gt;&lt;/contributors&gt;&lt;auth-address&gt;Ottawa Methods Centre, Clinical Epidemiology Program, Ottawa Hospital Research Institute, Ottawa Hospital, Ottawa, Ontario, Canada. dmoher@ohri.ca&lt;/auth-address&gt;&lt;titles&gt;&lt;title&gt;CONSORT 2010 explanation and elaboration: updated guidelines for reporting parallel group randomised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ed.)&lt;/abbr-1&gt;&lt;/alt-periodical&gt;&lt;pages&gt;c869&lt;/pages&gt;&lt;volume&gt;340&lt;/volume&gt;&lt;edition&gt;2010/03/25&lt;/edition&gt;&lt;keywords&gt;&lt;keyword&gt;Consensus&lt;/keyword&gt;&lt;keyword&gt;Practice Guidelines as Topic/*standards&lt;/keyword&gt;&lt;keyword&gt;Randomized Controlled Trials as Topic/*standards&lt;/keyword&gt;&lt;keyword&gt;Research Design/*standards&lt;/keyword&gt;&lt;/keywords&gt;&lt;dates&gt;&lt;year&gt;2010&lt;/year&gt;&lt;/dates&gt;&lt;isbn&gt;0959-535x&lt;/isbn&gt;&lt;accession-num&gt;20332511&lt;/accession-num&gt;&lt;call-num&gt;46&lt;/call-num&gt;&lt;urls&gt;&lt;/urls&gt;&lt;custom2&gt;Pmc2844943&lt;/custom2&gt;&lt;electronic-resource-num&gt;10.1136/bmj.c869&lt;/electronic-resource-num&gt;&lt;remote-database-provider&gt;Nlm&lt;/remote-database-provider&gt;&lt;language&gt;eng&lt;/language&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51" w:tooltip="Moher, 2010 #47" w:history="1">
        <w:r w:rsidR="00DA7737">
          <w:rPr>
            <w:rStyle w:val="Emphasis"/>
            <w:rFonts w:ascii="Arial" w:hAnsi="Arial" w:cs="Arial"/>
            <w:i w:val="0"/>
            <w:noProof/>
            <w:sz w:val="24"/>
            <w:szCs w:val="24"/>
          </w:rPr>
          <w:t>51</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Pr>
          <w:rStyle w:val="Emphasis"/>
          <w:rFonts w:ascii="Arial" w:hAnsi="Arial" w:cs="Arial"/>
          <w:i w:val="0"/>
          <w:sz w:val="24"/>
          <w:szCs w:val="24"/>
        </w:rPr>
        <w:t xml:space="preserve"> is an established set of guidelines for reporting clinical trials which many journals, including JACC, expect authors to adhere to. There is a helpful checklist of items to include (see Table 5) which cover</w:t>
      </w:r>
      <w:r w:rsidR="0082262A">
        <w:rPr>
          <w:rStyle w:val="Emphasis"/>
          <w:rFonts w:ascii="Arial" w:hAnsi="Arial" w:cs="Arial"/>
          <w:i w:val="0"/>
          <w:sz w:val="24"/>
          <w:szCs w:val="24"/>
        </w:rPr>
        <w:t>s</w:t>
      </w:r>
      <w:r>
        <w:rPr>
          <w:rStyle w:val="Emphasis"/>
          <w:rFonts w:ascii="Arial" w:hAnsi="Arial" w:cs="Arial"/>
          <w:i w:val="0"/>
          <w:sz w:val="24"/>
          <w:szCs w:val="24"/>
        </w:rPr>
        <w:t xml:space="preserve"> all sections of an article including Methods, Results and Conclusions. Specific issues covered in </w:t>
      </w:r>
      <w:r>
        <w:rPr>
          <w:rStyle w:val="Emphasis"/>
          <w:rFonts w:ascii="Arial" w:hAnsi="Arial" w:cs="Arial"/>
          <w:i w:val="0"/>
          <w:sz w:val="24"/>
          <w:szCs w:val="24"/>
        </w:rPr>
        <w:lastRenderedPageBreak/>
        <w:t>CONSORT extensions include non-inferiority trials, pragmatic trials, reporting of harms, and what to include in a trial Abstract</w:t>
      </w:r>
      <w:r w:rsidR="0082262A">
        <w:rPr>
          <w:rStyle w:val="Emphasis"/>
          <w:rFonts w:ascii="Arial" w:hAnsi="Arial" w:cs="Arial"/>
          <w:i w:val="0"/>
          <w:sz w:val="24"/>
          <w:szCs w:val="24"/>
        </w:rPr>
        <w:t xml:space="preserve"> </w:t>
      </w:r>
      <w:r w:rsidR="006B0D3C">
        <w:rPr>
          <w:rStyle w:val="Emphasis"/>
          <w:rFonts w:ascii="Arial" w:hAnsi="Arial" w:cs="Arial"/>
          <w:i w:val="0"/>
          <w:sz w:val="24"/>
          <w:szCs w:val="24"/>
        </w:rPr>
        <w:fldChar w:fldCharType="begin"/>
      </w:r>
      <w:r w:rsidR="00DA7737">
        <w:rPr>
          <w:rStyle w:val="Emphasis"/>
          <w:rFonts w:ascii="Arial" w:hAnsi="Arial" w:cs="Arial"/>
          <w:i w:val="0"/>
          <w:sz w:val="24"/>
          <w:szCs w:val="24"/>
        </w:rPr>
        <w:instrText xml:space="preserve"> ADDIN EN.CITE &lt;EndNote&gt;&lt;Cite&gt;&lt;Author&gt;Hopewell&lt;/Author&gt;&lt;Year&gt;2008&lt;/Year&gt;&lt;RecNum&gt;97&lt;/RecNum&gt;&lt;DisplayText&gt;(52)&lt;/DisplayText&gt;&lt;record&gt;&lt;rec-number&gt;97&lt;/rec-number&gt;&lt;foreign-keys&gt;&lt;key app="EN" db-id="eaz5sewevp5dfxewrdrvzv52xsv2tsf22rzr"&gt;97&lt;/key&gt;&lt;/foreign-keys&gt;&lt;ref-type name="Journal Article"&gt;17&lt;/ref-type&gt;&lt;contributors&gt;&lt;authors&gt;&lt;author&gt;Hopewell, Sally&lt;/author&gt;&lt;author&gt;Clarke, Mike&lt;/author&gt;&lt;author&gt;Moher, David&lt;/author&gt;&lt;author&gt;Wager, Elizabeth&lt;/author&gt;&lt;author&gt;Middleton, Philippa&lt;/author&gt;&lt;author&gt;Altman, Douglas G.&lt;/author&gt;&lt;author&gt;Schulz, Kenneth F.&lt;/author&gt;&lt;/authors&gt;&lt;/contributors&gt;&lt;titles&gt;&lt;title&gt;CONSORT for reporting randomised trials in journal and conference abstracts&lt;/title&gt;&lt;secondary-title&gt;The Lancet&lt;/secondary-title&gt;&lt;/titles&gt;&lt;periodical&gt;&lt;full-title&gt;The Lancet&lt;/full-title&gt;&lt;/periodical&gt;&lt;pages&gt;281-283&lt;/pages&gt;&lt;volume&gt;371&lt;/volume&gt;&lt;number&gt;9609&lt;/number&gt;&lt;dates&gt;&lt;year&gt;2008&lt;/year&gt;&lt;pub-dates&gt;&lt;date&gt;//26&lt;/date&gt;&lt;/pub-dates&gt;&lt;/dates&gt;&lt;isbn&gt;0140-6736&lt;/isbn&gt;&lt;call-num&gt;47&lt;/call-num&gt;&lt;urls&gt;&lt;related-urls&gt;&lt;url&gt;http://www.sciencedirect.com/science/article/pii/S0140673607618352&lt;/url&gt;&lt;/related-urls&gt;&lt;/urls&gt;&lt;electronic-resource-num&gt;http://dx.doi.org/10.1016/S0140-6736(07)61835-2&lt;/electronic-resource-num&gt;&lt;access-date&gt;2008/2/1/&lt;/access-date&gt;&lt;/record&gt;&lt;/Cite&gt;&lt;/EndNote&gt;</w:instrText>
      </w:r>
      <w:r w:rsidR="006B0D3C">
        <w:rPr>
          <w:rStyle w:val="Emphasis"/>
          <w:rFonts w:ascii="Arial" w:hAnsi="Arial" w:cs="Arial"/>
          <w:i w:val="0"/>
          <w:sz w:val="24"/>
          <w:szCs w:val="24"/>
        </w:rPr>
        <w:fldChar w:fldCharType="separate"/>
      </w:r>
      <w:r w:rsidR="00DA7737">
        <w:rPr>
          <w:rStyle w:val="Emphasis"/>
          <w:rFonts w:ascii="Arial" w:hAnsi="Arial" w:cs="Arial"/>
          <w:i w:val="0"/>
          <w:noProof/>
          <w:sz w:val="24"/>
          <w:szCs w:val="24"/>
        </w:rPr>
        <w:t>(</w:t>
      </w:r>
      <w:hyperlink w:anchor="_ENREF_52" w:tooltip="Hopewell, 2008 #97" w:history="1">
        <w:r w:rsidR="00DA7737">
          <w:rPr>
            <w:rStyle w:val="Emphasis"/>
            <w:rFonts w:ascii="Arial" w:hAnsi="Arial" w:cs="Arial"/>
            <w:i w:val="0"/>
            <w:noProof/>
            <w:sz w:val="24"/>
            <w:szCs w:val="24"/>
          </w:rPr>
          <w:t>52</w:t>
        </w:r>
      </w:hyperlink>
      <w:r w:rsidR="00DA7737">
        <w:rPr>
          <w:rStyle w:val="Emphasis"/>
          <w:rFonts w:ascii="Arial" w:hAnsi="Arial" w:cs="Arial"/>
          <w:i w:val="0"/>
          <w:noProof/>
          <w:sz w:val="24"/>
          <w:szCs w:val="24"/>
        </w:rPr>
        <w:t>)</w:t>
      </w:r>
      <w:r w:rsidR="006B0D3C">
        <w:rPr>
          <w:rStyle w:val="Emphasis"/>
          <w:rFonts w:ascii="Arial" w:hAnsi="Arial" w:cs="Arial"/>
          <w:i w:val="0"/>
          <w:sz w:val="24"/>
          <w:szCs w:val="24"/>
        </w:rPr>
        <w:fldChar w:fldCharType="end"/>
      </w:r>
      <w:r>
        <w:rPr>
          <w:rStyle w:val="Emphasis"/>
          <w:rFonts w:ascii="Arial" w:hAnsi="Arial" w:cs="Arial"/>
          <w:i w:val="0"/>
          <w:sz w:val="24"/>
          <w:szCs w:val="24"/>
        </w:rPr>
        <w:t>.</w:t>
      </w:r>
    </w:p>
    <w:p w14:paraId="02355B33" w14:textId="77777777" w:rsidR="00BC60EC" w:rsidRDefault="00BC60EC" w:rsidP="00A7253B">
      <w:pPr>
        <w:spacing w:after="0" w:line="360" w:lineRule="auto"/>
        <w:rPr>
          <w:rStyle w:val="Emphasis"/>
          <w:rFonts w:ascii="Arial" w:hAnsi="Arial" w:cs="Arial"/>
          <w:i w:val="0"/>
          <w:sz w:val="24"/>
          <w:szCs w:val="24"/>
        </w:rPr>
      </w:pPr>
    </w:p>
    <w:p w14:paraId="53F8752A" w14:textId="76580073" w:rsidR="00BC60EC" w:rsidRDefault="00BC60EC" w:rsidP="00A7253B">
      <w:pPr>
        <w:spacing w:after="0" w:line="360" w:lineRule="auto"/>
        <w:rPr>
          <w:rStyle w:val="Emphasis"/>
          <w:rFonts w:ascii="Arial" w:hAnsi="Arial" w:cs="Arial"/>
          <w:i w:val="0"/>
          <w:sz w:val="24"/>
          <w:szCs w:val="24"/>
        </w:rPr>
      </w:pPr>
      <w:r>
        <w:rPr>
          <w:rStyle w:val="Emphasis"/>
          <w:rFonts w:ascii="Arial" w:hAnsi="Arial" w:cs="Arial"/>
          <w:i w:val="0"/>
          <w:sz w:val="24"/>
          <w:szCs w:val="24"/>
        </w:rPr>
        <w:t xml:space="preserve">Such guidelines do help, but the overall responsibility of </w:t>
      </w:r>
      <w:proofErr w:type="spellStart"/>
      <w:r>
        <w:rPr>
          <w:rStyle w:val="Emphasis"/>
          <w:rFonts w:ascii="Arial" w:hAnsi="Arial" w:cs="Arial"/>
          <w:i w:val="0"/>
          <w:sz w:val="24"/>
          <w:szCs w:val="24"/>
        </w:rPr>
        <w:t>trialists</w:t>
      </w:r>
      <w:proofErr w:type="spellEnd"/>
      <w:r>
        <w:rPr>
          <w:rStyle w:val="Emphasis"/>
          <w:rFonts w:ascii="Arial" w:hAnsi="Arial" w:cs="Arial"/>
          <w:i w:val="0"/>
          <w:sz w:val="24"/>
          <w:szCs w:val="24"/>
        </w:rPr>
        <w:t xml:space="preserve"> (and journal editors and reviewers) is to ensure that an honest, balanced account of a trial’s findings is provided. In particular, the Discussion should document any limitations in a trial’s design (</w:t>
      </w:r>
      <w:r w:rsidR="00BA5149">
        <w:rPr>
          <w:rStyle w:val="Emphasis"/>
          <w:rFonts w:ascii="Arial" w:hAnsi="Arial" w:cs="Arial"/>
          <w:i w:val="0"/>
          <w:sz w:val="24"/>
          <w:szCs w:val="24"/>
        </w:rPr>
        <w:t xml:space="preserve">e.g. </w:t>
      </w:r>
      <w:r>
        <w:rPr>
          <w:rStyle w:val="Emphasis"/>
          <w:rFonts w:ascii="Arial" w:hAnsi="Arial" w:cs="Arial"/>
          <w:i w:val="0"/>
          <w:sz w:val="24"/>
          <w:szCs w:val="24"/>
        </w:rPr>
        <w:t>what potential biases exist?), conduct (</w:t>
      </w:r>
      <w:r w:rsidR="00BA5149">
        <w:rPr>
          <w:rStyle w:val="Emphasis"/>
          <w:rFonts w:ascii="Arial" w:hAnsi="Arial" w:cs="Arial"/>
          <w:i w:val="0"/>
          <w:sz w:val="24"/>
          <w:szCs w:val="24"/>
        </w:rPr>
        <w:t xml:space="preserve">e.g. </w:t>
      </w:r>
      <w:r>
        <w:rPr>
          <w:rStyle w:val="Emphasis"/>
          <w:rFonts w:ascii="Arial" w:hAnsi="Arial" w:cs="Arial"/>
          <w:i w:val="0"/>
          <w:sz w:val="24"/>
          <w:szCs w:val="24"/>
        </w:rPr>
        <w:t>non-compliance, dropouts) and analysis (</w:t>
      </w:r>
      <w:r w:rsidR="00BA5149">
        <w:rPr>
          <w:rStyle w:val="Emphasis"/>
          <w:rFonts w:ascii="Arial" w:hAnsi="Arial" w:cs="Arial"/>
          <w:i w:val="0"/>
          <w:sz w:val="24"/>
          <w:szCs w:val="24"/>
        </w:rPr>
        <w:t xml:space="preserve">e.g. </w:t>
      </w:r>
      <w:r>
        <w:rPr>
          <w:rStyle w:val="Emphasis"/>
          <w:rFonts w:ascii="Arial" w:hAnsi="Arial" w:cs="Arial"/>
          <w:i w:val="0"/>
          <w:sz w:val="24"/>
          <w:szCs w:val="24"/>
        </w:rPr>
        <w:t>was ITT analysis achieved?). Relevant to the controversies discussed in this article is that authors make clear what are the pre-defined analyses and any priorities amongst the</w:t>
      </w:r>
      <w:r w:rsidR="00030777">
        <w:rPr>
          <w:rStyle w:val="Emphasis"/>
          <w:rFonts w:ascii="Arial" w:hAnsi="Arial" w:cs="Arial"/>
          <w:i w:val="0"/>
          <w:sz w:val="24"/>
          <w:szCs w:val="24"/>
        </w:rPr>
        <w:t>m</w:t>
      </w:r>
      <w:r>
        <w:rPr>
          <w:rStyle w:val="Emphasis"/>
          <w:rFonts w:ascii="Arial" w:hAnsi="Arial" w:cs="Arial"/>
          <w:i w:val="0"/>
          <w:sz w:val="24"/>
          <w:szCs w:val="24"/>
        </w:rPr>
        <w:t xml:space="preserve">, </w:t>
      </w:r>
      <w:r w:rsidR="00BA5149">
        <w:rPr>
          <w:rStyle w:val="Emphasis"/>
          <w:rFonts w:ascii="Arial" w:hAnsi="Arial" w:cs="Arial"/>
          <w:i w:val="0"/>
          <w:sz w:val="24"/>
          <w:szCs w:val="24"/>
        </w:rPr>
        <w:t xml:space="preserve">e.g. </w:t>
      </w:r>
      <w:r>
        <w:rPr>
          <w:rStyle w:val="Emphasis"/>
          <w:rFonts w:ascii="Arial" w:hAnsi="Arial" w:cs="Arial"/>
          <w:i w:val="0"/>
          <w:sz w:val="24"/>
          <w:szCs w:val="24"/>
        </w:rPr>
        <w:t>the primary endpoint’s overall analysis should dominate t</w:t>
      </w:r>
      <w:r w:rsidR="00030777">
        <w:rPr>
          <w:rStyle w:val="Emphasis"/>
          <w:rFonts w:ascii="Arial" w:hAnsi="Arial" w:cs="Arial"/>
          <w:i w:val="0"/>
          <w:sz w:val="24"/>
          <w:szCs w:val="24"/>
        </w:rPr>
        <w:t>h</w:t>
      </w:r>
      <w:r>
        <w:rPr>
          <w:rStyle w:val="Emphasis"/>
          <w:rFonts w:ascii="Arial" w:hAnsi="Arial" w:cs="Arial"/>
          <w:i w:val="0"/>
          <w:sz w:val="24"/>
          <w:szCs w:val="24"/>
        </w:rPr>
        <w:t>e Conclusions</w:t>
      </w:r>
      <w:r w:rsidR="0082262A">
        <w:rPr>
          <w:rStyle w:val="Emphasis"/>
          <w:rFonts w:ascii="Arial" w:hAnsi="Arial" w:cs="Arial"/>
          <w:i w:val="0"/>
          <w:sz w:val="24"/>
          <w:szCs w:val="24"/>
        </w:rPr>
        <w:t xml:space="preserve"> and the Abstract</w:t>
      </w:r>
      <w:r>
        <w:rPr>
          <w:rStyle w:val="Emphasis"/>
          <w:rFonts w:ascii="Arial" w:hAnsi="Arial" w:cs="Arial"/>
          <w:i w:val="0"/>
          <w:sz w:val="24"/>
          <w:szCs w:val="24"/>
        </w:rPr>
        <w:t xml:space="preserve">, while any </w:t>
      </w:r>
      <w:r w:rsidR="0082262A">
        <w:rPr>
          <w:rStyle w:val="Emphasis"/>
          <w:rFonts w:ascii="Arial" w:hAnsi="Arial" w:cs="Arial"/>
          <w:i w:val="0"/>
          <w:sz w:val="24"/>
          <w:szCs w:val="24"/>
        </w:rPr>
        <w:t xml:space="preserve">important </w:t>
      </w:r>
      <w:r>
        <w:rPr>
          <w:rStyle w:val="Emphasis"/>
          <w:rFonts w:ascii="Arial" w:hAnsi="Arial" w:cs="Arial"/>
          <w:i w:val="0"/>
          <w:sz w:val="24"/>
          <w:szCs w:val="24"/>
        </w:rPr>
        <w:t>safety issues are also adequate</w:t>
      </w:r>
      <w:r w:rsidR="00030777">
        <w:rPr>
          <w:rStyle w:val="Emphasis"/>
          <w:rFonts w:ascii="Arial" w:hAnsi="Arial" w:cs="Arial"/>
          <w:i w:val="0"/>
          <w:sz w:val="24"/>
          <w:szCs w:val="24"/>
        </w:rPr>
        <w:t>ly</w:t>
      </w:r>
      <w:r>
        <w:rPr>
          <w:rStyle w:val="Emphasis"/>
          <w:rFonts w:ascii="Arial" w:hAnsi="Arial" w:cs="Arial"/>
          <w:i w:val="0"/>
          <w:sz w:val="24"/>
          <w:szCs w:val="24"/>
        </w:rPr>
        <w:t xml:space="preserve"> represented</w:t>
      </w:r>
      <w:r w:rsidR="0082262A">
        <w:rPr>
          <w:rStyle w:val="Emphasis"/>
          <w:rFonts w:ascii="Arial" w:hAnsi="Arial" w:cs="Arial"/>
          <w:i w:val="0"/>
          <w:sz w:val="24"/>
          <w:szCs w:val="24"/>
        </w:rPr>
        <w:t xml:space="preserve"> in both</w:t>
      </w:r>
      <w:r>
        <w:rPr>
          <w:rStyle w:val="Emphasis"/>
          <w:rFonts w:ascii="Arial" w:hAnsi="Arial" w:cs="Arial"/>
          <w:i w:val="0"/>
          <w:sz w:val="24"/>
          <w:szCs w:val="24"/>
        </w:rPr>
        <w:t xml:space="preserve">. Any other data explorations, </w:t>
      </w:r>
      <w:r w:rsidR="00030777">
        <w:rPr>
          <w:rStyle w:val="Emphasis"/>
          <w:rFonts w:ascii="Arial" w:hAnsi="Arial" w:cs="Arial"/>
          <w:i w:val="0"/>
          <w:sz w:val="24"/>
          <w:szCs w:val="24"/>
        </w:rPr>
        <w:t>(</w:t>
      </w:r>
      <w:r w:rsidR="00BA5149">
        <w:rPr>
          <w:rStyle w:val="Emphasis"/>
          <w:rFonts w:ascii="Arial" w:hAnsi="Arial" w:cs="Arial"/>
          <w:i w:val="0"/>
          <w:sz w:val="24"/>
          <w:szCs w:val="24"/>
        </w:rPr>
        <w:t xml:space="preserve">e.g. </w:t>
      </w:r>
      <w:r>
        <w:rPr>
          <w:rStyle w:val="Emphasis"/>
          <w:rFonts w:ascii="Arial" w:hAnsi="Arial" w:cs="Arial"/>
          <w:i w:val="0"/>
          <w:sz w:val="24"/>
          <w:szCs w:val="24"/>
        </w:rPr>
        <w:t>secondary endpoints, subgroup analyses</w:t>
      </w:r>
      <w:r w:rsidR="00030777">
        <w:rPr>
          <w:rStyle w:val="Emphasis"/>
          <w:rFonts w:ascii="Arial" w:hAnsi="Arial" w:cs="Arial"/>
          <w:i w:val="0"/>
          <w:sz w:val="24"/>
          <w:szCs w:val="24"/>
        </w:rPr>
        <w:t>)</w:t>
      </w:r>
      <w:r>
        <w:rPr>
          <w:rStyle w:val="Emphasis"/>
          <w:rFonts w:ascii="Arial" w:hAnsi="Arial" w:cs="Arial"/>
          <w:i w:val="0"/>
          <w:sz w:val="24"/>
          <w:szCs w:val="24"/>
        </w:rPr>
        <w:t xml:space="preserve"> are relevant background but it is the authors</w:t>
      </w:r>
      <w:r w:rsidR="00030777">
        <w:rPr>
          <w:rStyle w:val="Emphasis"/>
          <w:rFonts w:ascii="Arial" w:hAnsi="Arial" w:cs="Arial"/>
          <w:i w:val="0"/>
          <w:sz w:val="24"/>
          <w:szCs w:val="24"/>
        </w:rPr>
        <w:t>’</w:t>
      </w:r>
      <w:r>
        <w:rPr>
          <w:rStyle w:val="Emphasis"/>
          <w:rFonts w:ascii="Arial" w:hAnsi="Arial" w:cs="Arial"/>
          <w:i w:val="0"/>
          <w:sz w:val="24"/>
          <w:szCs w:val="24"/>
        </w:rPr>
        <w:t xml:space="preserve"> and journal’s responsibility to ensure that a cautious interpretation is maintained. Nevertheless, controversies will continue to arise and we hope this article has provided a statistical insight which will help both </w:t>
      </w:r>
      <w:proofErr w:type="spellStart"/>
      <w:r>
        <w:rPr>
          <w:rStyle w:val="Emphasis"/>
          <w:rFonts w:ascii="Arial" w:hAnsi="Arial" w:cs="Arial"/>
          <w:i w:val="0"/>
          <w:sz w:val="24"/>
          <w:szCs w:val="24"/>
        </w:rPr>
        <w:t>trialist</w:t>
      </w:r>
      <w:r w:rsidR="00030777">
        <w:rPr>
          <w:rStyle w:val="Emphasis"/>
          <w:rFonts w:ascii="Arial" w:hAnsi="Arial" w:cs="Arial"/>
          <w:i w:val="0"/>
          <w:sz w:val="24"/>
          <w:szCs w:val="24"/>
        </w:rPr>
        <w:t>s</w:t>
      </w:r>
      <w:proofErr w:type="spellEnd"/>
      <w:r>
        <w:rPr>
          <w:rStyle w:val="Emphasis"/>
          <w:rFonts w:ascii="Arial" w:hAnsi="Arial" w:cs="Arial"/>
          <w:i w:val="0"/>
          <w:sz w:val="24"/>
          <w:szCs w:val="24"/>
        </w:rPr>
        <w:t xml:space="preserve"> to present, and readers to acquire, a balanced perspective.</w:t>
      </w:r>
    </w:p>
    <w:p w14:paraId="7DB3AA97" w14:textId="6731730A" w:rsidR="00CE5CDF" w:rsidRDefault="00CE5CDF">
      <w:pPr>
        <w:rPr>
          <w:rStyle w:val="Emphasis"/>
          <w:rFonts w:ascii="Arial" w:hAnsi="Arial" w:cs="Arial"/>
          <w:i w:val="0"/>
          <w:sz w:val="24"/>
          <w:szCs w:val="24"/>
        </w:rPr>
      </w:pPr>
      <w:r>
        <w:rPr>
          <w:rStyle w:val="Emphasis"/>
          <w:rFonts w:ascii="Arial" w:hAnsi="Arial" w:cs="Arial"/>
          <w:i w:val="0"/>
          <w:sz w:val="24"/>
          <w:szCs w:val="24"/>
        </w:rPr>
        <w:br w:type="page"/>
      </w:r>
    </w:p>
    <w:p w14:paraId="6516FF8E" w14:textId="77777777" w:rsidR="00CE5CDF" w:rsidRDefault="00CE5CDF" w:rsidP="00CE5CDF">
      <w:pPr>
        <w:spacing w:after="0" w:line="360" w:lineRule="auto"/>
        <w:rPr>
          <w:rFonts w:ascii="Arial" w:hAnsi="Arial" w:cs="Arial"/>
          <w:sz w:val="24"/>
          <w:szCs w:val="24"/>
        </w:rPr>
      </w:pPr>
    </w:p>
    <w:p w14:paraId="5566D316" w14:textId="77777777" w:rsidR="00DA7737" w:rsidRPr="00DA7737" w:rsidRDefault="00CE5CDF" w:rsidP="00DA7737">
      <w:pPr>
        <w:pStyle w:val="EndNoteBibliography"/>
        <w:spacing w:after="0"/>
        <w:ind w:left="720" w:hanging="72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bookmarkStart w:id="1" w:name="_ENREF_1"/>
      <w:r w:rsidR="00DA7737" w:rsidRPr="00DA7737">
        <w:t>1.</w:t>
      </w:r>
      <w:r w:rsidR="00DA7737" w:rsidRPr="00DA7737">
        <w:tab/>
        <w:t>Cook RJ, Farewell VT. Multiplicity Considerations in the Design and Analysis of Clinical Trials. Journal of the Royal Statistical Society. Series A (Statistics in Society) 1996;159:93-110.</w:t>
      </w:r>
      <w:bookmarkEnd w:id="1"/>
    </w:p>
    <w:p w14:paraId="350CB02C" w14:textId="77777777" w:rsidR="00DA7737" w:rsidRPr="00DA7737" w:rsidRDefault="00DA7737" w:rsidP="00DA7737">
      <w:pPr>
        <w:pStyle w:val="EndNoteBibliography"/>
        <w:spacing w:after="0"/>
        <w:ind w:left="720" w:hanging="720"/>
      </w:pPr>
      <w:bookmarkStart w:id="2" w:name="_ENREF_2"/>
      <w:r w:rsidRPr="00DA7737">
        <w:t>2.</w:t>
      </w:r>
      <w:r w:rsidRPr="00DA7737">
        <w:tab/>
        <w:t>Bonaca MP, Bhatt DL, Cohen M, et al. Long-Term Use of Ticagrelor in Patients with Prior Myocardial Infarction. New England Journal of Medicine 2015;372:1791-1800.</w:t>
      </w:r>
      <w:bookmarkEnd w:id="2"/>
    </w:p>
    <w:p w14:paraId="1D63F8B9" w14:textId="77777777" w:rsidR="00DA7737" w:rsidRPr="00DA7737" w:rsidRDefault="00DA7737" w:rsidP="00DA7737">
      <w:pPr>
        <w:pStyle w:val="EndNoteBibliography"/>
        <w:spacing w:after="0"/>
        <w:ind w:left="720" w:hanging="720"/>
      </w:pPr>
      <w:bookmarkStart w:id="3" w:name="_ENREF_3"/>
      <w:r w:rsidRPr="00DA7737">
        <w:t>3.</w:t>
      </w:r>
      <w:r w:rsidRPr="00DA7737">
        <w:tab/>
        <w:t>Dormandy JA, Charbonnel B, Eckland DJA, et al. Secondary prevention of macrovascular events in patients with type 2 diabetes in the PROactive Study (PROspective pioglitAzone Clinical Trial In macroVascular Events): a randomised controlled trial. The Lancet 2005;366:1279-1289.</w:t>
      </w:r>
      <w:bookmarkEnd w:id="3"/>
    </w:p>
    <w:p w14:paraId="055A572C" w14:textId="77777777" w:rsidR="00DA7737" w:rsidRPr="00DA7737" w:rsidRDefault="00DA7737" w:rsidP="00DA7737">
      <w:pPr>
        <w:pStyle w:val="EndNoteBibliography"/>
        <w:spacing w:after="0"/>
        <w:ind w:left="720" w:hanging="720"/>
      </w:pPr>
      <w:bookmarkStart w:id="4" w:name="_ENREF_4"/>
      <w:r w:rsidRPr="00DA7737">
        <w:t>4.</w:t>
      </w:r>
      <w:r w:rsidRPr="00DA7737">
        <w:tab/>
        <w:t>Valgimigli M, Frigoli E, Leonardi S, et al. Bivalirudin or Unfractionated Heparin in Acute Coronary Syndromes. New England Journal of Medicine 2015;373:997-1009.</w:t>
      </w:r>
      <w:bookmarkEnd w:id="4"/>
    </w:p>
    <w:p w14:paraId="1BBCE1F1" w14:textId="77777777" w:rsidR="00DA7737" w:rsidRPr="00DA7737" w:rsidRDefault="00DA7737" w:rsidP="00DA7737">
      <w:pPr>
        <w:pStyle w:val="EndNoteBibliography"/>
        <w:spacing w:after="0"/>
        <w:ind w:left="720" w:hanging="720"/>
      </w:pPr>
      <w:bookmarkStart w:id="5" w:name="_ENREF_5"/>
      <w:r w:rsidRPr="00DA7737">
        <w:t>5.</w:t>
      </w:r>
      <w:r w:rsidRPr="00DA7737">
        <w:tab/>
        <w:t>Scirica BM, Bhatt DL, Braunwald E, et al. Saxagliptin and Cardiovascular Outcomes in Patients with Type 2 Diabetes Mellitus. New England Journal of Medicine 2013;369:1317-1326.</w:t>
      </w:r>
      <w:bookmarkEnd w:id="5"/>
    </w:p>
    <w:p w14:paraId="4479BDAF" w14:textId="77777777" w:rsidR="00DA7737" w:rsidRPr="00DA7737" w:rsidRDefault="00DA7737" w:rsidP="00DA7737">
      <w:pPr>
        <w:pStyle w:val="EndNoteBibliography"/>
        <w:spacing w:after="0"/>
        <w:ind w:left="720" w:hanging="720"/>
      </w:pPr>
      <w:bookmarkStart w:id="6" w:name="_ENREF_6"/>
      <w:r w:rsidRPr="00DA7737">
        <w:t>6.</w:t>
      </w:r>
      <w:r w:rsidRPr="00DA7737">
        <w:tab/>
        <w:t>White WB, Cannon CP, Heller SR, et al. Alogliptin after Acute Coronary Syndrome in Patients with Type 2 Diabetes. New England Journal of Medicine 2013;369:1327-1335.</w:t>
      </w:r>
      <w:bookmarkEnd w:id="6"/>
    </w:p>
    <w:p w14:paraId="02D82CA0" w14:textId="77777777" w:rsidR="00DA7737" w:rsidRPr="00DA7737" w:rsidRDefault="00DA7737" w:rsidP="00DA7737">
      <w:pPr>
        <w:pStyle w:val="EndNoteBibliography"/>
        <w:spacing w:after="0"/>
        <w:ind w:left="720" w:hanging="720"/>
      </w:pPr>
      <w:bookmarkStart w:id="7" w:name="_ENREF_7"/>
      <w:r w:rsidRPr="00DA7737">
        <w:t>7.</w:t>
      </w:r>
      <w:r w:rsidRPr="00DA7737">
        <w:tab/>
        <w:t>Green JB, Bethel MA, Armstrong PW, et al. Effect of Sitagliptin on Cardiovascular Outcomes in Type 2 Diabetes. New England Journal of Medicine 2015;373:232-242.</w:t>
      </w:r>
      <w:bookmarkEnd w:id="7"/>
    </w:p>
    <w:p w14:paraId="0FC8DCBA" w14:textId="77777777" w:rsidR="00DA7737" w:rsidRPr="00DA7737" w:rsidRDefault="00DA7737" w:rsidP="00DA7737">
      <w:pPr>
        <w:pStyle w:val="EndNoteBibliography"/>
        <w:spacing w:after="0"/>
        <w:ind w:left="720" w:hanging="720"/>
      </w:pPr>
      <w:bookmarkStart w:id="8" w:name="_ENREF_8"/>
      <w:r w:rsidRPr="00DA7737">
        <w:t>8.</w:t>
      </w:r>
      <w:r w:rsidRPr="00DA7737">
        <w:tab/>
        <w:t>Serruys PW, Morice M-C, Kappetein AP, et al. Percutaneous Coronary Intervention versus Coronary-Artery Bypass Grafting for Severe Coronary Artery Disease. New England Journal of Medicine 2009;360:961-972.</w:t>
      </w:r>
      <w:bookmarkEnd w:id="8"/>
    </w:p>
    <w:p w14:paraId="29EDA7ED" w14:textId="77777777" w:rsidR="00DA7737" w:rsidRPr="00DA7737" w:rsidRDefault="00DA7737" w:rsidP="00DA7737">
      <w:pPr>
        <w:pStyle w:val="EndNoteBibliography"/>
        <w:spacing w:after="0"/>
        <w:ind w:left="720" w:hanging="720"/>
      </w:pPr>
      <w:bookmarkStart w:id="9" w:name="_ENREF_9"/>
      <w:r w:rsidRPr="00DA7737">
        <w:t>9.</w:t>
      </w:r>
      <w:r w:rsidRPr="00DA7737">
        <w:tab/>
        <w:t>Mohr FW, Morice M-C, Kappetein AP, et al. Coronary artery bypass graft surgery versus percutaneous coronary intervention in patients with three-vessel disease and left main coronary disease: 5-year follow-up of the randomised, clinical SYNTAX trial. The Lancet 2013;381:629-638.</w:t>
      </w:r>
      <w:bookmarkEnd w:id="9"/>
    </w:p>
    <w:p w14:paraId="5BE221FF" w14:textId="77777777" w:rsidR="00DA7737" w:rsidRPr="00DA7737" w:rsidRDefault="00DA7737" w:rsidP="00DA7737">
      <w:pPr>
        <w:pStyle w:val="EndNoteBibliography"/>
        <w:spacing w:after="0"/>
        <w:ind w:left="720" w:hanging="720"/>
      </w:pPr>
      <w:bookmarkStart w:id="10" w:name="_ENREF_10"/>
      <w:r w:rsidRPr="00DA7737">
        <w:t>10.</w:t>
      </w:r>
      <w:r w:rsidRPr="00DA7737">
        <w:tab/>
        <w:t>Abbott Vascular I, U.S.A. Evaluation of Xience Prime everolimus-eluting stent system (EECSS) or Xience V EECSS versus coronary artery bypass surgery for effectiveness of left main revascularization (EXCEL) clinical trial. In: ClinicalTrials.gov [Internet]. Bethesda (MD): National Library of Medicine (US). 2010- [cited 2015 August 07]. Available from: https://clinicaltrials.gov/ct2/show/NCT01205776 Identifier: NCT01205776 2010 2010.</w:t>
      </w:r>
      <w:bookmarkEnd w:id="10"/>
    </w:p>
    <w:p w14:paraId="0792E225" w14:textId="77777777" w:rsidR="00DA7737" w:rsidRPr="00DA7737" w:rsidRDefault="00DA7737" w:rsidP="00DA7737">
      <w:pPr>
        <w:pStyle w:val="EndNoteBibliography"/>
        <w:spacing w:after="0"/>
        <w:ind w:left="720" w:hanging="720"/>
      </w:pPr>
      <w:bookmarkStart w:id="11" w:name="_ENREF_11"/>
      <w:r w:rsidRPr="00DA7737">
        <w:t>11.</w:t>
      </w:r>
      <w:r w:rsidRPr="00DA7737">
        <w:tab/>
        <w:t>Pocock SJ, Assmann SE, Enos LE, Kasten LE. Subgroup analysis, covariate adjustment and baseline comparisons in clinical trial reporting: current practiceand problems. Statistics in Medicine 2002;21:2917-2930.</w:t>
      </w:r>
      <w:bookmarkEnd w:id="11"/>
    </w:p>
    <w:p w14:paraId="6D6797B0" w14:textId="77777777" w:rsidR="00DA7737" w:rsidRPr="00DA7737" w:rsidRDefault="00DA7737" w:rsidP="00DA7737">
      <w:pPr>
        <w:pStyle w:val="EndNoteBibliography"/>
        <w:spacing w:after="0"/>
        <w:ind w:left="720" w:hanging="720"/>
      </w:pPr>
      <w:bookmarkStart w:id="12" w:name="_ENREF_12"/>
      <w:r w:rsidRPr="00DA7737">
        <w:t>12.</w:t>
      </w:r>
      <w:r w:rsidRPr="00DA7737">
        <w:tab/>
        <w:t>Zannad F, McMurray JJV, Krum H, et al. Eplerenone in Patients with Systolic Heart Failure and Mild Symptoms. New England Journal of Medicine 2011;364:11-21.</w:t>
      </w:r>
      <w:bookmarkEnd w:id="12"/>
    </w:p>
    <w:p w14:paraId="56CD4FBA" w14:textId="77777777" w:rsidR="00DA7737" w:rsidRPr="00DA7737" w:rsidRDefault="00DA7737" w:rsidP="00DA7737">
      <w:pPr>
        <w:pStyle w:val="EndNoteBibliography"/>
        <w:spacing w:after="0"/>
        <w:ind w:left="720" w:hanging="720"/>
      </w:pPr>
      <w:bookmarkStart w:id="13" w:name="_ENREF_13"/>
      <w:r w:rsidRPr="00DA7737">
        <w:t>13.</w:t>
      </w:r>
      <w:r w:rsidRPr="00DA7737">
        <w:tab/>
        <w:t>Ford I, Norrie J. The role of covariates in estimating treatment effects and risk in long-term clinical trials. Statistics in Medicine 2002;21:2899-2908.</w:t>
      </w:r>
      <w:bookmarkEnd w:id="13"/>
    </w:p>
    <w:p w14:paraId="372ECFBD" w14:textId="77777777" w:rsidR="00DA7737" w:rsidRPr="00DA7737" w:rsidRDefault="00DA7737" w:rsidP="00DA7737">
      <w:pPr>
        <w:pStyle w:val="EndNoteBibliography"/>
        <w:spacing w:after="0"/>
        <w:ind w:left="720" w:hanging="720"/>
      </w:pPr>
      <w:bookmarkStart w:id="14" w:name="_ENREF_14"/>
      <w:r w:rsidRPr="00DA7737">
        <w:t>14.</w:t>
      </w:r>
      <w:r w:rsidRPr="00DA7737">
        <w:tab/>
        <w:t>Cannon CP, Blazing MA, Giugliano RP, et al. Ezetimibe Added to Statin Therapy after Acute Coronary Syndromes. New England Journal of Medicine 2015;372:2387-2397.</w:t>
      </w:r>
      <w:bookmarkEnd w:id="14"/>
    </w:p>
    <w:p w14:paraId="40A2086E" w14:textId="77777777" w:rsidR="00DA7737" w:rsidRPr="00DA7737" w:rsidRDefault="00DA7737" w:rsidP="00DA7737">
      <w:pPr>
        <w:pStyle w:val="EndNoteBibliography"/>
        <w:spacing w:after="0"/>
        <w:ind w:left="720" w:hanging="720"/>
      </w:pPr>
      <w:bookmarkStart w:id="15" w:name="_ENREF_15"/>
      <w:r w:rsidRPr="00DA7737">
        <w:t>15.</w:t>
      </w:r>
      <w:r w:rsidRPr="00DA7737">
        <w:tab/>
        <w:t>McMurray JJV, Packer M, Desai AS, et al. Angiotensin–Neprilysin Inhibition versus Enalapril in Heart Failure. New England Journal of Medicine 2014;371:993-1004.</w:t>
      </w:r>
      <w:bookmarkEnd w:id="15"/>
    </w:p>
    <w:p w14:paraId="23F9B105" w14:textId="77777777" w:rsidR="00DA7737" w:rsidRPr="00DA7737" w:rsidRDefault="00DA7737" w:rsidP="00DA7737">
      <w:pPr>
        <w:pStyle w:val="EndNoteBibliography"/>
        <w:spacing w:after="0"/>
        <w:ind w:left="720" w:hanging="720"/>
      </w:pPr>
      <w:bookmarkStart w:id="16" w:name="_ENREF_16"/>
      <w:r w:rsidRPr="00DA7737">
        <w:t>16.</w:t>
      </w:r>
      <w:r w:rsidRPr="00DA7737">
        <w:tab/>
        <w:t>investigators G-H. Effect of rosuvastatin in patients with chronic heart failure (the GISSI-HF trial): a randomised, double-blind, placebo-controlled trial. The Lancet;372:1231-1239.</w:t>
      </w:r>
      <w:bookmarkEnd w:id="16"/>
    </w:p>
    <w:p w14:paraId="31ABE7D3" w14:textId="77777777" w:rsidR="00DA7737" w:rsidRPr="00DA7737" w:rsidRDefault="00DA7737" w:rsidP="00DA7737">
      <w:pPr>
        <w:pStyle w:val="EndNoteBibliography"/>
        <w:spacing w:after="0"/>
        <w:ind w:left="720" w:hanging="720"/>
      </w:pPr>
      <w:bookmarkStart w:id="17" w:name="_ENREF_17"/>
      <w:r w:rsidRPr="00DA7737">
        <w:t>17.</w:t>
      </w:r>
      <w:r w:rsidRPr="00DA7737">
        <w:tab/>
        <w:t>Yusuf S, Pfeffer MA, Swedberg K, et al. Effects of candesartan in patients with chronic heart failure and preserved left-ventricular ejection fraction: the CHARM-Preserved Trial. The Lancet 2003;362:777-781.</w:t>
      </w:r>
      <w:bookmarkEnd w:id="17"/>
    </w:p>
    <w:p w14:paraId="45D478FC" w14:textId="77777777" w:rsidR="00DA7737" w:rsidRPr="00DA7737" w:rsidRDefault="00DA7737" w:rsidP="00DA7737">
      <w:pPr>
        <w:pStyle w:val="EndNoteBibliography"/>
        <w:spacing w:after="0"/>
        <w:ind w:left="720" w:hanging="720"/>
      </w:pPr>
      <w:bookmarkStart w:id="18" w:name="_ENREF_18"/>
      <w:r w:rsidRPr="00DA7737">
        <w:t>18.</w:t>
      </w:r>
      <w:r w:rsidRPr="00DA7737">
        <w:tab/>
        <w:t>Committee for proprietary medicinal products (CPMP) points to consider on adjustment for baseline covariates. Statistics in Medicine 2004;23:701-709.</w:t>
      </w:r>
      <w:bookmarkEnd w:id="18"/>
    </w:p>
    <w:p w14:paraId="39A9B7F4" w14:textId="77777777" w:rsidR="00DA7737" w:rsidRPr="00DA7737" w:rsidRDefault="00DA7737" w:rsidP="00DA7737">
      <w:pPr>
        <w:pStyle w:val="EndNoteBibliography"/>
        <w:spacing w:after="0"/>
        <w:ind w:left="720" w:hanging="720"/>
      </w:pPr>
      <w:bookmarkStart w:id="19" w:name="_ENREF_19"/>
      <w:r w:rsidRPr="00DA7737">
        <w:t>19.</w:t>
      </w:r>
      <w:r w:rsidRPr="00DA7737">
        <w:tab/>
        <w:t>Assmann SF, Pocock SJ, Enos LE, Kasten LE. Subgroup analysis and other (mis)uses of baseline data in clinical trials. The Lancet 2000;355:1064-1069.</w:t>
      </w:r>
      <w:bookmarkEnd w:id="19"/>
    </w:p>
    <w:p w14:paraId="702BB86B" w14:textId="77777777" w:rsidR="00DA7737" w:rsidRPr="00DA7737" w:rsidRDefault="00DA7737" w:rsidP="00DA7737">
      <w:pPr>
        <w:pStyle w:val="EndNoteBibliography"/>
        <w:spacing w:after="0"/>
        <w:ind w:left="720" w:hanging="720"/>
      </w:pPr>
      <w:bookmarkStart w:id="20" w:name="_ENREF_20"/>
      <w:r w:rsidRPr="00DA7737">
        <w:lastRenderedPageBreak/>
        <w:t>20.</w:t>
      </w:r>
      <w:r w:rsidRPr="00DA7737">
        <w:tab/>
        <w:t>Bhatt DL, Fox KAA, Hacke W, et al. Clopidogrel and Aspirin versus Aspirin Alone for the Prevention of Atherothrombotic Events. New England Journal of Medicine 2006;354:1706-1717.</w:t>
      </w:r>
      <w:bookmarkEnd w:id="20"/>
    </w:p>
    <w:p w14:paraId="5C19CEA6" w14:textId="77777777" w:rsidR="00DA7737" w:rsidRPr="00DA7737" w:rsidRDefault="00DA7737" w:rsidP="00DA7737">
      <w:pPr>
        <w:pStyle w:val="EndNoteBibliography"/>
        <w:spacing w:after="0"/>
        <w:ind w:left="720" w:hanging="720"/>
      </w:pPr>
      <w:bookmarkStart w:id="21" w:name="_ENREF_21"/>
      <w:r w:rsidRPr="00DA7737">
        <w:t>21.</w:t>
      </w:r>
      <w:r w:rsidRPr="00DA7737">
        <w:tab/>
        <w:t>Pfeffer MA, Jarcho JA. The Charisma of Subgroups and the Subgroups of CHARISMA. New England Journal of Medicine 2006;354:1744-1746.</w:t>
      </w:r>
      <w:bookmarkEnd w:id="21"/>
    </w:p>
    <w:p w14:paraId="2367CE56" w14:textId="77777777" w:rsidR="00DA7737" w:rsidRPr="00DA7737" w:rsidRDefault="00DA7737" w:rsidP="00DA7737">
      <w:pPr>
        <w:pStyle w:val="EndNoteBibliography"/>
        <w:spacing w:after="0"/>
        <w:ind w:left="720" w:hanging="720"/>
      </w:pPr>
      <w:bookmarkStart w:id="22" w:name="_ENREF_22"/>
      <w:r w:rsidRPr="00DA7737">
        <w:t>22.</w:t>
      </w:r>
      <w:r w:rsidRPr="00DA7737">
        <w:tab/>
        <w:t>Wang R, Lagakos SW, Ware JH, Hunter DJ, Drazen JM. Statistics in Medicine — Reporting of Subgroup Analyses in Clinical Trials. New England Journal of Medicine 2007;357:2189-2194.</w:t>
      </w:r>
      <w:bookmarkEnd w:id="22"/>
    </w:p>
    <w:p w14:paraId="2BDA19BA" w14:textId="77777777" w:rsidR="00DA7737" w:rsidRPr="00DA7737" w:rsidRDefault="00DA7737" w:rsidP="00DA7737">
      <w:pPr>
        <w:pStyle w:val="EndNoteBibliography"/>
        <w:spacing w:after="0"/>
        <w:ind w:left="720" w:hanging="720"/>
      </w:pPr>
      <w:bookmarkStart w:id="23" w:name="_ENREF_23"/>
      <w:r w:rsidRPr="00DA7737">
        <w:t>23.</w:t>
      </w:r>
      <w:r w:rsidRPr="00DA7737">
        <w:tab/>
        <w:t>Stone GW, Rizvi A, Newman W, et al. Everolimus-Eluting versus Paclitaxel-Eluting Stents in Coronary Artery Disease. New England Journal of Medicine 2010;362:1663-1674.</w:t>
      </w:r>
      <w:bookmarkEnd w:id="23"/>
    </w:p>
    <w:p w14:paraId="50972F24" w14:textId="77777777" w:rsidR="00DA7737" w:rsidRPr="00DA7737" w:rsidRDefault="00DA7737" w:rsidP="00DA7737">
      <w:pPr>
        <w:pStyle w:val="EndNoteBibliography"/>
        <w:spacing w:after="0"/>
        <w:ind w:left="720" w:hanging="720"/>
      </w:pPr>
      <w:bookmarkStart w:id="24" w:name="_ENREF_24"/>
      <w:r w:rsidRPr="00DA7737">
        <w:t>24.</w:t>
      </w:r>
      <w:r w:rsidRPr="00DA7737">
        <w:tab/>
        <w:t>Stone GW, Kedhi E, Kereiakes DJ, et al. Differential Clinical Responses to Everolimus-Eluting and Paclitaxel-Eluting Coronary Stents in Patients With and Without Diabetes Mellitus. Circulation 2011;124:893-900.</w:t>
      </w:r>
      <w:bookmarkEnd w:id="24"/>
    </w:p>
    <w:p w14:paraId="12A7487A" w14:textId="77777777" w:rsidR="00DA7737" w:rsidRPr="00DA7737" w:rsidRDefault="00DA7737" w:rsidP="00DA7737">
      <w:pPr>
        <w:pStyle w:val="EndNoteBibliography"/>
        <w:spacing w:after="0"/>
        <w:ind w:left="720" w:hanging="720"/>
      </w:pPr>
      <w:bookmarkStart w:id="25" w:name="_ENREF_25"/>
      <w:r w:rsidRPr="00DA7737">
        <w:t>25.</w:t>
      </w:r>
      <w:r w:rsidRPr="00DA7737">
        <w:tab/>
        <w:t>Swedberg K, Komajda M, Böhm M, et al. Ivabradine and outcomes in chronic heart failure (SHIFT): a randomised placebo-controlled study. The Lancet 2010;376:875-885.</w:t>
      </w:r>
      <w:bookmarkEnd w:id="25"/>
    </w:p>
    <w:p w14:paraId="6E30A3A1" w14:textId="77777777" w:rsidR="00DA7737" w:rsidRPr="00DA7737" w:rsidRDefault="00DA7737" w:rsidP="00DA7737">
      <w:pPr>
        <w:pStyle w:val="EndNoteBibliography"/>
        <w:spacing w:after="0"/>
        <w:ind w:left="720" w:hanging="720"/>
      </w:pPr>
      <w:bookmarkStart w:id="26" w:name="_ENREF_26"/>
      <w:r w:rsidRPr="00DA7737">
        <w:t>26.</w:t>
      </w:r>
      <w:r w:rsidRPr="00DA7737">
        <w:tab/>
        <w:t>Pocock SJ, Lubsen J. More on Subgroup Analyses in Clinical Trials. New England Journal of Medicine 2008;358:2076-2077.</w:t>
      </w:r>
      <w:bookmarkEnd w:id="26"/>
    </w:p>
    <w:p w14:paraId="6BA3334B" w14:textId="77777777" w:rsidR="00DA7737" w:rsidRPr="00DA7737" w:rsidRDefault="00DA7737" w:rsidP="00DA7737">
      <w:pPr>
        <w:pStyle w:val="EndNoteBibliography"/>
        <w:spacing w:after="0"/>
        <w:ind w:left="720" w:hanging="720"/>
      </w:pPr>
      <w:bookmarkStart w:id="27" w:name="_ENREF_27"/>
      <w:r w:rsidRPr="00DA7737">
        <w:t>27.</w:t>
      </w:r>
      <w:r w:rsidRPr="00DA7737">
        <w:tab/>
        <w:t>Collier TJ, Pocock SJ, McMurray JJV, et al. The impact of eplerenone at different levels of risk in patients with systolic heart failure and mild symptoms: insight from a novel risk score for prognosis derived from the EMPHASIS-HF trial. Eur Heart J 2013;34:2823-2829.</w:t>
      </w:r>
      <w:bookmarkEnd w:id="27"/>
    </w:p>
    <w:p w14:paraId="1C8B72C0" w14:textId="77777777" w:rsidR="00DA7737" w:rsidRPr="00DA7737" w:rsidRDefault="00DA7737" w:rsidP="00DA7737">
      <w:pPr>
        <w:pStyle w:val="EndNoteBibliography"/>
        <w:spacing w:after="0"/>
        <w:ind w:left="720" w:hanging="720"/>
      </w:pPr>
      <w:bookmarkStart w:id="28" w:name="_ENREF_28"/>
      <w:r w:rsidRPr="00DA7737">
        <w:t>28.</w:t>
      </w:r>
      <w:r w:rsidRPr="00DA7737">
        <w:tab/>
        <w:t>Fox KAA, Clayton TC, Damman P, et al. Long-Term Outcome of a Routine Versus Selective Invasive Strategy in Patients With Non–ST-Segment Elevation Acute Coronary Syndrome: A Meta-Analysis of Individual Patient Data. Journal of the American College of Cardiology 2010;55:2435-2445.</w:t>
      </w:r>
      <w:bookmarkEnd w:id="28"/>
    </w:p>
    <w:p w14:paraId="51967017" w14:textId="77777777" w:rsidR="00DA7737" w:rsidRPr="00DA7737" w:rsidRDefault="00DA7737" w:rsidP="00DA7737">
      <w:pPr>
        <w:pStyle w:val="EndNoteBibliography"/>
        <w:spacing w:after="0"/>
        <w:ind w:left="720" w:hanging="720"/>
      </w:pPr>
      <w:bookmarkStart w:id="29" w:name="_ENREF_29"/>
      <w:r w:rsidRPr="00DA7737">
        <w:t>29.</w:t>
      </w:r>
      <w:r w:rsidRPr="00DA7737">
        <w:tab/>
        <w:t>Wiviott SD, Braunwald E, McCabe CH, et al. Prasugrel versus Clopidogrel in Patients with Acute Coronary Syndromes. New England Journal of Medicine 2007;357:2001-2015.</w:t>
      </w:r>
      <w:bookmarkEnd w:id="29"/>
    </w:p>
    <w:p w14:paraId="0D56E076" w14:textId="77777777" w:rsidR="00DA7737" w:rsidRPr="00DA7737" w:rsidRDefault="00DA7737" w:rsidP="00DA7737">
      <w:pPr>
        <w:pStyle w:val="EndNoteBibliography"/>
        <w:spacing w:after="0"/>
        <w:ind w:left="720" w:hanging="720"/>
      </w:pPr>
      <w:bookmarkStart w:id="30" w:name="_ENREF_30"/>
      <w:r w:rsidRPr="00DA7737">
        <w:t>30.</w:t>
      </w:r>
      <w:r w:rsidRPr="00DA7737">
        <w:tab/>
        <w:t>Salisbury AC, Wang K, Cohen DJ, Li Y, Jones PG, Spertus JA. Selecting Antiplatelet Therapy at the Time of Percutaneous Intervention for an Acute Coronary Syndrome: Weighing the Benefits and Risks of Prasugrel Versus Clopidogrel. Circulation: Cardiovascular Quality and Outcomes 2013;6:27-34.</w:t>
      </w:r>
      <w:bookmarkEnd w:id="30"/>
    </w:p>
    <w:p w14:paraId="5D1CA67A" w14:textId="77777777" w:rsidR="00DA7737" w:rsidRPr="00DA7737" w:rsidRDefault="00DA7737" w:rsidP="00DA7737">
      <w:pPr>
        <w:pStyle w:val="EndNoteBibliography"/>
        <w:spacing w:after="0"/>
        <w:ind w:left="720" w:hanging="720"/>
      </w:pPr>
      <w:bookmarkStart w:id="31" w:name="_ENREF_31"/>
      <w:r w:rsidRPr="00DA7737">
        <w:t>31.</w:t>
      </w:r>
      <w:r w:rsidRPr="00DA7737">
        <w:tab/>
        <w:t>Connolly SJ, Ezekowitz MD, Yusuf S, et al. Dabigatran versus Warfarin in Patients with Atrial Fibrillation. New England Journal of Medicine 2009;361:1139-1151.</w:t>
      </w:r>
      <w:bookmarkEnd w:id="31"/>
    </w:p>
    <w:p w14:paraId="31C257D3" w14:textId="77777777" w:rsidR="00DA7737" w:rsidRPr="00DA7737" w:rsidRDefault="00DA7737" w:rsidP="00DA7737">
      <w:pPr>
        <w:pStyle w:val="EndNoteBibliography"/>
        <w:spacing w:after="0"/>
        <w:ind w:left="720" w:hanging="720"/>
      </w:pPr>
      <w:bookmarkStart w:id="32" w:name="_ENREF_32"/>
      <w:r w:rsidRPr="00DA7737">
        <w:t>32.</w:t>
      </w:r>
      <w:r w:rsidRPr="00DA7737">
        <w:tab/>
        <w:t>Giugliano RP, Ruff CT, Braunwald E, et al. Edoxaban versus Warfarin in Patients with Atrial Fibrillation. New England Journal of Medicine 2013;369:2093-2104.</w:t>
      </w:r>
      <w:bookmarkEnd w:id="32"/>
    </w:p>
    <w:p w14:paraId="022B473D" w14:textId="77777777" w:rsidR="00DA7737" w:rsidRPr="00DA7737" w:rsidRDefault="00DA7737" w:rsidP="00DA7737">
      <w:pPr>
        <w:pStyle w:val="EndNoteBibliography"/>
        <w:spacing w:after="0"/>
        <w:ind w:left="720" w:hanging="720"/>
      </w:pPr>
      <w:bookmarkStart w:id="33" w:name="_ENREF_33"/>
      <w:r w:rsidRPr="00DA7737">
        <w:t>33.</w:t>
      </w:r>
      <w:r w:rsidRPr="00DA7737">
        <w:tab/>
        <w:t>Pocock SJ, Stone GW, Mehran R, Clayton TC. Individualizing treatment choices using quantitative methods. American Heart Journal 2014;168:607-610.</w:t>
      </w:r>
      <w:bookmarkEnd w:id="33"/>
    </w:p>
    <w:p w14:paraId="32982002" w14:textId="77777777" w:rsidR="00DA7737" w:rsidRPr="00DA7737" w:rsidRDefault="00DA7737" w:rsidP="00DA7737">
      <w:pPr>
        <w:pStyle w:val="EndNoteBibliography"/>
        <w:spacing w:after="0"/>
        <w:ind w:left="720" w:hanging="720"/>
      </w:pPr>
      <w:bookmarkStart w:id="34" w:name="_ENREF_34"/>
      <w:r w:rsidRPr="00DA7737">
        <w:t>34.</w:t>
      </w:r>
      <w:r w:rsidRPr="00DA7737">
        <w:tab/>
        <w:t>Mega JL, Braunwald E, Wiviott SD, et al. Rivaroxaban in Patients with a Recent Acute Coronary Syndrome. New England Journal of Medicine 2012;366:9-19.</w:t>
      </w:r>
      <w:bookmarkEnd w:id="34"/>
    </w:p>
    <w:p w14:paraId="41A5079A" w14:textId="77777777" w:rsidR="00DA7737" w:rsidRPr="00DA7737" w:rsidRDefault="00DA7737" w:rsidP="00DA7737">
      <w:pPr>
        <w:pStyle w:val="EndNoteBibliography"/>
        <w:spacing w:after="0"/>
        <w:ind w:left="720" w:hanging="720"/>
      </w:pPr>
      <w:bookmarkStart w:id="35" w:name="_ENREF_35"/>
      <w:r w:rsidRPr="00DA7737">
        <w:t>35.</w:t>
      </w:r>
      <w:r w:rsidRPr="00DA7737">
        <w:tab/>
        <w:t>Krantz MJ, Kaul S. The ATLAS ACS 2–TIMI 51 Trial and the Burden of Missing Data: (Anti-Xa Therapy to Lower Cardiovascular Events in Addition to Standard Therapy in Subjects With Acute Coronary Syndrome ACS 2–Thrombolysis In Myocardial Infarction 51). Journal of the American College of Cardiology 2013;62:777-781.</w:t>
      </w:r>
      <w:bookmarkEnd w:id="35"/>
    </w:p>
    <w:p w14:paraId="2567A01A" w14:textId="77777777" w:rsidR="00DA7737" w:rsidRPr="00DA7737" w:rsidRDefault="00DA7737" w:rsidP="00DA7737">
      <w:pPr>
        <w:pStyle w:val="EndNoteBibliography"/>
        <w:spacing w:after="0"/>
        <w:ind w:left="720" w:hanging="720"/>
      </w:pPr>
      <w:bookmarkStart w:id="36" w:name="_ENREF_36"/>
      <w:r w:rsidRPr="00DA7737">
        <w:t>36.</w:t>
      </w:r>
      <w:r w:rsidRPr="00DA7737">
        <w:tab/>
        <w:t>Montedori A, Bonacini MI, Casazza G, et al. Modified versus standard intention-to-treat reporting: are there differences in methodological quality, sponsorship, and findings in randomized trials? A cross-sectional study. Trials 2011;12:58.</w:t>
      </w:r>
      <w:bookmarkEnd w:id="36"/>
    </w:p>
    <w:p w14:paraId="2402172C" w14:textId="77777777" w:rsidR="00DA7737" w:rsidRPr="00DA7737" w:rsidRDefault="00DA7737" w:rsidP="00DA7737">
      <w:pPr>
        <w:pStyle w:val="EndNoteBibliography"/>
        <w:spacing w:after="0"/>
        <w:ind w:left="720" w:hanging="720"/>
      </w:pPr>
      <w:bookmarkStart w:id="37" w:name="_ENREF_37"/>
      <w:r w:rsidRPr="00DA7737">
        <w:t>37.</w:t>
      </w:r>
      <w:r w:rsidRPr="00DA7737">
        <w:tab/>
        <w:t>Bresalier RS, Sandler RS, Quan H, et al. Cardiovascular Events Associated with Rofecoxib in a Colorectal Adenoma Chemoprevention Trial. New England Journal of Medicine 2005;352:1092-1102.</w:t>
      </w:r>
      <w:bookmarkEnd w:id="37"/>
    </w:p>
    <w:p w14:paraId="49F2B6BE" w14:textId="77777777" w:rsidR="00DA7737" w:rsidRPr="00DA7737" w:rsidRDefault="00DA7737" w:rsidP="00DA7737">
      <w:pPr>
        <w:pStyle w:val="EndNoteBibliography"/>
        <w:spacing w:after="0"/>
        <w:ind w:left="720" w:hanging="720"/>
      </w:pPr>
      <w:bookmarkStart w:id="38" w:name="_ENREF_38"/>
      <w:r w:rsidRPr="00DA7737">
        <w:t>38.</w:t>
      </w:r>
      <w:r w:rsidRPr="00DA7737">
        <w:tab/>
        <w:t>Baron JA, Sandler RS, Bresalier RS, et al. Cardiovascular events associated with rofecoxib: final analysis of the APPROVe trial. The Lancet 2008;372:1756-1764.</w:t>
      </w:r>
      <w:bookmarkEnd w:id="38"/>
    </w:p>
    <w:p w14:paraId="592C4EDC" w14:textId="77777777" w:rsidR="00DA7737" w:rsidRPr="00DA7737" w:rsidRDefault="00DA7737" w:rsidP="00DA7737">
      <w:pPr>
        <w:pStyle w:val="EndNoteBibliography"/>
        <w:spacing w:after="0"/>
        <w:ind w:left="720" w:hanging="720"/>
      </w:pPr>
      <w:bookmarkStart w:id="39" w:name="_ENREF_39"/>
      <w:r w:rsidRPr="00DA7737">
        <w:t>39.</w:t>
      </w:r>
      <w:r w:rsidRPr="00DA7737">
        <w:tab/>
        <w:t>Patel MR, Mahaffey KW, Garg J, et al. Rivaroxaban versus Warfarin in Nonvalvular Atrial Fibrillation. New England Journal of Medicine 2011;365:883-891.</w:t>
      </w:r>
      <w:bookmarkEnd w:id="39"/>
    </w:p>
    <w:p w14:paraId="3450C8B6" w14:textId="77777777" w:rsidR="00DA7737" w:rsidRPr="00DA7737" w:rsidRDefault="00DA7737" w:rsidP="00DA7737">
      <w:pPr>
        <w:pStyle w:val="EndNoteBibliography"/>
        <w:spacing w:after="0"/>
        <w:ind w:left="720" w:hanging="720"/>
      </w:pPr>
      <w:bookmarkStart w:id="40" w:name="_ENREF_40"/>
      <w:r w:rsidRPr="00DA7737">
        <w:lastRenderedPageBreak/>
        <w:t>40.</w:t>
      </w:r>
      <w:r w:rsidRPr="00DA7737">
        <w:tab/>
        <w:t>Smith CR, Leon MB, Mack MJ, et al. Transcatheter versus Surgical Aortic-Valve Replacement in High-Risk Patients. New England Journal of Medicine 2011;364:2187-2198.</w:t>
      </w:r>
      <w:bookmarkEnd w:id="40"/>
    </w:p>
    <w:p w14:paraId="4D81836D" w14:textId="77777777" w:rsidR="00DA7737" w:rsidRPr="00DA7737" w:rsidRDefault="00DA7737" w:rsidP="00DA7737">
      <w:pPr>
        <w:pStyle w:val="EndNoteBibliography"/>
        <w:spacing w:after="0"/>
        <w:ind w:left="720" w:hanging="720"/>
      </w:pPr>
      <w:bookmarkStart w:id="41" w:name="_ENREF_41"/>
      <w:r w:rsidRPr="00DA7737">
        <w:t>41.</w:t>
      </w:r>
      <w:r w:rsidRPr="00DA7737">
        <w:tab/>
        <w:t>Rossebø AB, Pedersen TR, Boman K, et al. Intensive Lipid Lowering with Simvastatin and Ezetimibe in Aortic Stenosis. New England Journal of Medicine 2008;359:1343-1356.</w:t>
      </w:r>
      <w:bookmarkEnd w:id="41"/>
    </w:p>
    <w:p w14:paraId="70AA7CC9" w14:textId="77777777" w:rsidR="00DA7737" w:rsidRPr="00DA7737" w:rsidRDefault="00DA7737" w:rsidP="00DA7737">
      <w:pPr>
        <w:pStyle w:val="EndNoteBibliography"/>
        <w:spacing w:after="0"/>
        <w:ind w:left="720" w:hanging="720"/>
      </w:pPr>
      <w:bookmarkStart w:id="42" w:name="_ENREF_42"/>
      <w:r w:rsidRPr="00DA7737">
        <w:t>42.</w:t>
      </w:r>
      <w:r w:rsidRPr="00DA7737">
        <w:tab/>
        <w:t>Peto R, Emberson J, Landray M, et al. Analyses of Cancer Data from Three Ezetimibe Trials. New England Journal of Medicine 2008;359:1357-1366.</w:t>
      </w:r>
      <w:bookmarkEnd w:id="42"/>
    </w:p>
    <w:p w14:paraId="37E0B109" w14:textId="77777777" w:rsidR="00DA7737" w:rsidRPr="00DA7737" w:rsidRDefault="00DA7737" w:rsidP="00DA7737">
      <w:pPr>
        <w:pStyle w:val="EndNoteBibliography"/>
        <w:spacing w:after="0"/>
        <w:ind w:left="720" w:hanging="720"/>
      </w:pPr>
      <w:bookmarkStart w:id="43" w:name="_ENREF_43"/>
      <w:r w:rsidRPr="00DA7737">
        <w:t>43.</w:t>
      </w:r>
      <w:r w:rsidRPr="00DA7737">
        <w:tab/>
        <w:t>Nissen SE, Wolski K. Effect of Rosiglitazone on the Risk of Myocardial Infarction and Death from Cardiovascular Causes. New England Journal of Medicine 2007;356:2457-2471.</w:t>
      </w:r>
      <w:bookmarkEnd w:id="43"/>
    </w:p>
    <w:p w14:paraId="0D5746BF" w14:textId="77777777" w:rsidR="00DA7737" w:rsidRPr="00DA7737" w:rsidRDefault="00DA7737" w:rsidP="00DA7737">
      <w:pPr>
        <w:pStyle w:val="EndNoteBibliography"/>
        <w:spacing w:after="0"/>
        <w:ind w:left="720" w:hanging="720"/>
      </w:pPr>
      <w:bookmarkStart w:id="44" w:name="_ENREF_44"/>
      <w:r w:rsidRPr="00DA7737">
        <w:t>44.</w:t>
      </w:r>
      <w:r w:rsidRPr="00DA7737">
        <w:tab/>
        <w:t>Home PD, Pocock SJ, Beck-Nielsen H, et al. Rosiglitazone evaluated for cardiovascular outcomes in oral agent combination therapy for type 2 diabetes (RECORD): a multicentre, randomised, open-label trial. The Lancet 2009;373:2125-2135.</w:t>
      </w:r>
      <w:bookmarkEnd w:id="44"/>
    </w:p>
    <w:p w14:paraId="3F17EDCF" w14:textId="77777777" w:rsidR="00DA7737" w:rsidRPr="00DA7737" w:rsidRDefault="00DA7737" w:rsidP="00DA7737">
      <w:pPr>
        <w:pStyle w:val="EndNoteBibliography"/>
        <w:spacing w:after="0"/>
        <w:ind w:left="720" w:hanging="720"/>
      </w:pPr>
      <w:bookmarkStart w:id="45" w:name="_ENREF_45"/>
      <w:r w:rsidRPr="00DA7737">
        <w:t>45.</w:t>
      </w:r>
      <w:r w:rsidRPr="00DA7737">
        <w:tab/>
        <w:t>Bombardier C, Laine L, Reicin A, et al. Comparison of Upper Gastrointestinal Toxicity of Rofecoxib and Naproxen in Patients with Rheumatoid Arthritis. New England Journal of Medicine 2000;343:1520-1528.</w:t>
      </w:r>
      <w:bookmarkEnd w:id="45"/>
    </w:p>
    <w:p w14:paraId="0C8CF5B6" w14:textId="77777777" w:rsidR="00DA7737" w:rsidRPr="00DA7737" w:rsidRDefault="00DA7737" w:rsidP="00DA7737">
      <w:pPr>
        <w:pStyle w:val="EndNoteBibliography"/>
        <w:spacing w:after="0"/>
        <w:ind w:left="720" w:hanging="720"/>
      </w:pPr>
      <w:bookmarkStart w:id="46" w:name="_ENREF_46"/>
      <w:r w:rsidRPr="00DA7737">
        <w:t>46.</w:t>
      </w:r>
      <w:r w:rsidRPr="00DA7737">
        <w:tab/>
        <w:t>Kearney PM, Baigent C, Godwin J, Halls H, Emberson JR, Patrono C. Do selective cyclo-oxygenase-2 inhibitors and traditional non-steroidal anti-inflammatory drugs increase the risk of atherothrombosis? Meta-analysis of randomised trials. BMJ 2006;332:1302-1308.</w:t>
      </w:r>
      <w:bookmarkEnd w:id="46"/>
    </w:p>
    <w:p w14:paraId="0EDE941C" w14:textId="77777777" w:rsidR="00DA7737" w:rsidRPr="00DA7737" w:rsidRDefault="00DA7737" w:rsidP="00DA7737">
      <w:pPr>
        <w:pStyle w:val="EndNoteBibliography"/>
        <w:spacing w:after="0"/>
        <w:ind w:left="720" w:hanging="720"/>
      </w:pPr>
      <w:bookmarkStart w:id="47" w:name="_ENREF_47"/>
      <w:r w:rsidRPr="00DA7737">
        <w:t>47.</w:t>
      </w:r>
      <w:r w:rsidRPr="00DA7737">
        <w:tab/>
        <w:t>Tepel M, van der Giet M, Schwarzfeld C, Laufer U, Liermann D, Zidek W. Prevention of Radiographic-Contrast-Agent–Induced Reductions in Renal Function by Acetylcysteine. New England Journal of Medicine 2000;343:180-184.</w:t>
      </w:r>
      <w:bookmarkEnd w:id="47"/>
    </w:p>
    <w:p w14:paraId="606F1E88" w14:textId="77777777" w:rsidR="00DA7737" w:rsidRPr="00DA7737" w:rsidRDefault="00DA7737" w:rsidP="00DA7737">
      <w:pPr>
        <w:pStyle w:val="EndNoteBibliography"/>
        <w:spacing w:after="0"/>
        <w:ind w:left="720" w:hanging="720"/>
      </w:pPr>
      <w:bookmarkStart w:id="48" w:name="_ENREF_48"/>
      <w:r w:rsidRPr="00DA7737">
        <w:t>48.</w:t>
      </w:r>
      <w:r w:rsidRPr="00DA7737">
        <w:tab/>
        <w:t>Poldermans D, Boersma E, Bax JJ, et al. The Effect of Bisoprolol on Perioperative Mortality and Myocardial Infarction in High-Risk Patients Undergoing Vascular Surgery. New England Journal of Medicine 1999;341:1789-1794.</w:t>
      </w:r>
      <w:bookmarkEnd w:id="48"/>
    </w:p>
    <w:p w14:paraId="3522AEF1" w14:textId="77777777" w:rsidR="00DA7737" w:rsidRPr="00DA7737" w:rsidRDefault="00DA7737" w:rsidP="00DA7737">
      <w:pPr>
        <w:pStyle w:val="EndNoteBibliography"/>
        <w:spacing w:after="0"/>
        <w:ind w:left="720" w:hanging="720"/>
      </w:pPr>
      <w:bookmarkStart w:id="49" w:name="_ENREF_49"/>
      <w:r w:rsidRPr="00DA7737">
        <w:t>49.</w:t>
      </w:r>
      <w:r w:rsidRPr="00DA7737">
        <w:tab/>
        <w:t>Wald DS, Morris JK, Wald NJ, et al. Randomized Trial of Preventive Angioplasty in Myocardial Infarction. New England Journal of Medicine 2013;369:1115-1123.</w:t>
      </w:r>
      <w:bookmarkEnd w:id="49"/>
    </w:p>
    <w:p w14:paraId="7529EE4E" w14:textId="77777777" w:rsidR="00DA7737" w:rsidRPr="00DA7737" w:rsidRDefault="00DA7737" w:rsidP="00DA7737">
      <w:pPr>
        <w:pStyle w:val="EndNoteBibliography"/>
        <w:spacing w:after="0"/>
        <w:ind w:left="720" w:hanging="720"/>
      </w:pPr>
      <w:bookmarkStart w:id="50" w:name="_ENREF_50"/>
      <w:r w:rsidRPr="00DA7737">
        <w:t>50.</w:t>
      </w:r>
      <w:r w:rsidRPr="00DA7737">
        <w:tab/>
        <w:t>Population Health Research Institute; Hamilton C. Complete vs Culprit-only Revascularization to Treat Multi-vessel Disease After Primary PCI for STEMI (COMPLETE) In: ClinicalTrials.gov [Internet]. Bethesda (MD): National Library of Medicine (US). 2012- [cited 2015 July 16]. Available from: https://clinicaltrials.gov/ct2/show/study/NCT01740479 Identifier: NCT01740479 2012.</w:t>
      </w:r>
      <w:bookmarkEnd w:id="50"/>
    </w:p>
    <w:p w14:paraId="7991CDA6" w14:textId="77777777" w:rsidR="00DA7737" w:rsidRPr="00DA7737" w:rsidRDefault="00DA7737" w:rsidP="00DA7737">
      <w:pPr>
        <w:pStyle w:val="EndNoteBibliography"/>
        <w:spacing w:after="0"/>
        <w:ind w:left="720" w:hanging="720"/>
      </w:pPr>
      <w:bookmarkStart w:id="51" w:name="_ENREF_51"/>
      <w:r w:rsidRPr="00DA7737">
        <w:t>51.</w:t>
      </w:r>
      <w:r w:rsidRPr="00DA7737">
        <w:tab/>
        <w:t>Moher D, Hopewell S, Schulz KF, et al. CONSORT 2010 explanation and elaboration: updated guidelines for reporting parallel group randomised trials. BMJ 2010;340:c869.</w:t>
      </w:r>
      <w:bookmarkEnd w:id="51"/>
    </w:p>
    <w:p w14:paraId="208B7245" w14:textId="77777777" w:rsidR="00DA7737" w:rsidRPr="00DA7737" w:rsidRDefault="00DA7737" w:rsidP="00DA7737">
      <w:pPr>
        <w:pStyle w:val="EndNoteBibliography"/>
        <w:ind w:left="720" w:hanging="720"/>
      </w:pPr>
      <w:bookmarkStart w:id="52" w:name="_ENREF_52"/>
      <w:r w:rsidRPr="00DA7737">
        <w:t>52.</w:t>
      </w:r>
      <w:r w:rsidRPr="00DA7737">
        <w:tab/>
        <w:t>Hopewell S, Clarke M, Moher D, et al. CONSORT for reporting randomised trials in journal and conference abstracts. The Lancet 2008;371:281-283.</w:t>
      </w:r>
      <w:bookmarkEnd w:id="52"/>
    </w:p>
    <w:p w14:paraId="6F173958" w14:textId="698B5010" w:rsidR="00BC60EC" w:rsidRDefault="00CE5CDF" w:rsidP="00CE5CDF">
      <w:pPr>
        <w:spacing w:after="0" w:line="360" w:lineRule="auto"/>
        <w:rPr>
          <w:rStyle w:val="Emphasis"/>
          <w:rFonts w:ascii="Arial" w:hAnsi="Arial" w:cs="Arial"/>
          <w:i w:val="0"/>
          <w:sz w:val="24"/>
          <w:szCs w:val="24"/>
        </w:rPr>
      </w:pPr>
      <w:r>
        <w:rPr>
          <w:rFonts w:ascii="Arial" w:hAnsi="Arial" w:cs="Arial"/>
          <w:sz w:val="24"/>
          <w:szCs w:val="24"/>
        </w:rPr>
        <w:fldChar w:fldCharType="end"/>
      </w:r>
    </w:p>
    <w:p w14:paraId="371F271F" w14:textId="77777777" w:rsidR="00793516" w:rsidRDefault="00793516">
      <w:pPr>
        <w:rPr>
          <w:rStyle w:val="Emphasis"/>
          <w:rFonts w:ascii="Arial" w:hAnsi="Arial" w:cs="Arial"/>
          <w:b/>
          <w:i w:val="0"/>
          <w:sz w:val="24"/>
          <w:szCs w:val="24"/>
        </w:rPr>
      </w:pPr>
      <w:r>
        <w:rPr>
          <w:rStyle w:val="Emphasis"/>
          <w:rFonts w:ascii="Arial" w:hAnsi="Arial" w:cs="Arial"/>
          <w:b/>
          <w:i w:val="0"/>
          <w:sz w:val="24"/>
          <w:szCs w:val="24"/>
        </w:rPr>
        <w:br w:type="page"/>
      </w:r>
    </w:p>
    <w:p w14:paraId="41570BAA" w14:textId="117624A5" w:rsidR="00D66D5C" w:rsidRDefault="00D66D5C" w:rsidP="00143578">
      <w:pPr>
        <w:jc w:val="center"/>
      </w:pPr>
      <w:r w:rsidRPr="00FE7A70">
        <w:rPr>
          <w:rFonts w:ascii="Arial" w:eastAsia="Times New Roman" w:hAnsi="Arial" w:cs="Arial"/>
          <w:color w:val="000000"/>
          <w:sz w:val="20"/>
          <w:szCs w:val="16"/>
          <w:lang w:eastAsia="en-GB"/>
        </w:rPr>
        <w:lastRenderedPageBreak/>
        <w:t>Table 1 Efficacy Endpoints for the PEGASUS trial</w:t>
      </w:r>
    </w:p>
    <w:p w14:paraId="4367603C" w14:textId="77777777" w:rsidR="00D66D5C" w:rsidRDefault="00D66D5C" w:rsidP="00D66D5C"/>
    <w:tbl>
      <w:tblPr>
        <w:tblW w:w="10458" w:type="dxa"/>
        <w:jc w:val="center"/>
        <w:tblLayout w:type="fixed"/>
        <w:tblLook w:val="04A0" w:firstRow="1" w:lastRow="0" w:firstColumn="1" w:lastColumn="0" w:noHBand="0" w:noVBand="1"/>
      </w:tblPr>
      <w:tblGrid>
        <w:gridCol w:w="2847"/>
        <w:gridCol w:w="515"/>
        <w:gridCol w:w="624"/>
        <w:gridCol w:w="428"/>
        <w:gridCol w:w="689"/>
        <w:gridCol w:w="426"/>
        <w:gridCol w:w="598"/>
        <w:gridCol w:w="530"/>
        <w:gridCol w:w="998"/>
        <w:gridCol w:w="667"/>
        <w:gridCol w:w="493"/>
        <w:gridCol w:w="996"/>
        <w:gridCol w:w="647"/>
      </w:tblGrid>
      <w:tr w:rsidR="00D66D5C" w:rsidRPr="004413DD" w14:paraId="7F57E7D6" w14:textId="77777777" w:rsidTr="00676C1D">
        <w:trPr>
          <w:trHeight w:val="568"/>
          <w:jc w:val="center"/>
        </w:trPr>
        <w:tc>
          <w:tcPr>
            <w:tcW w:w="2847" w:type="dxa"/>
            <w:vMerge w:val="restart"/>
            <w:tcBorders>
              <w:top w:val="single" w:sz="4" w:space="0" w:color="auto"/>
              <w:left w:val="nil"/>
              <w:right w:val="nil"/>
            </w:tcBorders>
            <w:vAlign w:val="center"/>
          </w:tcPr>
          <w:p w14:paraId="6FE3B1B7" w14:textId="77777777" w:rsidR="00D66D5C" w:rsidRPr="004413DD" w:rsidRDefault="00D66D5C" w:rsidP="00CE5CDF">
            <w:pPr>
              <w:spacing w:after="0" w:line="480" w:lineRule="auto"/>
              <w:rPr>
                <w:rFonts w:ascii="Arial" w:hAnsi="Arial" w:cs="Arial"/>
                <w:b/>
                <w:sz w:val="16"/>
                <w:szCs w:val="16"/>
              </w:rPr>
            </w:pPr>
            <w:r>
              <w:rPr>
                <w:rFonts w:ascii="Arial" w:hAnsi="Arial" w:cs="Arial"/>
                <w:b/>
                <w:sz w:val="16"/>
                <w:szCs w:val="16"/>
              </w:rPr>
              <w:t>Endp</w:t>
            </w:r>
            <w:r w:rsidRPr="004413DD">
              <w:rPr>
                <w:rFonts w:ascii="Arial" w:hAnsi="Arial" w:cs="Arial"/>
                <w:b/>
                <w:sz w:val="16"/>
                <w:szCs w:val="16"/>
              </w:rPr>
              <w:t>oint</w:t>
            </w:r>
          </w:p>
        </w:tc>
        <w:tc>
          <w:tcPr>
            <w:tcW w:w="1139" w:type="dxa"/>
            <w:gridSpan w:val="2"/>
            <w:tcBorders>
              <w:top w:val="single" w:sz="4" w:space="0" w:color="auto"/>
              <w:left w:val="nil"/>
              <w:bottom w:val="nil"/>
              <w:right w:val="nil"/>
            </w:tcBorders>
            <w:vAlign w:val="center"/>
          </w:tcPr>
          <w:p w14:paraId="0D25A41B"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 xml:space="preserve">Ticagrelor, </w:t>
            </w:r>
          </w:p>
          <w:p w14:paraId="78156590"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90 mg</w:t>
            </w:r>
          </w:p>
          <w:p w14:paraId="67E649A2"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(N=7050)</w:t>
            </w:r>
          </w:p>
          <w:p w14:paraId="08A3C3AA"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p>
        </w:tc>
        <w:tc>
          <w:tcPr>
            <w:tcW w:w="1117" w:type="dxa"/>
            <w:gridSpan w:val="2"/>
            <w:tcBorders>
              <w:top w:val="single" w:sz="4" w:space="0" w:color="auto"/>
              <w:left w:val="nil"/>
              <w:bottom w:val="nil"/>
              <w:right w:val="nil"/>
            </w:tcBorders>
            <w:shd w:val="clear" w:color="auto" w:fill="auto"/>
            <w:noWrap/>
            <w:vAlign w:val="center"/>
          </w:tcPr>
          <w:p w14:paraId="0D96153F" w14:textId="77777777" w:rsidR="00D66D5C" w:rsidRPr="004413DD" w:rsidRDefault="00D66D5C" w:rsidP="00CE5CDF">
            <w:pPr>
              <w:spacing w:after="0" w:line="480" w:lineRule="auto"/>
              <w:ind w:left="-57" w:right="-57"/>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Ticagrelor,</w:t>
            </w:r>
          </w:p>
          <w:p w14:paraId="51B9C61C" w14:textId="77777777" w:rsidR="00D66D5C" w:rsidRPr="004413DD" w:rsidRDefault="00D66D5C" w:rsidP="00CE5CDF">
            <w:pPr>
              <w:spacing w:after="0" w:line="480" w:lineRule="auto"/>
              <w:ind w:left="-57" w:right="-57"/>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60 mg</w:t>
            </w:r>
          </w:p>
          <w:p w14:paraId="5EF2112A" w14:textId="77777777" w:rsidR="00D66D5C" w:rsidRPr="004413DD" w:rsidRDefault="00D66D5C" w:rsidP="00CE5CDF">
            <w:pPr>
              <w:spacing w:after="0" w:line="480" w:lineRule="auto"/>
              <w:ind w:left="-57" w:right="-57"/>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(N=7045)</w:t>
            </w:r>
          </w:p>
          <w:p w14:paraId="07894ECE" w14:textId="77777777" w:rsidR="00D66D5C" w:rsidRPr="004413DD" w:rsidRDefault="00D66D5C" w:rsidP="00CE5CDF">
            <w:pPr>
              <w:spacing w:after="0" w:line="480" w:lineRule="auto"/>
              <w:ind w:right="-2"/>
              <w:jc w:val="center"/>
              <w:rPr>
                <w:rFonts w:ascii="Arial" w:eastAsia="Times New Roman" w:hAnsi="Arial" w:cs="Arial"/>
                <w:b/>
                <w:color w:val="000000"/>
                <w:sz w:val="16"/>
                <w:szCs w:val="16"/>
                <w:lang w:eastAsia="en-GB"/>
              </w:rPr>
            </w:pPr>
          </w:p>
        </w:tc>
        <w:tc>
          <w:tcPr>
            <w:tcW w:w="1024" w:type="dxa"/>
            <w:gridSpan w:val="2"/>
            <w:tcBorders>
              <w:top w:val="single" w:sz="4" w:space="0" w:color="auto"/>
              <w:left w:val="nil"/>
              <w:bottom w:val="nil"/>
              <w:right w:val="nil"/>
            </w:tcBorders>
            <w:shd w:val="clear" w:color="auto" w:fill="auto"/>
            <w:noWrap/>
            <w:vAlign w:val="center"/>
          </w:tcPr>
          <w:p w14:paraId="39A0E072"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Placebo</w:t>
            </w:r>
          </w:p>
          <w:p w14:paraId="6BCF4450"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(N=7067)</w:t>
            </w:r>
          </w:p>
        </w:tc>
        <w:tc>
          <w:tcPr>
            <w:tcW w:w="2195" w:type="dxa"/>
            <w:gridSpan w:val="3"/>
            <w:tcBorders>
              <w:top w:val="single" w:sz="4" w:space="0" w:color="auto"/>
              <w:left w:val="nil"/>
              <w:bottom w:val="nil"/>
              <w:right w:val="nil"/>
            </w:tcBorders>
            <w:shd w:val="clear" w:color="auto" w:fill="auto"/>
            <w:noWrap/>
            <w:vAlign w:val="center"/>
          </w:tcPr>
          <w:p w14:paraId="097C952C"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Ticagrelor, 90 mg</w:t>
            </w:r>
          </w:p>
          <w:p w14:paraId="0B735FE0"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r w:rsidRPr="004413DD">
              <w:rPr>
                <w:rFonts w:ascii="Arial" w:eastAsia="Times New Roman" w:hAnsi="Arial" w:cs="Arial"/>
                <w:b/>
                <w:color w:val="000000"/>
                <w:sz w:val="16"/>
                <w:szCs w:val="16"/>
                <w:lang w:eastAsia="en-GB"/>
              </w:rPr>
              <w:t>vs. Placebo</w:t>
            </w:r>
          </w:p>
        </w:tc>
        <w:tc>
          <w:tcPr>
            <w:tcW w:w="2136" w:type="dxa"/>
            <w:gridSpan w:val="3"/>
            <w:tcBorders>
              <w:top w:val="single" w:sz="4" w:space="0" w:color="auto"/>
              <w:left w:val="nil"/>
              <w:bottom w:val="nil"/>
              <w:right w:val="nil"/>
            </w:tcBorders>
            <w:shd w:val="clear" w:color="auto" w:fill="auto"/>
            <w:noWrap/>
            <w:vAlign w:val="center"/>
          </w:tcPr>
          <w:p w14:paraId="6431D244"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Ticagrelor, 60 mg</w:t>
            </w:r>
          </w:p>
          <w:p w14:paraId="665C55E4" w14:textId="77777777" w:rsidR="00D66D5C" w:rsidRPr="004413DD" w:rsidRDefault="00D66D5C" w:rsidP="00CE5CDF">
            <w:pPr>
              <w:spacing w:after="0" w:line="480" w:lineRule="auto"/>
              <w:jc w:val="center"/>
              <w:rPr>
                <w:rFonts w:ascii="Arial" w:eastAsia="Times New Roman" w:hAnsi="Arial" w:cs="Arial"/>
                <w:b/>
                <w:color w:val="000000"/>
                <w:sz w:val="16"/>
                <w:szCs w:val="16"/>
                <w:lang w:eastAsia="en-GB"/>
              </w:rPr>
            </w:pPr>
            <w:r w:rsidRPr="004413DD">
              <w:rPr>
                <w:rFonts w:ascii="Arial" w:eastAsia="Times New Roman" w:hAnsi="Arial" w:cs="Arial"/>
                <w:b/>
                <w:color w:val="000000"/>
                <w:sz w:val="16"/>
                <w:szCs w:val="16"/>
                <w:lang w:eastAsia="en-GB"/>
              </w:rPr>
              <w:t>vs. Placebo</w:t>
            </w:r>
          </w:p>
        </w:tc>
      </w:tr>
      <w:tr w:rsidR="00D66D5C" w:rsidRPr="004413DD" w14:paraId="18F5D7F6" w14:textId="77777777" w:rsidTr="00676C1D">
        <w:trPr>
          <w:trHeight w:val="568"/>
          <w:jc w:val="center"/>
        </w:trPr>
        <w:tc>
          <w:tcPr>
            <w:tcW w:w="2847" w:type="dxa"/>
            <w:vMerge/>
            <w:tcBorders>
              <w:left w:val="nil"/>
              <w:bottom w:val="single" w:sz="4" w:space="0" w:color="auto"/>
              <w:right w:val="nil"/>
            </w:tcBorders>
            <w:vAlign w:val="center"/>
          </w:tcPr>
          <w:p w14:paraId="6A65FF0A" w14:textId="77777777" w:rsidR="00D66D5C" w:rsidRPr="004413DD" w:rsidRDefault="00D66D5C" w:rsidP="00CE5CDF">
            <w:pPr>
              <w:spacing w:after="0" w:line="480" w:lineRule="auto"/>
              <w:rPr>
                <w:rFonts w:ascii="Arial" w:hAnsi="Arial" w:cs="Arial"/>
                <w:sz w:val="16"/>
                <w:szCs w:val="16"/>
              </w:rPr>
            </w:pPr>
          </w:p>
        </w:tc>
        <w:tc>
          <w:tcPr>
            <w:tcW w:w="3280" w:type="dxa"/>
            <w:gridSpan w:val="6"/>
            <w:tcBorders>
              <w:top w:val="nil"/>
              <w:left w:val="nil"/>
              <w:bottom w:val="single" w:sz="4" w:space="0" w:color="auto"/>
              <w:right w:val="nil"/>
            </w:tcBorders>
            <w:vAlign w:val="center"/>
          </w:tcPr>
          <w:p w14:paraId="65F61E0A" w14:textId="1ADFC199" w:rsidR="00D66D5C" w:rsidRPr="004413DD" w:rsidRDefault="00D66D5C" w:rsidP="00CE5CDF">
            <w:pPr>
              <w:spacing w:after="0" w:line="480" w:lineRule="auto"/>
              <w:ind w:right="-2"/>
              <w:jc w:val="center"/>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Number (%</w:t>
            </w:r>
            <w:r w:rsidR="00F312E9">
              <w:rPr>
                <w:rFonts w:ascii="Arial" w:eastAsia="Times New Roman" w:hAnsi="Arial" w:cs="Arial"/>
                <w:color w:val="000000"/>
                <w:sz w:val="16"/>
                <w:szCs w:val="16"/>
                <w:lang w:eastAsia="en-GB"/>
              </w:rPr>
              <w:t>*</w:t>
            </w:r>
            <w:r w:rsidRPr="004413DD">
              <w:rPr>
                <w:rFonts w:ascii="Arial" w:eastAsia="Times New Roman" w:hAnsi="Arial" w:cs="Arial"/>
                <w:color w:val="000000"/>
                <w:sz w:val="16"/>
                <w:szCs w:val="16"/>
                <w:lang w:eastAsia="en-GB"/>
              </w:rPr>
              <w:t>)</w:t>
            </w:r>
          </w:p>
        </w:tc>
        <w:tc>
          <w:tcPr>
            <w:tcW w:w="1528" w:type="dxa"/>
            <w:gridSpan w:val="2"/>
            <w:tcBorders>
              <w:top w:val="nil"/>
              <w:left w:val="nil"/>
              <w:bottom w:val="single" w:sz="4" w:space="0" w:color="auto"/>
              <w:right w:val="nil"/>
            </w:tcBorders>
            <w:shd w:val="clear" w:color="auto" w:fill="auto"/>
            <w:noWrap/>
            <w:vAlign w:val="center"/>
          </w:tcPr>
          <w:p w14:paraId="2DEB45B1"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Hazard Ratio</w:t>
            </w:r>
          </w:p>
          <w:p w14:paraId="35DD6BE5"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(95% CI)</w:t>
            </w:r>
          </w:p>
        </w:tc>
        <w:tc>
          <w:tcPr>
            <w:tcW w:w="667" w:type="dxa"/>
            <w:tcBorders>
              <w:top w:val="nil"/>
              <w:left w:val="nil"/>
              <w:bottom w:val="single" w:sz="4" w:space="0" w:color="auto"/>
              <w:right w:val="nil"/>
            </w:tcBorders>
            <w:shd w:val="clear" w:color="auto" w:fill="auto"/>
            <w:noWrap/>
            <w:vAlign w:val="center"/>
          </w:tcPr>
          <w:p w14:paraId="0A810CCE"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P Value</w:t>
            </w:r>
          </w:p>
        </w:tc>
        <w:tc>
          <w:tcPr>
            <w:tcW w:w="1489" w:type="dxa"/>
            <w:gridSpan w:val="2"/>
            <w:tcBorders>
              <w:top w:val="nil"/>
              <w:left w:val="nil"/>
              <w:bottom w:val="single" w:sz="4" w:space="0" w:color="auto"/>
              <w:right w:val="nil"/>
            </w:tcBorders>
            <w:shd w:val="clear" w:color="auto" w:fill="auto"/>
            <w:noWrap/>
            <w:vAlign w:val="center"/>
          </w:tcPr>
          <w:p w14:paraId="13D501CC"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Hazard Ratio</w:t>
            </w:r>
          </w:p>
          <w:p w14:paraId="6DB2A31B" w14:textId="77777777" w:rsidR="00D66D5C" w:rsidRPr="004413DD" w:rsidRDefault="00D66D5C" w:rsidP="00CE5CDF">
            <w:pPr>
              <w:spacing w:after="0" w:line="480" w:lineRule="auto"/>
              <w:jc w:val="center"/>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(95% CI)</w:t>
            </w:r>
          </w:p>
        </w:tc>
        <w:tc>
          <w:tcPr>
            <w:tcW w:w="647" w:type="dxa"/>
            <w:tcBorders>
              <w:top w:val="nil"/>
              <w:left w:val="nil"/>
              <w:bottom w:val="single" w:sz="4" w:space="0" w:color="auto"/>
              <w:right w:val="nil"/>
            </w:tcBorders>
            <w:shd w:val="clear" w:color="auto" w:fill="auto"/>
            <w:noWrap/>
            <w:vAlign w:val="center"/>
          </w:tcPr>
          <w:p w14:paraId="79284541"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P Value</w:t>
            </w:r>
          </w:p>
        </w:tc>
      </w:tr>
      <w:tr w:rsidR="00D66D5C" w:rsidRPr="004413DD" w14:paraId="57858C88" w14:textId="77777777" w:rsidTr="00676C1D">
        <w:trPr>
          <w:trHeight w:val="525"/>
          <w:jc w:val="center"/>
        </w:trPr>
        <w:tc>
          <w:tcPr>
            <w:tcW w:w="2847" w:type="dxa"/>
            <w:tcBorders>
              <w:top w:val="single" w:sz="4" w:space="0" w:color="auto"/>
              <w:left w:val="nil"/>
              <w:bottom w:val="nil"/>
              <w:right w:val="nil"/>
            </w:tcBorders>
          </w:tcPr>
          <w:p w14:paraId="2A6AA9E5"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Cardiovascular death, myocardial</w:t>
            </w:r>
          </w:p>
          <w:p w14:paraId="59049280" w14:textId="3136CEBC" w:rsidR="00D66D5C" w:rsidRPr="004413DD" w:rsidRDefault="00F312E9" w:rsidP="00CE5CDF">
            <w:pPr>
              <w:spacing w:after="0" w:line="480" w:lineRule="auto"/>
              <w:ind w:firstLine="317"/>
              <w:rPr>
                <w:rFonts w:ascii="Arial" w:hAnsi="Arial" w:cs="Arial"/>
                <w:sz w:val="16"/>
                <w:szCs w:val="16"/>
                <w:vertAlign w:val="superscript"/>
              </w:rPr>
            </w:pPr>
            <w:r>
              <w:rPr>
                <w:rFonts w:ascii="Arial" w:hAnsi="Arial" w:cs="Arial"/>
                <w:sz w:val="16"/>
                <w:szCs w:val="16"/>
              </w:rPr>
              <w:t>infarction, or stroke</w:t>
            </w:r>
            <w:r w:rsidRPr="00F312E9">
              <w:rPr>
                <w:rFonts w:ascii="Arial" w:hAnsi="Arial" w:cs="Arial"/>
                <w:sz w:val="20"/>
                <w:szCs w:val="24"/>
              </w:rPr>
              <w:t>†</w:t>
            </w:r>
          </w:p>
        </w:tc>
        <w:tc>
          <w:tcPr>
            <w:tcW w:w="515" w:type="dxa"/>
            <w:tcBorders>
              <w:top w:val="single" w:sz="4" w:space="0" w:color="auto"/>
              <w:left w:val="nil"/>
              <w:bottom w:val="nil"/>
              <w:right w:val="nil"/>
            </w:tcBorders>
          </w:tcPr>
          <w:p w14:paraId="1F753050"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493</w:t>
            </w:r>
          </w:p>
        </w:tc>
        <w:tc>
          <w:tcPr>
            <w:tcW w:w="624" w:type="dxa"/>
            <w:tcBorders>
              <w:top w:val="single" w:sz="4" w:space="0" w:color="auto"/>
              <w:left w:val="nil"/>
              <w:bottom w:val="nil"/>
              <w:right w:val="nil"/>
            </w:tcBorders>
            <w:shd w:val="clear" w:color="auto" w:fill="auto"/>
            <w:noWrap/>
            <w:hideMark/>
          </w:tcPr>
          <w:p w14:paraId="6DCB318B"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(7.85)</w:t>
            </w:r>
          </w:p>
        </w:tc>
        <w:tc>
          <w:tcPr>
            <w:tcW w:w="428" w:type="dxa"/>
            <w:tcBorders>
              <w:top w:val="single" w:sz="4" w:space="0" w:color="auto"/>
              <w:left w:val="nil"/>
              <w:bottom w:val="nil"/>
              <w:right w:val="nil"/>
            </w:tcBorders>
            <w:shd w:val="clear" w:color="auto" w:fill="auto"/>
            <w:noWrap/>
            <w:hideMark/>
          </w:tcPr>
          <w:p w14:paraId="2738A273"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487</w:t>
            </w:r>
          </w:p>
        </w:tc>
        <w:tc>
          <w:tcPr>
            <w:tcW w:w="689" w:type="dxa"/>
            <w:tcBorders>
              <w:top w:val="single" w:sz="4" w:space="0" w:color="auto"/>
              <w:left w:val="nil"/>
              <w:bottom w:val="nil"/>
              <w:right w:val="nil"/>
            </w:tcBorders>
            <w:shd w:val="clear" w:color="auto" w:fill="auto"/>
            <w:noWrap/>
            <w:hideMark/>
          </w:tcPr>
          <w:p w14:paraId="42BCE07B" w14:textId="77777777" w:rsidR="00D66D5C" w:rsidRPr="004413DD" w:rsidRDefault="00D66D5C" w:rsidP="00CE5CDF">
            <w:pPr>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(7.77)</w:t>
            </w:r>
          </w:p>
        </w:tc>
        <w:tc>
          <w:tcPr>
            <w:tcW w:w="426" w:type="dxa"/>
            <w:tcBorders>
              <w:top w:val="single" w:sz="4" w:space="0" w:color="auto"/>
              <w:left w:val="nil"/>
              <w:bottom w:val="nil"/>
              <w:right w:val="nil"/>
            </w:tcBorders>
            <w:shd w:val="clear" w:color="auto" w:fill="auto"/>
            <w:noWrap/>
            <w:hideMark/>
          </w:tcPr>
          <w:p w14:paraId="62FCAC3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578</w:t>
            </w:r>
          </w:p>
        </w:tc>
        <w:tc>
          <w:tcPr>
            <w:tcW w:w="598" w:type="dxa"/>
            <w:tcBorders>
              <w:top w:val="single" w:sz="4" w:space="0" w:color="auto"/>
              <w:left w:val="nil"/>
              <w:bottom w:val="nil"/>
              <w:right w:val="nil"/>
            </w:tcBorders>
            <w:shd w:val="clear" w:color="auto" w:fill="auto"/>
            <w:noWrap/>
            <w:hideMark/>
          </w:tcPr>
          <w:p w14:paraId="1266C805"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(9.04)</w:t>
            </w:r>
          </w:p>
        </w:tc>
        <w:tc>
          <w:tcPr>
            <w:tcW w:w="530" w:type="dxa"/>
            <w:tcBorders>
              <w:top w:val="single" w:sz="4" w:space="0" w:color="auto"/>
              <w:left w:val="nil"/>
              <w:bottom w:val="nil"/>
              <w:right w:val="nil"/>
            </w:tcBorders>
            <w:shd w:val="clear" w:color="auto" w:fill="auto"/>
            <w:noWrap/>
            <w:hideMark/>
          </w:tcPr>
          <w:p w14:paraId="0C1410BB"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0.85</w:t>
            </w:r>
          </w:p>
        </w:tc>
        <w:tc>
          <w:tcPr>
            <w:tcW w:w="998" w:type="dxa"/>
            <w:tcBorders>
              <w:top w:val="single" w:sz="4" w:space="0" w:color="auto"/>
              <w:left w:val="nil"/>
              <w:bottom w:val="nil"/>
              <w:right w:val="nil"/>
            </w:tcBorders>
            <w:shd w:val="clear" w:color="auto" w:fill="auto"/>
            <w:noWrap/>
            <w:hideMark/>
          </w:tcPr>
          <w:p w14:paraId="78D29026"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(0.75–0.96)</w:t>
            </w:r>
          </w:p>
        </w:tc>
        <w:tc>
          <w:tcPr>
            <w:tcW w:w="667" w:type="dxa"/>
            <w:tcBorders>
              <w:top w:val="single" w:sz="4" w:space="0" w:color="auto"/>
              <w:left w:val="nil"/>
              <w:bottom w:val="nil"/>
              <w:right w:val="nil"/>
            </w:tcBorders>
            <w:shd w:val="clear" w:color="auto" w:fill="auto"/>
            <w:noWrap/>
            <w:hideMark/>
          </w:tcPr>
          <w:p w14:paraId="40F1072D"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0.008</w:t>
            </w:r>
          </w:p>
        </w:tc>
        <w:tc>
          <w:tcPr>
            <w:tcW w:w="493" w:type="dxa"/>
            <w:tcBorders>
              <w:top w:val="single" w:sz="4" w:space="0" w:color="auto"/>
              <w:left w:val="nil"/>
              <w:bottom w:val="nil"/>
              <w:right w:val="nil"/>
            </w:tcBorders>
            <w:shd w:val="clear" w:color="auto" w:fill="auto"/>
            <w:noWrap/>
            <w:hideMark/>
          </w:tcPr>
          <w:p w14:paraId="79AD2F79"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0.84</w:t>
            </w:r>
          </w:p>
        </w:tc>
        <w:tc>
          <w:tcPr>
            <w:tcW w:w="996" w:type="dxa"/>
            <w:tcBorders>
              <w:top w:val="single" w:sz="4" w:space="0" w:color="auto"/>
              <w:left w:val="nil"/>
              <w:bottom w:val="nil"/>
              <w:right w:val="nil"/>
            </w:tcBorders>
            <w:shd w:val="clear" w:color="auto" w:fill="auto"/>
            <w:noWrap/>
            <w:hideMark/>
          </w:tcPr>
          <w:p w14:paraId="040324E7"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(0.74–0.95)</w:t>
            </w:r>
          </w:p>
        </w:tc>
        <w:tc>
          <w:tcPr>
            <w:tcW w:w="647" w:type="dxa"/>
            <w:tcBorders>
              <w:top w:val="single" w:sz="4" w:space="0" w:color="auto"/>
              <w:left w:val="nil"/>
              <w:bottom w:val="nil"/>
              <w:right w:val="nil"/>
            </w:tcBorders>
            <w:shd w:val="clear" w:color="auto" w:fill="auto"/>
            <w:noWrap/>
            <w:hideMark/>
          </w:tcPr>
          <w:p w14:paraId="07AB73C9"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0.004</w:t>
            </w:r>
          </w:p>
        </w:tc>
      </w:tr>
      <w:tr w:rsidR="00D66D5C" w:rsidRPr="004413DD" w14:paraId="3D57F18F" w14:textId="77777777" w:rsidTr="00676C1D">
        <w:trPr>
          <w:trHeight w:val="560"/>
          <w:jc w:val="center"/>
        </w:trPr>
        <w:tc>
          <w:tcPr>
            <w:tcW w:w="2847" w:type="dxa"/>
            <w:tcBorders>
              <w:top w:val="nil"/>
              <w:left w:val="nil"/>
              <w:bottom w:val="nil"/>
              <w:right w:val="nil"/>
            </w:tcBorders>
          </w:tcPr>
          <w:p w14:paraId="396D252F"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 xml:space="preserve">Death from coronary heart disease, </w:t>
            </w:r>
          </w:p>
          <w:p w14:paraId="2B384581" w14:textId="77777777" w:rsidR="00D66D5C" w:rsidRPr="004413DD" w:rsidRDefault="00D66D5C" w:rsidP="00CE5CDF">
            <w:pPr>
              <w:spacing w:after="0" w:line="480" w:lineRule="auto"/>
              <w:ind w:firstLine="317"/>
              <w:rPr>
                <w:rFonts w:ascii="Arial" w:hAnsi="Arial" w:cs="Arial"/>
                <w:sz w:val="16"/>
                <w:szCs w:val="16"/>
              </w:rPr>
            </w:pPr>
            <w:r w:rsidRPr="004413DD">
              <w:rPr>
                <w:rFonts w:ascii="Arial" w:hAnsi="Arial" w:cs="Arial"/>
                <w:sz w:val="16"/>
                <w:szCs w:val="16"/>
              </w:rPr>
              <w:t>myocardial infarction, or stroke</w:t>
            </w:r>
          </w:p>
        </w:tc>
        <w:tc>
          <w:tcPr>
            <w:tcW w:w="515" w:type="dxa"/>
            <w:tcBorders>
              <w:top w:val="nil"/>
              <w:left w:val="nil"/>
              <w:bottom w:val="nil"/>
              <w:right w:val="nil"/>
            </w:tcBorders>
          </w:tcPr>
          <w:p w14:paraId="28CF400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438</w:t>
            </w:r>
          </w:p>
        </w:tc>
        <w:tc>
          <w:tcPr>
            <w:tcW w:w="624" w:type="dxa"/>
            <w:tcBorders>
              <w:top w:val="nil"/>
              <w:left w:val="nil"/>
              <w:bottom w:val="nil"/>
              <w:right w:val="nil"/>
            </w:tcBorders>
            <w:shd w:val="clear" w:color="auto" w:fill="auto"/>
            <w:noWrap/>
            <w:hideMark/>
          </w:tcPr>
          <w:p w14:paraId="31D72D8C"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(6.99)</w:t>
            </w:r>
          </w:p>
        </w:tc>
        <w:tc>
          <w:tcPr>
            <w:tcW w:w="428" w:type="dxa"/>
            <w:tcBorders>
              <w:top w:val="nil"/>
              <w:left w:val="nil"/>
              <w:bottom w:val="nil"/>
              <w:right w:val="nil"/>
            </w:tcBorders>
            <w:shd w:val="clear" w:color="auto" w:fill="auto"/>
            <w:noWrap/>
            <w:hideMark/>
          </w:tcPr>
          <w:p w14:paraId="26FB1CC4"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445</w:t>
            </w:r>
          </w:p>
        </w:tc>
        <w:tc>
          <w:tcPr>
            <w:tcW w:w="689" w:type="dxa"/>
            <w:tcBorders>
              <w:top w:val="nil"/>
              <w:left w:val="nil"/>
              <w:bottom w:val="nil"/>
              <w:right w:val="nil"/>
            </w:tcBorders>
            <w:shd w:val="clear" w:color="auto" w:fill="auto"/>
            <w:noWrap/>
            <w:hideMark/>
          </w:tcPr>
          <w:p w14:paraId="0A8B5AEE"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(7.09)</w:t>
            </w:r>
          </w:p>
        </w:tc>
        <w:tc>
          <w:tcPr>
            <w:tcW w:w="426" w:type="dxa"/>
            <w:tcBorders>
              <w:top w:val="nil"/>
              <w:left w:val="nil"/>
              <w:bottom w:val="nil"/>
              <w:right w:val="nil"/>
            </w:tcBorders>
            <w:shd w:val="clear" w:color="auto" w:fill="auto"/>
            <w:noWrap/>
            <w:hideMark/>
          </w:tcPr>
          <w:p w14:paraId="1F2C1A2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535</w:t>
            </w:r>
          </w:p>
        </w:tc>
        <w:tc>
          <w:tcPr>
            <w:tcW w:w="598" w:type="dxa"/>
            <w:tcBorders>
              <w:top w:val="nil"/>
              <w:left w:val="nil"/>
              <w:bottom w:val="nil"/>
              <w:right w:val="nil"/>
            </w:tcBorders>
            <w:shd w:val="clear" w:color="auto" w:fill="auto"/>
            <w:noWrap/>
            <w:hideMark/>
          </w:tcPr>
          <w:p w14:paraId="79F32A45"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(8.33)</w:t>
            </w:r>
          </w:p>
        </w:tc>
        <w:tc>
          <w:tcPr>
            <w:tcW w:w="530" w:type="dxa"/>
            <w:tcBorders>
              <w:top w:val="nil"/>
              <w:left w:val="nil"/>
              <w:bottom w:val="nil"/>
              <w:right w:val="nil"/>
            </w:tcBorders>
            <w:shd w:val="clear" w:color="auto" w:fill="auto"/>
            <w:noWrap/>
            <w:hideMark/>
          </w:tcPr>
          <w:p w14:paraId="00A98172"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0.82</w:t>
            </w:r>
          </w:p>
        </w:tc>
        <w:tc>
          <w:tcPr>
            <w:tcW w:w="998" w:type="dxa"/>
            <w:tcBorders>
              <w:top w:val="nil"/>
              <w:left w:val="nil"/>
              <w:bottom w:val="nil"/>
              <w:right w:val="nil"/>
            </w:tcBorders>
            <w:shd w:val="clear" w:color="auto" w:fill="auto"/>
            <w:noWrap/>
            <w:hideMark/>
          </w:tcPr>
          <w:p w14:paraId="01D7A6F1"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(0.72–0.93)</w:t>
            </w:r>
          </w:p>
        </w:tc>
        <w:tc>
          <w:tcPr>
            <w:tcW w:w="667" w:type="dxa"/>
            <w:tcBorders>
              <w:top w:val="nil"/>
              <w:left w:val="nil"/>
              <w:bottom w:val="nil"/>
              <w:right w:val="nil"/>
            </w:tcBorders>
            <w:shd w:val="clear" w:color="auto" w:fill="auto"/>
            <w:noWrap/>
            <w:hideMark/>
          </w:tcPr>
          <w:p w14:paraId="492C2BB1"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0.002</w:t>
            </w:r>
          </w:p>
        </w:tc>
        <w:tc>
          <w:tcPr>
            <w:tcW w:w="493" w:type="dxa"/>
            <w:tcBorders>
              <w:top w:val="nil"/>
              <w:left w:val="nil"/>
              <w:bottom w:val="nil"/>
              <w:right w:val="nil"/>
            </w:tcBorders>
            <w:shd w:val="clear" w:color="auto" w:fill="auto"/>
            <w:noWrap/>
            <w:hideMark/>
          </w:tcPr>
          <w:p w14:paraId="3E94F6DC"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0.83</w:t>
            </w:r>
          </w:p>
        </w:tc>
        <w:tc>
          <w:tcPr>
            <w:tcW w:w="996" w:type="dxa"/>
            <w:tcBorders>
              <w:top w:val="nil"/>
              <w:left w:val="nil"/>
              <w:bottom w:val="nil"/>
              <w:right w:val="nil"/>
            </w:tcBorders>
            <w:shd w:val="clear" w:color="auto" w:fill="auto"/>
            <w:noWrap/>
            <w:hideMark/>
          </w:tcPr>
          <w:p w14:paraId="73CF2112"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(0.73–0.94)</w:t>
            </w:r>
          </w:p>
        </w:tc>
        <w:tc>
          <w:tcPr>
            <w:tcW w:w="647" w:type="dxa"/>
            <w:tcBorders>
              <w:top w:val="nil"/>
              <w:left w:val="nil"/>
              <w:bottom w:val="nil"/>
              <w:right w:val="nil"/>
            </w:tcBorders>
            <w:shd w:val="clear" w:color="auto" w:fill="auto"/>
            <w:noWrap/>
            <w:hideMark/>
          </w:tcPr>
          <w:p w14:paraId="6C34B6DB"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0.003</w:t>
            </w:r>
          </w:p>
        </w:tc>
      </w:tr>
      <w:tr w:rsidR="00D66D5C" w:rsidRPr="004413DD" w14:paraId="2C7E1774" w14:textId="77777777" w:rsidTr="00676C1D">
        <w:trPr>
          <w:trHeight w:val="568"/>
          <w:jc w:val="center"/>
        </w:trPr>
        <w:tc>
          <w:tcPr>
            <w:tcW w:w="2847" w:type="dxa"/>
            <w:tcBorders>
              <w:top w:val="nil"/>
              <w:left w:val="nil"/>
              <w:bottom w:val="nil"/>
              <w:right w:val="nil"/>
            </w:tcBorders>
          </w:tcPr>
          <w:p w14:paraId="71DADA7B"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Cardiovascular death or myocardial</w:t>
            </w:r>
          </w:p>
          <w:p w14:paraId="73FC9139" w14:textId="77777777" w:rsidR="00D66D5C" w:rsidRPr="004413DD" w:rsidRDefault="00D66D5C" w:rsidP="00CE5CDF">
            <w:pPr>
              <w:spacing w:after="0" w:line="480" w:lineRule="auto"/>
              <w:ind w:firstLine="317"/>
              <w:rPr>
                <w:rFonts w:ascii="Arial" w:hAnsi="Arial" w:cs="Arial"/>
                <w:sz w:val="16"/>
                <w:szCs w:val="16"/>
              </w:rPr>
            </w:pPr>
            <w:r w:rsidRPr="004413DD">
              <w:rPr>
                <w:rFonts w:ascii="Arial" w:hAnsi="Arial" w:cs="Arial"/>
                <w:sz w:val="16"/>
                <w:szCs w:val="16"/>
              </w:rPr>
              <w:t>infarction</w:t>
            </w:r>
          </w:p>
        </w:tc>
        <w:tc>
          <w:tcPr>
            <w:tcW w:w="515" w:type="dxa"/>
            <w:tcBorders>
              <w:top w:val="nil"/>
              <w:left w:val="nil"/>
              <w:bottom w:val="nil"/>
              <w:right w:val="nil"/>
            </w:tcBorders>
          </w:tcPr>
          <w:p w14:paraId="3B5C315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424</w:t>
            </w:r>
          </w:p>
        </w:tc>
        <w:tc>
          <w:tcPr>
            <w:tcW w:w="624" w:type="dxa"/>
            <w:tcBorders>
              <w:top w:val="nil"/>
              <w:left w:val="nil"/>
              <w:bottom w:val="nil"/>
              <w:right w:val="nil"/>
            </w:tcBorders>
            <w:shd w:val="clear" w:color="auto" w:fill="auto"/>
            <w:noWrap/>
            <w:hideMark/>
          </w:tcPr>
          <w:p w14:paraId="5ADCC2C5"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(6.79)</w:t>
            </w:r>
          </w:p>
        </w:tc>
        <w:tc>
          <w:tcPr>
            <w:tcW w:w="428" w:type="dxa"/>
            <w:tcBorders>
              <w:top w:val="nil"/>
              <w:left w:val="nil"/>
              <w:bottom w:val="nil"/>
              <w:right w:val="nil"/>
            </w:tcBorders>
            <w:shd w:val="clear" w:color="auto" w:fill="auto"/>
            <w:noWrap/>
            <w:hideMark/>
          </w:tcPr>
          <w:p w14:paraId="6228F14E"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422</w:t>
            </w:r>
          </w:p>
        </w:tc>
        <w:tc>
          <w:tcPr>
            <w:tcW w:w="689" w:type="dxa"/>
            <w:tcBorders>
              <w:top w:val="nil"/>
              <w:left w:val="nil"/>
              <w:bottom w:val="nil"/>
              <w:right w:val="nil"/>
            </w:tcBorders>
            <w:shd w:val="clear" w:color="auto" w:fill="auto"/>
            <w:noWrap/>
            <w:hideMark/>
          </w:tcPr>
          <w:p w14:paraId="57BE3332"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(6.77)</w:t>
            </w:r>
          </w:p>
        </w:tc>
        <w:tc>
          <w:tcPr>
            <w:tcW w:w="426" w:type="dxa"/>
            <w:tcBorders>
              <w:top w:val="nil"/>
              <w:left w:val="nil"/>
              <w:bottom w:val="nil"/>
              <w:right w:val="nil"/>
            </w:tcBorders>
            <w:shd w:val="clear" w:color="auto" w:fill="auto"/>
            <w:noWrap/>
            <w:hideMark/>
          </w:tcPr>
          <w:p w14:paraId="36BEFAA7"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497</w:t>
            </w:r>
          </w:p>
        </w:tc>
        <w:tc>
          <w:tcPr>
            <w:tcW w:w="598" w:type="dxa"/>
            <w:tcBorders>
              <w:top w:val="nil"/>
              <w:left w:val="nil"/>
              <w:bottom w:val="nil"/>
              <w:right w:val="nil"/>
            </w:tcBorders>
            <w:shd w:val="clear" w:color="auto" w:fill="auto"/>
            <w:noWrap/>
            <w:hideMark/>
          </w:tcPr>
          <w:p w14:paraId="57A2AB50"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(7.81)</w:t>
            </w:r>
          </w:p>
        </w:tc>
        <w:tc>
          <w:tcPr>
            <w:tcW w:w="530" w:type="dxa"/>
            <w:tcBorders>
              <w:top w:val="nil"/>
              <w:left w:val="nil"/>
              <w:bottom w:val="nil"/>
              <w:right w:val="nil"/>
            </w:tcBorders>
            <w:shd w:val="clear" w:color="auto" w:fill="auto"/>
            <w:noWrap/>
            <w:hideMark/>
          </w:tcPr>
          <w:p w14:paraId="1693035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0.85</w:t>
            </w:r>
          </w:p>
        </w:tc>
        <w:tc>
          <w:tcPr>
            <w:tcW w:w="998" w:type="dxa"/>
            <w:tcBorders>
              <w:top w:val="nil"/>
              <w:left w:val="nil"/>
              <w:bottom w:val="nil"/>
              <w:right w:val="nil"/>
            </w:tcBorders>
            <w:shd w:val="clear" w:color="auto" w:fill="auto"/>
            <w:noWrap/>
            <w:hideMark/>
          </w:tcPr>
          <w:p w14:paraId="20F2F971"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(0.75–0.97)</w:t>
            </w:r>
          </w:p>
        </w:tc>
        <w:tc>
          <w:tcPr>
            <w:tcW w:w="667" w:type="dxa"/>
            <w:tcBorders>
              <w:top w:val="nil"/>
              <w:left w:val="nil"/>
              <w:bottom w:val="nil"/>
              <w:right w:val="nil"/>
            </w:tcBorders>
            <w:shd w:val="clear" w:color="auto" w:fill="auto"/>
            <w:noWrap/>
            <w:hideMark/>
          </w:tcPr>
          <w:p w14:paraId="245834AD"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0.01</w:t>
            </w:r>
          </w:p>
        </w:tc>
        <w:tc>
          <w:tcPr>
            <w:tcW w:w="493" w:type="dxa"/>
            <w:tcBorders>
              <w:top w:val="nil"/>
              <w:left w:val="nil"/>
              <w:bottom w:val="nil"/>
              <w:right w:val="nil"/>
            </w:tcBorders>
            <w:shd w:val="clear" w:color="auto" w:fill="auto"/>
            <w:noWrap/>
            <w:hideMark/>
          </w:tcPr>
          <w:p w14:paraId="66E99568"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0.85</w:t>
            </w:r>
          </w:p>
        </w:tc>
        <w:tc>
          <w:tcPr>
            <w:tcW w:w="996" w:type="dxa"/>
            <w:tcBorders>
              <w:top w:val="nil"/>
              <w:left w:val="nil"/>
              <w:bottom w:val="nil"/>
              <w:right w:val="nil"/>
            </w:tcBorders>
            <w:shd w:val="clear" w:color="auto" w:fill="auto"/>
            <w:noWrap/>
            <w:hideMark/>
          </w:tcPr>
          <w:p w14:paraId="2A159857"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(0.74–0.96)</w:t>
            </w:r>
          </w:p>
        </w:tc>
        <w:tc>
          <w:tcPr>
            <w:tcW w:w="647" w:type="dxa"/>
            <w:tcBorders>
              <w:top w:val="nil"/>
              <w:left w:val="nil"/>
              <w:bottom w:val="nil"/>
              <w:right w:val="nil"/>
            </w:tcBorders>
            <w:shd w:val="clear" w:color="auto" w:fill="auto"/>
            <w:noWrap/>
            <w:hideMark/>
          </w:tcPr>
          <w:p w14:paraId="1982081E"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0.01</w:t>
            </w:r>
          </w:p>
        </w:tc>
      </w:tr>
      <w:tr w:rsidR="00D66D5C" w:rsidRPr="004413DD" w14:paraId="3D35CAB0" w14:textId="77777777" w:rsidTr="00676C1D">
        <w:trPr>
          <w:trHeight w:val="559"/>
          <w:jc w:val="center"/>
        </w:trPr>
        <w:tc>
          <w:tcPr>
            <w:tcW w:w="2847" w:type="dxa"/>
            <w:tcBorders>
              <w:top w:val="nil"/>
              <w:left w:val="nil"/>
              <w:bottom w:val="nil"/>
              <w:right w:val="nil"/>
            </w:tcBorders>
          </w:tcPr>
          <w:p w14:paraId="7C568B96" w14:textId="77777777" w:rsidR="00D66D5C" w:rsidRDefault="00D66D5C" w:rsidP="00CE5CDF">
            <w:pPr>
              <w:spacing w:after="0" w:line="480" w:lineRule="auto"/>
              <w:rPr>
                <w:rFonts w:ascii="Arial" w:hAnsi="Arial" w:cs="Arial"/>
                <w:sz w:val="16"/>
                <w:szCs w:val="16"/>
              </w:rPr>
            </w:pPr>
            <w:r w:rsidRPr="004413DD">
              <w:rPr>
                <w:rFonts w:ascii="Arial" w:hAnsi="Arial" w:cs="Arial"/>
                <w:sz w:val="16"/>
                <w:szCs w:val="16"/>
              </w:rPr>
              <w:t xml:space="preserve">Death from coronary heart disease </w:t>
            </w:r>
          </w:p>
          <w:p w14:paraId="1F360084" w14:textId="77777777" w:rsidR="00D66D5C" w:rsidRPr="004413DD" w:rsidRDefault="00D66D5C" w:rsidP="00CE5CDF">
            <w:pPr>
              <w:spacing w:after="0" w:line="480" w:lineRule="auto"/>
              <w:ind w:left="318"/>
              <w:rPr>
                <w:rFonts w:ascii="Arial" w:hAnsi="Arial" w:cs="Arial"/>
                <w:sz w:val="16"/>
                <w:szCs w:val="16"/>
              </w:rPr>
            </w:pPr>
            <w:r w:rsidRPr="004413DD">
              <w:rPr>
                <w:rFonts w:ascii="Arial" w:hAnsi="Arial" w:cs="Arial"/>
                <w:sz w:val="16"/>
                <w:szCs w:val="16"/>
              </w:rPr>
              <w:t>or</w:t>
            </w:r>
            <w:r>
              <w:rPr>
                <w:rFonts w:ascii="Arial" w:hAnsi="Arial" w:cs="Arial"/>
                <w:sz w:val="16"/>
                <w:szCs w:val="16"/>
              </w:rPr>
              <w:t xml:space="preserve"> </w:t>
            </w:r>
            <w:r w:rsidRPr="004413DD">
              <w:rPr>
                <w:rFonts w:ascii="Arial" w:hAnsi="Arial" w:cs="Arial"/>
                <w:sz w:val="16"/>
                <w:szCs w:val="16"/>
              </w:rPr>
              <w:t>myocardial infarction</w:t>
            </w:r>
          </w:p>
        </w:tc>
        <w:tc>
          <w:tcPr>
            <w:tcW w:w="515" w:type="dxa"/>
            <w:tcBorders>
              <w:top w:val="nil"/>
              <w:left w:val="nil"/>
              <w:bottom w:val="nil"/>
              <w:right w:val="nil"/>
            </w:tcBorders>
          </w:tcPr>
          <w:p w14:paraId="75BE87B7"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350</w:t>
            </w:r>
          </w:p>
        </w:tc>
        <w:tc>
          <w:tcPr>
            <w:tcW w:w="624" w:type="dxa"/>
            <w:tcBorders>
              <w:top w:val="nil"/>
              <w:left w:val="nil"/>
              <w:bottom w:val="nil"/>
              <w:right w:val="nil"/>
            </w:tcBorders>
            <w:shd w:val="clear" w:color="auto" w:fill="auto"/>
            <w:noWrap/>
            <w:hideMark/>
          </w:tcPr>
          <w:p w14:paraId="2969676D"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(5.59)</w:t>
            </w:r>
          </w:p>
        </w:tc>
        <w:tc>
          <w:tcPr>
            <w:tcW w:w="428" w:type="dxa"/>
            <w:tcBorders>
              <w:top w:val="nil"/>
              <w:left w:val="nil"/>
              <w:bottom w:val="nil"/>
              <w:right w:val="nil"/>
            </w:tcBorders>
            <w:shd w:val="clear" w:color="auto" w:fill="auto"/>
            <w:noWrap/>
            <w:hideMark/>
          </w:tcPr>
          <w:p w14:paraId="4BB18276"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360</w:t>
            </w:r>
          </w:p>
        </w:tc>
        <w:tc>
          <w:tcPr>
            <w:tcW w:w="689" w:type="dxa"/>
            <w:tcBorders>
              <w:top w:val="nil"/>
              <w:left w:val="nil"/>
              <w:bottom w:val="nil"/>
              <w:right w:val="nil"/>
            </w:tcBorders>
            <w:shd w:val="clear" w:color="auto" w:fill="auto"/>
            <w:noWrap/>
            <w:hideMark/>
          </w:tcPr>
          <w:p w14:paraId="73E6B5BE"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(5.75)</w:t>
            </w:r>
          </w:p>
        </w:tc>
        <w:tc>
          <w:tcPr>
            <w:tcW w:w="426" w:type="dxa"/>
            <w:tcBorders>
              <w:top w:val="nil"/>
              <w:left w:val="nil"/>
              <w:bottom w:val="nil"/>
              <w:right w:val="nil"/>
            </w:tcBorders>
            <w:shd w:val="clear" w:color="auto" w:fill="auto"/>
            <w:noWrap/>
            <w:hideMark/>
          </w:tcPr>
          <w:p w14:paraId="74D721CC"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429</w:t>
            </w:r>
          </w:p>
        </w:tc>
        <w:tc>
          <w:tcPr>
            <w:tcW w:w="598" w:type="dxa"/>
            <w:tcBorders>
              <w:top w:val="nil"/>
              <w:left w:val="nil"/>
              <w:bottom w:val="nil"/>
              <w:right w:val="nil"/>
            </w:tcBorders>
            <w:shd w:val="clear" w:color="auto" w:fill="auto"/>
            <w:noWrap/>
            <w:hideMark/>
          </w:tcPr>
          <w:p w14:paraId="7C387EF9"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(6.68)</w:t>
            </w:r>
          </w:p>
        </w:tc>
        <w:tc>
          <w:tcPr>
            <w:tcW w:w="530" w:type="dxa"/>
            <w:tcBorders>
              <w:top w:val="nil"/>
              <w:left w:val="nil"/>
              <w:bottom w:val="nil"/>
              <w:right w:val="nil"/>
            </w:tcBorders>
            <w:shd w:val="clear" w:color="auto" w:fill="auto"/>
            <w:noWrap/>
            <w:hideMark/>
          </w:tcPr>
          <w:p w14:paraId="1E6C1E01"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0.81</w:t>
            </w:r>
          </w:p>
        </w:tc>
        <w:tc>
          <w:tcPr>
            <w:tcW w:w="998" w:type="dxa"/>
            <w:tcBorders>
              <w:top w:val="nil"/>
              <w:left w:val="nil"/>
              <w:bottom w:val="nil"/>
              <w:right w:val="nil"/>
            </w:tcBorders>
            <w:shd w:val="clear" w:color="auto" w:fill="auto"/>
            <w:noWrap/>
            <w:hideMark/>
          </w:tcPr>
          <w:p w14:paraId="34C7D678"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(0.71–0.94)</w:t>
            </w:r>
          </w:p>
        </w:tc>
        <w:tc>
          <w:tcPr>
            <w:tcW w:w="667" w:type="dxa"/>
            <w:tcBorders>
              <w:top w:val="nil"/>
              <w:left w:val="nil"/>
              <w:bottom w:val="nil"/>
              <w:right w:val="nil"/>
            </w:tcBorders>
            <w:shd w:val="clear" w:color="auto" w:fill="auto"/>
            <w:noWrap/>
            <w:hideMark/>
          </w:tcPr>
          <w:p w14:paraId="717B85B8"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0.004</w:t>
            </w:r>
          </w:p>
        </w:tc>
        <w:tc>
          <w:tcPr>
            <w:tcW w:w="493" w:type="dxa"/>
            <w:tcBorders>
              <w:top w:val="nil"/>
              <w:left w:val="nil"/>
              <w:bottom w:val="nil"/>
              <w:right w:val="nil"/>
            </w:tcBorders>
            <w:shd w:val="clear" w:color="auto" w:fill="auto"/>
            <w:noWrap/>
            <w:hideMark/>
          </w:tcPr>
          <w:p w14:paraId="2AC5D2AA"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0.84</w:t>
            </w:r>
          </w:p>
        </w:tc>
        <w:tc>
          <w:tcPr>
            <w:tcW w:w="996" w:type="dxa"/>
            <w:tcBorders>
              <w:top w:val="nil"/>
              <w:left w:val="nil"/>
              <w:bottom w:val="nil"/>
              <w:right w:val="nil"/>
            </w:tcBorders>
            <w:shd w:val="clear" w:color="auto" w:fill="auto"/>
            <w:noWrap/>
            <w:hideMark/>
          </w:tcPr>
          <w:p w14:paraId="022F901D"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(0.73–0.96)</w:t>
            </w:r>
          </w:p>
        </w:tc>
        <w:tc>
          <w:tcPr>
            <w:tcW w:w="647" w:type="dxa"/>
            <w:tcBorders>
              <w:top w:val="nil"/>
              <w:left w:val="nil"/>
              <w:bottom w:val="nil"/>
              <w:right w:val="nil"/>
            </w:tcBorders>
            <w:shd w:val="clear" w:color="auto" w:fill="auto"/>
            <w:noWrap/>
            <w:hideMark/>
          </w:tcPr>
          <w:p w14:paraId="75B85F88"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0.01</w:t>
            </w:r>
          </w:p>
        </w:tc>
      </w:tr>
      <w:tr w:rsidR="00D66D5C" w:rsidRPr="004413DD" w14:paraId="38E54C6D" w14:textId="77777777" w:rsidTr="00676C1D">
        <w:trPr>
          <w:trHeight w:val="437"/>
          <w:jc w:val="center"/>
        </w:trPr>
        <w:tc>
          <w:tcPr>
            <w:tcW w:w="2847" w:type="dxa"/>
            <w:tcBorders>
              <w:top w:val="nil"/>
              <w:left w:val="nil"/>
              <w:bottom w:val="nil"/>
              <w:right w:val="nil"/>
            </w:tcBorders>
          </w:tcPr>
          <w:p w14:paraId="53AD8A18"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Cardiovascular death</w:t>
            </w:r>
          </w:p>
        </w:tc>
        <w:tc>
          <w:tcPr>
            <w:tcW w:w="515" w:type="dxa"/>
            <w:tcBorders>
              <w:top w:val="nil"/>
              <w:left w:val="nil"/>
              <w:bottom w:val="nil"/>
              <w:right w:val="nil"/>
            </w:tcBorders>
          </w:tcPr>
          <w:p w14:paraId="4397917C"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182</w:t>
            </w:r>
          </w:p>
        </w:tc>
        <w:tc>
          <w:tcPr>
            <w:tcW w:w="624" w:type="dxa"/>
            <w:tcBorders>
              <w:top w:val="nil"/>
              <w:left w:val="nil"/>
              <w:bottom w:val="nil"/>
              <w:right w:val="nil"/>
            </w:tcBorders>
            <w:shd w:val="clear" w:color="auto" w:fill="auto"/>
            <w:noWrap/>
          </w:tcPr>
          <w:p w14:paraId="28B528ED"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(2.94)</w:t>
            </w:r>
          </w:p>
        </w:tc>
        <w:tc>
          <w:tcPr>
            <w:tcW w:w="428" w:type="dxa"/>
            <w:tcBorders>
              <w:top w:val="nil"/>
              <w:left w:val="nil"/>
              <w:bottom w:val="nil"/>
              <w:right w:val="nil"/>
            </w:tcBorders>
            <w:shd w:val="clear" w:color="auto" w:fill="auto"/>
            <w:noWrap/>
          </w:tcPr>
          <w:p w14:paraId="48EFCEA2"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174</w:t>
            </w:r>
          </w:p>
        </w:tc>
        <w:tc>
          <w:tcPr>
            <w:tcW w:w="689" w:type="dxa"/>
            <w:tcBorders>
              <w:top w:val="nil"/>
              <w:left w:val="nil"/>
              <w:bottom w:val="nil"/>
              <w:right w:val="nil"/>
            </w:tcBorders>
            <w:shd w:val="clear" w:color="auto" w:fill="auto"/>
            <w:noWrap/>
          </w:tcPr>
          <w:p w14:paraId="32D70215" w14:textId="77777777" w:rsidR="00D66D5C" w:rsidRPr="004413DD" w:rsidRDefault="00D66D5C" w:rsidP="00CE5CDF">
            <w:pPr>
              <w:tabs>
                <w:tab w:val="left" w:pos="443"/>
              </w:tabs>
              <w:spacing w:after="0" w:line="480" w:lineRule="auto"/>
              <w:ind w:left="-57" w:right="-2"/>
              <w:rPr>
                <w:rFonts w:ascii="Arial" w:hAnsi="Arial" w:cs="Arial"/>
                <w:sz w:val="16"/>
                <w:szCs w:val="16"/>
              </w:rPr>
            </w:pPr>
            <w:r w:rsidRPr="004413DD">
              <w:rPr>
                <w:rFonts w:ascii="Arial" w:hAnsi="Arial" w:cs="Arial"/>
                <w:sz w:val="16"/>
                <w:szCs w:val="16"/>
              </w:rPr>
              <w:t>(2.86)</w:t>
            </w:r>
          </w:p>
        </w:tc>
        <w:tc>
          <w:tcPr>
            <w:tcW w:w="426" w:type="dxa"/>
            <w:tcBorders>
              <w:top w:val="nil"/>
              <w:left w:val="nil"/>
              <w:bottom w:val="nil"/>
              <w:right w:val="nil"/>
            </w:tcBorders>
            <w:shd w:val="clear" w:color="auto" w:fill="auto"/>
            <w:noWrap/>
          </w:tcPr>
          <w:p w14:paraId="7D77A250"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210</w:t>
            </w:r>
          </w:p>
        </w:tc>
        <w:tc>
          <w:tcPr>
            <w:tcW w:w="598" w:type="dxa"/>
            <w:tcBorders>
              <w:top w:val="nil"/>
              <w:left w:val="nil"/>
              <w:bottom w:val="nil"/>
              <w:right w:val="nil"/>
            </w:tcBorders>
            <w:shd w:val="clear" w:color="auto" w:fill="auto"/>
            <w:noWrap/>
          </w:tcPr>
          <w:p w14:paraId="719ACA39"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(3.39)</w:t>
            </w:r>
          </w:p>
        </w:tc>
        <w:tc>
          <w:tcPr>
            <w:tcW w:w="530" w:type="dxa"/>
            <w:tcBorders>
              <w:top w:val="nil"/>
              <w:left w:val="nil"/>
              <w:bottom w:val="nil"/>
              <w:right w:val="nil"/>
            </w:tcBorders>
            <w:shd w:val="clear" w:color="auto" w:fill="auto"/>
            <w:noWrap/>
          </w:tcPr>
          <w:p w14:paraId="5A4CF3F4"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0.87</w:t>
            </w:r>
          </w:p>
        </w:tc>
        <w:tc>
          <w:tcPr>
            <w:tcW w:w="998" w:type="dxa"/>
            <w:tcBorders>
              <w:top w:val="nil"/>
              <w:left w:val="nil"/>
              <w:bottom w:val="nil"/>
              <w:right w:val="nil"/>
            </w:tcBorders>
            <w:shd w:val="clear" w:color="auto" w:fill="auto"/>
            <w:noWrap/>
          </w:tcPr>
          <w:p w14:paraId="5537AC3C"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(0.71–1.06)</w:t>
            </w:r>
          </w:p>
        </w:tc>
        <w:tc>
          <w:tcPr>
            <w:tcW w:w="667" w:type="dxa"/>
            <w:tcBorders>
              <w:top w:val="nil"/>
              <w:left w:val="nil"/>
              <w:bottom w:val="nil"/>
              <w:right w:val="nil"/>
            </w:tcBorders>
            <w:shd w:val="clear" w:color="auto" w:fill="auto"/>
            <w:noWrap/>
          </w:tcPr>
          <w:p w14:paraId="53D75668" w14:textId="77777777" w:rsidR="00D66D5C" w:rsidRPr="004413DD" w:rsidRDefault="00D66D5C" w:rsidP="00CE5CDF">
            <w:pPr>
              <w:spacing w:after="0" w:line="480" w:lineRule="auto"/>
              <w:ind w:left="-113"/>
              <w:rPr>
                <w:rFonts w:ascii="Arial" w:hAnsi="Arial" w:cs="Arial"/>
                <w:sz w:val="16"/>
                <w:szCs w:val="16"/>
              </w:rPr>
            </w:pPr>
            <w:r w:rsidRPr="004413DD">
              <w:rPr>
                <w:rFonts w:ascii="Arial" w:hAnsi="Arial" w:cs="Arial"/>
                <w:sz w:val="16"/>
                <w:szCs w:val="16"/>
              </w:rPr>
              <w:t>0.15</w:t>
            </w:r>
          </w:p>
        </w:tc>
        <w:tc>
          <w:tcPr>
            <w:tcW w:w="493" w:type="dxa"/>
            <w:tcBorders>
              <w:top w:val="nil"/>
              <w:left w:val="nil"/>
              <w:bottom w:val="nil"/>
              <w:right w:val="nil"/>
            </w:tcBorders>
            <w:shd w:val="clear" w:color="auto" w:fill="auto"/>
            <w:noWrap/>
          </w:tcPr>
          <w:p w14:paraId="071AC11B"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0.83</w:t>
            </w:r>
          </w:p>
        </w:tc>
        <w:tc>
          <w:tcPr>
            <w:tcW w:w="996" w:type="dxa"/>
            <w:tcBorders>
              <w:top w:val="nil"/>
              <w:left w:val="nil"/>
              <w:bottom w:val="nil"/>
              <w:right w:val="nil"/>
            </w:tcBorders>
            <w:shd w:val="clear" w:color="auto" w:fill="auto"/>
            <w:noWrap/>
          </w:tcPr>
          <w:p w14:paraId="286EDCD0"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(0.68–1.01)</w:t>
            </w:r>
          </w:p>
        </w:tc>
        <w:tc>
          <w:tcPr>
            <w:tcW w:w="647" w:type="dxa"/>
            <w:tcBorders>
              <w:top w:val="nil"/>
              <w:left w:val="nil"/>
              <w:bottom w:val="nil"/>
              <w:right w:val="nil"/>
            </w:tcBorders>
            <w:shd w:val="clear" w:color="auto" w:fill="auto"/>
            <w:noWrap/>
          </w:tcPr>
          <w:p w14:paraId="4019CD49" w14:textId="77777777" w:rsidR="00D66D5C" w:rsidRPr="004413DD" w:rsidRDefault="00D66D5C" w:rsidP="00CE5CDF">
            <w:pPr>
              <w:spacing w:after="0" w:line="480" w:lineRule="auto"/>
              <w:ind w:left="-57" w:right="-57"/>
              <w:rPr>
                <w:rFonts w:ascii="Arial" w:hAnsi="Arial" w:cs="Arial"/>
                <w:sz w:val="16"/>
                <w:szCs w:val="16"/>
              </w:rPr>
            </w:pPr>
            <w:r w:rsidRPr="004413DD">
              <w:rPr>
                <w:rFonts w:ascii="Arial" w:hAnsi="Arial" w:cs="Arial"/>
                <w:sz w:val="16"/>
                <w:szCs w:val="16"/>
              </w:rPr>
              <w:t>0.07</w:t>
            </w:r>
          </w:p>
        </w:tc>
      </w:tr>
      <w:tr w:rsidR="00D66D5C" w:rsidRPr="004413DD" w14:paraId="367835B5" w14:textId="77777777" w:rsidTr="00676C1D">
        <w:trPr>
          <w:trHeight w:val="428"/>
          <w:jc w:val="center"/>
        </w:trPr>
        <w:tc>
          <w:tcPr>
            <w:tcW w:w="2847" w:type="dxa"/>
            <w:tcBorders>
              <w:top w:val="nil"/>
              <w:left w:val="nil"/>
              <w:bottom w:val="nil"/>
              <w:right w:val="nil"/>
            </w:tcBorders>
          </w:tcPr>
          <w:p w14:paraId="4FB1C272"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Death from coronary heart disease</w:t>
            </w:r>
          </w:p>
        </w:tc>
        <w:tc>
          <w:tcPr>
            <w:tcW w:w="515" w:type="dxa"/>
            <w:tcBorders>
              <w:top w:val="nil"/>
              <w:left w:val="nil"/>
              <w:bottom w:val="nil"/>
              <w:right w:val="nil"/>
            </w:tcBorders>
          </w:tcPr>
          <w:p w14:paraId="717D68E0"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97</w:t>
            </w:r>
          </w:p>
        </w:tc>
        <w:tc>
          <w:tcPr>
            <w:tcW w:w="624" w:type="dxa"/>
            <w:tcBorders>
              <w:top w:val="nil"/>
              <w:left w:val="nil"/>
              <w:bottom w:val="nil"/>
              <w:right w:val="nil"/>
            </w:tcBorders>
            <w:shd w:val="clear" w:color="auto" w:fill="auto"/>
            <w:noWrap/>
          </w:tcPr>
          <w:p w14:paraId="732D54EE"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(1.53)</w:t>
            </w:r>
          </w:p>
        </w:tc>
        <w:tc>
          <w:tcPr>
            <w:tcW w:w="428" w:type="dxa"/>
            <w:tcBorders>
              <w:top w:val="nil"/>
              <w:left w:val="nil"/>
              <w:bottom w:val="nil"/>
              <w:right w:val="nil"/>
            </w:tcBorders>
            <w:shd w:val="clear" w:color="auto" w:fill="auto"/>
            <w:noWrap/>
          </w:tcPr>
          <w:p w14:paraId="2D201C88"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106</w:t>
            </w:r>
          </w:p>
        </w:tc>
        <w:tc>
          <w:tcPr>
            <w:tcW w:w="689" w:type="dxa"/>
            <w:tcBorders>
              <w:top w:val="nil"/>
              <w:left w:val="nil"/>
              <w:bottom w:val="nil"/>
              <w:right w:val="nil"/>
            </w:tcBorders>
            <w:shd w:val="clear" w:color="auto" w:fill="auto"/>
            <w:noWrap/>
          </w:tcPr>
          <w:p w14:paraId="43F360CD" w14:textId="77777777" w:rsidR="00D66D5C" w:rsidRPr="004413DD" w:rsidRDefault="00D66D5C" w:rsidP="00CE5CDF">
            <w:pPr>
              <w:tabs>
                <w:tab w:val="left" w:pos="443"/>
              </w:tabs>
              <w:spacing w:after="0" w:line="480" w:lineRule="auto"/>
              <w:ind w:left="-57" w:right="-2"/>
              <w:rPr>
                <w:rFonts w:ascii="Arial" w:hAnsi="Arial" w:cs="Arial"/>
                <w:sz w:val="16"/>
                <w:szCs w:val="16"/>
              </w:rPr>
            </w:pPr>
            <w:r w:rsidRPr="004413DD">
              <w:rPr>
                <w:rFonts w:ascii="Arial" w:hAnsi="Arial" w:cs="Arial"/>
                <w:sz w:val="16"/>
                <w:szCs w:val="16"/>
              </w:rPr>
              <w:t>(1.72)</w:t>
            </w:r>
          </w:p>
        </w:tc>
        <w:tc>
          <w:tcPr>
            <w:tcW w:w="426" w:type="dxa"/>
            <w:tcBorders>
              <w:top w:val="nil"/>
              <w:left w:val="nil"/>
              <w:bottom w:val="nil"/>
              <w:right w:val="nil"/>
            </w:tcBorders>
            <w:shd w:val="clear" w:color="auto" w:fill="auto"/>
            <w:noWrap/>
          </w:tcPr>
          <w:p w14:paraId="6AD578AE"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132</w:t>
            </w:r>
          </w:p>
        </w:tc>
        <w:tc>
          <w:tcPr>
            <w:tcW w:w="598" w:type="dxa"/>
            <w:tcBorders>
              <w:top w:val="nil"/>
              <w:left w:val="nil"/>
              <w:bottom w:val="nil"/>
              <w:right w:val="nil"/>
            </w:tcBorders>
            <w:shd w:val="clear" w:color="auto" w:fill="auto"/>
            <w:noWrap/>
          </w:tcPr>
          <w:p w14:paraId="1A838DBF"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(2.08)</w:t>
            </w:r>
          </w:p>
        </w:tc>
        <w:tc>
          <w:tcPr>
            <w:tcW w:w="530" w:type="dxa"/>
            <w:tcBorders>
              <w:top w:val="nil"/>
              <w:left w:val="nil"/>
              <w:bottom w:val="nil"/>
              <w:right w:val="nil"/>
            </w:tcBorders>
            <w:shd w:val="clear" w:color="auto" w:fill="auto"/>
            <w:noWrap/>
          </w:tcPr>
          <w:p w14:paraId="43E18678"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0.73</w:t>
            </w:r>
          </w:p>
        </w:tc>
        <w:tc>
          <w:tcPr>
            <w:tcW w:w="998" w:type="dxa"/>
            <w:tcBorders>
              <w:top w:val="nil"/>
              <w:left w:val="nil"/>
              <w:bottom w:val="nil"/>
              <w:right w:val="nil"/>
            </w:tcBorders>
            <w:shd w:val="clear" w:color="auto" w:fill="auto"/>
            <w:noWrap/>
          </w:tcPr>
          <w:p w14:paraId="3DF07845"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(0.56–0.95)</w:t>
            </w:r>
          </w:p>
        </w:tc>
        <w:tc>
          <w:tcPr>
            <w:tcW w:w="667" w:type="dxa"/>
            <w:tcBorders>
              <w:top w:val="nil"/>
              <w:left w:val="nil"/>
              <w:bottom w:val="nil"/>
              <w:right w:val="nil"/>
            </w:tcBorders>
            <w:shd w:val="clear" w:color="auto" w:fill="auto"/>
            <w:noWrap/>
          </w:tcPr>
          <w:p w14:paraId="4D42BE44" w14:textId="77777777" w:rsidR="00D66D5C" w:rsidRPr="004413DD" w:rsidRDefault="00D66D5C" w:rsidP="00CE5CDF">
            <w:pPr>
              <w:spacing w:after="0" w:line="480" w:lineRule="auto"/>
              <w:ind w:left="-113"/>
              <w:rPr>
                <w:rFonts w:ascii="Arial" w:hAnsi="Arial" w:cs="Arial"/>
                <w:sz w:val="16"/>
                <w:szCs w:val="16"/>
              </w:rPr>
            </w:pPr>
            <w:r w:rsidRPr="004413DD">
              <w:rPr>
                <w:rFonts w:ascii="Arial" w:hAnsi="Arial" w:cs="Arial"/>
                <w:sz w:val="16"/>
                <w:szCs w:val="16"/>
              </w:rPr>
              <w:t>0.02</w:t>
            </w:r>
          </w:p>
        </w:tc>
        <w:tc>
          <w:tcPr>
            <w:tcW w:w="493" w:type="dxa"/>
            <w:tcBorders>
              <w:top w:val="nil"/>
              <w:left w:val="nil"/>
              <w:bottom w:val="nil"/>
              <w:right w:val="nil"/>
            </w:tcBorders>
            <w:shd w:val="clear" w:color="auto" w:fill="auto"/>
            <w:noWrap/>
          </w:tcPr>
          <w:p w14:paraId="148A1052"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0.80</w:t>
            </w:r>
          </w:p>
        </w:tc>
        <w:tc>
          <w:tcPr>
            <w:tcW w:w="996" w:type="dxa"/>
            <w:tcBorders>
              <w:top w:val="nil"/>
              <w:left w:val="nil"/>
              <w:bottom w:val="nil"/>
              <w:right w:val="nil"/>
            </w:tcBorders>
            <w:shd w:val="clear" w:color="auto" w:fill="auto"/>
            <w:noWrap/>
          </w:tcPr>
          <w:p w14:paraId="0FA0D68F"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(0.62–1.04)</w:t>
            </w:r>
          </w:p>
        </w:tc>
        <w:tc>
          <w:tcPr>
            <w:tcW w:w="647" w:type="dxa"/>
            <w:tcBorders>
              <w:top w:val="nil"/>
              <w:left w:val="nil"/>
              <w:bottom w:val="nil"/>
              <w:right w:val="nil"/>
            </w:tcBorders>
            <w:shd w:val="clear" w:color="auto" w:fill="auto"/>
            <w:noWrap/>
          </w:tcPr>
          <w:p w14:paraId="2853EB57" w14:textId="77777777" w:rsidR="00D66D5C" w:rsidRPr="004413DD" w:rsidRDefault="00D66D5C" w:rsidP="00CE5CDF">
            <w:pPr>
              <w:spacing w:after="0" w:line="480" w:lineRule="auto"/>
              <w:ind w:left="-57" w:right="-57"/>
              <w:rPr>
                <w:rFonts w:ascii="Arial" w:hAnsi="Arial" w:cs="Arial"/>
                <w:sz w:val="16"/>
                <w:szCs w:val="16"/>
              </w:rPr>
            </w:pPr>
            <w:r w:rsidRPr="004413DD">
              <w:rPr>
                <w:rFonts w:ascii="Arial" w:hAnsi="Arial" w:cs="Arial"/>
                <w:sz w:val="16"/>
                <w:szCs w:val="16"/>
              </w:rPr>
              <w:t>0.09</w:t>
            </w:r>
          </w:p>
        </w:tc>
      </w:tr>
      <w:tr w:rsidR="00D66D5C" w:rsidRPr="004413DD" w14:paraId="7A7834F1" w14:textId="77777777" w:rsidTr="00676C1D">
        <w:trPr>
          <w:trHeight w:val="420"/>
          <w:jc w:val="center"/>
        </w:trPr>
        <w:tc>
          <w:tcPr>
            <w:tcW w:w="2847" w:type="dxa"/>
            <w:tcBorders>
              <w:top w:val="nil"/>
              <w:left w:val="nil"/>
              <w:bottom w:val="nil"/>
              <w:right w:val="nil"/>
            </w:tcBorders>
          </w:tcPr>
          <w:p w14:paraId="3CB13712"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Myocardial infarction</w:t>
            </w:r>
          </w:p>
        </w:tc>
        <w:tc>
          <w:tcPr>
            <w:tcW w:w="515" w:type="dxa"/>
            <w:tcBorders>
              <w:top w:val="nil"/>
              <w:left w:val="nil"/>
              <w:bottom w:val="nil"/>
              <w:right w:val="nil"/>
            </w:tcBorders>
          </w:tcPr>
          <w:p w14:paraId="759A90F7"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275</w:t>
            </w:r>
          </w:p>
        </w:tc>
        <w:tc>
          <w:tcPr>
            <w:tcW w:w="624" w:type="dxa"/>
            <w:tcBorders>
              <w:top w:val="nil"/>
              <w:left w:val="nil"/>
              <w:bottom w:val="nil"/>
              <w:right w:val="nil"/>
            </w:tcBorders>
            <w:shd w:val="clear" w:color="auto" w:fill="auto"/>
            <w:noWrap/>
          </w:tcPr>
          <w:p w14:paraId="45B8555B"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(4.40)</w:t>
            </w:r>
          </w:p>
        </w:tc>
        <w:tc>
          <w:tcPr>
            <w:tcW w:w="428" w:type="dxa"/>
            <w:tcBorders>
              <w:top w:val="nil"/>
              <w:left w:val="nil"/>
              <w:bottom w:val="nil"/>
              <w:right w:val="nil"/>
            </w:tcBorders>
            <w:shd w:val="clear" w:color="auto" w:fill="auto"/>
            <w:noWrap/>
          </w:tcPr>
          <w:p w14:paraId="4BAF6730"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285</w:t>
            </w:r>
          </w:p>
        </w:tc>
        <w:tc>
          <w:tcPr>
            <w:tcW w:w="689" w:type="dxa"/>
            <w:tcBorders>
              <w:top w:val="nil"/>
              <w:left w:val="nil"/>
              <w:bottom w:val="nil"/>
              <w:right w:val="nil"/>
            </w:tcBorders>
            <w:shd w:val="clear" w:color="auto" w:fill="auto"/>
            <w:noWrap/>
          </w:tcPr>
          <w:p w14:paraId="23168231" w14:textId="77777777" w:rsidR="00D66D5C" w:rsidRPr="004413DD" w:rsidRDefault="00D66D5C" w:rsidP="00CE5CDF">
            <w:pPr>
              <w:tabs>
                <w:tab w:val="left" w:pos="443"/>
              </w:tabs>
              <w:spacing w:after="0" w:line="480" w:lineRule="auto"/>
              <w:ind w:left="-57" w:right="-2"/>
              <w:rPr>
                <w:rFonts w:ascii="Arial" w:hAnsi="Arial" w:cs="Arial"/>
                <w:sz w:val="16"/>
                <w:szCs w:val="16"/>
              </w:rPr>
            </w:pPr>
            <w:r w:rsidRPr="004413DD">
              <w:rPr>
                <w:rFonts w:ascii="Arial" w:hAnsi="Arial" w:cs="Arial"/>
                <w:sz w:val="16"/>
                <w:szCs w:val="16"/>
              </w:rPr>
              <w:t>(4.53)</w:t>
            </w:r>
          </w:p>
        </w:tc>
        <w:tc>
          <w:tcPr>
            <w:tcW w:w="426" w:type="dxa"/>
            <w:tcBorders>
              <w:top w:val="nil"/>
              <w:left w:val="nil"/>
              <w:bottom w:val="nil"/>
              <w:right w:val="nil"/>
            </w:tcBorders>
            <w:shd w:val="clear" w:color="auto" w:fill="auto"/>
            <w:noWrap/>
          </w:tcPr>
          <w:p w14:paraId="318D5EE7"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338</w:t>
            </w:r>
          </w:p>
        </w:tc>
        <w:tc>
          <w:tcPr>
            <w:tcW w:w="598" w:type="dxa"/>
            <w:tcBorders>
              <w:top w:val="nil"/>
              <w:left w:val="nil"/>
              <w:bottom w:val="nil"/>
              <w:right w:val="nil"/>
            </w:tcBorders>
            <w:shd w:val="clear" w:color="auto" w:fill="auto"/>
            <w:noWrap/>
          </w:tcPr>
          <w:p w14:paraId="177E9A3D"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(5.25)</w:t>
            </w:r>
          </w:p>
        </w:tc>
        <w:tc>
          <w:tcPr>
            <w:tcW w:w="530" w:type="dxa"/>
            <w:tcBorders>
              <w:top w:val="nil"/>
              <w:left w:val="nil"/>
              <w:bottom w:val="nil"/>
              <w:right w:val="nil"/>
            </w:tcBorders>
            <w:shd w:val="clear" w:color="auto" w:fill="auto"/>
            <w:noWrap/>
          </w:tcPr>
          <w:p w14:paraId="6EEFD339"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0.81</w:t>
            </w:r>
          </w:p>
        </w:tc>
        <w:tc>
          <w:tcPr>
            <w:tcW w:w="998" w:type="dxa"/>
            <w:tcBorders>
              <w:top w:val="nil"/>
              <w:left w:val="nil"/>
              <w:bottom w:val="nil"/>
              <w:right w:val="nil"/>
            </w:tcBorders>
            <w:shd w:val="clear" w:color="auto" w:fill="auto"/>
            <w:noWrap/>
          </w:tcPr>
          <w:p w14:paraId="01873356"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(0.69–0.95)</w:t>
            </w:r>
          </w:p>
        </w:tc>
        <w:tc>
          <w:tcPr>
            <w:tcW w:w="667" w:type="dxa"/>
            <w:tcBorders>
              <w:top w:val="nil"/>
              <w:left w:val="nil"/>
              <w:bottom w:val="nil"/>
              <w:right w:val="nil"/>
            </w:tcBorders>
            <w:shd w:val="clear" w:color="auto" w:fill="auto"/>
            <w:noWrap/>
          </w:tcPr>
          <w:p w14:paraId="3AC92702" w14:textId="77777777" w:rsidR="00D66D5C" w:rsidRPr="004413DD" w:rsidRDefault="00D66D5C" w:rsidP="00CE5CDF">
            <w:pPr>
              <w:spacing w:after="0" w:line="480" w:lineRule="auto"/>
              <w:ind w:left="-113"/>
              <w:rPr>
                <w:rFonts w:ascii="Arial" w:hAnsi="Arial" w:cs="Arial"/>
                <w:sz w:val="16"/>
                <w:szCs w:val="16"/>
              </w:rPr>
            </w:pPr>
            <w:r w:rsidRPr="004413DD">
              <w:rPr>
                <w:rFonts w:ascii="Arial" w:hAnsi="Arial" w:cs="Arial"/>
                <w:sz w:val="16"/>
                <w:szCs w:val="16"/>
              </w:rPr>
              <w:t>0.01</w:t>
            </w:r>
          </w:p>
        </w:tc>
        <w:tc>
          <w:tcPr>
            <w:tcW w:w="493" w:type="dxa"/>
            <w:tcBorders>
              <w:top w:val="nil"/>
              <w:left w:val="nil"/>
              <w:bottom w:val="nil"/>
              <w:right w:val="nil"/>
            </w:tcBorders>
            <w:shd w:val="clear" w:color="auto" w:fill="auto"/>
            <w:noWrap/>
          </w:tcPr>
          <w:p w14:paraId="51EA5D7B" w14:textId="77777777" w:rsidR="00D66D5C" w:rsidRPr="004413DD" w:rsidRDefault="00D66D5C" w:rsidP="00CE5CDF">
            <w:pPr>
              <w:spacing w:after="0" w:line="480" w:lineRule="auto"/>
              <w:ind w:right="-57"/>
              <w:jc w:val="right"/>
              <w:rPr>
                <w:rFonts w:ascii="Arial" w:hAnsi="Arial" w:cs="Arial"/>
                <w:sz w:val="16"/>
                <w:szCs w:val="16"/>
              </w:rPr>
            </w:pPr>
            <w:r w:rsidRPr="004413DD">
              <w:rPr>
                <w:rFonts w:ascii="Arial" w:hAnsi="Arial" w:cs="Arial"/>
                <w:sz w:val="16"/>
                <w:szCs w:val="16"/>
              </w:rPr>
              <w:t>0.84</w:t>
            </w:r>
          </w:p>
        </w:tc>
        <w:tc>
          <w:tcPr>
            <w:tcW w:w="996" w:type="dxa"/>
            <w:tcBorders>
              <w:top w:val="nil"/>
              <w:left w:val="nil"/>
              <w:bottom w:val="nil"/>
              <w:right w:val="nil"/>
            </w:tcBorders>
            <w:shd w:val="clear" w:color="auto" w:fill="auto"/>
            <w:noWrap/>
          </w:tcPr>
          <w:p w14:paraId="27111040" w14:textId="77777777" w:rsidR="00D66D5C" w:rsidRPr="004413DD" w:rsidRDefault="00D66D5C" w:rsidP="00CE5CDF">
            <w:pPr>
              <w:spacing w:after="0" w:line="480" w:lineRule="auto"/>
              <w:ind w:left="-57"/>
              <w:rPr>
                <w:rFonts w:ascii="Arial" w:hAnsi="Arial" w:cs="Arial"/>
                <w:sz w:val="16"/>
                <w:szCs w:val="16"/>
              </w:rPr>
            </w:pPr>
            <w:r w:rsidRPr="004413DD">
              <w:rPr>
                <w:rFonts w:ascii="Arial" w:hAnsi="Arial" w:cs="Arial"/>
                <w:sz w:val="16"/>
                <w:szCs w:val="16"/>
              </w:rPr>
              <w:t>(0.72–0.98)</w:t>
            </w:r>
          </w:p>
        </w:tc>
        <w:tc>
          <w:tcPr>
            <w:tcW w:w="647" w:type="dxa"/>
            <w:tcBorders>
              <w:top w:val="nil"/>
              <w:left w:val="nil"/>
              <w:bottom w:val="nil"/>
              <w:right w:val="nil"/>
            </w:tcBorders>
            <w:shd w:val="clear" w:color="auto" w:fill="auto"/>
            <w:noWrap/>
          </w:tcPr>
          <w:p w14:paraId="54A9358D" w14:textId="77777777" w:rsidR="00D66D5C" w:rsidRPr="004413DD" w:rsidRDefault="00D66D5C" w:rsidP="00CE5CDF">
            <w:pPr>
              <w:spacing w:after="0" w:line="480" w:lineRule="auto"/>
              <w:ind w:left="-57" w:right="-57"/>
              <w:rPr>
                <w:rFonts w:ascii="Arial" w:hAnsi="Arial" w:cs="Arial"/>
                <w:sz w:val="16"/>
                <w:szCs w:val="16"/>
              </w:rPr>
            </w:pPr>
            <w:r w:rsidRPr="004413DD">
              <w:rPr>
                <w:rFonts w:ascii="Arial" w:hAnsi="Arial" w:cs="Arial"/>
                <w:sz w:val="16"/>
                <w:szCs w:val="16"/>
              </w:rPr>
              <w:t>0.03</w:t>
            </w:r>
          </w:p>
        </w:tc>
      </w:tr>
      <w:tr w:rsidR="00D66D5C" w:rsidRPr="004413DD" w14:paraId="39B53FF6" w14:textId="77777777" w:rsidTr="00676C1D">
        <w:trPr>
          <w:trHeight w:val="285"/>
          <w:jc w:val="center"/>
        </w:trPr>
        <w:tc>
          <w:tcPr>
            <w:tcW w:w="2847" w:type="dxa"/>
            <w:tcBorders>
              <w:top w:val="nil"/>
              <w:left w:val="nil"/>
              <w:bottom w:val="nil"/>
              <w:right w:val="nil"/>
            </w:tcBorders>
          </w:tcPr>
          <w:p w14:paraId="7093EFC5"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Stroke</w:t>
            </w:r>
          </w:p>
        </w:tc>
        <w:tc>
          <w:tcPr>
            <w:tcW w:w="515" w:type="dxa"/>
            <w:tcBorders>
              <w:top w:val="nil"/>
              <w:left w:val="nil"/>
              <w:bottom w:val="nil"/>
              <w:right w:val="nil"/>
            </w:tcBorders>
          </w:tcPr>
          <w:p w14:paraId="766239E5"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p>
        </w:tc>
        <w:tc>
          <w:tcPr>
            <w:tcW w:w="624" w:type="dxa"/>
            <w:tcBorders>
              <w:top w:val="nil"/>
              <w:left w:val="nil"/>
              <w:bottom w:val="nil"/>
              <w:right w:val="nil"/>
            </w:tcBorders>
            <w:shd w:val="clear" w:color="auto" w:fill="auto"/>
            <w:noWrap/>
          </w:tcPr>
          <w:p w14:paraId="31540499"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p>
        </w:tc>
        <w:tc>
          <w:tcPr>
            <w:tcW w:w="428" w:type="dxa"/>
            <w:tcBorders>
              <w:top w:val="nil"/>
              <w:left w:val="nil"/>
              <w:bottom w:val="nil"/>
              <w:right w:val="nil"/>
            </w:tcBorders>
            <w:shd w:val="clear" w:color="auto" w:fill="auto"/>
            <w:noWrap/>
          </w:tcPr>
          <w:p w14:paraId="7F41258A"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p>
        </w:tc>
        <w:tc>
          <w:tcPr>
            <w:tcW w:w="689" w:type="dxa"/>
            <w:tcBorders>
              <w:top w:val="nil"/>
              <w:left w:val="nil"/>
              <w:bottom w:val="nil"/>
              <w:right w:val="nil"/>
            </w:tcBorders>
            <w:shd w:val="clear" w:color="auto" w:fill="auto"/>
            <w:noWrap/>
          </w:tcPr>
          <w:p w14:paraId="014A15AC"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p>
        </w:tc>
        <w:tc>
          <w:tcPr>
            <w:tcW w:w="426" w:type="dxa"/>
            <w:tcBorders>
              <w:top w:val="nil"/>
              <w:left w:val="nil"/>
              <w:bottom w:val="nil"/>
              <w:right w:val="nil"/>
            </w:tcBorders>
            <w:shd w:val="clear" w:color="auto" w:fill="auto"/>
            <w:noWrap/>
          </w:tcPr>
          <w:p w14:paraId="122E28C0"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p>
        </w:tc>
        <w:tc>
          <w:tcPr>
            <w:tcW w:w="598" w:type="dxa"/>
            <w:tcBorders>
              <w:top w:val="nil"/>
              <w:left w:val="nil"/>
              <w:bottom w:val="nil"/>
              <w:right w:val="nil"/>
            </w:tcBorders>
            <w:shd w:val="clear" w:color="auto" w:fill="auto"/>
            <w:noWrap/>
          </w:tcPr>
          <w:p w14:paraId="0FDE093F"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p>
        </w:tc>
        <w:tc>
          <w:tcPr>
            <w:tcW w:w="530" w:type="dxa"/>
            <w:tcBorders>
              <w:top w:val="nil"/>
              <w:left w:val="nil"/>
              <w:bottom w:val="nil"/>
              <w:right w:val="nil"/>
            </w:tcBorders>
            <w:shd w:val="clear" w:color="auto" w:fill="auto"/>
            <w:noWrap/>
          </w:tcPr>
          <w:p w14:paraId="54157D68"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p>
        </w:tc>
        <w:tc>
          <w:tcPr>
            <w:tcW w:w="998" w:type="dxa"/>
            <w:tcBorders>
              <w:top w:val="nil"/>
              <w:left w:val="nil"/>
              <w:bottom w:val="nil"/>
              <w:right w:val="nil"/>
            </w:tcBorders>
            <w:shd w:val="clear" w:color="auto" w:fill="auto"/>
            <w:noWrap/>
          </w:tcPr>
          <w:p w14:paraId="5778D3DC"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p>
        </w:tc>
        <w:tc>
          <w:tcPr>
            <w:tcW w:w="667" w:type="dxa"/>
            <w:tcBorders>
              <w:top w:val="nil"/>
              <w:left w:val="nil"/>
              <w:bottom w:val="nil"/>
              <w:right w:val="nil"/>
            </w:tcBorders>
            <w:shd w:val="clear" w:color="auto" w:fill="auto"/>
            <w:noWrap/>
          </w:tcPr>
          <w:p w14:paraId="5164959C"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p>
        </w:tc>
        <w:tc>
          <w:tcPr>
            <w:tcW w:w="493" w:type="dxa"/>
            <w:tcBorders>
              <w:top w:val="nil"/>
              <w:left w:val="nil"/>
              <w:bottom w:val="nil"/>
              <w:right w:val="nil"/>
            </w:tcBorders>
            <w:shd w:val="clear" w:color="auto" w:fill="auto"/>
            <w:noWrap/>
          </w:tcPr>
          <w:p w14:paraId="1ACC50B9"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p>
        </w:tc>
        <w:tc>
          <w:tcPr>
            <w:tcW w:w="996" w:type="dxa"/>
            <w:tcBorders>
              <w:top w:val="nil"/>
              <w:left w:val="nil"/>
              <w:bottom w:val="nil"/>
              <w:right w:val="nil"/>
            </w:tcBorders>
            <w:shd w:val="clear" w:color="auto" w:fill="auto"/>
            <w:noWrap/>
          </w:tcPr>
          <w:p w14:paraId="2B4194E3"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p>
        </w:tc>
        <w:tc>
          <w:tcPr>
            <w:tcW w:w="647" w:type="dxa"/>
            <w:tcBorders>
              <w:top w:val="nil"/>
              <w:left w:val="nil"/>
              <w:bottom w:val="nil"/>
              <w:right w:val="nil"/>
            </w:tcBorders>
            <w:shd w:val="clear" w:color="auto" w:fill="auto"/>
            <w:noWrap/>
          </w:tcPr>
          <w:p w14:paraId="0DF98D7A"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p>
        </w:tc>
      </w:tr>
      <w:tr w:rsidR="00D66D5C" w:rsidRPr="004413DD" w14:paraId="66FFFA9C" w14:textId="77777777" w:rsidTr="00676C1D">
        <w:trPr>
          <w:trHeight w:val="300"/>
          <w:jc w:val="center"/>
        </w:trPr>
        <w:tc>
          <w:tcPr>
            <w:tcW w:w="2847" w:type="dxa"/>
            <w:tcBorders>
              <w:top w:val="nil"/>
              <w:left w:val="nil"/>
              <w:bottom w:val="nil"/>
              <w:right w:val="nil"/>
            </w:tcBorders>
          </w:tcPr>
          <w:p w14:paraId="79639482" w14:textId="77777777" w:rsidR="00D66D5C" w:rsidRPr="004413DD" w:rsidRDefault="00D66D5C" w:rsidP="00CE5CDF">
            <w:pPr>
              <w:spacing w:after="0" w:line="480" w:lineRule="auto"/>
              <w:ind w:left="317"/>
              <w:rPr>
                <w:rFonts w:ascii="Arial" w:hAnsi="Arial" w:cs="Arial"/>
                <w:sz w:val="16"/>
                <w:szCs w:val="16"/>
              </w:rPr>
            </w:pPr>
            <w:r w:rsidRPr="004413DD">
              <w:rPr>
                <w:rFonts w:ascii="Arial" w:hAnsi="Arial" w:cs="Arial"/>
                <w:sz w:val="16"/>
                <w:szCs w:val="16"/>
              </w:rPr>
              <w:t>Any</w:t>
            </w:r>
          </w:p>
        </w:tc>
        <w:tc>
          <w:tcPr>
            <w:tcW w:w="515" w:type="dxa"/>
            <w:tcBorders>
              <w:top w:val="nil"/>
              <w:left w:val="nil"/>
              <w:bottom w:val="nil"/>
              <w:right w:val="nil"/>
            </w:tcBorders>
          </w:tcPr>
          <w:p w14:paraId="7C453EC0"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100</w:t>
            </w:r>
          </w:p>
        </w:tc>
        <w:tc>
          <w:tcPr>
            <w:tcW w:w="624" w:type="dxa"/>
            <w:tcBorders>
              <w:top w:val="nil"/>
              <w:left w:val="nil"/>
              <w:bottom w:val="nil"/>
              <w:right w:val="nil"/>
            </w:tcBorders>
            <w:shd w:val="clear" w:color="auto" w:fill="auto"/>
            <w:noWrap/>
            <w:hideMark/>
          </w:tcPr>
          <w:p w14:paraId="078551F3"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(1.61)</w:t>
            </w:r>
          </w:p>
        </w:tc>
        <w:tc>
          <w:tcPr>
            <w:tcW w:w="428" w:type="dxa"/>
            <w:tcBorders>
              <w:top w:val="nil"/>
              <w:left w:val="nil"/>
              <w:bottom w:val="nil"/>
              <w:right w:val="nil"/>
            </w:tcBorders>
            <w:shd w:val="clear" w:color="auto" w:fill="auto"/>
            <w:noWrap/>
            <w:hideMark/>
          </w:tcPr>
          <w:p w14:paraId="20A5970B"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91</w:t>
            </w:r>
          </w:p>
        </w:tc>
        <w:tc>
          <w:tcPr>
            <w:tcW w:w="689" w:type="dxa"/>
            <w:tcBorders>
              <w:top w:val="nil"/>
              <w:left w:val="nil"/>
              <w:bottom w:val="nil"/>
              <w:right w:val="nil"/>
            </w:tcBorders>
            <w:shd w:val="clear" w:color="auto" w:fill="auto"/>
            <w:noWrap/>
            <w:hideMark/>
          </w:tcPr>
          <w:p w14:paraId="0BA04A94"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(1.47)</w:t>
            </w:r>
          </w:p>
        </w:tc>
        <w:tc>
          <w:tcPr>
            <w:tcW w:w="426" w:type="dxa"/>
            <w:tcBorders>
              <w:top w:val="nil"/>
              <w:left w:val="nil"/>
              <w:bottom w:val="nil"/>
              <w:right w:val="nil"/>
            </w:tcBorders>
            <w:shd w:val="clear" w:color="auto" w:fill="auto"/>
            <w:noWrap/>
            <w:hideMark/>
          </w:tcPr>
          <w:p w14:paraId="1F59D17B"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122</w:t>
            </w:r>
          </w:p>
        </w:tc>
        <w:tc>
          <w:tcPr>
            <w:tcW w:w="598" w:type="dxa"/>
            <w:tcBorders>
              <w:top w:val="nil"/>
              <w:left w:val="nil"/>
              <w:bottom w:val="nil"/>
              <w:right w:val="nil"/>
            </w:tcBorders>
            <w:shd w:val="clear" w:color="auto" w:fill="auto"/>
            <w:noWrap/>
            <w:hideMark/>
          </w:tcPr>
          <w:p w14:paraId="53C61A9F"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(1.94)</w:t>
            </w:r>
          </w:p>
        </w:tc>
        <w:tc>
          <w:tcPr>
            <w:tcW w:w="530" w:type="dxa"/>
            <w:tcBorders>
              <w:top w:val="nil"/>
              <w:left w:val="nil"/>
              <w:bottom w:val="nil"/>
              <w:right w:val="nil"/>
            </w:tcBorders>
            <w:shd w:val="clear" w:color="auto" w:fill="auto"/>
            <w:noWrap/>
            <w:hideMark/>
          </w:tcPr>
          <w:p w14:paraId="71F835C7"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0.82</w:t>
            </w:r>
          </w:p>
        </w:tc>
        <w:tc>
          <w:tcPr>
            <w:tcW w:w="998" w:type="dxa"/>
            <w:tcBorders>
              <w:top w:val="nil"/>
              <w:left w:val="nil"/>
              <w:bottom w:val="nil"/>
              <w:right w:val="nil"/>
            </w:tcBorders>
            <w:shd w:val="clear" w:color="auto" w:fill="auto"/>
            <w:noWrap/>
            <w:hideMark/>
          </w:tcPr>
          <w:p w14:paraId="5A340256"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(0.63–1.07)</w:t>
            </w:r>
          </w:p>
        </w:tc>
        <w:tc>
          <w:tcPr>
            <w:tcW w:w="667" w:type="dxa"/>
            <w:tcBorders>
              <w:top w:val="nil"/>
              <w:left w:val="nil"/>
              <w:bottom w:val="nil"/>
              <w:right w:val="nil"/>
            </w:tcBorders>
            <w:shd w:val="clear" w:color="auto" w:fill="auto"/>
            <w:noWrap/>
            <w:hideMark/>
          </w:tcPr>
          <w:p w14:paraId="184A7E94"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0.14</w:t>
            </w:r>
          </w:p>
        </w:tc>
        <w:tc>
          <w:tcPr>
            <w:tcW w:w="493" w:type="dxa"/>
            <w:tcBorders>
              <w:top w:val="nil"/>
              <w:left w:val="nil"/>
              <w:bottom w:val="nil"/>
              <w:right w:val="nil"/>
            </w:tcBorders>
            <w:shd w:val="clear" w:color="auto" w:fill="auto"/>
            <w:noWrap/>
            <w:hideMark/>
          </w:tcPr>
          <w:p w14:paraId="7CE6A55D"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0.75</w:t>
            </w:r>
          </w:p>
        </w:tc>
        <w:tc>
          <w:tcPr>
            <w:tcW w:w="996" w:type="dxa"/>
            <w:tcBorders>
              <w:top w:val="nil"/>
              <w:left w:val="nil"/>
              <w:bottom w:val="nil"/>
              <w:right w:val="nil"/>
            </w:tcBorders>
            <w:shd w:val="clear" w:color="auto" w:fill="auto"/>
            <w:noWrap/>
            <w:hideMark/>
          </w:tcPr>
          <w:p w14:paraId="3762EA6E"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(0.57–0.98)</w:t>
            </w:r>
          </w:p>
        </w:tc>
        <w:tc>
          <w:tcPr>
            <w:tcW w:w="647" w:type="dxa"/>
            <w:tcBorders>
              <w:top w:val="nil"/>
              <w:left w:val="nil"/>
              <w:bottom w:val="nil"/>
              <w:right w:val="nil"/>
            </w:tcBorders>
            <w:shd w:val="clear" w:color="auto" w:fill="auto"/>
            <w:noWrap/>
            <w:hideMark/>
          </w:tcPr>
          <w:p w14:paraId="68C84B5C"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0.03</w:t>
            </w:r>
          </w:p>
        </w:tc>
      </w:tr>
      <w:tr w:rsidR="00D66D5C" w:rsidRPr="004413DD" w14:paraId="7AEC6B79" w14:textId="77777777" w:rsidTr="00676C1D">
        <w:trPr>
          <w:trHeight w:val="407"/>
          <w:jc w:val="center"/>
        </w:trPr>
        <w:tc>
          <w:tcPr>
            <w:tcW w:w="2847" w:type="dxa"/>
            <w:tcBorders>
              <w:top w:val="nil"/>
              <w:left w:val="nil"/>
              <w:bottom w:val="nil"/>
              <w:right w:val="nil"/>
            </w:tcBorders>
          </w:tcPr>
          <w:p w14:paraId="053E2BFC" w14:textId="77777777" w:rsidR="00D66D5C" w:rsidRPr="004413DD" w:rsidRDefault="00D66D5C" w:rsidP="00CE5CDF">
            <w:pPr>
              <w:spacing w:after="0" w:line="480" w:lineRule="auto"/>
              <w:ind w:left="317"/>
              <w:rPr>
                <w:rFonts w:ascii="Arial" w:hAnsi="Arial" w:cs="Arial"/>
                <w:sz w:val="16"/>
                <w:szCs w:val="16"/>
              </w:rPr>
            </w:pPr>
            <w:r w:rsidRPr="004413DD">
              <w:rPr>
                <w:rFonts w:ascii="Arial" w:hAnsi="Arial" w:cs="Arial"/>
                <w:sz w:val="16"/>
                <w:szCs w:val="16"/>
              </w:rPr>
              <w:t>Ischemic</w:t>
            </w:r>
          </w:p>
        </w:tc>
        <w:tc>
          <w:tcPr>
            <w:tcW w:w="515" w:type="dxa"/>
            <w:tcBorders>
              <w:top w:val="nil"/>
              <w:left w:val="nil"/>
              <w:bottom w:val="nil"/>
              <w:right w:val="nil"/>
            </w:tcBorders>
          </w:tcPr>
          <w:p w14:paraId="3D2A18F2"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88</w:t>
            </w:r>
          </w:p>
        </w:tc>
        <w:tc>
          <w:tcPr>
            <w:tcW w:w="624" w:type="dxa"/>
            <w:tcBorders>
              <w:top w:val="nil"/>
              <w:left w:val="nil"/>
              <w:bottom w:val="nil"/>
              <w:right w:val="nil"/>
            </w:tcBorders>
            <w:shd w:val="clear" w:color="auto" w:fill="auto"/>
            <w:noWrap/>
            <w:hideMark/>
          </w:tcPr>
          <w:p w14:paraId="130BD0D0"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(1.41)</w:t>
            </w:r>
          </w:p>
        </w:tc>
        <w:tc>
          <w:tcPr>
            <w:tcW w:w="428" w:type="dxa"/>
            <w:tcBorders>
              <w:top w:val="nil"/>
              <w:left w:val="nil"/>
              <w:bottom w:val="nil"/>
              <w:right w:val="nil"/>
            </w:tcBorders>
            <w:shd w:val="clear" w:color="auto" w:fill="auto"/>
            <w:noWrap/>
            <w:hideMark/>
          </w:tcPr>
          <w:p w14:paraId="47566752"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78</w:t>
            </w:r>
          </w:p>
        </w:tc>
        <w:tc>
          <w:tcPr>
            <w:tcW w:w="689" w:type="dxa"/>
            <w:tcBorders>
              <w:top w:val="nil"/>
              <w:left w:val="nil"/>
              <w:bottom w:val="nil"/>
              <w:right w:val="nil"/>
            </w:tcBorders>
            <w:shd w:val="clear" w:color="auto" w:fill="auto"/>
            <w:noWrap/>
            <w:hideMark/>
          </w:tcPr>
          <w:p w14:paraId="58C691A0"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(1.28)</w:t>
            </w:r>
          </w:p>
        </w:tc>
        <w:tc>
          <w:tcPr>
            <w:tcW w:w="426" w:type="dxa"/>
            <w:tcBorders>
              <w:top w:val="nil"/>
              <w:left w:val="nil"/>
              <w:bottom w:val="nil"/>
              <w:right w:val="nil"/>
            </w:tcBorders>
            <w:shd w:val="clear" w:color="auto" w:fill="auto"/>
            <w:noWrap/>
            <w:hideMark/>
          </w:tcPr>
          <w:p w14:paraId="54CD82FC"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103</w:t>
            </w:r>
          </w:p>
        </w:tc>
        <w:tc>
          <w:tcPr>
            <w:tcW w:w="598" w:type="dxa"/>
            <w:tcBorders>
              <w:top w:val="nil"/>
              <w:left w:val="nil"/>
              <w:bottom w:val="nil"/>
              <w:right w:val="nil"/>
            </w:tcBorders>
            <w:shd w:val="clear" w:color="auto" w:fill="auto"/>
            <w:noWrap/>
            <w:hideMark/>
          </w:tcPr>
          <w:p w14:paraId="6B26F1E8"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(1.65)</w:t>
            </w:r>
          </w:p>
        </w:tc>
        <w:tc>
          <w:tcPr>
            <w:tcW w:w="530" w:type="dxa"/>
            <w:tcBorders>
              <w:top w:val="nil"/>
              <w:left w:val="nil"/>
              <w:bottom w:val="nil"/>
              <w:right w:val="nil"/>
            </w:tcBorders>
            <w:shd w:val="clear" w:color="auto" w:fill="auto"/>
            <w:noWrap/>
            <w:hideMark/>
          </w:tcPr>
          <w:p w14:paraId="501B54DB"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0.85</w:t>
            </w:r>
          </w:p>
        </w:tc>
        <w:tc>
          <w:tcPr>
            <w:tcW w:w="998" w:type="dxa"/>
            <w:tcBorders>
              <w:top w:val="nil"/>
              <w:left w:val="nil"/>
              <w:bottom w:val="nil"/>
              <w:right w:val="nil"/>
            </w:tcBorders>
            <w:shd w:val="clear" w:color="auto" w:fill="auto"/>
            <w:noWrap/>
            <w:hideMark/>
          </w:tcPr>
          <w:p w14:paraId="43932DE6"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(0.64–1.14)</w:t>
            </w:r>
          </w:p>
        </w:tc>
        <w:tc>
          <w:tcPr>
            <w:tcW w:w="667" w:type="dxa"/>
            <w:tcBorders>
              <w:top w:val="nil"/>
              <w:left w:val="nil"/>
              <w:bottom w:val="nil"/>
              <w:right w:val="nil"/>
            </w:tcBorders>
            <w:shd w:val="clear" w:color="auto" w:fill="auto"/>
            <w:noWrap/>
            <w:hideMark/>
          </w:tcPr>
          <w:p w14:paraId="0054B051"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0.28</w:t>
            </w:r>
          </w:p>
        </w:tc>
        <w:tc>
          <w:tcPr>
            <w:tcW w:w="493" w:type="dxa"/>
            <w:tcBorders>
              <w:top w:val="nil"/>
              <w:left w:val="nil"/>
              <w:bottom w:val="nil"/>
              <w:right w:val="nil"/>
            </w:tcBorders>
            <w:shd w:val="clear" w:color="auto" w:fill="auto"/>
            <w:noWrap/>
            <w:hideMark/>
          </w:tcPr>
          <w:p w14:paraId="4BFCCC25"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0.76</w:t>
            </w:r>
          </w:p>
        </w:tc>
        <w:tc>
          <w:tcPr>
            <w:tcW w:w="996" w:type="dxa"/>
            <w:tcBorders>
              <w:top w:val="nil"/>
              <w:left w:val="nil"/>
              <w:bottom w:val="nil"/>
              <w:right w:val="nil"/>
            </w:tcBorders>
            <w:shd w:val="clear" w:color="auto" w:fill="auto"/>
            <w:noWrap/>
            <w:hideMark/>
          </w:tcPr>
          <w:p w14:paraId="3C30948A"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(0.56–1.02)</w:t>
            </w:r>
          </w:p>
        </w:tc>
        <w:tc>
          <w:tcPr>
            <w:tcW w:w="647" w:type="dxa"/>
            <w:tcBorders>
              <w:top w:val="nil"/>
              <w:left w:val="nil"/>
              <w:bottom w:val="nil"/>
              <w:right w:val="nil"/>
            </w:tcBorders>
            <w:shd w:val="clear" w:color="auto" w:fill="auto"/>
            <w:noWrap/>
            <w:hideMark/>
          </w:tcPr>
          <w:p w14:paraId="2EBF45FB"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0.06</w:t>
            </w:r>
          </w:p>
        </w:tc>
      </w:tr>
      <w:tr w:rsidR="00D66D5C" w:rsidRPr="004413DD" w14:paraId="66F136DB" w14:textId="77777777" w:rsidTr="00676C1D">
        <w:trPr>
          <w:trHeight w:val="383"/>
          <w:jc w:val="center"/>
        </w:trPr>
        <w:tc>
          <w:tcPr>
            <w:tcW w:w="2847" w:type="dxa"/>
            <w:tcBorders>
              <w:top w:val="nil"/>
              <w:left w:val="nil"/>
              <w:bottom w:val="single" w:sz="4" w:space="0" w:color="auto"/>
              <w:right w:val="nil"/>
            </w:tcBorders>
          </w:tcPr>
          <w:p w14:paraId="5AE3F120" w14:textId="77777777" w:rsidR="00D66D5C" w:rsidRPr="004413DD" w:rsidRDefault="00D66D5C" w:rsidP="00CE5CDF">
            <w:pPr>
              <w:spacing w:after="0" w:line="480" w:lineRule="auto"/>
              <w:rPr>
                <w:rFonts w:ascii="Arial" w:hAnsi="Arial" w:cs="Arial"/>
                <w:sz w:val="16"/>
                <w:szCs w:val="16"/>
              </w:rPr>
            </w:pPr>
            <w:r w:rsidRPr="004413DD">
              <w:rPr>
                <w:rFonts w:ascii="Arial" w:hAnsi="Arial" w:cs="Arial"/>
                <w:sz w:val="16"/>
                <w:szCs w:val="16"/>
              </w:rPr>
              <w:t>Death from any cause</w:t>
            </w:r>
          </w:p>
        </w:tc>
        <w:tc>
          <w:tcPr>
            <w:tcW w:w="515" w:type="dxa"/>
            <w:tcBorders>
              <w:top w:val="nil"/>
              <w:left w:val="nil"/>
              <w:bottom w:val="single" w:sz="4" w:space="0" w:color="auto"/>
              <w:right w:val="nil"/>
            </w:tcBorders>
          </w:tcPr>
          <w:p w14:paraId="75A62F50"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326</w:t>
            </w:r>
          </w:p>
        </w:tc>
        <w:tc>
          <w:tcPr>
            <w:tcW w:w="624" w:type="dxa"/>
            <w:tcBorders>
              <w:top w:val="nil"/>
              <w:left w:val="nil"/>
              <w:bottom w:val="single" w:sz="4" w:space="0" w:color="auto"/>
              <w:right w:val="nil"/>
            </w:tcBorders>
            <w:shd w:val="clear" w:color="auto" w:fill="auto"/>
            <w:noWrap/>
            <w:hideMark/>
          </w:tcPr>
          <w:p w14:paraId="03721657"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(5.15)</w:t>
            </w:r>
          </w:p>
        </w:tc>
        <w:tc>
          <w:tcPr>
            <w:tcW w:w="428" w:type="dxa"/>
            <w:tcBorders>
              <w:top w:val="nil"/>
              <w:left w:val="nil"/>
              <w:bottom w:val="single" w:sz="4" w:space="0" w:color="auto"/>
              <w:right w:val="nil"/>
            </w:tcBorders>
            <w:shd w:val="clear" w:color="auto" w:fill="auto"/>
            <w:noWrap/>
            <w:hideMark/>
          </w:tcPr>
          <w:p w14:paraId="4ACFA7E6"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289</w:t>
            </w:r>
          </w:p>
        </w:tc>
        <w:tc>
          <w:tcPr>
            <w:tcW w:w="689" w:type="dxa"/>
            <w:tcBorders>
              <w:top w:val="nil"/>
              <w:left w:val="nil"/>
              <w:bottom w:val="single" w:sz="4" w:space="0" w:color="auto"/>
              <w:right w:val="nil"/>
            </w:tcBorders>
            <w:shd w:val="clear" w:color="auto" w:fill="auto"/>
            <w:noWrap/>
            <w:hideMark/>
          </w:tcPr>
          <w:p w14:paraId="1B690769" w14:textId="77777777" w:rsidR="00D66D5C" w:rsidRPr="004413DD" w:rsidRDefault="00D66D5C" w:rsidP="00CE5CDF">
            <w:pPr>
              <w:tabs>
                <w:tab w:val="left" w:pos="443"/>
              </w:tabs>
              <w:spacing w:after="0" w:line="480" w:lineRule="auto"/>
              <w:ind w:left="-57" w:right="-2"/>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(4.69)</w:t>
            </w:r>
          </w:p>
        </w:tc>
        <w:tc>
          <w:tcPr>
            <w:tcW w:w="426" w:type="dxa"/>
            <w:tcBorders>
              <w:top w:val="nil"/>
              <w:left w:val="nil"/>
              <w:bottom w:val="single" w:sz="4" w:space="0" w:color="auto"/>
              <w:right w:val="nil"/>
            </w:tcBorders>
            <w:shd w:val="clear" w:color="auto" w:fill="auto"/>
            <w:noWrap/>
            <w:hideMark/>
          </w:tcPr>
          <w:p w14:paraId="274E0D5B"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326</w:t>
            </w:r>
          </w:p>
        </w:tc>
        <w:tc>
          <w:tcPr>
            <w:tcW w:w="598" w:type="dxa"/>
            <w:tcBorders>
              <w:top w:val="nil"/>
              <w:left w:val="nil"/>
              <w:bottom w:val="single" w:sz="4" w:space="0" w:color="auto"/>
              <w:right w:val="nil"/>
            </w:tcBorders>
            <w:shd w:val="clear" w:color="auto" w:fill="auto"/>
            <w:noWrap/>
            <w:hideMark/>
          </w:tcPr>
          <w:p w14:paraId="78631719"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(5.16)</w:t>
            </w:r>
          </w:p>
        </w:tc>
        <w:tc>
          <w:tcPr>
            <w:tcW w:w="530" w:type="dxa"/>
            <w:tcBorders>
              <w:top w:val="nil"/>
              <w:left w:val="nil"/>
              <w:bottom w:val="single" w:sz="4" w:space="0" w:color="auto"/>
              <w:right w:val="nil"/>
            </w:tcBorders>
            <w:shd w:val="clear" w:color="auto" w:fill="auto"/>
            <w:noWrap/>
            <w:hideMark/>
          </w:tcPr>
          <w:p w14:paraId="0C7A1F62"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1.00</w:t>
            </w:r>
          </w:p>
        </w:tc>
        <w:tc>
          <w:tcPr>
            <w:tcW w:w="998" w:type="dxa"/>
            <w:tcBorders>
              <w:top w:val="nil"/>
              <w:left w:val="nil"/>
              <w:bottom w:val="single" w:sz="4" w:space="0" w:color="auto"/>
              <w:right w:val="nil"/>
            </w:tcBorders>
            <w:shd w:val="clear" w:color="auto" w:fill="auto"/>
            <w:noWrap/>
            <w:hideMark/>
          </w:tcPr>
          <w:p w14:paraId="4412AB79"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(0.86–1.16)</w:t>
            </w:r>
          </w:p>
        </w:tc>
        <w:tc>
          <w:tcPr>
            <w:tcW w:w="667" w:type="dxa"/>
            <w:tcBorders>
              <w:top w:val="nil"/>
              <w:left w:val="nil"/>
              <w:bottom w:val="single" w:sz="4" w:space="0" w:color="auto"/>
              <w:right w:val="nil"/>
            </w:tcBorders>
            <w:shd w:val="clear" w:color="auto" w:fill="auto"/>
            <w:noWrap/>
            <w:hideMark/>
          </w:tcPr>
          <w:p w14:paraId="1B4915A1" w14:textId="77777777" w:rsidR="00D66D5C" w:rsidRPr="004413DD" w:rsidRDefault="00D66D5C" w:rsidP="00CE5CDF">
            <w:pPr>
              <w:spacing w:after="0" w:line="480" w:lineRule="auto"/>
              <w:ind w:left="-113"/>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0.99</w:t>
            </w:r>
          </w:p>
        </w:tc>
        <w:tc>
          <w:tcPr>
            <w:tcW w:w="493" w:type="dxa"/>
            <w:tcBorders>
              <w:top w:val="nil"/>
              <w:left w:val="nil"/>
              <w:bottom w:val="single" w:sz="4" w:space="0" w:color="auto"/>
              <w:right w:val="nil"/>
            </w:tcBorders>
            <w:shd w:val="clear" w:color="auto" w:fill="auto"/>
            <w:noWrap/>
            <w:hideMark/>
          </w:tcPr>
          <w:p w14:paraId="5DCF7EB4" w14:textId="77777777" w:rsidR="00D66D5C" w:rsidRPr="004413DD" w:rsidRDefault="00D66D5C" w:rsidP="00CE5CDF">
            <w:pPr>
              <w:spacing w:after="0" w:line="480" w:lineRule="auto"/>
              <w:ind w:right="-57"/>
              <w:jc w:val="right"/>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0.89</w:t>
            </w:r>
          </w:p>
        </w:tc>
        <w:tc>
          <w:tcPr>
            <w:tcW w:w="996" w:type="dxa"/>
            <w:tcBorders>
              <w:top w:val="nil"/>
              <w:left w:val="nil"/>
              <w:bottom w:val="single" w:sz="4" w:space="0" w:color="auto"/>
              <w:right w:val="nil"/>
            </w:tcBorders>
            <w:shd w:val="clear" w:color="auto" w:fill="auto"/>
            <w:noWrap/>
            <w:hideMark/>
          </w:tcPr>
          <w:p w14:paraId="7C3CA896" w14:textId="77777777" w:rsidR="00D66D5C" w:rsidRPr="004413DD" w:rsidRDefault="00D66D5C" w:rsidP="00CE5CDF">
            <w:pPr>
              <w:spacing w:after="0" w:line="480" w:lineRule="auto"/>
              <w:ind w:lef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(0.76–1.04)</w:t>
            </w:r>
          </w:p>
        </w:tc>
        <w:tc>
          <w:tcPr>
            <w:tcW w:w="647" w:type="dxa"/>
            <w:tcBorders>
              <w:top w:val="nil"/>
              <w:left w:val="nil"/>
              <w:bottom w:val="nil"/>
              <w:right w:val="nil"/>
            </w:tcBorders>
            <w:shd w:val="clear" w:color="auto" w:fill="auto"/>
            <w:noWrap/>
            <w:hideMark/>
          </w:tcPr>
          <w:p w14:paraId="3E1C8398" w14:textId="77777777" w:rsidR="00D66D5C" w:rsidRPr="004413DD" w:rsidRDefault="00D66D5C" w:rsidP="00CE5CDF">
            <w:pPr>
              <w:spacing w:after="0" w:line="480" w:lineRule="auto"/>
              <w:ind w:left="-57" w:right="-57"/>
              <w:rPr>
                <w:rFonts w:ascii="Arial" w:eastAsia="Times New Roman" w:hAnsi="Arial" w:cs="Arial"/>
                <w:color w:val="000000"/>
                <w:sz w:val="16"/>
                <w:szCs w:val="16"/>
                <w:lang w:eastAsia="en-GB"/>
              </w:rPr>
            </w:pPr>
            <w:r w:rsidRPr="004413DD">
              <w:rPr>
                <w:rFonts w:ascii="Arial" w:eastAsia="Times New Roman" w:hAnsi="Arial" w:cs="Arial"/>
                <w:color w:val="000000"/>
                <w:sz w:val="16"/>
                <w:szCs w:val="16"/>
                <w:lang w:eastAsia="en-GB"/>
              </w:rPr>
              <w:t>0.14</w:t>
            </w:r>
          </w:p>
        </w:tc>
      </w:tr>
      <w:tr w:rsidR="00D66D5C" w:rsidRPr="004413DD" w14:paraId="79670566" w14:textId="77777777" w:rsidTr="00676C1D">
        <w:trPr>
          <w:trHeight w:val="467"/>
          <w:jc w:val="center"/>
        </w:trPr>
        <w:tc>
          <w:tcPr>
            <w:tcW w:w="10458" w:type="dxa"/>
            <w:gridSpan w:val="13"/>
            <w:tcBorders>
              <w:top w:val="single" w:sz="4" w:space="0" w:color="auto"/>
              <w:left w:val="nil"/>
              <w:bottom w:val="nil"/>
              <w:right w:val="nil"/>
            </w:tcBorders>
            <w:vAlign w:val="center"/>
          </w:tcPr>
          <w:p w14:paraId="40502F6D" w14:textId="77777777" w:rsidR="000D63DD" w:rsidRDefault="00F312E9" w:rsidP="00144A50">
            <w:pPr>
              <w:spacing w:after="0"/>
              <w:ind w:right="-2"/>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4413DD">
              <w:rPr>
                <w:rFonts w:ascii="Arial" w:eastAsia="Times New Roman" w:hAnsi="Arial" w:cs="Arial"/>
                <w:color w:val="000000"/>
                <w:sz w:val="16"/>
                <w:szCs w:val="16"/>
                <w:lang w:eastAsia="en-GB"/>
              </w:rPr>
              <w:t xml:space="preserve"> percentages are 3-year Kaplan Meier estimates </w:t>
            </w:r>
            <w:r w:rsidRPr="00F312E9">
              <w:rPr>
                <w:rFonts w:ascii="Arial" w:hAnsi="Arial" w:cs="Arial"/>
                <w:sz w:val="20"/>
                <w:szCs w:val="24"/>
              </w:rPr>
              <w:t>†</w:t>
            </w:r>
            <w:r>
              <w:rPr>
                <w:rFonts w:ascii="Arial" w:hAnsi="Arial" w:cs="Arial"/>
                <w:sz w:val="20"/>
                <w:szCs w:val="24"/>
              </w:rPr>
              <w:t xml:space="preserve"> </w:t>
            </w:r>
            <w:r w:rsidR="000D63DD">
              <w:rPr>
                <w:rFonts w:ascii="Arial" w:eastAsia="Times New Roman" w:hAnsi="Arial" w:cs="Arial"/>
                <w:color w:val="000000"/>
                <w:sz w:val="16"/>
                <w:szCs w:val="16"/>
                <w:lang w:eastAsia="en-GB"/>
              </w:rPr>
              <w:t>primary endpoint</w:t>
            </w:r>
          </w:p>
          <w:p w14:paraId="4ED26B31" w14:textId="2467AF31" w:rsidR="00D66D5C" w:rsidRPr="004413DD" w:rsidRDefault="000D63DD" w:rsidP="00144A50">
            <w:pPr>
              <w:spacing w:after="0"/>
              <w:ind w:right="-2"/>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Source: </w:t>
            </w:r>
            <w:proofErr w:type="spellStart"/>
            <w:r w:rsidRPr="000D63DD">
              <w:rPr>
                <w:rFonts w:ascii="Arial" w:eastAsia="Times New Roman" w:hAnsi="Arial" w:cs="Arial"/>
                <w:color w:val="000000"/>
                <w:sz w:val="16"/>
                <w:szCs w:val="16"/>
                <w:lang w:eastAsia="en-GB"/>
              </w:rPr>
              <w:t>Bonaca</w:t>
            </w:r>
            <w:proofErr w:type="spellEnd"/>
            <w:r w:rsidRPr="000D63DD">
              <w:rPr>
                <w:rFonts w:ascii="Arial" w:eastAsia="Times New Roman" w:hAnsi="Arial" w:cs="Arial"/>
                <w:color w:val="000000"/>
                <w:sz w:val="16"/>
                <w:szCs w:val="16"/>
                <w:lang w:eastAsia="en-GB"/>
              </w:rPr>
              <w:t xml:space="preserve"> MP, Bhatt DL, Cohen M, et al. Long-Term Use of Ticagrelor in Patients with Prior Myocardial Infarction. New England Journal of Medicine 2015</w:t>
            </w:r>
            <w:proofErr w:type="gramStart"/>
            <w:r w:rsidRPr="000D63DD">
              <w:rPr>
                <w:rFonts w:ascii="Arial" w:eastAsia="Times New Roman" w:hAnsi="Arial" w:cs="Arial"/>
                <w:color w:val="000000"/>
                <w:sz w:val="16"/>
                <w:szCs w:val="16"/>
                <w:lang w:eastAsia="en-GB"/>
              </w:rPr>
              <w:t>;372:1791</w:t>
            </w:r>
            <w:proofErr w:type="gramEnd"/>
            <w:r w:rsidRPr="000D63DD">
              <w:rPr>
                <w:rFonts w:ascii="Arial" w:eastAsia="Times New Roman" w:hAnsi="Arial" w:cs="Arial"/>
                <w:color w:val="000000"/>
                <w:sz w:val="16"/>
                <w:szCs w:val="16"/>
                <w:lang w:eastAsia="en-GB"/>
              </w:rPr>
              <w:t>-1800.</w:t>
            </w:r>
          </w:p>
        </w:tc>
      </w:tr>
    </w:tbl>
    <w:p w14:paraId="33E1EA5E" w14:textId="77777777" w:rsidR="00143578" w:rsidRDefault="00143578" w:rsidP="00D66D5C">
      <w:pPr>
        <w:rPr>
          <w:rFonts w:ascii="Arial" w:hAnsi="Arial" w:cs="Arial"/>
          <w:sz w:val="18"/>
          <w:szCs w:val="18"/>
        </w:rPr>
      </w:pPr>
    </w:p>
    <w:p w14:paraId="76867FA7" w14:textId="0BE9D5B9" w:rsidR="00143578" w:rsidRPr="00227F50" w:rsidRDefault="00143578" w:rsidP="00D66D5C">
      <w:pPr>
        <w:rPr>
          <w:rFonts w:ascii="Arial" w:hAnsi="Arial" w:cs="Arial"/>
          <w:sz w:val="20"/>
          <w:szCs w:val="18"/>
        </w:rPr>
      </w:pPr>
      <w:r w:rsidRPr="00227F50">
        <w:rPr>
          <w:rFonts w:ascii="Arial" w:hAnsi="Arial" w:cs="Arial"/>
          <w:sz w:val="20"/>
          <w:szCs w:val="18"/>
        </w:rPr>
        <w:t xml:space="preserve">Table 1 Caption: Number of events, 3-year Kaplan-Meier estimates and hazard ratios for efficacy endpoints in the PEGASUS trial. </w:t>
      </w:r>
    </w:p>
    <w:p w14:paraId="0B487A3F" w14:textId="77777777" w:rsidR="00143578" w:rsidRDefault="00143578">
      <w:pPr>
        <w:rPr>
          <w:rFonts w:ascii="Arial" w:eastAsia="Times New Roman" w:hAnsi="Arial" w:cs="Arial"/>
          <w:color w:val="000000"/>
          <w:sz w:val="20"/>
          <w:szCs w:val="16"/>
          <w:lang w:eastAsia="en-GB"/>
        </w:rPr>
      </w:pPr>
      <w:r>
        <w:rPr>
          <w:rFonts w:ascii="Arial" w:eastAsia="Times New Roman" w:hAnsi="Arial" w:cs="Arial"/>
          <w:color w:val="000000"/>
          <w:sz w:val="20"/>
          <w:szCs w:val="16"/>
          <w:lang w:eastAsia="en-GB"/>
        </w:rPr>
        <w:br w:type="page"/>
      </w:r>
    </w:p>
    <w:p w14:paraId="32A5B064" w14:textId="7CE8D536" w:rsidR="00D66D5C" w:rsidRPr="00A36CA5" w:rsidRDefault="00D66D5C" w:rsidP="00D66D5C">
      <w:pPr>
        <w:rPr>
          <w:sz w:val="24"/>
        </w:rPr>
      </w:pPr>
      <w:r w:rsidRPr="00A36CA5">
        <w:rPr>
          <w:rFonts w:ascii="Arial" w:eastAsia="Times New Roman" w:hAnsi="Arial" w:cs="Arial"/>
          <w:color w:val="000000"/>
          <w:sz w:val="20"/>
          <w:szCs w:val="16"/>
          <w:lang w:eastAsia="en-GB"/>
        </w:rPr>
        <w:lastRenderedPageBreak/>
        <w:t>Table 2 A summary of key 1 and 5 year findings from the SYNTAX trial</w:t>
      </w:r>
    </w:p>
    <w:p w14:paraId="196CBDA1" w14:textId="77777777" w:rsidR="00D66D5C" w:rsidRDefault="00D66D5C" w:rsidP="00D66D5C"/>
    <w:tbl>
      <w:tblPr>
        <w:tblStyle w:val="TableGrid"/>
        <w:tblW w:w="8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26"/>
        <w:gridCol w:w="926"/>
        <w:gridCol w:w="1125"/>
        <w:gridCol w:w="926"/>
        <w:gridCol w:w="926"/>
        <w:gridCol w:w="927"/>
      </w:tblGrid>
      <w:tr w:rsidR="00D66D5C" w:rsidRPr="0006740B" w14:paraId="158D9D5F" w14:textId="77777777" w:rsidTr="005520E6">
        <w:trPr>
          <w:trHeight w:val="430"/>
        </w:trPr>
        <w:tc>
          <w:tcPr>
            <w:tcW w:w="2552" w:type="dxa"/>
            <w:tcBorders>
              <w:top w:val="single" w:sz="4" w:space="0" w:color="auto"/>
            </w:tcBorders>
          </w:tcPr>
          <w:p w14:paraId="3193FB67" w14:textId="77777777" w:rsidR="00D66D5C" w:rsidRPr="0006740B" w:rsidRDefault="00D66D5C" w:rsidP="00676C1D">
            <w:pPr>
              <w:rPr>
                <w:rFonts w:ascii="Arial" w:hAnsi="Arial" w:cs="Arial"/>
                <w:sz w:val="16"/>
                <w:szCs w:val="16"/>
              </w:rPr>
            </w:pPr>
          </w:p>
        </w:tc>
        <w:tc>
          <w:tcPr>
            <w:tcW w:w="5756" w:type="dxa"/>
            <w:gridSpan w:val="6"/>
            <w:tcBorders>
              <w:top w:val="single" w:sz="4" w:space="0" w:color="auto"/>
            </w:tcBorders>
            <w:vAlign w:val="center"/>
          </w:tcPr>
          <w:p w14:paraId="15205C9D" w14:textId="77777777" w:rsidR="00D66D5C" w:rsidRPr="0006740B" w:rsidRDefault="00D66D5C" w:rsidP="005520E6">
            <w:pPr>
              <w:jc w:val="center"/>
              <w:rPr>
                <w:rFonts w:ascii="Arial" w:hAnsi="Arial" w:cs="Arial"/>
                <w:sz w:val="16"/>
                <w:szCs w:val="16"/>
              </w:rPr>
            </w:pPr>
            <w:r>
              <w:rPr>
                <w:rFonts w:ascii="Arial" w:hAnsi="Arial" w:cs="Arial"/>
                <w:sz w:val="16"/>
                <w:szCs w:val="16"/>
              </w:rPr>
              <w:t>Event Rates</w:t>
            </w:r>
          </w:p>
        </w:tc>
      </w:tr>
      <w:tr w:rsidR="00D66D5C" w:rsidRPr="0006740B" w14:paraId="68343180" w14:textId="77777777" w:rsidTr="00676C1D">
        <w:trPr>
          <w:trHeight w:val="386"/>
        </w:trPr>
        <w:tc>
          <w:tcPr>
            <w:tcW w:w="2552" w:type="dxa"/>
          </w:tcPr>
          <w:p w14:paraId="74DB1109" w14:textId="77777777" w:rsidR="00D66D5C" w:rsidRPr="0006740B" w:rsidRDefault="00D66D5C" w:rsidP="00676C1D">
            <w:pPr>
              <w:rPr>
                <w:rFonts w:ascii="Arial" w:hAnsi="Arial" w:cs="Arial"/>
                <w:sz w:val="16"/>
                <w:szCs w:val="16"/>
              </w:rPr>
            </w:pPr>
            <w:r>
              <w:rPr>
                <w:rFonts w:ascii="Arial" w:hAnsi="Arial" w:cs="Arial"/>
                <w:sz w:val="16"/>
                <w:szCs w:val="16"/>
              </w:rPr>
              <w:t>Endpoint</w:t>
            </w:r>
          </w:p>
        </w:tc>
        <w:tc>
          <w:tcPr>
            <w:tcW w:w="2977" w:type="dxa"/>
            <w:gridSpan w:val="3"/>
          </w:tcPr>
          <w:p w14:paraId="13298A12" w14:textId="77777777" w:rsidR="00D66D5C" w:rsidRPr="0006740B" w:rsidRDefault="00D66D5C" w:rsidP="00676C1D">
            <w:pPr>
              <w:jc w:val="center"/>
              <w:rPr>
                <w:rFonts w:ascii="Arial" w:hAnsi="Arial" w:cs="Arial"/>
                <w:sz w:val="16"/>
                <w:szCs w:val="16"/>
              </w:rPr>
            </w:pPr>
            <w:r>
              <w:rPr>
                <w:rFonts w:ascii="Arial" w:hAnsi="Arial" w:cs="Arial"/>
                <w:sz w:val="16"/>
                <w:szCs w:val="16"/>
              </w:rPr>
              <w:t>1 year</w:t>
            </w:r>
          </w:p>
        </w:tc>
        <w:tc>
          <w:tcPr>
            <w:tcW w:w="2779" w:type="dxa"/>
            <w:gridSpan w:val="3"/>
          </w:tcPr>
          <w:p w14:paraId="3BA29B7F" w14:textId="77777777" w:rsidR="00D66D5C" w:rsidRPr="0006740B" w:rsidRDefault="00D66D5C" w:rsidP="00676C1D">
            <w:pPr>
              <w:jc w:val="center"/>
              <w:rPr>
                <w:rFonts w:ascii="Arial" w:hAnsi="Arial" w:cs="Arial"/>
                <w:sz w:val="16"/>
                <w:szCs w:val="16"/>
              </w:rPr>
            </w:pPr>
            <w:r>
              <w:rPr>
                <w:rFonts w:ascii="Arial" w:hAnsi="Arial" w:cs="Arial"/>
                <w:sz w:val="16"/>
                <w:szCs w:val="16"/>
              </w:rPr>
              <w:t>5 years</w:t>
            </w:r>
          </w:p>
        </w:tc>
      </w:tr>
      <w:tr w:rsidR="00D66D5C" w:rsidRPr="0006740B" w14:paraId="26CA7599" w14:textId="77777777" w:rsidTr="00676C1D">
        <w:trPr>
          <w:trHeight w:val="474"/>
        </w:trPr>
        <w:tc>
          <w:tcPr>
            <w:tcW w:w="2552" w:type="dxa"/>
            <w:tcBorders>
              <w:bottom w:val="single" w:sz="4" w:space="0" w:color="auto"/>
            </w:tcBorders>
          </w:tcPr>
          <w:p w14:paraId="355BD796" w14:textId="77777777" w:rsidR="00D66D5C" w:rsidRPr="0006740B" w:rsidRDefault="00D66D5C" w:rsidP="00676C1D">
            <w:pPr>
              <w:rPr>
                <w:rFonts w:ascii="Arial" w:hAnsi="Arial" w:cs="Arial"/>
                <w:sz w:val="16"/>
                <w:szCs w:val="16"/>
              </w:rPr>
            </w:pPr>
          </w:p>
        </w:tc>
        <w:tc>
          <w:tcPr>
            <w:tcW w:w="926" w:type="dxa"/>
            <w:tcBorders>
              <w:bottom w:val="single" w:sz="4" w:space="0" w:color="auto"/>
            </w:tcBorders>
          </w:tcPr>
          <w:p w14:paraId="1F6A7866" w14:textId="77777777" w:rsidR="00D66D5C" w:rsidRDefault="00D66D5C" w:rsidP="00676C1D">
            <w:pPr>
              <w:jc w:val="center"/>
              <w:rPr>
                <w:rFonts w:ascii="Arial" w:hAnsi="Arial" w:cs="Arial"/>
                <w:sz w:val="16"/>
                <w:szCs w:val="16"/>
              </w:rPr>
            </w:pPr>
            <w:r>
              <w:rPr>
                <w:rFonts w:ascii="Arial" w:hAnsi="Arial" w:cs="Arial"/>
                <w:sz w:val="16"/>
                <w:szCs w:val="16"/>
              </w:rPr>
              <w:t>CABG</w:t>
            </w:r>
          </w:p>
          <w:p w14:paraId="5299B1E7" w14:textId="77777777" w:rsidR="00D66D5C" w:rsidRPr="0006740B" w:rsidRDefault="00D66D5C" w:rsidP="00676C1D">
            <w:pPr>
              <w:jc w:val="center"/>
              <w:rPr>
                <w:rFonts w:ascii="Arial" w:hAnsi="Arial" w:cs="Arial"/>
                <w:sz w:val="16"/>
                <w:szCs w:val="16"/>
              </w:rPr>
            </w:pPr>
            <w:r>
              <w:rPr>
                <w:rFonts w:ascii="Arial" w:hAnsi="Arial" w:cs="Arial"/>
                <w:sz w:val="16"/>
                <w:szCs w:val="16"/>
              </w:rPr>
              <w:t>(N=897)</w:t>
            </w:r>
          </w:p>
        </w:tc>
        <w:tc>
          <w:tcPr>
            <w:tcW w:w="926" w:type="dxa"/>
            <w:tcBorders>
              <w:bottom w:val="single" w:sz="4" w:space="0" w:color="auto"/>
            </w:tcBorders>
          </w:tcPr>
          <w:p w14:paraId="6D4AC461" w14:textId="77777777" w:rsidR="00D66D5C" w:rsidRDefault="00D66D5C" w:rsidP="00676C1D">
            <w:pPr>
              <w:jc w:val="center"/>
              <w:rPr>
                <w:rFonts w:ascii="Arial" w:hAnsi="Arial" w:cs="Arial"/>
                <w:sz w:val="16"/>
                <w:szCs w:val="16"/>
              </w:rPr>
            </w:pPr>
            <w:r>
              <w:rPr>
                <w:rFonts w:ascii="Arial" w:hAnsi="Arial" w:cs="Arial"/>
                <w:sz w:val="16"/>
                <w:szCs w:val="16"/>
              </w:rPr>
              <w:t>DES</w:t>
            </w:r>
          </w:p>
          <w:p w14:paraId="685CB8CB" w14:textId="77777777" w:rsidR="00D66D5C" w:rsidRPr="0006740B" w:rsidRDefault="00D66D5C" w:rsidP="00676C1D">
            <w:pPr>
              <w:jc w:val="center"/>
              <w:rPr>
                <w:rFonts w:ascii="Arial" w:hAnsi="Arial" w:cs="Arial"/>
                <w:sz w:val="16"/>
                <w:szCs w:val="16"/>
              </w:rPr>
            </w:pPr>
            <w:r>
              <w:rPr>
                <w:rFonts w:ascii="Arial" w:hAnsi="Arial" w:cs="Arial"/>
                <w:sz w:val="16"/>
                <w:szCs w:val="16"/>
              </w:rPr>
              <w:t>(N=903)</w:t>
            </w:r>
          </w:p>
        </w:tc>
        <w:tc>
          <w:tcPr>
            <w:tcW w:w="1125" w:type="dxa"/>
            <w:tcBorders>
              <w:bottom w:val="single" w:sz="4" w:space="0" w:color="auto"/>
            </w:tcBorders>
          </w:tcPr>
          <w:p w14:paraId="482A31D1" w14:textId="77777777" w:rsidR="00D66D5C" w:rsidRPr="0006740B" w:rsidRDefault="00D66D5C" w:rsidP="00676C1D">
            <w:pPr>
              <w:rPr>
                <w:rFonts w:ascii="Arial" w:hAnsi="Arial" w:cs="Arial"/>
                <w:sz w:val="16"/>
                <w:szCs w:val="16"/>
              </w:rPr>
            </w:pPr>
            <w:r>
              <w:rPr>
                <w:rFonts w:ascii="Arial" w:hAnsi="Arial" w:cs="Arial"/>
                <w:sz w:val="16"/>
                <w:szCs w:val="16"/>
              </w:rPr>
              <w:t>P-value</w:t>
            </w:r>
          </w:p>
        </w:tc>
        <w:tc>
          <w:tcPr>
            <w:tcW w:w="926" w:type="dxa"/>
            <w:tcBorders>
              <w:bottom w:val="single" w:sz="4" w:space="0" w:color="auto"/>
            </w:tcBorders>
          </w:tcPr>
          <w:p w14:paraId="15C5F240" w14:textId="77777777" w:rsidR="00D66D5C" w:rsidRDefault="00D66D5C" w:rsidP="00676C1D">
            <w:pPr>
              <w:jc w:val="center"/>
              <w:rPr>
                <w:rFonts w:ascii="Arial" w:hAnsi="Arial" w:cs="Arial"/>
                <w:sz w:val="16"/>
                <w:szCs w:val="16"/>
              </w:rPr>
            </w:pPr>
            <w:r>
              <w:rPr>
                <w:rFonts w:ascii="Arial" w:hAnsi="Arial" w:cs="Arial"/>
                <w:sz w:val="16"/>
                <w:szCs w:val="16"/>
              </w:rPr>
              <w:t>CABG</w:t>
            </w:r>
          </w:p>
          <w:p w14:paraId="65EB3420" w14:textId="77777777" w:rsidR="00D66D5C" w:rsidRPr="0006740B" w:rsidRDefault="00D66D5C" w:rsidP="00676C1D">
            <w:pPr>
              <w:jc w:val="center"/>
              <w:rPr>
                <w:rFonts w:ascii="Arial" w:hAnsi="Arial" w:cs="Arial"/>
                <w:sz w:val="16"/>
                <w:szCs w:val="16"/>
              </w:rPr>
            </w:pPr>
            <w:r>
              <w:rPr>
                <w:rFonts w:ascii="Arial" w:hAnsi="Arial" w:cs="Arial"/>
                <w:sz w:val="16"/>
                <w:szCs w:val="16"/>
              </w:rPr>
              <w:t>(N=897)</w:t>
            </w:r>
          </w:p>
        </w:tc>
        <w:tc>
          <w:tcPr>
            <w:tcW w:w="926" w:type="dxa"/>
            <w:tcBorders>
              <w:bottom w:val="single" w:sz="4" w:space="0" w:color="auto"/>
            </w:tcBorders>
          </w:tcPr>
          <w:p w14:paraId="0B3B9648" w14:textId="77777777" w:rsidR="00D66D5C" w:rsidRDefault="00D66D5C" w:rsidP="00676C1D">
            <w:pPr>
              <w:jc w:val="center"/>
              <w:rPr>
                <w:rFonts w:ascii="Arial" w:hAnsi="Arial" w:cs="Arial"/>
                <w:sz w:val="16"/>
                <w:szCs w:val="16"/>
              </w:rPr>
            </w:pPr>
            <w:r>
              <w:rPr>
                <w:rFonts w:ascii="Arial" w:hAnsi="Arial" w:cs="Arial"/>
                <w:sz w:val="16"/>
                <w:szCs w:val="16"/>
              </w:rPr>
              <w:t>DES</w:t>
            </w:r>
          </w:p>
          <w:p w14:paraId="0800F5CB" w14:textId="77777777" w:rsidR="00D66D5C" w:rsidRPr="0006740B" w:rsidRDefault="00D66D5C" w:rsidP="00676C1D">
            <w:pPr>
              <w:jc w:val="center"/>
              <w:rPr>
                <w:rFonts w:ascii="Arial" w:hAnsi="Arial" w:cs="Arial"/>
                <w:sz w:val="16"/>
                <w:szCs w:val="16"/>
              </w:rPr>
            </w:pPr>
            <w:r>
              <w:rPr>
                <w:rFonts w:ascii="Arial" w:hAnsi="Arial" w:cs="Arial"/>
                <w:sz w:val="16"/>
                <w:szCs w:val="16"/>
              </w:rPr>
              <w:t>(N=903)</w:t>
            </w:r>
          </w:p>
        </w:tc>
        <w:tc>
          <w:tcPr>
            <w:tcW w:w="927" w:type="dxa"/>
            <w:tcBorders>
              <w:bottom w:val="single" w:sz="4" w:space="0" w:color="auto"/>
            </w:tcBorders>
          </w:tcPr>
          <w:p w14:paraId="27E2119D" w14:textId="77777777" w:rsidR="00D66D5C" w:rsidRPr="0006740B" w:rsidRDefault="00D66D5C" w:rsidP="00676C1D">
            <w:pPr>
              <w:rPr>
                <w:rFonts w:ascii="Arial" w:hAnsi="Arial" w:cs="Arial"/>
                <w:sz w:val="16"/>
                <w:szCs w:val="16"/>
              </w:rPr>
            </w:pPr>
            <w:r>
              <w:rPr>
                <w:rFonts w:ascii="Arial" w:hAnsi="Arial" w:cs="Arial"/>
                <w:sz w:val="16"/>
                <w:szCs w:val="16"/>
              </w:rPr>
              <w:t>P-value</w:t>
            </w:r>
          </w:p>
        </w:tc>
      </w:tr>
      <w:tr w:rsidR="00D66D5C" w:rsidRPr="0006740B" w14:paraId="587027CD" w14:textId="77777777" w:rsidTr="00D66D5C">
        <w:trPr>
          <w:trHeight w:val="340"/>
        </w:trPr>
        <w:tc>
          <w:tcPr>
            <w:tcW w:w="2552" w:type="dxa"/>
            <w:tcBorders>
              <w:top w:val="single" w:sz="4" w:space="0" w:color="auto"/>
            </w:tcBorders>
            <w:vAlign w:val="center"/>
          </w:tcPr>
          <w:p w14:paraId="400E45F3" w14:textId="77777777" w:rsidR="00D66D5C" w:rsidRPr="0006740B" w:rsidRDefault="00D66D5C" w:rsidP="00676C1D">
            <w:pPr>
              <w:rPr>
                <w:rFonts w:ascii="Arial" w:hAnsi="Arial" w:cs="Arial"/>
                <w:sz w:val="16"/>
                <w:szCs w:val="16"/>
                <w:vertAlign w:val="superscript"/>
              </w:rPr>
            </w:pPr>
            <w:r w:rsidRPr="0006740B">
              <w:rPr>
                <w:rFonts w:ascii="Arial" w:hAnsi="Arial" w:cs="Arial"/>
                <w:sz w:val="16"/>
                <w:szCs w:val="16"/>
              </w:rPr>
              <w:t>MACCE composite</w:t>
            </w:r>
            <w:r w:rsidRPr="0006740B">
              <w:rPr>
                <w:rFonts w:ascii="Arial" w:hAnsi="Arial" w:cs="Arial"/>
                <w:sz w:val="16"/>
                <w:szCs w:val="16"/>
                <w:vertAlign w:val="superscript"/>
              </w:rPr>
              <w:t>*</w:t>
            </w:r>
          </w:p>
        </w:tc>
        <w:tc>
          <w:tcPr>
            <w:tcW w:w="926" w:type="dxa"/>
            <w:tcBorders>
              <w:top w:val="single" w:sz="4" w:space="0" w:color="auto"/>
            </w:tcBorders>
            <w:vAlign w:val="center"/>
          </w:tcPr>
          <w:p w14:paraId="7E9E4D2C"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12.1%</w:t>
            </w:r>
          </w:p>
        </w:tc>
        <w:tc>
          <w:tcPr>
            <w:tcW w:w="926" w:type="dxa"/>
            <w:tcBorders>
              <w:top w:val="single" w:sz="4" w:space="0" w:color="auto"/>
            </w:tcBorders>
            <w:vAlign w:val="center"/>
          </w:tcPr>
          <w:p w14:paraId="1A037F48"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17.8%</w:t>
            </w:r>
          </w:p>
        </w:tc>
        <w:tc>
          <w:tcPr>
            <w:tcW w:w="1125" w:type="dxa"/>
            <w:tcBorders>
              <w:top w:val="single" w:sz="4" w:space="0" w:color="auto"/>
            </w:tcBorders>
            <w:vAlign w:val="center"/>
          </w:tcPr>
          <w:p w14:paraId="1336AF05" w14:textId="77777777" w:rsidR="00D66D5C" w:rsidRPr="0006740B" w:rsidRDefault="00D66D5C" w:rsidP="00676C1D">
            <w:pPr>
              <w:rPr>
                <w:rFonts w:ascii="Arial" w:hAnsi="Arial" w:cs="Arial"/>
                <w:sz w:val="16"/>
                <w:szCs w:val="16"/>
              </w:rPr>
            </w:pPr>
            <w:r w:rsidRPr="0006740B">
              <w:rPr>
                <w:rFonts w:ascii="Arial" w:hAnsi="Arial" w:cs="Arial"/>
                <w:sz w:val="16"/>
                <w:szCs w:val="16"/>
              </w:rPr>
              <w:t>0.002</w:t>
            </w:r>
          </w:p>
        </w:tc>
        <w:tc>
          <w:tcPr>
            <w:tcW w:w="926" w:type="dxa"/>
            <w:tcBorders>
              <w:top w:val="single" w:sz="4" w:space="0" w:color="auto"/>
            </w:tcBorders>
            <w:vAlign w:val="center"/>
          </w:tcPr>
          <w:p w14:paraId="33E51FB2"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26.9%</w:t>
            </w:r>
          </w:p>
        </w:tc>
        <w:tc>
          <w:tcPr>
            <w:tcW w:w="926" w:type="dxa"/>
            <w:tcBorders>
              <w:top w:val="single" w:sz="4" w:space="0" w:color="auto"/>
            </w:tcBorders>
            <w:vAlign w:val="center"/>
          </w:tcPr>
          <w:p w14:paraId="77FDB113"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37.3%</w:t>
            </w:r>
          </w:p>
        </w:tc>
        <w:tc>
          <w:tcPr>
            <w:tcW w:w="927" w:type="dxa"/>
            <w:tcBorders>
              <w:top w:val="single" w:sz="4" w:space="0" w:color="auto"/>
            </w:tcBorders>
            <w:vAlign w:val="center"/>
          </w:tcPr>
          <w:p w14:paraId="5A7F15B2" w14:textId="77777777" w:rsidR="00D66D5C" w:rsidRPr="0006740B" w:rsidRDefault="00D66D5C" w:rsidP="00676C1D">
            <w:pPr>
              <w:rPr>
                <w:rFonts w:ascii="Arial" w:hAnsi="Arial" w:cs="Arial"/>
                <w:sz w:val="16"/>
                <w:szCs w:val="16"/>
              </w:rPr>
            </w:pPr>
            <w:r w:rsidRPr="0006740B">
              <w:rPr>
                <w:rFonts w:ascii="Arial" w:hAnsi="Arial" w:cs="Arial"/>
                <w:sz w:val="16"/>
                <w:szCs w:val="16"/>
              </w:rPr>
              <w:t>&lt;0.0001</w:t>
            </w:r>
          </w:p>
        </w:tc>
      </w:tr>
      <w:tr w:rsidR="00D66D5C" w:rsidRPr="0006740B" w14:paraId="6A350BBE" w14:textId="77777777" w:rsidTr="00D66D5C">
        <w:trPr>
          <w:trHeight w:val="340"/>
        </w:trPr>
        <w:tc>
          <w:tcPr>
            <w:tcW w:w="2552" w:type="dxa"/>
            <w:vAlign w:val="center"/>
          </w:tcPr>
          <w:p w14:paraId="61B3D104" w14:textId="77777777" w:rsidR="00D66D5C" w:rsidRPr="0006740B" w:rsidRDefault="00D66D5C" w:rsidP="00676C1D">
            <w:pPr>
              <w:rPr>
                <w:rFonts w:ascii="Arial" w:hAnsi="Arial" w:cs="Arial"/>
                <w:sz w:val="16"/>
                <w:szCs w:val="16"/>
              </w:rPr>
            </w:pPr>
            <w:r w:rsidRPr="0006740B">
              <w:rPr>
                <w:rFonts w:ascii="Arial" w:hAnsi="Arial" w:cs="Arial"/>
                <w:sz w:val="16"/>
                <w:szCs w:val="16"/>
              </w:rPr>
              <w:t>Death</w:t>
            </w:r>
          </w:p>
        </w:tc>
        <w:tc>
          <w:tcPr>
            <w:tcW w:w="926" w:type="dxa"/>
            <w:vAlign w:val="center"/>
          </w:tcPr>
          <w:p w14:paraId="4A6675B9"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3.5%</w:t>
            </w:r>
          </w:p>
        </w:tc>
        <w:tc>
          <w:tcPr>
            <w:tcW w:w="926" w:type="dxa"/>
            <w:vAlign w:val="center"/>
          </w:tcPr>
          <w:p w14:paraId="57BF09EE"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4.4%</w:t>
            </w:r>
          </w:p>
        </w:tc>
        <w:tc>
          <w:tcPr>
            <w:tcW w:w="1125" w:type="dxa"/>
            <w:vAlign w:val="center"/>
          </w:tcPr>
          <w:p w14:paraId="56ECD37D" w14:textId="77777777" w:rsidR="00D66D5C" w:rsidRPr="0006740B" w:rsidRDefault="00D66D5C" w:rsidP="00676C1D">
            <w:pPr>
              <w:rPr>
                <w:rFonts w:ascii="Arial" w:hAnsi="Arial" w:cs="Arial"/>
                <w:sz w:val="16"/>
                <w:szCs w:val="16"/>
              </w:rPr>
            </w:pPr>
            <w:r w:rsidRPr="0006740B">
              <w:rPr>
                <w:rFonts w:ascii="Arial" w:hAnsi="Arial" w:cs="Arial"/>
                <w:sz w:val="16"/>
                <w:szCs w:val="16"/>
              </w:rPr>
              <w:t>0.37</w:t>
            </w:r>
          </w:p>
        </w:tc>
        <w:tc>
          <w:tcPr>
            <w:tcW w:w="926" w:type="dxa"/>
            <w:vAlign w:val="center"/>
          </w:tcPr>
          <w:p w14:paraId="567A4F0E"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11.4%</w:t>
            </w:r>
          </w:p>
        </w:tc>
        <w:tc>
          <w:tcPr>
            <w:tcW w:w="926" w:type="dxa"/>
            <w:vAlign w:val="center"/>
          </w:tcPr>
          <w:p w14:paraId="2D37B476"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13.9%</w:t>
            </w:r>
          </w:p>
        </w:tc>
        <w:tc>
          <w:tcPr>
            <w:tcW w:w="927" w:type="dxa"/>
            <w:vAlign w:val="center"/>
          </w:tcPr>
          <w:p w14:paraId="4D12EDAE" w14:textId="77777777" w:rsidR="00D66D5C" w:rsidRPr="0006740B" w:rsidRDefault="00D66D5C" w:rsidP="00676C1D">
            <w:pPr>
              <w:rPr>
                <w:rFonts w:ascii="Arial" w:hAnsi="Arial" w:cs="Arial"/>
                <w:sz w:val="16"/>
                <w:szCs w:val="16"/>
              </w:rPr>
            </w:pPr>
            <w:r w:rsidRPr="0006740B">
              <w:rPr>
                <w:rFonts w:ascii="Arial" w:hAnsi="Arial" w:cs="Arial"/>
                <w:sz w:val="16"/>
                <w:szCs w:val="16"/>
              </w:rPr>
              <w:t>0.10</w:t>
            </w:r>
          </w:p>
        </w:tc>
      </w:tr>
      <w:tr w:rsidR="00D66D5C" w:rsidRPr="0006740B" w14:paraId="5F97C33C" w14:textId="77777777" w:rsidTr="00D66D5C">
        <w:trPr>
          <w:trHeight w:val="340"/>
        </w:trPr>
        <w:tc>
          <w:tcPr>
            <w:tcW w:w="2552" w:type="dxa"/>
            <w:vAlign w:val="center"/>
          </w:tcPr>
          <w:p w14:paraId="10106892" w14:textId="77777777" w:rsidR="00D66D5C" w:rsidRPr="0006740B" w:rsidRDefault="00D66D5C" w:rsidP="00676C1D">
            <w:pPr>
              <w:rPr>
                <w:rFonts w:ascii="Arial" w:hAnsi="Arial" w:cs="Arial"/>
                <w:sz w:val="16"/>
                <w:szCs w:val="16"/>
              </w:rPr>
            </w:pPr>
            <w:r w:rsidRPr="0006740B">
              <w:rPr>
                <w:rFonts w:ascii="Arial" w:hAnsi="Arial" w:cs="Arial"/>
                <w:sz w:val="16"/>
                <w:szCs w:val="16"/>
              </w:rPr>
              <w:t>MI</w:t>
            </w:r>
          </w:p>
        </w:tc>
        <w:tc>
          <w:tcPr>
            <w:tcW w:w="926" w:type="dxa"/>
            <w:vAlign w:val="center"/>
          </w:tcPr>
          <w:p w14:paraId="608855C5"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3.3%</w:t>
            </w:r>
          </w:p>
        </w:tc>
        <w:tc>
          <w:tcPr>
            <w:tcW w:w="926" w:type="dxa"/>
            <w:vAlign w:val="center"/>
          </w:tcPr>
          <w:p w14:paraId="694F5143"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4.8%</w:t>
            </w:r>
          </w:p>
        </w:tc>
        <w:tc>
          <w:tcPr>
            <w:tcW w:w="1125" w:type="dxa"/>
            <w:vAlign w:val="center"/>
          </w:tcPr>
          <w:p w14:paraId="22ED6A5B" w14:textId="77777777" w:rsidR="00D66D5C" w:rsidRPr="0006740B" w:rsidRDefault="00D66D5C" w:rsidP="00676C1D">
            <w:pPr>
              <w:rPr>
                <w:rFonts w:ascii="Arial" w:hAnsi="Arial" w:cs="Arial"/>
                <w:sz w:val="16"/>
                <w:szCs w:val="16"/>
              </w:rPr>
            </w:pPr>
            <w:r w:rsidRPr="0006740B">
              <w:rPr>
                <w:rFonts w:ascii="Arial" w:hAnsi="Arial" w:cs="Arial"/>
                <w:sz w:val="16"/>
                <w:szCs w:val="16"/>
              </w:rPr>
              <w:t>0.11</w:t>
            </w:r>
          </w:p>
        </w:tc>
        <w:tc>
          <w:tcPr>
            <w:tcW w:w="926" w:type="dxa"/>
            <w:vAlign w:val="center"/>
          </w:tcPr>
          <w:p w14:paraId="0915F7EF"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3.8%</w:t>
            </w:r>
          </w:p>
        </w:tc>
        <w:tc>
          <w:tcPr>
            <w:tcW w:w="926" w:type="dxa"/>
            <w:vAlign w:val="center"/>
          </w:tcPr>
          <w:p w14:paraId="2AD53B41"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9.7%</w:t>
            </w:r>
          </w:p>
        </w:tc>
        <w:tc>
          <w:tcPr>
            <w:tcW w:w="927" w:type="dxa"/>
            <w:vAlign w:val="center"/>
          </w:tcPr>
          <w:p w14:paraId="514F05A1" w14:textId="77777777" w:rsidR="00D66D5C" w:rsidRPr="0006740B" w:rsidRDefault="00D66D5C" w:rsidP="00676C1D">
            <w:pPr>
              <w:rPr>
                <w:rFonts w:ascii="Arial" w:hAnsi="Arial" w:cs="Arial"/>
                <w:sz w:val="16"/>
                <w:szCs w:val="16"/>
              </w:rPr>
            </w:pPr>
            <w:r w:rsidRPr="0006740B">
              <w:rPr>
                <w:rFonts w:ascii="Arial" w:hAnsi="Arial" w:cs="Arial"/>
                <w:sz w:val="16"/>
                <w:szCs w:val="16"/>
              </w:rPr>
              <w:t>&lt;0.0001</w:t>
            </w:r>
          </w:p>
        </w:tc>
      </w:tr>
      <w:tr w:rsidR="00D66D5C" w:rsidRPr="0006740B" w14:paraId="385FE25E" w14:textId="77777777" w:rsidTr="00D66D5C">
        <w:trPr>
          <w:trHeight w:val="340"/>
        </w:trPr>
        <w:tc>
          <w:tcPr>
            <w:tcW w:w="2552" w:type="dxa"/>
            <w:vAlign w:val="center"/>
          </w:tcPr>
          <w:p w14:paraId="5C29B527" w14:textId="77777777" w:rsidR="00D66D5C" w:rsidRPr="0006740B" w:rsidRDefault="00D66D5C" w:rsidP="00676C1D">
            <w:pPr>
              <w:rPr>
                <w:rFonts w:ascii="Arial" w:hAnsi="Arial" w:cs="Arial"/>
                <w:sz w:val="16"/>
                <w:szCs w:val="16"/>
              </w:rPr>
            </w:pPr>
            <w:r w:rsidRPr="0006740B">
              <w:rPr>
                <w:rFonts w:ascii="Arial" w:hAnsi="Arial" w:cs="Arial"/>
                <w:sz w:val="16"/>
                <w:szCs w:val="16"/>
              </w:rPr>
              <w:t>Stroke</w:t>
            </w:r>
          </w:p>
        </w:tc>
        <w:tc>
          <w:tcPr>
            <w:tcW w:w="926" w:type="dxa"/>
            <w:vAlign w:val="center"/>
          </w:tcPr>
          <w:p w14:paraId="471789A3"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2.2%</w:t>
            </w:r>
          </w:p>
        </w:tc>
        <w:tc>
          <w:tcPr>
            <w:tcW w:w="926" w:type="dxa"/>
            <w:vAlign w:val="center"/>
          </w:tcPr>
          <w:p w14:paraId="6D07FE57"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0.6%</w:t>
            </w:r>
          </w:p>
        </w:tc>
        <w:tc>
          <w:tcPr>
            <w:tcW w:w="1125" w:type="dxa"/>
            <w:vAlign w:val="center"/>
          </w:tcPr>
          <w:p w14:paraId="66B53E6C" w14:textId="77777777" w:rsidR="00D66D5C" w:rsidRPr="0006740B" w:rsidRDefault="00D66D5C" w:rsidP="00676C1D">
            <w:pPr>
              <w:rPr>
                <w:rFonts w:ascii="Arial" w:hAnsi="Arial" w:cs="Arial"/>
                <w:sz w:val="16"/>
                <w:szCs w:val="16"/>
              </w:rPr>
            </w:pPr>
            <w:r w:rsidRPr="0006740B">
              <w:rPr>
                <w:rFonts w:ascii="Arial" w:hAnsi="Arial" w:cs="Arial"/>
                <w:sz w:val="16"/>
                <w:szCs w:val="16"/>
              </w:rPr>
              <w:t>0.003</w:t>
            </w:r>
          </w:p>
        </w:tc>
        <w:tc>
          <w:tcPr>
            <w:tcW w:w="926" w:type="dxa"/>
            <w:vAlign w:val="center"/>
          </w:tcPr>
          <w:p w14:paraId="5228A7F3"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2.4%</w:t>
            </w:r>
          </w:p>
        </w:tc>
        <w:tc>
          <w:tcPr>
            <w:tcW w:w="926" w:type="dxa"/>
            <w:vAlign w:val="center"/>
          </w:tcPr>
          <w:p w14:paraId="7CBFF2A2"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3.7%</w:t>
            </w:r>
          </w:p>
        </w:tc>
        <w:tc>
          <w:tcPr>
            <w:tcW w:w="927" w:type="dxa"/>
            <w:vAlign w:val="center"/>
          </w:tcPr>
          <w:p w14:paraId="6ACC3D7D" w14:textId="77777777" w:rsidR="00D66D5C" w:rsidRPr="0006740B" w:rsidRDefault="00D66D5C" w:rsidP="00676C1D">
            <w:pPr>
              <w:rPr>
                <w:rFonts w:ascii="Arial" w:hAnsi="Arial" w:cs="Arial"/>
                <w:sz w:val="16"/>
                <w:szCs w:val="16"/>
              </w:rPr>
            </w:pPr>
            <w:r w:rsidRPr="0006740B">
              <w:rPr>
                <w:rFonts w:ascii="Arial" w:hAnsi="Arial" w:cs="Arial"/>
                <w:sz w:val="16"/>
                <w:szCs w:val="16"/>
              </w:rPr>
              <w:t>0.09</w:t>
            </w:r>
          </w:p>
        </w:tc>
      </w:tr>
      <w:tr w:rsidR="00D66D5C" w:rsidRPr="0006740B" w14:paraId="38FFC227" w14:textId="77777777" w:rsidTr="00D66D5C">
        <w:trPr>
          <w:trHeight w:val="340"/>
        </w:trPr>
        <w:tc>
          <w:tcPr>
            <w:tcW w:w="2552" w:type="dxa"/>
            <w:vAlign w:val="center"/>
          </w:tcPr>
          <w:p w14:paraId="517BF0A9" w14:textId="77777777" w:rsidR="00D66D5C" w:rsidRPr="0006740B" w:rsidRDefault="00D66D5C" w:rsidP="00676C1D">
            <w:pPr>
              <w:rPr>
                <w:rFonts w:ascii="Arial" w:hAnsi="Arial" w:cs="Arial"/>
                <w:sz w:val="16"/>
                <w:szCs w:val="16"/>
              </w:rPr>
            </w:pPr>
            <w:r w:rsidRPr="0006740B">
              <w:rPr>
                <w:rFonts w:ascii="Arial" w:hAnsi="Arial" w:cs="Arial"/>
                <w:sz w:val="16"/>
                <w:szCs w:val="16"/>
              </w:rPr>
              <w:t>Death/MI/stroke</w:t>
            </w:r>
          </w:p>
        </w:tc>
        <w:tc>
          <w:tcPr>
            <w:tcW w:w="926" w:type="dxa"/>
            <w:vAlign w:val="center"/>
          </w:tcPr>
          <w:p w14:paraId="1ACC6C4C"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7.6%</w:t>
            </w:r>
          </w:p>
        </w:tc>
        <w:tc>
          <w:tcPr>
            <w:tcW w:w="926" w:type="dxa"/>
            <w:vAlign w:val="center"/>
          </w:tcPr>
          <w:p w14:paraId="2F635E7A"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7.5%</w:t>
            </w:r>
          </w:p>
        </w:tc>
        <w:tc>
          <w:tcPr>
            <w:tcW w:w="1125" w:type="dxa"/>
            <w:vAlign w:val="center"/>
          </w:tcPr>
          <w:p w14:paraId="122C3102" w14:textId="77777777" w:rsidR="00D66D5C" w:rsidRPr="0006740B" w:rsidRDefault="00D66D5C" w:rsidP="00676C1D">
            <w:pPr>
              <w:rPr>
                <w:rFonts w:ascii="Arial" w:hAnsi="Arial" w:cs="Arial"/>
                <w:sz w:val="16"/>
                <w:szCs w:val="16"/>
              </w:rPr>
            </w:pPr>
            <w:r w:rsidRPr="0006740B">
              <w:rPr>
                <w:rFonts w:ascii="Arial" w:hAnsi="Arial" w:cs="Arial"/>
                <w:sz w:val="16"/>
                <w:szCs w:val="16"/>
              </w:rPr>
              <w:t>0.98</w:t>
            </w:r>
          </w:p>
        </w:tc>
        <w:tc>
          <w:tcPr>
            <w:tcW w:w="926" w:type="dxa"/>
            <w:vAlign w:val="center"/>
          </w:tcPr>
          <w:p w14:paraId="4460E687"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16.7%</w:t>
            </w:r>
          </w:p>
        </w:tc>
        <w:tc>
          <w:tcPr>
            <w:tcW w:w="926" w:type="dxa"/>
            <w:vAlign w:val="center"/>
          </w:tcPr>
          <w:p w14:paraId="5478A9D9"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20.8%</w:t>
            </w:r>
          </w:p>
        </w:tc>
        <w:tc>
          <w:tcPr>
            <w:tcW w:w="927" w:type="dxa"/>
            <w:vAlign w:val="center"/>
          </w:tcPr>
          <w:p w14:paraId="3418DDBF" w14:textId="77777777" w:rsidR="00D66D5C" w:rsidRPr="0006740B" w:rsidRDefault="00D66D5C" w:rsidP="00676C1D">
            <w:pPr>
              <w:rPr>
                <w:rFonts w:ascii="Arial" w:hAnsi="Arial" w:cs="Arial"/>
                <w:sz w:val="16"/>
                <w:szCs w:val="16"/>
              </w:rPr>
            </w:pPr>
            <w:r w:rsidRPr="0006740B">
              <w:rPr>
                <w:rFonts w:ascii="Arial" w:hAnsi="Arial" w:cs="Arial"/>
                <w:sz w:val="16"/>
                <w:szCs w:val="16"/>
              </w:rPr>
              <w:t>0.03</w:t>
            </w:r>
          </w:p>
        </w:tc>
      </w:tr>
      <w:tr w:rsidR="00D66D5C" w:rsidRPr="0006740B" w14:paraId="0691F51B" w14:textId="77777777" w:rsidTr="00D66D5C">
        <w:trPr>
          <w:trHeight w:val="340"/>
        </w:trPr>
        <w:tc>
          <w:tcPr>
            <w:tcW w:w="2552" w:type="dxa"/>
            <w:vAlign w:val="center"/>
          </w:tcPr>
          <w:p w14:paraId="46C81CDF" w14:textId="77777777" w:rsidR="00D66D5C" w:rsidRPr="0006740B" w:rsidRDefault="00D66D5C" w:rsidP="00676C1D">
            <w:pPr>
              <w:rPr>
                <w:rFonts w:ascii="Arial" w:hAnsi="Arial" w:cs="Arial"/>
                <w:sz w:val="16"/>
                <w:szCs w:val="16"/>
              </w:rPr>
            </w:pPr>
            <w:r w:rsidRPr="0006740B">
              <w:rPr>
                <w:rFonts w:ascii="Arial" w:hAnsi="Arial" w:cs="Arial"/>
                <w:sz w:val="16"/>
                <w:szCs w:val="16"/>
              </w:rPr>
              <w:t>Repeat revascularisation</w:t>
            </w:r>
          </w:p>
        </w:tc>
        <w:tc>
          <w:tcPr>
            <w:tcW w:w="926" w:type="dxa"/>
            <w:vAlign w:val="center"/>
          </w:tcPr>
          <w:p w14:paraId="06087487"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5.9%</w:t>
            </w:r>
          </w:p>
        </w:tc>
        <w:tc>
          <w:tcPr>
            <w:tcW w:w="926" w:type="dxa"/>
            <w:vAlign w:val="center"/>
          </w:tcPr>
          <w:p w14:paraId="0D6B0689"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13.7%</w:t>
            </w:r>
          </w:p>
        </w:tc>
        <w:tc>
          <w:tcPr>
            <w:tcW w:w="1125" w:type="dxa"/>
            <w:vAlign w:val="center"/>
          </w:tcPr>
          <w:p w14:paraId="5DE65EAE" w14:textId="77777777" w:rsidR="00D66D5C" w:rsidRPr="0006740B" w:rsidRDefault="00D66D5C" w:rsidP="00676C1D">
            <w:pPr>
              <w:rPr>
                <w:rFonts w:ascii="Arial" w:hAnsi="Arial" w:cs="Arial"/>
                <w:sz w:val="16"/>
                <w:szCs w:val="16"/>
              </w:rPr>
            </w:pPr>
            <w:r w:rsidRPr="0006740B">
              <w:rPr>
                <w:rFonts w:ascii="Arial" w:hAnsi="Arial" w:cs="Arial"/>
                <w:sz w:val="16"/>
                <w:szCs w:val="16"/>
              </w:rPr>
              <w:t>&lt;0.001</w:t>
            </w:r>
          </w:p>
        </w:tc>
        <w:tc>
          <w:tcPr>
            <w:tcW w:w="926" w:type="dxa"/>
            <w:vAlign w:val="center"/>
          </w:tcPr>
          <w:p w14:paraId="69CB19CB"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13.7%</w:t>
            </w:r>
          </w:p>
        </w:tc>
        <w:tc>
          <w:tcPr>
            <w:tcW w:w="926" w:type="dxa"/>
            <w:vAlign w:val="center"/>
          </w:tcPr>
          <w:p w14:paraId="2FA95FC2"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25.9%</w:t>
            </w:r>
          </w:p>
        </w:tc>
        <w:tc>
          <w:tcPr>
            <w:tcW w:w="927" w:type="dxa"/>
            <w:vAlign w:val="center"/>
          </w:tcPr>
          <w:p w14:paraId="0FCB553E" w14:textId="77777777" w:rsidR="00D66D5C" w:rsidRPr="0006740B" w:rsidRDefault="00D66D5C" w:rsidP="00676C1D">
            <w:pPr>
              <w:rPr>
                <w:rFonts w:ascii="Arial" w:hAnsi="Arial" w:cs="Arial"/>
                <w:sz w:val="16"/>
                <w:szCs w:val="16"/>
              </w:rPr>
            </w:pPr>
            <w:r w:rsidRPr="0006740B">
              <w:rPr>
                <w:rFonts w:ascii="Arial" w:hAnsi="Arial" w:cs="Arial"/>
                <w:sz w:val="16"/>
                <w:szCs w:val="16"/>
              </w:rPr>
              <w:t>&lt;0.0001</w:t>
            </w:r>
          </w:p>
        </w:tc>
      </w:tr>
      <w:tr w:rsidR="00D66D5C" w:rsidRPr="0006740B" w14:paraId="3DFCD1C9" w14:textId="77777777" w:rsidTr="00D66D5C">
        <w:trPr>
          <w:trHeight w:val="340"/>
        </w:trPr>
        <w:tc>
          <w:tcPr>
            <w:tcW w:w="2552" w:type="dxa"/>
            <w:vAlign w:val="center"/>
          </w:tcPr>
          <w:p w14:paraId="2874CE86" w14:textId="77777777" w:rsidR="00D66D5C" w:rsidRPr="0006740B" w:rsidRDefault="00D66D5C" w:rsidP="00676C1D">
            <w:pPr>
              <w:ind w:left="284"/>
              <w:rPr>
                <w:rFonts w:ascii="Arial" w:hAnsi="Arial" w:cs="Arial"/>
                <w:sz w:val="16"/>
                <w:szCs w:val="16"/>
              </w:rPr>
            </w:pPr>
            <w:r w:rsidRPr="0006740B">
              <w:rPr>
                <w:rFonts w:ascii="Arial" w:hAnsi="Arial" w:cs="Arial"/>
                <w:sz w:val="16"/>
                <w:szCs w:val="16"/>
              </w:rPr>
              <w:t>PCI</w:t>
            </w:r>
          </w:p>
        </w:tc>
        <w:tc>
          <w:tcPr>
            <w:tcW w:w="926" w:type="dxa"/>
            <w:vAlign w:val="center"/>
          </w:tcPr>
          <w:p w14:paraId="2423A99F"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4.7%</w:t>
            </w:r>
          </w:p>
        </w:tc>
        <w:tc>
          <w:tcPr>
            <w:tcW w:w="926" w:type="dxa"/>
            <w:vAlign w:val="center"/>
          </w:tcPr>
          <w:p w14:paraId="072F026C"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11.4%</w:t>
            </w:r>
          </w:p>
        </w:tc>
        <w:tc>
          <w:tcPr>
            <w:tcW w:w="1125" w:type="dxa"/>
            <w:vAlign w:val="center"/>
          </w:tcPr>
          <w:p w14:paraId="317C8B8E" w14:textId="77777777" w:rsidR="00D66D5C" w:rsidRPr="0006740B" w:rsidRDefault="00D66D5C" w:rsidP="00676C1D">
            <w:pPr>
              <w:rPr>
                <w:rFonts w:ascii="Arial" w:hAnsi="Arial" w:cs="Arial"/>
                <w:sz w:val="16"/>
                <w:szCs w:val="16"/>
              </w:rPr>
            </w:pPr>
            <w:r w:rsidRPr="0006740B">
              <w:rPr>
                <w:rFonts w:ascii="Arial" w:hAnsi="Arial" w:cs="Arial"/>
                <w:sz w:val="16"/>
                <w:szCs w:val="16"/>
              </w:rPr>
              <w:t>&lt;0.001</w:t>
            </w:r>
          </w:p>
        </w:tc>
        <w:tc>
          <w:tcPr>
            <w:tcW w:w="926" w:type="dxa"/>
            <w:vAlign w:val="center"/>
          </w:tcPr>
          <w:p w14:paraId="12028168" w14:textId="77777777" w:rsidR="00D66D5C" w:rsidRPr="0006740B" w:rsidRDefault="00D66D5C" w:rsidP="00676C1D">
            <w:pPr>
              <w:jc w:val="center"/>
              <w:rPr>
                <w:rFonts w:ascii="Arial" w:hAnsi="Arial" w:cs="Arial"/>
                <w:sz w:val="16"/>
                <w:szCs w:val="16"/>
              </w:rPr>
            </w:pPr>
          </w:p>
        </w:tc>
        <w:tc>
          <w:tcPr>
            <w:tcW w:w="926" w:type="dxa"/>
            <w:vAlign w:val="center"/>
          </w:tcPr>
          <w:p w14:paraId="052B3CD0" w14:textId="77777777" w:rsidR="00D66D5C" w:rsidRPr="0006740B" w:rsidRDefault="00D66D5C" w:rsidP="00676C1D">
            <w:pPr>
              <w:jc w:val="center"/>
              <w:rPr>
                <w:rFonts w:ascii="Arial" w:hAnsi="Arial" w:cs="Arial"/>
                <w:sz w:val="16"/>
                <w:szCs w:val="16"/>
              </w:rPr>
            </w:pPr>
          </w:p>
        </w:tc>
        <w:tc>
          <w:tcPr>
            <w:tcW w:w="927" w:type="dxa"/>
            <w:vAlign w:val="center"/>
          </w:tcPr>
          <w:p w14:paraId="66C8BCB8" w14:textId="77777777" w:rsidR="00D66D5C" w:rsidRPr="0006740B" w:rsidRDefault="00D66D5C" w:rsidP="00676C1D">
            <w:pPr>
              <w:rPr>
                <w:rFonts w:ascii="Arial" w:hAnsi="Arial" w:cs="Arial"/>
                <w:sz w:val="16"/>
                <w:szCs w:val="16"/>
              </w:rPr>
            </w:pPr>
          </w:p>
        </w:tc>
      </w:tr>
      <w:tr w:rsidR="00D66D5C" w:rsidRPr="0006740B" w14:paraId="5B7CB2A5" w14:textId="77777777" w:rsidTr="00D66D5C">
        <w:trPr>
          <w:trHeight w:val="340"/>
        </w:trPr>
        <w:tc>
          <w:tcPr>
            <w:tcW w:w="2552" w:type="dxa"/>
            <w:tcBorders>
              <w:bottom w:val="single" w:sz="4" w:space="0" w:color="auto"/>
            </w:tcBorders>
            <w:vAlign w:val="center"/>
          </w:tcPr>
          <w:p w14:paraId="2708D7EC" w14:textId="77777777" w:rsidR="00D66D5C" w:rsidRPr="0006740B" w:rsidRDefault="00D66D5C" w:rsidP="00676C1D">
            <w:pPr>
              <w:ind w:left="284"/>
              <w:rPr>
                <w:rFonts w:ascii="Arial" w:hAnsi="Arial" w:cs="Arial"/>
                <w:sz w:val="16"/>
                <w:szCs w:val="16"/>
              </w:rPr>
            </w:pPr>
            <w:r w:rsidRPr="0006740B">
              <w:rPr>
                <w:rFonts w:ascii="Arial" w:hAnsi="Arial" w:cs="Arial"/>
                <w:sz w:val="16"/>
                <w:szCs w:val="16"/>
              </w:rPr>
              <w:t>CABG</w:t>
            </w:r>
          </w:p>
        </w:tc>
        <w:tc>
          <w:tcPr>
            <w:tcW w:w="926" w:type="dxa"/>
            <w:tcBorders>
              <w:bottom w:val="single" w:sz="4" w:space="0" w:color="auto"/>
            </w:tcBorders>
            <w:vAlign w:val="center"/>
          </w:tcPr>
          <w:p w14:paraId="195052A7"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1.3%</w:t>
            </w:r>
          </w:p>
        </w:tc>
        <w:tc>
          <w:tcPr>
            <w:tcW w:w="926" w:type="dxa"/>
            <w:tcBorders>
              <w:bottom w:val="single" w:sz="4" w:space="0" w:color="auto"/>
            </w:tcBorders>
            <w:vAlign w:val="center"/>
          </w:tcPr>
          <w:p w14:paraId="397F82F2" w14:textId="77777777" w:rsidR="00D66D5C" w:rsidRPr="0006740B" w:rsidRDefault="00D66D5C" w:rsidP="00676C1D">
            <w:pPr>
              <w:jc w:val="center"/>
              <w:rPr>
                <w:rFonts w:ascii="Arial" w:hAnsi="Arial" w:cs="Arial"/>
                <w:sz w:val="16"/>
                <w:szCs w:val="16"/>
              </w:rPr>
            </w:pPr>
            <w:r w:rsidRPr="0006740B">
              <w:rPr>
                <w:rFonts w:ascii="Arial" w:hAnsi="Arial" w:cs="Arial"/>
                <w:sz w:val="16"/>
                <w:szCs w:val="16"/>
              </w:rPr>
              <w:t>2.8%</w:t>
            </w:r>
          </w:p>
        </w:tc>
        <w:tc>
          <w:tcPr>
            <w:tcW w:w="1125" w:type="dxa"/>
            <w:tcBorders>
              <w:bottom w:val="single" w:sz="4" w:space="0" w:color="auto"/>
            </w:tcBorders>
            <w:vAlign w:val="center"/>
          </w:tcPr>
          <w:p w14:paraId="6BCF532E" w14:textId="77777777" w:rsidR="00D66D5C" w:rsidRPr="0006740B" w:rsidRDefault="00D66D5C" w:rsidP="00676C1D">
            <w:pPr>
              <w:rPr>
                <w:rFonts w:ascii="Arial" w:hAnsi="Arial" w:cs="Arial"/>
                <w:sz w:val="16"/>
                <w:szCs w:val="16"/>
              </w:rPr>
            </w:pPr>
            <w:r w:rsidRPr="0006740B">
              <w:rPr>
                <w:rFonts w:ascii="Arial" w:hAnsi="Arial" w:cs="Arial"/>
                <w:sz w:val="16"/>
                <w:szCs w:val="16"/>
              </w:rPr>
              <w:t>0.03</w:t>
            </w:r>
          </w:p>
        </w:tc>
        <w:tc>
          <w:tcPr>
            <w:tcW w:w="926" w:type="dxa"/>
            <w:tcBorders>
              <w:bottom w:val="single" w:sz="4" w:space="0" w:color="auto"/>
            </w:tcBorders>
            <w:vAlign w:val="center"/>
          </w:tcPr>
          <w:p w14:paraId="0BB700AD" w14:textId="77777777" w:rsidR="00D66D5C" w:rsidRPr="0006740B" w:rsidRDefault="00D66D5C" w:rsidP="00676C1D">
            <w:pPr>
              <w:jc w:val="center"/>
              <w:rPr>
                <w:rFonts w:ascii="Arial" w:hAnsi="Arial" w:cs="Arial"/>
                <w:sz w:val="16"/>
                <w:szCs w:val="16"/>
              </w:rPr>
            </w:pPr>
          </w:p>
        </w:tc>
        <w:tc>
          <w:tcPr>
            <w:tcW w:w="926" w:type="dxa"/>
            <w:tcBorders>
              <w:bottom w:val="single" w:sz="4" w:space="0" w:color="auto"/>
            </w:tcBorders>
            <w:vAlign w:val="center"/>
          </w:tcPr>
          <w:p w14:paraId="06A1B528" w14:textId="77777777" w:rsidR="00D66D5C" w:rsidRPr="0006740B" w:rsidRDefault="00D66D5C" w:rsidP="00676C1D">
            <w:pPr>
              <w:jc w:val="center"/>
              <w:rPr>
                <w:rFonts w:ascii="Arial" w:hAnsi="Arial" w:cs="Arial"/>
                <w:sz w:val="16"/>
                <w:szCs w:val="16"/>
              </w:rPr>
            </w:pPr>
          </w:p>
        </w:tc>
        <w:tc>
          <w:tcPr>
            <w:tcW w:w="927" w:type="dxa"/>
            <w:vAlign w:val="center"/>
          </w:tcPr>
          <w:p w14:paraId="04AF7DE0" w14:textId="77777777" w:rsidR="00D66D5C" w:rsidRPr="0006740B" w:rsidRDefault="00D66D5C" w:rsidP="00676C1D">
            <w:pPr>
              <w:rPr>
                <w:rFonts w:ascii="Arial" w:hAnsi="Arial" w:cs="Arial"/>
                <w:sz w:val="16"/>
                <w:szCs w:val="16"/>
              </w:rPr>
            </w:pPr>
          </w:p>
        </w:tc>
      </w:tr>
      <w:tr w:rsidR="00D66D5C" w:rsidRPr="0006740B" w14:paraId="4053780A" w14:textId="77777777" w:rsidTr="00676C1D">
        <w:trPr>
          <w:trHeight w:val="387"/>
        </w:trPr>
        <w:tc>
          <w:tcPr>
            <w:tcW w:w="8308" w:type="dxa"/>
            <w:gridSpan w:val="7"/>
            <w:tcBorders>
              <w:top w:val="single" w:sz="4" w:space="0" w:color="auto"/>
            </w:tcBorders>
            <w:vAlign w:val="center"/>
          </w:tcPr>
          <w:p w14:paraId="59DE4D97" w14:textId="77777777" w:rsidR="00D66D5C" w:rsidRPr="00C53D4D" w:rsidRDefault="00D66D5C" w:rsidP="00676C1D">
            <w:pPr>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 MACCE is the pre-defined primary composite of death, MI, stroke and repeat revascularisation</w:t>
            </w:r>
          </w:p>
        </w:tc>
      </w:tr>
    </w:tbl>
    <w:p w14:paraId="5D30FDD5" w14:textId="77777777" w:rsidR="00D66D5C" w:rsidRDefault="00D66D5C" w:rsidP="00D66D5C">
      <w:pPr>
        <w:rPr>
          <w:rFonts w:ascii="Arial" w:eastAsia="Times New Roman" w:hAnsi="Arial" w:cs="Arial"/>
          <w:color w:val="000000"/>
          <w:sz w:val="18"/>
          <w:szCs w:val="16"/>
          <w:lang w:eastAsia="en-GB"/>
        </w:rPr>
      </w:pPr>
    </w:p>
    <w:p w14:paraId="3B86CB4A" w14:textId="77777777" w:rsidR="00D66D5C" w:rsidRDefault="00D66D5C" w:rsidP="00D66D5C">
      <w:pPr>
        <w:rPr>
          <w:rFonts w:ascii="Arial" w:eastAsia="Times New Roman" w:hAnsi="Arial" w:cs="Arial"/>
          <w:color w:val="000000"/>
          <w:sz w:val="18"/>
          <w:szCs w:val="16"/>
          <w:lang w:eastAsia="en-GB"/>
        </w:rPr>
      </w:pPr>
    </w:p>
    <w:p w14:paraId="37B32C6C" w14:textId="7E9FA571" w:rsidR="00D66D5C" w:rsidRPr="00227F50" w:rsidRDefault="005520E6" w:rsidP="00D66D5C">
      <w:pPr>
        <w:rPr>
          <w:rFonts w:ascii="Arial" w:eastAsia="Times New Roman" w:hAnsi="Arial" w:cs="Arial"/>
          <w:color w:val="000000"/>
          <w:sz w:val="20"/>
          <w:szCs w:val="16"/>
          <w:lang w:eastAsia="en-GB"/>
        </w:rPr>
      </w:pPr>
      <w:r w:rsidRPr="00227F50">
        <w:rPr>
          <w:rFonts w:ascii="Arial" w:eastAsia="Times New Roman" w:hAnsi="Arial" w:cs="Arial"/>
          <w:color w:val="000000"/>
          <w:sz w:val="20"/>
          <w:szCs w:val="16"/>
          <w:lang w:eastAsia="en-GB"/>
        </w:rPr>
        <w:t xml:space="preserve">Table 2 Caption: Percentage of patients </w:t>
      </w:r>
      <w:r w:rsidR="00227F50">
        <w:rPr>
          <w:rFonts w:ascii="Arial" w:eastAsia="Times New Roman" w:hAnsi="Arial" w:cs="Arial"/>
          <w:color w:val="000000"/>
          <w:sz w:val="20"/>
          <w:szCs w:val="16"/>
          <w:lang w:eastAsia="en-GB"/>
        </w:rPr>
        <w:t xml:space="preserve">experiencing the composite primary endpoint (MACCE) and its components </w:t>
      </w:r>
      <w:r w:rsidRPr="00227F50">
        <w:rPr>
          <w:rFonts w:ascii="Arial" w:eastAsia="Times New Roman" w:hAnsi="Arial" w:cs="Arial"/>
          <w:color w:val="000000"/>
          <w:sz w:val="20"/>
          <w:szCs w:val="16"/>
          <w:lang w:eastAsia="en-GB"/>
        </w:rPr>
        <w:t>at 1 year and 5 years in the SYNTAX trial</w:t>
      </w:r>
    </w:p>
    <w:p w14:paraId="6257F1D4" w14:textId="77777777" w:rsidR="005520E6" w:rsidRDefault="005520E6" w:rsidP="00D66D5C">
      <w:pPr>
        <w:rPr>
          <w:rFonts w:ascii="Arial" w:eastAsia="Times New Roman" w:hAnsi="Arial" w:cs="Arial"/>
          <w:color w:val="000000"/>
          <w:sz w:val="18"/>
          <w:szCs w:val="16"/>
          <w:lang w:eastAsia="en-GB"/>
        </w:rPr>
      </w:pPr>
    </w:p>
    <w:p w14:paraId="6FBBF15D" w14:textId="77777777" w:rsidR="00D66D5C" w:rsidRDefault="00D66D5C" w:rsidP="00D66D5C">
      <w:pPr>
        <w:rPr>
          <w:rFonts w:ascii="Arial" w:eastAsia="Times New Roman" w:hAnsi="Arial" w:cs="Arial"/>
          <w:color w:val="000000"/>
          <w:sz w:val="18"/>
          <w:szCs w:val="16"/>
          <w:lang w:eastAsia="en-GB"/>
        </w:rPr>
      </w:pPr>
    </w:p>
    <w:p w14:paraId="79B3A6EF" w14:textId="77777777" w:rsidR="0082262A" w:rsidRDefault="0082262A">
      <w:pPr>
        <w:rPr>
          <w:rFonts w:ascii="Arial" w:hAnsi="Arial" w:cs="Arial"/>
          <w:sz w:val="20"/>
          <w:szCs w:val="16"/>
        </w:rPr>
      </w:pPr>
      <w:r>
        <w:rPr>
          <w:rFonts w:ascii="Arial" w:hAnsi="Arial" w:cs="Arial"/>
          <w:sz w:val="20"/>
          <w:szCs w:val="16"/>
        </w:rPr>
        <w:br w:type="page"/>
      </w:r>
    </w:p>
    <w:p w14:paraId="18277D97" w14:textId="72A9DDEC" w:rsidR="00D66D5C" w:rsidRPr="00A36CA5" w:rsidRDefault="00D66D5C" w:rsidP="00D66D5C">
      <w:pPr>
        <w:rPr>
          <w:rFonts w:ascii="Arial" w:eastAsia="Times New Roman" w:hAnsi="Arial" w:cs="Arial"/>
          <w:color w:val="000000"/>
          <w:sz w:val="20"/>
          <w:szCs w:val="16"/>
          <w:lang w:eastAsia="en-GB"/>
        </w:rPr>
      </w:pPr>
      <w:r w:rsidRPr="00A36CA5">
        <w:rPr>
          <w:rFonts w:ascii="Arial" w:hAnsi="Arial" w:cs="Arial"/>
          <w:sz w:val="20"/>
          <w:szCs w:val="16"/>
        </w:rPr>
        <w:lastRenderedPageBreak/>
        <w:t>Table 3 Efficacy results from the EMPHASIS-HF trial, with and without covariate adjustment</w:t>
      </w:r>
    </w:p>
    <w:tbl>
      <w:tblPr>
        <w:tblW w:w="8931" w:type="dxa"/>
        <w:tblLayout w:type="fixed"/>
        <w:tblLook w:val="04A0" w:firstRow="1" w:lastRow="0" w:firstColumn="1" w:lastColumn="0" w:noHBand="0" w:noVBand="1"/>
      </w:tblPr>
      <w:tblGrid>
        <w:gridCol w:w="2410"/>
        <w:gridCol w:w="850"/>
        <w:gridCol w:w="1275"/>
        <w:gridCol w:w="993"/>
        <w:gridCol w:w="993"/>
        <w:gridCol w:w="1417"/>
        <w:gridCol w:w="993"/>
      </w:tblGrid>
      <w:tr w:rsidR="00D66D5C" w:rsidRPr="00873D2F" w14:paraId="1815A784" w14:textId="77777777" w:rsidTr="00C30A57">
        <w:trPr>
          <w:trHeight w:val="553"/>
        </w:trPr>
        <w:tc>
          <w:tcPr>
            <w:tcW w:w="8931" w:type="dxa"/>
            <w:gridSpan w:val="7"/>
            <w:vAlign w:val="center"/>
          </w:tcPr>
          <w:p w14:paraId="3E09C69F" w14:textId="77777777" w:rsidR="00D66D5C" w:rsidRPr="00873D2F" w:rsidRDefault="00D66D5C" w:rsidP="00C30A57">
            <w:pPr>
              <w:spacing w:after="0" w:line="480" w:lineRule="auto"/>
              <w:rPr>
                <w:rFonts w:ascii="Arial" w:hAnsi="Arial" w:cs="Arial"/>
                <w:sz w:val="18"/>
                <w:szCs w:val="16"/>
              </w:rPr>
            </w:pPr>
          </w:p>
        </w:tc>
      </w:tr>
      <w:tr w:rsidR="00D66D5C" w:rsidRPr="00CE26DE" w14:paraId="49B91118" w14:textId="77777777" w:rsidTr="00C30A57">
        <w:trPr>
          <w:trHeight w:val="434"/>
        </w:trPr>
        <w:tc>
          <w:tcPr>
            <w:tcW w:w="2410" w:type="dxa"/>
            <w:vMerge w:val="restart"/>
            <w:tcBorders>
              <w:top w:val="single" w:sz="4" w:space="0" w:color="auto"/>
            </w:tcBorders>
            <w:vAlign w:val="center"/>
          </w:tcPr>
          <w:p w14:paraId="11C8400F"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Outcome</w:t>
            </w:r>
          </w:p>
        </w:tc>
        <w:tc>
          <w:tcPr>
            <w:tcW w:w="3118" w:type="dxa"/>
            <w:gridSpan w:val="3"/>
            <w:tcBorders>
              <w:top w:val="single" w:sz="4" w:space="0" w:color="auto"/>
            </w:tcBorders>
            <w:vAlign w:val="center"/>
          </w:tcPr>
          <w:p w14:paraId="4A4E2F67" w14:textId="77777777" w:rsidR="00D66D5C" w:rsidRPr="00CE26DE" w:rsidRDefault="00D66D5C" w:rsidP="00C30A57">
            <w:pPr>
              <w:spacing w:after="0" w:line="480" w:lineRule="auto"/>
              <w:jc w:val="center"/>
              <w:rPr>
                <w:rFonts w:ascii="Arial" w:hAnsi="Arial" w:cs="Arial"/>
                <w:sz w:val="16"/>
                <w:szCs w:val="16"/>
              </w:rPr>
            </w:pPr>
            <w:r w:rsidRPr="00CE26DE">
              <w:rPr>
                <w:rFonts w:ascii="Arial" w:hAnsi="Arial" w:cs="Arial"/>
                <w:sz w:val="16"/>
                <w:szCs w:val="16"/>
              </w:rPr>
              <w:t>Adjusted</w:t>
            </w:r>
          </w:p>
        </w:tc>
        <w:tc>
          <w:tcPr>
            <w:tcW w:w="3403" w:type="dxa"/>
            <w:gridSpan w:val="3"/>
            <w:tcBorders>
              <w:top w:val="single" w:sz="4" w:space="0" w:color="auto"/>
            </w:tcBorders>
            <w:vAlign w:val="center"/>
          </w:tcPr>
          <w:p w14:paraId="347D65D9" w14:textId="77777777" w:rsidR="00D66D5C" w:rsidRPr="00CE26DE" w:rsidRDefault="00D66D5C" w:rsidP="00C30A57">
            <w:pPr>
              <w:spacing w:after="0" w:line="480" w:lineRule="auto"/>
              <w:jc w:val="center"/>
              <w:rPr>
                <w:rFonts w:ascii="Arial" w:hAnsi="Arial" w:cs="Arial"/>
                <w:sz w:val="16"/>
                <w:szCs w:val="16"/>
              </w:rPr>
            </w:pPr>
            <w:r w:rsidRPr="00CE26DE">
              <w:rPr>
                <w:rFonts w:ascii="Arial" w:hAnsi="Arial" w:cs="Arial"/>
                <w:sz w:val="16"/>
                <w:szCs w:val="16"/>
              </w:rPr>
              <w:t>Unadjusted</w:t>
            </w:r>
          </w:p>
        </w:tc>
      </w:tr>
      <w:tr w:rsidR="00D66D5C" w:rsidRPr="00CE26DE" w14:paraId="0657CDC2" w14:textId="77777777" w:rsidTr="00C30A57">
        <w:trPr>
          <w:trHeight w:val="426"/>
        </w:trPr>
        <w:tc>
          <w:tcPr>
            <w:tcW w:w="2410" w:type="dxa"/>
            <w:vMerge/>
            <w:tcBorders>
              <w:bottom w:val="single" w:sz="4" w:space="0" w:color="auto"/>
            </w:tcBorders>
            <w:vAlign w:val="center"/>
          </w:tcPr>
          <w:p w14:paraId="5BD1A8B3" w14:textId="77777777" w:rsidR="00D66D5C" w:rsidRPr="00CE26DE" w:rsidRDefault="00D66D5C" w:rsidP="00C30A57">
            <w:pPr>
              <w:spacing w:after="0" w:line="480" w:lineRule="auto"/>
              <w:rPr>
                <w:rFonts w:ascii="Arial" w:hAnsi="Arial" w:cs="Arial"/>
                <w:sz w:val="16"/>
                <w:szCs w:val="16"/>
              </w:rPr>
            </w:pPr>
          </w:p>
        </w:tc>
        <w:tc>
          <w:tcPr>
            <w:tcW w:w="2125" w:type="dxa"/>
            <w:gridSpan w:val="2"/>
            <w:tcBorders>
              <w:bottom w:val="single" w:sz="4" w:space="0" w:color="auto"/>
            </w:tcBorders>
            <w:vAlign w:val="center"/>
          </w:tcPr>
          <w:p w14:paraId="1541B2D9" w14:textId="77777777" w:rsidR="00D66D5C" w:rsidRDefault="00D66D5C" w:rsidP="00C30A57">
            <w:pPr>
              <w:spacing w:after="0" w:line="480" w:lineRule="auto"/>
              <w:jc w:val="center"/>
              <w:rPr>
                <w:rFonts w:ascii="Arial" w:hAnsi="Arial" w:cs="Arial"/>
                <w:sz w:val="16"/>
                <w:szCs w:val="16"/>
              </w:rPr>
            </w:pPr>
            <w:r w:rsidRPr="00CE26DE">
              <w:rPr>
                <w:rFonts w:ascii="Arial" w:hAnsi="Arial" w:cs="Arial"/>
                <w:sz w:val="16"/>
                <w:szCs w:val="16"/>
              </w:rPr>
              <w:t>H</w:t>
            </w:r>
            <w:r>
              <w:rPr>
                <w:rFonts w:ascii="Arial" w:hAnsi="Arial" w:cs="Arial"/>
                <w:sz w:val="16"/>
                <w:szCs w:val="16"/>
              </w:rPr>
              <w:t xml:space="preserve">azard </w:t>
            </w:r>
            <w:r w:rsidRPr="00CE26DE">
              <w:rPr>
                <w:rFonts w:ascii="Arial" w:hAnsi="Arial" w:cs="Arial"/>
                <w:sz w:val="16"/>
                <w:szCs w:val="16"/>
              </w:rPr>
              <w:t>R</w:t>
            </w:r>
            <w:r>
              <w:rPr>
                <w:rFonts w:ascii="Arial" w:hAnsi="Arial" w:cs="Arial"/>
                <w:sz w:val="16"/>
                <w:szCs w:val="16"/>
              </w:rPr>
              <w:t>atio</w:t>
            </w:r>
          </w:p>
          <w:p w14:paraId="1476DDD1" w14:textId="77777777" w:rsidR="00D66D5C" w:rsidRPr="00CE26DE" w:rsidRDefault="00D66D5C" w:rsidP="00C30A57">
            <w:pPr>
              <w:spacing w:after="0" w:line="480" w:lineRule="auto"/>
              <w:jc w:val="center"/>
              <w:rPr>
                <w:rFonts w:ascii="Arial" w:hAnsi="Arial" w:cs="Arial"/>
                <w:sz w:val="16"/>
                <w:szCs w:val="16"/>
              </w:rPr>
            </w:pPr>
            <w:r w:rsidRPr="00CE26DE">
              <w:rPr>
                <w:rFonts w:ascii="Arial" w:hAnsi="Arial" w:cs="Arial"/>
                <w:sz w:val="16"/>
                <w:szCs w:val="16"/>
              </w:rPr>
              <w:t xml:space="preserve"> (95% CI)</w:t>
            </w:r>
          </w:p>
        </w:tc>
        <w:tc>
          <w:tcPr>
            <w:tcW w:w="993" w:type="dxa"/>
            <w:tcBorders>
              <w:bottom w:val="single" w:sz="4" w:space="0" w:color="auto"/>
            </w:tcBorders>
            <w:vAlign w:val="center"/>
          </w:tcPr>
          <w:p w14:paraId="2F284A22"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P-value</w:t>
            </w:r>
          </w:p>
        </w:tc>
        <w:tc>
          <w:tcPr>
            <w:tcW w:w="2410" w:type="dxa"/>
            <w:gridSpan w:val="2"/>
            <w:tcBorders>
              <w:bottom w:val="single" w:sz="4" w:space="0" w:color="auto"/>
            </w:tcBorders>
            <w:vAlign w:val="center"/>
          </w:tcPr>
          <w:p w14:paraId="37B0BE76" w14:textId="77777777" w:rsidR="00D66D5C" w:rsidRDefault="00D66D5C" w:rsidP="00C30A57">
            <w:pPr>
              <w:spacing w:after="0" w:line="480" w:lineRule="auto"/>
              <w:jc w:val="center"/>
              <w:rPr>
                <w:rFonts w:ascii="Arial" w:hAnsi="Arial" w:cs="Arial"/>
                <w:sz w:val="16"/>
                <w:szCs w:val="16"/>
              </w:rPr>
            </w:pPr>
            <w:r w:rsidRPr="00CE26DE">
              <w:rPr>
                <w:rFonts w:ascii="Arial" w:hAnsi="Arial" w:cs="Arial"/>
                <w:sz w:val="16"/>
                <w:szCs w:val="16"/>
              </w:rPr>
              <w:t>H</w:t>
            </w:r>
            <w:r>
              <w:rPr>
                <w:rFonts w:ascii="Arial" w:hAnsi="Arial" w:cs="Arial"/>
                <w:sz w:val="16"/>
                <w:szCs w:val="16"/>
              </w:rPr>
              <w:t xml:space="preserve">azard </w:t>
            </w:r>
            <w:r w:rsidRPr="00CE26DE">
              <w:rPr>
                <w:rFonts w:ascii="Arial" w:hAnsi="Arial" w:cs="Arial"/>
                <w:sz w:val="16"/>
                <w:szCs w:val="16"/>
              </w:rPr>
              <w:t>R</w:t>
            </w:r>
            <w:r>
              <w:rPr>
                <w:rFonts w:ascii="Arial" w:hAnsi="Arial" w:cs="Arial"/>
                <w:sz w:val="16"/>
                <w:szCs w:val="16"/>
              </w:rPr>
              <w:t>atio</w:t>
            </w:r>
          </w:p>
          <w:p w14:paraId="128792FB" w14:textId="77777777" w:rsidR="00D66D5C" w:rsidRPr="00CE26DE" w:rsidRDefault="00D66D5C" w:rsidP="00C30A57">
            <w:pPr>
              <w:spacing w:after="0" w:line="480" w:lineRule="auto"/>
              <w:jc w:val="center"/>
              <w:rPr>
                <w:rFonts w:ascii="Arial" w:hAnsi="Arial" w:cs="Arial"/>
                <w:sz w:val="16"/>
                <w:szCs w:val="16"/>
              </w:rPr>
            </w:pPr>
            <w:r w:rsidRPr="00CE26DE">
              <w:rPr>
                <w:rFonts w:ascii="Arial" w:hAnsi="Arial" w:cs="Arial"/>
                <w:sz w:val="16"/>
                <w:szCs w:val="16"/>
              </w:rPr>
              <w:t xml:space="preserve"> (95% CI)</w:t>
            </w:r>
          </w:p>
        </w:tc>
        <w:tc>
          <w:tcPr>
            <w:tcW w:w="993" w:type="dxa"/>
            <w:tcBorders>
              <w:bottom w:val="single" w:sz="4" w:space="0" w:color="auto"/>
            </w:tcBorders>
            <w:vAlign w:val="center"/>
          </w:tcPr>
          <w:p w14:paraId="761E600D" w14:textId="77777777" w:rsidR="00D66D5C" w:rsidRPr="00CE26DE" w:rsidRDefault="00D66D5C" w:rsidP="00C30A57">
            <w:pPr>
              <w:spacing w:after="0" w:line="480" w:lineRule="auto"/>
              <w:jc w:val="center"/>
              <w:rPr>
                <w:rFonts w:ascii="Arial" w:hAnsi="Arial" w:cs="Arial"/>
                <w:sz w:val="16"/>
                <w:szCs w:val="16"/>
              </w:rPr>
            </w:pPr>
            <w:r>
              <w:rPr>
                <w:rFonts w:ascii="Arial" w:hAnsi="Arial" w:cs="Arial"/>
                <w:sz w:val="16"/>
                <w:szCs w:val="16"/>
              </w:rPr>
              <w:t xml:space="preserve">P </w:t>
            </w:r>
            <w:r w:rsidRPr="00CE26DE">
              <w:rPr>
                <w:rFonts w:ascii="Arial" w:hAnsi="Arial" w:cs="Arial"/>
                <w:sz w:val="16"/>
                <w:szCs w:val="16"/>
              </w:rPr>
              <w:t>value</w:t>
            </w:r>
          </w:p>
        </w:tc>
      </w:tr>
      <w:tr w:rsidR="00D66D5C" w:rsidRPr="00CE26DE" w14:paraId="7F81DDC3" w14:textId="77777777" w:rsidTr="00C30A57">
        <w:trPr>
          <w:trHeight w:val="427"/>
        </w:trPr>
        <w:tc>
          <w:tcPr>
            <w:tcW w:w="2410" w:type="dxa"/>
            <w:tcBorders>
              <w:top w:val="single" w:sz="4" w:space="0" w:color="auto"/>
            </w:tcBorders>
            <w:vAlign w:val="center"/>
          </w:tcPr>
          <w:p w14:paraId="717D48D7" w14:textId="5D0D5A43" w:rsidR="00D66D5C" w:rsidRPr="00873D2F" w:rsidRDefault="005520E6" w:rsidP="00C30A57">
            <w:pPr>
              <w:spacing w:after="0" w:line="480" w:lineRule="auto"/>
              <w:rPr>
                <w:rFonts w:ascii="Arial" w:hAnsi="Arial" w:cs="Arial"/>
                <w:sz w:val="16"/>
                <w:szCs w:val="16"/>
                <w:vertAlign w:val="superscript"/>
              </w:rPr>
            </w:pPr>
            <w:r>
              <w:rPr>
                <w:rFonts w:ascii="Arial" w:hAnsi="Arial" w:cs="Arial"/>
                <w:sz w:val="16"/>
                <w:szCs w:val="16"/>
              </w:rPr>
              <w:t>Primary endpoint*</w:t>
            </w:r>
          </w:p>
        </w:tc>
        <w:tc>
          <w:tcPr>
            <w:tcW w:w="850" w:type="dxa"/>
            <w:tcBorders>
              <w:top w:val="single" w:sz="4" w:space="0" w:color="auto"/>
            </w:tcBorders>
            <w:vAlign w:val="center"/>
          </w:tcPr>
          <w:p w14:paraId="6E60573D"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0.63</w:t>
            </w:r>
          </w:p>
        </w:tc>
        <w:tc>
          <w:tcPr>
            <w:tcW w:w="1275" w:type="dxa"/>
            <w:tcBorders>
              <w:top w:val="single" w:sz="4" w:space="0" w:color="auto"/>
            </w:tcBorders>
            <w:vAlign w:val="center"/>
          </w:tcPr>
          <w:p w14:paraId="00FFB82C"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(0.54-0.74)</w:t>
            </w:r>
          </w:p>
        </w:tc>
        <w:tc>
          <w:tcPr>
            <w:tcW w:w="993" w:type="dxa"/>
            <w:tcBorders>
              <w:top w:val="single" w:sz="4" w:space="0" w:color="auto"/>
            </w:tcBorders>
            <w:vAlign w:val="center"/>
          </w:tcPr>
          <w:p w14:paraId="6D4930F2" w14:textId="77777777" w:rsidR="00D66D5C" w:rsidRPr="00CE26DE" w:rsidRDefault="00D66D5C" w:rsidP="00C30A57">
            <w:pPr>
              <w:spacing w:after="0" w:line="480" w:lineRule="auto"/>
              <w:rPr>
                <w:rFonts w:ascii="Arial" w:hAnsi="Arial" w:cs="Arial"/>
                <w:sz w:val="16"/>
                <w:szCs w:val="16"/>
              </w:rPr>
            </w:pPr>
            <w:r>
              <w:rPr>
                <w:rFonts w:ascii="Arial" w:hAnsi="Arial" w:cs="Arial"/>
                <w:sz w:val="16"/>
                <w:szCs w:val="16"/>
              </w:rPr>
              <w:t>&lt;</w:t>
            </w:r>
            <w:r w:rsidRPr="00CE26DE">
              <w:rPr>
                <w:rFonts w:ascii="Arial" w:hAnsi="Arial" w:cs="Arial"/>
                <w:sz w:val="16"/>
                <w:szCs w:val="16"/>
              </w:rPr>
              <w:t>0.001</w:t>
            </w:r>
          </w:p>
        </w:tc>
        <w:tc>
          <w:tcPr>
            <w:tcW w:w="993" w:type="dxa"/>
            <w:tcBorders>
              <w:top w:val="single" w:sz="4" w:space="0" w:color="auto"/>
            </w:tcBorders>
            <w:vAlign w:val="center"/>
          </w:tcPr>
          <w:p w14:paraId="2BE7A043"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0.66</w:t>
            </w:r>
          </w:p>
        </w:tc>
        <w:tc>
          <w:tcPr>
            <w:tcW w:w="1417" w:type="dxa"/>
            <w:vAlign w:val="center"/>
          </w:tcPr>
          <w:p w14:paraId="6FFC0261"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(0.56-0.78)</w:t>
            </w:r>
          </w:p>
        </w:tc>
        <w:tc>
          <w:tcPr>
            <w:tcW w:w="993" w:type="dxa"/>
            <w:tcBorders>
              <w:top w:val="single" w:sz="4" w:space="0" w:color="auto"/>
            </w:tcBorders>
            <w:vAlign w:val="center"/>
          </w:tcPr>
          <w:p w14:paraId="31F42D7D"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&lt;0.001</w:t>
            </w:r>
          </w:p>
        </w:tc>
      </w:tr>
      <w:tr w:rsidR="00D66D5C" w:rsidRPr="00CE26DE" w14:paraId="5A5B9F76" w14:textId="77777777" w:rsidTr="00C30A57">
        <w:trPr>
          <w:trHeight w:val="427"/>
        </w:trPr>
        <w:tc>
          <w:tcPr>
            <w:tcW w:w="2410" w:type="dxa"/>
            <w:vAlign w:val="center"/>
          </w:tcPr>
          <w:p w14:paraId="34257B60"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CV death</w:t>
            </w:r>
          </w:p>
        </w:tc>
        <w:tc>
          <w:tcPr>
            <w:tcW w:w="850" w:type="dxa"/>
            <w:vAlign w:val="center"/>
          </w:tcPr>
          <w:p w14:paraId="1CFADD55"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0.76</w:t>
            </w:r>
          </w:p>
        </w:tc>
        <w:tc>
          <w:tcPr>
            <w:tcW w:w="1275" w:type="dxa"/>
            <w:vAlign w:val="center"/>
          </w:tcPr>
          <w:p w14:paraId="5F09B5FB"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(0.61-0.94)</w:t>
            </w:r>
          </w:p>
        </w:tc>
        <w:tc>
          <w:tcPr>
            <w:tcW w:w="993" w:type="dxa"/>
            <w:vAlign w:val="center"/>
          </w:tcPr>
          <w:p w14:paraId="12974F8E" w14:textId="77777777" w:rsidR="00D66D5C" w:rsidRPr="00CE26DE" w:rsidRDefault="00D66D5C" w:rsidP="00C30A57">
            <w:pPr>
              <w:spacing w:after="0" w:line="480" w:lineRule="auto"/>
              <w:jc w:val="both"/>
              <w:rPr>
                <w:rFonts w:ascii="Arial" w:hAnsi="Arial" w:cs="Arial"/>
                <w:sz w:val="16"/>
                <w:szCs w:val="16"/>
              </w:rPr>
            </w:pPr>
            <w:r w:rsidRPr="00CE26DE">
              <w:rPr>
                <w:rFonts w:ascii="Arial" w:hAnsi="Arial" w:cs="Arial"/>
                <w:sz w:val="16"/>
                <w:szCs w:val="16"/>
              </w:rPr>
              <w:t>0.01</w:t>
            </w:r>
          </w:p>
        </w:tc>
        <w:tc>
          <w:tcPr>
            <w:tcW w:w="993" w:type="dxa"/>
            <w:vAlign w:val="center"/>
          </w:tcPr>
          <w:p w14:paraId="51D3A73E"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0.77</w:t>
            </w:r>
          </w:p>
        </w:tc>
        <w:tc>
          <w:tcPr>
            <w:tcW w:w="1417" w:type="dxa"/>
            <w:vAlign w:val="center"/>
          </w:tcPr>
          <w:p w14:paraId="3FC3D941"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(0.62-0.96)</w:t>
            </w:r>
          </w:p>
        </w:tc>
        <w:tc>
          <w:tcPr>
            <w:tcW w:w="993" w:type="dxa"/>
            <w:vAlign w:val="center"/>
          </w:tcPr>
          <w:p w14:paraId="57726363"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0.02</w:t>
            </w:r>
          </w:p>
        </w:tc>
      </w:tr>
      <w:tr w:rsidR="00D66D5C" w:rsidRPr="00CE26DE" w14:paraId="327A83CB" w14:textId="77777777" w:rsidTr="00C30A57">
        <w:trPr>
          <w:trHeight w:val="427"/>
        </w:trPr>
        <w:tc>
          <w:tcPr>
            <w:tcW w:w="2410" w:type="dxa"/>
            <w:tcBorders>
              <w:bottom w:val="single" w:sz="4" w:space="0" w:color="auto"/>
            </w:tcBorders>
            <w:vAlign w:val="center"/>
          </w:tcPr>
          <w:p w14:paraId="08014B2F"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Hospitalisation for heart failure</w:t>
            </w:r>
          </w:p>
        </w:tc>
        <w:tc>
          <w:tcPr>
            <w:tcW w:w="850" w:type="dxa"/>
            <w:tcBorders>
              <w:bottom w:val="single" w:sz="4" w:space="0" w:color="auto"/>
            </w:tcBorders>
            <w:vAlign w:val="center"/>
          </w:tcPr>
          <w:p w14:paraId="34AE1155"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0.58</w:t>
            </w:r>
          </w:p>
        </w:tc>
        <w:tc>
          <w:tcPr>
            <w:tcW w:w="1275" w:type="dxa"/>
            <w:tcBorders>
              <w:bottom w:val="single" w:sz="4" w:space="0" w:color="auto"/>
            </w:tcBorders>
            <w:vAlign w:val="center"/>
          </w:tcPr>
          <w:p w14:paraId="14DBB9C1"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(0.47-0.70)</w:t>
            </w:r>
          </w:p>
        </w:tc>
        <w:tc>
          <w:tcPr>
            <w:tcW w:w="993" w:type="dxa"/>
            <w:tcBorders>
              <w:bottom w:val="single" w:sz="4" w:space="0" w:color="auto"/>
            </w:tcBorders>
            <w:vAlign w:val="center"/>
          </w:tcPr>
          <w:p w14:paraId="4C71ECB7"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&lt;0.001</w:t>
            </w:r>
          </w:p>
        </w:tc>
        <w:tc>
          <w:tcPr>
            <w:tcW w:w="993" w:type="dxa"/>
            <w:tcBorders>
              <w:bottom w:val="single" w:sz="4" w:space="0" w:color="auto"/>
            </w:tcBorders>
            <w:vAlign w:val="center"/>
          </w:tcPr>
          <w:p w14:paraId="49930CE2" w14:textId="77777777" w:rsidR="00D66D5C" w:rsidRPr="00CE26DE" w:rsidRDefault="00D66D5C" w:rsidP="00C30A57">
            <w:pPr>
              <w:spacing w:after="0" w:line="480" w:lineRule="auto"/>
              <w:ind w:right="-57"/>
              <w:jc w:val="right"/>
              <w:rPr>
                <w:rFonts w:ascii="Arial" w:hAnsi="Arial" w:cs="Arial"/>
                <w:sz w:val="16"/>
                <w:szCs w:val="16"/>
              </w:rPr>
            </w:pPr>
            <w:r w:rsidRPr="00CE26DE">
              <w:rPr>
                <w:rFonts w:ascii="Arial" w:hAnsi="Arial" w:cs="Arial"/>
                <w:sz w:val="16"/>
                <w:szCs w:val="16"/>
              </w:rPr>
              <w:t>0.61</w:t>
            </w:r>
          </w:p>
        </w:tc>
        <w:tc>
          <w:tcPr>
            <w:tcW w:w="1417" w:type="dxa"/>
            <w:tcBorders>
              <w:bottom w:val="single" w:sz="4" w:space="0" w:color="auto"/>
            </w:tcBorders>
            <w:vAlign w:val="center"/>
          </w:tcPr>
          <w:p w14:paraId="2962233A" w14:textId="77777777" w:rsidR="00D66D5C" w:rsidRPr="00CE26DE" w:rsidRDefault="00D66D5C" w:rsidP="00C30A57">
            <w:pPr>
              <w:spacing w:after="0" w:line="480" w:lineRule="auto"/>
              <w:ind w:left="-57"/>
              <w:rPr>
                <w:rFonts w:ascii="Arial" w:hAnsi="Arial" w:cs="Arial"/>
                <w:sz w:val="16"/>
                <w:szCs w:val="16"/>
              </w:rPr>
            </w:pPr>
            <w:r w:rsidRPr="00CE26DE">
              <w:rPr>
                <w:rFonts w:ascii="Arial" w:hAnsi="Arial" w:cs="Arial"/>
                <w:sz w:val="16"/>
                <w:szCs w:val="16"/>
              </w:rPr>
              <w:t>(0.50-0.75)</w:t>
            </w:r>
          </w:p>
        </w:tc>
        <w:tc>
          <w:tcPr>
            <w:tcW w:w="993" w:type="dxa"/>
            <w:tcBorders>
              <w:bottom w:val="single" w:sz="4" w:space="0" w:color="auto"/>
            </w:tcBorders>
            <w:vAlign w:val="center"/>
          </w:tcPr>
          <w:p w14:paraId="34EE3BD7" w14:textId="77777777" w:rsidR="00D66D5C" w:rsidRPr="00CE26DE" w:rsidRDefault="00D66D5C" w:rsidP="00C30A57">
            <w:pPr>
              <w:spacing w:after="0" w:line="480" w:lineRule="auto"/>
              <w:rPr>
                <w:rFonts w:ascii="Arial" w:hAnsi="Arial" w:cs="Arial"/>
                <w:sz w:val="16"/>
                <w:szCs w:val="16"/>
              </w:rPr>
            </w:pPr>
            <w:r w:rsidRPr="00CE26DE">
              <w:rPr>
                <w:rFonts w:ascii="Arial" w:hAnsi="Arial" w:cs="Arial"/>
                <w:sz w:val="16"/>
                <w:szCs w:val="16"/>
              </w:rPr>
              <w:t>&lt;0.001</w:t>
            </w:r>
          </w:p>
        </w:tc>
      </w:tr>
      <w:tr w:rsidR="00D66D5C" w:rsidRPr="00873D2F" w14:paraId="36382CBA" w14:textId="77777777" w:rsidTr="00144A50">
        <w:trPr>
          <w:trHeight w:val="890"/>
        </w:trPr>
        <w:tc>
          <w:tcPr>
            <w:tcW w:w="8931" w:type="dxa"/>
            <w:gridSpan w:val="7"/>
            <w:tcBorders>
              <w:top w:val="single" w:sz="4" w:space="0" w:color="auto"/>
            </w:tcBorders>
            <w:vAlign w:val="center"/>
          </w:tcPr>
          <w:p w14:paraId="7CA240B6" w14:textId="77777777" w:rsidR="00D66D5C" w:rsidRDefault="005520E6" w:rsidP="00144A50">
            <w:pPr>
              <w:spacing w:after="0"/>
              <w:rPr>
                <w:rFonts w:ascii="Arial" w:hAnsi="Arial" w:cs="Arial"/>
                <w:sz w:val="18"/>
                <w:szCs w:val="16"/>
              </w:rPr>
            </w:pPr>
            <w:r w:rsidRPr="00C30A57">
              <w:rPr>
                <w:rFonts w:ascii="Arial" w:hAnsi="Arial" w:cs="Arial"/>
                <w:sz w:val="18"/>
                <w:szCs w:val="16"/>
              </w:rPr>
              <w:t>*P</w:t>
            </w:r>
            <w:r w:rsidR="00D66D5C" w:rsidRPr="00C30A57">
              <w:rPr>
                <w:rFonts w:ascii="Arial" w:hAnsi="Arial" w:cs="Arial"/>
                <w:sz w:val="18"/>
                <w:szCs w:val="16"/>
              </w:rPr>
              <w:t>rimary endpoint is the composite of CV death and hospitalisation for heart failure</w:t>
            </w:r>
          </w:p>
          <w:p w14:paraId="211ED0AC" w14:textId="0ACEBAB1" w:rsidR="00144A50" w:rsidRPr="00C30A57" w:rsidRDefault="00144A50" w:rsidP="00144A50">
            <w:pPr>
              <w:spacing w:after="0"/>
              <w:rPr>
                <w:rFonts w:ascii="Arial" w:hAnsi="Arial" w:cs="Arial"/>
                <w:sz w:val="18"/>
                <w:szCs w:val="16"/>
              </w:rPr>
            </w:pPr>
            <w:r>
              <w:rPr>
                <w:rFonts w:ascii="Arial" w:hAnsi="Arial" w:cs="Arial"/>
                <w:sz w:val="18"/>
                <w:szCs w:val="16"/>
              </w:rPr>
              <w:t xml:space="preserve">Source: </w:t>
            </w:r>
            <w:proofErr w:type="spellStart"/>
            <w:r w:rsidRPr="00144A50">
              <w:rPr>
                <w:rFonts w:ascii="Arial" w:hAnsi="Arial" w:cs="Arial"/>
                <w:sz w:val="18"/>
                <w:szCs w:val="16"/>
              </w:rPr>
              <w:t>Zannad</w:t>
            </w:r>
            <w:proofErr w:type="spellEnd"/>
            <w:r w:rsidRPr="00144A50">
              <w:rPr>
                <w:rFonts w:ascii="Arial" w:hAnsi="Arial" w:cs="Arial"/>
                <w:sz w:val="18"/>
                <w:szCs w:val="16"/>
              </w:rPr>
              <w:t xml:space="preserve"> F, McMurray JJV, Krum H, et al. Eplerenone in Patients with Systolic Heart Failure and Mild Symptoms. New England Journal of Medicine 2011</w:t>
            </w:r>
            <w:proofErr w:type="gramStart"/>
            <w:r w:rsidRPr="00144A50">
              <w:rPr>
                <w:rFonts w:ascii="Arial" w:hAnsi="Arial" w:cs="Arial"/>
                <w:sz w:val="18"/>
                <w:szCs w:val="16"/>
              </w:rPr>
              <w:t>;364:11</w:t>
            </w:r>
            <w:proofErr w:type="gramEnd"/>
            <w:r w:rsidRPr="00144A50">
              <w:rPr>
                <w:rFonts w:ascii="Arial" w:hAnsi="Arial" w:cs="Arial"/>
                <w:sz w:val="18"/>
                <w:szCs w:val="16"/>
              </w:rPr>
              <w:t>-21.</w:t>
            </w:r>
          </w:p>
        </w:tc>
      </w:tr>
    </w:tbl>
    <w:p w14:paraId="5E56F0FB" w14:textId="77777777" w:rsidR="005520E6" w:rsidRDefault="005520E6" w:rsidP="00D66D5C">
      <w:pPr>
        <w:rPr>
          <w:rFonts w:ascii="Arial" w:eastAsia="Times New Roman" w:hAnsi="Arial" w:cs="Arial"/>
          <w:color w:val="000000"/>
          <w:sz w:val="18"/>
          <w:szCs w:val="16"/>
          <w:lang w:eastAsia="en-GB"/>
        </w:rPr>
      </w:pPr>
    </w:p>
    <w:p w14:paraId="4867ACA4" w14:textId="77777777" w:rsidR="005520E6" w:rsidRDefault="005520E6" w:rsidP="00D66D5C">
      <w:pPr>
        <w:rPr>
          <w:rFonts w:ascii="Arial" w:eastAsia="Times New Roman" w:hAnsi="Arial" w:cs="Arial"/>
          <w:color w:val="000000"/>
          <w:sz w:val="18"/>
          <w:szCs w:val="16"/>
          <w:lang w:eastAsia="en-GB"/>
        </w:rPr>
      </w:pPr>
    </w:p>
    <w:p w14:paraId="2418B809" w14:textId="653F2773" w:rsidR="00D66D5C" w:rsidRPr="005520E6" w:rsidRDefault="005520E6" w:rsidP="00D66D5C">
      <w:pPr>
        <w:rPr>
          <w:rFonts w:ascii="Arial" w:eastAsia="Times New Roman" w:hAnsi="Arial" w:cs="Arial"/>
          <w:color w:val="000000"/>
          <w:sz w:val="20"/>
          <w:szCs w:val="16"/>
          <w:lang w:eastAsia="en-GB"/>
        </w:rPr>
      </w:pPr>
      <w:r w:rsidRPr="005520E6">
        <w:rPr>
          <w:rFonts w:ascii="Arial" w:eastAsia="Times New Roman" w:hAnsi="Arial" w:cs="Arial"/>
          <w:color w:val="000000"/>
          <w:sz w:val="20"/>
          <w:szCs w:val="16"/>
          <w:lang w:eastAsia="en-GB"/>
        </w:rPr>
        <w:t>Table 3 Captio</w:t>
      </w:r>
      <w:r>
        <w:rPr>
          <w:rFonts w:ascii="Arial" w:eastAsia="Times New Roman" w:hAnsi="Arial" w:cs="Arial"/>
          <w:color w:val="000000"/>
          <w:sz w:val="20"/>
          <w:szCs w:val="16"/>
          <w:lang w:eastAsia="en-GB"/>
        </w:rPr>
        <w:t>n: Hazard ratios and 95% confidence intervals with and without baseline covariate adjustment</w:t>
      </w:r>
      <w:r w:rsidR="00B66608">
        <w:rPr>
          <w:rFonts w:ascii="Arial" w:eastAsia="Times New Roman" w:hAnsi="Arial" w:cs="Arial"/>
          <w:color w:val="000000"/>
          <w:sz w:val="20"/>
          <w:szCs w:val="16"/>
          <w:lang w:eastAsia="en-GB"/>
        </w:rPr>
        <w:t xml:space="preserve"> for efficacy endpoints in the EMPHASIS-HF trial.</w:t>
      </w:r>
      <w:r w:rsidR="00C30A57">
        <w:rPr>
          <w:rFonts w:ascii="Arial" w:eastAsia="Times New Roman" w:hAnsi="Arial" w:cs="Arial"/>
          <w:color w:val="000000"/>
          <w:sz w:val="20"/>
          <w:szCs w:val="16"/>
          <w:lang w:eastAsia="en-GB"/>
        </w:rPr>
        <w:t xml:space="preserve"> Adjustment was made using </w:t>
      </w:r>
      <w:r w:rsidR="00C30A57" w:rsidRPr="00C30A57">
        <w:rPr>
          <w:rFonts w:ascii="Arial" w:eastAsia="Times New Roman" w:hAnsi="Arial" w:cs="Arial"/>
          <w:color w:val="000000"/>
          <w:sz w:val="20"/>
          <w:szCs w:val="16"/>
          <w:lang w:eastAsia="en-GB"/>
        </w:rPr>
        <w:t xml:space="preserve">a proportional hazards model adjusting for 13 </w:t>
      </w:r>
      <w:r w:rsidR="00C30A57">
        <w:rPr>
          <w:rFonts w:ascii="Arial" w:eastAsia="Times New Roman" w:hAnsi="Arial" w:cs="Arial"/>
          <w:color w:val="000000"/>
          <w:sz w:val="20"/>
          <w:szCs w:val="16"/>
          <w:lang w:eastAsia="en-GB"/>
        </w:rPr>
        <w:t xml:space="preserve">pre-defined </w:t>
      </w:r>
      <w:r w:rsidR="00C30A57" w:rsidRPr="00C30A57">
        <w:rPr>
          <w:rFonts w:ascii="Arial" w:eastAsia="Times New Roman" w:hAnsi="Arial" w:cs="Arial"/>
          <w:color w:val="000000"/>
          <w:sz w:val="20"/>
          <w:szCs w:val="16"/>
          <w:lang w:eastAsia="en-GB"/>
        </w:rPr>
        <w:t xml:space="preserve">baseline covariates: age, estimated GFR, ejection fraction, </w:t>
      </w:r>
      <w:proofErr w:type="spellStart"/>
      <w:r w:rsidR="00C30A57" w:rsidRPr="00C30A57">
        <w:rPr>
          <w:rFonts w:ascii="Arial" w:eastAsia="Times New Roman" w:hAnsi="Arial" w:cs="Arial"/>
          <w:color w:val="000000"/>
          <w:sz w:val="20"/>
          <w:szCs w:val="16"/>
          <w:lang w:eastAsia="en-GB"/>
        </w:rPr>
        <w:t>bodymass</w:t>
      </w:r>
      <w:proofErr w:type="spellEnd"/>
      <w:r w:rsidR="00C30A57" w:rsidRPr="00C30A57">
        <w:rPr>
          <w:rFonts w:ascii="Arial" w:eastAsia="Times New Roman" w:hAnsi="Arial" w:cs="Arial"/>
          <w:color w:val="000000"/>
          <w:sz w:val="20"/>
          <w:szCs w:val="16"/>
          <w:lang w:eastAsia="en-GB"/>
        </w:rPr>
        <w:t xml:space="preserve"> index, </w:t>
      </w:r>
      <w:proofErr w:type="spellStart"/>
      <w:r w:rsidR="00C30A57" w:rsidRPr="00C30A57">
        <w:rPr>
          <w:rFonts w:ascii="Arial" w:eastAsia="Times New Roman" w:hAnsi="Arial" w:cs="Arial"/>
          <w:color w:val="000000"/>
          <w:sz w:val="20"/>
          <w:szCs w:val="16"/>
          <w:lang w:eastAsia="en-GB"/>
        </w:rPr>
        <w:t>hemoglobin</w:t>
      </w:r>
      <w:proofErr w:type="spellEnd"/>
      <w:r w:rsidR="00C30A57" w:rsidRPr="00C30A57">
        <w:rPr>
          <w:rFonts w:ascii="Arial" w:eastAsia="Times New Roman" w:hAnsi="Arial" w:cs="Arial"/>
          <w:color w:val="000000"/>
          <w:sz w:val="20"/>
          <w:szCs w:val="16"/>
          <w:lang w:eastAsia="en-GB"/>
        </w:rPr>
        <w:t xml:space="preserve"> value, heart rate, systolic blood pressure, diabetes mellitus, history of hypertension, previous myocardial infarction, atrial fibrillation, and left bundle-branch block or QRS duration greater than 130 msec.</w:t>
      </w:r>
    </w:p>
    <w:p w14:paraId="4A96C17C" w14:textId="77777777" w:rsidR="005520E6" w:rsidRDefault="005520E6">
      <w:pPr>
        <w:rPr>
          <w:rFonts w:ascii="Arial" w:hAnsi="Arial" w:cs="Arial"/>
          <w:sz w:val="20"/>
          <w:szCs w:val="16"/>
        </w:rPr>
      </w:pPr>
      <w:r>
        <w:rPr>
          <w:rFonts w:ascii="Arial" w:hAnsi="Arial" w:cs="Arial"/>
          <w:sz w:val="20"/>
          <w:szCs w:val="16"/>
        </w:rPr>
        <w:br w:type="page"/>
      </w:r>
    </w:p>
    <w:p w14:paraId="6358EA4A" w14:textId="4A485431" w:rsidR="00D66D5C" w:rsidRPr="00A36CA5" w:rsidRDefault="00D66D5C" w:rsidP="00D66D5C">
      <w:pPr>
        <w:rPr>
          <w:rFonts w:ascii="Arial" w:eastAsia="Times New Roman" w:hAnsi="Arial" w:cs="Arial"/>
          <w:color w:val="000000"/>
          <w:szCs w:val="16"/>
          <w:lang w:eastAsia="en-GB"/>
        </w:rPr>
      </w:pPr>
      <w:r w:rsidRPr="00A36CA5">
        <w:rPr>
          <w:rFonts w:ascii="Arial" w:hAnsi="Arial" w:cs="Arial"/>
          <w:sz w:val="20"/>
          <w:szCs w:val="16"/>
        </w:rPr>
        <w:lastRenderedPageBreak/>
        <w:t>Table 4</w:t>
      </w:r>
      <w:r w:rsidR="00B66608">
        <w:rPr>
          <w:rFonts w:ascii="Arial" w:hAnsi="Arial" w:cs="Arial"/>
          <w:sz w:val="20"/>
          <w:szCs w:val="16"/>
        </w:rPr>
        <w:t>:</w:t>
      </w:r>
      <w:r w:rsidRPr="00A36CA5">
        <w:rPr>
          <w:rFonts w:ascii="Arial" w:hAnsi="Arial" w:cs="Arial"/>
          <w:sz w:val="20"/>
          <w:szCs w:val="16"/>
        </w:rPr>
        <w:t xml:space="preserve">  Primary endpoint event rates by risk group and treatment in the EMPHASIS-HF trial</w:t>
      </w:r>
    </w:p>
    <w:p w14:paraId="6520FB7D" w14:textId="77777777" w:rsidR="00D66D5C" w:rsidRDefault="00D66D5C" w:rsidP="00D66D5C">
      <w:pPr>
        <w:rPr>
          <w:rFonts w:ascii="Arial" w:eastAsia="Times New Roman" w:hAnsi="Arial" w:cs="Arial"/>
          <w:color w:val="000000"/>
          <w:sz w:val="18"/>
          <w:szCs w:val="16"/>
          <w:lang w:eastAsia="en-GB"/>
        </w:rPr>
      </w:pPr>
    </w:p>
    <w:tbl>
      <w:tblPr>
        <w:tblW w:w="7656" w:type="dxa"/>
        <w:jc w:val="center"/>
        <w:tblCellMar>
          <w:left w:w="0" w:type="dxa"/>
          <w:right w:w="0" w:type="dxa"/>
        </w:tblCellMar>
        <w:tblLook w:val="0600" w:firstRow="0" w:lastRow="0" w:firstColumn="0" w:lastColumn="0" w:noHBand="1" w:noVBand="1"/>
      </w:tblPr>
      <w:tblGrid>
        <w:gridCol w:w="993"/>
        <w:gridCol w:w="1276"/>
        <w:gridCol w:w="992"/>
        <w:gridCol w:w="851"/>
        <w:gridCol w:w="709"/>
        <w:gridCol w:w="1417"/>
        <w:gridCol w:w="1418"/>
      </w:tblGrid>
      <w:tr w:rsidR="00D66D5C" w:rsidRPr="00676D8C" w14:paraId="7076545E" w14:textId="77777777" w:rsidTr="00676C1D">
        <w:trPr>
          <w:trHeight w:val="671"/>
          <w:jc w:val="center"/>
        </w:trPr>
        <w:tc>
          <w:tcPr>
            <w:tcW w:w="993"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49CE28F0"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Risk Group</w:t>
            </w:r>
          </w:p>
        </w:tc>
        <w:tc>
          <w:tcPr>
            <w:tcW w:w="1276"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050554E9"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Treatment</w:t>
            </w:r>
          </w:p>
          <w:p w14:paraId="38971A54"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Group</w:t>
            </w:r>
          </w:p>
        </w:tc>
        <w:tc>
          <w:tcPr>
            <w:tcW w:w="992"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17D9DE63"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Nos.</w:t>
            </w:r>
          </w:p>
          <w:p w14:paraId="1C353596"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rPr>
              <w:t>Patients</w:t>
            </w:r>
          </w:p>
        </w:tc>
        <w:tc>
          <w:tcPr>
            <w:tcW w:w="851"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4055891E"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Nos.</w:t>
            </w:r>
          </w:p>
          <w:p w14:paraId="2C7A24A2"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Events</w:t>
            </w:r>
          </w:p>
        </w:tc>
        <w:tc>
          <w:tcPr>
            <w:tcW w:w="709"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64DC216F" w14:textId="4FD0F70F" w:rsidR="00D66D5C" w:rsidRPr="00676D8C" w:rsidRDefault="00B66608" w:rsidP="00144A50">
            <w:pPr>
              <w:spacing w:after="0" w:line="480" w:lineRule="auto"/>
              <w:rPr>
                <w:rFonts w:ascii="Arial" w:hAnsi="Arial" w:cs="Arial"/>
                <w:b/>
                <w:sz w:val="16"/>
                <w:szCs w:val="16"/>
              </w:rPr>
            </w:pPr>
            <w:r>
              <w:rPr>
                <w:rFonts w:ascii="Arial" w:hAnsi="Arial" w:cs="Arial"/>
                <w:b/>
                <w:bCs/>
                <w:iCs/>
                <w:sz w:val="16"/>
                <w:szCs w:val="16"/>
                <w:lang w:val="en-US"/>
              </w:rPr>
              <w:t>Rate*</w:t>
            </w:r>
          </w:p>
        </w:tc>
        <w:tc>
          <w:tcPr>
            <w:tcW w:w="1417"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6BFB7D35"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Hazard Ratio</w:t>
            </w:r>
          </w:p>
          <w:p w14:paraId="29FF4AF3"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(95% CI)</w:t>
            </w:r>
          </w:p>
        </w:tc>
        <w:tc>
          <w:tcPr>
            <w:tcW w:w="1418" w:type="dxa"/>
            <w:tcBorders>
              <w:top w:val="single" w:sz="4" w:space="0" w:color="auto"/>
              <w:bottom w:val="single" w:sz="4" w:space="0" w:color="auto"/>
            </w:tcBorders>
            <w:shd w:val="clear" w:color="auto" w:fill="auto"/>
            <w:tcMar>
              <w:top w:w="15" w:type="dxa"/>
              <w:left w:w="108" w:type="dxa"/>
              <w:bottom w:w="0" w:type="dxa"/>
              <w:right w:w="108" w:type="dxa"/>
            </w:tcMar>
            <w:vAlign w:val="center"/>
          </w:tcPr>
          <w:p w14:paraId="41EB06F2" w14:textId="77777777" w:rsidR="00D66D5C" w:rsidRPr="00676D8C" w:rsidRDefault="00D66D5C" w:rsidP="00144A50">
            <w:pPr>
              <w:spacing w:after="0" w:line="480" w:lineRule="auto"/>
              <w:rPr>
                <w:rFonts w:ascii="Arial" w:hAnsi="Arial" w:cs="Arial"/>
                <w:b/>
                <w:sz w:val="16"/>
                <w:szCs w:val="16"/>
              </w:rPr>
            </w:pPr>
            <w:r w:rsidRPr="00676D8C">
              <w:rPr>
                <w:rFonts w:ascii="Arial" w:hAnsi="Arial" w:cs="Arial"/>
                <w:b/>
                <w:bCs/>
                <w:iCs/>
                <w:sz w:val="16"/>
                <w:szCs w:val="16"/>
                <w:lang w:val="en-US"/>
              </w:rPr>
              <w:t>Rate Difference (95% CI)</w:t>
            </w:r>
          </w:p>
        </w:tc>
      </w:tr>
      <w:tr w:rsidR="00D66D5C" w:rsidRPr="00676D8C" w14:paraId="357CB469" w14:textId="77777777" w:rsidTr="00144A50">
        <w:trPr>
          <w:trHeight w:val="392"/>
          <w:jc w:val="center"/>
        </w:trPr>
        <w:tc>
          <w:tcPr>
            <w:tcW w:w="993" w:type="dxa"/>
            <w:vMerge w:val="restart"/>
            <w:tcBorders>
              <w:top w:val="single" w:sz="4" w:space="0" w:color="auto"/>
            </w:tcBorders>
            <w:shd w:val="clear" w:color="auto" w:fill="auto"/>
            <w:tcMar>
              <w:top w:w="15" w:type="dxa"/>
              <w:left w:w="108" w:type="dxa"/>
              <w:bottom w:w="0" w:type="dxa"/>
              <w:right w:w="108" w:type="dxa"/>
            </w:tcMar>
            <w:vAlign w:val="center"/>
            <w:hideMark/>
          </w:tcPr>
          <w:p w14:paraId="068F8DEB"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bCs/>
                <w:sz w:val="16"/>
                <w:szCs w:val="16"/>
                <w:lang w:val="en-US"/>
              </w:rPr>
              <w:t>Low</w:t>
            </w:r>
          </w:p>
        </w:tc>
        <w:tc>
          <w:tcPr>
            <w:tcW w:w="1276" w:type="dxa"/>
            <w:tcBorders>
              <w:top w:val="single" w:sz="4" w:space="0" w:color="auto"/>
            </w:tcBorders>
            <w:shd w:val="clear" w:color="auto" w:fill="auto"/>
            <w:tcMar>
              <w:top w:w="15" w:type="dxa"/>
              <w:left w:w="108" w:type="dxa"/>
              <w:bottom w:w="0" w:type="dxa"/>
              <w:right w:w="108" w:type="dxa"/>
            </w:tcMar>
            <w:vAlign w:val="center"/>
            <w:hideMark/>
          </w:tcPr>
          <w:p w14:paraId="4C4415E9"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i/>
                <w:iCs/>
                <w:sz w:val="16"/>
                <w:szCs w:val="16"/>
                <w:lang w:val="en-US"/>
              </w:rPr>
              <w:t>Placebo</w:t>
            </w:r>
          </w:p>
        </w:tc>
        <w:tc>
          <w:tcPr>
            <w:tcW w:w="992" w:type="dxa"/>
            <w:tcBorders>
              <w:top w:val="single" w:sz="4" w:space="0" w:color="auto"/>
            </w:tcBorders>
            <w:shd w:val="clear" w:color="auto" w:fill="auto"/>
            <w:tcMar>
              <w:top w:w="15" w:type="dxa"/>
              <w:left w:w="108" w:type="dxa"/>
              <w:bottom w:w="0" w:type="dxa"/>
              <w:right w:w="108" w:type="dxa"/>
            </w:tcMar>
            <w:vAlign w:val="center"/>
            <w:hideMark/>
          </w:tcPr>
          <w:p w14:paraId="6B09658E"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643</w:t>
            </w:r>
          </w:p>
        </w:tc>
        <w:tc>
          <w:tcPr>
            <w:tcW w:w="851" w:type="dxa"/>
            <w:tcBorders>
              <w:top w:val="single" w:sz="4" w:space="0" w:color="auto"/>
            </w:tcBorders>
            <w:shd w:val="clear" w:color="auto" w:fill="auto"/>
            <w:tcMar>
              <w:top w:w="15" w:type="dxa"/>
              <w:left w:w="108" w:type="dxa"/>
              <w:bottom w:w="0" w:type="dxa"/>
              <w:right w:w="108" w:type="dxa"/>
            </w:tcMar>
            <w:vAlign w:val="center"/>
            <w:hideMark/>
          </w:tcPr>
          <w:p w14:paraId="6289F796"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103</w:t>
            </w:r>
          </w:p>
        </w:tc>
        <w:tc>
          <w:tcPr>
            <w:tcW w:w="709" w:type="dxa"/>
            <w:tcBorders>
              <w:top w:val="single" w:sz="4" w:space="0" w:color="auto"/>
            </w:tcBorders>
            <w:shd w:val="clear" w:color="auto" w:fill="auto"/>
            <w:tcMar>
              <w:top w:w="15" w:type="dxa"/>
              <w:left w:w="108" w:type="dxa"/>
              <w:bottom w:w="0" w:type="dxa"/>
              <w:right w:w="108" w:type="dxa"/>
            </w:tcMar>
            <w:vAlign w:val="center"/>
            <w:hideMark/>
          </w:tcPr>
          <w:p w14:paraId="61EC3132"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7.61</w:t>
            </w:r>
          </w:p>
        </w:tc>
        <w:tc>
          <w:tcPr>
            <w:tcW w:w="1417" w:type="dxa"/>
            <w:vMerge w:val="restart"/>
            <w:tcBorders>
              <w:top w:val="single" w:sz="4" w:space="0" w:color="auto"/>
            </w:tcBorders>
            <w:shd w:val="clear" w:color="auto" w:fill="auto"/>
            <w:tcMar>
              <w:top w:w="15" w:type="dxa"/>
              <w:left w:w="108" w:type="dxa"/>
              <w:bottom w:w="0" w:type="dxa"/>
              <w:right w:w="108" w:type="dxa"/>
            </w:tcMar>
            <w:vAlign w:val="center"/>
            <w:hideMark/>
          </w:tcPr>
          <w:p w14:paraId="3D284719"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0.74</w:t>
            </w:r>
          </w:p>
          <w:p w14:paraId="4D3C4E31"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(0.56, 0.99)</w:t>
            </w:r>
          </w:p>
        </w:tc>
        <w:tc>
          <w:tcPr>
            <w:tcW w:w="1418" w:type="dxa"/>
            <w:vMerge w:val="restart"/>
            <w:tcBorders>
              <w:top w:val="single" w:sz="4" w:space="0" w:color="auto"/>
            </w:tcBorders>
            <w:shd w:val="clear" w:color="auto" w:fill="auto"/>
            <w:tcMar>
              <w:top w:w="15" w:type="dxa"/>
              <w:left w:w="108" w:type="dxa"/>
              <w:bottom w:w="0" w:type="dxa"/>
              <w:right w:w="108" w:type="dxa"/>
            </w:tcMar>
            <w:vAlign w:val="center"/>
            <w:hideMark/>
          </w:tcPr>
          <w:p w14:paraId="1D908BEA"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-1.98</w:t>
            </w:r>
          </w:p>
          <w:p w14:paraId="4D5448E1"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(-3.89, -0.06)</w:t>
            </w:r>
          </w:p>
        </w:tc>
      </w:tr>
      <w:tr w:rsidR="00D66D5C" w:rsidRPr="00676D8C" w14:paraId="2D7A6A74" w14:textId="77777777" w:rsidTr="00144A50">
        <w:trPr>
          <w:trHeight w:val="392"/>
          <w:jc w:val="center"/>
        </w:trPr>
        <w:tc>
          <w:tcPr>
            <w:tcW w:w="993" w:type="dxa"/>
            <w:vMerge/>
            <w:vAlign w:val="center"/>
            <w:hideMark/>
          </w:tcPr>
          <w:p w14:paraId="0C21DD5D" w14:textId="77777777" w:rsidR="00D66D5C" w:rsidRPr="00676D8C" w:rsidRDefault="00D66D5C" w:rsidP="00144A50">
            <w:pPr>
              <w:spacing w:after="0" w:line="480" w:lineRule="auto"/>
              <w:rPr>
                <w:rFonts w:ascii="Arial" w:hAnsi="Arial" w:cs="Arial"/>
                <w:sz w:val="16"/>
                <w:szCs w:val="16"/>
              </w:rPr>
            </w:pPr>
          </w:p>
        </w:tc>
        <w:tc>
          <w:tcPr>
            <w:tcW w:w="1276" w:type="dxa"/>
            <w:shd w:val="clear" w:color="auto" w:fill="auto"/>
            <w:tcMar>
              <w:top w:w="15" w:type="dxa"/>
              <w:left w:w="108" w:type="dxa"/>
              <w:bottom w:w="0" w:type="dxa"/>
              <w:right w:w="108" w:type="dxa"/>
            </w:tcMar>
            <w:vAlign w:val="center"/>
            <w:hideMark/>
          </w:tcPr>
          <w:p w14:paraId="0A35FBA0"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i/>
                <w:iCs/>
                <w:sz w:val="16"/>
                <w:szCs w:val="16"/>
                <w:lang w:val="en-US"/>
              </w:rPr>
              <w:t>Eplerenone</w:t>
            </w:r>
          </w:p>
        </w:tc>
        <w:tc>
          <w:tcPr>
            <w:tcW w:w="992" w:type="dxa"/>
            <w:shd w:val="clear" w:color="auto" w:fill="auto"/>
            <w:tcMar>
              <w:top w:w="15" w:type="dxa"/>
              <w:left w:w="108" w:type="dxa"/>
              <w:bottom w:w="0" w:type="dxa"/>
              <w:right w:w="108" w:type="dxa"/>
            </w:tcMar>
            <w:vAlign w:val="center"/>
            <w:hideMark/>
          </w:tcPr>
          <w:p w14:paraId="5402DD80"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648</w:t>
            </w:r>
          </w:p>
        </w:tc>
        <w:tc>
          <w:tcPr>
            <w:tcW w:w="851" w:type="dxa"/>
            <w:shd w:val="clear" w:color="auto" w:fill="auto"/>
            <w:tcMar>
              <w:top w:w="15" w:type="dxa"/>
              <w:left w:w="108" w:type="dxa"/>
              <w:bottom w:w="0" w:type="dxa"/>
              <w:right w:w="108" w:type="dxa"/>
            </w:tcMar>
            <w:vAlign w:val="center"/>
            <w:hideMark/>
          </w:tcPr>
          <w:p w14:paraId="0CF85012"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81</w:t>
            </w:r>
          </w:p>
        </w:tc>
        <w:tc>
          <w:tcPr>
            <w:tcW w:w="709" w:type="dxa"/>
            <w:shd w:val="clear" w:color="auto" w:fill="auto"/>
            <w:tcMar>
              <w:top w:w="15" w:type="dxa"/>
              <w:left w:w="108" w:type="dxa"/>
              <w:bottom w:w="0" w:type="dxa"/>
              <w:right w:w="108" w:type="dxa"/>
            </w:tcMar>
            <w:vAlign w:val="center"/>
            <w:hideMark/>
          </w:tcPr>
          <w:p w14:paraId="2D246A7A"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5.63</w:t>
            </w:r>
          </w:p>
        </w:tc>
        <w:tc>
          <w:tcPr>
            <w:tcW w:w="1417" w:type="dxa"/>
            <w:vMerge/>
            <w:vAlign w:val="center"/>
            <w:hideMark/>
          </w:tcPr>
          <w:p w14:paraId="69159D0A" w14:textId="77777777" w:rsidR="00D66D5C" w:rsidRPr="00D66D5C" w:rsidRDefault="00D66D5C" w:rsidP="00144A50">
            <w:pPr>
              <w:spacing w:after="0" w:line="480" w:lineRule="auto"/>
              <w:rPr>
                <w:rFonts w:ascii="Arial" w:hAnsi="Arial" w:cs="Arial"/>
                <w:sz w:val="16"/>
                <w:szCs w:val="16"/>
              </w:rPr>
            </w:pPr>
          </w:p>
        </w:tc>
        <w:tc>
          <w:tcPr>
            <w:tcW w:w="1418" w:type="dxa"/>
            <w:vMerge/>
            <w:vAlign w:val="center"/>
            <w:hideMark/>
          </w:tcPr>
          <w:p w14:paraId="7D3676D9" w14:textId="77777777" w:rsidR="00D66D5C" w:rsidRPr="00D66D5C" w:rsidRDefault="00D66D5C" w:rsidP="00144A50">
            <w:pPr>
              <w:spacing w:after="0" w:line="480" w:lineRule="auto"/>
              <w:rPr>
                <w:rFonts w:ascii="Arial" w:hAnsi="Arial" w:cs="Arial"/>
                <w:sz w:val="16"/>
                <w:szCs w:val="16"/>
              </w:rPr>
            </w:pPr>
          </w:p>
        </w:tc>
      </w:tr>
      <w:tr w:rsidR="00D66D5C" w:rsidRPr="00676D8C" w14:paraId="635B197E" w14:textId="77777777" w:rsidTr="00144A50">
        <w:trPr>
          <w:trHeight w:val="392"/>
          <w:jc w:val="center"/>
        </w:trPr>
        <w:tc>
          <w:tcPr>
            <w:tcW w:w="993" w:type="dxa"/>
            <w:vMerge w:val="restart"/>
            <w:shd w:val="clear" w:color="auto" w:fill="auto"/>
            <w:tcMar>
              <w:top w:w="15" w:type="dxa"/>
              <w:left w:w="108" w:type="dxa"/>
              <w:bottom w:w="0" w:type="dxa"/>
              <w:right w:w="108" w:type="dxa"/>
            </w:tcMar>
            <w:vAlign w:val="center"/>
            <w:hideMark/>
          </w:tcPr>
          <w:p w14:paraId="4C52B54A" w14:textId="77777777" w:rsidR="00D66D5C" w:rsidRPr="00676D8C" w:rsidRDefault="00D66D5C" w:rsidP="00144A50">
            <w:pPr>
              <w:spacing w:after="0" w:line="480" w:lineRule="auto"/>
              <w:rPr>
                <w:rFonts w:ascii="Arial" w:hAnsi="Arial" w:cs="Arial"/>
                <w:sz w:val="16"/>
                <w:szCs w:val="16"/>
              </w:rPr>
            </w:pPr>
            <w:r>
              <w:rPr>
                <w:rFonts w:ascii="Arial" w:hAnsi="Arial" w:cs="Arial"/>
                <w:bCs/>
                <w:sz w:val="16"/>
                <w:szCs w:val="16"/>
                <w:lang w:val="en-US"/>
              </w:rPr>
              <w:t>Mid</w:t>
            </w:r>
          </w:p>
        </w:tc>
        <w:tc>
          <w:tcPr>
            <w:tcW w:w="1276" w:type="dxa"/>
            <w:shd w:val="clear" w:color="auto" w:fill="auto"/>
            <w:tcMar>
              <w:top w:w="15" w:type="dxa"/>
              <w:left w:w="108" w:type="dxa"/>
              <w:bottom w:w="0" w:type="dxa"/>
              <w:right w:w="108" w:type="dxa"/>
            </w:tcMar>
            <w:vAlign w:val="center"/>
            <w:hideMark/>
          </w:tcPr>
          <w:p w14:paraId="1C01A6DC"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i/>
                <w:iCs/>
                <w:sz w:val="16"/>
                <w:szCs w:val="16"/>
                <w:lang w:val="en-US"/>
              </w:rPr>
              <w:t>Placebo</w:t>
            </w:r>
          </w:p>
        </w:tc>
        <w:tc>
          <w:tcPr>
            <w:tcW w:w="992" w:type="dxa"/>
            <w:shd w:val="clear" w:color="auto" w:fill="auto"/>
            <w:tcMar>
              <w:top w:w="15" w:type="dxa"/>
              <w:left w:w="108" w:type="dxa"/>
              <w:bottom w:w="0" w:type="dxa"/>
              <w:right w:w="108" w:type="dxa"/>
            </w:tcMar>
            <w:vAlign w:val="center"/>
            <w:hideMark/>
          </w:tcPr>
          <w:p w14:paraId="066B0AA3"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478</w:t>
            </w:r>
          </w:p>
        </w:tc>
        <w:tc>
          <w:tcPr>
            <w:tcW w:w="851" w:type="dxa"/>
            <w:shd w:val="clear" w:color="auto" w:fill="auto"/>
            <w:tcMar>
              <w:top w:w="15" w:type="dxa"/>
              <w:left w:w="108" w:type="dxa"/>
              <w:bottom w:w="0" w:type="dxa"/>
              <w:right w:w="108" w:type="dxa"/>
            </w:tcMar>
            <w:vAlign w:val="center"/>
            <w:hideMark/>
          </w:tcPr>
          <w:p w14:paraId="5383B1FB"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164</w:t>
            </w:r>
          </w:p>
        </w:tc>
        <w:tc>
          <w:tcPr>
            <w:tcW w:w="709" w:type="dxa"/>
            <w:shd w:val="clear" w:color="auto" w:fill="auto"/>
            <w:tcMar>
              <w:top w:w="15" w:type="dxa"/>
              <w:left w:w="108" w:type="dxa"/>
              <w:bottom w:w="0" w:type="dxa"/>
              <w:right w:w="108" w:type="dxa"/>
            </w:tcMar>
            <w:vAlign w:val="center"/>
            <w:hideMark/>
          </w:tcPr>
          <w:p w14:paraId="7E4FCECF"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19.00</w:t>
            </w:r>
          </w:p>
        </w:tc>
        <w:tc>
          <w:tcPr>
            <w:tcW w:w="1417" w:type="dxa"/>
            <w:vMerge w:val="restart"/>
            <w:shd w:val="clear" w:color="auto" w:fill="auto"/>
            <w:tcMar>
              <w:top w:w="15" w:type="dxa"/>
              <w:left w:w="108" w:type="dxa"/>
              <w:bottom w:w="0" w:type="dxa"/>
              <w:right w:w="108" w:type="dxa"/>
            </w:tcMar>
            <w:vAlign w:val="center"/>
            <w:hideMark/>
          </w:tcPr>
          <w:p w14:paraId="56BDD93A" w14:textId="77777777" w:rsidR="00D66D5C" w:rsidRPr="00D66D5C" w:rsidRDefault="00D66D5C" w:rsidP="00144A50">
            <w:pPr>
              <w:spacing w:after="0" w:line="480" w:lineRule="auto"/>
              <w:rPr>
                <w:rFonts w:ascii="Arial" w:hAnsi="Arial" w:cs="Arial"/>
                <w:sz w:val="16"/>
                <w:szCs w:val="16"/>
                <w:lang w:val="en-US"/>
              </w:rPr>
            </w:pPr>
            <w:r w:rsidRPr="00D66D5C">
              <w:rPr>
                <w:rFonts w:ascii="Arial" w:hAnsi="Arial" w:cs="Arial"/>
                <w:sz w:val="16"/>
                <w:szCs w:val="16"/>
                <w:lang w:val="en-US"/>
              </w:rPr>
              <w:t xml:space="preserve">0.64 </w:t>
            </w:r>
          </w:p>
          <w:p w14:paraId="4C4373FD"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(0.50, 0.82)</w:t>
            </w:r>
          </w:p>
        </w:tc>
        <w:tc>
          <w:tcPr>
            <w:tcW w:w="1418" w:type="dxa"/>
            <w:vMerge w:val="restart"/>
            <w:shd w:val="clear" w:color="auto" w:fill="auto"/>
            <w:tcMar>
              <w:top w:w="15" w:type="dxa"/>
              <w:left w:w="108" w:type="dxa"/>
              <w:bottom w:w="0" w:type="dxa"/>
              <w:right w:w="108" w:type="dxa"/>
            </w:tcMar>
            <w:vAlign w:val="center"/>
            <w:hideMark/>
          </w:tcPr>
          <w:p w14:paraId="52C59CA8"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-6.80</w:t>
            </w:r>
          </w:p>
          <w:p w14:paraId="0217BA84"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(-10.54, -3.06)</w:t>
            </w:r>
          </w:p>
        </w:tc>
      </w:tr>
      <w:tr w:rsidR="00D66D5C" w:rsidRPr="00676D8C" w14:paraId="03BCCF42" w14:textId="77777777" w:rsidTr="00144A50">
        <w:trPr>
          <w:trHeight w:val="392"/>
          <w:jc w:val="center"/>
        </w:trPr>
        <w:tc>
          <w:tcPr>
            <w:tcW w:w="993" w:type="dxa"/>
            <w:vMerge/>
            <w:vAlign w:val="center"/>
            <w:hideMark/>
          </w:tcPr>
          <w:p w14:paraId="38EDD1D0" w14:textId="77777777" w:rsidR="00D66D5C" w:rsidRPr="00676D8C" w:rsidRDefault="00D66D5C" w:rsidP="00144A50">
            <w:pPr>
              <w:spacing w:after="0" w:line="480" w:lineRule="auto"/>
              <w:rPr>
                <w:rFonts w:ascii="Arial" w:hAnsi="Arial" w:cs="Arial"/>
                <w:sz w:val="16"/>
                <w:szCs w:val="16"/>
              </w:rPr>
            </w:pPr>
          </w:p>
        </w:tc>
        <w:tc>
          <w:tcPr>
            <w:tcW w:w="1276" w:type="dxa"/>
            <w:shd w:val="clear" w:color="auto" w:fill="auto"/>
            <w:tcMar>
              <w:top w:w="15" w:type="dxa"/>
              <w:left w:w="108" w:type="dxa"/>
              <w:bottom w:w="0" w:type="dxa"/>
              <w:right w:w="108" w:type="dxa"/>
            </w:tcMar>
            <w:vAlign w:val="center"/>
            <w:hideMark/>
          </w:tcPr>
          <w:p w14:paraId="1696FDA5"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i/>
                <w:iCs/>
                <w:sz w:val="16"/>
                <w:szCs w:val="16"/>
                <w:lang w:val="en-US"/>
              </w:rPr>
              <w:t>Eplerenone</w:t>
            </w:r>
          </w:p>
        </w:tc>
        <w:tc>
          <w:tcPr>
            <w:tcW w:w="992" w:type="dxa"/>
            <w:shd w:val="clear" w:color="auto" w:fill="auto"/>
            <w:tcMar>
              <w:top w:w="15" w:type="dxa"/>
              <w:left w:w="108" w:type="dxa"/>
              <w:bottom w:w="0" w:type="dxa"/>
              <w:right w:w="108" w:type="dxa"/>
            </w:tcMar>
            <w:vAlign w:val="center"/>
            <w:hideMark/>
          </w:tcPr>
          <w:p w14:paraId="398D57B1"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445</w:t>
            </w:r>
          </w:p>
        </w:tc>
        <w:tc>
          <w:tcPr>
            <w:tcW w:w="851" w:type="dxa"/>
            <w:shd w:val="clear" w:color="auto" w:fill="auto"/>
            <w:tcMar>
              <w:top w:w="15" w:type="dxa"/>
              <w:left w:w="108" w:type="dxa"/>
              <w:bottom w:w="0" w:type="dxa"/>
              <w:right w:w="108" w:type="dxa"/>
            </w:tcMar>
            <w:vAlign w:val="center"/>
            <w:hideMark/>
          </w:tcPr>
          <w:p w14:paraId="7E69F657"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104</w:t>
            </w:r>
          </w:p>
        </w:tc>
        <w:tc>
          <w:tcPr>
            <w:tcW w:w="709" w:type="dxa"/>
            <w:shd w:val="clear" w:color="auto" w:fill="auto"/>
            <w:tcMar>
              <w:top w:w="15" w:type="dxa"/>
              <w:left w:w="108" w:type="dxa"/>
              <w:bottom w:w="0" w:type="dxa"/>
              <w:right w:w="108" w:type="dxa"/>
            </w:tcMar>
            <w:vAlign w:val="center"/>
            <w:hideMark/>
          </w:tcPr>
          <w:p w14:paraId="421C6E07"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12.20</w:t>
            </w:r>
          </w:p>
        </w:tc>
        <w:tc>
          <w:tcPr>
            <w:tcW w:w="1417" w:type="dxa"/>
            <w:vMerge/>
            <w:vAlign w:val="center"/>
            <w:hideMark/>
          </w:tcPr>
          <w:p w14:paraId="57B5D749" w14:textId="77777777" w:rsidR="00D66D5C" w:rsidRPr="00D66D5C" w:rsidRDefault="00D66D5C" w:rsidP="00144A50">
            <w:pPr>
              <w:spacing w:after="0" w:line="480" w:lineRule="auto"/>
              <w:rPr>
                <w:rFonts w:ascii="Arial" w:hAnsi="Arial" w:cs="Arial"/>
                <w:sz w:val="16"/>
                <w:szCs w:val="16"/>
              </w:rPr>
            </w:pPr>
          </w:p>
        </w:tc>
        <w:tc>
          <w:tcPr>
            <w:tcW w:w="1418" w:type="dxa"/>
            <w:vMerge/>
            <w:vAlign w:val="center"/>
            <w:hideMark/>
          </w:tcPr>
          <w:p w14:paraId="7610F611" w14:textId="77777777" w:rsidR="00D66D5C" w:rsidRPr="00D66D5C" w:rsidRDefault="00D66D5C" w:rsidP="00144A50">
            <w:pPr>
              <w:spacing w:after="0" w:line="480" w:lineRule="auto"/>
              <w:rPr>
                <w:rFonts w:ascii="Arial" w:hAnsi="Arial" w:cs="Arial"/>
                <w:sz w:val="16"/>
                <w:szCs w:val="16"/>
              </w:rPr>
            </w:pPr>
          </w:p>
        </w:tc>
      </w:tr>
      <w:tr w:rsidR="00D66D5C" w:rsidRPr="00676D8C" w14:paraId="7E3DF5AF" w14:textId="77777777" w:rsidTr="00144A50">
        <w:trPr>
          <w:trHeight w:val="392"/>
          <w:jc w:val="center"/>
        </w:trPr>
        <w:tc>
          <w:tcPr>
            <w:tcW w:w="993" w:type="dxa"/>
            <w:vMerge w:val="restart"/>
            <w:shd w:val="clear" w:color="auto" w:fill="auto"/>
            <w:tcMar>
              <w:top w:w="15" w:type="dxa"/>
              <w:left w:w="108" w:type="dxa"/>
              <w:bottom w:w="0" w:type="dxa"/>
              <w:right w:w="108" w:type="dxa"/>
            </w:tcMar>
            <w:vAlign w:val="center"/>
            <w:hideMark/>
          </w:tcPr>
          <w:p w14:paraId="7D67CBCC"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bCs/>
                <w:sz w:val="16"/>
                <w:szCs w:val="16"/>
                <w:lang w:val="en-US"/>
              </w:rPr>
              <w:t>High</w:t>
            </w:r>
          </w:p>
        </w:tc>
        <w:tc>
          <w:tcPr>
            <w:tcW w:w="1276" w:type="dxa"/>
            <w:shd w:val="clear" w:color="auto" w:fill="auto"/>
            <w:tcMar>
              <w:top w:w="15" w:type="dxa"/>
              <w:left w:w="108" w:type="dxa"/>
              <w:bottom w:w="0" w:type="dxa"/>
              <w:right w:w="108" w:type="dxa"/>
            </w:tcMar>
            <w:vAlign w:val="center"/>
            <w:hideMark/>
          </w:tcPr>
          <w:p w14:paraId="1202537D"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i/>
                <w:iCs/>
                <w:sz w:val="16"/>
                <w:szCs w:val="16"/>
                <w:lang w:val="en-US"/>
              </w:rPr>
              <w:t>Placebo</w:t>
            </w:r>
          </w:p>
        </w:tc>
        <w:tc>
          <w:tcPr>
            <w:tcW w:w="992" w:type="dxa"/>
            <w:shd w:val="clear" w:color="auto" w:fill="auto"/>
            <w:tcMar>
              <w:top w:w="15" w:type="dxa"/>
              <w:left w:w="108" w:type="dxa"/>
              <w:bottom w:w="0" w:type="dxa"/>
              <w:right w:w="108" w:type="dxa"/>
            </w:tcMar>
            <w:vAlign w:val="center"/>
            <w:hideMark/>
          </w:tcPr>
          <w:p w14:paraId="7E4997FB"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252</w:t>
            </w:r>
          </w:p>
        </w:tc>
        <w:tc>
          <w:tcPr>
            <w:tcW w:w="851" w:type="dxa"/>
            <w:shd w:val="clear" w:color="auto" w:fill="auto"/>
            <w:tcMar>
              <w:top w:w="15" w:type="dxa"/>
              <w:left w:w="108" w:type="dxa"/>
              <w:bottom w:w="0" w:type="dxa"/>
              <w:right w:w="108" w:type="dxa"/>
            </w:tcMar>
            <w:vAlign w:val="center"/>
            <w:hideMark/>
          </w:tcPr>
          <w:p w14:paraId="68587383"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125</w:t>
            </w:r>
          </w:p>
        </w:tc>
        <w:tc>
          <w:tcPr>
            <w:tcW w:w="709" w:type="dxa"/>
            <w:shd w:val="clear" w:color="auto" w:fill="auto"/>
            <w:tcMar>
              <w:top w:w="15" w:type="dxa"/>
              <w:left w:w="108" w:type="dxa"/>
              <w:bottom w:w="0" w:type="dxa"/>
              <w:right w:w="108" w:type="dxa"/>
            </w:tcMar>
            <w:vAlign w:val="center"/>
            <w:hideMark/>
          </w:tcPr>
          <w:p w14:paraId="24546832" w14:textId="77777777" w:rsidR="00D66D5C" w:rsidRPr="00676D8C" w:rsidRDefault="00D66D5C" w:rsidP="00144A50">
            <w:pPr>
              <w:spacing w:after="0" w:line="480" w:lineRule="auto"/>
              <w:rPr>
                <w:rFonts w:ascii="Arial" w:hAnsi="Arial" w:cs="Arial"/>
                <w:sz w:val="16"/>
                <w:szCs w:val="16"/>
              </w:rPr>
            </w:pPr>
            <w:r w:rsidRPr="00676D8C">
              <w:rPr>
                <w:rFonts w:ascii="Arial" w:hAnsi="Arial" w:cs="Arial"/>
                <w:sz w:val="16"/>
                <w:szCs w:val="16"/>
                <w:lang w:val="en-US"/>
              </w:rPr>
              <w:t>39.42</w:t>
            </w:r>
          </w:p>
        </w:tc>
        <w:tc>
          <w:tcPr>
            <w:tcW w:w="1417" w:type="dxa"/>
            <w:vMerge w:val="restart"/>
            <w:shd w:val="clear" w:color="auto" w:fill="auto"/>
            <w:tcMar>
              <w:top w:w="15" w:type="dxa"/>
              <w:left w:w="108" w:type="dxa"/>
              <w:bottom w:w="0" w:type="dxa"/>
              <w:right w:w="108" w:type="dxa"/>
            </w:tcMar>
            <w:vAlign w:val="center"/>
            <w:hideMark/>
          </w:tcPr>
          <w:p w14:paraId="552E0674"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0.63</w:t>
            </w:r>
          </w:p>
          <w:p w14:paraId="61BA6422"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(0.49, 0.82)</w:t>
            </w:r>
          </w:p>
        </w:tc>
        <w:tc>
          <w:tcPr>
            <w:tcW w:w="1418" w:type="dxa"/>
            <w:vMerge w:val="restart"/>
            <w:shd w:val="clear" w:color="auto" w:fill="auto"/>
            <w:tcMar>
              <w:top w:w="15" w:type="dxa"/>
              <w:left w:w="108" w:type="dxa"/>
              <w:bottom w:w="0" w:type="dxa"/>
              <w:right w:w="108" w:type="dxa"/>
            </w:tcMar>
            <w:vAlign w:val="center"/>
            <w:hideMark/>
          </w:tcPr>
          <w:p w14:paraId="46A05DF1"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-15.22</w:t>
            </w:r>
          </w:p>
          <w:p w14:paraId="1140CE7B" w14:textId="77777777" w:rsidR="00D66D5C" w:rsidRPr="00D66D5C" w:rsidRDefault="00D66D5C" w:rsidP="00144A50">
            <w:pPr>
              <w:spacing w:after="0" w:line="480" w:lineRule="auto"/>
              <w:rPr>
                <w:rFonts w:ascii="Arial" w:hAnsi="Arial" w:cs="Arial"/>
                <w:sz w:val="16"/>
                <w:szCs w:val="16"/>
              </w:rPr>
            </w:pPr>
            <w:r w:rsidRPr="00D66D5C">
              <w:rPr>
                <w:rFonts w:ascii="Arial" w:hAnsi="Arial" w:cs="Arial"/>
                <w:sz w:val="16"/>
                <w:szCs w:val="16"/>
                <w:lang w:val="en-US"/>
              </w:rPr>
              <w:t>(-23.57, -6.88)</w:t>
            </w:r>
          </w:p>
        </w:tc>
      </w:tr>
      <w:tr w:rsidR="00D66D5C" w:rsidRPr="00676D8C" w14:paraId="30C2A60A" w14:textId="77777777" w:rsidTr="00144A50">
        <w:trPr>
          <w:trHeight w:val="392"/>
          <w:jc w:val="center"/>
        </w:trPr>
        <w:tc>
          <w:tcPr>
            <w:tcW w:w="993" w:type="dxa"/>
            <w:vMerge/>
            <w:tcBorders>
              <w:bottom w:val="single" w:sz="4" w:space="0" w:color="auto"/>
            </w:tcBorders>
            <w:shd w:val="clear" w:color="auto" w:fill="auto"/>
            <w:tcMar>
              <w:top w:w="15" w:type="dxa"/>
              <w:left w:w="108" w:type="dxa"/>
              <w:bottom w:w="0" w:type="dxa"/>
              <w:right w:w="108" w:type="dxa"/>
            </w:tcMar>
            <w:vAlign w:val="center"/>
          </w:tcPr>
          <w:p w14:paraId="2A0732D6" w14:textId="77777777" w:rsidR="00D66D5C" w:rsidRPr="00676D8C" w:rsidRDefault="00D66D5C" w:rsidP="00144A50">
            <w:pPr>
              <w:spacing w:after="0" w:line="480" w:lineRule="auto"/>
              <w:rPr>
                <w:rFonts w:ascii="Arial" w:hAnsi="Arial" w:cs="Arial"/>
                <w:bCs/>
                <w:sz w:val="16"/>
                <w:szCs w:val="16"/>
                <w:lang w:val="en-US"/>
              </w:rPr>
            </w:pPr>
          </w:p>
        </w:tc>
        <w:tc>
          <w:tcPr>
            <w:tcW w:w="1276" w:type="dxa"/>
            <w:tcBorders>
              <w:bottom w:val="single" w:sz="4" w:space="0" w:color="auto"/>
            </w:tcBorders>
            <w:shd w:val="clear" w:color="auto" w:fill="auto"/>
            <w:tcMar>
              <w:top w:w="15" w:type="dxa"/>
              <w:left w:w="108" w:type="dxa"/>
              <w:bottom w:w="0" w:type="dxa"/>
              <w:right w:w="108" w:type="dxa"/>
            </w:tcMar>
            <w:vAlign w:val="center"/>
          </w:tcPr>
          <w:p w14:paraId="713603BF" w14:textId="77777777" w:rsidR="00D66D5C" w:rsidRPr="00676D8C" w:rsidRDefault="00D66D5C" w:rsidP="00144A50">
            <w:pPr>
              <w:pStyle w:val="NormalWeb"/>
              <w:spacing w:before="0" w:beforeAutospacing="0" w:after="0" w:afterAutospacing="0" w:line="480" w:lineRule="auto"/>
              <w:rPr>
                <w:rFonts w:ascii="Arial" w:hAnsi="Arial" w:cs="Arial"/>
                <w:sz w:val="16"/>
                <w:szCs w:val="16"/>
              </w:rPr>
            </w:pPr>
            <w:r w:rsidRPr="00676D8C">
              <w:rPr>
                <w:rFonts w:ascii="Arial" w:hAnsi="Arial" w:cs="Arial"/>
                <w:i/>
                <w:iCs/>
                <w:kern w:val="24"/>
                <w:sz w:val="16"/>
                <w:szCs w:val="16"/>
                <w:lang w:val="en-US"/>
              </w:rPr>
              <w:t>Eplerenone</w:t>
            </w:r>
          </w:p>
        </w:tc>
        <w:tc>
          <w:tcPr>
            <w:tcW w:w="992" w:type="dxa"/>
            <w:tcBorders>
              <w:bottom w:val="single" w:sz="4" w:space="0" w:color="auto"/>
            </w:tcBorders>
            <w:shd w:val="clear" w:color="auto" w:fill="auto"/>
            <w:tcMar>
              <w:top w:w="15" w:type="dxa"/>
              <w:left w:w="108" w:type="dxa"/>
              <w:bottom w:w="0" w:type="dxa"/>
              <w:right w:w="108" w:type="dxa"/>
            </w:tcMar>
            <w:vAlign w:val="center"/>
          </w:tcPr>
          <w:p w14:paraId="403AA595" w14:textId="77777777" w:rsidR="00D66D5C" w:rsidRPr="00676D8C" w:rsidRDefault="00D66D5C" w:rsidP="00144A50">
            <w:pPr>
              <w:pStyle w:val="NormalWeb"/>
              <w:spacing w:before="0" w:beforeAutospacing="0" w:after="0" w:afterAutospacing="0" w:line="480" w:lineRule="auto"/>
              <w:rPr>
                <w:rFonts w:ascii="Arial" w:hAnsi="Arial" w:cs="Arial"/>
                <w:sz w:val="16"/>
                <w:szCs w:val="16"/>
              </w:rPr>
            </w:pPr>
            <w:r w:rsidRPr="00676D8C">
              <w:rPr>
                <w:rFonts w:ascii="Arial" w:hAnsi="Arial" w:cs="Arial"/>
                <w:kern w:val="24"/>
                <w:sz w:val="16"/>
                <w:szCs w:val="16"/>
                <w:lang w:val="en-US"/>
              </w:rPr>
              <w:t>271</w:t>
            </w:r>
          </w:p>
        </w:tc>
        <w:tc>
          <w:tcPr>
            <w:tcW w:w="851" w:type="dxa"/>
            <w:tcBorders>
              <w:bottom w:val="single" w:sz="4" w:space="0" w:color="auto"/>
            </w:tcBorders>
            <w:shd w:val="clear" w:color="auto" w:fill="auto"/>
            <w:tcMar>
              <w:top w:w="15" w:type="dxa"/>
              <w:left w:w="108" w:type="dxa"/>
              <w:bottom w:w="0" w:type="dxa"/>
              <w:right w:w="108" w:type="dxa"/>
            </w:tcMar>
            <w:vAlign w:val="center"/>
          </w:tcPr>
          <w:p w14:paraId="24EF0DE3" w14:textId="77777777" w:rsidR="00D66D5C" w:rsidRPr="00676D8C" w:rsidRDefault="00D66D5C" w:rsidP="00144A50">
            <w:pPr>
              <w:pStyle w:val="NormalWeb"/>
              <w:spacing w:before="0" w:beforeAutospacing="0" w:after="0" w:afterAutospacing="0" w:line="480" w:lineRule="auto"/>
              <w:rPr>
                <w:rFonts w:ascii="Arial" w:hAnsi="Arial" w:cs="Arial"/>
                <w:sz w:val="16"/>
                <w:szCs w:val="16"/>
              </w:rPr>
            </w:pPr>
            <w:r w:rsidRPr="00676D8C">
              <w:rPr>
                <w:rFonts w:ascii="Arial" w:hAnsi="Arial" w:cs="Arial"/>
                <w:kern w:val="24"/>
                <w:sz w:val="16"/>
                <w:szCs w:val="16"/>
                <w:lang w:val="en-US"/>
              </w:rPr>
              <w:t>103</w:t>
            </w:r>
          </w:p>
        </w:tc>
        <w:tc>
          <w:tcPr>
            <w:tcW w:w="709" w:type="dxa"/>
            <w:tcBorders>
              <w:bottom w:val="single" w:sz="4" w:space="0" w:color="auto"/>
            </w:tcBorders>
            <w:shd w:val="clear" w:color="auto" w:fill="auto"/>
            <w:tcMar>
              <w:top w:w="15" w:type="dxa"/>
              <w:left w:w="108" w:type="dxa"/>
              <w:bottom w:w="0" w:type="dxa"/>
              <w:right w:w="108" w:type="dxa"/>
            </w:tcMar>
            <w:vAlign w:val="center"/>
          </w:tcPr>
          <w:p w14:paraId="01F47F42" w14:textId="77777777" w:rsidR="00D66D5C" w:rsidRPr="00676D8C" w:rsidRDefault="00D66D5C" w:rsidP="00144A50">
            <w:pPr>
              <w:pStyle w:val="NormalWeb"/>
              <w:spacing w:before="0" w:beforeAutospacing="0" w:after="0" w:afterAutospacing="0" w:line="480" w:lineRule="auto"/>
              <w:rPr>
                <w:rFonts w:ascii="Arial" w:hAnsi="Arial" w:cs="Arial"/>
                <w:sz w:val="16"/>
                <w:szCs w:val="16"/>
              </w:rPr>
            </w:pPr>
            <w:r w:rsidRPr="00676D8C">
              <w:rPr>
                <w:rFonts w:ascii="Arial" w:hAnsi="Arial" w:cs="Arial"/>
                <w:kern w:val="24"/>
                <w:sz w:val="16"/>
                <w:szCs w:val="16"/>
                <w:lang w:val="en-US"/>
              </w:rPr>
              <w:t>24.19</w:t>
            </w:r>
          </w:p>
        </w:tc>
        <w:tc>
          <w:tcPr>
            <w:tcW w:w="1417" w:type="dxa"/>
            <w:vMerge/>
            <w:tcBorders>
              <w:bottom w:val="single" w:sz="4" w:space="0" w:color="auto"/>
            </w:tcBorders>
            <w:shd w:val="clear" w:color="auto" w:fill="auto"/>
            <w:tcMar>
              <w:top w:w="15" w:type="dxa"/>
              <w:left w:w="108" w:type="dxa"/>
              <w:bottom w:w="0" w:type="dxa"/>
              <w:right w:w="108" w:type="dxa"/>
            </w:tcMar>
            <w:vAlign w:val="center"/>
          </w:tcPr>
          <w:p w14:paraId="1BC2A686" w14:textId="77777777" w:rsidR="00D66D5C" w:rsidRPr="00676D8C" w:rsidRDefault="00D66D5C" w:rsidP="00144A50">
            <w:pPr>
              <w:spacing w:after="0" w:line="480" w:lineRule="auto"/>
              <w:rPr>
                <w:rFonts w:ascii="Arial" w:hAnsi="Arial" w:cs="Arial"/>
                <w:sz w:val="16"/>
                <w:szCs w:val="16"/>
                <w:lang w:val="en-US"/>
              </w:rPr>
            </w:pPr>
          </w:p>
        </w:tc>
        <w:tc>
          <w:tcPr>
            <w:tcW w:w="1418" w:type="dxa"/>
            <w:vMerge/>
            <w:tcBorders>
              <w:bottom w:val="single" w:sz="4" w:space="0" w:color="auto"/>
            </w:tcBorders>
            <w:shd w:val="clear" w:color="auto" w:fill="auto"/>
            <w:tcMar>
              <w:top w:w="15" w:type="dxa"/>
              <w:left w:w="108" w:type="dxa"/>
              <w:bottom w:w="0" w:type="dxa"/>
              <w:right w:w="108" w:type="dxa"/>
            </w:tcMar>
            <w:vAlign w:val="center"/>
          </w:tcPr>
          <w:p w14:paraId="157B2838" w14:textId="77777777" w:rsidR="00D66D5C" w:rsidRPr="00676D8C" w:rsidRDefault="00D66D5C" w:rsidP="00144A50">
            <w:pPr>
              <w:spacing w:after="0" w:line="480" w:lineRule="auto"/>
              <w:rPr>
                <w:rFonts w:ascii="Arial" w:hAnsi="Arial" w:cs="Arial"/>
                <w:sz w:val="16"/>
                <w:szCs w:val="16"/>
                <w:lang w:val="en-US"/>
              </w:rPr>
            </w:pPr>
          </w:p>
        </w:tc>
      </w:tr>
      <w:tr w:rsidR="00D66D5C" w:rsidRPr="00676D8C" w14:paraId="672467AE" w14:textId="77777777" w:rsidTr="00B66608">
        <w:trPr>
          <w:trHeight w:val="393"/>
          <w:jc w:val="center"/>
        </w:trPr>
        <w:tc>
          <w:tcPr>
            <w:tcW w:w="7656" w:type="dxa"/>
            <w:gridSpan w:val="7"/>
            <w:tcBorders>
              <w:top w:val="single" w:sz="4" w:space="0" w:color="auto"/>
            </w:tcBorders>
            <w:shd w:val="clear" w:color="auto" w:fill="auto"/>
            <w:vAlign w:val="center"/>
            <w:hideMark/>
          </w:tcPr>
          <w:p w14:paraId="3668A23A" w14:textId="07779C7E" w:rsidR="00144A50" w:rsidRPr="00B66608" w:rsidRDefault="00B66608" w:rsidP="00144A50">
            <w:pPr>
              <w:spacing w:after="0"/>
              <w:rPr>
                <w:rFonts w:ascii="Arial" w:hAnsi="Arial" w:cs="Arial"/>
                <w:sz w:val="18"/>
                <w:szCs w:val="18"/>
              </w:rPr>
            </w:pPr>
            <w:r w:rsidRPr="00144A50">
              <w:rPr>
                <w:rFonts w:ascii="Arial" w:hAnsi="Arial" w:cs="Arial"/>
                <w:sz w:val="18"/>
                <w:szCs w:val="18"/>
              </w:rPr>
              <w:t xml:space="preserve">* </w:t>
            </w:r>
            <w:r w:rsidR="00D66D5C" w:rsidRPr="00144A50">
              <w:rPr>
                <w:rFonts w:ascii="Arial" w:hAnsi="Arial" w:cs="Arial"/>
                <w:sz w:val="18"/>
                <w:szCs w:val="18"/>
              </w:rPr>
              <w:t>Rate per 100 person years</w:t>
            </w:r>
            <w:proofErr w:type="gramStart"/>
            <w:r w:rsidR="00D66D5C" w:rsidRPr="00144A50">
              <w:rPr>
                <w:rFonts w:ascii="Arial" w:hAnsi="Arial" w:cs="Arial"/>
                <w:sz w:val="18"/>
                <w:szCs w:val="18"/>
              </w:rPr>
              <w:t>;  Primary</w:t>
            </w:r>
            <w:proofErr w:type="gramEnd"/>
            <w:r w:rsidR="00D66D5C" w:rsidRPr="00144A50">
              <w:rPr>
                <w:rFonts w:ascii="Arial" w:hAnsi="Arial" w:cs="Arial"/>
                <w:sz w:val="18"/>
                <w:szCs w:val="18"/>
              </w:rPr>
              <w:t xml:space="preserve"> endpoint is composite of CV death and heart failure hospitalisation</w:t>
            </w:r>
            <w:r w:rsidR="00144A50">
              <w:rPr>
                <w:rFonts w:ascii="Arial" w:hAnsi="Arial" w:cs="Arial"/>
                <w:sz w:val="18"/>
                <w:szCs w:val="18"/>
              </w:rPr>
              <w:t xml:space="preserve">. </w:t>
            </w:r>
            <w:r w:rsidR="00144A50" w:rsidRPr="00144A50">
              <w:rPr>
                <w:rFonts w:ascii="Arial" w:hAnsi="Arial" w:cs="Arial"/>
                <w:sz w:val="18"/>
                <w:szCs w:val="18"/>
              </w:rPr>
              <w:t xml:space="preserve">Source: Collier TJ, </w:t>
            </w:r>
            <w:proofErr w:type="spellStart"/>
            <w:r w:rsidR="00144A50" w:rsidRPr="00144A50">
              <w:rPr>
                <w:rFonts w:ascii="Arial" w:hAnsi="Arial" w:cs="Arial"/>
                <w:sz w:val="18"/>
                <w:szCs w:val="18"/>
              </w:rPr>
              <w:t>Pocock</w:t>
            </w:r>
            <w:proofErr w:type="spellEnd"/>
            <w:r w:rsidR="00144A50" w:rsidRPr="00144A50">
              <w:rPr>
                <w:rFonts w:ascii="Arial" w:hAnsi="Arial" w:cs="Arial"/>
                <w:sz w:val="18"/>
                <w:szCs w:val="18"/>
              </w:rPr>
              <w:t xml:space="preserve"> SJ, McMurray JJV, et al. The impact of eplerenone at different levels of risk in patients with systolic heart failure and mild symptoms: insight from a novel risk score for prognosis derived from the EMPHASIS-HF trial. </w:t>
            </w:r>
            <w:proofErr w:type="spellStart"/>
            <w:r w:rsidR="00144A50" w:rsidRPr="00144A50">
              <w:rPr>
                <w:rFonts w:ascii="Arial" w:hAnsi="Arial" w:cs="Arial"/>
                <w:sz w:val="18"/>
                <w:szCs w:val="18"/>
              </w:rPr>
              <w:t>Eur</w:t>
            </w:r>
            <w:proofErr w:type="spellEnd"/>
            <w:r w:rsidR="00144A50" w:rsidRPr="00144A50">
              <w:rPr>
                <w:rFonts w:ascii="Arial" w:hAnsi="Arial" w:cs="Arial"/>
                <w:sz w:val="18"/>
                <w:szCs w:val="18"/>
              </w:rPr>
              <w:t xml:space="preserve"> Heart J 2013</w:t>
            </w:r>
            <w:proofErr w:type="gramStart"/>
            <w:r w:rsidR="00144A50" w:rsidRPr="00144A50">
              <w:rPr>
                <w:rFonts w:ascii="Arial" w:hAnsi="Arial" w:cs="Arial"/>
                <w:sz w:val="18"/>
                <w:szCs w:val="18"/>
              </w:rPr>
              <w:t>;34:2823</w:t>
            </w:r>
            <w:proofErr w:type="gramEnd"/>
            <w:r w:rsidR="00144A50" w:rsidRPr="00144A50">
              <w:rPr>
                <w:rFonts w:ascii="Arial" w:hAnsi="Arial" w:cs="Arial"/>
                <w:sz w:val="18"/>
                <w:szCs w:val="18"/>
              </w:rPr>
              <w:t>-2829.</w:t>
            </w:r>
          </w:p>
        </w:tc>
      </w:tr>
    </w:tbl>
    <w:p w14:paraId="7AAA6B87" w14:textId="77777777" w:rsidR="00D66D5C" w:rsidRDefault="00D66D5C" w:rsidP="00D66D5C">
      <w:pPr>
        <w:rPr>
          <w:rFonts w:ascii="Arial" w:eastAsia="Times New Roman" w:hAnsi="Arial" w:cs="Arial"/>
          <w:color w:val="000000"/>
          <w:sz w:val="18"/>
          <w:szCs w:val="16"/>
          <w:lang w:eastAsia="en-GB"/>
        </w:rPr>
      </w:pPr>
    </w:p>
    <w:p w14:paraId="76EC1AC4" w14:textId="4A721FAD" w:rsidR="00D66D5C" w:rsidRPr="00B66608" w:rsidRDefault="00B66608" w:rsidP="00D66D5C">
      <w:pPr>
        <w:rPr>
          <w:rFonts w:ascii="Arial" w:eastAsia="Times New Roman" w:hAnsi="Arial" w:cs="Arial"/>
          <w:color w:val="000000"/>
          <w:sz w:val="20"/>
          <w:szCs w:val="16"/>
          <w:lang w:eastAsia="en-GB"/>
        </w:rPr>
      </w:pPr>
      <w:r w:rsidRPr="00B66608">
        <w:rPr>
          <w:rFonts w:ascii="Arial" w:eastAsia="Times New Roman" w:hAnsi="Arial" w:cs="Arial"/>
          <w:color w:val="000000"/>
          <w:sz w:val="20"/>
          <w:szCs w:val="16"/>
          <w:lang w:eastAsia="en-GB"/>
        </w:rPr>
        <w:t>Table 4 Caption: Event rates, hazard ratios and rate differences for the primary endpoint (CV death and hospitalisation for heart failure) by risk group in the EHPHASIS-HF trial.</w:t>
      </w:r>
    </w:p>
    <w:p w14:paraId="743FB0E4" w14:textId="77777777" w:rsidR="00B66608" w:rsidRDefault="00B66608" w:rsidP="00D66D5C">
      <w:pPr>
        <w:rPr>
          <w:rFonts w:ascii="Arial" w:eastAsia="Times New Roman" w:hAnsi="Arial" w:cs="Arial"/>
          <w:color w:val="000000"/>
          <w:sz w:val="18"/>
          <w:szCs w:val="16"/>
          <w:lang w:eastAsia="en-GB"/>
        </w:rPr>
      </w:pPr>
    </w:p>
    <w:p w14:paraId="1C2453FA" w14:textId="77777777" w:rsidR="00B66608" w:rsidRDefault="00B66608">
      <w:pPr>
        <w:rPr>
          <w:rFonts w:ascii="Arial" w:hAnsi="Arial" w:cs="Arial"/>
          <w:sz w:val="20"/>
          <w:szCs w:val="16"/>
        </w:rPr>
      </w:pPr>
      <w:r>
        <w:rPr>
          <w:rFonts w:ascii="Arial" w:hAnsi="Arial" w:cs="Arial"/>
          <w:sz w:val="20"/>
          <w:szCs w:val="16"/>
        </w:rPr>
        <w:br w:type="page"/>
      </w:r>
    </w:p>
    <w:p w14:paraId="5ACBD3CD" w14:textId="56516E06" w:rsidR="00D66D5C" w:rsidRPr="00B66608" w:rsidRDefault="00B66608" w:rsidP="00D66D5C">
      <w:pPr>
        <w:rPr>
          <w:rFonts w:ascii="Arial" w:eastAsia="Times New Roman" w:hAnsi="Arial" w:cs="Arial"/>
          <w:color w:val="000000"/>
          <w:sz w:val="18"/>
          <w:szCs w:val="16"/>
          <w:lang w:eastAsia="en-GB"/>
        </w:rPr>
      </w:pPr>
      <w:r w:rsidRPr="00B66608">
        <w:rPr>
          <w:rFonts w:ascii="Arial" w:hAnsi="Arial" w:cs="Arial"/>
          <w:sz w:val="20"/>
          <w:szCs w:val="16"/>
        </w:rPr>
        <w:lastRenderedPageBreak/>
        <w:t>Table 5 CONSORT checklist of items to include when reporting a randomised trial</w:t>
      </w:r>
      <w:r w:rsidRPr="00B66608">
        <w:rPr>
          <w:rFonts w:ascii="Arial" w:eastAsia="Times New Roman" w:hAnsi="Arial" w:cs="Arial"/>
          <w:color w:val="000000"/>
          <w:sz w:val="18"/>
          <w:szCs w:val="16"/>
          <w:lang w:eastAsia="en-GB"/>
        </w:rPr>
        <w:t xml:space="preserve"> </w:t>
      </w:r>
    </w:p>
    <w:tbl>
      <w:tblPr>
        <w:tblW w:w="10349" w:type="dxa"/>
        <w:tblInd w:w="-426" w:type="dxa"/>
        <w:tblLayout w:type="fixed"/>
        <w:tblLook w:val="0000" w:firstRow="0" w:lastRow="0" w:firstColumn="0" w:lastColumn="0" w:noHBand="0" w:noVBand="0"/>
      </w:tblPr>
      <w:tblGrid>
        <w:gridCol w:w="1986"/>
        <w:gridCol w:w="850"/>
        <w:gridCol w:w="7513"/>
      </w:tblGrid>
      <w:tr w:rsidR="00D66D5C" w:rsidRPr="00F26E40" w14:paraId="79E5433F" w14:textId="77777777" w:rsidTr="00401FB4">
        <w:tc>
          <w:tcPr>
            <w:tcW w:w="1986" w:type="dxa"/>
            <w:tcBorders>
              <w:top w:val="single" w:sz="4" w:space="0" w:color="auto"/>
              <w:bottom w:val="single" w:sz="4" w:space="0" w:color="auto"/>
            </w:tcBorders>
            <w:shd w:val="clear" w:color="auto" w:fill="auto"/>
          </w:tcPr>
          <w:p w14:paraId="284A0303" w14:textId="77777777" w:rsidR="00D66D5C" w:rsidRPr="00F26E40" w:rsidRDefault="00D66D5C" w:rsidP="00676C1D">
            <w:pPr>
              <w:pStyle w:val="TableHeader"/>
              <w:spacing w:before="0" w:line="264" w:lineRule="auto"/>
              <w:rPr>
                <w:rFonts w:ascii="Arial" w:hAnsi="Arial" w:cs="Arial"/>
                <w:sz w:val="16"/>
                <w:szCs w:val="16"/>
              </w:rPr>
            </w:pPr>
            <w:r w:rsidRPr="00F26E40">
              <w:rPr>
                <w:rFonts w:ascii="Arial" w:hAnsi="Arial" w:cs="Arial"/>
                <w:sz w:val="16"/>
                <w:szCs w:val="16"/>
              </w:rPr>
              <w:t>Section/Topic</w:t>
            </w:r>
          </w:p>
        </w:tc>
        <w:tc>
          <w:tcPr>
            <w:tcW w:w="850" w:type="dxa"/>
            <w:tcBorders>
              <w:top w:val="single" w:sz="4" w:space="0" w:color="auto"/>
              <w:bottom w:val="single" w:sz="4" w:space="0" w:color="auto"/>
            </w:tcBorders>
            <w:shd w:val="clear" w:color="auto" w:fill="auto"/>
          </w:tcPr>
          <w:p w14:paraId="3A62589E" w14:textId="77777777" w:rsidR="00D66D5C" w:rsidRPr="00F26E40" w:rsidRDefault="00D66D5C" w:rsidP="00676C1D">
            <w:pPr>
              <w:pStyle w:val="TableHeader"/>
              <w:spacing w:before="0" w:line="264" w:lineRule="auto"/>
              <w:jc w:val="center"/>
              <w:rPr>
                <w:rFonts w:ascii="Arial" w:hAnsi="Arial" w:cs="Arial"/>
                <w:sz w:val="16"/>
                <w:szCs w:val="16"/>
              </w:rPr>
            </w:pPr>
            <w:r w:rsidRPr="00F26E40">
              <w:rPr>
                <w:rFonts w:ascii="Arial" w:hAnsi="Arial" w:cs="Arial"/>
                <w:sz w:val="16"/>
                <w:szCs w:val="16"/>
              </w:rPr>
              <w:t>Item N</w:t>
            </w:r>
            <w:r>
              <w:rPr>
                <w:rFonts w:ascii="Arial" w:hAnsi="Arial" w:cs="Arial"/>
                <w:sz w:val="16"/>
                <w:szCs w:val="16"/>
              </w:rPr>
              <w:t>umber</w:t>
            </w:r>
          </w:p>
        </w:tc>
        <w:tc>
          <w:tcPr>
            <w:tcW w:w="7513" w:type="dxa"/>
            <w:tcBorders>
              <w:top w:val="single" w:sz="4" w:space="0" w:color="auto"/>
              <w:bottom w:val="single" w:sz="4" w:space="0" w:color="auto"/>
            </w:tcBorders>
            <w:shd w:val="clear" w:color="auto" w:fill="auto"/>
          </w:tcPr>
          <w:p w14:paraId="69EE66A9" w14:textId="77777777" w:rsidR="00D66D5C" w:rsidRPr="00F26E40" w:rsidRDefault="00D66D5C" w:rsidP="00676C1D">
            <w:pPr>
              <w:pStyle w:val="TableHeader"/>
              <w:spacing w:before="0" w:line="264" w:lineRule="auto"/>
              <w:rPr>
                <w:rFonts w:ascii="Arial" w:hAnsi="Arial" w:cs="Arial"/>
                <w:sz w:val="16"/>
                <w:szCs w:val="16"/>
              </w:rPr>
            </w:pPr>
            <w:r w:rsidRPr="00F26E40">
              <w:rPr>
                <w:rFonts w:ascii="Arial" w:hAnsi="Arial" w:cs="Arial"/>
                <w:sz w:val="16"/>
                <w:szCs w:val="16"/>
              </w:rPr>
              <w:t>Checklist item</w:t>
            </w:r>
          </w:p>
        </w:tc>
      </w:tr>
      <w:tr w:rsidR="00D66D5C" w:rsidRPr="00F26E40" w14:paraId="38521CED" w14:textId="77777777" w:rsidTr="00401FB4">
        <w:trPr>
          <w:trHeight w:val="283"/>
        </w:trPr>
        <w:tc>
          <w:tcPr>
            <w:tcW w:w="1986" w:type="dxa"/>
            <w:tcBorders>
              <w:top w:val="single" w:sz="4" w:space="0" w:color="auto"/>
            </w:tcBorders>
            <w:shd w:val="clear" w:color="auto" w:fill="auto"/>
            <w:vAlign w:val="center"/>
          </w:tcPr>
          <w:p w14:paraId="6B51D0A1" w14:textId="77777777" w:rsidR="00D66D5C" w:rsidRPr="00F26E40" w:rsidRDefault="00D66D5C" w:rsidP="00676C1D">
            <w:pPr>
              <w:pStyle w:val="TableHeader"/>
              <w:spacing w:before="0" w:line="264" w:lineRule="auto"/>
              <w:rPr>
                <w:rFonts w:ascii="Arial" w:hAnsi="Arial" w:cs="Arial"/>
                <w:sz w:val="16"/>
                <w:szCs w:val="16"/>
              </w:rPr>
            </w:pPr>
            <w:r w:rsidRPr="00F26E40">
              <w:rPr>
                <w:rFonts w:ascii="Arial" w:hAnsi="Arial" w:cs="Arial"/>
                <w:sz w:val="16"/>
                <w:szCs w:val="16"/>
              </w:rPr>
              <w:t>Title and abstract</w:t>
            </w:r>
          </w:p>
        </w:tc>
        <w:tc>
          <w:tcPr>
            <w:tcW w:w="850" w:type="dxa"/>
            <w:tcBorders>
              <w:top w:val="single" w:sz="4" w:space="0" w:color="auto"/>
            </w:tcBorders>
            <w:shd w:val="clear" w:color="auto" w:fill="auto"/>
          </w:tcPr>
          <w:p w14:paraId="3CBD9D5C" w14:textId="77777777" w:rsidR="00D66D5C" w:rsidRPr="00F26E40" w:rsidRDefault="00D66D5C" w:rsidP="00676C1D">
            <w:pPr>
              <w:pStyle w:val="TableHeader"/>
              <w:spacing w:before="0" w:line="264" w:lineRule="auto"/>
              <w:jc w:val="center"/>
              <w:rPr>
                <w:rFonts w:ascii="Arial" w:hAnsi="Arial" w:cs="Arial"/>
                <w:sz w:val="16"/>
                <w:szCs w:val="16"/>
              </w:rPr>
            </w:pPr>
          </w:p>
        </w:tc>
        <w:tc>
          <w:tcPr>
            <w:tcW w:w="7513" w:type="dxa"/>
            <w:tcBorders>
              <w:top w:val="single" w:sz="4" w:space="0" w:color="auto"/>
            </w:tcBorders>
            <w:shd w:val="clear" w:color="auto" w:fill="auto"/>
          </w:tcPr>
          <w:p w14:paraId="514AA96A" w14:textId="77777777" w:rsidR="00D66D5C" w:rsidRPr="00F26E40" w:rsidRDefault="00D66D5C" w:rsidP="00676C1D">
            <w:pPr>
              <w:pStyle w:val="TableHeader"/>
              <w:spacing w:before="0" w:line="264" w:lineRule="auto"/>
              <w:rPr>
                <w:rFonts w:ascii="Arial" w:hAnsi="Arial" w:cs="Arial"/>
                <w:sz w:val="16"/>
                <w:szCs w:val="16"/>
              </w:rPr>
            </w:pPr>
          </w:p>
        </w:tc>
      </w:tr>
      <w:tr w:rsidR="00D66D5C" w:rsidRPr="00F26E40" w14:paraId="4F5AB496" w14:textId="77777777" w:rsidTr="00401FB4">
        <w:tc>
          <w:tcPr>
            <w:tcW w:w="1986" w:type="dxa"/>
            <w:vMerge w:val="restart"/>
            <w:shd w:val="clear" w:color="auto" w:fill="auto"/>
          </w:tcPr>
          <w:p w14:paraId="412C8CA2" w14:textId="77777777" w:rsidR="00D66D5C" w:rsidRPr="00F26E40" w:rsidRDefault="00D66D5C" w:rsidP="00676C1D">
            <w:pPr>
              <w:spacing w:after="0" w:line="264" w:lineRule="auto"/>
              <w:rPr>
                <w:rFonts w:ascii="Arial" w:hAnsi="Arial" w:cs="Arial"/>
                <w:sz w:val="16"/>
                <w:szCs w:val="16"/>
              </w:rPr>
            </w:pPr>
          </w:p>
        </w:tc>
        <w:tc>
          <w:tcPr>
            <w:tcW w:w="850" w:type="dxa"/>
            <w:shd w:val="clear" w:color="auto" w:fill="auto"/>
          </w:tcPr>
          <w:p w14:paraId="651C093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1a</w:t>
            </w:r>
          </w:p>
        </w:tc>
        <w:tc>
          <w:tcPr>
            <w:tcW w:w="7513" w:type="dxa"/>
            <w:shd w:val="clear" w:color="auto" w:fill="auto"/>
          </w:tcPr>
          <w:p w14:paraId="7F99EE5F"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Identification as a randomised trial in the title</w:t>
            </w:r>
          </w:p>
        </w:tc>
      </w:tr>
      <w:tr w:rsidR="00D66D5C" w:rsidRPr="00F26E40" w14:paraId="675CDF53" w14:textId="77777777" w:rsidTr="00401FB4">
        <w:tc>
          <w:tcPr>
            <w:tcW w:w="1986" w:type="dxa"/>
            <w:vMerge/>
            <w:tcBorders>
              <w:bottom w:val="single" w:sz="4" w:space="0" w:color="auto"/>
            </w:tcBorders>
            <w:shd w:val="clear" w:color="auto" w:fill="auto"/>
          </w:tcPr>
          <w:p w14:paraId="65CEC4EB" w14:textId="77777777" w:rsidR="00D66D5C" w:rsidRPr="00F26E40" w:rsidRDefault="00D66D5C" w:rsidP="00676C1D">
            <w:pPr>
              <w:spacing w:after="0" w:line="264" w:lineRule="auto"/>
              <w:rPr>
                <w:rFonts w:ascii="Arial" w:hAnsi="Arial" w:cs="Arial"/>
                <w:sz w:val="16"/>
                <w:szCs w:val="16"/>
              </w:rPr>
            </w:pPr>
          </w:p>
        </w:tc>
        <w:tc>
          <w:tcPr>
            <w:tcW w:w="850" w:type="dxa"/>
            <w:tcBorders>
              <w:bottom w:val="single" w:sz="4" w:space="0" w:color="auto"/>
            </w:tcBorders>
            <w:shd w:val="clear" w:color="auto" w:fill="auto"/>
          </w:tcPr>
          <w:p w14:paraId="486550D3"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1b</w:t>
            </w:r>
          </w:p>
        </w:tc>
        <w:tc>
          <w:tcPr>
            <w:tcW w:w="7513" w:type="dxa"/>
            <w:tcBorders>
              <w:bottom w:val="single" w:sz="4" w:space="0" w:color="auto"/>
            </w:tcBorders>
            <w:shd w:val="clear" w:color="auto" w:fill="auto"/>
          </w:tcPr>
          <w:p w14:paraId="71DA863E"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Structured summary of trial design, methods, results, and conclusions (for specific guidance see CONSORT for abstracts)</w:t>
            </w:r>
          </w:p>
        </w:tc>
      </w:tr>
      <w:tr w:rsidR="00D66D5C" w:rsidRPr="00F26E40" w14:paraId="0896C234" w14:textId="77777777" w:rsidTr="00401FB4">
        <w:trPr>
          <w:trHeight w:val="283"/>
        </w:trPr>
        <w:tc>
          <w:tcPr>
            <w:tcW w:w="1986" w:type="dxa"/>
            <w:tcBorders>
              <w:top w:val="single" w:sz="4" w:space="0" w:color="auto"/>
            </w:tcBorders>
            <w:shd w:val="clear" w:color="auto" w:fill="auto"/>
            <w:vAlign w:val="center"/>
          </w:tcPr>
          <w:p w14:paraId="70F05515" w14:textId="77777777" w:rsidR="00D66D5C" w:rsidRPr="00F26E40" w:rsidRDefault="00D66D5C" w:rsidP="00676C1D">
            <w:pPr>
              <w:spacing w:after="0" w:line="264" w:lineRule="auto"/>
              <w:rPr>
                <w:rFonts w:ascii="Arial" w:hAnsi="Arial" w:cs="Arial"/>
                <w:b/>
                <w:sz w:val="16"/>
                <w:szCs w:val="16"/>
              </w:rPr>
            </w:pPr>
            <w:r w:rsidRPr="00F26E40">
              <w:rPr>
                <w:rFonts w:ascii="Arial" w:hAnsi="Arial" w:cs="Arial"/>
                <w:b/>
                <w:sz w:val="16"/>
                <w:szCs w:val="16"/>
              </w:rPr>
              <w:t>Introduction</w:t>
            </w:r>
          </w:p>
        </w:tc>
        <w:tc>
          <w:tcPr>
            <w:tcW w:w="850" w:type="dxa"/>
            <w:tcBorders>
              <w:top w:val="single" w:sz="4" w:space="0" w:color="auto"/>
            </w:tcBorders>
            <w:shd w:val="clear" w:color="auto" w:fill="auto"/>
          </w:tcPr>
          <w:p w14:paraId="4EFCEFFA" w14:textId="77777777" w:rsidR="00D66D5C" w:rsidRPr="00F26E40" w:rsidRDefault="00D66D5C" w:rsidP="00676C1D">
            <w:pPr>
              <w:spacing w:after="0" w:line="264" w:lineRule="auto"/>
              <w:jc w:val="center"/>
              <w:rPr>
                <w:rFonts w:ascii="Arial" w:hAnsi="Arial" w:cs="Arial"/>
                <w:sz w:val="16"/>
                <w:szCs w:val="16"/>
              </w:rPr>
            </w:pPr>
          </w:p>
        </w:tc>
        <w:tc>
          <w:tcPr>
            <w:tcW w:w="7513" w:type="dxa"/>
            <w:tcBorders>
              <w:top w:val="single" w:sz="4" w:space="0" w:color="auto"/>
            </w:tcBorders>
            <w:shd w:val="clear" w:color="auto" w:fill="auto"/>
          </w:tcPr>
          <w:p w14:paraId="588F32A5" w14:textId="77777777" w:rsidR="00D66D5C" w:rsidRPr="00F26E40" w:rsidRDefault="00D66D5C" w:rsidP="00676C1D">
            <w:pPr>
              <w:spacing w:after="0" w:line="264" w:lineRule="auto"/>
              <w:rPr>
                <w:rFonts w:ascii="Arial" w:hAnsi="Arial" w:cs="Arial"/>
                <w:sz w:val="16"/>
                <w:szCs w:val="16"/>
              </w:rPr>
            </w:pPr>
          </w:p>
        </w:tc>
      </w:tr>
      <w:tr w:rsidR="00D66D5C" w:rsidRPr="00F26E40" w14:paraId="2DD259C0" w14:textId="77777777" w:rsidTr="00401FB4">
        <w:tc>
          <w:tcPr>
            <w:tcW w:w="1986" w:type="dxa"/>
            <w:vMerge w:val="restart"/>
            <w:shd w:val="clear" w:color="auto" w:fill="auto"/>
          </w:tcPr>
          <w:p w14:paraId="1AA50BB3"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Background and objectives</w:t>
            </w:r>
          </w:p>
        </w:tc>
        <w:tc>
          <w:tcPr>
            <w:tcW w:w="850" w:type="dxa"/>
            <w:shd w:val="clear" w:color="auto" w:fill="auto"/>
          </w:tcPr>
          <w:p w14:paraId="48BE9E7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2a</w:t>
            </w:r>
          </w:p>
        </w:tc>
        <w:tc>
          <w:tcPr>
            <w:tcW w:w="7513" w:type="dxa"/>
            <w:shd w:val="clear" w:color="auto" w:fill="auto"/>
          </w:tcPr>
          <w:p w14:paraId="53D1AC78"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Scientific background and explanation of rationale</w:t>
            </w:r>
          </w:p>
        </w:tc>
      </w:tr>
      <w:tr w:rsidR="00D66D5C" w:rsidRPr="00F26E40" w14:paraId="54E9D547" w14:textId="77777777" w:rsidTr="00401FB4">
        <w:trPr>
          <w:trHeight w:val="273"/>
        </w:trPr>
        <w:tc>
          <w:tcPr>
            <w:tcW w:w="1986" w:type="dxa"/>
            <w:vMerge/>
            <w:tcBorders>
              <w:bottom w:val="single" w:sz="4" w:space="0" w:color="auto"/>
            </w:tcBorders>
            <w:shd w:val="clear" w:color="auto" w:fill="auto"/>
          </w:tcPr>
          <w:p w14:paraId="79C9F2A3" w14:textId="77777777" w:rsidR="00D66D5C" w:rsidRPr="00F26E40" w:rsidRDefault="00D66D5C" w:rsidP="00676C1D">
            <w:pPr>
              <w:spacing w:after="0" w:line="264" w:lineRule="auto"/>
              <w:rPr>
                <w:rFonts w:ascii="Arial" w:hAnsi="Arial" w:cs="Arial"/>
                <w:sz w:val="16"/>
                <w:szCs w:val="16"/>
              </w:rPr>
            </w:pPr>
          </w:p>
        </w:tc>
        <w:tc>
          <w:tcPr>
            <w:tcW w:w="850" w:type="dxa"/>
            <w:tcBorders>
              <w:bottom w:val="single" w:sz="4" w:space="0" w:color="auto"/>
            </w:tcBorders>
            <w:shd w:val="clear" w:color="auto" w:fill="auto"/>
          </w:tcPr>
          <w:p w14:paraId="536E59E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2b</w:t>
            </w:r>
          </w:p>
        </w:tc>
        <w:tc>
          <w:tcPr>
            <w:tcW w:w="7513" w:type="dxa"/>
            <w:tcBorders>
              <w:bottom w:val="single" w:sz="4" w:space="0" w:color="auto"/>
            </w:tcBorders>
            <w:shd w:val="clear" w:color="auto" w:fill="auto"/>
          </w:tcPr>
          <w:p w14:paraId="4B7B5146"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Specific objectives or hypotheses</w:t>
            </w:r>
          </w:p>
        </w:tc>
      </w:tr>
      <w:tr w:rsidR="00D66D5C" w:rsidRPr="00F26E40" w14:paraId="04E446CC" w14:textId="77777777" w:rsidTr="00401FB4">
        <w:trPr>
          <w:trHeight w:val="283"/>
        </w:trPr>
        <w:tc>
          <w:tcPr>
            <w:tcW w:w="1986" w:type="dxa"/>
            <w:tcBorders>
              <w:top w:val="single" w:sz="4" w:space="0" w:color="auto"/>
            </w:tcBorders>
            <w:shd w:val="clear" w:color="auto" w:fill="auto"/>
            <w:vAlign w:val="center"/>
          </w:tcPr>
          <w:p w14:paraId="29A7DF62" w14:textId="77777777" w:rsidR="00D66D5C" w:rsidRPr="00F26E40" w:rsidRDefault="00D66D5C" w:rsidP="00676C1D">
            <w:pPr>
              <w:spacing w:after="0" w:line="264" w:lineRule="auto"/>
              <w:rPr>
                <w:rFonts w:ascii="Arial" w:hAnsi="Arial" w:cs="Arial"/>
                <w:b/>
                <w:sz w:val="16"/>
                <w:szCs w:val="16"/>
              </w:rPr>
            </w:pPr>
            <w:r w:rsidRPr="00F26E40">
              <w:rPr>
                <w:rFonts w:ascii="Arial" w:hAnsi="Arial" w:cs="Arial"/>
                <w:b/>
                <w:sz w:val="16"/>
                <w:szCs w:val="16"/>
              </w:rPr>
              <w:t>Methods</w:t>
            </w:r>
          </w:p>
        </w:tc>
        <w:tc>
          <w:tcPr>
            <w:tcW w:w="850" w:type="dxa"/>
            <w:tcBorders>
              <w:top w:val="single" w:sz="4" w:space="0" w:color="auto"/>
            </w:tcBorders>
            <w:shd w:val="clear" w:color="auto" w:fill="auto"/>
          </w:tcPr>
          <w:p w14:paraId="28317D3B" w14:textId="77777777" w:rsidR="00D66D5C" w:rsidRPr="00F26E40" w:rsidRDefault="00D66D5C" w:rsidP="00676C1D">
            <w:pPr>
              <w:spacing w:after="0" w:line="264" w:lineRule="auto"/>
              <w:jc w:val="center"/>
              <w:rPr>
                <w:rFonts w:ascii="Arial" w:hAnsi="Arial" w:cs="Arial"/>
                <w:sz w:val="16"/>
                <w:szCs w:val="16"/>
              </w:rPr>
            </w:pPr>
          </w:p>
        </w:tc>
        <w:tc>
          <w:tcPr>
            <w:tcW w:w="7513" w:type="dxa"/>
            <w:tcBorders>
              <w:top w:val="single" w:sz="4" w:space="0" w:color="auto"/>
            </w:tcBorders>
            <w:shd w:val="clear" w:color="auto" w:fill="auto"/>
          </w:tcPr>
          <w:p w14:paraId="0D9E16FB" w14:textId="77777777" w:rsidR="00D66D5C" w:rsidRPr="00F26E40" w:rsidRDefault="00D66D5C" w:rsidP="00676C1D">
            <w:pPr>
              <w:spacing w:after="0" w:line="264" w:lineRule="auto"/>
              <w:rPr>
                <w:rFonts w:ascii="Arial" w:hAnsi="Arial" w:cs="Arial"/>
                <w:sz w:val="16"/>
                <w:szCs w:val="16"/>
              </w:rPr>
            </w:pPr>
          </w:p>
        </w:tc>
      </w:tr>
      <w:tr w:rsidR="00D66D5C" w:rsidRPr="00F26E40" w14:paraId="44063000" w14:textId="77777777" w:rsidTr="00401FB4">
        <w:tc>
          <w:tcPr>
            <w:tcW w:w="1986" w:type="dxa"/>
            <w:vMerge w:val="restart"/>
            <w:shd w:val="clear" w:color="auto" w:fill="auto"/>
          </w:tcPr>
          <w:p w14:paraId="447CA8A5"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Trial design</w:t>
            </w:r>
          </w:p>
        </w:tc>
        <w:tc>
          <w:tcPr>
            <w:tcW w:w="850" w:type="dxa"/>
            <w:shd w:val="clear" w:color="auto" w:fill="auto"/>
          </w:tcPr>
          <w:p w14:paraId="7D5EA60B"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3a</w:t>
            </w:r>
          </w:p>
        </w:tc>
        <w:tc>
          <w:tcPr>
            <w:tcW w:w="7513" w:type="dxa"/>
            <w:shd w:val="clear" w:color="auto" w:fill="auto"/>
          </w:tcPr>
          <w:p w14:paraId="3314E79D"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Description of trial design (such as parallel, factorial) including allocation ratio</w:t>
            </w:r>
          </w:p>
        </w:tc>
      </w:tr>
      <w:tr w:rsidR="00D66D5C" w:rsidRPr="00F26E40" w14:paraId="7C466B4E" w14:textId="77777777" w:rsidTr="00401FB4">
        <w:trPr>
          <w:trHeight w:val="305"/>
        </w:trPr>
        <w:tc>
          <w:tcPr>
            <w:tcW w:w="1986" w:type="dxa"/>
            <w:vMerge/>
            <w:shd w:val="clear" w:color="auto" w:fill="auto"/>
          </w:tcPr>
          <w:p w14:paraId="3C6C5228"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2298A06D"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3b</w:t>
            </w:r>
          </w:p>
        </w:tc>
        <w:tc>
          <w:tcPr>
            <w:tcW w:w="7513" w:type="dxa"/>
            <w:shd w:val="clear" w:color="auto" w:fill="auto"/>
          </w:tcPr>
          <w:p w14:paraId="544F2B8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Important changes to methods after trial commencement (such as eligibility criteria), with reasons</w:t>
            </w:r>
          </w:p>
        </w:tc>
      </w:tr>
      <w:tr w:rsidR="00D66D5C" w:rsidRPr="00F26E40" w14:paraId="7C74636F" w14:textId="77777777" w:rsidTr="00401FB4">
        <w:tc>
          <w:tcPr>
            <w:tcW w:w="1986" w:type="dxa"/>
            <w:vMerge w:val="restart"/>
            <w:shd w:val="clear" w:color="auto" w:fill="auto"/>
          </w:tcPr>
          <w:p w14:paraId="348F7A2F"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Participants</w:t>
            </w:r>
          </w:p>
        </w:tc>
        <w:tc>
          <w:tcPr>
            <w:tcW w:w="850" w:type="dxa"/>
            <w:shd w:val="clear" w:color="auto" w:fill="auto"/>
          </w:tcPr>
          <w:p w14:paraId="7F4F37CF"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4a</w:t>
            </w:r>
          </w:p>
        </w:tc>
        <w:tc>
          <w:tcPr>
            <w:tcW w:w="7513" w:type="dxa"/>
            <w:shd w:val="clear" w:color="auto" w:fill="auto"/>
          </w:tcPr>
          <w:p w14:paraId="1D1CFF21"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Eligibility criteria for participants</w:t>
            </w:r>
          </w:p>
        </w:tc>
      </w:tr>
      <w:tr w:rsidR="00D66D5C" w:rsidRPr="00F26E40" w14:paraId="25870979" w14:textId="77777777" w:rsidTr="00401FB4">
        <w:tc>
          <w:tcPr>
            <w:tcW w:w="1986" w:type="dxa"/>
            <w:vMerge/>
            <w:shd w:val="clear" w:color="auto" w:fill="auto"/>
          </w:tcPr>
          <w:p w14:paraId="1817A059"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5D6F3618"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4b</w:t>
            </w:r>
          </w:p>
        </w:tc>
        <w:tc>
          <w:tcPr>
            <w:tcW w:w="7513" w:type="dxa"/>
            <w:shd w:val="clear" w:color="auto" w:fill="auto"/>
          </w:tcPr>
          <w:p w14:paraId="0E7B26AA"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Settings and locations where the data were collected</w:t>
            </w:r>
          </w:p>
        </w:tc>
      </w:tr>
      <w:tr w:rsidR="00D66D5C" w:rsidRPr="00F26E40" w14:paraId="237C66CB" w14:textId="77777777" w:rsidTr="00401FB4">
        <w:tc>
          <w:tcPr>
            <w:tcW w:w="1986" w:type="dxa"/>
            <w:shd w:val="clear" w:color="auto" w:fill="auto"/>
          </w:tcPr>
          <w:p w14:paraId="488325E6"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Interventions</w:t>
            </w:r>
          </w:p>
        </w:tc>
        <w:tc>
          <w:tcPr>
            <w:tcW w:w="850" w:type="dxa"/>
            <w:shd w:val="clear" w:color="auto" w:fill="auto"/>
          </w:tcPr>
          <w:p w14:paraId="6A51B235"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5</w:t>
            </w:r>
          </w:p>
        </w:tc>
        <w:tc>
          <w:tcPr>
            <w:tcW w:w="7513" w:type="dxa"/>
            <w:shd w:val="clear" w:color="auto" w:fill="auto"/>
          </w:tcPr>
          <w:p w14:paraId="5B2E8A4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The interventions for each group with sufficient details to allow replication, including how and when they were actually administered</w:t>
            </w:r>
          </w:p>
        </w:tc>
      </w:tr>
      <w:tr w:rsidR="00D66D5C" w:rsidRPr="00F26E40" w14:paraId="1CBAD29F" w14:textId="77777777" w:rsidTr="00401FB4">
        <w:tc>
          <w:tcPr>
            <w:tcW w:w="1986" w:type="dxa"/>
            <w:vMerge w:val="restart"/>
            <w:shd w:val="clear" w:color="auto" w:fill="auto"/>
          </w:tcPr>
          <w:p w14:paraId="768043C6"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Outcomes</w:t>
            </w:r>
          </w:p>
        </w:tc>
        <w:tc>
          <w:tcPr>
            <w:tcW w:w="850" w:type="dxa"/>
            <w:shd w:val="clear" w:color="auto" w:fill="auto"/>
          </w:tcPr>
          <w:p w14:paraId="31B4EE7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6a</w:t>
            </w:r>
          </w:p>
        </w:tc>
        <w:tc>
          <w:tcPr>
            <w:tcW w:w="7513" w:type="dxa"/>
            <w:shd w:val="clear" w:color="auto" w:fill="auto"/>
          </w:tcPr>
          <w:p w14:paraId="052CA4C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Completely defined pre-specified primary and secondary outcome measures, including how and when they were assessed</w:t>
            </w:r>
          </w:p>
        </w:tc>
      </w:tr>
      <w:tr w:rsidR="00D66D5C" w:rsidRPr="00F26E40" w14:paraId="67BD0ED7" w14:textId="77777777" w:rsidTr="00401FB4">
        <w:tc>
          <w:tcPr>
            <w:tcW w:w="1986" w:type="dxa"/>
            <w:vMerge/>
            <w:shd w:val="clear" w:color="auto" w:fill="auto"/>
          </w:tcPr>
          <w:p w14:paraId="462ECD31"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0C82A9D2"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6b</w:t>
            </w:r>
          </w:p>
        </w:tc>
        <w:tc>
          <w:tcPr>
            <w:tcW w:w="7513" w:type="dxa"/>
            <w:shd w:val="clear" w:color="auto" w:fill="auto"/>
          </w:tcPr>
          <w:p w14:paraId="0BB988AD"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Any changes to trial outcomes after the trial commenced, with reasons</w:t>
            </w:r>
          </w:p>
        </w:tc>
      </w:tr>
      <w:tr w:rsidR="00D66D5C" w:rsidRPr="00F26E40" w14:paraId="1C8AB091" w14:textId="77777777" w:rsidTr="00401FB4">
        <w:tc>
          <w:tcPr>
            <w:tcW w:w="1986" w:type="dxa"/>
            <w:vMerge w:val="restart"/>
            <w:shd w:val="clear" w:color="auto" w:fill="auto"/>
          </w:tcPr>
          <w:p w14:paraId="5AEF3E92"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Sample size</w:t>
            </w:r>
          </w:p>
        </w:tc>
        <w:tc>
          <w:tcPr>
            <w:tcW w:w="850" w:type="dxa"/>
            <w:shd w:val="clear" w:color="auto" w:fill="auto"/>
          </w:tcPr>
          <w:p w14:paraId="27405988"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7a</w:t>
            </w:r>
          </w:p>
        </w:tc>
        <w:tc>
          <w:tcPr>
            <w:tcW w:w="7513" w:type="dxa"/>
            <w:shd w:val="clear" w:color="auto" w:fill="auto"/>
          </w:tcPr>
          <w:p w14:paraId="6AB77ED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How sample size was determined</w:t>
            </w:r>
          </w:p>
        </w:tc>
      </w:tr>
      <w:tr w:rsidR="00D66D5C" w:rsidRPr="00F26E40" w14:paraId="64602108" w14:textId="77777777" w:rsidTr="00401FB4">
        <w:tc>
          <w:tcPr>
            <w:tcW w:w="1986" w:type="dxa"/>
            <w:vMerge/>
            <w:tcBorders>
              <w:bottom w:val="single" w:sz="4" w:space="0" w:color="auto"/>
            </w:tcBorders>
            <w:shd w:val="clear" w:color="auto" w:fill="auto"/>
          </w:tcPr>
          <w:p w14:paraId="0FA45AB5" w14:textId="77777777" w:rsidR="00D66D5C" w:rsidRPr="00F26E40" w:rsidRDefault="00D66D5C" w:rsidP="00676C1D">
            <w:pPr>
              <w:spacing w:after="0" w:line="264" w:lineRule="auto"/>
              <w:rPr>
                <w:rFonts w:ascii="Arial" w:hAnsi="Arial" w:cs="Arial"/>
                <w:sz w:val="16"/>
                <w:szCs w:val="16"/>
              </w:rPr>
            </w:pPr>
          </w:p>
        </w:tc>
        <w:tc>
          <w:tcPr>
            <w:tcW w:w="850" w:type="dxa"/>
            <w:tcBorders>
              <w:bottom w:val="single" w:sz="4" w:space="0" w:color="auto"/>
            </w:tcBorders>
            <w:shd w:val="clear" w:color="auto" w:fill="auto"/>
          </w:tcPr>
          <w:p w14:paraId="2F3895CA"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7b</w:t>
            </w:r>
          </w:p>
        </w:tc>
        <w:tc>
          <w:tcPr>
            <w:tcW w:w="7513" w:type="dxa"/>
            <w:tcBorders>
              <w:bottom w:val="single" w:sz="4" w:space="0" w:color="auto"/>
            </w:tcBorders>
            <w:shd w:val="clear" w:color="auto" w:fill="auto"/>
          </w:tcPr>
          <w:p w14:paraId="28D73D87"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When applicable, explanation of any interim analyses and stopping guidelines</w:t>
            </w:r>
          </w:p>
        </w:tc>
      </w:tr>
      <w:tr w:rsidR="00D66D5C" w:rsidRPr="00F26E40" w14:paraId="3128DD38" w14:textId="77777777" w:rsidTr="00401FB4">
        <w:trPr>
          <w:trHeight w:val="283"/>
        </w:trPr>
        <w:tc>
          <w:tcPr>
            <w:tcW w:w="1986" w:type="dxa"/>
            <w:tcBorders>
              <w:top w:val="single" w:sz="4" w:space="0" w:color="auto"/>
            </w:tcBorders>
            <w:shd w:val="clear" w:color="auto" w:fill="auto"/>
            <w:vAlign w:val="center"/>
          </w:tcPr>
          <w:p w14:paraId="56E02A90" w14:textId="77777777" w:rsidR="00D66D5C" w:rsidRPr="00EC7487" w:rsidRDefault="00D66D5C" w:rsidP="00676C1D">
            <w:pPr>
              <w:spacing w:after="0" w:line="264" w:lineRule="auto"/>
              <w:rPr>
                <w:rFonts w:ascii="Arial" w:hAnsi="Arial" w:cs="Arial"/>
                <w:b/>
                <w:sz w:val="16"/>
                <w:szCs w:val="16"/>
              </w:rPr>
            </w:pPr>
            <w:r>
              <w:rPr>
                <w:rFonts w:ascii="Arial" w:hAnsi="Arial" w:cs="Arial"/>
                <w:b/>
                <w:sz w:val="16"/>
                <w:szCs w:val="16"/>
              </w:rPr>
              <w:t>Randomisation</w:t>
            </w:r>
          </w:p>
        </w:tc>
        <w:tc>
          <w:tcPr>
            <w:tcW w:w="850" w:type="dxa"/>
            <w:tcBorders>
              <w:top w:val="single" w:sz="4" w:space="0" w:color="auto"/>
            </w:tcBorders>
            <w:shd w:val="clear" w:color="auto" w:fill="auto"/>
          </w:tcPr>
          <w:p w14:paraId="70CDBD69" w14:textId="77777777" w:rsidR="00D66D5C" w:rsidRPr="00F26E40" w:rsidRDefault="00D66D5C" w:rsidP="00676C1D">
            <w:pPr>
              <w:spacing w:after="0" w:line="264" w:lineRule="auto"/>
              <w:jc w:val="center"/>
              <w:rPr>
                <w:rFonts w:ascii="Arial" w:hAnsi="Arial" w:cs="Arial"/>
                <w:sz w:val="16"/>
                <w:szCs w:val="16"/>
              </w:rPr>
            </w:pPr>
          </w:p>
        </w:tc>
        <w:tc>
          <w:tcPr>
            <w:tcW w:w="7513" w:type="dxa"/>
            <w:tcBorders>
              <w:top w:val="single" w:sz="4" w:space="0" w:color="auto"/>
            </w:tcBorders>
            <w:shd w:val="clear" w:color="auto" w:fill="auto"/>
          </w:tcPr>
          <w:p w14:paraId="1FE862F4" w14:textId="77777777" w:rsidR="00D66D5C" w:rsidRPr="00F26E40" w:rsidRDefault="00D66D5C" w:rsidP="00676C1D">
            <w:pPr>
              <w:spacing w:after="0" w:line="264" w:lineRule="auto"/>
              <w:rPr>
                <w:rFonts w:ascii="Arial" w:hAnsi="Arial" w:cs="Arial"/>
                <w:sz w:val="16"/>
                <w:szCs w:val="16"/>
              </w:rPr>
            </w:pPr>
          </w:p>
        </w:tc>
      </w:tr>
      <w:tr w:rsidR="00D66D5C" w:rsidRPr="00F26E40" w14:paraId="07459EC4" w14:textId="77777777" w:rsidTr="00401FB4">
        <w:tc>
          <w:tcPr>
            <w:tcW w:w="1986" w:type="dxa"/>
            <w:vMerge w:val="restart"/>
            <w:shd w:val="clear" w:color="auto" w:fill="auto"/>
          </w:tcPr>
          <w:p w14:paraId="07BB7820"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Sequence generation</w:t>
            </w:r>
          </w:p>
        </w:tc>
        <w:tc>
          <w:tcPr>
            <w:tcW w:w="850" w:type="dxa"/>
            <w:shd w:val="clear" w:color="auto" w:fill="auto"/>
          </w:tcPr>
          <w:p w14:paraId="3DFC21BE"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8a</w:t>
            </w:r>
          </w:p>
        </w:tc>
        <w:tc>
          <w:tcPr>
            <w:tcW w:w="7513" w:type="dxa"/>
            <w:shd w:val="clear" w:color="auto" w:fill="auto"/>
          </w:tcPr>
          <w:p w14:paraId="0CA73FC2"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Method used to generate the random allocation sequence</w:t>
            </w:r>
          </w:p>
        </w:tc>
      </w:tr>
      <w:tr w:rsidR="00D66D5C" w:rsidRPr="00F26E40" w14:paraId="0A3AFFB9" w14:textId="77777777" w:rsidTr="00401FB4">
        <w:tc>
          <w:tcPr>
            <w:tcW w:w="1986" w:type="dxa"/>
            <w:vMerge/>
            <w:shd w:val="clear" w:color="auto" w:fill="auto"/>
          </w:tcPr>
          <w:p w14:paraId="14E87BE7"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35E61753"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8b</w:t>
            </w:r>
          </w:p>
        </w:tc>
        <w:tc>
          <w:tcPr>
            <w:tcW w:w="7513" w:type="dxa"/>
            <w:shd w:val="clear" w:color="auto" w:fill="auto"/>
          </w:tcPr>
          <w:p w14:paraId="57198CCA"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Type of randomisation; details of any restriction (such as blocking and block size)</w:t>
            </w:r>
          </w:p>
        </w:tc>
      </w:tr>
      <w:tr w:rsidR="00D66D5C" w:rsidRPr="00F26E40" w14:paraId="1EE1D160" w14:textId="77777777" w:rsidTr="00401FB4">
        <w:tc>
          <w:tcPr>
            <w:tcW w:w="1986" w:type="dxa"/>
            <w:shd w:val="clear" w:color="auto" w:fill="auto"/>
          </w:tcPr>
          <w:p w14:paraId="1471039F" w14:textId="77777777" w:rsidR="00D66D5C" w:rsidRPr="00F26E40" w:rsidRDefault="00D66D5C" w:rsidP="00676C1D">
            <w:pPr>
              <w:spacing w:after="0" w:line="264" w:lineRule="auto"/>
              <w:ind w:left="113"/>
              <w:rPr>
                <w:rFonts w:ascii="Arial" w:hAnsi="Arial" w:cs="Arial"/>
                <w:sz w:val="16"/>
                <w:szCs w:val="16"/>
              </w:rPr>
            </w:pPr>
            <w:r>
              <w:rPr>
                <w:rFonts w:ascii="Arial" w:hAnsi="Arial" w:cs="Arial"/>
                <w:sz w:val="16"/>
                <w:szCs w:val="16"/>
              </w:rPr>
              <w:t>A</w:t>
            </w:r>
            <w:r w:rsidRPr="00F26E40">
              <w:rPr>
                <w:rFonts w:ascii="Arial" w:hAnsi="Arial" w:cs="Arial"/>
                <w:sz w:val="16"/>
                <w:szCs w:val="16"/>
              </w:rPr>
              <w:t>llocation concealment mechanism</w:t>
            </w:r>
          </w:p>
        </w:tc>
        <w:tc>
          <w:tcPr>
            <w:tcW w:w="850" w:type="dxa"/>
            <w:shd w:val="clear" w:color="auto" w:fill="auto"/>
          </w:tcPr>
          <w:p w14:paraId="4EA4B311"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9</w:t>
            </w:r>
          </w:p>
        </w:tc>
        <w:tc>
          <w:tcPr>
            <w:tcW w:w="7513" w:type="dxa"/>
            <w:shd w:val="clear" w:color="auto" w:fill="auto"/>
          </w:tcPr>
          <w:p w14:paraId="1F7677E2"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Mechanism used to implement the random allocation sequence (such as sequentially numbered containers), describing any steps taken to conceal the sequence until interventions were assigned</w:t>
            </w:r>
          </w:p>
        </w:tc>
      </w:tr>
      <w:tr w:rsidR="00D66D5C" w:rsidRPr="00F26E40" w14:paraId="14B1B725" w14:textId="77777777" w:rsidTr="00401FB4">
        <w:tc>
          <w:tcPr>
            <w:tcW w:w="1986" w:type="dxa"/>
            <w:shd w:val="clear" w:color="auto" w:fill="auto"/>
          </w:tcPr>
          <w:p w14:paraId="582A1329"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Implementation</w:t>
            </w:r>
          </w:p>
        </w:tc>
        <w:tc>
          <w:tcPr>
            <w:tcW w:w="850" w:type="dxa"/>
            <w:shd w:val="clear" w:color="auto" w:fill="auto"/>
          </w:tcPr>
          <w:p w14:paraId="612DEA1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10</w:t>
            </w:r>
          </w:p>
        </w:tc>
        <w:tc>
          <w:tcPr>
            <w:tcW w:w="7513" w:type="dxa"/>
            <w:shd w:val="clear" w:color="auto" w:fill="auto"/>
          </w:tcPr>
          <w:p w14:paraId="3979E778"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Who generated the random allocation sequence, who enrolled participants, and who assigned participants to interventions</w:t>
            </w:r>
          </w:p>
        </w:tc>
      </w:tr>
      <w:tr w:rsidR="00D66D5C" w:rsidRPr="00F26E40" w14:paraId="0156CC12" w14:textId="77777777" w:rsidTr="00401FB4">
        <w:tc>
          <w:tcPr>
            <w:tcW w:w="1986" w:type="dxa"/>
            <w:vMerge w:val="restart"/>
            <w:shd w:val="clear" w:color="auto" w:fill="auto"/>
          </w:tcPr>
          <w:p w14:paraId="00CBC409"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Blinding</w:t>
            </w:r>
          </w:p>
        </w:tc>
        <w:tc>
          <w:tcPr>
            <w:tcW w:w="850" w:type="dxa"/>
            <w:shd w:val="clear" w:color="auto" w:fill="auto"/>
          </w:tcPr>
          <w:p w14:paraId="242C4C96"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11a</w:t>
            </w:r>
          </w:p>
        </w:tc>
        <w:tc>
          <w:tcPr>
            <w:tcW w:w="7513" w:type="dxa"/>
            <w:shd w:val="clear" w:color="auto" w:fill="auto"/>
          </w:tcPr>
          <w:p w14:paraId="5282DCA0"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If done, who was blinded after assignment to interventions (for example, participants, care providers, those assessing outcomes) and how</w:t>
            </w:r>
          </w:p>
        </w:tc>
      </w:tr>
      <w:tr w:rsidR="00D66D5C" w:rsidRPr="00F26E40" w14:paraId="339EFA80" w14:textId="77777777" w:rsidTr="00401FB4">
        <w:tc>
          <w:tcPr>
            <w:tcW w:w="1986" w:type="dxa"/>
            <w:vMerge/>
            <w:shd w:val="clear" w:color="auto" w:fill="auto"/>
          </w:tcPr>
          <w:p w14:paraId="79DF738D"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0C60DE17"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11b</w:t>
            </w:r>
          </w:p>
        </w:tc>
        <w:tc>
          <w:tcPr>
            <w:tcW w:w="7513" w:type="dxa"/>
            <w:shd w:val="clear" w:color="auto" w:fill="auto"/>
          </w:tcPr>
          <w:p w14:paraId="7B34CCBA"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If relevant, description of the similarity of interventions</w:t>
            </w:r>
          </w:p>
        </w:tc>
      </w:tr>
      <w:tr w:rsidR="00D66D5C" w:rsidRPr="00F26E40" w14:paraId="3E1C9838" w14:textId="77777777" w:rsidTr="00401FB4">
        <w:tc>
          <w:tcPr>
            <w:tcW w:w="1986" w:type="dxa"/>
            <w:vMerge w:val="restart"/>
            <w:shd w:val="clear" w:color="auto" w:fill="auto"/>
          </w:tcPr>
          <w:p w14:paraId="74FCCEF2"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Statistical methods</w:t>
            </w:r>
          </w:p>
        </w:tc>
        <w:tc>
          <w:tcPr>
            <w:tcW w:w="850" w:type="dxa"/>
            <w:shd w:val="clear" w:color="auto" w:fill="auto"/>
          </w:tcPr>
          <w:p w14:paraId="219C20F0"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12a</w:t>
            </w:r>
          </w:p>
        </w:tc>
        <w:tc>
          <w:tcPr>
            <w:tcW w:w="7513" w:type="dxa"/>
            <w:shd w:val="clear" w:color="auto" w:fill="auto"/>
          </w:tcPr>
          <w:p w14:paraId="7DA856F3"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Statistical methods used to compare groups for primary and secondary outcomes</w:t>
            </w:r>
          </w:p>
        </w:tc>
      </w:tr>
      <w:tr w:rsidR="00D66D5C" w:rsidRPr="00F26E40" w14:paraId="1AA56974" w14:textId="77777777" w:rsidTr="00401FB4">
        <w:tc>
          <w:tcPr>
            <w:tcW w:w="1986" w:type="dxa"/>
            <w:vMerge/>
            <w:tcBorders>
              <w:bottom w:val="single" w:sz="4" w:space="0" w:color="auto"/>
            </w:tcBorders>
            <w:shd w:val="clear" w:color="auto" w:fill="auto"/>
          </w:tcPr>
          <w:p w14:paraId="6A088491" w14:textId="77777777" w:rsidR="00D66D5C" w:rsidRPr="00F26E40" w:rsidRDefault="00D66D5C" w:rsidP="00676C1D">
            <w:pPr>
              <w:spacing w:after="0" w:line="264" w:lineRule="auto"/>
              <w:rPr>
                <w:rFonts w:ascii="Arial" w:hAnsi="Arial" w:cs="Arial"/>
                <w:sz w:val="16"/>
                <w:szCs w:val="16"/>
              </w:rPr>
            </w:pPr>
          </w:p>
        </w:tc>
        <w:tc>
          <w:tcPr>
            <w:tcW w:w="850" w:type="dxa"/>
            <w:tcBorders>
              <w:bottom w:val="single" w:sz="4" w:space="0" w:color="auto"/>
            </w:tcBorders>
            <w:shd w:val="clear" w:color="auto" w:fill="auto"/>
          </w:tcPr>
          <w:p w14:paraId="63D2A1EA"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12b</w:t>
            </w:r>
          </w:p>
        </w:tc>
        <w:tc>
          <w:tcPr>
            <w:tcW w:w="7513" w:type="dxa"/>
            <w:tcBorders>
              <w:bottom w:val="single" w:sz="4" w:space="0" w:color="auto"/>
            </w:tcBorders>
            <w:shd w:val="clear" w:color="auto" w:fill="auto"/>
          </w:tcPr>
          <w:p w14:paraId="229A75C9"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Methods for additional analyses, such as subgroup analyses and adjusted analyses</w:t>
            </w:r>
          </w:p>
        </w:tc>
      </w:tr>
      <w:tr w:rsidR="00D66D5C" w:rsidRPr="00F26E40" w14:paraId="135C1180" w14:textId="77777777" w:rsidTr="00401FB4">
        <w:trPr>
          <w:trHeight w:val="283"/>
        </w:trPr>
        <w:tc>
          <w:tcPr>
            <w:tcW w:w="1986" w:type="dxa"/>
            <w:tcBorders>
              <w:top w:val="single" w:sz="4" w:space="0" w:color="auto"/>
            </w:tcBorders>
            <w:shd w:val="clear" w:color="auto" w:fill="auto"/>
            <w:vAlign w:val="center"/>
          </w:tcPr>
          <w:p w14:paraId="56CB3AEA" w14:textId="77777777" w:rsidR="00D66D5C" w:rsidRPr="00F26E40" w:rsidRDefault="00D66D5C" w:rsidP="00676C1D">
            <w:pPr>
              <w:spacing w:after="0" w:line="264" w:lineRule="auto"/>
              <w:rPr>
                <w:rFonts w:ascii="Arial" w:hAnsi="Arial" w:cs="Arial"/>
                <w:b/>
                <w:sz w:val="16"/>
                <w:szCs w:val="16"/>
              </w:rPr>
            </w:pPr>
            <w:r w:rsidRPr="00F26E40">
              <w:rPr>
                <w:rFonts w:ascii="Arial" w:hAnsi="Arial" w:cs="Arial"/>
                <w:b/>
                <w:sz w:val="16"/>
                <w:szCs w:val="16"/>
              </w:rPr>
              <w:t>Results</w:t>
            </w:r>
          </w:p>
        </w:tc>
        <w:tc>
          <w:tcPr>
            <w:tcW w:w="850" w:type="dxa"/>
            <w:tcBorders>
              <w:top w:val="single" w:sz="4" w:space="0" w:color="auto"/>
            </w:tcBorders>
            <w:shd w:val="clear" w:color="auto" w:fill="auto"/>
          </w:tcPr>
          <w:p w14:paraId="4DA0108D" w14:textId="77777777" w:rsidR="00D66D5C" w:rsidRPr="00F26E40" w:rsidRDefault="00D66D5C" w:rsidP="00676C1D">
            <w:pPr>
              <w:spacing w:after="0" w:line="264" w:lineRule="auto"/>
              <w:jc w:val="center"/>
              <w:rPr>
                <w:rFonts w:ascii="Arial" w:hAnsi="Arial" w:cs="Arial"/>
                <w:sz w:val="16"/>
                <w:szCs w:val="16"/>
              </w:rPr>
            </w:pPr>
          </w:p>
        </w:tc>
        <w:tc>
          <w:tcPr>
            <w:tcW w:w="7513" w:type="dxa"/>
            <w:tcBorders>
              <w:top w:val="single" w:sz="4" w:space="0" w:color="auto"/>
            </w:tcBorders>
            <w:shd w:val="clear" w:color="auto" w:fill="auto"/>
          </w:tcPr>
          <w:p w14:paraId="10A7E07F" w14:textId="77777777" w:rsidR="00D66D5C" w:rsidRPr="00F26E40" w:rsidRDefault="00D66D5C" w:rsidP="00676C1D">
            <w:pPr>
              <w:spacing w:after="0" w:line="264" w:lineRule="auto"/>
              <w:rPr>
                <w:rFonts w:ascii="Arial" w:hAnsi="Arial" w:cs="Arial"/>
                <w:sz w:val="16"/>
                <w:szCs w:val="16"/>
              </w:rPr>
            </w:pPr>
          </w:p>
        </w:tc>
      </w:tr>
      <w:tr w:rsidR="00D66D5C" w:rsidRPr="00F26E40" w14:paraId="78F1720E" w14:textId="77777777" w:rsidTr="00401FB4">
        <w:tc>
          <w:tcPr>
            <w:tcW w:w="1986" w:type="dxa"/>
            <w:vMerge w:val="restart"/>
            <w:shd w:val="clear" w:color="auto" w:fill="auto"/>
          </w:tcPr>
          <w:p w14:paraId="4E18192A"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Participant flow (a diagram is strongly recommended)</w:t>
            </w:r>
          </w:p>
        </w:tc>
        <w:tc>
          <w:tcPr>
            <w:tcW w:w="850" w:type="dxa"/>
            <w:shd w:val="clear" w:color="auto" w:fill="auto"/>
          </w:tcPr>
          <w:p w14:paraId="0D8A4CE8"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13a</w:t>
            </w:r>
          </w:p>
        </w:tc>
        <w:tc>
          <w:tcPr>
            <w:tcW w:w="7513" w:type="dxa"/>
            <w:shd w:val="clear" w:color="auto" w:fill="auto"/>
          </w:tcPr>
          <w:p w14:paraId="0DB5224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For each group, the numbers of participants who were randomly assigned, received intended treatment, and were analysed for the primary outcome</w:t>
            </w:r>
          </w:p>
        </w:tc>
      </w:tr>
      <w:tr w:rsidR="00D66D5C" w:rsidRPr="00F26E40" w14:paraId="0422D580" w14:textId="77777777" w:rsidTr="00401FB4">
        <w:tc>
          <w:tcPr>
            <w:tcW w:w="1986" w:type="dxa"/>
            <w:vMerge/>
            <w:shd w:val="clear" w:color="auto" w:fill="auto"/>
          </w:tcPr>
          <w:p w14:paraId="61B188FB"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72E0F5CC"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13b</w:t>
            </w:r>
          </w:p>
        </w:tc>
        <w:tc>
          <w:tcPr>
            <w:tcW w:w="7513" w:type="dxa"/>
            <w:shd w:val="clear" w:color="auto" w:fill="auto"/>
          </w:tcPr>
          <w:p w14:paraId="3B429389"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For each group, losses and exclusions after randomisation,</w:t>
            </w:r>
            <w:r w:rsidRPr="00F26E40" w:rsidDel="00646D6B">
              <w:rPr>
                <w:rFonts w:ascii="Arial" w:hAnsi="Arial" w:cs="Arial"/>
                <w:sz w:val="16"/>
                <w:szCs w:val="16"/>
              </w:rPr>
              <w:t xml:space="preserve"> </w:t>
            </w:r>
            <w:r w:rsidRPr="00F26E40">
              <w:rPr>
                <w:rFonts w:ascii="Arial" w:hAnsi="Arial" w:cs="Arial"/>
                <w:sz w:val="16"/>
                <w:szCs w:val="16"/>
              </w:rPr>
              <w:t>together with reasons</w:t>
            </w:r>
          </w:p>
        </w:tc>
      </w:tr>
      <w:tr w:rsidR="00D66D5C" w:rsidRPr="00F26E40" w14:paraId="75018D86" w14:textId="77777777" w:rsidTr="00401FB4">
        <w:tc>
          <w:tcPr>
            <w:tcW w:w="1986" w:type="dxa"/>
            <w:vMerge w:val="restart"/>
            <w:shd w:val="clear" w:color="auto" w:fill="auto"/>
          </w:tcPr>
          <w:p w14:paraId="47654419"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Recruitment</w:t>
            </w:r>
          </w:p>
        </w:tc>
        <w:tc>
          <w:tcPr>
            <w:tcW w:w="850" w:type="dxa"/>
            <w:shd w:val="clear" w:color="auto" w:fill="auto"/>
          </w:tcPr>
          <w:p w14:paraId="12F2608E"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14a</w:t>
            </w:r>
          </w:p>
        </w:tc>
        <w:tc>
          <w:tcPr>
            <w:tcW w:w="7513" w:type="dxa"/>
            <w:shd w:val="clear" w:color="auto" w:fill="auto"/>
          </w:tcPr>
          <w:p w14:paraId="776EE985"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Dates defining the periods of recruitment and follow-up</w:t>
            </w:r>
          </w:p>
        </w:tc>
      </w:tr>
      <w:tr w:rsidR="00D66D5C" w:rsidRPr="00F26E40" w14:paraId="5367ADDA" w14:textId="77777777" w:rsidTr="00401FB4">
        <w:tc>
          <w:tcPr>
            <w:tcW w:w="1986" w:type="dxa"/>
            <w:vMerge/>
            <w:shd w:val="clear" w:color="auto" w:fill="auto"/>
          </w:tcPr>
          <w:p w14:paraId="579F3168"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113759FF"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14b</w:t>
            </w:r>
          </w:p>
        </w:tc>
        <w:tc>
          <w:tcPr>
            <w:tcW w:w="7513" w:type="dxa"/>
            <w:shd w:val="clear" w:color="auto" w:fill="auto"/>
          </w:tcPr>
          <w:p w14:paraId="13843EBE"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Why the trial ended or was stopped</w:t>
            </w:r>
          </w:p>
        </w:tc>
      </w:tr>
      <w:tr w:rsidR="00D66D5C" w:rsidRPr="00F26E40" w14:paraId="65DA6051" w14:textId="77777777" w:rsidTr="00401FB4">
        <w:tc>
          <w:tcPr>
            <w:tcW w:w="1986" w:type="dxa"/>
            <w:shd w:val="clear" w:color="auto" w:fill="auto"/>
          </w:tcPr>
          <w:p w14:paraId="4B857231"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Baseline data</w:t>
            </w:r>
          </w:p>
        </w:tc>
        <w:tc>
          <w:tcPr>
            <w:tcW w:w="850" w:type="dxa"/>
            <w:shd w:val="clear" w:color="auto" w:fill="auto"/>
          </w:tcPr>
          <w:p w14:paraId="597A8E27"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15</w:t>
            </w:r>
          </w:p>
        </w:tc>
        <w:tc>
          <w:tcPr>
            <w:tcW w:w="7513" w:type="dxa"/>
            <w:shd w:val="clear" w:color="auto" w:fill="auto"/>
          </w:tcPr>
          <w:p w14:paraId="4DAC4B87"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A table showing baseline demographic and clinical characteristics for each group</w:t>
            </w:r>
          </w:p>
        </w:tc>
      </w:tr>
      <w:tr w:rsidR="00D66D5C" w:rsidRPr="00F26E40" w14:paraId="08DE5F9D" w14:textId="77777777" w:rsidTr="00401FB4">
        <w:tc>
          <w:tcPr>
            <w:tcW w:w="1986" w:type="dxa"/>
            <w:shd w:val="clear" w:color="auto" w:fill="auto"/>
          </w:tcPr>
          <w:p w14:paraId="05AE014F"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Numbers analysed</w:t>
            </w:r>
          </w:p>
        </w:tc>
        <w:tc>
          <w:tcPr>
            <w:tcW w:w="850" w:type="dxa"/>
            <w:shd w:val="clear" w:color="auto" w:fill="auto"/>
          </w:tcPr>
          <w:p w14:paraId="7F74ED2A"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16</w:t>
            </w:r>
          </w:p>
        </w:tc>
        <w:tc>
          <w:tcPr>
            <w:tcW w:w="7513" w:type="dxa"/>
            <w:shd w:val="clear" w:color="auto" w:fill="auto"/>
          </w:tcPr>
          <w:p w14:paraId="43BB70AC"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For each group, number of participants (denominator) included in each analysis and whether the analysis was by original assigned groups</w:t>
            </w:r>
          </w:p>
        </w:tc>
      </w:tr>
      <w:tr w:rsidR="00D66D5C" w:rsidRPr="00F26E40" w14:paraId="1430E6BD" w14:textId="77777777" w:rsidTr="00401FB4">
        <w:tc>
          <w:tcPr>
            <w:tcW w:w="1986" w:type="dxa"/>
            <w:vMerge w:val="restart"/>
            <w:shd w:val="clear" w:color="auto" w:fill="auto"/>
          </w:tcPr>
          <w:p w14:paraId="5606B771"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Outcomes and estimation</w:t>
            </w:r>
          </w:p>
        </w:tc>
        <w:tc>
          <w:tcPr>
            <w:tcW w:w="850" w:type="dxa"/>
            <w:shd w:val="clear" w:color="auto" w:fill="auto"/>
          </w:tcPr>
          <w:p w14:paraId="5AB846BC"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17a</w:t>
            </w:r>
          </w:p>
        </w:tc>
        <w:tc>
          <w:tcPr>
            <w:tcW w:w="7513" w:type="dxa"/>
            <w:shd w:val="clear" w:color="auto" w:fill="auto"/>
          </w:tcPr>
          <w:p w14:paraId="6A7E8E95"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For each primary and secondary outcome, results for each group, and the estimated effect size and its precision (such as 95% confidence interval)</w:t>
            </w:r>
          </w:p>
        </w:tc>
      </w:tr>
      <w:tr w:rsidR="00D66D5C" w:rsidRPr="00F26E40" w14:paraId="79836F61" w14:textId="77777777" w:rsidTr="00401FB4">
        <w:tc>
          <w:tcPr>
            <w:tcW w:w="1986" w:type="dxa"/>
            <w:vMerge/>
            <w:shd w:val="clear" w:color="auto" w:fill="auto"/>
          </w:tcPr>
          <w:p w14:paraId="331096C2" w14:textId="77777777" w:rsidR="00D66D5C" w:rsidRPr="00F26E40" w:rsidRDefault="00D66D5C" w:rsidP="00676C1D">
            <w:pPr>
              <w:spacing w:after="0" w:line="264" w:lineRule="auto"/>
              <w:ind w:left="113"/>
              <w:rPr>
                <w:rFonts w:ascii="Arial" w:hAnsi="Arial" w:cs="Arial"/>
                <w:sz w:val="16"/>
                <w:szCs w:val="16"/>
              </w:rPr>
            </w:pPr>
          </w:p>
        </w:tc>
        <w:tc>
          <w:tcPr>
            <w:tcW w:w="850" w:type="dxa"/>
            <w:shd w:val="clear" w:color="auto" w:fill="auto"/>
          </w:tcPr>
          <w:p w14:paraId="1E746FDD"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17b</w:t>
            </w:r>
          </w:p>
        </w:tc>
        <w:tc>
          <w:tcPr>
            <w:tcW w:w="7513" w:type="dxa"/>
            <w:shd w:val="clear" w:color="auto" w:fill="auto"/>
          </w:tcPr>
          <w:p w14:paraId="73F42D86"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bCs/>
                <w:sz w:val="16"/>
                <w:szCs w:val="16"/>
              </w:rPr>
              <w:t>For binary outcomes, presentation of both absolute and relative effect sizes is recommended</w:t>
            </w:r>
          </w:p>
        </w:tc>
      </w:tr>
      <w:tr w:rsidR="00D66D5C" w:rsidRPr="00F26E40" w14:paraId="093A7FAF" w14:textId="77777777" w:rsidTr="00401FB4">
        <w:tc>
          <w:tcPr>
            <w:tcW w:w="1986" w:type="dxa"/>
            <w:shd w:val="clear" w:color="auto" w:fill="auto"/>
          </w:tcPr>
          <w:p w14:paraId="4254C643"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Ancillary analyses</w:t>
            </w:r>
          </w:p>
        </w:tc>
        <w:tc>
          <w:tcPr>
            <w:tcW w:w="850" w:type="dxa"/>
            <w:shd w:val="clear" w:color="auto" w:fill="auto"/>
          </w:tcPr>
          <w:p w14:paraId="4946D314"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18</w:t>
            </w:r>
          </w:p>
        </w:tc>
        <w:tc>
          <w:tcPr>
            <w:tcW w:w="7513" w:type="dxa"/>
            <w:shd w:val="clear" w:color="auto" w:fill="auto"/>
          </w:tcPr>
          <w:p w14:paraId="3D1C7ED5"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Results of any other analyses performed, including subgroup analyses and adjusted analyses, distinguishing pre-specified from exploratory</w:t>
            </w:r>
          </w:p>
        </w:tc>
      </w:tr>
      <w:tr w:rsidR="00D66D5C" w:rsidRPr="00F26E40" w14:paraId="7D61F0BD" w14:textId="77777777" w:rsidTr="00401FB4">
        <w:tc>
          <w:tcPr>
            <w:tcW w:w="1986" w:type="dxa"/>
            <w:tcBorders>
              <w:bottom w:val="single" w:sz="4" w:space="0" w:color="auto"/>
            </w:tcBorders>
            <w:shd w:val="clear" w:color="auto" w:fill="auto"/>
          </w:tcPr>
          <w:p w14:paraId="244108EF"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Harms</w:t>
            </w:r>
          </w:p>
        </w:tc>
        <w:tc>
          <w:tcPr>
            <w:tcW w:w="850" w:type="dxa"/>
            <w:tcBorders>
              <w:bottom w:val="single" w:sz="4" w:space="0" w:color="auto"/>
            </w:tcBorders>
            <w:shd w:val="clear" w:color="auto" w:fill="auto"/>
          </w:tcPr>
          <w:p w14:paraId="6E0080AE"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19</w:t>
            </w:r>
          </w:p>
        </w:tc>
        <w:tc>
          <w:tcPr>
            <w:tcW w:w="7513" w:type="dxa"/>
            <w:tcBorders>
              <w:bottom w:val="single" w:sz="4" w:space="0" w:color="auto"/>
            </w:tcBorders>
            <w:shd w:val="clear" w:color="auto" w:fill="auto"/>
          </w:tcPr>
          <w:p w14:paraId="24557478"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All important harms or unintended effects in each group (for specific guidance see CONSORT for harms)</w:t>
            </w:r>
          </w:p>
        </w:tc>
      </w:tr>
      <w:tr w:rsidR="00D66D5C" w:rsidRPr="00F26E40" w14:paraId="11B7D84D" w14:textId="77777777" w:rsidTr="00401FB4">
        <w:trPr>
          <w:trHeight w:val="283"/>
        </w:trPr>
        <w:tc>
          <w:tcPr>
            <w:tcW w:w="1986" w:type="dxa"/>
            <w:tcBorders>
              <w:top w:val="single" w:sz="4" w:space="0" w:color="auto"/>
            </w:tcBorders>
            <w:shd w:val="clear" w:color="auto" w:fill="auto"/>
            <w:vAlign w:val="center"/>
          </w:tcPr>
          <w:p w14:paraId="315D7800" w14:textId="77777777" w:rsidR="00D66D5C" w:rsidRPr="00F26E40" w:rsidRDefault="00D66D5C" w:rsidP="00676C1D">
            <w:pPr>
              <w:spacing w:after="0" w:line="264" w:lineRule="auto"/>
              <w:rPr>
                <w:rFonts w:ascii="Arial" w:hAnsi="Arial" w:cs="Arial"/>
                <w:b/>
                <w:sz w:val="16"/>
                <w:szCs w:val="16"/>
              </w:rPr>
            </w:pPr>
            <w:r>
              <w:rPr>
                <w:rFonts w:ascii="Arial" w:hAnsi="Arial" w:cs="Arial"/>
                <w:b/>
                <w:sz w:val="16"/>
                <w:szCs w:val="16"/>
              </w:rPr>
              <w:t>Discussion</w:t>
            </w:r>
          </w:p>
        </w:tc>
        <w:tc>
          <w:tcPr>
            <w:tcW w:w="850" w:type="dxa"/>
            <w:tcBorders>
              <w:top w:val="single" w:sz="4" w:space="0" w:color="auto"/>
            </w:tcBorders>
            <w:shd w:val="clear" w:color="auto" w:fill="auto"/>
            <w:vAlign w:val="center"/>
          </w:tcPr>
          <w:p w14:paraId="69D15CDB" w14:textId="77777777" w:rsidR="00D66D5C" w:rsidRPr="00F26E40" w:rsidRDefault="00D66D5C" w:rsidP="00676C1D">
            <w:pPr>
              <w:spacing w:after="0" w:line="264" w:lineRule="auto"/>
              <w:rPr>
                <w:rFonts w:ascii="Arial" w:hAnsi="Arial" w:cs="Arial"/>
                <w:sz w:val="16"/>
                <w:szCs w:val="16"/>
              </w:rPr>
            </w:pPr>
          </w:p>
        </w:tc>
        <w:tc>
          <w:tcPr>
            <w:tcW w:w="7513" w:type="dxa"/>
            <w:tcBorders>
              <w:top w:val="single" w:sz="4" w:space="0" w:color="auto"/>
            </w:tcBorders>
            <w:shd w:val="clear" w:color="auto" w:fill="auto"/>
            <w:vAlign w:val="center"/>
          </w:tcPr>
          <w:p w14:paraId="1FE43AFE" w14:textId="77777777" w:rsidR="00D66D5C" w:rsidRPr="00F26E40" w:rsidRDefault="00D66D5C" w:rsidP="00676C1D">
            <w:pPr>
              <w:spacing w:after="0" w:line="264" w:lineRule="auto"/>
              <w:rPr>
                <w:rFonts w:ascii="Arial" w:hAnsi="Arial" w:cs="Arial"/>
                <w:sz w:val="16"/>
                <w:szCs w:val="16"/>
              </w:rPr>
            </w:pPr>
          </w:p>
        </w:tc>
      </w:tr>
      <w:tr w:rsidR="00D66D5C" w:rsidRPr="00F26E40" w14:paraId="07C6AAFF" w14:textId="77777777" w:rsidTr="00401FB4">
        <w:tc>
          <w:tcPr>
            <w:tcW w:w="1986" w:type="dxa"/>
            <w:shd w:val="clear" w:color="auto" w:fill="auto"/>
          </w:tcPr>
          <w:p w14:paraId="54F1B406"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Limitations</w:t>
            </w:r>
          </w:p>
        </w:tc>
        <w:tc>
          <w:tcPr>
            <w:tcW w:w="850" w:type="dxa"/>
            <w:shd w:val="clear" w:color="auto" w:fill="auto"/>
          </w:tcPr>
          <w:p w14:paraId="579430E8"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20</w:t>
            </w:r>
          </w:p>
        </w:tc>
        <w:tc>
          <w:tcPr>
            <w:tcW w:w="7513" w:type="dxa"/>
            <w:shd w:val="clear" w:color="auto" w:fill="auto"/>
          </w:tcPr>
          <w:p w14:paraId="6B250F3E"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Trial limitations, addressing sources of potential bias, imprecision, and, if relevant, multiplicity of analyses</w:t>
            </w:r>
          </w:p>
        </w:tc>
      </w:tr>
      <w:tr w:rsidR="00D66D5C" w:rsidRPr="00F26E40" w14:paraId="7E650780" w14:textId="77777777" w:rsidTr="00401FB4">
        <w:tc>
          <w:tcPr>
            <w:tcW w:w="1986" w:type="dxa"/>
            <w:shd w:val="clear" w:color="auto" w:fill="auto"/>
          </w:tcPr>
          <w:p w14:paraId="6B9ABAA5"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Generalisability</w:t>
            </w:r>
          </w:p>
        </w:tc>
        <w:tc>
          <w:tcPr>
            <w:tcW w:w="850" w:type="dxa"/>
            <w:shd w:val="clear" w:color="auto" w:fill="auto"/>
          </w:tcPr>
          <w:p w14:paraId="29F74D1F"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21</w:t>
            </w:r>
          </w:p>
        </w:tc>
        <w:tc>
          <w:tcPr>
            <w:tcW w:w="7513" w:type="dxa"/>
            <w:shd w:val="clear" w:color="auto" w:fill="auto"/>
          </w:tcPr>
          <w:p w14:paraId="0F56576F"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Generalisability (external validity, applicability) of the trial findings</w:t>
            </w:r>
          </w:p>
        </w:tc>
      </w:tr>
      <w:tr w:rsidR="00D66D5C" w:rsidRPr="00F26E40" w14:paraId="6C64B3C1" w14:textId="77777777" w:rsidTr="00401FB4">
        <w:tc>
          <w:tcPr>
            <w:tcW w:w="1986" w:type="dxa"/>
            <w:tcBorders>
              <w:bottom w:val="single" w:sz="4" w:space="0" w:color="auto"/>
            </w:tcBorders>
            <w:shd w:val="clear" w:color="auto" w:fill="auto"/>
          </w:tcPr>
          <w:p w14:paraId="04DDB2F6" w14:textId="77777777" w:rsidR="00D66D5C" w:rsidRPr="00F26E40" w:rsidRDefault="00D66D5C" w:rsidP="00676C1D">
            <w:pPr>
              <w:spacing w:after="0" w:line="264" w:lineRule="auto"/>
              <w:ind w:left="113"/>
              <w:rPr>
                <w:rFonts w:ascii="Arial" w:hAnsi="Arial" w:cs="Arial"/>
                <w:sz w:val="16"/>
                <w:szCs w:val="16"/>
              </w:rPr>
            </w:pPr>
            <w:r w:rsidRPr="00F26E40">
              <w:rPr>
                <w:rFonts w:ascii="Arial" w:hAnsi="Arial" w:cs="Arial"/>
                <w:sz w:val="16"/>
                <w:szCs w:val="16"/>
              </w:rPr>
              <w:t>Interpretation</w:t>
            </w:r>
          </w:p>
        </w:tc>
        <w:tc>
          <w:tcPr>
            <w:tcW w:w="850" w:type="dxa"/>
            <w:tcBorders>
              <w:bottom w:val="single" w:sz="4" w:space="0" w:color="auto"/>
            </w:tcBorders>
            <w:shd w:val="clear" w:color="auto" w:fill="auto"/>
          </w:tcPr>
          <w:p w14:paraId="48274BC7"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22</w:t>
            </w:r>
          </w:p>
        </w:tc>
        <w:tc>
          <w:tcPr>
            <w:tcW w:w="7513" w:type="dxa"/>
            <w:tcBorders>
              <w:bottom w:val="single" w:sz="4" w:space="0" w:color="auto"/>
            </w:tcBorders>
            <w:shd w:val="clear" w:color="auto" w:fill="auto"/>
          </w:tcPr>
          <w:p w14:paraId="2692E4EA"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Interpretation consistent with results, balancing benefits and harms, and considering other relevant evidence</w:t>
            </w:r>
          </w:p>
        </w:tc>
      </w:tr>
      <w:tr w:rsidR="00D66D5C" w:rsidRPr="00F26E40" w14:paraId="32066296" w14:textId="77777777" w:rsidTr="00401FB4">
        <w:trPr>
          <w:trHeight w:val="283"/>
        </w:trPr>
        <w:tc>
          <w:tcPr>
            <w:tcW w:w="10349" w:type="dxa"/>
            <w:gridSpan w:val="3"/>
            <w:tcBorders>
              <w:top w:val="single" w:sz="4" w:space="0" w:color="auto"/>
            </w:tcBorders>
            <w:shd w:val="clear" w:color="auto" w:fill="auto"/>
            <w:vAlign w:val="center"/>
          </w:tcPr>
          <w:p w14:paraId="6E50EFA4" w14:textId="77777777" w:rsidR="00D66D5C" w:rsidRPr="00F26E40" w:rsidRDefault="00D66D5C" w:rsidP="00676C1D">
            <w:pPr>
              <w:pStyle w:val="TableSubHead"/>
              <w:spacing w:before="0" w:line="264" w:lineRule="auto"/>
              <w:rPr>
                <w:rFonts w:ascii="Arial" w:hAnsi="Arial" w:cs="Arial"/>
                <w:sz w:val="16"/>
                <w:szCs w:val="16"/>
              </w:rPr>
            </w:pPr>
            <w:r w:rsidRPr="00F26E40">
              <w:rPr>
                <w:rFonts w:ascii="Arial" w:hAnsi="Arial" w:cs="Arial"/>
                <w:sz w:val="16"/>
                <w:szCs w:val="16"/>
              </w:rPr>
              <w:t>Other information</w:t>
            </w:r>
          </w:p>
        </w:tc>
      </w:tr>
      <w:tr w:rsidR="00D66D5C" w:rsidRPr="00F26E40" w14:paraId="1805E385" w14:textId="77777777" w:rsidTr="00401FB4">
        <w:tc>
          <w:tcPr>
            <w:tcW w:w="1986" w:type="dxa"/>
            <w:shd w:val="clear" w:color="auto" w:fill="auto"/>
          </w:tcPr>
          <w:p w14:paraId="3A00DFA5" w14:textId="77777777" w:rsidR="00D66D5C" w:rsidRPr="00F26E40" w:rsidRDefault="00D66D5C" w:rsidP="00676C1D">
            <w:pPr>
              <w:spacing w:after="0" w:line="264" w:lineRule="auto"/>
              <w:ind w:left="113"/>
              <w:rPr>
                <w:rFonts w:ascii="Arial" w:hAnsi="Arial" w:cs="Arial"/>
                <w:i/>
                <w:caps/>
                <w:sz w:val="16"/>
                <w:szCs w:val="16"/>
              </w:rPr>
            </w:pPr>
            <w:r w:rsidRPr="00F26E40">
              <w:rPr>
                <w:rFonts w:ascii="Arial" w:hAnsi="Arial" w:cs="Arial"/>
                <w:sz w:val="16"/>
                <w:szCs w:val="16"/>
              </w:rPr>
              <w:t>Registration</w:t>
            </w:r>
          </w:p>
        </w:tc>
        <w:tc>
          <w:tcPr>
            <w:tcW w:w="850" w:type="dxa"/>
            <w:shd w:val="clear" w:color="auto" w:fill="auto"/>
          </w:tcPr>
          <w:p w14:paraId="4E909DE6"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23</w:t>
            </w:r>
          </w:p>
        </w:tc>
        <w:tc>
          <w:tcPr>
            <w:tcW w:w="7513" w:type="dxa"/>
            <w:shd w:val="clear" w:color="auto" w:fill="auto"/>
          </w:tcPr>
          <w:p w14:paraId="1D065C0B"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Registration number and name of trial registry</w:t>
            </w:r>
          </w:p>
        </w:tc>
      </w:tr>
      <w:tr w:rsidR="00D66D5C" w:rsidRPr="00F26E40" w14:paraId="350F9074" w14:textId="77777777" w:rsidTr="00401FB4">
        <w:tc>
          <w:tcPr>
            <w:tcW w:w="1986" w:type="dxa"/>
            <w:shd w:val="clear" w:color="auto" w:fill="auto"/>
          </w:tcPr>
          <w:p w14:paraId="34F630C5" w14:textId="77777777" w:rsidR="00D66D5C" w:rsidRPr="00F26E40" w:rsidRDefault="00D66D5C" w:rsidP="00676C1D">
            <w:pPr>
              <w:spacing w:after="0" w:line="264" w:lineRule="auto"/>
              <w:ind w:left="113"/>
              <w:rPr>
                <w:rFonts w:ascii="Arial" w:hAnsi="Arial" w:cs="Arial"/>
                <w:i/>
                <w:caps/>
                <w:sz w:val="16"/>
                <w:szCs w:val="16"/>
              </w:rPr>
            </w:pPr>
            <w:r w:rsidRPr="00F26E40">
              <w:rPr>
                <w:rFonts w:ascii="Arial" w:hAnsi="Arial" w:cs="Arial"/>
                <w:sz w:val="16"/>
                <w:szCs w:val="16"/>
              </w:rPr>
              <w:t>Protocol</w:t>
            </w:r>
          </w:p>
        </w:tc>
        <w:tc>
          <w:tcPr>
            <w:tcW w:w="850" w:type="dxa"/>
            <w:shd w:val="clear" w:color="auto" w:fill="auto"/>
          </w:tcPr>
          <w:p w14:paraId="63B9CC08"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24</w:t>
            </w:r>
          </w:p>
        </w:tc>
        <w:tc>
          <w:tcPr>
            <w:tcW w:w="7513" w:type="dxa"/>
            <w:shd w:val="clear" w:color="auto" w:fill="auto"/>
          </w:tcPr>
          <w:p w14:paraId="69D54045" w14:textId="77777777" w:rsidR="00D66D5C" w:rsidRPr="00F26E40" w:rsidRDefault="00D66D5C" w:rsidP="00676C1D">
            <w:pPr>
              <w:spacing w:after="0" w:line="264" w:lineRule="auto"/>
              <w:rPr>
                <w:rFonts w:ascii="Arial" w:hAnsi="Arial" w:cs="Arial"/>
                <w:sz w:val="16"/>
                <w:szCs w:val="16"/>
              </w:rPr>
            </w:pPr>
            <w:r w:rsidRPr="00F26E40">
              <w:rPr>
                <w:rFonts w:ascii="Arial" w:hAnsi="Arial" w:cs="Arial"/>
                <w:sz w:val="16"/>
                <w:szCs w:val="16"/>
              </w:rPr>
              <w:t>Where the full trial protocol can be accessed, if available</w:t>
            </w:r>
          </w:p>
        </w:tc>
      </w:tr>
      <w:tr w:rsidR="00D66D5C" w:rsidRPr="00F26E40" w14:paraId="5FDF0273" w14:textId="77777777" w:rsidTr="00401FB4">
        <w:tc>
          <w:tcPr>
            <w:tcW w:w="1986" w:type="dxa"/>
            <w:tcBorders>
              <w:bottom w:val="single" w:sz="4" w:space="0" w:color="auto"/>
            </w:tcBorders>
            <w:shd w:val="clear" w:color="auto" w:fill="auto"/>
          </w:tcPr>
          <w:p w14:paraId="31256F82" w14:textId="77777777" w:rsidR="00D66D5C" w:rsidRPr="00F26E40" w:rsidRDefault="00D66D5C" w:rsidP="00676C1D">
            <w:pPr>
              <w:spacing w:after="0" w:line="264" w:lineRule="auto"/>
              <w:ind w:left="113"/>
              <w:rPr>
                <w:rFonts w:ascii="Arial" w:hAnsi="Arial" w:cs="Arial"/>
                <w:i/>
                <w:caps/>
                <w:sz w:val="16"/>
                <w:szCs w:val="16"/>
              </w:rPr>
            </w:pPr>
            <w:r w:rsidRPr="00F26E40">
              <w:rPr>
                <w:rFonts w:ascii="Arial" w:hAnsi="Arial" w:cs="Arial"/>
                <w:sz w:val="16"/>
                <w:szCs w:val="16"/>
              </w:rPr>
              <w:t>Funding</w:t>
            </w:r>
          </w:p>
        </w:tc>
        <w:tc>
          <w:tcPr>
            <w:tcW w:w="850" w:type="dxa"/>
            <w:tcBorders>
              <w:bottom w:val="single" w:sz="4" w:space="0" w:color="auto"/>
            </w:tcBorders>
            <w:shd w:val="clear" w:color="auto" w:fill="auto"/>
          </w:tcPr>
          <w:p w14:paraId="04339F01" w14:textId="77777777" w:rsidR="00D66D5C" w:rsidRPr="00F26E40" w:rsidRDefault="00D66D5C" w:rsidP="00676C1D">
            <w:pPr>
              <w:spacing w:after="0" w:line="264" w:lineRule="auto"/>
              <w:jc w:val="center"/>
              <w:rPr>
                <w:rFonts w:ascii="Arial" w:hAnsi="Arial" w:cs="Arial"/>
                <w:sz w:val="16"/>
                <w:szCs w:val="16"/>
              </w:rPr>
            </w:pPr>
            <w:r w:rsidRPr="00F26E40">
              <w:rPr>
                <w:rFonts w:ascii="Arial" w:hAnsi="Arial" w:cs="Arial"/>
                <w:sz w:val="16"/>
                <w:szCs w:val="16"/>
              </w:rPr>
              <w:t>25</w:t>
            </w:r>
          </w:p>
        </w:tc>
        <w:tc>
          <w:tcPr>
            <w:tcW w:w="7513" w:type="dxa"/>
            <w:tcBorders>
              <w:bottom w:val="single" w:sz="4" w:space="0" w:color="auto"/>
            </w:tcBorders>
            <w:shd w:val="clear" w:color="auto" w:fill="auto"/>
          </w:tcPr>
          <w:p w14:paraId="4B67957F" w14:textId="77777777" w:rsidR="00D66D5C" w:rsidRPr="00F26E40" w:rsidRDefault="00D66D5C" w:rsidP="00676C1D">
            <w:pPr>
              <w:spacing w:after="0" w:line="264" w:lineRule="auto"/>
              <w:rPr>
                <w:rFonts w:ascii="Arial" w:hAnsi="Arial" w:cs="Arial"/>
                <w:sz w:val="16"/>
                <w:szCs w:val="16"/>
                <w:lang w:val="en-CA"/>
              </w:rPr>
            </w:pPr>
            <w:r w:rsidRPr="00F26E40">
              <w:rPr>
                <w:rFonts w:ascii="Arial" w:hAnsi="Arial" w:cs="Arial"/>
                <w:sz w:val="16"/>
                <w:szCs w:val="16"/>
              </w:rPr>
              <w:t xml:space="preserve">Sources of funding </w:t>
            </w:r>
            <w:r w:rsidRPr="00F26E40">
              <w:rPr>
                <w:rFonts w:ascii="Arial" w:hAnsi="Arial" w:cs="Arial"/>
                <w:bCs/>
                <w:sz w:val="16"/>
                <w:szCs w:val="16"/>
                <w:lang w:val="en-CA"/>
              </w:rPr>
              <w:t>and other support (such as supply of drugs), role of funders</w:t>
            </w:r>
          </w:p>
        </w:tc>
      </w:tr>
    </w:tbl>
    <w:p w14:paraId="0A205C31" w14:textId="77777777" w:rsidR="00CA595D" w:rsidRDefault="00CA595D" w:rsidP="00144A50">
      <w:pPr>
        <w:ind w:left="-567"/>
        <w:rPr>
          <w:rFonts w:ascii="Arial" w:eastAsia="Times New Roman" w:hAnsi="Arial" w:cs="Arial"/>
          <w:color w:val="000000"/>
          <w:sz w:val="18"/>
          <w:szCs w:val="16"/>
          <w:lang w:eastAsia="en-GB"/>
        </w:rPr>
      </w:pPr>
    </w:p>
    <w:p w14:paraId="0DAE100D" w14:textId="77777777" w:rsidR="00144A50" w:rsidRDefault="00144A50" w:rsidP="00144A50">
      <w:pPr>
        <w:ind w:left="-567"/>
        <w:rPr>
          <w:rFonts w:ascii="Arial" w:eastAsia="Times New Roman" w:hAnsi="Arial" w:cs="Arial"/>
          <w:color w:val="000000"/>
          <w:sz w:val="18"/>
          <w:szCs w:val="16"/>
          <w:lang w:eastAsia="en-GB"/>
        </w:rPr>
      </w:pPr>
      <w:r>
        <w:rPr>
          <w:rFonts w:ascii="Arial" w:eastAsia="Times New Roman" w:hAnsi="Arial" w:cs="Arial"/>
          <w:color w:val="000000"/>
          <w:sz w:val="18"/>
          <w:szCs w:val="16"/>
          <w:lang w:eastAsia="en-GB"/>
        </w:rPr>
        <w:lastRenderedPageBreak/>
        <w:t xml:space="preserve">Source: </w:t>
      </w:r>
      <w:proofErr w:type="spellStart"/>
      <w:r w:rsidRPr="00144A50">
        <w:rPr>
          <w:rFonts w:ascii="Arial" w:eastAsia="Times New Roman" w:hAnsi="Arial" w:cs="Arial"/>
          <w:color w:val="000000"/>
          <w:sz w:val="18"/>
          <w:szCs w:val="16"/>
          <w:lang w:eastAsia="en-GB"/>
        </w:rPr>
        <w:t>Moher</w:t>
      </w:r>
      <w:proofErr w:type="spellEnd"/>
      <w:r w:rsidRPr="00144A50">
        <w:rPr>
          <w:rFonts w:ascii="Arial" w:eastAsia="Times New Roman" w:hAnsi="Arial" w:cs="Arial"/>
          <w:color w:val="000000"/>
          <w:sz w:val="18"/>
          <w:szCs w:val="16"/>
          <w:lang w:eastAsia="en-GB"/>
        </w:rPr>
        <w:t xml:space="preserve"> D, Hopewell S, Schulz KF, et al. CONSORT 2010 explanation and elaboration: updated guidelines for reporting parallel group randomised trials. BMJ 2010</w:t>
      </w:r>
      <w:proofErr w:type="gramStart"/>
      <w:r w:rsidRPr="00144A50">
        <w:rPr>
          <w:rFonts w:ascii="Arial" w:eastAsia="Times New Roman" w:hAnsi="Arial" w:cs="Arial"/>
          <w:color w:val="000000"/>
          <w:sz w:val="18"/>
          <w:szCs w:val="16"/>
          <w:lang w:eastAsia="en-GB"/>
        </w:rPr>
        <w:t>;340:c869</w:t>
      </w:r>
      <w:proofErr w:type="gramEnd"/>
      <w:r w:rsidRPr="00144A50">
        <w:rPr>
          <w:rFonts w:ascii="Arial" w:eastAsia="Times New Roman" w:hAnsi="Arial" w:cs="Arial"/>
          <w:color w:val="000000"/>
          <w:sz w:val="18"/>
          <w:szCs w:val="16"/>
          <w:lang w:eastAsia="en-GB"/>
        </w:rPr>
        <w:t>.</w:t>
      </w:r>
    </w:p>
    <w:p w14:paraId="15848D03" w14:textId="1C5C050D" w:rsidR="00401FB4" w:rsidRDefault="00401FB4" w:rsidP="00144A50">
      <w:pPr>
        <w:ind w:left="-567"/>
        <w:rPr>
          <w:rFonts w:ascii="Arial" w:eastAsia="Times New Roman" w:hAnsi="Arial" w:cs="Arial"/>
          <w:color w:val="000000"/>
          <w:sz w:val="18"/>
          <w:szCs w:val="16"/>
          <w:lang w:eastAsia="en-GB"/>
        </w:rPr>
      </w:pPr>
      <w:r>
        <w:rPr>
          <w:rFonts w:ascii="Arial" w:eastAsia="Times New Roman" w:hAnsi="Arial" w:cs="Arial"/>
          <w:color w:val="000000"/>
          <w:sz w:val="18"/>
          <w:szCs w:val="16"/>
          <w:lang w:eastAsia="en-GB"/>
        </w:rPr>
        <w:t xml:space="preserve">Table 5 Caption: CONSORT </w:t>
      </w:r>
      <w:r w:rsidRPr="00B66608">
        <w:rPr>
          <w:rFonts w:ascii="Arial" w:hAnsi="Arial" w:cs="Arial"/>
          <w:sz w:val="20"/>
          <w:szCs w:val="16"/>
        </w:rPr>
        <w:t xml:space="preserve">checklist of items to include when reporting a </w:t>
      </w:r>
      <w:r w:rsidR="00144A50">
        <w:rPr>
          <w:rFonts w:ascii="Arial" w:hAnsi="Arial" w:cs="Arial"/>
          <w:sz w:val="20"/>
          <w:szCs w:val="16"/>
        </w:rPr>
        <w:t xml:space="preserve">parallel group </w:t>
      </w:r>
      <w:r w:rsidRPr="00B66608">
        <w:rPr>
          <w:rFonts w:ascii="Arial" w:hAnsi="Arial" w:cs="Arial"/>
          <w:sz w:val="20"/>
          <w:szCs w:val="16"/>
        </w:rPr>
        <w:t>randomised trial</w:t>
      </w:r>
      <w:r>
        <w:rPr>
          <w:rFonts w:ascii="Arial" w:hAnsi="Arial" w:cs="Arial"/>
          <w:sz w:val="20"/>
          <w:szCs w:val="16"/>
        </w:rPr>
        <w:t>.</w:t>
      </w:r>
    </w:p>
    <w:p w14:paraId="72BB73F2" w14:textId="77777777" w:rsidR="00144A50" w:rsidRDefault="00144A50">
      <w:pPr>
        <w:rPr>
          <w:rFonts w:ascii="Arial" w:eastAsia="Times New Roman" w:hAnsi="Arial" w:cs="Arial"/>
          <w:color w:val="000000"/>
          <w:sz w:val="20"/>
          <w:szCs w:val="24"/>
          <w:lang w:eastAsia="en-GB"/>
        </w:rPr>
      </w:pPr>
      <w:r>
        <w:rPr>
          <w:rFonts w:ascii="Arial" w:eastAsia="Times New Roman" w:hAnsi="Arial" w:cs="Arial"/>
          <w:color w:val="000000"/>
          <w:sz w:val="20"/>
          <w:szCs w:val="24"/>
          <w:lang w:eastAsia="en-GB"/>
        </w:rPr>
        <w:br w:type="page"/>
      </w:r>
    </w:p>
    <w:p w14:paraId="243FA340" w14:textId="045602F0" w:rsidR="0082262A" w:rsidRPr="00B66608" w:rsidRDefault="0082262A" w:rsidP="0082262A">
      <w:pPr>
        <w:rPr>
          <w:rFonts w:ascii="Arial" w:eastAsia="Times New Roman" w:hAnsi="Arial" w:cs="Arial"/>
          <w:color w:val="000000"/>
          <w:sz w:val="20"/>
          <w:szCs w:val="24"/>
          <w:lang w:eastAsia="en-GB"/>
        </w:rPr>
      </w:pPr>
      <w:r w:rsidRPr="00B66608">
        <w:rPr>
          <w:rFonts w:ascii="Arial" w:eastAsia="Times New Roman" w:hAnsi="Arial" w:cs="Arial"/>
          <w:color w:val="000000"/>
          <w:sz w:val="20"/>
          <w:szCs w:val="24"/>
          <w:lang w:eastAsia="en-GB"/>
        </w:rPr>
        <w:lastRenderedPageBreak/>
        <w:t xml:space="preserve">Figure 1 </w:t>
      </w:r>
      <w:proofErr w:type="gramStart"/>
      <w:r w:rsidRPr="00B66608">
        <w:rPr>
          <w:rFonts w:ascii="Arial" w:eastAsia="Times New Roman" w:hAnsi="Arial" w:cs="Arial"/>
          <w:color w:val="000000"/>
          <w:sz w:val="20"/>
          <w:szCs w:val="24"/>
          <w:lang w:eastAsia="en-GB"/>
        </w:rPr>
        <w:t>Assessing</w:t>
      </w:r>
      <w:proofErr w:type="gramEnd"/>
      <w:r w:rsidRPr="00B66608">
        <w:rPr>
          <w:rFonts w:ascii="Arial" w:eastAsia="Times New Roman" w:hAnsi="Arial" w:cs="Arial"/>
          <w:color w:val="000000"/>
          <w:sz w:val="20"/>
          <w:szCs w:val="24"/>
          <w:lang w:eastAsia="en-GB"/>
        </w:rPr>
        <w:t xml:space="preserve"> the evidence for excess heart failure across 3 related placebo-controlled trials in Type 2 diabetes.</w:t>
      </w:r>
    </w:p>
    <w:p w14:paraId="57B98FED" w14:textId="77777777" w:rsidR="00D66D5C" w:rsidRDefault="00D66D5C" w:rsidP="00D66D5C">
      <w:pPr>
        <w:jc w:val="center"/>
        <w:rPr>
          <w:rFonts w:ascii="Arial" w:eastAsia="Times New Roman" w:hAnsi="Arial" w:cs="Arial"/>
          <w:color w:val="000000"/>
          <w:sz w:val="18"/>
          <w:szCs w:val="16"/>
          <w:lang w:eastAsia="en-GB"/>
        </w:rPr>
      </w:pPr>
      <w:r>
        <w:rPr>
          <w:rFonts w:ascii="Arial" w:eastAsia="Times New Roman" w:hAnsi="Arial" w:cs="Arial"/>
          <w:noProof/>
          <w:color w:val="000000"/>
          <w:sz w:val="18"/>
          <w:szCs w:val="16"/>
          <w:lang w:eastAsia="en-GB"/>
        </w:rPr>
        <w:drawing>
          <wp:inline distT="0" distB="0" distL="0" distR="0" wp14:anchorId="433FE7A8" wp14:editId="05A6FBC4">
            <wp:extent cx="5365750" cy="3902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bet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7225" cy="3903220"/>
                    </a:xfrm>
                    <a:prstGeom prst="rect">
                      <a:avLst/>
                    </a:prstGeom>
                  </pic:spPr>
                </pic:pic>
              </a:graphicData>
            </a:graphic>
          </wp:inline>
        </w:drawing>
      </w:r>
    </w:p>
    <w:p w14:paraId="3D726F38" w14:textId="319D4CD4" w:rsidR="00D66D5C" w:rsidRPr="00B66608" w:rsidRDefault="00B66608" w:rsidP="00D66D5C">
      <w:pPr>
        <w:rPr>
          <w:rFonts w:ascii="Arial" w:eastAsia="Times New Roman" w:hAnsi="Arial" w:cs="Arial"/>
          <w:color w:val="000000"/>
          <w:sz w:val="20"/>
          <w:szCs w:val="16"/>
          <w:lang w:eastAsia="en-GB"/>
        </w:rPr>
      </w:pPr>
      <w:r w:rsidRPr="00B66608">
        <w:rPr>
          <w:rFonts w:ascii="Arial" w:eastAsia="Times New Roman" w:hAnsi="Arial" w:cs="Arial"/>
          <w:color w:val="000000"/>
          <w:sz w:val="20"/>
          <w:szCs w:val="16"/>
          <w:lang w:eastAsia="en-GB"/>
        </w:rPr>
        <w:t xml:space="preserve">Figure 1 Caption: </w:t>
      </w:r>
      <w:r>
        <w:rPr>
          <w:rFonts w:ascii="Arial" w:eastAsia="Times New Roman" w:hAnsi="Arial" w:cs="Arial"/>
          <w:color w:val="000000"/>
          <w:sz w:val="20"/>
          <w:szCs w:val="16"/>
          <w:lang w:eastAsia="en-GB"/>
        </w:rPr>
        <w:t>Forest plot showing study specific and pooled</w:t>
      </w:r>
      <w:r w:rsidR="00551CE3">
        <w:rPr>
          <w:rFonts w:ascii="Arial" w:eastAsia="Times New Roman" w:hAnsi="Arial" w:cs="Arial"/>
          <w:color w:val="000000"/>
          <w:sz w:val="20"/>
          <w:szCs w:val="16"/>
          <w:lang w:eastAsia="en-GB"/>
        </w:rPr>
        <w:t xml:space="preserve"> (fixed effect and random effects)</w:t>
      </w:r>
      <w:r>
        <w:rPr>
          <w:rFonts w:ascii="Arial" w:eastAsia="Times New Roman" w:hAnsi="Arial" w:cs="Arial"/>
          <w:color w:val="000000"/>
          <w:sz w:val="20"/>
          <w:szCs w:val="16"/>
          <w:lang w:eastAsia="en-GB"/>
        </w:rPr>
        <w:t xml:space="preserve"> hazard ratio</w:t>
      </w:r>
      <w:r w:rsidR="00551CE3">
        <w:rPr>
          <w:rFonts w:ascii="Arial" w:eastAsia="Times New Roman" w:hAnsi="Arial" w:cs="Arial"/>
          <w:color w:val="000000"/>
          <w:sz w:val="20"/>
          <w:szCs w:val="16"/>
          <w:lang w:eastAsia="en-GB"/>
        </w:rPr>
        <w:t xml:space="preserve"> for heart failure from the SAVOR, EXAMINE and TECOS trials. </w:t>
      </w:r>
    </w:p>
    <w:p w14:paraId="6A217A1A" w14:textId="77777777" w:rsidR="00D66D5C" w:rsidRDefault="00D66D5C" w:rsidP="00D66D5C">
      <w:pPr>
        <w:rPr>
          <w:rFonts w:ascii="Arial" w:eastAsia="Times New Roman" w:hAnsi="Arial" w:cs="Arial"/>
          <w:color w:val="000000"/>
          <w:sz w:val="18"/>
          <w:szCs w:val="16"/>
          <w:lang w:eastAsia="en-GB"/>
        </w:rPr>
      </w:pPr>
      <w:r>
        <w:rPr>
          <w:rFonts w:ascii="Arial" w:eastAsia="Times New Roman" w:hAnsi="Arial" w:cs="Arial"/>
          <w:color w:val="000000"/>
          <w:sz w:val="18"/>
          <w:szCs w:val="16"/>
          <w:lang w:eastAsia="en-GB"/>
        </w:rPr>
        <w:br w:type="page"/>
      </w:r>
    </w:p>
    <w:p w14:paraId="2245CA98" w14:textId="46684C4F" w:rsidR="0082262A" w:rsidRPr="00130E52" w:rsidRDefault="0082262A" w:rsidP="0082262A">
      <w:pPr>
        <w:rPr>
          <w:rFonts w:ascii="Arial" w:eastAsia="Times New Roman" w:hAnsi="Arial" w:cs="Arial"/>
          <w:color w:val="000000"/>
          <w:szCs w:val="24"/>
          <w:lang w:eastAsia="en-GB"/>
        </w:rPr>
      </w:pPr>
      <w:r w:rsidRPr="00130E52">
        <w:rPr>
          <w:rFonts w:ascii="Arial" w:eastAsia="Times New Roman" w:hAnsi="Arial" w:cs="Arial"/>
          <w:color w:val="000000"/>
          <w:szCs w:val="24"/>
          <w:lang w:eastAsia="en-GB"/>
        </w:rPr>
        <w:lastRenderedPageBreak/>
        <w:t>Figure 2 Pre-specified subgroup analyses in the PARADIGM</w:t>
      </w:r>
      <w:r w:rsidR="00A21DD6">
        <w:rPr>
          <w:rFonts w:ascii="Arial" w:eastAsia="Times New Roman" w:hAnsi="Arial" w:cs="Arial"/>
          <w:color w:val="000000"/>
          <w:szCs w:val="24"/>
          <w:lang w:eastAsia="en-GB"/>
        </w:rPr>
        <w:t>-HF</w:t>
      </w:r>
      <w:r w:rsidRPr="00130E52">
        <w:rPr>
          <w:rFonts w:ascii="Arial" w:eastAsia="Times New Roman" w:hAnsi="Arial" w:cs="Arial"/>
          <w:color w:val="000000"/>
          <w:szCs w:val="24"/>
          <w:lang w:eastAsia="en-GB"/>
        </w:rPr>
        <w:t xml:space="preserve"> trial.</w:t>
      </w:r>
    </w:p>
    <w:p w14:paraId="4B9F3FB7" w14:textId="77777777" w:rsidR="00144A50" w:rsidRDefault="00013081" w:rsidP="00144A50">
      <w:pPr>
        <w:ind w:left="-426"/>
      </w:pPr>
      <w:r>
        <w:rPr>
          <w:rFonts w:ascii="Arial" w:eastAsia="Times New Roman" w:hAnsi="Arial" w:cs="Arial"/>
          <w:noProof/>
          <w:color w:val="000000"/>
          <w:sz w:val="24"/>
          <w:szCs w:val="24"/>
          <w:lang w:eastAsia="en-GB"/>
        </w:rPr>
        <w:drawing>
          <wp:inline distT="0" distB="0" distL="0" distR="0" wp14:anchorId="799B83B9" wp14:editId="33296EA5">
            <wp:extent cx="5536716" cy="7086213"/>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g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0375" cy="7090896"/>
                    </a:xfrm>
                    <a:prstGeom prst="rect">
                      <a:avLst/>
                    </a:prstGeom>
                  </pic:spPr>
                </pic:pic>
              </a:graphicData>
            </a:graphic>
          </wp:inline>
        </w:drawing>
      </w:r>
    </w:p>
    <w:p w14:paraId="720CBC7B" w14:textId="375C3443" w:rsidR="00144A50" w:rsidRPr="00144A50" w:rsidRDefault="00144A50" w:rsidP="00144A50">
      <w:pPr>
        <w:rPr>
          <w:rFonts w:ascii="Arial" w:eastAsia="Times New Roman" w:hAnsi="Arial" w:cs="Arial"/>
          <w:color w:val="000000"/>
          <w:sz w:val="24"/>
          <w:szCs w:val="24"/>
          <w:lang w:eastAsia="en-GB"/>
        </w:rPr>
      </w:pPr>
      <w:r>
        <w:t xml:space="preserve">Source: </w:t>
      </w:r>
      <w:r w:rsidRPr="00A05AD9">
        <w:t>McMurray JJV, Packer M, Desai AS, et al. Angiotensin–</w:t>
      </w:r>
      <w:proofErr w:type="spellStart"/>
      <w:r w:rsidRPr="00A05AD9">
        <w:t>Neprilysin</w:t>
      </w:r>
      <w:proofErr w:type="spellEnd"/>
      <w:r w:rsidRPr="00A05AD9">
        <w:t xml:space="preserve"> Inhibition versus Enalapril in Heart Failure. New England Journal of Medicine 2014</w:t>
      </w:r>
      <w:proofErr w:type="gramStart"/>
      <w:r w:rsidRPr="00A05AD9">
        <w:t>;371:993</w:t>
      </w:r>
      <w:proofErr w:type="gramEnd"/>
      <w:r w:rsidRPr="00A05AD9">
        <w:t>-1004.</w:t>
      </w:r>
    </w:p>
    <w:p w14:paraId="3D6CE789" w14:textId="77777777" w:rsidR="00013081" w:rsidRDefault="00551CE3" w:rsidP="0082262A">
      <w:pPr>
        <w:rPr>
          <w:rFonts w:ascii="Arial" w:eastAsia="Times New Roman" w:hAnsi="Arial" w:cs="Arial"/>
          <w:color w:val="000000"/>
          <w:sz w:val="20"/>
          <w:szCs w:val="24"/>
          <w:lang w:eastAsia="en-GB"/>
        </w:rPr>
      </w:pPr>
      <w:r>
        <w:rPr>
          <w:rFonts w:ascii="Arial" w:eastAsia="Times New Roman" w:hAnsi="Arial" w:cs="Arial"/>
          <w:color w:val="000000"/>
          <w:sz w:val="20"/>
          <w:szCs w:val="24"/>
          <w:lang w:eastAsia="en-GB"/>
        </w:rPr>
        <w:t>Figure 2 Caption: H</w:t>
      </w:r>
      <w:r w:rsidR="00D66D5C" w:rsidRPr="00A46598">
        <w:rPr>
          <w:rFonts w:ascii="Arial" w:eastAsia="Times New Roman" w:hAnsi="Arial" w:cs="Arial"/>
          <w:color w:val="000000"/>
          <w:sz w:val="20"/>
          <w:szCs w:val="24"/>
          <w:lang w:eastAsia="en-GB"/>
        </w:rPr>
        <w:t>azard ratios for the primary end point (death from cardiovascular causes or first hospitalization for heart failure) and for death from cardiovascular causes among patients in prespecified subgroups. The size of the square corresponds to the number of patients in each subgroup.</w:t>
      </w:r>
    </w:p>
    <w:p w14:paraId="3F31346E" w14:textId="39895CB2" w:rsidR="0082262A" w:rsidRDefault="0082262A" w:rsidP="0082262A">
      <w:pPr>
        <w:rPr>
          <w:rFonts w:ascii="Arial" w:hAnsi="Arial" w:cs="Arial"/>
          <w:sz w:val="20"/>
        </w:rPr>
      </w:pPr>
      <w:r w:rsidRPr="00551CE3">
        <w:rPr>
          <w:rFonts w:ascii="Arial" w:hAnsi="Arial" w:cs="Arial"/>
          <w:sz w:val="20"/>
        </w:rPr>
        <w:lastRenderedPageBreak/>
        <w:t xml:space="preserve">Figure 3 Excess risk of thrombotic events on </w:t>
      </w:r>
      <w:proofErr w:type="spellStart"/>
      <w:r w:rsidRPr="00551CE3">
        <w:rPr>
          <w:rFonts w:ascii="Arial" w:hAnsi="Arial" w:cs="Arial"/>
          <w:sz w:val="20"/>
        </w:rPr>
        <w:t>rofecoxib</w:t>
      </w:r>
      <w:proofErr w:type="spellEnd"/>
      <w:r w:rsidRPr="00551CE3">
        <w:rPr>
          <w:rFonts w:ascii="Arial" w:hAnsi="Arial" w:cs="Arial"/>
          <w:sz w:val="20"/>
        </w:rPr>
        <w:t xml:space="preserve"> in the </w:t>
      </w:r>
      <w:proofErr w:type="spellStart"/>
      <w:r w:rsidRPr="00551CE3">
        <w:rPr>
          <w:rFonts w:ascii="Arial" w:hAnsi="Arial" w:cs="Arial"/>
          <w:sz w:val="20"/>
        </w:rPr>
        <w:t>APPROVe</w:t>
      </w:r>
      <w:proofErr w:type="spellEnd"/>
      <w:r w:rsidRPr="00551CE3">
        <w:rPr>
          <w:rFonts w:ascii="Arial" w:hAnsi="Arial" w:cs="Arial"/>
          <w:sz w:val="20"/>
        </w:rPr>
        <w:t xml:space="preserve"> trial first as on-treatment analysis and subsequently as ITT analysis</w:t>
      </w:r>
    </w:p>
    <w:p w14:paraId="7302A16B" w14:textId="19F9EF1D" w:rsidR="00D66D5C" w:rsidRDefault="00A220CB" w:rsidP="00A220CB">
      <w:pPr>
        <w:jc w:val="center"/>
        <w:rPr>
          <w:rFonts w:ascii="Arial" w:eastAsia="Times New Roman" w:hAnsi="Arial" w:cs="Arial"/>
          <w:color w:val="000000"/>
          <w:sz w:val="18"/>
          <w:szCs w:val="16"/>
          <w:lang w:eastAsia="en-GB"/>
        </w:rPr>
      </w:pPr>
      <w:r>
        <w:rPr>
          <w:rFonts w:ascii="Arial" w:eastAsia="Times New Roman" w:hAnsi="Arial" w:cs="Arial"/>
          <w:noProof/>
          <w:color w:val="000000"/>
          <w:sz w:val="18"/>
          <w:szCs w:val="16"/>
          <w:lang w:eastAsia="en-GB"/>
        </w:rPr>
        <w:drawing>
          <wp:inline distT="0" distB="0" distL="0" distR="0" wp14:anchorId="2456F1BF" wp14:editId="44A8FC3F">
            <wp:extent cx="4015347" cy="6565265"/>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rove_png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8981" cy="6571207"/>
                    </a:xfrm>
                    <a:prstGeom prst="rect">
                      <a:avLst/>
                    </a:prstGeom>
                  </pic:spPr>
                </pic:pic>
              </a:graphicData>
            </a:graphic>
          </wp:inline>
        </w:drawing>
      </w:r>
    </w:p>
    <w:p w14:paraId="46F77953" w14:textId="2948EE41" w:rsidR="00D66D5C" w:rsidRDefault="00C42A07" w:rsidP="00C42A07">
      <w:r>
        <w:t xml:space="preserve">Source: </w:t>
      </w:r>
      <w:proofErr w:type="spellStart"/>
      <w:r w:rsidRPr="00A05AD9">
        <w:t>Bresalier</w:t>
      </w:r>
      <w:proofErr w:type="spellEnd"/>
      <w:r w:rsidRPr="00A05AD9">
        <w:t xml:space="preserve"> RS, Sandler RS, </w:t>
      </w:r>
      <w:proofErr w:type="spellStart"/>
      <w:r w:rsidRPr="00A05AD9">
        <w:t>Quan</w:t>
      </w:r>
      <w:proofErr w:type="spellEnd"/>
      <w:r w:rsidRPr="00A05AD9">
        <w:t xml:space="preserve"> H, et al. Cardiovascular Events Associated with </w:t>
      </w:r>
      <w:proofErr w:type="spellStart"/>
      <w:r w:rsidRPr="00A05AD9">
        <w:t>Rofecoxib</w:t>
      </w:r>
      <w:proofErr w:type="spellEnd"/>
      <w:r w:rsidRPr="00A05AD9">
        <w:t xml:space="preserve"> in a Colorectal Adenoma Chemoprevention Trial. New England Journal</w:t>
      </w:r>
      <w:r>
        <w:t xml:space="preserve"> of Medicine 2005</w:t>
      </w:r>
      <w:proofErr w:type="gramStart"/>
      <w:r>
        <w:t>;352:1092</w:t>
      </w:r>
      <w:proofErr w:type="gramEnd"/>
      <w:r>
        <w:t xml:space="preserve">-1102 and </w:t>
      </w:r>
      <w:r w:rsidRPr="00A05AD9">
        <w:t xml:space="preserve">Baron JA, Sandler RS, </w:t>
      </w:r>
      <w:proofErr w:type="spellStart"/>
      <w:r w:rsidRPr="00A05AD9">
        <w:t>Bresalier</w:t>
      </w:r>
      <w:proofErr w:type="spellEnd"/>
      <w:r w:rsidRPr="00A05AD9">
        <w:t xml:space="preserve"> RS, et al. Cardiovascular events associated with </w:t>
      </w:r>
      <w:proofErr w:type="spellStart"/>
      <w:r w:rsidRPr="00A05AD9">
        <w:t>rofecoxib</w:t>
      </w:r>
      <w:proofErr w:type="spellEnd"/>
      <w:r w:rsidRPr="00A05AD9">
        <w:t xml:space="preserve">: final analysis of the </w:t>
      </w:r>
      <w:proofErr w:type="spellStart"/>
      <w:r w:rsidRPr="00A05AD9">
        <w:t>APPROVe</w:t>
      </w:r>
      <w:proofErr w:type="spellEnd"/>
      <w:r w:rsidRPr="00A05AD9">
        <w:t xml:space="preserve"> trial. The Lancet 2008</w:t>
      </w:r>
      <w:proofErr w:type="gramStart"/>
      <w:r w:rsidRPr="00A05AD9">
        <w:t>;372:1756</w:t>
      </w:r>
      <w:proofErr w:type="gramEnd"/>
      <w:r w:rsidRPr="00A05AD9">
        <w:t>-1764.</w:t>
      </w:r>
    </w:p>
    <w:p w14:paraId="3F98A520" w14:textId="6DE8F792" w:rsidR="0068572E" w:rsidRDefault="00A220CB" w:rsidP="00A7253B">
      <w:pPr>
        <w:spacing w:after="0" w:line="360" w:lineRule="auto"/>
        <w:rPr>
          <w:rFonts w:ascii="Arial" w:hAnsi="Arial" w:cs="Arial"/>
          <w:sz w:val="24"/>
          <w:szCs w:val="24"/>
        </w:rPr>
      </w:pPr>
      <w:r w:rsidRPr="00227F50">
        <w:rPr>
          <w:rFonts w:ascii="Arial" w:hAnsi="Arial" w:cs="Arial"/>
          <w:sz w:val="20"/>
          <w:szCs w:val="24"/>
        </w:rPr>
        <w:t xml:space="preserve">Figure 3 Caption: Kaplan-Meier cumulative frequency of thrombotic events in the </w:t>
      </w:r>
      <w:proofErr w:type="spellStart"/>
      <w:r w:rsidRPr="00227F50">
        <w:rPr>
          <w:rFonts w:ascii="Arial" w:hAnsi="Arial" w:cs="Arial"/>
          <w:sz w:val="20"/>
          <w:szCs w:val="24"/>
        </w:rPr>
        <w:t>APPROVe</w:t>
      </w:r>
      <w:proofErr w:type="spellEnd"/>
      <w:r w:rsidRPr="00227F50">
        <w:rPr>
          <w:rFonts w:ascii="Arial" w:hAnsi="Arial" w:cs="Arial"/>
          <w:sz w:val="20"/>
          <w:szCs w:val="24"/>
        </w:rPr>
        <w:t xml:space="preserve"> trial calculated from an (a) on-treatment analysis and (b) ITT analysis</w:t>
      </w:r>
      <w:r w:rsidR="00227F50">
        <w:rPr>
          <w:rFonts w:ascii="Arial" w:hAnsi="Arial" w:cs="Arial"/>
          <w:sz w:val="20"/>
          <w:szCs w:val="24"/>
        </w:rPr>
        <w:t>.</w:t>
      </w:r>
    </w:p>
    <w:p w14:paraId="35F9F907" w14:textId="77777777" w:rsidR="00C42A07" w:rsidRDefault="00C42A07">
      <w:pPr>
        <w:rPr>
          <w:rFonts w:ascii="Arial" w:hAnsi="Arial" w:cs="Arial"/>
          <w:sz w:val="24"/>
          <w:szCs w:val="24"/>
        </w:rPr>
      </w:pPr>
      <w:r>
        <w:rPr>
          <w:rFonts w:ascii="Arial" w:hAnsi="Arial" w:cs="Arial"/>
          <w:sz w:val="24"/>
          <w:szCs w:val="24"/>
        </w:rPr>
        <w:br w:type="page"/>
      </w:r>
    </w:p>
    <w:p w14:paraId="2EE39EFD" w14:textId="1D6E9294" w:rsidR="0082262A" w:rsidRDefault="0082262A">
      <w:pPr>
        <w:rPr>
          <w:rFonts w:ascii="Arial" w:hAnsi="Arial" w:cs="Arial"/>
          <w:sz w:val="24"/>
          <w:szCs w:val="24"/>
        </w:rPr>
      </w:pPr>
      <w:r>
        <w:rPr>
          <w:rFonts w:ascii="Arial" w:hAnsi="Arial" w:cs="Arial"/>
          <w:sz w:val="24"/>
          <w:szCs w:val="24"/>
        </w:rPr>
        <w:lastRenderedPageBreak/>
        <w:t>Central Illustration of Topics Covered</w:t>
      </w:r>
    </w:p>
    <w:p w14:paraId="3A300BB5" w14:textId="77777777" w:rsidR="002F037A" w:rsidRDefault="002F037A">
      <w:pPr>
        <w:rPr>
          <w:rFonts w:ascii="Arial" w:hAnsi="Arial" w:cs="Arial"/>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82262A" w:rsidRPr="00C4309C" w14:paraId="09EB0E98" w14:textId="77777777" w:rsidTr="002F037A">
        <w:trPr>
          <w:trHeight w:val="1660"/>
        </w:trPr>
        <w:tc>
          <w:tcPr>
            <w:tcW w:w="3539" w:type="dxa"/>
          </w:tcPr>
          <w:p w14:paraId="28CD6CF2" w14:textId="366CC956" w:rsidR="0082262A" w:rsidRPr="00C4309C" w:rsidRDefault="003D55F3">
            <w:pPr>
              <w:rPr>
                <w:rFonts w:ascii="Arial" w:hAnsi="Arial" w:cs="Arial"/>
                <w:szCs w:val="24"/>
              </w:rPr>
            </w:pPr>
            <w:r w:rsidRPr="00C4309C">
              <w:rPr>
                <w:rFonts w:ascii="Arial" w:hAnsi="Arial" w:cs="Arial"/>
                <w:szCs w:val="24"/>
              </w:rPr>
              <w:t>Mu</w:t>
            </w:r>
            <w:r w:rsidR="00BB602F">
              <w:rPr>
                <w:rFonts w:ascii="Arial" w:hAnsi="Arial" w:cs="Arial"/>
                <w:szCs w:val="24"/>
              </w:rPr>
              <w:t>l</w:t>
            </w:r>
            <w:r w:rsidRPr="00C4309C">
              <w:rPr>
                <w:rFonts w:ascii="Arial" w:hAnsi="Arial" w:cs="Arial"/>
                <w:szCs w:val="24"/>
              </w:rPr>
              <w:t>tiplicity of Data</w:t>
            </w:r>
          </w:p>
        </w:tc>
        <w:tc>
          <w:tcPr>
            <w:tcW w:w="5670" w:type="dxa"/>
          </w:tcPr>
          <w:p w14:paraId="209E6DCC" w14:textId="77777777" w:rsidR="0082262A" w:rsidRPr="00C4309C" w:rsidRDefault="00952A25" w:rsidP="00952A25">
            <w:pPr>
              <w:pStyle w:val="ListParagraph"/>
              <w:numPr>
                <w:ilvl w:val="0"/>
                <w:numId w:val="3"/>
              </w:numPr>
              <w:rPr>
                <w:rFonts w:ascii="Arial" w:hAnsi="Arial" w:cs="Arial"/>
                <w:szCs w:val="24"/>
              </w:rPr>
            </w:pPr>
            <w:r w:rsidRPr="00C4309C">
              <w:rPr>
                <w:rFonts w:ascii="Arial" w:hAnsi="Arial" w:cs="Arial"/>
                <w:szCs w:val="24"/>
              </w:rPr>
              <w:t>need a pre-defined Statistical Analysis Plan</w:t>
            </w:r>
          </w:p>
          <w:p w14:paraId="5003A37A" w14:textId="77777777" w:rsidR="00952A25" w:rsidRPr="00C4309C" w:rsidRDefault="00952A25" w:rsidP="00952A25">
            <w:pPr>
              <w:pStyle w:val="ListParagraph"/>
              <w:numPr>
                <w:ilvl w:val="0"/>
                <w:numId w:val="3"/>
              </w:numPr>
              <w:rPr>
                <w:rFonts w:ascii="Arial" w:hAnsi="Arial" w:cs="Arial"/>
                <w:szCs w:val="24"/>
              </w:rPr>
            </w:pPr>
            <w:r w:rsidRPr="00C4309C">
              <w:rPr>
                <w:rFonts w:ascii="Arial" w:hAnsi="Arial" w:cs="Arial"/>
                <w:szCs w:val="24"/>
              </w:rPr>
              <w:t>give priority to primary endpoint</w:t>
            </w:r>
          </w:p>
          <w:p w14:paraId="34D6BD9A" w14:textId="77777777" w:rsidR="00952A25" w:rsidRPr="00C4309C" w:rsidRDefault="00952A25" w:rsidP="00952A25">
            <w:pPr>
              <w:pStyle w:val="ListParagraph"/>
              <w:numPr>
                <w:ilvl w:val="0"/>
                <w:numId w:val="3"/>
              </w:numPr>
              <w:rPr>
                <w:rFonts w:ascii="Arial" w:hAnsi="Arial" w:cs="Arial"/>
                <w:szCs w:val="24"/>
              </w:rPr>
            </w:pPr>
            <w:r w:rsidRPr="00C4309C">
              <w:rPr>
                <w:rFonts w:ascii="Arial" w:hAnsi="Arial" w:cs="Arial"/>
                <w:szCs w:val="24"/>
              </w:rPr>
              <w:t>balanced account of efficacy and safety</w:t>
            </w:r>
          </w:p>
          <w:p w14:paraId="6BD949A4" w14:textId="5202D74D" w:rsidR="00952A25" w:rsidRPr="00C4309C" w:rsidRDefault="00952A25" w:rsidP="00952A25">
            <w:pPr>
              <w:pStyle w:val="ListParagraph"/>
              <w:numPr>
                <w:ilvl w:val="0"/>
                <w:numId w:val="3"/>
              </w:numPr>
              <w:rPr>
                <w:rFonts w:ascii="Arial" w:hAnsi="Arial" w:cs="Arial"/>
                <w:szCs w:val="24"/>
              </w:rPr>
            </w:pPr>
            <w:r w:rsidRPr="00C4309C">
              <w:rPr>
                <w:rFonts w:ascii="Arial" w:hAnsi="Arial" w:cs="Arial"/>
                <w:szCs w:val="24"/>
              </w:rPr>
              <w:t>composite endpoints: interpret wisely</w:t>
            </w:r>
          </w:p>
        </w:tc>
      </w:tr>
      <w:tr w:rsidR="0082262A" w:rsidRPr="00C4309C" w14:paraId="2DB4C5D2" w14:textId="77777777" w:rsidTr="002F037A">
        <w:trPr>
          <w:trHeight w:val="1555"/>
        </w:trPr>
        <w:tc>
          <w:tcPr>
            <w:tcW w:w="3539" w:type="dxa"/>
          </w:tcPr>
          <w:p w14:paraId="4689CDDE" w14:textId="2D347F42" w:rsidR="0082262A" w:rsidRPr="00C4309C" w:rsidRDefault="003D55F3" w:rsidP="003D55F3">
            <w:pPr>
              <w:tabs>
                <w:tab w:val="left" w:pos="960"/>
              </w:tabs>
              <w:rPr>
                <w:rFonts w:ascii="Arial" w:hAnsi="Arial" w:cs="Arial"/>
                <w:szCs w:val="24"/>
              </w:rPr>
            </w:pPr>
            <w:r w:rsidRPr="00C4309C">
              <w:rPr>
                <w:rFonts w:ascii="Arial" w:hAnsi="Arial" w:cs="Arial"/>
                <w:szCs w:val="24"/>
              </w:rPr>
              <w:t>Covariate Adjustment</w:t>
            </w:r>
            <w:r w:rsidRPr="00C4309C">
              <w:rPr>
                <w:rFonts w:ascii="Arial" w:hAnsi="Arial" w:cs="Arial"/>
                <w:szCs w:val="24"/>
              </w:rPr>
              <w:tab/>
            </w:r>
          </w:p>
          <w:p w14:paraId="199B93FE" w14:textId="6D9349F9" w:rsidR="003D55F3" w:rsidRPr="00C4309C" w:rsidRDefault="003D55F3" w:rsidP="003D55F3">
            <w:pPr>
              <w:tabs>
                <w:tab w:val="left" w:pos="960"/>
              </w:tabs>
              <w:rPr>
                <w:rFonts w:ascii="Arial" w:hAnsi="Arial" w:cs="Arial"/>
                <w:szCs w:val="24"/>
              </w:rPr>
            </w:pPr>
          </w:p>
        </w:tc>
        <w:tc>
          <w:tcPr>
            <w:tcW w:w="5670" w:type="dxa"/>
          </w:tcPr>
          <w:p w14:paraId="26EB7BEF" w14:textId="77777777" w:rsidR="0082262A" w:rsidRPr="00C4309C" w:rsidRDefault="00952A25" w:rsidP="00952A25">
            <w:pPr>
              <w:pStyle w:val="ListParagraph"/>
              <w:numPr>
                <w:ilvl w:val="0"/>
                <w:numId w:val="4"/>
              </w:numPr>
              <w:rPr>
                <w:rFonts w:ascii="Arial" w:hAnsi="Arial" w:cs="Arial"/>
                <w:szCs w:val="24"/>
              </w:rPr>
            </w:pPr>
            <w:r w:rsidRPr="00C4309C">
              <w:rPr>
                <w:rFonts w:ascii="Arial" w:hAnsi="Arial" w:cs="Arial"/>
                <w:szCs w:val="24"/>
              </w:rPr>
              <w:t>adjust for variables affecting prognosis</w:t>
            </w:r>
          </w:p>
          <w:p w14:paraId="62D6BF86" w14:textId="77777777" w:rsidR="00952A25" w:rsidRPr="00C4309C" w:rsidRDefault="00952A25" w:rsidP="00952A25">
            <w:pPr>
              <w:pStyle w:val="ListParagraph"/>
              <w:numPr>
                <w:ilvl w:val="0"/>
                <w:numId w:val="4"/>
              </w:numPr>
              <w:rPr>
                <w:rFonts w:ascii="Arial" w:hAnsi="Arial" w:cs="Arial"/>
                <w:szCs w:val="24"/>
              </w:rPr>
            </w:pPr>
            <w:r w:rsidRPr="00C4309C">
              <w:rPr>
                <w:rFonts w:ascii="Arial" w:hAnsi="Arial" w:cs="Arial"/>
                <w:szCs w:val="24"/>
              </w:rPr>
              <w:t>pre-define variables and model chosen</w:t>
            </w:r>
          </w:p>
          <w:p w14:paraId="0165FD58" w14:textId="77777777" w:rsidR="00952A25" w:rsidRPr="00C4309C" w:rsidRDefault="00952A25" w:rsidP="00952A25">
            <w:pPr>
              <w:pStyle w:val="ListParagraph"/>
              <w:numPr>
                <w:ilvl w:val="0"/>
                <w:numId w:val="4"/>
              </w:numPr>
              <w:rPr>
                <w:rFonts w:ascii="Arial" w:hAnsi="Arial" w:cs="Arial"/>
                <w:szCs w:val="24"/>
              </w:rPr>
            </w:pPr>
            <w:r w:rsidRPr="00C4309C">
              <w:rPr>
                <w:rFonts w:ascii="Arial" w:hAnsi="Arial" w:cs="Arial"/>
                <w:szCs w:val="24"/>
              </w:rPr>
              <w:t>slight gain in statistical power</w:t>
            </w:r>
          </w:p>
          <w:p w14:paraId="008948A6" w14:textId="3A673665" w:rsidR="00952A25" w:rsidRPr="00C4309C" w:rsidRDefault="00952A25" w:rsidP="00952A25">
            <w:pPr>
              <w:pStyle w:val="ListParagraph"/>
              <w:numPr>
                <w:ilvl w:val="0"/>
                <w:numId w:val="4"/>
              </w:numPr>
              <w:rPr>
                <w:rFonts w:ascii="Arial" w:hAnsi="Arial" w:cs="Arial"/>
                <w:szCs w:val="24"/>
              </w:rPr>
            </w:pPr>
            <w:r w:rsidRPr="00C4309C">
              <w:rPr>
                <w:rFonts w:ascii="Arial" w:hAnsi="Arial" w:cs="Arial"/>
                <w:szCs w:val="24"/>
              </w:rPr>
              <w:t>worth considering as primary analysis</w:t>
            </w:r>
          </w:p>
        </w:tc>
      </w:tr>
      <w:tr w:rsidR="0082262A" w:rsidRPr="00C4309C" w14:paraId="4EEC5DD3" w14:textId="77777777" w:rsidTr="002F037A">
        <w:trPr>
          <w:trHeight w:val="1562"/>
        </w:trPr>
        <w:tc>
          <w:tcPr>
            <w:tcW w:w="3539" w:type="dxa"/>
          </w:tcPr>
          <w:p w14:paraId="0B15E801" w14:textId="40B4CC12" w:rsidR="0082262A" w:rsidRPr="00C4309C" w:rsidRDefault="003D55F3">
            <w:pPr>
              <w:rPr>
                <w:rFonts w:ascii="Arial" w:hAnsi="Arial" w:cs="Arial"/>
                <w:szCs w:val="24"/>
              </w:rPr>
            </w:pPr>
            <w:r w:rsidRPr="00C4309C">
              <w:rPr>
                <w:rFonts w:ascii="Arial" w:hAnsi="Arial" w:cs="Arial"/>
                <w:szCs w:val="24"/>
              </w:rPr>
              <w:t>Subgroup Analysis</w:t>
            </w:r>
          </w:p>
        </w:tc>
        <w:tc>
          <w:tcPr>
            <w:tcW w:w="5670" w:type="dxa"/>
          </w:tcPr>
          <w:p w14:paraId="405AF6AC" w14:textId="77777777" w:rsidR="0082262A" w:rsidRPr="00C4309C" w:rsidRDefault="00952A25" w:rsidP="00952A25">
            <w:pPr>
              <w:pStyle w:val="ListParagraph"/>
              <w:numPr>
                <w:ilvl w:val="0"/>
                <w:numId w:val="5"/>
              </w:numPr>
              <w:rPr>
                <w:rFonts w:ascii="Arial" w:hAnsi="Arial" w:cs="Arial"/>
                <w:szCs w:val="24"/>
              </w:rPr>
            </w:pPr>
            <w:r w:rsidRPr="00C4309C">
              <w:rPr>
                <w:rFonts w:ascii="Arial" w:hAnsi="Arial" w:cs="Arial"/>
                <w:szCs w:val="24"/>
              </w:rPr>
              <w:t>focus on pre-selected subgroups</w:t>
            </w:r>
          </w:p>
          <w:p w14:paraId="51401A0E" w14:textId="77777777" w:rsidR="00952A25" w:rsidRPr="00C4309C" w:rsidRDefault="00952A25" w:rsidP="00952A25">
            <w:pPr>
              <w:pStyle w:val="ListParagraph"/>
              <w:numPr>
                <w:ilvl w:val="0"/>
                <w:numId w:val="5"/>
              </w:numPr>
              <w:rPr>
                <w:rFonts w:ascii="Arial" w:hAnsi="Arial" w:cs="Arial"/>
                <w:szCs w:val="24"/>
              </w:rPr>
            </w:pPr>
            <w:r w:rsidRPr="00C4309C">
              <w:rPr>
                <w:rFonts w:ascii="Arial" w:hAnsi="Arial" w:cs="Arial"/>
                <w:szCs w:val="24"/>
              </w:rPr>
              <w:t>analyse with interaction tests</w:t>
            </w:r>
          </w:p>
          <w:p w14:paraId="2C2D687A" w14:textId="77777777" w:rsidR="00952A25" w:rsidRPr="00C4309C" w:rsidRDefault="00952A25" w:rsidP="00952A25">
            <w:pPr>
              <w:pStyle w:val="ListParagraph"/>
              <w:numPr>
                <w:ilvl w:val="0"/>
                <w:numId w:val="5"/>
              </w:numPr>
              <w:rPr>
                <w:rFonts w:ascii="Arial" w:hAnsi="Arial" w:cs="Arial"/>
                <w:szCs w:val="24"/>
              </w:rPr>
            </w:pPr>
            <w:r w:rsidRPr="00C4309C">
              <w:rPr>
                <w:rFonts w:ascii="Arial" w:hAnsi="Arial" w:cs="Arial"/>
                <w:szCs w:val="24"/>
              </w:rPr>
              <w:t>interpret as exploratory, secondary findings</w:t>
            </w:r>
          </w:p>
          <w:p w14:paraId="62721DC1" w14:textId="615E7E41" w:rsidR="00952A25" w:rsidRPr="00C4309C" w:rsidRDefault="00952A25" w:rsidP="00952A25">
            <w:pPr>
              <w:pStyle w:val="ListParagraph"/>
              <w:numPr>
                <w:ilvl w:val="0"/>
                <w:numId w:val="5"/>
              </w:numPr>
              <w:rPr>
                <w:rFonts w:ascii="Arial" w:hAnsi="Arial" w:cs="Arial"/>
                <w:szCs w:val="24"/>
              </w:rPr>
            </w:pPr>
            <w:r w:rsidRPr="00C4309C">
              <w:rPr>
                <w:rFonts w:ascii="Arial" w:hAnsi="Arial" w:cs="Arial"/>
                <w:szCs w:val="24"/>
              </w:rPr>
              <w:t>avoid over-reacting to subgroup claims</w:t>
            </w:r>
          </w:p>
        </w:tc>
      </w:tr>
      <w:tr w:rsidR="0082262A" w:rsidRPr="00C4309C" w14:paraId="191E61AC" w14:textId="77777777" w:rsidTr="002F037A">
        <w:trPr>
          <w:trHeight w:val="1712"/>
        </w:trPr>
        <w:tc>
          <w:tcPr>
            <w:tcW w:w="3539" w:type="dxa"/>
          </w:tcPr>
          <w:p w14:paraId="5CD84E9A" w14:textId="650DE6DC" w:rsidR="0082262A" w:rsidRPr="00C4309C" w:rsidRDefault="003D55F3">
            <w:pPr>
              <w:rPr>
                <w:rFonts w:ascii="Arial" w:hAnsi="Arial" w:cs="Arial"/>
                <w:szCs w:val="24"/>
              </w:rPr>
            </w:pPr>
            <w:r w:rsidRPr="00C4309C">
              <w:rPr>
                <w:rFonts w:ascii="Arial" w:hAnsi="Arial" w:cs="Arial"/>
                <w:szCs w:val="24"/>
              </w:rPr>
              <w:t>Individual Benefits and Risks</w:t>
            </w:r>
          </w:p>
        </w:tc>
        <w:tc>
          <w:tcPr>
            <w:tcW w:w="5670" w:type="dxa"/>
          </w:tcPr>
          <w:p w14:paraId="1EFF0EC3" w14:textId="77777777" w:rsidR="0082262A" w:rsidRPr="00C4309C" w:rsidRDefault="00952A25" w:rsidP="00952A25">
            <w:pPr>
              <w:pStyle w:val="ListParagraph"/>
              <w:numPr>
                <w:ilvl w:val="0"/>
                <w:numId w:val="6"/>
              </w:numPr>
              <w:rPr>
                <w:rFonts w:ascii="Arial" w:hAnsi="Arial" w:cs="Arial"/>
                <w:szCs w:val="24"/>
              </w:rPr>
            </w:pPr>
            <w:r w:rsidRPr="00C4309C">
              <w:rPr>
                <w:rFonts w:ascii="Arial" w:hAnsi="Arial" w:cs="Arial"/>
                <w:szCs w:val="24"/>
              </w:rPr>
              <w:t>assess individual efficacy on absolute scale</w:t>
            </w:r>
          </w:p>
          <w:p w14:paraId="47EB0F7C" w14:textId="77777777" w:rsidR="00952A25" w:rsidRPr="00C4309C" w:rsidRDefault="00952A25" w:rsidP="00952A25">
            <w:pPr>
              <w:pStyle w:val="ListParagraph"/>
              <w:numPr>
                <w:ilvl w:val="0"/>
                <w:numId w:val="6"/>
              </w:numPr>
              <w:rPr>
                <w:rFonts w:ascii="Arial" w:hAnsi="Arial" w:cs="Arial"/>
                <w:szCs w:val="24"/>
              </w:rPr>
            </w:pPr>
            <w:r w:rsidRPr="00C4309C">
              <w:rPr>
                <w:rFonts w:ascii="Arial" w:hAnsi="Arial" w:cs="Arial"/>
                <w:szCs w:val="24"/>
              </w:rPr>
              <w:t>classify patients into risk groups</w:t>
            </w:r>
          </w:p>
          <w:p w14:paraId="54589E93" w14:textId="77777777" w:rsidR="00952A25" w:rsidRPr="00C4309C" w:rsidRDefault="00952A25" w:rsidP="00952A25">
            <w:pPr>
              <w:pStyle w:val="ListParagraph"/>
              <w:numPr>
                <w:ilvl w:val="0"/>
                <w:numId w:val="6"/>
              </w:numPr>
              <w:rPr>
                <w:rFonts w:ascii="Arial" w:hAnsi="Arial" w:cs="Arial"/>
                <w:szCs w:val="24"/>
              </w:rPr>
            </w:pPr>
            <w:r w:rsidRPr="00C4309C">
              <w:rPr>
                <w:rFonts w:ascii="Arial" w:hAnsi="Arial" w:cs="Arial"/>
                <w:szCs w:val="24"/>
              </w:rPr>
              <w:t>absolute efficacy versus absolute harm</w:t>
            </w:r>
          </w:p>
          <w:p w14:paraId="714C59D0" w14:textId="2BDACD46" w:rsidR="00952A25" w:rsidRPr="00C4309C" w:rsidRDefault="00952A25" w:rsidP="00952A25">
            <w:pPr>
              <w:pStyle w:val="ListParagraph"/>
              <w:numPr>
                <w:ilvl w:val="0"/>
                <w:numId w:val="6"/>
              </w:numPr>
              <w:rPr>
                <w:rFonts w:ascii="Arial" w:hAnsi="Arial" w:cs="Arial"/>
                <w:szCs w:val="24"/>
              </w:rPr>
            </w:pPr>
            <w:r w:rsidRPr="00C4309C">
              <w:rPr>
                <w:rFonts w:ascii="Arial" w:hAnsi="Arial" w:cs="Arial"/>
                <w:szCs w:val="24"/>
              </w:rPr>
              <w:t>statistical models for individual treatment choice</w:t>
            </w:r>
          </w:p>
        </w:tc>
      </w:tr>
      <w:tr w:rsidR="0082262A" w:rsidRPr="00C4309C" w14:paraId="2134DB48" w14:textId="77777777" w:rsidTr="002F037A">
        <w:trPr>
          <w:trHeight w:val="1680"/>
        </w:trPr>
        <w:tc>
          <w:tcPr>
            <w:tcW w:w="3539" w:type="dxa"/>
          </w:tcPr>
          <w:p w14:paraId="3D95C68C" w14:textId="66C843B8" w:rsidR="0082262A" w:rsidRPr="00C4309C" w:rsidRDefault="003D55F3">
            <w:pPr>
              <w:rPr>
                <w:rFonts w:ascii="Arial" w:hAnsi="Arial" w:cs="Arial"/>
                <w:szCs w:val="24"/>
              </w:rPr>
            </w:pPr>
            <w:r w:rsidRPr="00C4309C">
              <w:rPr>
                <w:rFonts w:ascii="Arial" w:hAnsi="Arial" w:cs="Arial"/>
                <w:szCs w:val="24"/>
              </w:rPr>
              <w:t>ITT Analysis and Alternatives</w:t>
            </w:r>
          </w:p>
        </w:tc>
        <w:tc>
          <w:tcPr>
            <w:tcW w:w="5670" w:type="dxa"/>
          </w:tcPr>
          <w:p w14:paraId="70F2DA23" w14:textId="77777777" w:rsidR="0082262A" w:rsidRPr="00C4309C" w:rsidRDefault="00952A25" w:rsidP="00952A25">
            <w:pPr>
              <w:pStyle w:val="ListParagraph"/>
              <w:numPr>
                <w:ilvl w:val="0"/>
                <w:numId w:val="7"/>
              </w:numPr>
              <w:rPr>
                <w:rFonts w:ascii="Arial" w:hAnsi="Arial" w:cs="Arial"/>
                <w:szCs w:val="24"/>
              </w:rPr>
            </w:pPr>
            <w:r w:rsidRPr="00C4309C">
              <w:rPr>
                <w:rFonts w:ascii="Arial" w:hAnsi="Arial" w:cs="Arial"/>
                <w:szCs w:val="24"/>
              </w:rPr>
              <w:t>prioritize analysis by intention to treat (ITT)</w:t>
            </w:r>
          </w:p>
          <w:p w14:paraId="41C405CF" w14:textId="77777777" w:rsidR="00952A25" w:rsidRPr="00C4309C" w:rsidRDefault="00952A25" w:rsidP="00952A25">
            <w:pPr>
              <w:pStyle w:val="ListParagraph"/>
              <w:numPr>
                <w:ilvl w:val="0"/>
                <w:numId w:val="7"/>
              </w:numPr>
              <w:rPr>
                <w:rFonts w:ascii="Arial" w:hAnsi="Arial" w:cs="Arial"/>
                <w:szCs w:val="24"/>
              </w:rPr>
            </w:pPr>
            <w:r w:rsidRPr="00C4309C">
              <w:rPr>
                <w:rFonts w:ascii="Arial" w:hAnsi="Arial" w:cs="Arial"/>
                <w:szCs w:val="24"/>
              </w:rPr>
              <w:t>on-treatment analyses usually secondary</w:t>
            </w:r>
          </w:p>
          <w:p w14:paraId="150FC605" w14:textId="77777777" w:rsidR="00952A25" w:rsidRPr="00C4309C" w:rsidRDefault="00952A25" w:rsidP="00952A25">
            <w:pPr>
              <w:pStyle w:val="ListParagraph"/>
              <w:numPr>
                <w:ilvl w:val="0"/>
                <w:numId w:val="7"/>
              </w:numPr>
              <w:rPr>
                <w:rFonts w:ascii="Arial" w:hAnsi="Arial" w:cs="Arial"/>
                <w:szCs w:val="24"/>
              </w:rPr>
            </w:pPr>
            <w:r w:rsidRPr="00C4309C">
              <w:rPr>
                <w:rFonts w:ascii="Arial" w:hAnsi="Arial" w:cs="Arial"/>
                <w:szCs w:val="24"/>
              </w:rPr>
              <w:t>report both for non-inferiority trials</w:t>
            </w:r>
          </w:p>
          <w:p w14:paraId="35EEB224" w14:textId="58779694" w:rsidR="00952A25" w:rsidRPr="00C4309C" w:rsidRDefault="00952A25" w:rsidP="00952A25">
            <w:pPr>
              <w:pStyle w:val="ListParagraph"/>
              <w:numPr>
                <w:ilvl w:val="0"/>
                <w:numId w:val="7"/>
              </w:numPr>
              <w:rPr>
                <w:rFonts w:ascii="Arial" w:hAnsi="Arial" w:cs="Arial"/>
                <w:szCs w:val="24"/>
              </w:rPr>
            </w:pPr>
            <w:r w:rsidRPr="00C4309C">
              <w:rPr>
                <w:rFonts w:ascii="Arial" w:hAnsi="Arial" w:cs="Arial"/>
                <w:szCs w:val="24"/>
              </w:rPr>
              <w:t>avoid poor compliance and loss to follow-up</w:t>
            </w:r>
          </w:p>
        </w:tc>
      </w:tr>
      <w:tr w:rsidR="0082262A" w:rsidRPr="00C4309C" w14:paraId="779D5B49" w14:textId="77777777" w:rsidTr="002F037A">
        <w:trPr>
          <w:trHeight w:val="406"/>
        </w:trPr>
        <w:tc>
          <w:tcPr>
            <w:tcW w:w="3539" w:type="dxa"/>
          </w:tcPr>
          <w:p w14:paraId="03CD2896" w14:textId="192C6DA8" w:rsidR="0082262A" w:rsidRPr="00C4309C" w:rsidRDefault="003D55F3">
            <w:pPr>
              <w:rPr>
                <w:rFonts w:ascii="Arial" w:hAnsi="Arial" w:cs="Arial"/>
                <w:szCs w:val="24"/>
              </w:rPr>
            </w:pPr>
            <w:r w:rsidRPr="00C4309C">
              <w:rPr>
                <w:rFonts w:ascii="Arial" w:hAnsi="Arial" w:cs="Arial"/>
                <w:szCs w:val="24"/>
              </w:rPr>
              <w:t>Interpreting Surprises</w:t>
            </w:r>
          </w:p>
        </w:tc>
        <w:tc>
          <w:tcPr>
            <w:tcW w:w="5670" w:type="dxa"/>
          </w:tcPr>
          <w:p w14:paraId="560D1A76" w14:textId="77777777" w:rsidR="0082262A" w:rsidRPr="00C4309C" w:rsidRDefault="00952A25" w:rsidP="00952A25">
            <w:pPr>
              <w:pStyle w:val="ListParagraph"/>
              <w:numPr>
                <w:ilvl w:val="0"/>
                <w:numId w:val="8"/>
              </w:numPr>
              <w:rPr>
                <w:rFonts w:ascii="Arial" w:hAnsi="Arial" w:cs="Arial"/>
                <w:szCs w:val="24"/>
              </w:rPr>
            </w:pPr>
            <w:r w:rsidRPr="00C4309C">
              <w:rPr>
                <w:rFonts w:ascii="Arial" w:hAnsi="Arial" w:cs="Arial"/>
                <w:szCs w:val="24"/>
              </w:rPr>
              <w:t>beware of small trials reporting big effects</w:t>
            </w:r>
          </w:p>
          <w:p w14:paraId="0BDB9190" w14:textId="77777777" w:rsidR="00952A25" w:rsidRPr="00C4309C" w:rsidRDefault="00952A25" w:rsidP="00952A25">
            <w:pPr>
              <w:pStyle w:val="ListParagraph"/>
              <w:numPr>
                <w:ilvl w:val="0"/>
                <w:numId w:val="8"/>
              </w:numPr>
              <w:rPr>
                <w:rFonts w:ascii="Arial" w:hAnsi="Arial" w:cs="Arial"/>
                <w:szCs w:val="24"/>
              </w:rPr>
            </w:pPr>
            <w:r w:rsidRPr="00C4309C">
              <w:rPr>
                <w:rFonts w:ascii="Arial" w:hAnsi="Arial" w:cs="Arial"/>
                <w:szCs w:val="24"/>
              </w:rPr>
              <w:t>anticipate regression to the truth</w:t>
            </w:r>
          </w:p>
          <w:p w14:paraId="26F68B68" w14:textId="686DC9B4" w:rsidR="00952A25" w:rsidRPr="00C4309C" w:rsidRDefault="00952A25" w:rsidP="00952A25">
            <w:pPr>
              <w:pStyle w:val="ListParagraph"/>
              <w:numPr>
                <w:ilvl w:val="0"/>
                <w:numId w:val="8"/>
              </w:numPr>
              <w:rPr>
                <w:rFonts w:ascii="Arial" w:hAnsi="Arial" w:cs="Arial"/>
                <w:szCs w:val="24"/>
              </w:rPr>
            </w:pPr>
            <w:r w:rsidRPr="00C4309C">
              <w:rPr>
                <w:rFonts w:ascii="Arial" w:hAnsi="Arial" w:cs="Arial"/>
                <w:szCs w:val="24"/>
              </w:rPr>
              <w:t>seek evidence to confirm (or not) as</w:t>
            </w:r>
            <w:r w:rsidR="000478E4">
              <w:rPr>
                <w:rFonts w:ascii="Arial" w:hAnsi="Arial" w:cs="Arial"/>
                <w:szCs w:val="24"/>
              </w:rPr>
              <w:t>ap</w:t>
            </w:r>
          </w:p>
          <w:p w14:paraId="709AA448" w14:textId="37154BCF" w:rsidR="00952A25" w:rsidRPr="00C4309C" w:rsidRDefault="00D74E18" w:rsidP="00952A25">
            <w:pPr>
              <w:pStyle w:val="ListParagraph"/>
              <w:numPr>
                <w:ilvl w:val="0"/>
                <w:numId w:val="8"/>
              </w:numPr>
              <w:rPr>
                <w:rFonts w:ascii="Arial" w:hAnsi="Arial" w:cs="Arial"/>
                <w:szCs w:val="24"/>
              </w:rPr>
            </w:pPr>
            <w:r w:rsidRPr="00C4309C">
              <w:rPr>
                <w:rFonts w:ascii="Arial" w:hAnsi="Arial" w:cs="Arial"/>
                <w:szCs w:val="24"/>
              </w:rPr>
              <w:t>alarmist safety signals require careful handling</w:t>
            </w:r>
          </w:p>
        </w:tc>
      </w:tr>
    </w:tbl>
    <w:p w14:paraId="7B1FAE93" w14:textId="5B4EEE3F" w:rsidR="0082262A" w:rsidRDefault="0082262A">
      <w:pPr>
        <w:rPr>
          <w:rFonts w:ascii="Arial" w:hAnsi="Arial" w:cs="Arial"/>
          <w:sz w:val="24"/>
          <w:szCs w:val="24"/>
        </w:rPr>
      </w:pPr>
    </w:p>
    <w:p w14:paraId="63381289" w14:textId="19DCE533" w:rsidR="00EA1E02" w:rsidRDefault="00EA1E02">
      <w:pPr>
        <w:rPr>
          <w:rFonts w:ascii="Arial" w:hAnsi="Arial" w:cs="Arial"/>
          <w:sz w:val="24"/>
          <w:szCs w:val="24"/>
        </w:rPr>
      </w:pPr>
    </w:p>
    <w:sectPr w:rsidR="00EA1E02" w:rsidSect="00E1735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C82C3" w14:textId="77777777" w:rsidR="00DA7737" w:rsidRDefault="00DA7737" w:rsidP="004E1DE4">
      <w:pPr>
        <w:spacing w:after="0" w:line="240" w:lineRule="auto"/>
      </w:pPr>
      <w:r>
        <w:separator/>
      </w:r>
    </w:p>
  </w:endnote>
  <w:endnote w:type="continuationSeparator" w:id="0">
    <w:p w14:paraId="5DEC6739" w14:textId="77777777" w:rsidR="00DA7737" w:rsidRDefault="00DA7737" w:rsidP="004E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6918"/>
      <w:docPartObj>
        <w:docPartGallery w:val="Page Numbers (Bottom of Page)"/>
        <w:docPartUnique/>
      </w:docPartObj>
    </w:sdtPr>
    <w:sdtEndPr/>
    <w:sdtContent>
      <w:p w14:paraId="4055694A" w14:textId="77777777" w:rsidR="00DA7737" w:rsidRDefault="00DA7737">
        <w:pPr>
          <w:pStyle w:val="Footer"/>
          <w:jc w:val="right"/>
        </w:pPr>
        <w:r>
          <w:fldChar w:fldCharType="begin"/>
        </w:r>
        <w:r>
          <w:instrText xml:space="preserve"> PAGE   \* MERGEFORMAT </w:instrText>
        </w:r>
        <w:r>
          <w:fldChar w:fldCharType="separate"/>
        </w:r>
        <w:r w:rsidR="00C6165D">
          <w:rPr>
            <w:noProof/>
          </w:rPr>
          <w:t>29</w:t>
        </w:r>
        <w:r>
          <w:rPr>
            <w:noProof/>
          </w:rPr>
          <w:fldChar w:fldCharType="end"/>
        </w:r>
      </w:p>
    </w:sdtContent>
  </w:sdt>
  <w:p w14:paraId="27B502FE" w14:textId="77777777" w:rsidR="00DA7737" w:rsidRDefault="00DA7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CFE67" w14:textId="77777777" w:rsidR="00DA7737" w:rsidRDefault="00DA7737" w:rsidP="004E1DE4">
      <w:pPr>
        <w:spacing w:after="0" w:line="240" w:lineRule="auto"/>
      </w:pPr>
      <w:r>
        <w:separator/>
      </w:r>
    </w:p>
  </w:footnote>
  <w:footnote w:type="continuationSeparator" w:id="0">
    <w:p w14:paraId="7D1F3365" w14:textId="77777777" w:rsidR="00DA7737" w:rsidRDefault="00DA7737" w:rsidP="004E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4D5"/>
    <w:multiLevelType w:val="hybridMultilevel"/>
    <w:tmpl w:val="7B7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079DB"/>
    <w:multiLevelType w:val="hybridMultilevel"/>
    <w:tmpl w:val="F1F25A16"/>
    <w:lvl w:ilvl="0" w:tplc="19A08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D82FAB"/>
    <w:multiLevelType w:val="hybridMultilevel"/>
    <w:tmpl w:val="D9B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26AE7"/>
    <w:multiLevelType w:val="hybridMultilevel"/>
    <w:tmpl w:val="EB36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97610"/>
    <w:multiLevelType w:val="hybridMultilevel"/>
    <w:tmpl w:val="4A8A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E56CAA"/>
    <w:multiLevelType w:val="hybridMultilevel"/>
    <w:tmpl w:val="ECD4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9D2CBA"/>
    <w:multiLevelType w:val="hybridMultilevel"/>
    <w:tmpl w:val="314C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D7550D"/>
    <w:multiLevelType w:val="hybridMultilevel"/>
    <w:tmpl w:val="4A7E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College Card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az5sewevp5dfxewrdrvzv52xsv2tsf22rzr&quot;&gt;TC journal articles&lt;record-ids&gt;&lt;item&gt;5&lt;/item&gt;&lt;item&gt;22&lt;/item&gt;&lt;item&gt;47&lt;/item&gt;&lt;item&gt;49&lt;/item&gt;&lt;item&gt;50&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7&lt;/item&gt;&lt;item&gt;88&lt;/item&gt;&lt;item&gt;89&lt;/item&gt;&lt;item&gt;91&lt;/item&gt;&lt;item&gt;94&lt;/item&gt;&lt;item&gt;95&lt;/item&gt;&lt;item&gt;97&lt;/item&gt;&lt;item&gt;99&lt;/item&gt;&lt;item&gt;100&lt;/item&gt;&lt;item&gt;101&lt;/item&gt;&lt;item&gt;102&lt;/item&gt;&lt;item&gt;103&lt;/item&gt;&lt;item&gt;111&lt;/item&gt;&lt;/record-ids&gt;&lt;/item&gt;&lt;/Libraries&gt;"/>
  </w:docVars>
  <w:rsids>
    <w:rsidRoot w:val="00A7253B"/>
    <w:rsid w:val="00013081"/>
    <w:rsid w:val="0001697A"/>
    <w:rsid w:val="00030777"/>
    <w:rsid w:val="000431CF"/>
    <w:rsid w:val="000432C6"/>
    <w:rsid w:val="00045270"/>
    <w:rsid w:val="000478E4"/>
    <w:rsid w:val="0009214E"/>
    <w:rsid w:val="000C6C62"/>
    <w:rsid w:val="000D63DD"/>
    <w:rsid w:val="000E117D"/>
    <w:rsid w:val="000E3027"/>
    <w:rsid w:val="000F189D"/>
    <w:rsid w:val="00104A46"/>
    <w:rsid w:val="00107D89"/>
    <w:rsid w:val="00143578"/>
    <w:rsid w:val="001440D3"/>
    <w:rsid w:val="00144A50"/>
    <w:rsid w:val="001544AE"/>
    <w:rsid w:val="001617B0"/>
    <w:rsid w:val="00161C5D"/>
    <w:rsid w:val="00163797"/>
    <w:rsid w:val="00191D80"/>
    <w:rsid w:val="001E3599"/>
    <w:rsid w:val="001F178E"/>
    <w:rsid w:val="0020623B"/>
    <w:rsid w:val="00210691"/>
    <w:rsid w:val="00227F50"/>
    <w:rsid w:val="0024571C"/>
    <w:rsid w:val="0025031D"/>
    <w:rsid w:val="0026598F"/>
    <w:rsid w:val="002D581F"/>
    <w:rsid w:val="002F037A"/>
    <w:rsid w:val="002F11AF"/>
    <w:rsid w:val="003566C3"/>
    <w:rsid w:val="00370DC9"/>
    <w:rsid w:val="00370FD1"/>
    <w:rsid w:val="003723A7"/>
    <w:rsid w:val="003936A2"/>
    <w:rsid w:val="003A10BE"/>
    <w:rsid w:val="003B4973"/>
    <w:rsid w:val="003C2808"/>
    <w:rsid w:val="003D55F3"/>
    <w:rsid w:val="003E044D"/>
    <w:rsid w:val="003E3AC6"/>
    <w:rsid w:val="00401FB4"/>
    <w:rsid w:val="0040699D"/>
    <w:rsid w:val="004163D0"/>
    <w:rsid w:val="004217BC"/>
    <w:rsid w:val="00437DDA"/>
    <w:rsid w:val="00450581"/>
    <w:rsid w:val="00495A93"/>
    <w:rsid w:val="004B3B83"/>
    <w:rsid w:val="004C05CC"/>
    <w:rsid w:val="004C5050"/>
    <w:rsid w:val="004D0C74"/>
    <w:rsid w:val="004E1525"/>
    <w:rsid w:val="004E1DE4"/>
    <w:rsid w:val="004E3180"/>
    <w:rsid w:val="004F6680"/>
    <w:rsid w:val="00524BBD"/>
    <w:rsid w:val="00537631"/>
    <w:rsid w:val="00543767"/>
    <w:rsid w:val="00551CE3"/>
    <w:rsid w:val="005520E6"/>
    <w:rsid w:val="0055484A"/>
    <w:rsid w:val="005E314A"/>
    <w:rsid w:val="006160CA"/>
    <w:rsid w:val="00633F8B"/>
    <w:rsid w:val="00635021"/>
    <w:rsid w:val="00636F9B"/>
    <w:rsid w:val="00640478"/>
    <w:rsid w:val="00676C1D"/>
    <w:rsid w:val="0068572E"/>
    <w:rsid w:val="006A1081"/>
    <w:rsid w:val="006A1B95"/>
    <w:rsid w:val="006B0D3C"/>
    <w:rsid w:val="006B776C"/>
    <w:rsid w:val="006D54F7"/>
    <w:rsid w:val="007051CA"/>
    <w:rsid w:val="00714EB7"/>
    <w:rsid w:val="00717600"/>
    <w:rsid w:val="0078297E"/>
    <w:rsid w:val="00793516"/>
    <w:rsid w:val="00793F31"/>
    <w:rsid w:val="00795F0C"/>
    <w:rsid w:val="007B0B0F"/>
    <w:rsid w:val="007E0097"/>
    <w:rsid w:val="008046B6"/>
    <w:rsid w:val="0082262A"/>
    <w:rsid w:val="00833FB1"/>
    <w:rsid w:val="00850FEB"/>
    <w:rsid w:val="00893C80"/>
    <w:rsid w:val="008B5539"/>
    <w:rsid w:val="008B7919"/>
    <w:rsid w:val="008E0F3F"/>
    <w:rsid w:val="008E7251"/>
    <w:rsid w:val="00914DE8"/>
    <w:rsid w:val="00930C5E"/>
    <w:rsid w:val="009348D3"/>
    <w:rsid w:val="00936712"/>
    <w:rsid w:val="009455BD"/>
    <w:rsid w:val="00952A25"/>
    <w:rsid w:val="009564CA"/>
    <w:rsid w:val="00986D48"/>
    <w:rsid w:val="009962BC"/>
    <w:rsid w:val="009C1624"/>
    <w:rsid w:val="009F70ED"/>
    <w:rsid w:val="00A05AD9"/>
    <w:rsid w:val="00A14EF5"/>
    <w:rsid w:val="00A166AE"/>
    <w:rsid w:val="00A21DD6"/>
    <w:rsid w:val="00A220CB"/>
    <w:rsid w:val="00A255E2"/>
    <w:rsid w:val="00A55D77"/>
    <w:rsid w:val="00A7253B"/>
    <w:rsid w:val="00A868D9"/>
    <w:rsid w:val="00A947B4"/>
    <w:rsid w:val="00AB4615"/>
    <w:rsid w:val="00AC6B0A"/>
    <w:rsid w:val="00AD5988"/>
    <w:rsid w:val="00AE251D"/>
    <w:rsid w:val="00B05615"/>
    <w:rsid w:val="00B2006E"/>
    <w:rsid w:val="00B263DF"/>
    <w:rsid w:val="00B52315"/>
    <w:rsid w:val="00B66608"/>
    <w:rsid w:val="00BA5149"/>
    <w:rsid w:val="00BB602F"/>
    <w:rsid w:val="00BC60EC"/>
    <w:rsid w:val="00BE7B12"/>
    <w:rsid w:val="00BF1820"/>
    <w:rsid w:val="00BF3F17"/>
    <w:rsid w:val="00C037AA"/>
    <w:rsid w:val="00C30A57"/>
    <w:rsid w:val="00C42A07"/>
    <w:rsid w:val="00C4309C"/>
    <w:rsid w:val="00C6165D"/>
    <w:rsid w:val="00C67FA6"/>
    <w:rsid w:val="00C735CE"/>
    <w:rsid w:val="00C754A5"/>
    <w:rsid w:val="00CA595D"/>
    <w:rsid w:val="00CE5CDF"/>
    <w:rsid w:val="00CF0A73"/>
    <w:rsid w:val="00D0020F"/>
    <w:rsid w:val="00D109CD"/>
    <w:rsid w:val="00D12BE5"/>
    <w:rsid w:val="00D561E9"/>
    <w:rsid w:val="00D56782"/>
    <w:rsid w:val="00D56804"/>
    <w:rsid w:val="00D61611"/>
    <w:rsid w:val="00D65760"/>
    <w:rsid w:val="00D66D5C"/>
    <w:rsid w:val="00D676CB"/>
    <w:rsid w:val="00D74E18"/>
    <w:rsid w:val="00D75D43"/>
    <w:rsid w:val="00D95DDC"/>
    <w:rsid w:val="00DA225D"/>
    <w:rsid w:val="00DA7737"/>
    <w:rsid w:val="00DD03A5"/>
    <w:rsid w:val="00DE5947"/>
    <w:rsid w:val="00DF4A5A"/>
    <w:rsid w:val="00DF6116"/>
    <w:rsid w:val="00E1151E"/>
    <w:rsid w:val="00E17357"/>
    <w:rsid w:val="00E37C9E"/>
    <w:rsid w:val="00E5632F"/>
    <w:rsid w:val="00E67CBA"/>
    <w:rsid w:val="00EA1E02"/>
    <w:rsid w:val="00ED19A4"/>
    <w:rsid w:val="00F10E1D"/>
    <w:rsid w:val="00F312E9"/>
    <w:rsid w:val="00F43231"/>
    <w:rsid w:val="00F51140"/>
    <w:rsid w:val="00F568C5"/>
    <w:rsid w:val="00FC51FB"/>
    <w:rsid w:val="00FC6A3F"/>
    <w:rsid w:val="00FD7EF0"/>
    <w:rsid w:val="00FE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96BE"/>
  <w15:docId w15:val="{EE379E82-CA80-4E6B-8274-F83A5A2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1D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1DE4"/>
  </w:style>
  <w:style w:type="paragraph" w:styleId="Footer">
    <w:name w:val="footer"/>
    <w:basedOn w:val="Normal"/>
    <w:link w:val="FooterChar"/>
    <w:uiPriority w:val="99"/>
    <w:unhideWhenUsed/>
    <w:rsid w:val="004E1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DE4"/>
  </w:style>
  <w:style w:type="character" w:styleId="Emphasis">
    <w:name w:val="Emphasis"/>
    <w:basedOn w:val="DefaultParagraphFont"/>
    <w:uiPriority w:val="20"/>
    <w:qFormat/>
    <w:rsid w:val="00DD03A5"/>
    <w:rPr>
      <w:i/>
      <w:iCs/>
    </w:rPr>
  </w:style>
  <w:style w:type="table" w:styleId="TableGrid">
    <w:name w:val="Table Grid"/>
    <w:basedOn w:val="TableNormal"/>
    <w:uiPriority w:val="39"/>
    <w:rsid w:val="00D6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D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Header">
    <w:name w:val="TableHeader"/>
    <w:basedOn w:val="Normal"/>
    <w:rsid w:val="00D66D5C"/>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D66D5C"/>
  </w:style>
  <w:style w:type="character" w:styleId="CommentReference">
    <w:name w:val="annotation reference"/>
    <w:basedOn w:val="DefaultParagraphFont"/>
    <w:uiPriority w:val="99"/>
    <w:semiHidden/>
    <w:unhideWhenUsed/>
    <w:rsid w:val="00930C5E"/>
    <w:rPr>
      <w:sz w:val="16"/>
      <w:szCs w:val="16"/>
    </w:rPr>
  </w:style>
  <w:style w:type="paragraph" w:styleId="CommentText">
    <w:name w:val="annotation text"/>
    <w:basedOn w:val="Normal"/>
    <w:link w:val="CommentTextChar"/>
    <w:uiPriority w:val="99"/>
    <w:semiHidden/>
    <w:unhideWhenUsed/>
    <w:rsid w:val="00930C5E"/>
    <w:pPr>
      <w:spacing w:line="240" w:lineRule="auto"/>
    </w:pPr>
    <w:rPr>
      <w:sz w:val="20"/>
      <w:szCs w:val="20"/>
    </w:rPr>
  </w:style>
  <w:style w:type="character" w:customStyle="1" w:styleId="CommentTextChar">
    <w:name w:val="Comment Text Char"/>
    <w:basedOn w:val="DefaultParagraphFont"/>
    <w:link w:val="CommentText"/>
    <w:uiPriority w:val="99"/>
    <w:semiHidden/>
    <w:rsid w:val="00930C5E"/>
    <w:rPr>
      <w:sz w:val="20"/>
      <w:szCs w:val="20"/>
    </w:rPr>
  </w:style>
  <w:style w:type="paragraph" w:styleId="CommentSubject">
    <w:name w:val="annotation subject"/>
    <w:basedOn w:val="CommentText"/>
    <w:next w:val="CommentText"/>
    <w:link w:val="CommentSubjectChar"/>
    <w:uiPriority w:val="99"/>
    <w:semiHidden/>
    <w:unhideWhenUsed/>
    <w:rsid w:val="00930C5E"/>
    <w:rPr>
      <w:b/>
      <w:bCs/>
    </w:rPr>
  </w:style>
  <w:style w:type="character" w:customStyle="1" w:styleId="CommentSubjectChar">
    <w:name w:val="Comment Subject Char"/>
    <w:basedOn w:val="CommentTextChar"/>
    <w:link w:val="CommentSubject"/>
    <w:uiPriority w:val="99"/>
    <w:semiHidden/>
    <w:rsid w:val="00930C5E"/>
    <w:rPr>
      <w:b/>
      <w:bCs/>
      <w:sz w:val="20"/>
      <w:szCs w:val="20"/>
    </w:rPr>
  </w:style>
  <w:style w:type="paragraph" w:styleId="BalloonText">
    <w:name w:val="Balloon Text"/>
    <w:basedOn w:val="Normal"/>
    <w:link w:val="BalloonTextChar"/>
    <w:uiPriority w:val="99"/>
    <w:semiHidden/>
    <w:unhideWhenUsed/>
    <w:rsid w:val="00930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5E"/>
    <w:rPr>
      <w:rFonts w:ascii="Segoe UI" w:hAnsi="Segoe UI" w:cs="Segoe UI"/>
      <w:sz w:val="18"/>
      <w:szCs w:val="18"/>
    </w:rPr>
  </w:style>
  <w:style w:type="paragraph" w:customStyle="1" w:styleId="EndNoteBibliographyTitle">
    <w:name w:val="EndNote Bibliography Title"/>
    <w:basedOn w:val="Normal"/>
    <w:link w:val="EndNoteBibliographyTitleChar"/>
    <w:rsid w:val="0068572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572E"/>
    <w:rPr>
      <w:rFonts w:ascii="Calibri" w:hAnsi="Calibri" w:cs="Calibri"/>
      <w:noProof/>
      <w:lang w:val="en-US"/>
    </w:rPr>
  </w:style>
  <w:style w:type="paragraph" w:customStyle="1" w:styleId="EndNoteBibliography">
    <w:name w:val="EndNote Bibliography"/>
    <w:basedOn w:val="Normal"/>
    <w:link w:val="EndNoteBibliographyChar"/>
    <w:rsid w:val="0068572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572E"/>
    <w:rPr>
      <w:rFonts w:ascii="Calibri" w:hAnsi="Calibri" w:cs="Calibri"/>
      <w:noProof/>
      <w:lang w:val="en-US"/>
    </w:rPr>
  </w:style>
  <w:style w:type="character" w:styleId="Hyperlink">
    <w:name w:val="Hyperlink"/>
    <w:basedOn w:val="DefaultParagraphFont"/>
    <w:uiPriority w:val="99"/>
    <w:unhideWhenUsed/>
    <w:rsid w:val="0068572E"/>
    <w:rPr>
      <w:color w:val="0000FF" w:themeColor="hyperlink"/>
      <w:u w:val="single"/>
    </w:rPr>
  </w:style>
  <w:style w:type="paragraph" w:styleId="ListParagraph">
    <w:name w:val="List Paragraph"/>
    <w:basedOn w:val="Normal"/>
    <w:uiPriority w:val="34"/>
    <w:qFormat/>
    <w:rsid w:val="00AB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056476">
      <w:bodyDiv w:val="1"/>
      <w:marLeft w:val="0"/>
      <w:marRight w:val="0"/>
      <w:marTop w:val="0"/>
      <w:marBottom w:val="0"/>
      <w:divBdr>
        <w:top w:val="none" w:sz="0" w:space="0" w:color="auto"/>
        <w:left w:val="none" w:sz="0" w:space="0" w:color="auto"/>
        <w:bottom w:val="none" w:sz="0" w:space="0" w:color="auto"/>
        <w:right w:val="none" w:sz="0" w:space="0" w:color="auto"/>
      </w:divBdr>
    </w:div>
    <w:div w:id="1200314021">
      <w:bodyDiv w:val="1"/>
      <w:marLeft w:val="0"/>
      <w:marRight w:val="0"/>
      <w:marTop w:val="0"/>
      <w:marBottom w:val="0"/>
      <w:divBdr>
        <w:top w:val="none" w:sz="0" w:space="0" w:color="auto"/>
        <w:left w:val="none" w:sz="0" w:space="0" w:color="auto"/>
        <w:bottom w:val="none" w:sz="0" w:space="0" w:color="auto"/>
        <w:right w:val="none" w:sz="0" w:space="0" w:color="auto"/>
      </w:divBdr>
      <w:divsChild>
        <w:div w:id="760754898">
          <w:marLeft w:val="0"/>
          <w:marRight w:val="0"/>
          <w:marTop w:val="0"/>
          <w:marBottom w:val="0"/>
          <w:divBdr>
            <w:top w:val="none" w:sz="0" w:space="0" w:color="auto"/>
            <w:left w:val="none" w:sz="0" w:space="0" w:color="auto"/>
            <w:bottom w:val="none" w:sz="0" w:space="0" w:color="auto"/>
            <w:right w:val="none" w:sz="0" w:space="0" w:color="auto"/>
          </w:divBdr>
          <w:divsChild>
            <w:div w:id="1656563169">
              <w:marLeft w:val="0"/>
              <w:marRight w:val="0"/>
              <w:marTop w:val="0"/>
              <w:marBottom w:val="0"/>
              <w:divBdr>
                <w:top w:val="none" w:sz="0" w:space="0" w:color="auto"/>
                <w:left w:val="none" w:sz="0" w:space="0" w:color="auto"/>
                <w:bottom w:val="none" w:sz="0" w:space="0" w:color="auto"/>
                <w:right w:val="none" w:sz="0" w:space="0" w:color="auto"/>
              </w:divBdr>
              <w:divsChild>
                <w:div w:id="1820534973">
                  <w:marLeft w:val="0"/>
                  <w:marRight w:val="0"/>
                  <w:marTop w:val="0"/>
                  <w:marBottom w:val="0"/>
                  <w:divBdr>
                    <w:top w:val="none" w:sz="0" w:space="0" w:color="auto"/>
                    <w:left w:val="none" w:sz="0" w:space="0" w:color="auto"/>
                    <w:bottom w:val="none" w:sz="0" w:space="0" w:color="auto"/>
                    <w:right w:val="none" w:sz="0" w:space="0" w:color="auto"/>
                  </w:divBdr>
                  <w:divsChild>
                    <w:div w:id="1736081286">
                      <w:marLeft w:val="0"/>
                      <w:marRight w:val="0"/>
                      <w:marTop w:val="0"/>
                      <w:marBottom w:val="300"/>
                      <w:divBdr>
                        <w:top w:val="none" w:sz="0" w:space="0" w:color="auto"/>
                        <w:left w:val="none" w:sz="0" w:space="0" w:color="auto"/>
                        <w:bottom w:val="none" w:sz="0" w:space="0" w:color="auto"/>
                        <w:right w:val="none" w:sz="0" w:space="0" w:color="auto"/>
                      </w:divBdr>
                      <w:divsChild>
                        <w:div w:id="626861288">
                          <w:marLeft w:val="0"/>
                          <w:marRight w:val="0"/>
                          <w:marTop w:val="0"/>
                          <w:marBottom w:val="0"/>
                          <w:divBdr>
                            <w:top w:val="none" w:sz="0" w:space="0" w:color="auto"/>
                            <w:left w:val="none" w:sz="0" w:space="0" w:color="auto"/>
                            <w:bottom w:val="none" w:sz="0" w:space="0" w:color="auto"/>
                            <w:right w:val="none" w:sz="0" w:space="0" w:color="auto"/>
                          </w:divBdr>
                          <w:divsChild>
                            <w:div w:id="660698078">
                              <w:marLeft w:val="0"/>
                              <w:marRight w:val="0"/>
                              <w:marTop w:val="0"/>
                              <w:marBottom w:val="0"/>
                              <w:divBdr>
                                <w:top w:val="none" w:sz="0" w:space="0" w:color="auto"/>
                                <w:left w:val="none" w:sz="0" w:space="0" w:color="auto"/>
                                <w:bottom w:val="none" w:sz="0" w:space="0" w:color="auto"/>
                                <w:right w:val="none" w:sz="0" w:space="0" w:color="auto"/>
                              </w:divBdr>
                            </w:div>
                            <w:div w:id="1073434670">
                              <w:marLeft w:val="0"/>
                              <w:marRight w:val="0"/>
                              <w:marTop w:val="0"/>
                              <w:marBottom w:val="0"/>
                              <w:divBdr>
                                <w:top w:val="none" w:sz="0" w:space="0" w:color="auto"/>
                                <w:left w:val="none" w:sz="0" w:space="0" w:color="auto"/>
                                <w:bottom w:val="none" w:sz="0" w:space="0" w:color="auto"/>
                                <w:right w:val="none" w:sz="0" w:space="0" w:color="auto"/>
                              </w:divBdr>
                            </w:div>
                            <w:div w:id="161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7081">
      <w:bodyDiv w:val="1"/>
      <w:marLeft w:val="0"/>
      <w:marRight w:val="0"/>
      <w:marTop w:val="0"/>
      <w:marBottom w:val="0"/>
      <w:divBdr>
        <w:top w:val="none" w:sz="0" w:space="0" w:color="auto"/>
        <w:left w:val="none" w:sz="0" w:space="0" w:color="auto"/>
        <w:bottom w:val="none" w:sz="0" w:space="0" w:color="auto"/>
        <w:right w:val="none" w:sz="0" w:space="0" w:color="auto"/>
      </w:divBdr>
    </w:div>
    <w:div w:id="1434010482">
      <w:bodyDiv w:val="1"/>
      <w:marLeft w:val="0"/>
      <w:marRight w:val="0"/>
      <w:marTop w:val="0"/>
      <w:marBottom w:val="0"/>
      <w:divBdr>
        <w:top w:val="none" w:sz="0" w:space="0" w:color="auto"/>
        <w:left w:val="none" w:sz="0" w:space="0" w:color="auto"/>
        <w:bottom w:val="none" w:sz="0" w:space="0" w:color="auto"/>
        <w:right w:val="none" w:sz="0" w:space="0" w:color="auto"/>
      </w:divBdr>
    </w:div>
    <w:div w:id="1985772054">
      <w:bodyDiv w:val="1"/>
      <w:marLeft w:val="0"/>
      <w:marRight w:val="0"/>
      <w:marTop w:val="0"/>
      <w:marBottom w:val="0"/>
      <w:divBdr>
        <w:top w:val="none" w:sz="0" w:space="0" w:color="auto"/>
        <w:left w:val="none" w:sz="0" w:space="0" w:color="auto"/>
        <w:bottom w:val="none" w:sz="0" w:space="0" w:color="auto"/>
        <w:right w:val="none" w:sz="0" w:space="0" w:color="auto"/>
      </w:divBdr>
      <w:divsChild>
        <w:div w:id="652638880">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418671362">
              <w:marLeft w:val="0"/>
              <w:marRight w:val="0"/>
              <w:marTop w:val="0"/>
              <w:marBottom w:val="0"/>
              <w:divBdr>
                <w:top w:val="none" w:sz="0" w:space="0" w:color="auto"/>
                <w:left w:val="none" w:sz="0" w:space="0" w:color="auto"/>
                <w:bottom w:val="none" w:sz="0" w:space="0" w:color="auto"/>
                <w:right w:val="none" w:sz="0" w:space="0" w:color="auto"/>
              </w:divBdr>
              <w:divsChild>
                <w:div w:id="9456724">
                  <w:marLeft w:val="0"/>
                  <w:marRight w:val="90"/>
                  <w:marTop w:val="0"/>
                  <w:marBottom w:val="0"/>
                  <w:divBdr>
                    <w:top w:val="none" w:sz="0" w:space="0" w:color="auto"/>
                    <w:left w:val="none" w:sz="0" w:space="0" w:color="auto"/>
                    <w:bottom w:val="none" w:sz="0" w:space="0" w:color="auto"/>
                    <w:right w:val="none" w:sz="0" w:space="0" w:color="auto"/>
                  </w:divBdr>
                  <w:divsChild>
                    <w:div w:id="1616134629">
                      <w:marLeft w:val="0"/>
                      <w:marRight w:val="0"/>
                      <w:marTop w:val="0"/>
                      <w:marBottom w:val="0"/>
                      <w:divBdr>
                        <w:top w:val="none" w:sz="0" w:space="0" w:color="auto"/>
                        <w:left w:val="none" w:sz="0" w:space="0" w:color="auto"/>
                        <w:bottom w:val="none" w:sz="0" w:space="0" w:color="auto"/>
                        <w:right w:val="none" w:sz="0" w:space="0" w:color="auto"/>
                      </w:divBdr>
                    </w:div>
                    <w:div w:id="46007195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art.Pocock@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26A52-20DA-413E-9E3E-F3B92F12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21222</Words>
  <Characters>120968</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Josenir Astarci</dc:creator>
  <cp:lastModifiedBy>Tim Collier</cp:lastModifiedBy>
  <cp:revision>7</cp:revision>
  <cp:lastPrinted>2015-10-07T12:27:00Z</cp:lastPrinted>
  <dcterms:created xsi:type="dcterms:W3CDTF">2015-10-12T09:24:00Z</dcterms:created>
  <dcterms:modified xsi:type="dcterms:W3CDTF">2015-10-12T10:29:00Z</dcterms:modified>
</cp:coreProperties>
</file>